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EA1EAE0" w14:textId="77777777" w:rsidTr="009C59F7">
        <w:trPr>
          <w:trHeight w:val="720"/>
        </w:trPr>
        <w:tc>
          <w:tcPr>
            <w:tcW w:w="5490" w:type="dxa"/>
            <w:gridSpan w:val="2"/>
            <w:tcBorders>
              <w:bottom w:val="single" w:sz="18" w:space="0" w:color="auto"/>
            </w:tcBorders>
          </w:tcPr>
          <w:p w14:paraId="262A5D2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24510C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287C12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BC76E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1D8BD83" wp14:editId="42EB0F4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A4C1B9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D2977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AEC43F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4F7BF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87203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DEB2BDA" w14:textId="77777777" w:rsidR="00C15867" w:rsidRPr="009B0D30" w:rsidRDefault="00C15867" w:rsidP="009C59F7">
            <w:r w:rsidRPr="009B0D30">
              <w:t>Distr.</w:t>
            </w:r>
          </w:p>
          <w:p w14:paraId="21FE368B" w14:textId="77777777" w:rsidR="00923540" w:rsidRPr="009B0D30" w:rsidRDefault="00923540" w:rsidP="00923540">
            <w:r w:rsidRPr="009B0D30">
              <w:t>GENERAL</w:t>
            </w:r>
          </w:p>
          <w:p w14:paraId="307F3F00" w14:textId="77777777" w:rsidR="00C15867" w:rsidRPr="009B0D30" w:rsidRDefault="00C15867" w:rsidP="009C59F7"/>
          <w:p w14:paraId="1CA0A7F0" w14:textId="77777777" w:rsidR="00C15867" w:rsidRPr="009B0D30" w:rsidRDefault="00C15867" w:rsidP="009C59F7"/>
          <w:p w14:paraId="5A5759DC" w14:textId="2EEF2AEC" w:rsidR="00C15867" w:rsidRPr="009B0D30" w:rsidRDefault="00B4102D" w:rsidP="009C59F7">
            <w:fldSimple w:instr=" DOCPROPERTY &quot;Document number&quot;  \* MERGEFORMAT ">
              <w:r w:rsidR="00E72922">
                <w:t>UNEP/OzL.Pro/ExCom/95/86</w:t>
              </w:r>
            </w:fldSimple>
          </w:p>
          <w:p w14:paraId="641F252F" w14:textId="19E5B23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B4102D">
              <w:t>9 October 2024</w:t>
            </w:r>
            <w:r w:rsidRPr="009B0D30">
              <w:fldChar w:fldCharType="end"/>
            </w:r>
          </w:p>
          <w:p w14:paraId="19E27B3B" w14:textId="77777777" w:rsidR="00C15867" w:rsidRPr="009B0D30" w:rsidRDefault="00C15867" w:rsidP="009C59F7">
            <w:pPr>
              <w:rPr>
                <w:caps/>
              </w:rPr>
            </w:pPr>
          </w:p>
          <w:p w14:paraId="209E4347" w14:textId="77777777" w:rsidR="00C15867" w:rsidRPr="009B0D30" w:rsidRDefault="00C15867" w:rsidP="009C59F7">
            <w:r w:rsidRPr="009B0D30">
              <w:t>ORIGINAL: ENGLISH</w:t>
            </w:r>
          </w:p>
        </w:tc>
      </w:tr>
    </w:tbl>
    <w:p w14:paraId="5D09BE2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9D08EA5"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30FD3DCA" w14:textId="0B44B86B" w:rsidR="0079781A" w:rsidRDefault="0079781A" w:rsidP="0079781A">
      <w:pPr>
        <w:jc w:val="left"/>
      </w:pPr>
      <w:r>
        <w:t xml:space="preserve">Item </w:t>
      </w:r>
      <w:r w:rsidR="007B2DE0">
        <w:t>11(a)</w:t>
      </w:r>
      <w:r>
        <w:t xml:space="preserve"> </w:t>
      </w:r>
      <w:r w:rsidRPr="00512BEF">
        <w:t>of the provisional agenda</w:t>
      </w:r>
      <w:r w:rsidRPr="00512BEF">
        <w:rPr>
          <w:rStyle w:val="FootnoteReference"/>
        </w:rPr>
        <w:footnoteReference w:id="1"/>
      </w:r>
    </w:p>
    <w:p w14:paraId="7E382CCB" w14:textId="77777777" w:rsidR="00C15867" w:rsidRPr="009B0D30" w:rsidRDefault="00C15867" w:rsidP="00CA59FB">
      <w:pPr>
        <w:jc w:val="left"/>
      </w:pPr>
    </w:p>
    <w:p w14:paraId="1A0B0605" w14:textId="77777777" w:rsidR="008C5738" w:rsidRPr="0066768F" w:rsidRDefault="008C5738" w:rsidP="0066768F">
      <w:pPr>
        <w:pStyle w:val="StyleHeader4Para4Left0Firstline0"/>
        <w:numPr>
          <w:ilvl w:val="0"/>
          <w:numId w:val="0"/>
        </w:numPr>
        <w:jc w:val="right"/>
        <w:rPr>
          <w:b/>
          <w:sz w:val="22"/>
        </w:rPr>
      </w:pPr>
    </w:p>
    <w:p w14:paraId="2C49DBFC" w14:textId="77777777" w:rsidR="004B451F" w:rsidRDefault="004B451F" w:rsidP="004B451F">
      <w:pPr>
        <w:pStyle w:val="Title1"/>
        <w:rPr>
          <w:sz w:val="24"/>
          <w:szCs w:val="24"/>
          <w:lang w:val="en-CA"/>
        </w:rPr>
      </w:pPr>
      <w:bookmarkStart w:id="0" w:name="_Hlk129628306"/>
      <w:bookmarkStart w:id="1" w:name="_Hlk118106023"/>
      <w:r>
        <w:rPr>
          <w:sz w:val="24"/>
          <w:szCs w:val="24"/>
          <w:lang w:val="en-CA"/>
        </w:rPr>
        <w:t>DRAFT GUIDELINES FOR FUNDING THE PHASE-DOWN OF HFC</w:t>
      </w:r>
      <w:r>
        <w:rPr>
          <w:caps w:val="0"/>
          <w:sz w:val="24"/>
          <w:szCs w:val="24"/>
          <w:lang w:val="en-CA"/>
        </w:rPr>
        <w:t>s</w:t>
      </w:r>
      <w:r>
        <w:rPr>
          <w:sz w:val="24"/>
          <w:szCs w:val="24"/>
          <w:lang w:val="en-CA"/>
        </w:rPr>
        <w:t xml:space="preserve"> IN ARTICLE 5 COUNTRIES, INCLUDING CONSIDERATION OF OPERATIONALIZING PARAGRAPH 24 OF </w:t>
      </w:r>
      <w:r>
        <w:rPr>
          <w:caps w:val="0"/>
          <w:sz w:val="24"/>
          <w:szCs w:val="24"/>
          <w:lang w:val="en-CA"/>
        </w:rPr>
        <w:t>DECISION</w:t>
      </w:r>
      <w:r>
        <w:rPr>
          <w:sz w:val="24"/>
          <w:szCs w:val="24"/>
          <w:lang w:val="en-CA"/>
        </w:rPr>
        <w:t> xxviii/2</w:t>
      </w:r>
    </w:p>
    <w:bookmarkEnd w:id="0"/>
    <w:p w14:paraId="28892040" w14:textId="77777777" w:rsidR="004B451F" w:rsidRDefault="004B451F" w:rsidP="004B451F">
      <w:pPr>
        <w:pStyle w:val="Title1"/>
        <w:spacing w:after="240"/>
        <w:rPr>
          <w:caps w:val="0"/>
        </w:rPr>
      </w:pPr>
    </w:p>
    <w:p w14:paraId="2FA6F897" w14:textId="77777777" w:rsidR="004B451F" w:rsidRDefault="004B451F" w:rsidP="004B451F">
      <w:pPr>
        <w:pStyle w:val="Title1"/>
        <w:spacing w:after="240"/>
        <w:jc w:val="left"/>
        <w:rPr>
          <w:caps w:val="0"/>
          <w:sz w:val="24"/>
          <w:szCs w:val="24"/>
        </w:rPr>
      </w:pPr>
      <w:r>
        <w:rPr>
          <w:caps w:val="0"/>
          <w:sz w:val="24"/>
          <w:szCs w:val="24"/>
        </w:rPr>
        <w:t>Introduction</w:t>
      </w:r>
    </w:p>
    <w:p w14:paraId="339B7B51" w14:textId="5FD00EB6" w:rsidR="004B451F" w:rsidRDefault="004B451F" w:rsidP="004B451F">
      <w:pPr>
        <w:pStyle w:val="Heading1"/>
        <w:numPr>
          <w:ilvl w:val="0"/>
          <w:numId w:val="21"/>
        </w:numPr>
      </w:pPr>
      <w:r>
        <w:t>Since the adoption of the Kigali Amendment at the Twenty-eighth Meeting of the Parties to the Montreal Protocol in 2016, the Executive Committee has been working on developing guidelines for financing the phase-down of hydrofluorocarbon (HFC) consumption and production, including cost</w:t>
      </w:r>
      <w:r>
        <w:noBreakHyphen/>
        <w:t>effectiveness thresholds, and the Secretariat has produced a number of documents to assist the Committee in its ongoing deliberations. In line with decisions XXVIII/2 and XXX/4,</w:t>
      </w:r>
      <w:r>
        <w:rPr>
          <w:vertAlign w:val="superscript"/>
        </w:rPr>
        <w:footnoteReference w:id="2"/>
      </w:r>
      <w:r>
        <w:t xml:space="preserve"> the Executive Committee provides the Parties with annual updates on progress in its discussions and will present the draft guidelines developed for the Parties’ views and input before their finalization.</w:t>
      </w:r>
      <w:r w:rsidR="000770D0">
        <w:t xml:space="preserve"> </w:t>
      </w:r>
      <w:r w:rsidR="0095296D">
        <w:t>I</w:t>
      </w:r>
      <w:r w:rsidR="000770D0">
        <w:t>nformation on the discussions between the 80</w:t>
      </w:r>
      <w:r w:rsidR="000770D0" w:rsidRPr="00B84DC1">
        <w:rPr>
          <w:vertAlign w:val="superscript"/>
        </w:rPr>
        <w:t>th</w:t>
      </w:r>
      <w:r w:rsidR="000770D0">
        <w:t xml:space="preserve"> and the 9</w:t>
      </w:r>
      <w:r w:rsidR="00EA3E3F">
        <w:t>1</w:t>
      </w:r>
      <w:r w:rsidR="00EA3E3F" w:rsidRPr="00B84DC1">
        <w:rPr>
          <w:vertAlign w:val="superscript"/>
        </w:rPr>
        <w:t>st</w:t>
      </w:r>
      <w:r w:rsidR="00EA3E3F">
        <w:t xml:space="preserve"> </w:t>
      </w:r>
      <w:r w:rsidR="000770D0">
        <w:t>meetings can be found in document</w:t>
      </w:r>
      <w:r w:rsidR="00766468">
        <w:t> </w:t>
      </w:r>
      <w:r w:rsidR="000770D0">
        <w:t>UNEP/OzL.Pro/ExCom/94/60.</w:t>
      </w:r>
    </w:p>
    <w:p w14:paraId="259914C4" w14:textId="681BAC20" w:rsidR="004B451F" w:rsidRDefault="004B451F" w:rsidP="004B451F">
      <w:pPr>
        <w:pStyle w:val="Heading1"/>
        <w:numPr>
          <w:ilvl w:val="0"/>
          <w:numId w:val="21"/>
        </w:numPr>
      </w:pPr>
      <w:r>
        <w:t>At the 92</w:t>
      </w:r>
      <w:r>
        <w:rPr>
          <w:vertAlign w:val="superscript"/>
        </w:rPr>
        <w:t>nd</w:t>
      </w:r>
      <w:r>
        <w:t xml:space="preserve"> </w:t>
      </w:r>
      <w:r w:rsidRPr="005E321B">
        <w:t xml:space="preserve">meeting, </w:t>
      </w:r>
      <w:r w:rsidR="005E2FFC" w:rsidRPr="005E321B">
        <w:t>the contact group</w:t>
      </w:r>
      <w:r w:rsidR="000770D0">
        <w:t xml:space="preserve"> established to discuss the cost guidelines</w:t>
      </w:r>
      <w:r w:rsidR="005E2FFC" w:rsidRPr="005E321B">
        <w:t xml:space="preserve"> </w:t>
      </w:r>
      <w:r w:rsidR="00E1542E">
        <w:t>considered</w:t>
      </w:r>
      <w:r w:rsidR="005E2FFC" w:rsidRPr="005E321B">
        <w:t xml:space="preserve"> </w:t>
      </w:r>
      <w:r w:rsidR="005E321B" w:rsidRPr="005E321B">
        <w:t xml:space="preserve">the cost-effectiveness thresholds, </w:t>
      </w:r>
      <w:r w:rsidR="005E2FFC" w:rsidRPr="005E321B">
        <w:t>the starting point for sustained aggregate reductions in HFC consumption based on the information</w:t>
      </w:r>
      <w:r w:rsidR="009134B7" w:rsidRPr="005E321B">
        <w:t xml:space="preserve"> </w:t>
      </w:r>
      <w:r w:rsidRPr="005E321B">
        <w:t xml:space="preserve">presented in document UNEP/OzL.Pro/ExCom/92/46, </w:t>
      </w:r>
      <w:r w:rsidR="005E2FFC" w:rsidRPr="005E321B">
        <w:t>and the definition of SMEs in the commercial AC and refrigeration manufacturing sectors based on the information presented in document</w:t>
      </w:r>
      <w:r w:rsidR="00272EC1">
        <w:t> </w:t>
      </w:r>
      <w:r w:rsidR="005E2FFC" w:rsidRPr="005E321B">
        <w:t>UNEP/OzL.Pro/ExCom/92/45</w:t>
      </w:r>
      <w:r w:rsidR="007D3350">
        <w:t xml:space="preserve"> </w:t>
      </w:r>
      <w:r w:rsidR="0043649D">
        <w:t>(</w:t>
      </w:r>
      <w:r w:rsidR="005E2FFC" w:rsidRPr="005E321B">
        <w:t>reproduced in section II of the present document</w:t>
      </w:r>
      <w:r w:rsidR="0043649D">
        <w:t>)</w:t>
      </w:r>
      <w:r w:rsidRPr="005E321B">
        <w:t>.</w:t>
      </w:r>
      <w:r w:rsidR="00785B63">
        <w:t xml:space="preserve"> </w:t>
      </w:r>
      <w:r w:rsidR="007C4C4F">
        <w:t>A</w:t>
      </w:r>
      <w:r>
        <w:t xml:space="preserve"> separate contact group established to discuss the modalities and levels of funding for the refrigeration servicing sector reached an agreement on the matter</w:t>
      </w:r>
      <w:r w:rsidR="00497386">
        <w:t>, as reflected in decision 92/37</w:t>
      </w:r>
      <w:r>
        <w:t>.</w:t>
      </w:r>
    </w:p>
    <w:p w14:paraId="01792BE5" w14:textId="2A5FDC92" w:rsidR="008A5466" w:rsidRDefault="004B451F" w:rsidP="008A5466">
      <w:pPr>
        <w:pStyle w:val="Heading1"/>
      </w:pPr>
      <w:r>
        <w:lastRenderedPageBreak/>
        <w:t>At the 93</w:t>
      </w:r>
      <w:r>
        <w:rPr>
          <w:vertAlign w:val="superscript"/>
        </w:rPr>
        <w:t>rd</w:t>
      </w:r>
      <w:r>
        <w:t xml:space="preserve"> meeting, two separate proposals on outstanding elements of the HFC cost guidelines were put forward in the contact group, one by non-Article 5 countries and the other by Article 5 countries. In addition, the Government of Australia submitted a proposal related to the starting point. Regarding the cost</w:t>
      </w:r>
      <w:r>
        <w:noBreakHyphen/>
        <w:t>effectiveness thresholds, some non-Article 5 countries suggested that an extra percentage bonus might be provided to encourage the transition to alternatives with zero or low global</w:t>
      </w:r>
      <w:r>
        <w:noBreakHyphen/>
        <w:t xml:space="preserve">warming potential (GWP). </w:t>
      </w:r>
      <w:r w:rsidR="009D452C">
        <w:t>T</w:t>
      </w:r>
      <w:r w:rsidR="008A5466" w:rsidRPr="002578AB">
        <w:t>he Executive Committee agreed to continue consideration of the matter at the 94</w:t>
      </w:r>
      <w:r w:rsidR="008A5466" w:rsidRPr="002578AB">
        <w:rPr>
          <w:vertAlign w:val="superscript"/>
        </w:rPr>
        <w:t>th</w:t>
      </w:r>
      <w:r w:rsidR="008A5466" w:rsidRPr="002578AB">
        <w:t xml:space="preserve"> meeting using the working documents set out in annex</w:t>
      </w:r>
      <w:r w:rsidR="008A5466">
        <w:t> </w:t>
      </w:r>
      <w:r w:rsidR="008A5466" w:rsidRPr="002578AB">
        <w:t>LXII to the report of the 93</w:t>
      </w:r>
      <w:r w:rsidR="008A5466" w:rsidRPr="002578AB">
        <w:rPr>
          <w:vertAlign w:val="superscript"/>
        </w:rPr>
        <w:t>rd</w:t>
      </w:r>
      <w:r w:rsidR="008A5466" w:rsidRPr="002578AB">
        <w:t xml:space="preserve"> meeting</w:t>
      </w:r>
      <w:r w:rsidR="008A5466" w:rsidRPr="00D21310">
        <w:t>.</w:t>
      </w:r>
    </w:p>
    <w:p w14:paraId="209596B5" w14:textId="7538D77C" w:rsidR="008A5466" w:rsidRPr="009B0C3E" w:rsidRDefault="009B0C3E" w:rsidP="008A5466">
      <w:pPr>
        <w:pStyle w:val="Heading1"/>
        <w:rPr>
          <w:lang w:val="en-GB"/>
        </w:rPr>
      </w:pPr>
      <w:r w:rsidRPr="009B0C3E">
        <w:rPr>
          <w:lang w:val="en-GB"/>
        </w:rPr>
        <w:t>At the 94</w:t>
      </w:r>
      <w:r w:rsidRPr="009B0C3E">
        <w:rPr>
          <w:vertAlign w:val="superscript"/>
          <w:lang w:val="en-GB"/>
        </w:rPr>
        <w:t>th</w:t>
      </w:r>
      <w:r w:rsidRPr="009B0C3E">
        <w:rPr>
          <w:lang w:val="en-GB"/>
        </w:rPr>
        <w:t xml:space="preserve"> meeting, the contact group discussed the</w:t>
      </w:r>
      <w:r w:rsidR="003E75C3">
        <w:rPr>
          <w:lang w:val="en-GB"/>
        </w:rPr>
        <w:t xml:space="preserve"> </w:t>
      </w:r>
      <w:r w:rsidRPr="009B0C3E">
        <w:rPr>
          <w:lang w:val="en-GB"/>
        </w:rPr>
        <w:t>proposals on outstanding elements of the HFC cost guidelines put forward at the 93</w:t>
      </w:r>
      <w:r w:rsidRPr="009B0C3E">
        <w:rPr>
          <w:vertAlign w:val="superscript"/>
          <w:lang w:val="en-GB"/>
        </w:rPr>
        <w:t>rd</w:t>
      </w:r>
      <w:r w:rsidRPr="009B0C3E">
        <w:rPr>
          <w:lang w:val="en-GB"/>
        </w:rPr>
        <w:t xml:space="preserve"> meeting by non-Article 5 countries and Article 5 countries.</w:t>
      </w:r>
      <w:r w:rsidR="00C27A56">
        <w:rPr>
          <w:lang w:val="en-GB"/>
        </w:rPr>
        <w:t xml:space="preserve"> </w:t>
      </w:r>
      <w:r w:rsidR="008D500C">
        <w:t>T</w:t>
      </w:r>
      <w:r w:rsidR="00900EE5" w:rsidRPr="00A04B83">
        <w:t xml:space="preserve">he issue of cost elements </w:t>
      </w:r>
      <w:r w:rsidR="00900EE5">
        <w:t>was</w:t>
      </w:r>
      <w:r w:rsidR="00900EE5" w:rsidRPr="00A04B83">
        <w:t xml:space="preserve"> discussed in a smaller group consisting of representatives of four Article 5 Parties and four non-Article 5 Parties</w:t>
      </w:r>
      <w:r w:rsidR="00900EE5">
        <w:t xml:space="preserve"> and</w:t>
      </w:r>
      <w:r w:rsidR="00900EE5">
        <w:rPr>
          <w:lang w:val="en-GB"/>
        </w:rPr>
        <w:t xml:space="preserve"> </w:t>
      </w:r>
      <w:r w:rsidR="00A772D0">
        <w:rPr>
          <w:lang w:val="en-GB"/>
        </w:rPr>
        <w:t xml:space="preserve">the contact group prepared a </w:t>
      </w:r>
      <w:r w:rsidR="00472332">
        <w:rPr>
          <w:lang w:val="en-GB"/>
        </w:rPr>
        <w:t>final consolidated working document with the latest proposals</w:t>
      </w:r>
      <w:r w:rsidR="00E649E7">
        <w:rPr>
          <w:lang w:val="en-GB"/>
        </w:rPr>
        <w:t xml:space="preserve"> on cost-</w:t>
      </w:r>
      <w:r w:rsidR="00247837">
        <w:rPr>
          <w:lang w:val="en-GB"/>
        </w:rPr>
        <w:t>effectiveness</w:t>
      </w:r>
      <w:r w:rsidR="00E649E7">
        <w:rPr>
          <w:lang w:val="en-GB"/>
        </w:rPr>
        <w:t xml:space="preserve"> thresholds and </w:t>
      </w:r>
      <w:r w:rsidR="00C931CC">
        <w:rPr>
          <w:lang w:val="en-GB"/>
        </w:rPr>
        <w:t>incremental operating costs (</w:t>
      </w:r>
      <w:r w:rsidR="00E649E7">
        <w:rPr>
          <w:lang w:val="en-GB"/>
        </w:rPr>
        <w:t>IOCs</w:t>
      </w:r>
      <w:r w:rsidR="00C931CC">
        <w:rPr>
          <w:lang w:val="en-GB"/>
        </w:rPr>
        <w:t>)</w:t>
      </w:r>
      <w:r w:rsidR="0057290F">
        <w:rPr>
          <w:lang w:val="en-GB"/>
        </w:rPr>
        <w:t>,</w:t>
      </w:r>
      <w:r w:rsidR="00B14B30">
        <w:rPr>
          <w:lang w:val="en-GB"/>
        </w:rPr>
        <w:t xml:space="preserve"> and</w:t>
      </w:r>
      <w:r w:rsidR="00551404">
        <w:rPr>
          <w:lang w:val="en-GB"/>
        </w:rPr>
        <w:t xml:space="preserve"> the values agreed so far</w:t>
      </w:r>
      <w:r w:rsidR="003E75C3">
        <w:rPr>
          <w:lang w:val="en-GB"/>
        </w:rPr>
        <w:t xml:space="preserve">, </w:t>
      </w:r>
      <w:r w:rsidR="00DC38B2">
        <w:rPr>
          <w:lang w:val="en-GB"/>
        </w:rPr>
        <w:t>included as annex</w:t>
      </w:r>
      <w:r w:rsidR="00A851B0">
        <w:rPr>
          <w:lang w:val="en-GB"/>
        </w:rPr>
        <w:t> </w:t>
      </w:r>
      <w:r w:rsidR="00DC38B2">
        <w:rPr>
          <w:lang w:val="en-GB"/>
        </w:rPr>
        <w:t>I to the present document</w:t>
      </w:r>
      <w:r w:rsidR="00F948B0">
        <w:rPr>
          <w:lang w:val="en-GB"/>
        </w:rPr>
        <w:t>. Th</w:t>
      </w:r>
      <w:r w:rsidR="00FF216A">
        <w:rPr>
          <w:lang w:val="en-GB"/>
        </w:rPr>
        <w:t>e</w:t>
      </w:r>
      <w:r w:rsidR="00F948B0">
        <w:rPr>
          <w:lang w:val="en-GB"/>
        </w:rPr>
        <w:t xml:space="preserve"> table </w:t>
      </w:r>
      <w:r w:rsidR="00FF216A">
        <w:rPr>
          <w:lang w:val="en-GB"/>
        </w:rPr>
        <w:t xml:space="preserve">contained therein </w:t>
      </w:r>
      <w:r w:rsidR="00E93F05">
        <w:rPr>
          <w:lang w:val="en-GB"/>
        </w:rPr>
        <w:t>was the</w:t>
      </w:r>
      <w:r w:rsidR="00F948B0">
        <w:rPr>
          <w:lang w:val="en-GB"/>
        </w:rPr>
        <w:t xml:space="preserve"> result of </w:t>
      </w:r>
      <w:r w:rsidR="00247837">
        <w:rPr>
          <w:lang w:val="en-GB"/>
        </w:rPr>
        <w:t>the discussions o</w:t>
      </w:r>
      <w:r w:rsidR="00547FDC">
        <w:rPr>
          <w:lang w:val="en-GB"/>
        </w:rPr>
        <w:t>f p</w:t>
      </w:r>
      <w:r w:rsidR="00A95599">
        <w:rPr>
          <w:lang w:val="en-GB"/>
        </w:rPr>
        <w:t>revious proposals</w:t>
      </w:r>
      <w:r w:rsidR="00547FDC">
        <w:rPr>
          <w:lang w:val="en-GB"/>
        </w:rPr>
        <w:t xml:space="preserve"> provided during the week by </w:t>
      </w:r>
      <w:r w:rsidR="00A95599">
        <w:rPr>
          <w:lang w:val="en-GB"/>
        </w:rPr>
        <w:t>non-Article 5 countries</w:t>
      </w:r>
      <w:r w:rsidR="00547FDC">
        <w:rPr>
          <w:lang w:val="en-GB"/>
        </w:rPr>
        <w:t xml:space="preserve"> </w:t>
      </w:r>
      <w:r w:rsidR="00A95599">
        <w:rPr>
          <w:lang w:val="en-GB"/>
        </w:rPr>
        <w:t>and Article 5 countries</w:t>
      </w:r>
      <w:r w:rsidR="00473C90">
        <w:rPr>
          <w:lang w:val="en-GB"/>
        </w:rPr>
        <w:t xml:space="preserve">, </w:t>
      </w:r>
      <w:r w:rsidR="007F55F1">
        <w:rPr>
          <w:lang w:val="en-GB"/>
        </w:rPr>
        <w:t>attached</w:t>
      </w:r>
      <w:r w:rsidR="00473C90">
        <w:rPr>
          <w:lang w:val="en-GB"/>
        </w:rPr>
        <w:t xml:space="preserve"> for reference as annexes II and III</w:t>
      </w:r>
      <w:r w:rsidR="00A237FC">
        <w:rPr>
          <w:lang w:val="en-GB"/>
        </w:rPr>
        <w:t xml:space="preserve"> to the present document</w:t>
      </w:r>
      <w:r w:rsidR="00473C90">
        <w:rPr>
          <w:lang w:val="en-GB"/>
        </w:rPr>
        <w:t>, respectively.</w:t>
      </w:r>
      <w:r w:rsidR="00E93F05">
        <w:rPr>
          <w:lang w:val="en-GB"/>
        </w:rPr>
        <w:t xml:space="preserve"> </w:t>
      </w:r>
      <w:r w:rsidR="00DD1720">
        <w:t>T</w:t>
      </w:r>
      <w:r w:rsidR="004E0423" w:rsidRPr="004E0423">
        <w:t xml:space="preserve">he </w:t>
      </w:r>
      <w:r w:rsidR="00947A09">
        <w:t xml:space="preserve">contact </w:t>
      </w:r>
      <w:r w:rsidR="004E0423" w:rsidRPr="004E0423">
        <w:t>group agreed for the domestic refrigeration sector</w:t>
      </w:r>
      <w:r w:rsidR="00700B78">
        <w:t xml:space="preserve"> to maintain </w:t>
      </w:r>
      <w:r w:rsidR="004E0423" w:rsidRPr="004E0423">
        <w:t>the previou</w:t>
      </w:r>
      <w:r w:rsidR="00900EE5">
        <w:t>s</w:t>
      </w:r>
      <w:r w:rsidR="004E0423" w:rsidRPr="004E0423">
        <w:t xml:space="preserve">ly agreed cost-effectiveness threshold of </w:t>
      </w:r>
      <w:r w:rsidR="004E3C37">
        <w:t>US $</w:t>
      </w:r>
      <w:r w:rsidR="004E0423" w:rsidRPr="004E0423">
        <w:t xml:space="preserve">13.76 per kilogram </w:t>
      </w:r>
      <w:r w:rsidR="00731061">
        <w:t xml:space="preserve">and </w:t>
      </w:r>
      <w:r w:rsidR="004E0423" w:rsidRPr="004E0423">
        <w:t xml:space="preserve">a value of </w:t>
      </w:r>
      <w:r w:rsidR="004E3C37">
        <w:t>US $</w:t>
      </w:r>
      <w:r w:rsidR="004E0423" w:rsidRPr="004E0423">
        <w:t>5.75 per kilogram</w:t>
      </w:r>
      <w:r w:rsidR="00731061">
        <w:t xml:space="preserve"> for the IOCs</w:t>
      </w:r>
      <w:r w:rsidR="004E0423" w:rsidRPr="004E0423">
        <w:t xml:space="preserve">. </w:t>
      </w:r>
      <w:r w:rsidR="00731061">
        <w:t xml:space="preserve">For the </w:t>
      </w:r>
      <w:r w:rsidR="004E0423" w:rsidRPr="004E0423">
        <w:t xml:space="preserve">commercial refrigeration sector, the IOCs </w:t>
      </w:r>
      <w:r w:rsidR="004C36A0">
        <w:t>w</w:t>
      </w:r>
      <w:r w:rsidR="004A045C">
        <w:t>ere</w:t>
      </w:r>
      <w:r w:rsidR="004E0423" w:rsidRPr="004E0423">
        <w:t xml:space="preserve"> agreed at </w:t>
      </w:r>
      <w:r w:rsidR="004E3C37">
        <w:t>US $</w:t>
      </w:r>
      <w:r w:rsidR="004E0423" w:rsidRPr="004E0423">
        <w:t xml:space="preserve">5.50 per kilogram. For the </w:t>
      </w:r>
      <w:r w:rsidR="00801B41">
        <w:t>polyurethane (</w:t>
      </w:r>
      <w:r w:rsidR="004E0423" w:rsidRPr="004E0423">
        <w:t>PU</w:t>
      </w:r>
      <w:r w:rsidR="00801B41">
        <w:t>)</w:t>
      </w:r>
      <w:r w:rsidR="004E0423" w:rsidRPr="004E0423">
        <w:t xml:space="preserve"> foam sector, </w:t>
      </w:r>
      <w:r w:rsidR="00536247" w:rsidRPr="004E0423">
        <w:t xml:space="preserve">the previously agreed cost-effectiveness threshold of </w:t>
      </w:r>
      <w:r w:rsidR="004E3C37">
        <w:t>US $</w:t>
      </w:r>
      <w:r w:rsidR="00536247" w:rsidRPr="004E0423">
        <w:t xml:space="preserve">9.00 per kilogram </w:t>
      </w:r>
      <w:r w:rsidR="00536247">
        <w:t>was maintained an</w:t>
      </w:r>
      <w:r w:rsidR="00AD27CE">
        <w:t>d</w:t>
      </w:r>
      <w:r w:rsidR="00536247">
        <w:t xml:space="preserve"> </w:t>
      </w:r>
      <w:r w:rsidR="004E0423" w:rsidRPr="004E0423">
        <w:t xml:space="preserve">the IOCs </w:t>
      </w:r>
      <w:r w:rsidR="004C36A0">
        <w:t>were</w:t>
      </w:r>
      <w:r w:rsidR="004E0423" w:rsidRPr="004E0423">
        <w:t xml:space="preserve"> agreed at </w:t>
      </w:r>
      <w:r w:rsidR="004E3C37">
        <w:t>US $</w:t>
      </w:r>
      <w:r w:rsidR="004E0423" w:rsidRPr="004E0423">
        <w:t xml:space="preserve">5.20 per kilogram. Discussions </w:t>
      </w:r>
      <w:r w:rsidR="00EB236F">
        <w:t xml:space="preserve">related to </w:t>
      </w:r>
      <w:r w:rsidR="00EB236F" w:rsidRPr="004E0423">
        <w:t>large enterprises in the</w:t>
      </w:r>
      <w:r w:rsidR="00EB236F">
        <w:t xml:space="preserve"> s</w:t>
      </w:r>
      <w:r w:rsidR="00EB236F" w:rsidRPr="004E0423">
        <w:t>tationary air-</w:t>
      </w:r>
      <w:r w:rsidR="00EB236F" w:rsidRPr="009E59DC">
        <w:t>conditioning sector,</w:t>
      </w:r>
      <w:r w:rsidR="00EB198D" w:rsidRPr="009E59DC">
        <w:t xml:space="preserve"> definition and special </w:t>
      </w:r>
      <w:r w:rsidR="00B1239E" w:rsidRPr="009E59DC">
        <w:t xml:space="preserve">funding </w:t>
      </w:r>
      <w:r w:rsidR="00EB198D" w:rsidRPr="009E59DC">
        <w:t>consideration</w:t>
      </w:r>
      <w:r w:rsidR="00B1239E" w:rsidRPr="009E59DC">
        <w:t>s</w:t>
      </w:r>
      <w:r w:rsidR="00EB198D" w:rsidRPr="009E59DC">
        <w:t xml:space="preserve"> for</w:t>
      </w:r>
      <w:r w:rsidR="00EB236F" w:rsidRPr="009E59DC">
        <w:t xml:space="preserve"> SMEs and the starting point </w:t>
      </w:r>
      <w:r w:rsidR="004E0423" w:rsidRPr="009E59DC">
        <w:t>would need t</w:t>
      </w:r>
      <w:r w:rsidR="004E0423" w:rsidRPr="004E0423">
        <w:t>o continue at the 95</w:t>
      </w:r>
      <w:r w:rsidR="004E0423" w:rsidRPr="00172F33">
        <w:rPr>
          <w:vertAlign w:val="superscript"/>
        </w:rPr>
        <w:t>th</w:t>
      </w:r>
      <w:r w:rsidR="001301CD">
        <w:t xml:space="preserve"> </w:t>
      </w:r>
      <w:r w:rsidR="004E0423" w:rsidRPr="004E0423">
        <w:t>meeting</w:t>
      </w:r>
      <w:r w:rsidR="00BA04E2">
        <w:t>.</w:t>
      </w:r>
      <w:r w:rsidR="004E0423" w:rsidRPr="004E0423">
        <w:t xml:space="preserve"> The Executive Committee agreed to continue, at its 95</w:t>
      </w:r>
      <w:r w:rsidR="004E0423" w:rsidRPr="00BA04E2">
        <w:rPr>
          <w:vertAlign w:val="superscript"/>
        </w:rPr>
        <w:t>th</w:t>
      </w:r>
      <w:r w:rsidR="00BA04E2">
        <w:t xml:space="preserve"> </w:t>
      </w:r>
      <w:r w:rsidR="004E0423" w:rsidRPr="004E0423">
        <w:t xml:space="preserve">meeting, consideration of the draft guidelines for funding the phase-down of HFCs in Article 5 countries, including consideration of operationalizing paragraph 24 of decision XXVIII/2, using the working documents set out in annex XLVI to the </w:t>
      </w:r>
      <w:r w:rsidR="00C05A2A">
        <w:t xml:space="preserve">final </w:t>
      </w:r>
      <w:r w:rsidR="004E0423" w:rsidRPr="004E0423">
        <w:t>report</w:t>
      </w:r>
      <w:r w:rsidR="00C05A2A">
        <w:t xml:space="preserve"> of the 94</w:t>
      </w:r>
      <w:r w:rsidR="00C05A2A" w:rsidRPr="00C05A2A">
        <w:rPr>
          <w:vertAlign w:val="superscript"/>
        </w:rPr>
        <w:t>th</w:t>
      </w:r>
      <w:r w:rsidR="00C05A2A">
        <w:t xml:space="preserve"> meeting</w:t>
      </w:r>
      <w:r w:rsidR="004E0423" w:rsidRPr="004E0423">
        <w:t>.</w:t>
      </w:r>
    </w:p>
    <w:p w14:paraId="2DB11BA4" w14:textId="1474B07F" w:rsidR="004B451F" w:rsidRDefault="004B451F" w:rsidP="008A5466">
      <w:pPr>
        <w:pStyle w:val="Heading1"/>
        <w:numPr>
          <w:ilvl w:val="0"/>
          <w:numId w:val="21"/>
        </w:numPr>
        <w:rPr>
          <w:lang w:val="en-GB"/>
        </w:rPr>
      </w:pPr>
      <w:r>
        <w:t>The documents issued for the consideration of the Executive Committee at the 9</w:t>
      </w:r>
      <w:r w:rsidR="00AD27CE">
        <w:t>5</w:t>
      </w:r>
      <w:r>
        <w:rPr>
          <w:vertAlign w:val="superscript"/>
        </w:rPr>
        <w:t>th</w:t>
      </w:r>
      <w:r>
        <w:t> meeting are:</w:t>
      </w:r>
    </w:p>
    <w:p w14:paraId="7E7E3B84" w14:textId="77777777" w:rsidR="004B451F" w:rsidRDefault="004B451F" w:rsidP="004B451F">
      <w:pPr>
        <w:pStyle w:val="Heading2"/>
        <w:widowControl/>
        <w:numPr>
          <w:ilvl w:val="1"/>
          <w:numId w:val="21"/>
        </w:numPr>
      </w:pPr>
      <w:r>
        <w:t>Working texts on:</w:t>
      </w:r>
    </w:p>
    <w:p w14:paraId="1AC3ABCD" w14:textId="306541F3" w:rsidR="00FD3C14" w:rsidRDefault="00FD3C14" w:rsidP="004B451F">
      <w:pPr>
        <w:pStyle w:val="Heading3"/>
        <w:widowControl/>
        <w:numPr>
          <w:ilvl w:val="2"/>
          <w:numId w:val="21"/>
        </w:numPr>
      </w:pPr>
      <w:r>
        <w:t>Final Article 5 and non-Article 5 proposals</w:t>
      </w:r>
      <w:r w:rsidR="00FC7D6A">
        <w:t xml:space="preserve"> </w:t>
      </w:r>
      <w:r w:rsidR="00FC7D6A" w:rsidRPr="008A6839">
        <w:t>as of the 94</w:t>
      </w:r>
      <w:r w:rsidR="00FC7D6A" w:rsidRPr="008A6839">
        <w:rPr>
          <w:vertAlign w:val="superscript"/>
        </w:rPr>
        <w:t>th</w:t>
      </w:r>
      <w:r w:rsidR="00FC7D6A" w:rsidRPr="008A6839">
        <w:t xml:space="preserve"> meeting</w:t>
      </w:r>
      <w:r>
        <w:t xml:space="preserve"> for large enterprises and IOCs</w:t>
      </w:r>
      <w:r w:rsidR="000E29F2">
        <w:t xml:space="preserve"> (annex</w:t>
      </w:r>
      <w:r w:rsidR="000630AE">
        <w:t> </w:t>
      </w:r>
      <w:r w:rsidR="000E29F2">
        <w:t>I);</w:t>
      </w:r>
    </w:p>
    <w:p w14:paraId="4BBE2818" w14:textId="719634A0" w:rsidR="004B451F" w:rsidRDefault="000E29F2" w:rsidP="004B451F">
      <w:pPr>
        <w:pStyle w:val="Heading3"/>
        <w:widowControl/>
        <w:numPr>
          <w:ilvl w:val="2"/>
          <w:numId w:val="21"/>
        </w:numPr>
      </w:pPr>
      <w:r>
        <w:t>Previous</w:t>
      </w:r>
      <w:r w:rsidR="004B451F">
        <w:t xml:space="preserve"> proposals </w:t>
      </w:r>
      <w:r>
        <w:t>made during the 94</w:t>
      </w:r>
      <w:r w:rsidRPr="000E29F2">
        <w:rPr>
          <w:vertAlign w:val="superscript"/>
        </w:rPr>
        <w:t>th</w:t>
      </w:r>
      <w:r>
        <w:t xml:space="preserve"> meeting </w:t>
      </w:r>
      <w:r w:rsidR="004B451F">
        <w:t>by non-Article 5 countries and Article 5 countries on the outstanding elements of the cost guidelines</w:t>
      </w:r>
      <w:r w:rsidR="00990812">
        <w:t>, for reference</w:t>
      </w:r>
      <w:r w:rsidR="004B451F">
        <w:t xml:space="preserve"> </w:t>
      </w:r>
      <w:r w:rsidR="00C227CB">
        <w:t xml:space="preserve">only </w:t>
      </w:r>
      <w:r w:rsidR="004B451F">
        <w:t>(annexes</w:t>
      </w:r>
      <w:r w:rsidR="000630AE">
        <w:t> </w:t>
      </w:r>
      <w:r w:rsidR="004B451F">
        <w:t>I</w:t>
      </w:r>
      <w:r w:rsidR="00600407">
        <w:t>I</w:t>
      </w:r>
      <w:r w:rsidR="004B451F">
        <w:t xml:space="preserve"> and II</w:t>
      </w:r>
      <w:r w:rsidR="00600407">
        <w:t>I</w:t>
      </w:r>
      <w:r w:rsidR="004B451F">
        <w:t>, respectively);</w:t>
      </w:r>
    </w:p>
    <w:p w14:paraId="59150559" w14:textId="3EBCC7CF" w:rsidR="004B451F" w:rsidRDefault="004B451F" w:rsidP="004B451F">
      <w:pPr>
        <w:pStyle w:val="Heading3"/>
        <w:numPr>
          <w:ilvl w:val="2"/>
          <w:numId w:val="21"/>
        </w:numPr>
      </w:pPr>
      <w:r>
        <w:t>The definition of small- and medium-sized enterprises (annex I</w:t>
      </w:r>
      <w:r w:rsidR="00600407">
        <w:t>V</w:t>
      </w:r>
      <w:r>
        <w:t>);</w:t>
      </w:r>
    </w:p>
    <w:p w14:paraId="167AFF00" w14:textId="1B77D04D" w:rsidR="004B451F" w:rsidRDefault="004B451F" w:rsidP="004B451F">
      <w:pPr>
        <w:pStyle w:val="Heading3"/>
        <w:widowControl/>
        <w:numPr>
          <w:ilvl w:val="2"/>
          <w:numId w:val="21"/>
        </w:numPr>
      </w:pPr>
      <w:r>
        <w:t>The starting point for sustained reductions in HFC consumption submitted by the Government of Australia (annex V);</w:t>
      </w:r>
    </w:p>
    <w:p w14:paraId="0A1FF598" w14:textId="15B5A615" w:rsidR="004B451F" w:rsidRPr="00011B64" w:rsidRDefault="004B451F" w:rsidP="00F354E8">
      <w:pPr>
        <w:pStyle w:val="Heading2"/>
        <w:widowControl/>
        <w:numPr>
          <w:ilvl w:val="1"/>
          <w:numId w:val="21"/>
        </w:numPr>
        <w:spacing w:before="240"/>
        <w:rPr>
          <w:lang w:val="en-GB"/>
        </w:rPr>
      </w:pPr>
      <w:r>
        <w:t>The draft template of the cost guidelines, first adopted at the 78</w:t>
      </w:r>
      <w:r w:rsidRPr="00011B64">
        <w:rPr>
          <w:vertAlign w:val="superscript"/>
        </w:rPr>
        <w:t>th</w:t>
      </w:r>
      <w:r>
        <w:t xml:space="preserve"> meeting, and updated as of the 9</w:t>
      </w:r>
      <w:r w:rsidR="00600407">
        <w:t>4</w:t>
      </w:r>
      <w:r w:rsidR="00600407" w:rsidRPr="00011B64">
        <w:rPr>
          <w:vertAlign w:val="superscript"/>
        </w:rPr>
        <w:t>th</w:t>
      </w:r>
      <w:r>
        <w:t xml:space="preserve"> meeting (annex V</w:t>
      </w:r>
      <w:r w:rsidR="00BC4C80">
        <w:t>I</w:t>
      </w:r>
      <w:r>
        <w:t>);</w:t>
      </w:r>
      <w:r w:rsidR="00011B64">
        <w:t xml:space="preserve"> </w:t>
      </w:r>
      <w:r w:rsidRPr="00011B64">
        <w:rPr>
          <w:lang w:val="en-GB"/>
        </w:rPr>
        <w:t>and</w:t>
      </w:r>
    </w:p>
    <w:p w14:paraId="071D8B95" w14:textId="3020D1D7" w:rsidR="004B451F" w:rsidRDefault="004B451F" w:rsidP="004B451F">
      <w:pPr>
        <w:pStyle w:val="Heading2"/>
        <w:widowControl/>
        <w:numPr>
          <w:ilvl w:val="1"/>
          <w:numId w:val="21"/>
        </w:numPr>
        <w:rPr>
          <w:lang w:val="en-GB"/>
        </w:rPr>
      </w:pPr>
      <w:r>
        <w:t>The paper on the starting point for sustained aggregate reductions, prepared for the 92</w:t>
      </w:r>
      <w:r>
        <w:rPr>
          <w:vertAlign w:val="superscript"/>
        </w:rPr>
        <w:t>nd</w:t>
      </w:r>
      <w:r>
        <w:t> meeting,</w:t>
      </w:r>
      <w:r>
        <w:rPr>
          <w:rStyle w:val="FootnoteReference"/>
        </w:rPr>
        <w:footnoteReference w:id="3"/>
      </w:r>
      <w:r>
        <w:t xml:space="preserve"> discussed in the contact group on the cost guidelines for the phase</w:t>
      </w:r>
      <w:r>
        <w:noBreakHyphen/>
        <w:t>down of HFCs and reissued at the 93</w:t>
      </w:r>
      <w:r>
        <w:rPr>
          <w:vertAlign w:val="superscript"/>
        </w:rPr>
        <w:t>rd</w:t>
      </w:r>
      <w:r>
        <w:t xml:space="preserve"> meeting as document UNEP/OzL.Pro/ExCom/93/97</w:t>
      </w:r>
      <w:r w:rsidR="00874E3A">
        <w:t>,</w:t>
      </w:r>
      <w:r w:rsidR="00EE405D">
        <w:t xml:space="preserve"> </w:t>
      </w:r>
      <w:r w:rsidR="00FE01BA">
        <w:t>will be available as b</w:t>
      </w:r>
      <w:r w:rsidR="001565F9">
        <w:t xml:space="preserve">ackground document for this meeting. </w:t>
      </w:r>
    </w:p>
    <w:p w14:paraId="138091EC" w14:textId="77777777" w:rsidR="004B451F" w:rsidRDefault="004B451F" w:rsidP="004B451F">
      <w:pPr>
        <w:pStyle w:val="Heading1"/>
        <w:numPr>
          <w:ilvl w:val="0"/>
          <w:numId w:val="21"/>
        </w:numPr>
      </w:pPr>
      <w:r>
        <w:lastRenderedPageBreak/>
        <w:t>The present summary of the progress of discussions on HFC phase</w:t>
      </w:r>
      <w:r>
        <w:noBreakHyphen/>
        <w:t>down cost guidelines</w:t>
      </w:r>
      <w:r>
        <w:rPr>
          <w:rStyle w:val="FootnoteReference"/>
        </w:rPr>
        <w:footnoteReference w:id="4"/>
      </w:r>
      <w:r>
        <w:t xml:space="preserve"> consists of the following sections:</w:t>
      </w:r>
    </w:p>
    <w:p w14:paraId="466AC674" w14:textId="77777777" w:rsidR="004B451F" w:rsidRDefault="004B451F" w:rsidP="000C7199">
      <w:pPr>
        <w:spacing w:after="240"/>
        <w:ind w:left="1412" w:hanging="706"/>
      </w:pPr>
      <w:r>
        <w:t>I.</w:t>
      </w:r>
      <w:r>
        <w:tab/>
        <w:t>Progress made and outstanding issues in the development of cost guidelines for the phase</w:t>
      </w:r>
      <w:r>
        <w:noBreakHyphen/>
        <w:t>down of HFCs</w:t>
      </w:r>
    </w:p>
    <w:p w14:paraId="094C2111" w14:textId="77777777" w:rsidR="004B451F" w:rsidRDefault="004B451F" w:rsidP="000C7199">
      <w:pPr>
        <w:spacing w:after="240"/>
        <w:ind w:left="1418" w:hanging="709"/>
      </w:pPr>
      <w:r>
        <w:t>II.</w:t>
      </w:r>
      <w:r>
        <w:tab/>
        <w:t>Information to assist the Executive Committee in defining “small and medium</w:t>
      </w:r>
      <w:r>
        <w:noBreakHyphen/>
        <w:t>sized enterprises” in the commercial air-conditioning manufacturing and commercial refrigeration manufacturing sectors</w:t>
      </w:r>
    </w:p>
    <w:p w14:paraId="489D433F" w14:textId="77777777" w:rsidR="004B451F" w:rsidRDefault="004B451F" w:rsidP="000C7199">
      <w:pPr>
        <w:ind w:left="1418" w:hanging="709"/>
      </w:pPr>
      <w:r>
        <w:t>III.</w:t>
      </w:r>
      <w:r>
        <w:tab/>
        <w:t>Recommendation</w:t>
      </w:r>
    </w:p>
    <w:p w14:paraId="542998F5" w14:textId="77777777" w:rsidR="004B451F" w:rsidRDefault="004B451F" w:rsidP="00E238F5">
      <w:pPr>
        <w:keepNext/>
        <w:spacing w:before="360" w:after="240"/>
        <w:ind w:left="709" w:hanging="709"/>
        <w:rPr>
          <w:b/>
          <w:bCs/>
          <w:sz w:val="24"/>
          <w:szCs w:val="24"/>
        </w:rPr>
      </w:pPr>
      <w:r>
        <w:rPr>
          <w:b/>
          <w:bCs/>
          <w:sz w:val="24"/>
          <w:szCs w:val="24"/>
        </w:rPr>
        <w:t>I.</w:t>
      </w:r>
      <w:r>
        <w:rPr>
          <w:b/>
          <w:bCs/>
          <w:sz w:val="24"/>
          <w:szCs w:val="24"/>
        </w:rPr>
        <w:tab/>
        <w:t>Progress made and outstanding issues in the development of cost guidelines for the phase</w:t>
      </w:r>
      <w:r>
        <w:rPr>
          <w:b/>
          <w:bCs/>
          <w:sz w:val="24"/>
          <w:szCs w:val="24"/>
        </w:rPr>
        <w:noBreakHyphen/>
        <w:t>down of HFCs</w:t>
      </w:r>
    </w:p>
    <w:p w14:paraId="5ADDDD5F" w14:textId="5F7D77B2" w:rsidR="004B451F" w:rsidRDefault="004B451F" w:rsidP="000C7199">
      <w:pPr>
        <w:pStyle w:val="Heading1"/>
        <w:keepNext/>
        <w:numPr>
          <w:ilvl w:val="0"/>
          <w:numId w:val="0"/>
        </w:numPr>
        <w:tabs>
          <w:tab w:val="left" w:pos="720"/>
        </w:tabs>
        <w:ind w:left="709" w:hanging="709"/>
        <w:rPr>
          <w:b/>
          <w:bCs/>
        </w:rPr>
      </w:pPr>
      <w:r>
        <w:rPr>
          <w:b/>
          <w:bCs/>
        </w:rPr>
        <w:t>A.</w:t>
      </w:r>
      <w:r>
        <w:rPr>
          <w:b/>
          <w:bCs/>
        </w:rPr>
        <w:tab/>
      </w:r>
      <w:r w:rsidR="00BA4A30">
        <w:rPr>
          <w:b/>
          <w:bCs/>
        </w:rPr>
        <w:t>S</w:t>
      </w:r>
      <w:r>
        <w:rPr>
          <w:b/>
          <w:bCs/>
        </w:rPr>
        <w:t>tatus of discussions and possible further actions on the HFC phase-down cost guidelines</w:t>
      </w:r>
    </w:p>
    <w:bookmarkEnd w:id="1"/>
    <w:p w14:paraId="0C8274B5" w14:textId="2C498FAE" w:rsidR="004B451F" w:rsidRDefault="004B451F" w:rsidP="000C7199">
      <w:pPr>
        <w:keepNext/>
        <w:keepLines/>
        <w:rPr>
          <w:b/>
          <w:szCs w:val="21"/>
        </w:rPr>
      </w:pPr>
      <w:r>
        <w:rPr>
          <w:b/>
          <w:szCs w:val="21"/>
        </w:rPr>
        <w:t>Table 1. Status of discussions on the HFC phase</w:t>
      </w:r>
      <w:r>
        <w:rPr>
          <w:b/>
          <w:szCs w:val="21"/>
        </w:rPr>
        <w:noBreakHyphen/>
        <w:t xml:space="preserve">down cost </w:t>
      </w:r>
      <w:r>
        <w:rPr>
          <w:rFonts w:ascii="Times New Roman Bold" w:hAnsi="Times New Roman Bold"/>
          <w:b/>
          <w:szCs w:val="21"/>
        </w:rPr>
        <w:t>guidelines</w:t>
      </w:r>
      <w:r>
        <w:rPr>
          <w:b/>
          <w:szCs w:val="21"/>
        </w:rPr>
        <w:t xml:space="preserve"> as at the 9</w:t>
      </w:r>
      <w:r w:rsidR="00230883">
        <w:rPr>
          <w:b/>
          <w:szCs w:val="21"/>
        </w:rPr>
        <w:t>4</w:t>
      </w:r>
      <w:r w:rsidR="00230883" w:rsidRPr="000C7199">
        <w:rPr>
          <w:b/>
          <w:szCs w:val="21"/>
          <w:vertAlign w:val="superscript"/>
        </w:rPr>
        <w:t>th</w:t>
      </w:r>
      <w:r>
        <w:rPr>
          <w:b/>
          <w:szCs w:val="21"/>
        </w:rPr>
        <w:t> meeting</w:t>
      </w:r>
    </w:p>
    <w:tbl>
      <w:tblPr>
        <w:tblStyle w:val="TableGrid"/>
        <w:tblW w:w="5000" w:type="pct"/>
        <w:tblCellMar>
          <w:top w:w="29" w:type="dxa"/>
          <w:left w:w="58" w:type="dxa"/>
          <w:right w:w="58" w:type="dxa"/>
        </w:tblCellMar>
        <w:tblLook w:val="04A0" w:firstRow="1" w:lastRow="0" w:firstColumn="1" w:lastColumn="0" w:noHBand="0" w:noVBand="1"/>
      </w:tblPr>
      <w:tblGrid>
        <w:gridCol w:w="1696"/>
        <w:gridCol w:w="993"/>
        <w:gridCol w:w="4110"/>
        <w:gridCol w:w="2551"/>
      </w:tblGrid>
      <w:tr w:rsidR="004B451F" w14:paraId="7318CFA8" w14:textId="77777777" w:rsidTr="004B451F">
        <w:trPr>
          <w:tblHeader/>
        </w:trPr>
        <w:tc>
          <w:tcPr>
            <w:tcW w:w="907"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hideMark/>
          </w:tcPr>
          <w:p w14:paraId="03C40C83" w14:textId="77777777" w:rsidR="004B451F" w:rsidRDefault="004B451F" w:rsidP="000C7199">
            <w:pPr>
              <w:keepNext/>
              <w:spacing w:after="40"/>
              <w:jc w:val="center"/>
              <w:outlineLvl w:val="0"/>
              <w:rPr>
                <w:b/>
                <w:sz w:val="20"/>
                <w:szCs w:val="20"/>
                <w:lang w:val="en-US"/>
              </w:rPr>
            </w:pPr>
            <w:r>
              <w:rPr>
                <w:b/>
                <w:sz w:val="20"/>
                <w:szCs w:val="20"/>
                <w:lang w:val="en-US"/>
              </w:rPr>
              <w:t>Elements of decision XXVIII/2</w:t>
            </w:r>
          </w:p>
        </w:tc>
        <w:tc>
          <w:tcPr>
            <w:tcW w:w="531"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1320BF61" w14:textId="77777777" w:rsidR="004B451F" w:rsidRDefault="004B451F" w:rsidP="000C7199">
            <w:pPr>
              <w:keepNext/>
              <w:spacing w:after="40"/>
              <w:jc w:val="center"/>
              <w:outlineLvl w:val="0"/>
              <w:rPr>
                <w:b/>
                <w:sz w:val="19"/>
                <w:szCs w:val="19"/>
                <w:lang w:val="en-US"/>
              </w:rPr>
            </w:pPr>
            <w:r>
              <w:rPr>
                <w:b/>
                <w:sz w:val="19"/>
                <w:szCs w:val="19"/>
                <w:lang w:val="en-US"/>
              </w:rPr>
              <w:t>Paragraph</w:t>
            </w:r>
          </w:p>
        </w:tc>
        <w:tc>
          <w:tcPr>
            <w:tcW w:w="2198"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6A5AB225" w14:textId="77777777" w:rsidR="004B451F" w:rsidRDefault="004B451F" w:rsidP="000C7199">
            <w:pPr>
              <w:keepNext/>
              <w:spacing w:after="40"/>
              <w:jc w:val="center"/>
              <w:outlineLvl w:val="0"/>
              <w:rPr>
                <w:b/>
                <w:sz w:val="20"/>
                <w:szCs w:val="20"/>
                <w:lang w:val="en-US"/>
              </w:rPr>
            </w:pPr>
            <w:r>
              <w:rPr>
                <w:b/>
                <w:sz w:val="20"/>
                <w:szCs w:val="20"/>
                <w:lang w:val="en-US"/>
              </w:rPr>
              <w:t>Status of discussions</w:t>
            </w:r>
          </w:p>
        </w:tc>
        <w:tc>
          <w:tcPr>
            <w:tcW w:w="1364"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34712157" w14:textId="77777777" w:rsidR="004B451F" w:rsidRDefault="004B451F" w:rsidP="000C7199">
            <w:pPr>
              <w:keepNext/>
              <w:spacing w:after="40"/>
              <w:jc w:val="center"/>
              <w:outlineLvl w:val="0"/>
              <w:rPr>
                <w:b/>
                <w:sz w:val="20"/>
                <w:szCs w:val="20"/>
                <w:lang w:val="en-US"/>
              </w:rPr>
            </w:pPr>
            <w:r>
              <w:rPr>
                <w:b/>
                <w:sz w:val="20"/>
                <w:szCs w:val="20"/>
                <w:lang w:val="en-US"/>
              </w:rPr>
              <w:t>Further actions</w:t>
            </w:r>
          </w:p>
        </w:tc>
      </w:tr>
      <w:tr w:rsidR="004B451F" w14:paraId="43824906" w14:textId="77777777" w:rsidTr="004B451F">
        <w:tc>
          <w:tcPr>
            <w:tcW w:w="5000" w:type="pct"/>
            <w:gridSpan w:val="4"/>
            <w:tcBorders>
              <w:top w:val="single" w:sz="4" w:space="0" w:color="auto"/>
              <w:left w:val="single" w:sz="4" w:space="0" w:color="auto"/>
              <w:bottom w:val="single" w:sz="4" w:space="0" w:color="auto"/>
              <w:right w:val="single" w:sz="4" w:space="0" w:color="auto"/>
            </w:tcBorders>
            <w:hideMark/>
          </w:tcPr>
          <w:p w14:paraId="19E3640F" w14:textId="77777777" w:rsidR="004B451F" w:rsidRDefault="004B451F" w:rsidP="000C7199">
            <w:pPr>
              <w:keepNext/>
              <w:spacing w:after="40"/>
              <w:ind w:left="507"/>
              <w:jc w:val="left"/>
              <w:outlineLvl w:val="0"/>
              <w:rPr>
                <w:b/>
                <w:i/>
                <w:sz w:val="20"/>
                <w:szCs w:val="20"/>
                <w:lang w:val="en-US"/>
              </w:rPr>
            </w:pPr>
            <w:r>
              <w:rPr>
                <w:b/>
                <w:i/>
                <w:sz w:val="20"/>
                <w:szCs w:val="20"/>
                <w:lang w:val="en-US"/>
              </w:rPr>
              <w:t>Discussed</w:t>
            </w:r>
          </w:p>
        </w:tc>
      </w:tr>
      <w:tr w:rsidR="004B451F" w14:paraId="449965B0"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384025" w14:textId="77777777" w:rsidR="004B451F" w:rsidRDefault="004B451F">
            <w:pPr>
              <w:widowControl w:val="0"/>
              <w:spacing w:after="40"/>
              <w:jc w:val="left"/>
              <w:outlineLvl w:val="0"/>
              <w:rPr>
                <w:sz w:val="20"/>
                <w:szCs w:val="20"/>
                <w:lang w:val="en-US"/>
              </w:rPr>
            </w:pPr>
            <w:r>
              <w:rPr>
                <w:sz w:val="20"/>
                <w:szCs w:val="20"/>
                <w:lang w:val="en-US"/>
              </w:rPr>
              <w:t>Flexibility in implementation that enabled Parties to select their own strategies and priorities in sectors and technologies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01CAE6" w14:textId="77777777" w:rsidR="004B451F" w:rsidRDefault="004B451F">
            <w:pPr>
              <w:widowControl w:val="0"/>
              <w:spacing w:after="40"/>
              <w:jc w:val="center"/>
              <w:outlineLvl w:val="0"/>
              <w:rPr>
                <w:sz w:val="20"/>
                <w:szCs w:val="20"/>
                <w:lang w:val="en-US"/>
              </w:rPr>
            </w:pPr>
            <w:r>
              <w:rPr>
                <w:sz w:val="20"/>
                <w:szCs w:val="20"/>
                <w:lang w:val="en-US"/>
              </w:rPr>
              <w:t>13</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D18BFB" w14:textId="77777777" w:rsidR="004B451F" w:rsidRDefault="004B451F">
            <w:pPr>
              <w:widowControl w:val="0"/>
              <w:spacing w:after="40"/>
              <w:jc w:val="left"/>
              <w:outlineLvl w:val="0"/>
              <w:rPr>
                <w:sz w:val="20"/>
                <w:szCs w:val="20"/>
                <w:lang w:val="en-US"/>
              </w:rPr>
            </w:pPr>
            <w:r>
              <w:rPr>
                <w:sz w:val="20"/>
                <w:szCs w:val="20"/>
                <w:lang w:val="en-US"/>
              </w:rPr>
              <w:t>Text included in the draft template.*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F3FF63" w14:textId="77777777" w:rsidR="004B451F" w:rsidRDefault="004B451F">
            <w:pPr>
              <w:widowControl w:val="0"/>
              <w:spacing w:after="40"/>
              <w:jc w:val="left"/>
              <w:outlineLvl w:val="0"/>
              <w:rPr>
                <w:sz w:val="20"/>
                <w:szCs w:val="20"/>
                <w:lang w:val="en-US"/>
              </w:rPr>
            </w:pPr>
            <w:r>
              <w:rPr>
                <w:sz w:val="20"/>
                <w:szCs w:val="20"/>
                <w:lang w:val="en-US"/>
              </w:rPr>
              <w:t>None</w:t>
            </w:r>
          </w:p>
        </w:tc>
      </w:tr>
      <w:tr w:rsidR="004B451F" w14:paraId="0FECE845"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4BDED9FE" w14:textId="77777777" w:rsidR="004B451F" w:rsidRDefault="004B451F">
            <w:pPr>
              <w:widowControl w:val="0"/>
              <w:tabs>
                <w:tab w:val="left" w:pos="0"/>
              </w:tabs>
              <w:spacing w:after="40"/>
              <w:jc w:val="left"/>
              <w:outlineLvl w:val="0"/>
              <w:rPr>
                <w:sz w:val="20"/>
                <w:szCs w:val="20"/>
                <w:lang w:val="en-US"/>
              </w:rPr>
            </w:pPr>
            <w:r>
              <w:rPr>
                <w:sz w:val="20"/>
                <w:szCs w:val="20"/>
                <w:lang w:val="en-US"/>
              </w:rPr>
              <w:t>Eligible incremental costs – Production sector</w:t>
            </w:r>
          </w:p>
        </w:tc>
        <w:tc>
          <w:tcPr>
            <w:tcW w:w="531" w:type="pct"/>
            <w:tcBorders>
              <w:top w:val="single" w:sz="4" w:space="0" w:color="auto"/>
              <w:left w:val="single" w:sz="4" w:space="0" w:color="auto"/>
              <w:bottom w:val="single" w:sz="4" w:space="0" w:color="auto"/>
              <w:right w:val="single" w:sz="4" w:space="0" w:color="auto"/>
            </w:tcBorders>
            <w:hideMark/>
          </w:tcPr>
          <w:p w14:paraId="3F5DC2EF" w14:textId="77777777" w:rsidR="004B451F" w:rsidRDefault="004B451F">
            <w:pPr>
              <w:widowControl w:val="0"/>
              <w:spacing w:after="40"/>
              <w:jc w:val="center"/>
              <w:outlineLvl w:val="0"/>
              <w:rPr>
                <w:sz w:val="20"/>
                <w:szCs w:val="20"/>
                <w:lang w:val="en-US"/>
              </w:rPr>
            </w:pPr>
            <w:r>
              <w:rPr>
                <w:sz w:val="20"/>
                <w:szCs w:val="20"/>
                <w:lang w:val="en-US"/>
              </w:rPr>
              <w:t>15(b)</w:t>
            </w:r>
          </w:p>
        </w:tc>
        <w:tc>
          <w:tcPr>
            <w:tcW w:w="2198" w:type="pct"/>
            <w:tcBorders>
              <w:top w:val="single" w:sz="4" w:space="0" w:color="auto"/>
              <w:left w:val="single" w:sz="4" w:space="0" w:color="auto"/>
              <w:bottom w:val="single" w:sz="4" w:space="0" w:color="auto"/>
              <w:right w:val="single" w:sz="4" w:space="0" w:color="auto"/>
            </w:tcBorders>
            <w:hideMark/>
          </w:tcPr>
          <w:p w14:paraId="0B0C269D" w14:textId="77777777" w:rsidR="004B451F" w:rsidRDefault="004B451F">
            <w:pPr>
              <w:widowControl w:val="0"/>
              <w:spacing w:after="40"/>
              <w:jc w:val="left"/>
              <w:outlineLvl w:val="0"/>
              <w:rPr>
                <w:sz w:val="20"/>
                <w:szCs w:val="20"/>
                <w:lang w:val="en-US"/>
              </w:rPr>
            </w:pPr>
            <w:r>
              <w:rPr>
                <w:sz w:val="20"/>
                <w:szCs w:val="20"/>
                <w:lang w:val="en-US"/>
              </w:rPr>
              <w:t>Text on categories of eligible costs included in the draft template.*</w:t>
            </w:r>
          </w:p>
          <w:p w14:paraId="6C321C11" w14:textId="77777777" w:rsidR="004B451F" w:rsidRDefault="004B451F">
            <w:pPr>
              <w:widowControl w:val="0"/>
              <w:spacing w:after="40"/>
              <w:jc w:val="left"/>
              <w:outlineLvl w:val="0"/>
              <w:rPr>
                <w:sz w:val="20"/>
                <w:szCs w:val="20"/>
                <w:lang w:val="en-US"/>
              </w:rPr>
            </w:pPr>
            <w:bookmarkStart w:id="2" w:name="_Hlk139444342"/>
            <w:r>
              <w:rPr>
                <w:sz w:val="20"/>
                <w:szCs w:val="20"/>
                <w:lang w:val="en-US"/>
              </w:rPr>
              <w:t>The Sub-group on the Production Sector would consider compensation for compliance-related control obligations for the production sector on a case</w:t>
            </w:r>
            <w:r>
              <w:rPr>
                <w:sz w:val="20"/>
                <w:szCs w:val="20"/>
                <w:lang w:val="en-US"/>
              </w:rPr>
              <w:noBreakHyphen/>
              <w:t>by</w:t>
            </w:r>
            <w:r>
              <w:rPr>
                <w:sz w:val="20"/>
                <w:szCs w:val="20"/>
                <w:lang w:val="en-US"/>
              </w:rPr>
              <w:noBreakHyphen/>
              <w:t>case basis once official reporting of HFC production had been submitted by Article 5 countries.</w:t>
            </w:r>
            <w:bookmarkEnd w:id="2"/>
          </w:p>
        </w:tc>
        <w:tc>
          <w:tcPr>
            <w:tcW w:w="1364" w:type="pct"/>
            <w:tcBorders>
              <w:top w:val="single" w:sz="4" w:space="0" w:color="auto"/>
              <w:left w:val="single" w:sz="4" w:space="0" w:color="auto"/>
              <w:bottom w:val="single" w:sz="4" w:space="0" w:color="auto"/>
              <w:right w:val="single" w:sz="4" w:space="0" w:color="auto"/>
            </w:tcBorders>
            <w:hideMark/>
          </w:tcPr>
          <w:p w14:paraId="596B9982" w14:textId="77777777" w:rsidR="004B451F" w:rsidRDefault="004B451F">
            <w:pPr>
              <w:keepNext/>
              <w:keepLines/>
              <w:widowControl w:val="0"/>
              <w:spacing w:after="40"/>
              <w:jc w:val="left"/>
              <w:outlineLvl w:val="0"/>
              <w:rPr>
                <w:sz w:val="20"/>
                <w:szCs w:val="20"/>
                <w:lang w:val="en-US"/>
              </w:rPr>
            </w:pPr>
            <w:r>
              <w:rPr>
                <w:sz w:val="20"/>
                <w:szCs w:val="20"/>
                <w:lang w:val="en-US"/>
              </w:rPr>
              <w:t>None</w:t>
            </w:r>
          </w:p>
        </w:tc>
      </w:tr>
      <w:tr w:rsidR="004B451F" w14:paraId="368CDCFD"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0E9762F4" w14:textId="77777777" w:rsidR="004B451F" w:rsidRDefault="004B451F">
            <w:pPr>
              <w:keepNext/>
              <w:widowControl w:val="0"/>
              <w:tabs>
                <w:tab w:val="left" w:pos="0"/>
              </w:tabs>
              <w:spacing w:after="40"/>
              <w:jc w:val="left"/>
              <w:outlineLvl w:val="0"/>
              <w:rPr>
                <w:sz w:val="20"/>
                <w:szCs w:val="20"/>
                <w:lang w:val="en-US"/>
              </w:rPr>
            </w:pPr>
            <w:r>
              <w:rPr>
                <w:sz w:val="20"/>
                <w:szCs w:val="20"/>
                <w:lang w:val="en-US"/>
              </w:rPr>
              <w:t>Eligible incremental costs – Refrigeration servicing sector</w:t>
            </w:r>
          </w:p>
        </w:tc>
        <w:tc>
          <w:tcPr>
            <w:tcW w:w="531" w:type="pct"/>
            <w:tcBorders>
              <w:top w:val="single" w:sz="4" w:space="0" w:color="auto"/>
              <w:left w:val="single" w:sz="4" w:space="0" w:color="auto"/>
              <w:bottom w:val="single" w:sz="4" w:space="0" w:color="auto"/>
              <w:right w:val="single" w:sz="4" w:space="0" w:color="auto"/>
            </w:tcBorders>
            <w:hideMark/>
          </w:tcPr>
          <w:p w14:paraId="60BBF3D8" w14:textId="77777777" w:rsidR="004B451F" w:rsidRDefault="004B451F">
            <w:pPr>
              <w:widowControl w:val="0"/>
              <w:spacing w:after="40"/>
              <w:jc w:val="center"/>
              <w:outlineLvl w:val="0"/>
              <w:rPr>
                <w:sz w:val="20"/>
                <w:szCs w:val="20"/>
                <w:lang w:val="en-US"/>
              </w:rPr>
            </w:pPr>
            <w:r>
              <w:rPr>
                <w:sz w:val="20"/>
                <w:szCs w:val="20"/>
                <w:lang w:val="en-US"/>
              </w:rPr>
              <w:t>15(c)</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869111" w14:textId="77777777" w:rsidR="004B451F" w:rsidRDefault="004B451F">
            <w:pPr>
              <w:widowControl w:val="0"/>
              <w:spacing w:after="40"/>
              <w:jc w:val="left"/>
              <w:outlineLvl w:val="0"/>
              <w:rPr>
                <w:sz w:val="20"/>
                <w:szCs w:val="20"/>
                <w:lang w:val="en-US"/>
              </w:rPr>
            </w:pPr>
            <w:r>
              <w:rPr>
                <w:sz w:val="20"/>
                <w:szCs w:val="20"/>
                <w:lang w:val="en-US"/>
              </w:rPr>
              <w:t>Discussion on the levels of funding for low</w:t>
            </w:r>
            <w:r>
              <w:rPr>
                <w:sz w:val="20"/>
                <w:szCs w:val="20"/>
                <w:lang w:val="en-US"/>
              </w:rPr>
              <w:noBreakHyphen/>
              <w:t>volume-consuming (LVC) and non</w:t>
            </w:r>
            <w:r>
              <w:rPr>
                <w:sz w:val="20"/>
                <w:szCs w:val="20"/>
                <w:lang w:val="en-US"/>
              </w:rPr>
              <w:noBreakHyphen/>
              <w:t>LVC countries concluded. Text on categories of eligible costs and decision 92/37 on the modalities and levels of funding for the refrigeration servicing sector included in the draft template.*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780CB9" w14:textId="77777777" w:rsidR="004B451F" w:rsidRDefault="004B451F">
            <w:pPr>
              <w:widowControl w:val="0"/>
              <w:spacing w:after="40"/>
              <w:jc w:val="left"/>
              <w:rPr>
                <w:sz w:val="20"/>
                <w:szCs w:val="20"/>
                <w:lang w:val="en-US"/>
              </w:rPr>
            </w:pPr>
            <w:r>
              <w:rPr>
                <w:sz w:val="20"/>
                <w:szCs w:val="20"/>
                <w:lang w:val="en-US"/>
              </w:rPr>
              <w:t>None</w:t>
            </w:r>
          </w:p>
        </w:tc>
      </w:tr>
      <w:tr w:rsidR="004B451F" w14:paraId="3B47F69C"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06B033" w14:textId="77777777" w:rsidR="004B451F" w:rsidRDefault="004B451F">
            <w:pPr>
              <w:widowControl w:val="0"/>
              <w:spacing w:after="40"/>
              <w:jc w:val="left"/>
              <w:outlineLvl w:val="0"/>
              <w:rPr>
                <w:sz w:val="20"/>
                <w:szCs w:val="20"/>
                <w:lang w:val="en-US"/>
              </w:rPr>
            </w:pPr>
            <w:r>
              <w:rPr>
                <w:sz w:val="20"/>
                <w:szCs w:val="20"/>
                <w:lang w:val="en-US"/>
              </w:rPr>
              <w:t>Cut-off dates for eligible capacity</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269A4" w14:textId="77777777" w:rsidR="004B451F" w:rsidRDefault="004B451F">
            <w:pPr>
              <w:widowControl w:val="0"/>
              <w:spacing w:after="40"/>
              <w:jc w:val="center"/>
              <w:outlineLvl w:val="0"/>
              <w:rPr>
                <w:sz w:val="20"/>
                <w:szCs w:val="20"/>
                <w:lang w:val="en-US"/>
              </w:rPr>
            </w:pPr>
            <w:r>
              <w:rPr>
                <w:sz w:val="20"/>
                <w:szCs w:val="20"/>
                <w:lang w:val="en-US"/>
              </w:rPr>
              <w:t>17</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BBC5F7" w14:textId="77777777" w:rsidR="004B451F" w:rsidRDefault="004B451F">
            <w:pPr>
              <w:widowControl w:val="0"/>
              <w:spacing w:after="40"/>
              <w:jc w:val="left"/>
              <w:outlineLvl w:val="0"/>
              <w:rPr>
                <w:sz w:val="20"/>
                <w:szCs w:val="20"/>
                <w:lang w:val="en-US"/>
              </w:rPr>
            </w:pPr>
            <w:r>
              <w:rPr>
                <w:sz w:val="20"/>
                <w:szCs w:val="20"/>
                <w:lang w:val="en-US"/>
              </w:rPr>
              <w:t>Text included in the draft template.*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A68BA5" w14:textId="77777777" w:rsidR="004B451F" w:rsidRDefault="004B451F">
            <w:pPr>
              <w:widowControl w:val="0"/>
              <w:spacing w:after="40"/>
              <w:jc w:val="left"/>
              <w:outlineLvl w:val="0"/>
              <w:rPr>
                <w:sz w:val="20"/>
                <w:szCs w:val="20"/>
                <w:lang w:val="en-US"/>
              </w:rPr>
            </w:pPr>
            <w:r>
              <w:rPr>
                <w:sz w:val="20"/>
                <w:szCs w:val="20"/>
                <w:lang w:val="en-US"/>
              </w:rPr>
              <w:t>None</w:t>
            </w:r>
          </w:p>
        </w:tc>
      </w:tr>
      <w:tr w:rsidR="004B451F" w14:paraId="629DF356"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CC84F4" w14:textId="77777777" w:rsidR="004B451F" w:rsidRDefault="004B451F">
            <w:pPr>
              <w:widowControl w:val="0"/>
              <w:spacing w:after="40"/>
              <w:jc w:val="left"/>
              <w:outlineLvl w:val="0"/>
              <w:rPr>
                <w:sz w:val="20"/>
                <w:szCs w:val="20"/>
                <w:lang w:val="en-US"/>
              </w:rPr>
            </w:pPr>
            <w:r>
              <w:rPr>
                <w:sz w:val="20"/>
                <w:szCs w:val="20"/>
                <w:lang w:val="en-US"/>
              </w:rPr>
              <w:t>Second and third conversions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156D05" w14:textId="77777777" w:rsidR="004B451F" w:rsidRDefault="004B451F">
            <w:pPr>
              <w:widowControl w:val="0"/>
              <w:spacing w:after="40"/>
              <w:jc w:val="center"/>
              <w:outlineLvl w:val="0"/>
              <w:rPr>
                <w:sz w:val="20"/>
                <w:szCs w:val="20"/>
                <w:lang w:val="en-US"/>
              </w:rPr>
            </w:pPr>
            <w:r>
              <w:rPr>
                <w:sz w:val="20"/>
                <w:szCs w:val="20"/>
                <w:lang w:val="en-US"/>
              </w:rPr>
              <w:t>18</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040D44" w14:textId="77777777" w:rsidR="004B451F" w:rsidRDefault="004B451F">
            <w:pPr>
              <w:widowControl w:val="0"/>
              <w:spacing w:after="40"/>
              <w:jc w:val="left"/>
              <w:outlineLvl w:val="0"/>
              <w:rPr>
                <w:sz w:val="20"/>
                <w:szCs w:val="20"/>
                <w:lang w:val="en-US"/>
              </w:rPr>
            </w:pPr>
            <w:r>
              <w:rPr>
                <w:sz w:val="20"/>
                <w:szCs w:val="20"/>
                <w:lang w:val="en-US"/>
              </w:rPr>
              <w:t>Text included in the draft template.*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7DC93D" w14:textId="77777777" w:rsidR="004B451F" w:rsidRDefault="004B451F">
            <w:pPr>
              <w:widowControl w:val="0"/>
              <w:spacing w:after="40"/>
              <w:jc w:val="left"/>
              <w:outlineLvl w:val="0"/>
              <w:rPr>
                <w:sz w:val="20"/>
                <w:szCs w:val="20"/>
                <w:lang w:val="en-US"/>
              </w:rPr>
            </w:pPr>
            <w:r>
              <w:rPr>
                <w:sz w:val="20"/>
                <w:szCs w:val="20"/>
                <w:lang w:val="en-US"/>
              </w:rPr>
              <w:t>None</w:t>
            </w:r>
          </w:p>
        </w:tc>
      </w:tr>
      <w:tr w:rsidR="004B451F" w14:paraId="225C1CB6"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608D23B3" w14:textId="77777777" w:rsidR="004B451F" w:rsidRDefault="004B451F" w:rsidP="00536867">
            <w:pPr>
              <w:keepNext/>
              <w:spacing w:after="40"/>
              <w:jc w:val="left"/>
              <w:outlineLvl w:val="0"/>
              <w:rPr>
                <w:sz w:val="20"/>
                <w:szCs w:val="20"/>
                <w:lang w:val="en-US"/>
              </w:rPr>
            </w:pPr>
            <w:r>
              <w:rPr>
                <w:sz w:val="20"/>
                <w:szCs w:val="20"/>
                <w:lang w:val="en-US"/>
              </w:rPr>
              <w:lastRenderedPageBreak/>
              <w:t>Capacity building to address safety</w:t>
            </w:r>
          </w:p>
        </w:tc>
        <w:tc>
          <w:tcPr>
            <w:tcW w:w="531" w:type="pct"/>
            <w:tcBorders>
              <w:top w:val="single" w:sz="4" w:space="0" w:color="auto"/>
              <w:left w:val="single" w:sz="4" w:space="0" w:color="auto"/>
              <w:bottom w:val="single" w:sz="4" w:space="0" w:color="auto"/>
              <w:right w:val="single" w:sz="4" w:space="0" w:color="auto"/>
            </w:tcBorders>
            <w:hideMark/>
          </w:tcPr>
          <w:p w14:paraId="219F74BA" w14:textId="77777777" w:rsidR="004B451F" w:rsidRDefault="004B451F" w:rsidP="00536867">
            <w:pPr>
              <w:keepNext/>
              <w:spacing w:after="40"/>
              <w:jc w:val="center"/>
              <w:outlineLvl w:val="0"/>
              <w:rPr>
                <w:sz w:val="20"/>
                <w:szCs w:val="20"/>
                <w:lang w:val="en-US"/>
              </w:rPr>
            </w:pPr>
            <w:r>
              <w:rPr>
                <w:sz w:val="20"/>
                <w:szCs w:val="20"/>
                <w:lang w:val="en-US"/>
              </w:rPr>
              <w:t>23</w:t>
            </w:r>
          </w:p>
        </w:tc>
        <w:tc>
          <w:tcPr>
            <w:tcW w:w="2198" w:type="pct"/>
            <w:tcBorders>
              <w:top w:val="single" w:sz="4" w:space="0" w:color="auto"/>
              <w:left w:val="single" w:sz="4" w:space="0" w:color="auto"/>
              <w:bottom w:val="single" w:sz="4" w:space="0" w:color="auto"/>
              <w:right w:val="single" w:sz="4" w:space="0" w:color="auto"/>
            </w:tcBorders>
            <w:hideMark/>
          </w:tcPr>
          <w:p w14:paraId="7D4DD038" w14:textId="77777777" w:rsidR="004B451F" w:rsidRDefault="004B451F" w:rsidP="00536867">
            <w:pPr>
              <w:keepNext/>
              <w:spacing w:after="40"/>
              <w:jc w:val="left"/>
              <w:outlineLvl w:val="0"/>
              <w:rPr>
                <w:sz w:val="20"/>
                <w:szCs w:val="20"/>
                <w:lang w:val="en-US"/>
              </w:rPr>
            </w:pPr>
            <w:r>
              <w:rPr>
                <w:sz w:val="20"/>
                <w:szCs w:val="20"/>
                <w:lang w:val="en-US"/>
              </w:rPr>
              <w:t>Matter integrated into the discussions on the refrigeration servicing sector.</w:t>
            </w:r>
          </w:p>
        </w:tc>
        <w:tc>
          <w:tcPr>
            <w:tcW w:w="1364" w:type="pct"/>
            <w:tcBorders>
              <w:top w:val="single" w:sz="4" w:space="0" w:color="auto"/>
              <w:left w:val="single" w:sz="4" w:space="0" w:color="auto"/>
              <w:bottom w:val="single" w:sz="4" w:space="0" w:color="auto"/>
              <w:right w:val="single" w:sz="4" w:space="0" w:color="auto"/>
            </w:tcBorders>
            <w:hideMark/>
          </w:tcPr>
          <w:p w14:paraId="2D39ED94" w14:textId="77777777" w:rsidR="004B451F" w:rsidRDefault="004B451F" w:rsidP="00536867">
            <w:pPr>
              <w:keepNext/>
              <w:spacing w:after="40"/>
              <w:jc w:val="left"/>
              <w:outlineLvl w:val="0"/>
              <w:rPr>
                <w:sz w:val="20"/>
                <w:szCs w:val="20"/>
                <w:lang w:val="en-US"/>
              </w:rPr>
            </w:pPr>
            <w:r>
              <w:rPr>
                <w:sz w:val="20"/>
                <w:szCs w:val="20"/>
                <w:lang w:val="en-US"/>
              </w:rPr>
              <w:t>None</w:t>
            </w:r>
          </w:p>
        </w:tc>
      </w:tr>
      <w:tr w:rsidR="004B451F" w14:paraId="242C6171"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C632B5" w14:textId="77777777" w:rsidR="004B451F" w:rsidRDefault="004B451F">
            <w:pPr>
              <w:widowControl w:val="0"/>
              <w:spacing w:after="40"/>
              <w:jc w:val="left"/>
              <w:outlineLvl w:val="0"/>
              <w:rPr>
                <w:sz w:val="20"/>
                <w:szCs w:val="20"/>
                <w:lang w:val="en-US"/>
              </w:rPr>
            </w:pPr>
            <w:r>
              <w:rPr>
                <w:sz w:val="20"/>
                <w:szCs w:val="20"/>
                <w:lang w:val="en-US"/>
              </w:rPr>
              <w:t>Other costs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941342" w14:textId="77777777" w:rsidR="004B451F" w:rsidRDefault="004B451F">
            <w:pPr>
              <w:widowControl w:val="0"/>
              <w:spacing w:after="40"/>
              <w:jc w:val="center"/>
              <w:outlineLvl w:val="0"/>
              <w:rPr>
                <w:sz w:val="20"/>
                <w:szCs w:val="20"/>
                <w:lang w:val="en-US"/>
              </w:rPr>
            </w:pPr>
            <w:r>
              <w:rPr>
                <w:sz w:val="20"/>
                <w:szCs w:val="20"/>
                <w:lang w:val="en-US"/>
              </w:rPr>
              <w:t>25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B3AC15" w14:textId="77777777" w:rsidR="004B451F" w:rsidRDefault="004B451F">
            <w:pPr>
              <w:widowControl w:val="0"/>
              <w:spacing w:after="40"/>
              <w:jc w:val="left"/>
              <w:outlineLvl w:val="0"/>
              <w:rPr>
                <w:sz w:val="20"/>
                <w:szCs w:val="20"/>
                <w:lang w:val="en-US"/>
              </w:rPr>
            </w:pPr>
            <w:r>
              <w:rPr>
                <w:sz w:val="20"/>
                <w:szCs w:val="20"/>
                <w:lang w:val="en-US"/>
              </w:rPr>
              <w:t>Agreement not to include text in the draft template.</w:t>
            </w:r>
            <w:r>
              <w:rPr>
                <w:rStyle w:val="FootnoteReference"/>
                <w:sz w:val="20"/>
                <w:szCs w:val="20"/>
                <w:lang w:val="en-US"/>
              </w:rPr>
              <w:footnoteReference w:id="5"/>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D8B0D" w14:textId="77777777" w:rsidR="004B451F" w:rsidRDefault="004B451F">
            <w:pPr>
              <w:widowControl w:val="0"/>
              <w:spacing w:after="40"/>
              <w:jc w:val="left"/>
              <w:outlineLvl w:val="0"/>
              <w:rPr>
                <w:sz w:val="20"/>
                <w:szCs w:val="20"/>
                <w:lang w:val="en-US"/>
              </w:rPr>
            </w:pPr>
            <w:r>
              <w:rPr>
                <w:sz w:val="20"/>
                <w:szCs w:val="20"/>
                <w:lang w:val="en-US"/>
              </w:rPr>
              <w:t>None</w:t>
            </w:r>
          </w:p>
        </w:tc>
      </w:tr>
      <w:tr w:rsidR="004B451F" w14:paraId="625FFA12"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A2FF38" w14:textId="77777777" w:rsidR="004B451F" w:rsidRDefault="004B451F">
            <w:pPr>
              <w:widowControl w:val="0"/>
              <w:spacing w:after="40"/>
              <w:jc w:val="left"/>
              <w:outlineLvl w:val="0"/>
              <w:rPr>
                <w:sz w:val="20"/>
                <w:szCs w:val="20"/>
                <w:lang w:val="en-US"/>
              </w:rPr>
            </w:pPr>
            <w:r>
              <w:rPr>
                <w:sz w:val="20"/>
                <w:szCs w:val="20"/>
                <w:lang w:val="en-US"/>
              </w:rPr>
              <w:t>Eligibility of Annex F substances subject to high</w:t>
            </w:r>
            <w:r>
              <w:rPr>
                <w:sz w:val="20"/>
                <w:szCs w:val="20"/>
                <w:lang w:val="en-US"/>
              </w:rPr>
              <w:noBreakHyphen/>
              <w:t>ambient-temperature exemptions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25F902" w14:textId="77777777" w:rsidR="004B451F" w:rsidRDefault="004B451F">
            <w:pPr>
              <w:widowControl w:val="0"/>
              <w:spacing w:after="40"/>
              <w:jc w:val="center"/>
              <w:outlineLvl w:val="0"/>
              <w:rPr>
                <w:sz w:val="20"/>
                <w:szCs w:val="20"/>
                <w:lang w:val="en-US"/>
              </w:rPr>
            </w:pPr>
            <w:r>
              <w:rPr>
                <w:sz w:val="20"/>
                <w:szCs w:val="20"/>
                <w:lang w:val="en-US"/>
              </w:rPr>
              <w:t>35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CEB09E" w14:textId="77777777" w:rsidR="004B451F" w:rsidRDefault="004B451F">
            <w:pPr>
              <w:widowControl w:val="0"/>
              <w:spacing w:after="40"/>
              <w:jc w:val="left"/>
              <w:outlineLvl w:val="0"/>
              <w:rPr>
                <w:sz w:val="20"/>
                <w:szCs w:val="20"/>
                <w:lang w:val="en-US"/>
              </w:rPr>
            </w:pPr>
            <w:r>
              <w:rPr>
                <w:sz w:val="20"/>
                <w:szCs w:val="20"/>
                <w:lang w:val="en-US"/>
              </w:rPr>
              <w:t>Text included in the draft template.*</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9702" w14:textId="77777777" w:rsidR="004B451F" w:rsidRDefault="004B451F">
            <w:pPr>
              <w:widowControl w:val="0"/>
              <w:spacing w:after="40"/>
              <w:jc w:val="left"/>
              <w:outlineLvl w:val="0"/>
              <w:rPr>
                <w:sz w:val="20"/>
                <w:szCs w:val="20"/>
                <w:lang w:val="en-US"/>
              </w:rPr>
            </w:pPr>
            <w:r>
              <w:rPr>
                <w:sz w:val="20"/>
                <w:szCs w:val="20"/>
                <w:lang w:val="en-US"/>
              </w:rPr>
              <w:t>None</w:t>
            </w:r>
          </w:p>
        </w:tc>
      </w:tr>
      <w:tr w:rsidR="004B451F" w14:paraId="610B77A7" w14:textId="77777777" w:rsidTr="004B451F">
        <w:tc>
          <w:tcPr>
            <w:tcW w:w="5000" w:type="pct"/>
            <w:gridSpan w:val="4"/>
            <w:tcBorders>
              <w:top w:val="single" w:sz="4" w:space="0" w:color="auto"/>
              <w:left w:val="single" w:sz="4" w:space="0" w:color="auto"/>
              <w:bottom w:val="single" w:sz="4" w:space="0" w:color="auto"/>
              <w:right w:val="single" w:sz="4" w:space="0" w:color="auto"/>
            </w:tcBorders>
            <w:hideMark/>
          </w:tcPr>
          <w:p w14:paraId="17097648" w14:textId="77777777" w:rsidR="004B451F" w:rsidRDefault="004B451F">
            <w:pPr>
              <w:widowControl w:val="0"/>
              <w:spacing w:after="40"/>
              <w:ind w:left="507"/>
              <w:jc w:val="left"/>
              <w:outlineLvl w:val="0"/>
              <w:rPr>
                <w:b/>
                <w:i/>
                <w:sz w:val="20"/>
                <w:szCs w:val="20"/>
                <w:lang w:val="en-US"/>
              </w:rPr>
            </w:pPr>
            <w:r>
              <w:rPr>
                <w:b/>
                <w:i/>
                <w:sz w:val="20"/>
                <w:szCs w:val="20"/>
                <w:lang w:val="en-US"/>
              </w:rPr>
              <w:t>Under discussion</w:t>
            </w:r>
          </w:p>
        </w:tc>
      </w:tr>
      <w:tr w:rsidR="004B451F" w14:paraId="63DD54D5"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0FFA3729" w14:textId="77777777" w:rsidR="004B451F" w:rsidRDefault="004B451F">
            <w:pPr>
              <w:widowControl w:val="0"/>
              <w:spacing w:after="40"/>
              <w:jc w:val="left"/>
              <w:outlineLvl w:val="0"/>
              <w:rPr>
                <w:sz w:val="20"/>
                <w:szCs w:val="20"/>
                <w:lang w:val="en-US"/>
              </w:rPr>
            </w:pPr>
            <w:r>
              <w:rPr>
                <w:sz w:val="20"/>
                <w:szCs w:val="20"/>
                <w:lang w:val="en-US"/>
              </w:rPr>
              <w:t>Sustained aggregate reductions in consumption</w:t>
            </w:r>
          </w:p>
        </w:tc>
        <w:tc>
          <w:tcPr>
            <w:tcW w:w="531" w:type="pct"/>
            <w:tcBorders>
              <w:top w:val="single" w:sz="4" w:space="0" w:color="auto"/>
              <w:left w:val="single" w:sz="4" w:space="0" w:color="auto"/>
              <w:bottom w:val="single" w:sz="4" w:space="0" w:color="auto"/>
              <w:right w:val="single" w:sz="4" w:space="0" w:color="auto"/>
            </w:tcBorders>
            <w:hideMark/>
          </w:tcPr>
          <w:p w14:paraId="0D22CC2E" w14:textId="77777777" w:rsidR="004B451F" w:rsidRDefault="004B451F">
            <w:pPr>
              <w:widowControl w:val="0"/>
              <w:spacing w:after="40"/>
              <w:jc w:val="center"/>
              <w:outlineLvl w:val="0"/>
              <w:rPr>
                <w:sz w:val="20"/>
                <w:szCs w:val="20"/>
                <w:lang w:val="en-US"/>
              </w:rPr>
            </w:pPr>
            <w:r>
              <w:rPr>
                <w:sz w:val="20"/>
                <w:szCs w:val="20"/>
                <w:lang w:val="en-US"/>
              </w:rPr>
              <w:t>19</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FC19A" w14:textId="77777777" w:rsidR="004B451F" w:rsidRDefault="004B451F">
            <w:pPr>
              <w:spacing w:after="40"/>
              <w:jc w:val="left"/>
              <w:rPr>
                <w:sz w:val="20"/>
                <w:szCs w:val="20"/>
                <w:lang w:val="en-US"/>
              </w:rPr>
            </w:pPr>
            <w:r>
              <w:rPr>
                <w:sz w:val="20"/>
                <w:szCs w:val="20"/>
                <w:lang w:val="en-US"/>
              </w:rPr>
              <w:t>Text included in the draft template.*</w:t>
            </w:r>
          </w:p>
          <w:p w14:paraId="10B2EFF7" w14:textId="77777777" w:rsidR="004B451F" w:rsidRDefault="004B451F">
            <w:pPr>
              <w:jc w:val="left"/>
              <w:rPr>
                <w:sz w:val="20"/>
                <w:szCs w:val="20"/>
                <w:lang w:val="en-US"/>
              </w:rPr>
            </w:pPr>
            <w:r>
              <w:rPr>
                <w:sz w:val="20"/>
                <w:szCs w:val="20"/>
                <w:lang w:val="en-US"/>
              </w:rPr>
              <w:t>Subject discussed between the 89</w:t>
            </w:r>
            <w:r>
              <w:rPr>
                <w:sz w:val="20"/>
                <w:szCs w:val="20"/>
                <w:vertAlign w:val="superscript"/>
                <w:lang w:val="en-US"/>
              </w:rPr>
              <w:t xml:space="preserve">th </w:t>
            </w:r>
            <w:r>
              <w:rPr>
                <w:sz w:val="20"/>
                <w:szCs w:val="20"/>
                <w:lang w:val="en-US"/>
              </w:rPr>
              <w:t>and 93</w:t>
            </w:r>
            <w:r>
              <w:rPr>
                <w:sz w:val="20"/>
                <w:szCs w:val="20"/>
                <w:vertAlign w:val="superscript"/>
                <w:lang w:val="en-US"/>
              </w:rPr>
              <w:t>rd </w:t>
            </w:r>
            <w:r>
              <w:rPr>
                <w:sz w:val="20"/>
                <w:szCs w:val="20"/>
                <w:lang w:val="en-US"/>
              </w:rPr>
              <w:t>meetings; paper on the starting point prepared based on discussions that took place at the 91</w:t>
            </w:r>
            <w:r>
              <w:rPr>
                <w:sz w:val="20"/>
                <w:szCs w:val="20"/>
                <w:vertAlign w:val="superscript"/>
                <w:lang w:val="en-US"/>
              </w:rPr>
              <w:t>st</w:t>
            </w:r>
            <w:r>
              <w:rPr>
                <w:sz w:val="20"/>
                <w:szCs w:val="20"/>
                <w:lang w:val="en-US"/>
              </w:rPr>
              <w:t> meeting (decision 91/64(a)) and reissued as document UNEP/OzL.Pro/ExCom/93/97.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AC80FE" w14:textId="1DFF1F39" w:rsidR="004B451F" w:rsidRDefault="004B451F">
            <w:pPr>
              <w:jc w:val="left"/>
              <w:rPr>
                <w:sz w:val="20"/>
                <w:szCs w:val="20"/>
                <w:lang w:val="en-US"/>
              </w:rPr>
            </w:pPr>
            <w:r>
              <w:rPr>
                <w:sz w:val="20"/>
                <w:szCs w:val="20"/>
                <w:lang w:val="en-US"/>
              </w:rPr>
              <w:t>To agree on a methodology for establishing the starting point for sustained aggregate reductions, taking into consideration the working text contained in annex V.</w:t>
            </w:r>
          </w:p>
        </w:tc>
      </w:tr>
      <w:tr w:rsidR="004B451F" w14:paraId="5F6BC42C" w14:textId="77777777" w:rsidTr="004B451F">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0C50F0" w14:textId="77777777" w:rsidR="004B451F" w:rsidRDefault="004B451F">
            <w:pPr>
              <w:widowControl w:val="0"/>
              <w:spacing w:after="40"/>
              <w:jc w:val="left"/>
              <w:outlineLvl w:val="0"/>
              <w:rPr>
                <w:sz w:val="20"/>
                <w:szCs w:val="20"/>
                <w:lang w:val="en-US"/>
              </w:rPr>
            </w:pPr>
            <w:r>
              <w:rPr>
                <w:sz w:val="20"/>
                <w:szCs w:val="20"/>
                <w:lang w:val="en-US"/>
              </w:rPr>
              <w:t>Eligible incremental costs – Consumption manufacturing sectors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9CDB3" w14:textId="77777777" w:rsidR="004B451F" w:rsidRDefault="004B451F">
            <w:pPr>
              <w:widowControl w:val="0"/>
              <w:spacing w:after="40"/>
              <w:jc w:val="center"/>
              <w:outlineLvl w:val="0"/>
              <w:rPr>
                <w:sz w:val="20"/>
                <w:szCs w:val="20"/>
                <w:lang w:val="en-US"/>
              </w:rPr>
            </w:pPr>
            <w:r>
              <w:rPr>
                <w:sz w:val="20"/>
                <w:szCs w:val="20"/>
                <w:lang w:val="en-US"/>
              </w:rPr>
              <w:t>15(a)</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4FC94" w14:textId="77777777" w:rsidR="004B451F" w:rsidRDefault="004B451F">
            <w:pPr>
              <w:widowControl w:val="0"/>
              <w:spacing w:after="40"/>
              <w:jc w:val="left"/>
              <w:outlineLvl w:val="0"/>
              <w:rPr>
                <w:sz w:val="20"/>
                <w:szCs w:val="20"/>
                <w:lang w:val="en-US"/>
              </w:rPr>
            </w:pPr>
            <w:r>
              <w:rPr>
                <w:sz w:val="20"/>
                <w:szCs w:val="20"/>
                <w:lang w:val="en-US"/>
              </w:rPr>
              <w:t>Text on categories of eligible costs included in the draft template.*</w:t>
            </w:r>
          </w:p>
          <w:p w14:paraId="6D7AAE94" w14:textId="67294AA2" w:rsidR="004B451F" w:rsidRDefault="004B451F">
            <w:pPr>
              <w:widowControl w:val="0"/>
              <w:spacing w:after="40"/>
              <w:jc w:val="left"/>
              <w:outlineLvl w:val="0"/>
              <w:rPr>
                <w:sz w:val="20"/>
                <w:szCs w:val="20"/>
                <w:lang w:val="en-US"/>
              </w:rPr>
            </w:pPr>
            <w:r>
              <w:rPr>
                <w:sz w:val="20"/>
                <w:szCs w:val="20"/>
                <w:lang w:val="en-US"/>
              </w:rPr>
              <w:t>Agreement on cost-effectiveness thresholds for some manufacturing sectors reached between the 89</w:t>
            </w:r>
            <w:r>
              <w:rPr>
                <w:sz w:val="20"/>
                <w:szCs w:val="20"/>
                <w:vertAlign w:val="superscript"/>
                <w:lang w:val="en-US"/>
              </w:rPr>
              <w:t>th </w:t>
            </w:r>
            <w:r>
              <w:rPr>
                <w:sz w:val="20"/>
                <w:szCs w:val="20"/>
                <w:lang w:val="en-US"/>
              </w:rPr>
              <w:t>and the 9</w:t>
            </w:r>
            <w:r w:rsidR="00613720">
              <w:rPr>
                <w:sz w:val="20"/>
                <w:szCs w:val="20"/>
                <w:lang w:val="en-US"/>
              </w:rPr>
              <w:t>4</w:t>
            </w:r>
            <w:r w:rsidR="00613720" w:rsidRPr="000C7199">
              <w:rPr>
                <w:sz w:val="20"/>
                <w:szCs w:val="20"/>
                <w:vertAlign w:val="superscript"/>
                <w:lang w:val="en-US"/>
              </w:rPr>
              <w:t>th</w:t>
            </w:r>
            <w:r>
              <w:rPr>
                <w:sz w:val="20"/>
                <w:szCs w:val="20"/>
                <w:lang w:val="en-US"/>
              </w:rPr>
              <w:t xml:space="preserve"> meetings. </w:t>
            </w:r>
          </w:p>
          <w:p w14:paraId="16884480" w14:textId="33ADCE28" w:rsidR="004B451F" w:rsidRDefault="004B451F">
            <w:pPr>
              <w:widowControl w:val="0"/>
              <w:spacing w:after="40"/>
              <w:jc w:val="left"/>
              <w:outlineLvl w:val="0"/>
              <w:rPr>
                <w:sz w:val="20"/>
                <w:szCs w:val="20"/>
                <w:lang w:val="en-US"/>
              </w:rPr>
            </w:pPr>
            <w:r>
              <w:rPr>
                <w:sz w:val="20"/>
                <w:szCs w:val="20"/>
                <w:lang w:val="en-US"/>
              </w:rPr>
              <w:t>Information on SMEs prepared for the 92</w:t>
            </w:r>
            <w:r>
              <w:rPr>
                <w:sz w:val="20"/>
                <w:szCs w:val="20"/>
                <w:vertAlign w:val="superscript"/>
                <w:lang w:val="en-US"/>
              </w:rPr>
              <w:t>nd</w:t>
            </w:r>
            <w:r>
              <w:rPr>
                <w:sz w:val="20"/>
                <w:szCs w:val="20"/>
                <w:lang w:val="en-US"/>
              </w:rPr>
              <w:t> meeting available in section II of the present document and working text contained in annex I</w:t>
            </w:r>
            <w:r w:rsidR="00990812">
              <w:rPr>
                <w:sz w:val="20"/>
                <w:szCs w:val="20"/>
                <w:lang w:val="en-US"/>
              </w:rPr>
              <w:t>V</w:t>
            </w:r>
            <w:r>
              <w:rPr>
                <w:sz w:val="20"/>
                <w:szCs w:val="20"/>
                <w:lang w:val="en-US"/>
              </w:rPr>
              <w:t>.</w:t>
            </w:r>
          </w:p>
          <w:p w14:paraId="04B8A929" w14:textId="1349982C" w:rsidR="004B451F" w:rsidRDefault="004B451F">
            <w:pPr>
              <w:widowControl w:val="0"/>
              <w:spacing w:after="40"/>
              <w:jc w:val="left"/>
              <w:outlineLvl w:val="0"/>
              <w:rPr>
                <w:sz w:val="20"/>
                <w:szCs w:val="20"/>
                <w:lang w:val="en-US"/>
              </w:rPr>
            </w:pPr>
            <w:r>
              <w:rPr>
                <w:sz w:val="20"/>
                <w:szCs w:val="20"/>
                <w:lang w:val="en-US"/>
              </w:rPr>
              <w:t>Working texts on cost</w:t>
            </w:r>
            <w:r>
              <w:rPr>
                <w:sz w:val="20"/>
                <w:szCs w:val="20"/>
                <w:lang w:val="en-US"/>
              </w:rPr>
              <w:noBreakHyphen/>
              <w:t>effectiveness thresholds and IOCs available in annex I (</w:t>
            </w:r>
            <w:r w:rsidR="001E7036">
              <w:rPr>
                <w:sz w:val="20"/>
                <w:szCs w:val="20"/>
                <w:lang w:val="en-US"/>
              </w:rPr>
              <w:t xml:space="preserve">final </w:t>
            </w:r>
            <w:r>
              <w:rPr>
                <w:sz w:val="20"/>
                <w:szCs w:val="20"/>
                <w:lang w:val="en-US"/>
              </w:rPr>
              <w:t>proposal</w:t>
            </w:r>
            <w:r w:rsidR="001E7036">
              <w:rPr>
                <w:sz w:val="20"/>
                <w:szCs w:val="20"/>
                <w:lang w:val="en-US"/>
              </w:rPr>
              <w:t>s</w:t>
            </w:r>
            <w:r>
              <w:rPr>
                <w:sz w:val="20"/>
                <w:szCs w:val="20"/>
                <w:lang w:val="en-US"/>
              </w:rPr>
              <w:t xml:space="preserve"> by non</w:t>
            </w:r>
            <w:r>
              <w:rPr>
                <w:sz w:val="20"/>
                <w:szCs w:val="20"/>
                <w:lang w:val="en-US"/>
              </w:rPr>
              <w:noBreakHyphen/>
            </w:r>
            <w:r w:rsidRPr="00AB4F7B">
              <w:rPr>
                <w:sz w:val="20"/>
                <w:szCs w:val="20"/>
                <w:lang w:val="en-US"/>
              </w:rPr>
              <w:t>Article 5 countries</w:t>
            </w:r>
            <w:r w:rsidR="001E7036" w:rsidRPr="00AB4F7B">
              <w:rPr>
                <w:sz w:val="20"/>
                <w:szCs w:val="20"/>
                <w:lang w:val="en-US"/>
              </w:rPr>
              <w:t xml:space="preserve"> and Article 5 countries</w:t>
            </w:r>
            <w:r w:rsidR="00470CC9" w:rsidRPr="00AB4F7B">
              <w:rPr>
                <w:sz w:val="20"/>
                <w:szCs w:val="20"/>
                <w:lang w:val="en-US"/>
              </w:rPr>
              <w:t xml:space="preserve"> as of the 94</w:t>
            </w:r>
            <w:r w:rsidR="00470CC9" w:rsidRPr="00AB4F7B">
              <w:rPr>
                <w:sz w:val="20"/>
                <w:szCs w:val="20"/>
                <w:vertAlign w:val="superscript"/>
                <w:lang w:val="en-US"/>
              </w:rPr>
              <w:t>th</w:t>
            </w:r>
            <w:r w:rsidR="00470CC9" w:rsidRPr="00AB4F7B">
              <w:rPr>
                <w:sz w:val="20"/>
                <w:szCs w:val="20"/>
                <w:lang w:val="en-US"/>
              </w:rPr>
              <w:t xml:space="preserve"> meeting</w:t>
            </w:r>
            <w:r>
              <w:rPr>
                <w:sz w:val="20"/>
                <w:szCs w:val="20"/>
                <w:lang w:val="en-US"/>
              </w:rPr>
              <w:t>).</w:t>
            </w:r>
          </w:p>
        </w:tc>
        <w:tc>
          <w:tcPr>
            <w:tcW w:w="1364" w:type="pct"/>
            <w:tcBorders>
              <w:top w:val="single" w:sz="4" w:space="0" w:color="auto"/>
              <w:left w:val="single" w:sz="4" w:space="0" w:color="auto"/>
              <w:bottom w:val="single" w:sz="4" w:space="0" w:color="auto"/>
              <w:right w:val="single" w:sz="4" w:space="0" w:color="auto"/>
            </w:tcBorders>
            <w:hideMark/>
          </w:tcPr>
          <w:p w14:paraId="3B3E4863" w14:textId="2E803358" w:rsidR="004B451F" w:rsidRDefault="004B451F">
            <w:pPr>
              <w:widowControl w:val="0"/>
              <w:spacing w:after="40"/>
              <w:jc w:val="left"/>
              <w:outlineLvl w:val="0"/>
              <w:rPr>
                <w:sz w:val="20"/>
                <w:szCs w:val="20"/>
                <w:lang w:val="en-US"/>
              </w:rPr>
            </w:pPr>
            <w:r>
              <w:rPr>
                <w:sz w:val="20"/>
                <w:szCs w:val="20"/>
                <w:lang w:val="en-US"/>
              </w:rPr>
              <w:t>To continue discussions on establishing cost</w:t>
            </w:r>
            <w:r>
              <w:rPr>
                <w:sz w:val="20"/>
                <w:szCs w:val="20"/>
                <w:lang w:val="en-US"/>
              </w:rPr>
              <w:noBreakHyphen/>
              <w:t xml:space="preserve">effectiveness thresholds, IOCs in manufacturing sectors, taking into consideration the present document including the information on SMEs, and the working texts contained in annexes I </w:t>
            </w:r>
            <w:r w:rsidR="00A93D1E">
              <w:rPr>
                <w:sz w:val="20"/>
                <w:szCs w:val="20"/>
                <w:lang w:val="en-US"/>
              </w:rPr>
              <w:t>and</w:t>
            </w:r>
            <w:r w:rsidR="00CC6E22">
              <w:rPr>
                <w:sz w:val="20"/>
                <w:szCs w:val="20"/>
                <w:lang w:val="en-US"/>
              </w:rPr>
              <w:t xml:space="preserve"> IV</w:t>
            </w:r>
            <w:r>
              <w:rPr>
                <w:sz w:val="20"/>
                <w:szCs w:val="20"/>
                <w:lang w:val="en-US"/>
              </w:rPr>
              <w:t>.</w:t>
            </w:r>
          </w:p>
        </w:tc>
      </w:tr>
      <w:tr w:rsidR="004B451F" w14:paraId="08567974"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4451AD64" w14:textId="77777777" w:rsidR="004B451F" w:rsidRDefault="004B451F">
            <w:pPr>
              <w:widowControl w:val="0"/>
              <w:spacing w:after="40"/>
              <w:jc w:val="left"/>
              <w:rPr>
                <w:sz w:val="20"/>
                <w:szCs w:val="20"/>
                <w:lang w:val="en-US"/>
              </w:rPr>
            </w:pPr>
            <w:r>
              <w:rPr>
                <w:sz w:val="20"/>
                <w:szCs w:val="20"/>
                <w:lang w:val="en-US"/>
              </w:rPr>
              <w:t>Energy efficiency</w:t>
            </w:r>
          </w:p>
        </w:tc>
        <w:tc>
          <w:tcPr>
            <w:tcW w:w="531" w:type="pct"/>
            <w:tcBorders>
              <w:top w:val="single" w:sz="4" w:space="0" w:color="auto"/>
              <w:left w:val="single" w:sz="4" w:space="0" w:color="auto"/>
              <w:bottom w:val="single" w:sz="4" w:space="0" w:color="auto"/>
              <w:right w:val="single" w:sz="4" w:space="0" w:color="auto"/>
            </w:tcBorders>
            <w:hideMark/>
          </w:tcPr>
          <w:p w14:paraId="0C75B444" w14:textId="77777777" w:rsidR="004B451F" w:rsidRDefault="004B451F">
            <w:pPr>
              <w:widowControl w:val="0"/>
              <w:spacing w:after="40"/>
              <w:jc w:val="center"/>
              <w:rPr>
                <w:sz w:val="20"/>
                <w:szCs w:val="20"/>
                <w:lang w:val="en-US"/>
              </w:rPr>
            </w:pPr>
            <w:r>
              <w:rPr>
                <w:sz w:val="20"/>
                <w:szCs w:val="20"/>
                <w:lang w:val="en-US"/>
              </w:rPr>
              <w:t>22</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914D80" w14:textId="12778608" w:rsidR="004B451F" w:rsidRDefault="004B451F">
            <w:pPr>
              <w:widowControl w:val="0"/>
              <w:spacing w:after="40"/>
              <w:jc w:val="left"/>
              <w:rPr>
                <w:sz w:val="20"/>
                <w:szCs w:val="20"/>
                <w:lang w:val="en-US"/>
              </w:rPr>
            </w:pPr>
            <w:r>
              <w:rPr>
                <w:sz w:val="20"/>
                <w:szCs w:val="20"/>
                <w:lang w:val="en-US"/>
              </w:rPr>
              <w:t>Energy efficiency discussed under a separate agenda item between the 83</w:t>
            </w:r>
            <w:r>
              <w:rPr>
                <w:sz w:val="20"/>
                <w:szCs w:val="20"/>
                <w:vertAlign w:val="superscript"/>
                <w:lang w:val="en-US"/>
              </w:rPr>
              <w:t>rd</w:t>
            </w:r>
            <w:r>
              <w:rPr>
                <w:sz w:val="20"/>
                <w:szCs w:val="20"/>
                <w:lang w:val="en-US"/>
              </w:rPr>
              <w:t> and the 9</w:t>
            </w:r>
            <w:r w:rsidR="00E6511B">
              <w:rPr>
                <w:sz w:val="20"/>
                <w:szCs w:val="20"/>
                <w:lang w:val="en-US"/>
              </w:rPr>
              <w:t>4</w:t>
            </w:r>
            <w:r w:rsidR="00E6511B" w:rsidRPr="00E6511B">
              <w:rPr>
                <w:sz w:val="20"/>
                <w:szCs w:val="20"/>
                <w:vertAlign w:val="superscript"/>
                <w:lang w:val="en-US"/>
              </w:rPr>
              <w:t>th</w:t>
            </w:r>
            <w:r>
              <w:rPr>
                <w:sz w:val="20"/>
                <w:szCs w:val="20"/>
                <w:lang w:val="en-US"/>
              </w:rPr>
              <w:t> meetings.</w:t>
            </w:r>
          </w:p>
          <w:p w14:paraId="5356F533" w14:textId="77777777" w:rsidR="004B451F" w:rsidRDefault="004B451F">
            <w:pPr>
              <w:widowControl w:val="0"/>
              <w:spacing w:after="40"/>
              <w:jc w:val="left"/>
              <w:rPr>
                <w:sz w:val="20"/>
                <w:szCs w:val="20"/>
                <w:lang w:val="en-US"/>
              </w:rPr>
            </w:pPr>
            <w:r>
              <w:rPr>
                <w:sz w:val="20"/>
                <w:szCs w:val="20"/>
                <w:lang w:val="en-US"/>
              </w:rPr>
              <w:t>Funding window established for pilot projects to maintain and/or enhance energy efficiency in the context of HFC phase</w:t>
            </w:r>
            <w:r>
              <w:rPr>
                <w:sz w:val="20"/>
                <w:szCs w:val="20"/>
                <w:lang w:val="en-US"/>
              </w:rPr>
              <w:noBreakHyphen/>
              <w:t>down (decision 91/65).</w:t>
            </w:r>
          </w:p>
          <w:p w14:paraId="4A098D3A" w14:textId="73AD8C20" w:rsidR="004B451F" w:rsidRDefault="00CC1830">
            <w:pPr>
              <w:widowControl w:val="0"/>
              <w:spacing w:after="40"/>
              <w:jc w:val="left"/>
              <w:rPr>
                <w:sz w:val="20"/>
                <w:szCs w:val="20"/>
                <w:lang w:val="en-US"/>
              </w:rPr>
            </w:pPr>
            <w:r>
              <w:rPr>
                <w:sz w:val="20"/>
                <w:szCs w:val="20"/>
                <w:lang w:val="en-US"/>
              </w:rPr>
              <w:t>O</w:t>
            </w:r>
            <w:r w:rsidR="004B451F">
              <w:rPr>
                <w:sz w:val="20"/>
                <w:szCs w:val="20"/>
                <w:lang w:val="en-US"/>
              </w:rPr>
              <w:t>perational framework to support maintaining and/or enhancing energy efficiency</w:t>
            </w:r>
            <w:r w:rsidR="00D047B8">
              <w:rPr>
                <w:sz w:val="20"/>
                <w:szCs w:val="20"/>
                <w:lang w:val="en-US"/>
              </w:rPr>
              <w:t xml:space="preserve"> on manufacturing sectors</w:t>
            </w:r>
            <w:r w:rsidR="00DB1155">
              <w:rPr>
                <w:rStyle w:val="FootnoteReference"/>
                <w:sz w:val="20"/>
                <w:szCs w:val="20"/>
                <w:lang w:val="en-US"/>
              </w:rPr>
              <w:footnoteReference w:id="6"/>
            </w:r>
            <w:r w:rsidR="00D047B8">
              <w:rPr>
                <w:sz w:val="20"/>
                <w:szCs w:val="20"/>
                <w:lang w:val="en-US"/>
              </w:rPr>
              <w:t xml:space="preserve"> to be used for three years</w:t>
            </w:r>
            <w:r w:rsidR="00490818">
              <w:rPr>
                <w:sz w:val="20"/>
                <w:szCs w:val="20"/>
                <w:lang w:val="en-US"/>
              </w:rPr>
              <w:t xml:space="preserve"> </w:t>
            </w:r>
            <w:r w:rsidR="009C693C">
              <w:rPr>
                <w:sz w:val="20"/>
                <w:szCs w:val="20"/>
                <w:lang w:val="en-US"/>
              </w:rPr>
              <w:t xml:space="preserve">with </w:t>
            </w:r>
            <w:r w:rsidR="00490818">
              <w:rPr>
                <w:sz w:val="20"/>
                <w:szCs w:val="20"/>
                <w:lang w:val="en-US"/>
              </w:rPr>
              <w:t>an augmentable funding window</w:t>
            </w:r>
            <w:r w:rsidR="00054638">
              <w:rPr>
                <w:sz w:val="20"/>
                <w:szCs w:val="20"/>
                <w:lang w:val="en-US"/>
              </w:rPr>
              <w:t xml:space="preserve"> established</w:t>
            </w:r>
            <w:r w:rsidR="00D047B8">
              <w:rPr>
                <w:sz w:val="20"/>
                <w:szCs w:val="20"/>
                <w:lang w:val="en-US"/>
              </w:rPr>
              <w:t>,</w:t>
            </w:r>
            <w:r w:rsidR="00367701">
              <w:rPr>
                <w:sz w:val="20"/>
                <w:szCs w:val="20"/>
                <w:lang w:val="en-US"/>
              </w:rPr>
              <w:t xml:space="preserve"> </w:t>
            </w:r>
            <w:r w:rsidR="00D047B8">
              <w:rPr>
                <w:sz w:val="20"/>
                <w:szCs w:val="20"/>
                <w:lang w:val="en-US"/>
              </w:rPr>
              <w:t xml:space="preserve">and further discussion </w:t>
            </w:r>
            <w:r w:rsidR="005E2F24">
              <w:rPr>
                <w:sz w:val="20"/>
                <w:szCs w:val="20"/>
                <w:lang w:val="en-US"/>
              </w:rPr>
              <w:t>on non</w:t>
            </w:r>
            <w:r w:rsidR="00DF1E7D">
              <w:rPr>
                <w:sz w:val="20"/>
                <w:szCs w:val="20"/>
                <w:lang w:val="en-US"/>
              </w:rPr>
              <w:noBreakHyphen/>
            </w:r>
            <w:r w:rsidR="005E2F24">
              <w:rPr>
                <w:sz w:val="20"/>
                <w:szCs w:val="20"/>
                <w:lang w:val="en-US"/>
              </w:rPr>
              <w:t xml:space="preserve">manufacturing </w:t>
            </w:r>
            <w:r w:rsidR="00367701">
              <w:rPr>
                <w:sz w:val="20"/>
                <w:szCs w:val="20"/>
                <w:lang w:val="en-US"/>
              </w:rPr>
              <w:t xml:space="preserve">activities </w:t>
            </w:r>
            <w:r w:rsidR="004B451F">
              <w:rPr>
                <w:sz w:val="20"/>
                <w:szCs w:val="20"/>
                <w:lang w:val="en-US"/>
              </w:rPr>
              <w:t>will continue at the 9</w:t>
            </w:r>
            <w:r w:rsidR="000256FC">
              <w:rPr>
                <w:sz w:val="20"/>
                <w:szCs w:val="20"/>
                <w:lang w:val="en-US"/>
              </w:rPr>
              <w:t>5</w:t>
            </w:r>
            <w:r w:rsidR="004B451F">
              <w:rPr>
                <w:sz w:val="20"/>
                <w:szCs w:val="20"/>
                <w:vertAlign w:val="superscript"/>
                <w:lang w:val="en-US"/>
              </w:rPr>
              <w:t>th</w:t>
            </w:r>
            <w:r w:rsidR="004B451F">
              <w:rPr>
                <w:sz w:val="20"/>
                <w:szCs w:val="20"/>
                <w:lang w:val="en-US"/>
              </w:rPr>
              <w:t> meeting (decision 9</w:t>
            </w:r>
            <w:r w:rsidR="000256FC">
              <w:rPr>
                <w:sz w:val="20"/>
                <w:szCs w:val="20"/>
                <w:lang w:val="en-US"/>
              </w:rPr>
              <w:t>4</w:t>
            </w:r>
            <w:r w:rsidR="004B451F">
              <w:rPr>
                <w:sz w:val="20"/>
                <w:szCs w:val="20"/>
                <w:lang w:val="en-US"/>
              </w:rPr>
              <w:t>/</w:t>
            </w:r>
            <w:r w:rsidR="000256FC">
              <w:rPr>
                <w:sz w:val="20"/>
                <w:szCs w:val="20"/>
                <w:lang w:val="en-US"/>
              </w:rPr>
              <w:t>60</w:t>
            </w:r>
            <w:r w:rsidR="004B451F">
              <w:rPr>
                <w:sz w:val="20"/>
                <w:szCs w:val="20"/>
                <w:lang w:val="en-US"/>
              </w:rPr>
              <w:t>). New document issued as UNEP/OzL.Pro/ExCom/9</w:t>
            </w:r>
            <w:r w:rsidR="009E34FA">
              <w:rPr>
                <w:sz w:val="20"/>
                <w:szCs w:val="20"/>
                <w:lang w:val="en-US"/>
              </w:rPr>
              <w:t>5</w:t>
            </w:r>
            <w:r w:rsidR="004B451F">
              <w:rPr>
                <w:sz w:val="20"/>
                <w:szCs w:val="20"/>
                <w:lang w:val="en-US"/>
              </w:rPr>
              <w:t>/</w:t>
            </w:r>
            <w:r w:rsidR="00BE79A2">
              <w:rPr>
                <w:sz w:val="20"/>
                <w:szCs w:val="20"/>
                <w:lang w:val="en-US"/>
              </w:rPr>
              <w:t>8</w:t>
            </w:r>
            <w:r w:rsidR="001D5009">
              <w:rPr>
                <w:sz w:val="20"/>
                <w:szCs w:val="20"/>
                <w:lang w:val="en-US"/>
              </w:rPr>
              <w:t>7</w:t>
            </w:r>
            <w:r w:rsidR="004B451F">
              <w:rPr>
                <w:sz w:val="20"/>
                <w:szCs w:val="20"/>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7BD2E5" w14:textId="48A0DCAB" w:rsidR="004B451F" w:rsidRDefault="004B451F">
            <w:pPr>
              <w:widowControl w:val="0"/>
              <w:spacing w:after="40"/>
              <w:jc w:val="left"/>
              <w:rPr>
                <w:sz w:val="20"/>
                <w:szCs w:val="20"/>
                <w:lang w:val="en-US"/>
              </w:rPr>
            </w:pPr>
            <w:r>
              <w:rPr>
                <w:sz w:val="20"/>
                <w:szCs w:val="20"/>
                <w:lang w:val="en-US"/>
              </w:rPr>
              <w:t>To consider whether to include in the cost guidelines any decisions made with regard to energy efficiency under agenda item </w:t>
            </w:r>
            <w:r w:rsidRPr="00A90992">
              <w:rPr>
                <w:sz w:val="20"/>
                <w:szCs w:val="20"/>
                <w:lang w:val="en-US"/>
              </w:rPr>
              <w:t>1</w:t>
            </w:r>
            <w:r w:rsidR="00BD558B" w:rsidRPr="00A90992">
              <w:rPr>
                <w:sz w:val="20"/>
                <w:szCs w:val="20"/>
                <w:lang w:val="en-US"/>
              </w:rPr>
              <w:t>1</w:t>
            </w:r>
            <w:r w:rsidR="00F60BDA">
              <w:rPr>
                <w:sz w:val="20"/>
                <w:szCs w:val="20"/>
                <w:lang w:val="en-US"/>
              </w:rPr>
              <w:t>(b)</w:t>
            </w:r>
            <w:r>
              <w:rPr>
                <w:sz w:val="20"/>
                <w:szCs w:val="20"/>
                <w:lang w:val="en-US"/>
              </w:rPr>
              <w:t>.</w:t>
            </w:r>
          </w:p>
        </w:tc>
      </w:tr>
      <w:tr w:rsidR="004B451F" w14:paraId="5DB072FE" w14:textId="77777777" w:rsidTr="004B451F">
        <w:tc>
          <w:tcPr>
            <w:tcW w:w="907" w:type="pct"/>
            <w:tcBorders>
              <w:top w:val="single" w:sz="4" w:space="0" w:color="auto"/>
              <w:left w:val="single" w:sz="4" w:space="0" w:color="auto"/>
              <w:bottom w:val="single" w:sz="4" w:space="0" w:color="auto"/>
              <w:right w:val="single" w:sz="4" w:space="0" w:color="auto"/>
            </w:tcBorders>
            <w:hideMark/>
          </w:tcPr>
          <w:p w14:paraId="787E1E18" w14:textId="77777777" w:rsidR="004B451F" w:rsidRDefault="004B451F" w:rsidP="00292B4B">
            <w:pPr>
              <w:keepNext/>
              <w:spacing w:after="40"/>
              <w:jc w:val="left"/>
              <w:rPr>
                <w:sz w:val="20"/>
                <w:szCs w:val="20"/>
                <w:lang w:val="en-US"/>
              </w:rPr>
            </w:pPr>
            <w:r>
              <w:rPr>
                <w:sz w:val="20"/>
                <w:szCs w:val="20"/>
                <w:lang w:val="en-US"/>
              </w:rPr>
              <w:lastRenderedPageBreak/>
              <w:t>Disposal</w:t>
            </w:r>
          </w:p>
        </w:tc>
        <w:tc>
          <w:tcPr>
            <w:tcW w:w="531" w:type="pct"/>
            <w:tcBorders>
              <w:top w:val="single" w:sz="4" w:space="0" w:color="auto"/>
              <w:left w:val="single" w:sz="4" w:space="0" w:color="auto"/>
              <w:bottom w:val="single" w:sz="4" w:space="0" w:color="auto"/>
              <w:right w:val="single" w:sz="4" w:space="0" w:color="auto"/>
            </w:tcBorders>
            <w:hideMark/>
          </w:tcPr>
          <w:p w14:paraId="19557F73" w14:textId="77777777" w:rsidR="004B451F" w:rsidRDefault="004B451F" w:rsidP="00292B4B">
            <w:pPr>
              <w:keepNext/>
              <w:spacing w:after="40"/>
              <w:jc w:val="center"/>
              <w:rPr>
                <w:sz w:val="20"/>
                <w:szCs w:val="20"/>
                <w:lang w:val="en-US"/>
              </w:rPr>
            </w:pPr>
            <w:r>
              <w:rPr>
                <w:sz w:val="20"/>
                <w:szCs w:val="20"/>
                <w:lang w:val="en-US"/>
              </w:rPr>
              <w:t>24</w:t>
            </w:r>
          </w:p>
        </w:tc>
        <w:tc>
          <w:tcPr>
            <w:tcW w:w="2198" w:type="pct"/>
            <w:tcBorders>
              <w:top w:val="single" w:sz="4" w:space="0" w:color="auto"/>
              <w:left w:val="single" w:sz="4" w:space="0" w:color="auto"/>
              <w:bottom w:val="single" w:sz="4" w:space="0" w:color="auto"/>
              <w:right w:val="single" w:sz="4" w:space="0" w:color="auto"/>
            </w:tcBorders>
            <w:hideMark/>
          </w:tcPr>
          <w:p w14:paraId="000714A8" w14:textId="77777777" w:rsidR="004B451F" w:rsidRDefault="004B451F" w:rsidP="00292B4B">
            <w:pPr>
              <w:keepNext/>
              <w:spacing w:after="40"/>
              <w:jc w:val="left"/>
              <w:rPr>
                <w:sz w:val="20"/>
                <w:szCs w:val="20"/>
                <w:lang w:val="en-US"/>
              </w:rPr>
            </w:pPr>
            <w:r>
              <w:rPr>
                <w:sz w:val="20"/>
                <w:szCs w:val="20"/>
                <w:lang w:val="en-US"/>
              </w:rPr>
              <w:t>Flexibility provided for Article 5 countries to include in their HCFC phase</w:t>
            </w:r>
            <w:r>
              <w:rPr>
                <w:sz w:val="20"/>
                <w:szCs w:val="20"/>
                <w:lang w:val="en-US"/>
              </w:rPr>
              <w:noBreakHyphen/>
              <w:t>out management plans (HPMPs) or Kigali HFC implementation plans (KIPs) activities related to the environmentally sound management of used or unwanted controlled substances, including disposal, taking into account paragraphs 19</w:t>
            </w:r>
            <w:r>
              <w:rPr>
                <w:sz w:val="20"/>
                <w:szCs w:val="20"/>
                <w:lang w:val="en-US"/>
              </w:rPr>
              <w:noBreakHyphen/>
              <w:t>24 of document UNEP/OzL.Pro/ExCom/89/9 and lessons learned from previous ODS disposal projects; deliberations on operationalizing paragraph 24 of decision XXVIII/2 to continue in the context of discussions of HFC phase</w:t>
            </w:r>
            <w:r>
              <w:rPr>
                <w:sz w:val="20"/>
                <w:szCs w:val="20"/>
                <w:lang w:val="en-US"/>
              </w:rPr>
              <w:noBreakHyphen/>
              <w:t>down cost guidelines (decision 90/49(b)).</w:t>
            </w:r>
          </w:p>
          <w:p w14:paraId="2AB01526" w14:textId="3258118A" w:rsidR="004B451F" w:rsidRDefault="004B451F" w:rsidP="00292B4B">
            <w:pPr>
              <w:keepNext/>
              <w:spacing w:after="40"/>
              <w:jc w:val="left"/>
              <w:rPr>
                <w:sz w:val="20"/>
                <w:szCs w:val="20"/>
                <w:lang w:val="en-US"/>
              </w:rPr>
            </w:pPr>
            <w:r>
              <w:rPr>
                <w:sz w:val="20"/>
                <w:szCs w:val="20"/>
                <w:lang w:val="en-US"/>
              </w:rPr>
              <w:t xml:space="preserve">Funding window </w:t>
            </w:r>
            <w:r w:rsidRPr="006A32A2">
              <w:rPr>
                <w:sz w:val="20"/>
                <w:szCs w:val="20"/>
                <w:lang w:val="en-US"/>
              </w:rPr>
              <w:t>established for preparing inventories of banks of used or unwanted controlled substances and developing plans for their collection, transport and disposal (decision 91/66).</w:t>
            </w:r>
            <w:r w:rsidR="00EB2110">
              <w:rPr>
                <w:rStyle w:val="FootnoteReference"/>
                <w:sz w:val="20"/>
                <w:szCs w:val="20"/>
                <w:lang w:val="en-US"/>
              </w:rPr>
              <w:footnoteReference w:id="7"/>
            </w:r>
            <w:r w:rsidR="00202B8D" w:rsidRPr="006A32A2">
              <w:t xml:space="preserve">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81B69" w14:textId="0C949A55" w:rsidR="004B451F" w:rsidRDefault="004B451F" w:rsidP="00292B4B">
            <w:pPr>
              <w:keepNext/>
              <w:spacing w:after="40"/>
              <w:jc w:val="left"/>
              <w:rPr>
                <w:sz w:val="20"/>
                <w:szCs w:val="20"/>
                <w:lang w:val="en-US"/>
              </w:rPr>
            </w:pPr>
            <w:r>
              <w:rPr>
                <w:sz w:val="20"/>
                <w:szCs w:val="20"/>
                <w:lang w:val="en-US"/>
              </w:rPr>
              <w:t>To continue deliberations on operationalizing paragraph 24 of decision XXVIII/2, in the context of the discussion of the cost guidelines for the phase</w:t>
            </w:r>
            <w:r>
              <w:rPr>
                <w:sz w:val="20"/>
                <w:szCs w:val="20"/>
                <w:lang w:val="en-US"/>
              </w:rPr>
              <w:noBreakHyphen/>
              <w:t xml:space="preserve">down of </w:t>
            </w:r>
            <w:r w:rsidRPr="006A32A2">
              <w:rPr>
                <w:sz w:val="20"/>
                <w:szCs w:val="20"/>
                <w:lang w:val="en-US"/>
              </w:rPr>
              <w:t>HFCs in Article 5 countries</w:t>
            </w:r>
            <w:r w:rsidR="00B8666D">
              <w:rPr>
                <w:sz w:val="20"/>
                <w:szCs w:val="20"/>
                <w:lang w:val="en-US"/>
              </w:rPr>
              <w:t>.</w:t>
            </w:r>
            <w:r w:rsidR="00B8666D" w:rsidRPr="006A32A2">
              <w:rPr>
                <w:sz w:val="20"/>
                <w:szCs w:val="20"/>
                <w:lang w:val="en-US"/>
              </w:rPr>
              <w:t xml:space="preserve"> </w:t>
            </w:r>
          </w:p>
        </w:tc>
      </w:tr>
    </w:tbl>
    <w:p w14:paraId="55387109" w14:textId="001F03B5" w:rsidR="004B451F" w:rsidRDefault="004B451F" w:rsidP="004B451F">
      <w:pPr>
        <w:keepLines/>
        <w:rPr>
          <w:sz w:val="18"/>
          <w:szCs w:val="18"/>
        </w:rPr>
      </w:pPr>
      <w:bookmarkStart w:id="3" w:name="_Hlk118106184"/>
      <w:r>
        <w:rPr>
          <w:sz w:val="18"/>
          <w:szCs w:val="18"/>
        </w:rPr>
        <w:t>*Annex V</w:t>
      </w:r>
      <w:r w:rsidR="00EF6FBA">
        <w:rPr>
          <w:sz w:val="18"/>
          <w:szCs w:val="18"/>
        </w:rPr>
        <w:t>I</w:t>
      </w:r>
      <w:r>
        <w:rPr>
          <w:sz w:val="18"/>
          <w:szCs w:val="18"/>
        </w:rPr>
        <w:t xml:space="preserve"> to the present document</w:t>
      </w:r>
    </w:p>
    <w:p w14:paraId="71553C49" w14:textId="3BE874C6" w:rsidR="004B451F" w:rsidRDefault="004B451F" w:rsidP="004B451F">
      <w:pPr>
        <w:pStyle w:val="Style3"/>
      </w:pPr>
      <w:r>
        <w:t>B.</w:t>
      </w:r>
      <w:r>
        <w:tab/>
        <w:t>Summary of discussions on the various components of the cost guidelines for the phase-down of HFCs up to the 9</w:t>
      </w:r>
      <w:r w:rsidR="006573E9">
        <w:t>4</w:t>
      </w:r>
      <w:r w:rsidR="006573E9" w:rsidRPr="009C693C">
        <w:rPr>
          <w:vertAlign w:val="superscript"/>
        </w:rPr>
        <w:t>th</w:t>
      </w:r>
      <w:r w:rsidR="006573E9">
        <w:t xml:space="preserve"> </w:t>
      </w:r>
      <w:r>
        <w:t>meeting</w:t>
      </w:r>
    </w:p>
    <w:p w14:paraId="6DF6AA70" w14:textId="77777777" w:rsidR="004B451F" w:rsidRDefault="004B451F" w:rsidP="004B451F">
      <w:pPr>
        <w:pStyle w:val="Style3"/>
      </w:pPr>
      <w:r>
        <w:t>Methodology for determining the starting point for sustained aggregate reductions</w:t>
      </w:r>
    </w:p>
    <w:p w14:paraId="2AF57683" w14:textId="77777777" w:rsidR="004B451F" w:rsidRDefault="004B451F" w:rsidP="004B451F">
      <w:pPr>
        <w:pStyle w:val="Heading1"/>
        <w:numPr>
          <w:ilvl w:val="0"/>
          <w:numId w:val="21"/>
        </w:numPr>
        <w:spacing w:after="0"/>
      </w:pPr>
      <w:r>
        <w:t>At the 92</w:t>
      </w:r>
      <w:r>
        <w:rPr>
          <w:vertAlign w:val="superscript"/>
        </w:rPr>
        <w:t>nd</w:t>
      </w:r>
      <w:r>
        <w:t xml:space="preserve"> meeting, the Executive Committee discussed the methodology for determining the starting point for sustained aggregate reductions following an introduction of document UNEP/OzL.Pro/ExCom/92/46. During the discussions, later continued in a contact group, a member found the methodology proposed by the Secretariat interesting and another member mentioned that although his delegation had been in favour of the starting point being measured in metric tonnes (mt), the Secretariat’s proposal included appropriate mechanisms that appeared to address the previously raised concerns about the funding liability under the CO</w:t>
      </w:r>
      <w:r>
        <w:rPr>
          <w:vertAlign w:val="subscript"/>
        </w:rPr>
        <w:t>2</w:t>
      </w:r>
      <w:r>
        <w:t>-equivalent (CO</w:t>
      </w:r>
      <w:r>
        <w:rPr>
          <w:vertAlign w:val="subscript"/>
        </w:rPr>
        <w:t>2</w:t>
      </w:r>
      <w:r>
        <w:t>-eq) tonne approach. He was therefore open-minded to the approach to be taken. Issues that needed further discussion and raised by members included: the need to clarify the methodology for including the HCFC component of the HFC baseline in the starting point and an appropriate level for the starting point; that the policy for the final phase</w:t>
      </w:r>
      <w:r>
        <w:noBreakHyphen/>
        <w:t>down step was still under consideration; that subparagraph 18(e) and paragraph 19 of decision XXVIII/2 were to be read in conjunction; that an incentive might be needed for Article 5 countries to transition to low</w:t>
      </w:r>
      <w:r>
        <w:noBreakHyphen/>
        <w:t>GWP refrigerants as quickly as possible; that further consideration should be given to the transfer of ineligible consumption, including at ineligible enterprises, from the manufacturing to the servicing sector, including approaches other than that identified in the document; that it might be desirable to review the methodology in 2029; addressing phase-out achieved without assistance from the Multilateral Fund; and the need for more precise wording in subparagraph 6(a) of the document.</w:t>
      </w:r>
    </w:p>
    <w:p w14:paraId="25D041C1" w14:textId="489C1384" w:rsidR="004B451F" w:rsidRDefault="004B451F" w:rsidP="004B451F">
      <w:pPr>
        <w:pStyle w:val="Heading1"/>
        <w:numPr>
          <w:ilvl w:val="0"/>
          <w:numId w:val="21"/>
        </w:numPr>
        <w:spacing w:before="240"/>
      </w:pPr>
      <w:r>
        <w:t>The Executive Committee did not conclude its deliberations on the methodology for determining the starting point at the 92</w:t>
      </w:r>
      <w:r>
        <w:rPr>
          <w:vertAlign w:val="superscript"/>
        </w:rPr>
        <w:t>nd</w:t>
      </w:r>
      <w:r>
        <w:t xml:space="preserve"> meeting and, therefore, continued its discussions on the matter at the 93</w:t>
      </w:r>
      <w:r>
        <w:rPr>
          <w:vertAlign w:val="superscript"/>
        </w:rPr>
        <w:t>rd</w:t>
      </w:r>
      <w:r>
        <w:t> meeting. During the Committee’s discussions at the 93</w:t>
      </w:r>
      <w:r>
        <w:rPr>
          <w:vertAlign w:val="superscript"/>
        </w:rPr>
        <w:t>rd</w:t>
      </w:r>
      <w:r>
        <w:t xml:space="preserve"> meeting, some members reiterated the need </w:t>
      </w:r>
      <w:r>
        <w:lastRenderedPageBreak/>
        <w:t>to continue making progress on agreeing on a methodology for determining the starting point. Support was expressed for measuring the starting point in carbon dioxide-equivalent tonnes, with one member noting that such an approach would ensure consistency with KIPs. Another member said that there was a need to take into account the impact of the COVID-19 pandemic on HFC consumption, including with respect to determining the starting point. Another member, recalling his delegation’s openness in principle to considering the methodology proposed by the Secretariat for the starting point, said that he looked forward to discussing the matter further in a contact group.</w:t>
      </w:r>
      <w:r w:rsidR="002408DB" w:rsidRPr="002408DB">
        <w:t xml:space="preserve"> In addition, the Government of Australia submitted a proposal related to the starting point.</w:t>
      </w:r>
    </w:p>
    <w:p w14:paraId="41774B80" w14:textId="3E5E5BDA" w:rsidR="004B451F" w:rsidRDefault="00B46184" w:rsidP="004B451F">
      <w:pPr>
        <w:pStyle w:val="Heading1"/>
        <w:numPr>
          <w:ilvl w:val="0"/>
          <w:numId w:val="21"/>
        </w:numPr>
      </w:pPr>
      <w:r>
        <w:t>At the 94</w:t>
      </w:r>
      <w:r w:rsidRPr="009C693C">
        <w:rPr>
          <w:vertAlign w:val="superscript"/>
        </w:rPr>
        <w:t>th</w:t>
      </w:r>
      <w:r>
        <w:t xml:space="preserve"> meeting, t</w:t>
      </w:r>
      <w:r w:rsidR="004B451F">
        <w:t>he Executive Committee did not have an opportunity to discuss the working text on the starting point for sustained aggregate reductions in HFC consumption submitted by the Government of Australia</w:t>
      </w:r>
      <w:r w:rsidR="00122E33">
        <w:t xml:space="preserve"> during the 93</w:t>
      </w:r>
      <w:r w:rsidR="00122E33" w:rsidRPr="001F6AA9">
        <w:rPr>
          <w:vertAlign w:val="superscript"/>
        </w:rPr>
        <w:t>rd</w:t>
      </w:r>
      <w:r w:rsidR="00122E33">
        <w:t xml:space="preserve"> </w:t>
      </w:r>
      <w:r w:rsidR="006B68F5">
        <w:t>meeting and</w:t>
      </w:r>
      <w:r w:rsidR="004B451F">
        <w:t xml:space="preserve"> agreed to continue its consideration of the matter at the 9</w:t>
      </w:r>
      <w:r w:rsidR="00096A02">
        <w:t>5</w:t>
      </w:r>
      <w:r w:rsidR="004B451F">
        <w:rPr>
          <w:vertAlign w:val="superscript"/>
        </w:rPr>
        <w:t>th</w:t>
      </w:r>
      <w:r w:rsidR="004B451F">
        <w:t xml:space="preserve"> meeting using that working text, included as annex V to the present document.  </w:t>
      </w:r>
    </w:p>
    <w:p w14:paraId="189844CB" w14:textId="58E41EEB" w:rsidR="004B451F" w:rsidRDefault="0021561B" w:rsidP="004B451F">
      <w:pPr>
        <w:widowControl w:val="0"/>
        <w:spacing w:before="240" w:after="240"/>
        <w:outlineLvl w:val="0"/>
        <w:rPr>
          <w:b/>
          <w:bCs/>
        </w:rPr>
      </w:pPr>
      <w:bookmarkStart w:id="4" w:name="_Hlk117682314"/>
      <w:bookmarkEnd w:id="3"/>
      <w:r>
        <w:rPr>
          <w:b/>
          <w:bCs/>
        </w:rPr>
        <w:t xml:space="preserve">Cost-effectiveness </w:t>
      </w:r>
      <w:r w:rsidR="007D0A34">
        <w:rPr>
          <w:b/>
          <w:bCs/>
        </w:rPr>
        <w:t xml:space="preserve">thresholds </w:t>
      </w:r>
      <w:r>
        <w:rPr>
          <w:b/>
          <w:bCs/>
        </w:rPr>
        <w:t xml:space="preserve">and </w:t>
      </w:r>
      <w:r w:rsidR="004A42C2">
        <w:rPr>
          <w:b/>
          <w:bCs/>
        </w:rPr>
        <w:t>e</w:t>
      </w:r>
      <w:r w:rsidR="004B451F">
        <w:rPr>
          <w:b/>
          <w:bCs/>
        </w:rPr>
        <w:t>ligible incremental costs for the consumption manufacturing sector</w:t>
      </w:r>
    </w:p>
    <w:p w14:paraId="6967B892" w14:textId="659218D5" w:rsidR="00172343" w:rsidRPr="001070CF" w:rsidRDefault="00172343" w:rsidP="004B451F">
      <w:pPr>
        <w:pStyle w:val="Heading1"/>
        <w:widowControl w:val="0"/>
        <w:numPr>
          <w:ilvl w:val="0"/>
          <w:numId w:val="21"/>
        </w:numPr>
      </w:pPr>
      <w:bookmarkStart w:id="5" w:name="_Hlk118106273"/>
      <w:bookmarkEnd w:id="4"/>
      <w:r>
        <w:t>As described in paragraph 45 of</w:t>
      </w:r>
      <w:r>
        <w:rPr>
          <w:rFonts w:eastAsia="Calibri"/>
        </w:rPr>
        <w:t xml:space="preserve"> document UNEP/OzL.Pro/ExCom/78/5, t</w:t>
      </w:r>
      <w:r w:rsidRPr="00244536">
        <w:rPr>
          <w:rFonts w:eastAsia="Calibri"/>
        </w:rPr>
        <w:t>he Secretariat has always reviewed project proposals based on the incremental cost</w:t>
      </w:r>
      <w:r>
        <w:rPr>
          <w:rStyle w:val="FootnoteReference"/>
          <w:rFonts w:eastAsia="Calibri"/>
        </w:rPr>
        <w:footnoteReference w:id="8"/>
      </w:r>
      <w:r w:rsidRPr="00244536">
        <w:rPr>
          <w:rFonts w:eastAsia="Calibri"/>
        </w:rPr>
        <w:t xml:space="preserve"> and in line with the guidelines and decisions of the Executive Committee. The incremental cost is assessed based on, inter alia, the baseline equipment in the enterprise, the number of products manufactured, the amount of controlled substances and other raw materials used, the consideration of technological upgrades</w:t>
      </w:r>
      <w:r w:rsidR="00B42CFE">
        <w:rPr>
          <w:rStyle w:val="FootnoteReference"/>
          <w:rFonts w:eastAsia="Calibri"/>
        </w:rPr>
        <w:footnoteReference w:id="9"/>
      </w:r>
      <w:r w:rsidRPr="00244536">
        <w:rPr>
          <w:rFonts w:eastAsia="Calibri"/>
        </w:rPr>
        <w:t xml:space="preserve"> and the alternative technology selected. Once all technical and cost issues have been satisfactorily addressed and an agreement on the incremental cost has been reached between the Secretariat and relevant bilateral/implementing agencies, the cost-effectiveness of the project is calculated by dividing the agreed level of funding by the total amount of controlled substances to be phased out. </w:t>
      </w:r>
    </w:p>
    <w:p w14:paraId="2493EAAD" w14:textId="30FDA25A" w:rsidR="004B451F" w:rsidRDefault="004B451F" w:rsidP="004B451F">
      <w:pPr>
        <w:pStyle w:val="Heading1"/>
        <w:widowControl w:val="0"/>
        <w:numPr>
          <w:ilvl w:val="0"/>
          <w:numId w:val="21"/>
        </w:numPr>
      </w:pPr>
      <w:r>
        <w:t>Preliminary discussions on cost-effectiveness thresholds for the phase-down of HFCs in the consumption manufacturing sector started at the 78</w:t>
      </w:r>
      <w:r>
        <w:rPr>
          <w:vertAlign w:val="superscript"/>
        </w:rPr>
        <w:t>th</w:t>
      </w:r>
      <w:r>
        <w:t xml:space="preserve"> meeting, where members noted </w:t>
      </w:r>
      <w:r>
        <w:rPr>
          <w:i/>
        </w:rPr>
        <w:t xml:space="preserve">inter alia </w:t>
      </w:r>
      <w:r>
        <w:t>that the cost</w:t>
      </w:r>
      <w:r>
        <w:noBreakHyphen/>
        <w:t>effectiveness thresholds for the phase</w:t>
      </w:r>
      <w:r>
        <w:noBreakHyphen/>
        <w:t>out of CFCs and HCFCs were not necessarily applicable to HFCs, that there was limited experience at the Fund in phasing out HFCs in certain sectors</w:t>
      </w:r>
      <w:bookmarkEnd w:id="5"/>
      <w:r>
        <w:t>, and that the associated incremental costs might differ from the costs associated with phasing out other controlled substances. Accordingly, the Executive Committee considered that additional information was required to reach a decision on the eligible incremental costs and agreed to consider approving a limited number of stand</w:t>
      </w:r>
      <w:r>
        <w:noBreakHyphen/>
        <w:t>alone HFC investment projects.</w:t>
      </w:r>
    </w:p>
    <w:p w14:paraId="599EBAE6" w14:textId="77777777" w:rsidR="004B451F" w:rsidRDefault="004B451F" w:rsidP="004B451F">
      <w:pPr>
        <w:pStyle w:val="Heading1"/>
        <w:widowControl w:val="0"/>
        <w:numPr>
          <w:ilvl w:val="0"/>
          <w:numId w:val="21"/>
        </w:numPr>
      </w:pPr>
      <w:r>
        <w:t>In line with decisions 78/3(g),</w:t>
      </w:r>
      <w:r>
        <w:rPr>
          <w:vertAlign w:val="superscript"/>
        </w:rPr>
        <w:footnoteReference w:id="10"/>
      </w:r>
      <w:r>
        <w:t xml:space="preserve"> 79/45,</w:t>
      </w:r>
      <w:r>
        <w:rPr>
          <w:vertAlign w:val="superscript"/>
        </w:rPr>
        <w:footnoteReference w:id="11"/>
      </w:r>
      <w:r>
        <w:t xml:space="preserve"> 81/53,</w:t>
      </w:r>
      <w:r>
        <w:rPr>
          <w:rStyle w:val="FootnoteReference"/>
        </w:rPr>
        <w:footnoteReference w:id="12"/>
      </w:r>
      <w:r>
        <w:t xml:space="preserve"> and 84/53,</w:t>
      </w:r>
      <w:r>
        <w:rPr>
          <w:rStyle w:val="FootnoteReference"/>
        </w:rPr>
        <w:footnoteReference w:id="13"/>
      </w:r>
      <w:r>
        <w:t xml:space="preserve"> the Executive Committee approved </w:t>
      </w:r>
      <w:r>
        <w:lastRenderedPageBreak/>
        <w:t>10 stand-alone HFC investment projects in the domestic and commercial refrigeration manufacturing sectors.</w:t>
      </w:r>
      <w:r>
        <w:rPr>
          <w:vertAlign w:val="superscript"/>
        </w:rPr>
        <w:footnoteReference w:id="14"/>
      </w:r>
    </w:p>
    <w:p w14:paraId="3974F168" w14:textId="77777777" w:rsidR="004B451F" w:rsidRDefault="004B451F" w:rsidP="004B451F">
      <w:pPr>
        <w:pStyle w:val="Heading1"/>
        <w:numPr>
          <w:ilvl w:val="0"/>
          <w:numId w:val="21"/>
        </w:numPr>
        <w:spacing w:after="0"/>
        <w:rPr>
          <w:rFonts w:eastAsia="Calibri"/>
          <w:noProof/>
        </w:rPr>
      </w:pPr>
      <w:r>
        <w:rPr>
          <w:rFonts w:eastAsia="Calibri"/>
          <w:noProof/>
        </w:rPr>
        <w:t>Additional discussions were held at the 83</w:t>
      </w:r>
      <w:r>
        <w:rPr>
          <w:rFonts w:eastAsia="Calibri"/>
          <w:noProof/>
          <w:vertAlign w:val="superscript"/>
        </w:rPr>
        <w:t>rd</w:t>
      </w:r>
      <w:r>
        <w:rPr>
          <w:rFonts w:eastAsia="Calibri"/>
          <w:noProof/>
        </w:rPr>
        <w:t xml:space="preserve"> and the 84</w:t>
      </w:r>
      <w:r>
        <w:rPr>
          <w:rFonts w:eastAsia="Calibri"/>
          <w:noProof/>
          <w:vertAlign w:val="superscript"/>
        </w:rPr>
        <w:t>th</w:t>
      </w:r>
      <w:r>
        <w:rPr>
          <w:rFonts w:eastAsia="Calibri"/>
          <w:noProof/>
        </w:rPr>
        <w:t xml:space="preserve"> meeting, where the Executive Committee requested the Secretariat to prepare for its 86</w:t>
      </w:r>
      <w:r>
        <w:rPr>
          <w:rFonts w:eastAsia="Calibri"/>
          <w:noProof/>
          <w:vertAlign w:val="superscript"/>
        </w:rPr>
        <w:t>th</w:t>
      </w:r>
      <w:r>
        <w:rPr>
          <w:rFonts w:eastAsia="Calibri"/>
          <w:noProof/>
        </w:rPr>
        <w:t xml:space="preserve"> meeting an analysis of and information on the incremental capital costs (ICCs) and IOCs and their duration in the consumption manufacturing sector (decision 84/87(a)).</w:t>
      </w:r>
    </w:p>
    <w:p w14:paraId="565DF32E" w14:textId="77777777" w:rsidR="004B451F" w:rsidRPr="00122BF3" w:rsidRDefault="004B451F" w:rsidP="004B451F">
      <w:pPr>
        <w:pStyle w:val="Heading1"/>
        <w:widowControl w:val="0"/>
        <w:numPr>
          <w:ilvl w:val="0"/>
          <w:numId w:val="21"/>
        </w:numPr>
        <w:spacing w:before="240"/>
      </w:pPr>
      <w:r>
        <w:t>At the 89</w:t>
      </w:r>
      <w:r>
        <w:rPr>
          <w:vertAlign w:val="superscript"/>
        </w:rPr>
        <w:t>th</w:t>
      </w:r>
      <w:r>
        <w:t xml:space="preserve"> meeting, the Secretariat presented document UNEP/OzL.Pro/ExCom/89/10/Rev.1, containing </w:t>
      </w:r>
      <w:r>
        <w:rPr>
          <w:rFonts w:eastAsia="Calibri"/>
          <w:noProof/>
        </w:rPr>
        <w:t>a summary of the ICCs, IOCs, and the cost</w:t>
      </w:r>
      <w:r>
        <w:rPr>
          <w:rFonts w:eastAsia="Calibri"/>
          <w:noProof/>
        </w:rPr>
        <w:noBreakHyphen/>
        <w:t>effectiveness of investment projects approved in particular for the refrigeration and air</w:t>
      </w:r>
      <w:r>
        <w:rPr>
          <w:rFonts w:eastAsia="Calibri"/>
          <w:noProof/>
        </w:rPr>
        <w:noBreakHyphen/>
        <w:t xml:space="preserve">conditioning (RAC) and foam manufacturing sectors; and document UNEP/OzL.Pro/ExCom/89/10/Add.1, presenting a preliminary analysis </w:t>
      </w:r>
      <w:r>
        <w:t xml:space="preserve">of the ICCs and IOCs incurred in the completed </w:t>
      </w:r>
      <w:r w:rsidRPr="00122BF3">
        <w:t>conversions of HFC</w:t>
      </w:r>
      <w:r w:rsidRPr="00122BF3">
        <w:noBreakHyphen/>
        <w:t>consuming enterprises. Only two out of the six outstanding reports from completed projects approved under decision 78/3(g) have been received by the Secretariat. Once all outstanding reports are received by the Secretariat, an update of the document will be provided.</w:t>
      </w:r>
    </w:p>
    <w:p w14:paraId="6D4701BA" w14:textId="08B50B25" w:rsidR="004B451F" w:rsidRDefault="004B451F" w:rsidP="004B451F">
      <w:pPr>
        <w:pStyle w:val="Heading1"/>
        <w:numPr>
          <w:ilvl w:val="0"/>
          <w:numId w:val="21"/>
        </w:numPr>
      </w:pPr>
      <w:r>
        <w:t>At the 89</w:t>
      </w:r>
      <w:r>
        <w:rPr>
          <w:vertAlign w:val="superscript"/>
        </w:rPr>
        <w:t>th</w:t>
      </w:r>
      <w:r>
        <w:t>, 90</w:t>
      </w:r>
      <w:r>
        <w:rPr>
          <w:vertAlign w:val="superscript"/>
        </w:rPr>
        <w:t>th</w:t>
      </w:r>
      <w:r>
        <w:t xml:space="preserve"> and 91</w:t>
      </w:r>
      <w:r>
        <w:rPr>
          <w:vertAlign w:val="superscript"/>
        </w:rPr>
        <w:t>st</w:t>
      </w:r>
      <w:r>
        <w:t xml:space="preserve"> meetings, the contact group established to discuss the matter agreed that in the interim, cost</w:t>
      </w:r>
      <w:r>
        <w:noBreakHyphen/>
        <w:t xml:space="preserve">effectiveness thresholds would be used at </w:t>
      </w:r>
      <w:r w:rsidR="004E3C37">
        <w:t>US $</w:t>
      </w:r>
      <w:r>
        <w:t xml:space="preserve">13.76/kg for the domestic refrigeration sector, and at </w:t>
      </w:r>
      <w:r w:rsidR="004E3C37">
        <w:t>US $</w:t>
      </w:r>
      <w:r>
        <w:t>9.00/kg for the rigid PU foam sector, with special consideration for SMEs, while the cost</w:t>
      </w:r>
      <w:r>
        <w:noBreakHyphen/>
        <w:t>effectiveness of projects in the flexible PU foam, integral skin, extruded polystyrene (XPS) foam, aerosol, fire extinguishing, metered-dose inhaler, solvent, mobile AC, and transport refrigeration sectors would be considered on a case</w:t>
      </w:r>
      <w:r>
        <w:noBreakHyphen/>
        <w:t>by</w:t>
      </w:r>
      <w:r>
        <w:noBreakHyphen/>
        <w:t>case basis.</w:t>
      </w:r>
    </w:p>
    <w:p w14:paraId="581A2A7D" w14:textId="77777777" w:rsidR="004B451F" w:rsidRDefault="004B451F" w:rsidP="004B451F">
      <w:pPr>
        <w:pStyle w:val="Heading1"/>
        <w:numPr>
          <w:ilvl w:val="0"/>
          <w:numId w:val="21"/>
        </w:numPr>
      </w:pPr>
      <w:r>
        <w:t>The group did not reach conclusions regarding the appropriate cost</w:t>
      </w:r>
      <w:r>
        <w:noBreakHyphen/>
        <w:t>effectiveness thresholds for projects in the commercial refrigeration sector as well as the stationary domestic and commercial AC manufacturing subsectors, and on whether those latter two subsectors should be considered together or separately. There was a common understanding that special consideration should be given to small enterprises in commercial refrigeration and commercial AC manufacturing, but additional information on what constituted a “small enterprise” in the sector was required. At the 91</w:t>
      </w:r>
      <w:r>
        <w:rPr>
          <w:vertAlign w:val="superscript"/>
        </w:rPr>
        <w:t>st</w:t>
      </w:r>
      <w:r>
        <w:t xml:space="preserve"> meeting, the Executive Committee agreed to continue to discuss at the 92</w:t>
      </w:r>
      <w:r>
        <w:rPr>
          <w:vertAlign w:val="superscript"/>
        </w:rPr>
        <w:t>nd</w:t>
      </w:r>
      <w:r>
        <w:t xml:space="preserve"> meeting thresholds for stationary AC and </w:t>
      </w:r>
      <w:r>
        <w:rPr>
          <w:shd w:val="clear" w:color="auto" w:fill="FFFFFF" w:themeFill="background1"/>
        </w:rPr>
        <w:t>commercial refrigeration and IOCs on the basis of the working text used by the contact group,</w:t>
      </w:r>
      <w:r>
        <w:rPr>
          <w:rStyle w:val="FootnoteReference"/>
          <w:shd w:val="clear" w:color="auto" w:fill="FFFFFF" w:themeFill="background1"/>
        </w:rPr>
        <w:footnoteReference w:id="15"/>
      </w:r>
      <w:r>
        <w:rPr>
          <w:shd w:val="clear" w:color="auto" w:fill="FFFFFF" w:themeFill="background1"/>
        </w:rPr>
        <w:t xml:space="preserve"> and to request the Secretariat to provide information to assist the Executive Committee</w:t>
      </w:r>
      <w:r>
        <w:t xml:space="preserve"> in its consideration of what constitutes an SME in the commercial AC manufacturing and commercial refrigeration manufacturing sectors</w:t>
      </w:r>
      <w:bookmarkStart w:id="6" w:name="_Hlk117698701"/>
      <w:r>
        <w:t xml:space="preserve"> (decision 91/64(b)).</w:t>
      </w:r>
    </w:p>
    <w:p w14:paraId="7EDCE93A" w14:textId="77777777" w:rsidR="004B451F" w:rsidRDefault="004B451F" w:rsidP="004B451F">
      <w:pPr>
        <w:pStyle w:val="Heading1"/>
        <w:numPr>
          <w:ilvl w:val="0"/>
          <w:numId w:val="21"/>
        </w:numPr>
        <w:rPr>
          <w:shd w:val="clear" w:color="auto" w:fill="FFFFFF" w:themeFill="background1"/>
        </w:rPr>
      </w:pPr>
      <w:r>
        <w:t>At the 92</w:t>
      </w:r>
      <w:r>
        <w:rPr>
          <w:vertAlign w:val="superscript"/>
        </w:rPr>
        <w:t>nd</w:t>
      </w:r>
      <w:r>
        <w:t xml:space="preserve"> meeting, the contact group discussed information prepared by the Secretariat to assist the Executive Committee in defining what were to be considered SMEs in the commercial AC manufacturing and commercial refrigeration manufacturing sectors. This information and the relevant discussion are included in section II of the present document. The </w:t>
      </w:r>
      <w:r>
        <w:rPr>
          <w:shd w:val="clear" w:color="auto" w:fill="FFFFFF" w:themeFill="background1"/>
        </w:rPr>
        <w:t>Executive Committee agreed to continue discussions at its 93</w:t>
      </w:r>
      <w:r>
        <w:rPr>
          <w:shd w:val="clear" w:color="auto" w:fill="FFFFFF" w:themeFill="background1"/>
          <w:vertAlign w:val="superscript"/>
        </w:rPr>
        <w:t>rd</w:t>
      </w:r>
      <w:r>
        <w:rPr>
          <w:shd w:val="clear" w:color="auto" w:fill="FFFFFF" w:themeFill="background1"/>
        </w:rPr>
        <w:t xml:space="preserve"> meeting.</w:t>
      </w:r>
    </w:p>
    <w:p w14:paraId="7BEC64E1" w14:textId="159C6EA4" w:rsidR="004B451F" w:rsidRDefault="004B451F" w:rsidP="004B451F">
      <w:pPr>
        <w:pStyle w:val="Heading1"/>
        <w:numPr>
          <w:ilvl w:val="0"/>
          <w:numId w:val="21"/>
        </w:numPr>
      </w:pPr>
      <w:r>
        <w:t>At the 93</w:t>
      </w:r>
      <w:r>
        <w:rPr>
          <w:vertAlign w:val="superscript"/>
        </w:rPr>
        <w:t>rd</w:t>
      </w:r>
      <w:r>
        <w:t xml:space="preserve"> meeting, two separate proposals on the outstanding elements of the HFC cost guidelines, including the cost-effectiveness thresholds and the IOC levels and their duration, were put forward in the contact group, one by non-Article 5 countries and the other by Article 5 countries</w:t>
      </w:r>
      <w:r w:rsidR="00A10A60">
        <w:t>.</w:t>
      </w:r>
      <w:r>
        <w:t xml:space="preserve"> In addition, some non-Article 5 countries suggested that an extra percentage bonus might be provided to encourage the transition to no- or low-GWP alternatives.</w:t>
      </w:r>
    </w:p>
    <w:p w14:paraId="2A66B082" w14:textId="464D8708" w:rsidR="003C1F6E" w:rsidRPr="003C1F6E" w:rsidRDefault="00555FF5" w:rsidP="009A0483">
      <w:pPr>
        <w:pStyle w:val="Heading1"/>
      </w:pPr>
      <w:r>
        <w:lastRenderedPageBreak/>
        <w:t>At the 94</w:t>
      </w:r>
      <w:r w:rsidRPr="009A0483">
        <w:rPr>
          <w:vertAlign w:val="superscript"/>
        </w:rPr>
        <w:t>th</w:t>
      </w:r>
      <w:r>
        <w:t xml:space="preserve"> meeting, </w:t>
      </w:r>
      <w:r w:rsidR="00E83B1A">
        <w:t xml:space="preserve">non-Article 5 and Article 5 countries provided revised proposals (annexes II and III to the present document), agreed to </w:t>
      </w:r>
      <w:r w:rsidR="00BC1459">
        <w:t>discuss</w:t>
      </w:r>
      <w:r w:rsidR="00E83B1A" w:rsidRPr="00E83B1A">
        <w:t xml:space="preserve"> in a smaller group consisting of representatives of four Article 5 Parties and four non-Article 5 Parties and the contact group prepared a final consolidated working document with the latest proposals on cost-effectiveness thresholds and IOCs and</w:t>
      </w:r>
      <w:r w:rsidR="00D265E7">
        <w:t xml:space="preserve"> the values agreed so far</w:t>
      </w:r>
      <w:r w:rsidR="00E83B1A" w:rsidRPr="00E83B1A">
        <w:t>,</w:t>
      </w:r>
      <w:r w:rsidR="00775702">
        <w:rPr>
          <w:rStyle w:val="FootnoteReference"/>
        </w:rPr>
        <w:footnoteReference w:id="16"/>
      </w:r>
      <w:r w:rsidR="00E83B1A" w:rsidRPr="00E83B1A">
        <w:t xml:space="preserve"> included as annex I to the present document</w:t>
      </w:r>
      <w:r w:rsidR="00BC1459">
        <w:t>.</w:t>
      </w:r>
      <w:r w:rsidR="00C672D2">
        <w:t xml:space="preserve"> </w:t>
      </w:r>
      <w:r w:rsidR="00B967C8">
        <w:t xml:space="preserve">The </w:t>
      </w:r>
      <w:r w:rsidR="00463168">
        <w:t xml:space="preserve">columns specifying the </w:t>
      </w:r>
      <w:r w:rsidR="003763AB">
        <w:t xml:space="preserve">IOCs in </w:t>
      </w:r>
      <w:r w:rsidR="00A307D2">
        <w:t>a</w:t>
      </w:r>
      <w:r w:rsidR="003763AB">
        <w:t>nnexes I</w:t>
      </w:r>
      <w:r w:rsidR="00A307D2">
        <w:t xml:space="preserve">, II and </w:t>
      </w:r>
      <w:r w:rsidR="003763AB">
        <w:t xml:space="preserve">III are part of </w:t>
      </w:r>
      <w:r w:rsidR="000138E6">
        <w:t xml:space="preserve">the </w:t>
      </w:r>
      <w:r w:rsidR="00463168">
        <w:t xml:space="preserve">columns specifying </w:t>
      </w:r>
      <w:r w:rsidR="003763AB">
        <w:t>the cost-effectiveness</w:t>
      </w:r>
      <w:r w:rsidR="00B967C8">
        <w:t xml:space="preserve"> thresholds</w:t>
      </w:r>
      <w:r w:rsidR="000C79EF">
        <w:t xml:space="preserve">. </w:t>
      </w:r>
      <w:r w:rsidR="000B32B0" w:rsidRPr="000B32B0">
        <w:t>Discussions related to large enterprises in the stationary air</w:t>
      </w:r>
      <w:r w:rsidR="007206A1">
        <w:noBreakHyphen/>
      </w:r>
      <w:r w:rsidR="000B32B0" w:rsidRPr="000B32B0">
        <w:t>conditioning sector</w:t>
      </w:r>
      <w:r w:rsidR="000B32B0">
        <w:t xml:space="preserve"> and </w:t>
      </w:r>
      <w:r w:rsidR="000B32B0" w:rsidRPr="000B32B0">
        <w:t>SMEs would need to continue at the 95</w:t>
      </w:r>
      <w:r w:rsidR="000B32B0" w:rsidRPr="009A0483">
        <w:rPr>
          <w:vertAlign w:val="superscript"/>
        </w:rPr>
        <w:t>th</w:t>
      </w:r>
      <w:r w:rsidR="009A0483">
        <w:t xml:space="preserve"> </w:t>
      </w:r>
      <w:r w:rsidR="000B32B0" w:rsidRPr="000B32B0">
        <w:t>meeting.</w:t>
      </w:r>
    </w:p>
    <w:p w14:paraId="36E71409" w14:textId="77777777" w:rsidR="004B451F" w:rsidRPr="00A73B57" w:rsidRDefault="004B451F" w:rsidP="004B451F">
      <w:pPr>
        <w:pStyle w:val="Heading1"/>
        <w:keepNext/>
        <w:keepLines/>
        <w:numPr>
          <w:ilvl w:val="0"/>
          <w:numId w:val="0"/>
        </w:numPr>
        <w:tabs>
          <w:tab w:val="left" w:pos="720"/>
        </w:tabs>
        <w:spacing w:before="360"/>
        <w:rPr>
          <w:rFonts w:eastAsia="Calibri"/>
          <w:u w:val="single"/>
        </w:rPr>
      </w:pPr>
      <w:r w:rsidRPr="00A73B57">
        <w:rPr>
          <w:rFonts w:eastAsia="Calibri"/>
          <w:u w:val="single"/>
        </w:rPr>
        <w:t>Incremental operating costs</w:t>
      </w:r>
    </w:p>
    <w:p w14:paraId="59F86054" w14:textId="47D3CA3E" w:rsidR="004B451F" w:rsidRDefault="004B451F" w:rsidP="004B451F">
      <w:pPr>
        <w:pStyle w:val="Heading1"/>
        <w:numPr>
          <w:ilvl w:val="0"/>
          <w:numId w:val="21"/>
        </w:numPr>
        <w:rPr>
          <w:rFonts w:eastAsia="Calibri"/>
        </w:rPr>
      </w:pPr>
      <w:r>
        <w:rPr>
          <w:rFonts w:eastAsia="Calibri"/>
        </w:rPr>
        <w:t>Previous policies on IOCs are summarized in paragraphs 57</w:t>
      </w:r>
      <w:r>
        <w:rPr>
          <w:rFonts w:eastAsia="Calibri"/>
        </w:rPr>
        <w:noBreakHyphen/>
        <w:t>64 of document UNEP/OzL.Pro/ExCom/78/5 on the development of the cost guidelines. At the 91</w:t>
      </w:r>
      <w:r>
        <w:rPr>
          <w:rFonts w:eastAsia="Calibri"/>
          <w:vertAlign w:val="superscript"/>
        </w:rPr>
        <w:t>st</w:t>
      </w:r>
      <w:r>
        <w:rPr>
          <w:rFonts w:eastAsia="Calibri"/>
        </w:rPr>
        <w:t xml:space="preserve"> meeting, the contact group started to discuss the matter with one member suggesting maintaining the thresholds and duration of IOCs as established for HCFCs, with some flexibility to be applied to SMEs in the PU foam sector, while another member suggested an increase of 40 per cent and a duration of three years. The group agreed to continue to discuss </w:t>
      </w:r>
      <w:r>
        <w:rPr>
          <w:rFonts w:eastAsia="Calibri"/>
          <w:i/>
          <w:iCs/>
        </w:rPr>
        <w:t>inter alia</w:t>
      </w:r>
      <w:r>
        <w:rPr>
          <w:rFonts w:eastAsia="Calibri"/>
        </w:rPr>
        <w:t xml:space="preserve"> the IOCs on the basis of the working texts used in the contact group. Accordingly, the Executive Committee agreed to pursue, at its 92</w:t>
      </w:r>
      <w:r>
        <w:rPr>
          <w:rFonts w:eastAsia="Calibri"/>
          <w:vertAlign w:val="superscript"/>
        </w:rPr>
        <w:t>nd </w:t>
      </w:r>
      <w:r>
        <w:rPr>
          <w:rFonts w:eastAsia="Calibri"/>
        </w:rPr>
        <w:t xml:space="preserve">meeting, consideration of the development of the cost guidelines for the phase-down of HFCs in Article 5 countries on the basis of </w:t>
      </w:r>
      <w:r>
        <w:rPr>
          <w:rFonts w:eastAsia="Calibri"/>
          <w:i/>
          <w:iCs/>
        </w:rPr>
        <w:t xml:space="preserve">inter alia </w:t>
      </w:r>
      <w:r>
        <w:rPr>
          <w:rFonts w:eastAsia="Calibri"/>
        </w:rPr>
        <w:t>the working text on the cost-effectiveness thresholds and IOCs.</w:t>
      </w:r>
      <w:r>
        <w:rPr>
          <w:rStyle w:val="FootnoteReference"/>
          <w:rFonts w:eastAsia="Calibri"/>
        </w:rPr>
        <w:footnoteReference w:id="17"/>
      </w:r>
      <w:r>
        <w:rPr>
          <w:rFonts w:eastAsia="Calibri"/>
        </w:rPr>
        <w:t xml:space="preserve"> The IOCs were not discussed at the 92</w:t>
      </w:r>
      <w:r>
        <w:rPr>
          <w:rFonts w:eastAsia="Calibri"/>
          <w:vertAlign w:val="superscript"/>
        </w:rPr>
        <w:t>nd</w:t>
      </w:r>
      <w:r>
        <w:rPr>
          <w:rFonts w:eastAsia="Calibri"/>
        </w:rPr>
        <w:t> meeting. At the 93</w:t>
      </w:r>
      <w:r>
        <w:rPr>
          <w:rFonts w:eastAsia="Calibri"/>
          <w:vertAlign w:val="superscript"/>
        </w:rPr>
        <w:t>rd</w:t>
      </w:r>
      <w:r>
        <w:rPr>
          <w:rFonts w:eastAsia="Calibri"/>
        </w:rPr>
        <w:t xml:space="preserve"> </w:t>
      </w:r>
      <w:r w:rsidR="007824F2">
        <w:rPr>
          <w:rFonts w:eastAsia="Calibri"/>
        </w:rPr>
        <w:t>and 94</w:t>
      </w:r>
      <w:r w:rsidR="007824F2" w:rsidRPr="007824F2">
        <w:rPr>
          <w:rFonts w:eastAsia="Calibri"/>
          <w:vertAlign w:val="superscript"/>
        </w:rPr>
        <w:t>th</w:t>
      </w:r>
      <w:r w:rsidR="007824F2">
        <w:rPr>
          <w:rFonts w:eastAsia="Calibri"/>
        </w:rPr>
        <w:t xml:space="preserve"> </w:t>
      </w:r>
      <w:r>
        <w:rPr>
          <w:rFonts w:eastAsia="Calibri"/>
        </w:rPr>
        <w:t>meeting</w:t>
      </w:r>
      <w:r w:rsidR="007824F2">
        <w:rPr>
          <w:rFonts w:eastAsia="Calibri"/>
        </w:rPr>
        <w:t>s</w:t>
      </w:r>
      <w:r>
        <w:rPr>
          <w:rFonts w:eastAsia="Calibri"/>
        </w:rPr>
        <w:t>, the working texts put forward by non-Article 5 and Article 5 countries included proposals for IOC levels, as presented in annex I to the present document.</w:t>
      </w:r>
      <w:r w:rsidR="007F55ED">
        <w:rPr>
          <w:rFonts w:eastAsia="Calibri"/>
        </w:rPr>
        <w:t xml:space="preserve"> In the domestic refrigeration sector, IOCs </w:t>
      </w:r>
      <w:r w:rsidR="008D15CB">
        <w:rPr>
          <w:rFonts w:eastAsia="Calibri"/>
        </w:rPr>
        <w:t>were</w:t>
      </w:r>
      <w:r w:rsidR="007F55ED">
        <w:rPr>
          <w:rFonts w:eastAsia="Calibri"/>
        </w:rPr>
        <w:t xml:space="preserve"> agreed at </w:t>
      </w:r>
      <w:r w:rsidR="004E3C37">
        <w:rPr>
          <w:rFonts w:eastAsia="Calibri"/>
        </w:rPr>
        <w:t>US $</w:t>
      </w:r>
      <w:r w:rsidR="007F55ED">
        <w:rPr>
          <w:rFonts w:eastAsia="Calibri"/>
        </w:rPr>
        <w:t>5.75 per kilogram, in the commercial r</w:t>
      </w:r>
      <w:r w:rsidR="00B67491">
        <w:rPr>
          <w:rFonts w:eastAsia="Calibri"/>
        </w:rPr>
        <w:t xml:space="preserve">efrigeration sector at </w:t>
      </w:r>
      <w:r w:rsidR="004E3C37">
        <w:rPr>
          <w:rFonts w:eastAsia="Calibri"/>
        </w:rPr>
        <w:t>US $</w:t>
      </w:r>
      <w:r w:rsidR="00B67491">
        <w:rPr>
          <w:rFonts w:eastAsia="Calibri"/>
        </w:rPr>
        <w:t>5.50 per kilogram</w:t>
      </w:r>
      <w:r w:rsidR="00AC4CAA">
        <w:rPr>
          <w:rFonts w:eastAsia="Calibri"/>
        </w:rPr>
        <w:t xml:space="preserve">, </w:t>
      </w:r>
      <w:r w:rsidR="00B67491">
        <w:rPr>
          <w:rFonts w:eastAsia="Calibri"/>
        </w:rPr>
        <w:t xml:space="preserve">in the PU foam at </w:t>
      </w:r>
      <w:r w:rsidR="004E3C37">
        <w:rPr>
          <w:rFonts w:eastAsia="Calibri"/>
        </w:rPr>
        <w:t>US $</w:t>
      </w:r>
      <w:r w:rsidR="00B67491">
        <w:rPr>
          <w:rFonts w:eastAsia="Calibri"/>
        </w:rPr>
        <w:t>5.20 per kilogram</w:t>
      </w:r>
      <w:r w:rsidR="00AC4CAA">
        <w:rPr>
          <w:rFonts w:eastAsia="Calibri"/>
        </w:rPr>
        <w:t xml:space="preserve">, </w:t>
      </w:r>
      <w:r w:rsidR="00E12108">
        <w:rPr>
          <w:rFonts w:eastAsia="Calibri"/>
        </w:rPr>
        <w:t xml:space="preserve">and in all other sectors </w:t>
      </w:r>
      <w:r w:rsidR="008D15CB">
        <w:rPr>
          <w:rFonts w:eastAsia="Calibri"/>
        </w:rPr>
        <w:t xml:space="preserve">to be determined </w:t>
      </w:r>
      <w:r w:rsidR="00E12108">
        <w:rPr>
          <w:rFonts w:eastAsia="Calibri"/>
        </w:rPr>
        <w:t xml:space="preserve">on a case-by-case basis, except for </w:t>
      </w:r>
      <w:r w:rsidR="008F477B">
        <w:rPr>
          <w:rFonts w:eastAsia="Calibri"/>
        </w:rPr>
        <w:t xml:space="preserve">the </w:t>
      </w:r>
      <w:r w:rsidR="00E12108">
        <w:rPr>
          <w:rFonts w:eastAsia="Calibri"/>
        </w:rPr>
        <w:t>stationary residential and commercial</w:t>
      </w:r>
      <w:r w:rsidR="008D15CB">
        <w:rPr>
          <w:rFonts w:eastAsia="Calibri"/>
        </w:rPr>
        <w:t xml:space="preserve"> AC</w:t>
      </w:r>
      <w:r w:rsidR="008F477B">
        <w:rPr>
          <w:rFonts w:eastAsia="Calibri"/>
        </w:rPr>
        <w:t xml:space="preserve"> sectors</w:t>
      </w:r>
      <w:r w:rsidR="008D15CB">
        <w:rPr>
          <w:rFonts w:eastAsia="Calibri"/>
        </w:rPr>
        <w:t xml:space="preserve">, </w:t>
      </w:r>
      <w:r w:rsidR="008F477B">
        <w:rPr>
          <w:rFonts w:eastAsia="Calibri"/>
        </w:rPr>
        <w:t xml:space="preserve">for </w:t>
      </w:r>
      <w:r w:rsidR="008D15CB">
        <w:rPr>
          <w:rFonts w:eastAsia="Calibri"/>
        </w:rPr>
        <w:t>which</w:t>
      </w:r>
      <w:r w:rsidR="008F477B">
        <w:rPr>
          <w:rFonts w:eastAsia="Calibri"/>
        </w:rPr>
        <w:t xml:space="preserve"> the IOCs</w:t>
      </w:r>
      <w:r w:rsidR="008D15CB">
        <w:rPr>
          <w:rFonts w:eastAsia="Calibri"/>
        </w:rPr>
        <w:t xml:space="preserve"> are still under discussion.</w:t>
      </w:r>
    </w:p>
    <w:bookmarkEnd w:id="6"/>
    <w:p w14:paraId="28946629" w14:textId="77777777" w:rsidR="004B451F" w:rsidRDefault="004B451F" w:rsidP="004B451F">
      <w:pPr>
        <w:pStyle w:val="Heading1"/>
        <w:keepNext/>
        <w:numPr>
          <w:ilvl w:val="0"/>
          <w:numId w:val="0"/>
        </w:numPr>
        <w:tabs>
          <w:tab w:val="left" w:pos="720"/>
        </w:tabs>
        <w:rPr>
          <w:b/>
          <w:bCs/>
        </w:rPr>
      </w:pPr>
      <w:r>
        <w:rPr>
          <w:b/>
          <w:bCs/>
        </w:rPr>
        <w:t>Energy efficiency</w:t>
      </w:r>
    </w:p>
    <w:p w14:paraId="601FFF18" w14:textId="77777777" w:rsidR="004B451F" w:rsidRDefault="004B451F" w:rsidP="004B451F">
      <w:pPr>
        <w:widowControl w:val="0"/>
        <w:numPr>
          <w:ilvl w:val="0"/>
          <w:numId w:val="21"/>
        </w:numPr>
        <w:outlineLvl w:val="0"/>
      </w:pPr>
      <w:r>
        <w:t>Matters related to energy efficiency were first discussed in the contact group on the cost guidelines for the phase-down of HFCs, established in the margins of the 81</w:t>
      </w:r>
      <w:r>
        <w:rPr>
          <w:vertAlign w:val="superscript"/>
        </w:rPr>
        <w:t>st</w:t>
      </w:r>
      <w:r>
        <w:t> meeting, but since the 83</w:t>
      </w:r>
      <w:r>
        <w:rPr>
          <w:vertAlign w:val="superscript"/>
        </w:rPr>
        <w:t>rd</w:t>
      </w:r>
      <w:r>
        <w:t> meeting, they have been included under a separate agenda item. Once the Executive Committee has finished its deliberations, it may wish to consider whether to include in its cost guidelines for the phase</w:t>
      </w:r>
      <w:r>
        <w:noBreakHyphen/>
        <w:t>down of HFCs in Article 5 countries any decisions adopted on energy efficiency.</w:t>
      </w:r>
    </w:p>
    <w:p w14:paraId="468A3182" w14:textId="77777777" w:rsidR="004B451F" w:rsidRDefault="004B451F" w:rsidP="004B451F">
      <w:pPr>
        <w:pStyle w:val="Heading1"/>
        <w:keepNext/>
        <w:numPr>
          <w:ilvl w:val="0"/>
          <w:numId w:val="0"/>
        </w:numPr>
        <w:tabs>
          <w:tab w:val="left" w:pos="720"/>
        </w:tabs>
        <w:spacing w:before="240"/>
        <w:rPr>
          <w:b/>
          <w:bCs/>
        </w:rPr>
      </w:pPr>
      <w:r>
        <w:rPr>
          <w:b/>
          <w:bCs/>
        </w:rPr>
        <w:t>Disposal</w:t>
      </w:r>
    </w:p>
    <w:p w14:paraId="3E9A1062" w14:textId="77777777" w:rsidR="004B451F" w:rsidRDefault="004B451F" w:rsidP="004B451F">
      <w:pPr>
        <w:pStyle w:val="Heading1"/>
        <w:numPr>
          <w:ilvl w:val="0"/>
          <w:numId w:val="21"/>
        </w:numPr>
        <w:rPr>
          <w:rFonts w:eastAsia="Calibri"/>
          <w:noProof/>
        </w:rPr>
      </w:pPr>
      <w:r>
        <w:rPr>
          <w:rFonts w:eastAsia="Calibri"/>
          <w:noProof/>
        </w:rPr>
        <w:t>At its 90</w:t>
      </w:r>
      <w:r>
        <w:rPr>
          <w:rFonts w:eastAsia="Calibri"/>
          <w:noProof/>
          <w:vertAlign w:val="superscript"/>
        </w:rPr>
        <w:t>th</w:t>
      </w:r>
      <w:r>
        <w:rPr>
          <w:rFonts w:eastAsia="Calibri"/>
          <w:noProof/>
        </w:rPr>
        <w:t xml:space="preserve"> meeting, the Executive Committee decided to </w:t>
      </w:r>
      <w:r>
        <w:t>provide flexibility to Article 5 countries to include in their HPMPs and KIPs activities related to the environmentally sound management of used or unwanted controlled substances including disposal, considering paragraphs 19 to 24 of document UNEP/OzL.Pro/ExCom/89/9</w:t>
      </w:r>
      <w:r>
        <w:rPr>
          <w:rStyle w:val="FootnoteReference"/>
        </w:rPr>
        <w:footnoteReference w:id="18"/>
      </w:r>
      <w:r>
        <w:t xml:space="preserve"> and lessons learned from previous ODS disposal projects. The Committee also requested the Secretariat to develop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and to continue its deliberations on operationalizing paragraph 24 of decision XXVIII/2 of the Twenty</w:t>
      </w:r>
      <w:r>
        <w:noBreakHyphen/>
        <w:t>Eighth Meeting of the Parties in the context of the discussion of the cost guidelines for the phase</w:t>
      </w:r>
      <w:r>
        <w:noBreakHyphen/>
        <w:t>down of HFCs in Article 5 countries (decision 90/49).</w:t>
      </w:r>
    </w:p>
    <w:p w14:paraId="3773565F" w14:textId="77777777" w:rsidR="004B451F" w:rsidRDefault="004B451F" w:rsidP="004B451F">
      <w:pPr>
        <w:pStyle w:val="Heading1"/>
        <w:numPr>
          <w:ilvl w:val="0"/>
          <w:numId w:val="21"/>
        </w:numPr>
        <w:rPr>
          <w:rFonts w:eastAsia="Calibri"/>
        </w:rPr>
      </w:pPr>
      <w:r>
        <w:rPr>
          <w:rFonts w:eastAsia="Calibri"/>
        </w:rPr>
        <w:lastRenderedPageBreak/>
        <w:t>Based on the relevant document prepared by the Secretariat for the 91</w:t>
      </w:r>
      <w:r>
        <w:rPr>
          <w:rFonts w:eastAsia="Calibri"/>
          <w:vertAlign w:val="superscript"/>
        </w:rPr>
        <w:t>st</w:t>
      </w:r>
      <w:r>
        <w:rPr>
          <w:rFonts w:eastAsia="Calibri"/>
        </w:rPr>
        <w:t xml:space="preserve"> meeting,</w:t>
      </w:r>
      <w:r>
        <w:rPr>
          <w:rStyle w:val="FootnoteReference"/>
          <w:rFonts w:eastAsia="Calibri"/>
        </w:rPr>
        <w:footnoteReference w:id="19"/>
      </w:r>
      <w:r>
        <w:rPr>
          <w:rFonts w:eastAsia="Calibri"/>
        </w:rPr>
        <w:t xml:space="preserve"> the Executive Committee established a funding window for the preparation of national inventories of banks of used or unwanted controlled substances and a plan for the collection, transport and disposal of such substances, including consideration of recycling, reclamation and cost-effective destruction (decision 91/66).</w:t>
      </w:r>
    </w:p>
    <w:p w14:paraId="5EC53B06" w14:textId="77777777" w:rsidR="004B451F" w:rsidRDefault="004B451F" w:rsidP="004B451F">
      <w:pPr>
        <w:keepNext/>
        <w:shd w:val="clear" w:color="auto" w:fill="FFFFFF" w:themeFill="background1"/>
        <w:spacing w:before="360" w:after="240"/>
        <w:ind w:left="709" w:hanging="709"/>
        <w:rPr>
          <w:rFonts w:eastAsia="SimSun"/>
          <w:b/>
          <w:sz w:val="24"/>
          <w:szCs w:val="24"/>
        </w:rPr>
      </w:pPr>
      <w:r>
        <w:rPr>
          <w:rFonts w:eastAsia="SimSun"/>
          <w:b/>
          <w:sz w:val="24"/>
          <w:szCs w:val="24"/>
        </w:rPr>
        <w:t xml:space="preserve">II. </w:t>
      </w:r>
      <w:r>
        <w:rPr>
          <w:rFonts w:eastAsia="SimSun"/>
          <w:b/>
          <w:sz w:val="24"/>
          <w:szCs w:val="24"/>
        </w:rPr>
        <w:tab/>
        <w:t>Information to assist the Executive Committee in defining “small and medium</w:t>
      </w:r>
      <w:r>
        <w:rPr>
          <w:rFonts w:eastAsia="SimSun"/>
          <w:b/>
          <w:sz w:val="24"/>
          <w:szCs w:val="24"/>
        </w:rPr>
        <w:noBreakHyphen/>
        <w:t>sized enterprises” in the commercial air</w:t>
      </w:r>
      <w:r>
        <w:rPr>
          <w:rFonts w:eastAsia="SimSun"/>
          <w:b/>
          <w:sz w:val="24"/>
          <w:szCs w:val="24"/>
        </w:rPr>
        <w:noBreakHyphen/>
        <w:t>conditioning manufacturing and commercial refrigeration manufacturing sectors (decision 91/64(b))</w:t>
      </w:r>
    </w:p>
    <w:p w14:paraId="4F763E14" w14:textId="4621B760" w:rsidR="004B451F" w:rsidRPr="00CF2954" w:rsidRDefault="004B451F" w:rsidP="004B451F">
      <w:pPr>
        <w:numPr>
          <w:ilvl w:val="0"/>
          <w:numId w:val="21"/>
        </w:numPr>
        <w:shd w:val="clear" w:color="auto" w:fill="FFFFFF" w:themeFill="background1"/>
        <w:spacing w:after="240"/>
        <w:outlineLvl w:val="0"/>
        <w:rPr>
          <w:rFonts w:eastAsia="SimSun"/>
        </w:rPr>
      </w:pPr>
      <w:r>
        <w:rPr>
          <w:rFonts w:eastAsia="SimSun"/>
        </w:rPr>
        <w:t>At the 91</w:t>
      </w:r>
      <w:r>
        <w:rPr>
          <w:rFonts w:eastAsia="SimSun"/>
          <w:vertAlign w:val="superscript"/>
        </w:rPr>
        <w:t>st</w:t>
      </w:r>
      <w:r>
        <w:rPr>
          <w:rFonts w:eastAsia="SimSun"/>
        </w:rPr>
        <w:t xml:space="preserve"> meeting, the Secretariat was requested to prepare for the 92</w:t>
      </w:r>
      <w:r>
        <w:rPr>
          <w:rFonts w:eastAsia="SimSun"/>
          <w:vertAlign w:val="superscript"/>
        </w:rPr>
        <w:t>nd</w:t>
      </w:r>
      <w:r>
        <w:rPr>
          <w:rFonts w:eastAsia="SimSun"/>
        </w:rPr>
        <w:t xml:space="preserve"> meeting information to assist the Executive Committee in defining what were to be considered SMEs in the commercial AC manufacturing and commercial refrigeration manufacturing sectors. Accordingly, the Secretariat presented in section II of document UNEP/OzL.Pro/ExCom/92/45 the information reproduced in </w:t>
      </w:r>
      <w:r w:rsidRPr="00CF2954">
        <w:rPr>
          <w:rFonts w:eastAsia="SimSun"/>
        </w:rPr>
        <w:t>paragraphs 2</w:t>
      </w:r>
      <w:r w:rsidR="00A73B57" w:rsidRPr="00CF2954">
        <w:rPr>
          <w:rFonts w:eastAsia="SimSun"/>
        </w:rPr>
        <w:t>6</w:t>
      </w:r>
      <w:r w:rsidRPr="00CF2954">
        <w:rPr>
          <w:rFonts w:eastAsia="SimSun"/>
        </w:rPr>
        <w:t xml:space="preserve"> to 3</w:t>
      </w:r>
      <w:r w:rsidR="00A73B57" w:rsidRPr="00CF2954">
        <w:rPr>
          <w:rFonts w:eastAsia="SimSun"/>
        </w:rPr>
        <w:t>7</w:t>
      </w:r>
      <w:r w:rsidRPr="00CF2954">
        <w:rPr>
          <w:rFonts w:eastAsia="SimSun"/>
        </w:rPr>
        <w:t xml:space="preserve"> below.</w:t>
      </w:r>
    </w:p>
    <w:p w14:paraId="06386A7F" w14:textId="77777777" w:rsidR="004B451F" w:rsidRDefault="004B451F" w:rsidP="004B451F">
      <w:pPr>
        <w:numPr>
          <w:ilvl w:val="0"/>
          <w:numId w:val="21"/>
        </w:numPr>
        <w:shd w:val="clear" w:color="auto" w:fill="FFFFFF" w:themeFill="background1"/>
        <w:outlineLvl w:val="0"/>
        <w:rPr>
          <w:rFonts w:eastAsia="SimSun"/>
        </w:rPr>
      </w:pPr>
      <w:r>
        <w:rPr>
          <w:rFonts w:eastAsia="SimSun"/>
        </w:rPr>
        <w:t>Funding for the conversion of SMEs is often limited by their lower level of consumption, relative to larger enterprises.</w:t>
      </w:r>
      <w:r>
        <w:rPr>
          <w:rStyle w:val="FootnoteReference"/>
          <w:rFonts w:eastAsia="SimSun"/>
        </w:rPr>
        <w:footnoteReference w:id="20"/>
      </w:r>
      <w:r>
        <w:rPr>
          <w:rFonts w:eastAsia="SimSun"/>
        </w:rPr>
        <w:t xml:space="preserve"> SMEs may also require additional technical assistance and training as they tend to have a more limited technical capacity. Formulating a definition of SMEs will allow the Executive Committee to ensure that funds are appropriately directed to those manufacturers that may require additional resources, relative to large enterprises.</w:t>
      </w:r>
    </w:p>
    <w:p w14:paraId="3D5A4CD3" w14:textId="77777777" w:rsidR="004B451F" w:rsidRDefault="004B451F" w:rsidP="004B451F">
      <w:pPr>
        <w:widowControl w:val="0"/>
        <w:shd w:val="clear" w:color="auto" w:fill="FFFFFF" w:themeFill="background1"/>
        <w:spacing w:before="240" w:after="240"/>
        <w:rPr>
          <w:rFonts w:eastAsia="SimSun"/>
          <w:b/>
          <w:bCs/>
        </w:rPr>
      </w:pPr>
      <w:r>
        <w:rPr>
          <w:rFonts w:eastAsia="SimSun"/>
          <w:b/>
          <w:bCs/>
        </w:rPr>
        <w:t>Characteristics of small and medium-sized enterprises</w:t>
      </w:r>
    </w:p>
    <w:p w14:paraId="4C420774" w14:textId="77777777" w:rsidR="004B451F" w:rsidRDefault="004B451F" w:rsidP="004B451F">
      <w:pPr>
        <w:numPr>
          <w:ilvl w:val="0"/>
          <w:numId w:val="21"/>
        </w:numPr>
        <w:shd w:val="clear" w:color="auto" w:fill="FFFFFF" w:themeFill="background1"/>
        <w:spacing w:after="240"/>
        <w:outlineLvl w:val="0"/>
        <w:rPr>
          <w:rFonts w:eastAsia="SimSun"/>
        </w:rPr>
      </w:pPr>
      <w:r>
        <w:rPr>
          <w:rFonts w:eastAsia="SimSun"/>
        </w:rPr>
        <w:t>What is considered an SME may vary across countries as there is no one universal definition. Governments may choose to define SMEs based on characteristics that are relevant in their country, which may include a combination of investment levels, number of employees, sales revenue, and other characteristics. Seeing as such information may not be readily available to bilateral and implementing agencies during the project preparation process, the Secretariat, with the assistance of an independent technical expert, identified the following characteristics of SMEs that would be simple and readily available to bilateral and implementing agencies:</w:t>
      </w:r>
    </w:p>
    <w:p w14:paraId="1C24CDF3"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rFonts w:eastAsia="SimSun"/>
          <w:i/>
          <w:iCs/>
        </w:rPr>
        <w:t xml:space="preserve">Level of HFC consumption: </w:t>
      </w:r>
      <w:r>
        <w:rPr>
          <w:rFonts w:eastAsia="SimSun"/>
        </w:rPr>
        <w:t>To date, consumption had been used by the Executive Committee as the sole criterion for defining SMEs in the foam and aerosol sectors.</w:t>
      </w:r>
      <w:r>
        <w:rPr>
          <w:rFonts w:eastAsia="SimSun"/>
          <w:vertAlign w:val="superscript"/>
        </w:rPr>
        <w:footnoteReference w:id="21"/>
      </w:r>
      <w:r>
        <w:rPr>
          <w:rFonts w:eastAsia="SimSun"/>
        </w:rPr>
        <w:t xml:space="preserve"> This criterion has the advantage of using information that is readily available to agencies in the project preparation process. However, consumption by itself may not fully reflect the enterprises’ technical capacity and ability to convert to new technologies;</w:t>
      </w:r>
    </w:p>
    <w:p w14:paraId="4AFDB0D4"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rFonts w:eastAsia="SimSun"/>
          <w:i/>
          <w:iCs/>
        </w:rPr>
        <w:t xml:space="preserve">Manufacturing output: </w:t>
      </w:r>
      <w:r>
        <w:rPr>
          <w:rFonts w:eastAsia="SimSun"/>
        </w:rPr>
        <w:t>The number of units manufactured by an enterprise may be another relevant consideration in determining whether an enterprise is an SME. Depending on the refrigerant charge per unit, an enterprise may have low consumption yet still manufacture a large number of units, and higher manufacturing output may require more personnel or higher levels of automation than are typically found in SMEs;</w:t>
      </w:r>
    </w:p>
    <w:p w14:paraId="01758EC9" w14:textId="77777777" w:rsidR="004B451F" w:rsidRDefault="004B451F" w:rsidP="004B451F">
      <w:pPr>
        <w:widowControl w:val="0"/>
        <w:numPr>
          <w:ilvl w:val="1"/>
          <w:numId w:val="21"/>
        </w:numPr>
        <w:shd w:val="clear" w:color="auto" w:fill="FFFFFF" w:themeFill="background1"/>
        <w:spacing w:after="240"/>
        <w:outlineLvl w:val="1"/>
        <w:rPr>
          <w:rFonts w:eastAsia="SimSun"/>
        </w:rPr>
      </w:pPr>
      <w:r>
        <w:rPr>
          <w:rFonts w:eastAsia="SimSun"/>
          <w:i/>
          <w:iCs/>
        </w:rPr>
        <w:t>Technical capacity:</w:t>
      </w:r>
      <w:r>
        <w:rPr>
          <w:rFonts w:eastAsia="SimSun"/>
        </w:rPr>
        <w:t xml:space="preserve"> Larger enterprises tend to have a higher level of technical capacity than SMEs. However, measuring that capacity is difficult. A proxy for the technical capacity of an enterprise could be the range of equipment types and the number of models manufactured. An enterprise that manufactures a wide range of equipment types and a large number of product models requires adequate technical capacity, knowledge, experience </w:t>
      </w:r>
      <w:r>
        <w:rPr>
          <w:rFonts w:eastAsia="SimSun"/>
        </w:rPr>
        <w:lastRenderedPageBreak/>
        <w:t>and capability to design the models and place them on the market, and is likely to be more capable of addressing the technical and marketing challenges associated with converting to a new technology. SMEs would be characterized by a narrow range of equipment types and a small number of product models;</w:t>
      </w:r>
    </w:p>
    <w:p w14:paraId="15F3595D" w14:textId="77777777" w:rsidR="004B451F" w:rsidRDefault="004B451F" w:rsidP="004B451F">
      <w:pPr>
        <w:keepNext/>
        <w:numPr>
          <w:ilvl w:val="1"/>
          <w:numId w:val="21"/>
        </w:numPr>
        <w:shd w:val="clear" w:color="auto" w:fill="FFFFFF" w:themeFill="background1"/>
        <w:outlineLvl w:val="1"/>
        <w:rPr>
          <w:rFonts w:eastAsia="SimSun"/>
        </w:rPr>
      </w:pPr>
      <w:r>
        <w:rPr>
          <w:rFonts w:eastAsia="SimSun"/>
          <w:i/>
          <w:iCs/>
        </w:rPr>
        <w:t>Financial capacity:</w:t>
      </w:r>
      <w:r>
        <w:rPr>
          <w:rFonts w:eastAsia="SimSun"/>
        </w:rPr>
        <w:t xml:space="preserve"> SMEs usually have limited financial capacity, which constrains their ability to invest in sales and marketing activities to promote new technologies and also limits their ability to influence supply chains for components and raw materials; and</w:t>
      </w:r>
    </w:p>
    <w:p w14:paraId="33B7FBEF" w14:textId="77777777" w:rsidR="004B451F" w:rsidRDefault="004B451F" w:rsidP="004B451F">
      <w:pPr>
        <w:numPr>
          <w:ilvl w:val="1"/>
          <w:numId w:val="21"/>
        </w:numPr>
        <w:shd w:val="clear" w:color="auto" w:fill="FFFFFF" w:themeFill="background1"/>
        <w:spacing w:before="240" w:after="240"/>
        <w:outlineLvl w:val="1"/>
        <w:rPr>
          <w:rFonts w:eastAsia="SimSun"/>
        </w:rPr>
      </w:pPr>
      <w:r>
        <w:rPr>
          <w:rFonts w:eastAsia="SimSun"/>
          <w:i/>
          <w:iCs/>
        </w:rPr>
        <w:t>Foreign ownership and exports to non-Article 5 countries:</w:t>
      </w:r>
      <w:r>
        <w:rPr>
          <w:rFonts w:eastAsia="SimSun"/>
        </w:rPr>
        <w:t xml:space="preserve"> SMEs in commercial refrigeration and AC manufacturing are locally owned and cater predominantly to domestic markets. Some SMEs may also export the equipment they manufacture to Article 5 countries in the region; however, significant (greater than 10 per cent) exports to non</w:t>
      </w:r>
      <w:r>
        <w:rPr>
          <w:rFonts w:eastAsia="SimSun"/>
        </w:rPr>
        <w:noBreakHyphen/>
        <w:t>Article 5 countries are indicative of a higher level of technical capability.</w:t>
      </w:r>
    </w:p>
    <w:p w14:paraId="3448D92D" w14:textId="77777777" w:rsidR="004B451F" w:rsidRDefault="004B451F" w:rsidP="004B451F">
      <w:pPr>
        <w:keepNext/>
        <w:shd w:val="clear" w:color="auto" w:fill="FFFFFF" w:themeFill="background1"/>
        <w:spacing w:before="360" w:after="240"/>
        <w:rPr>
          <w:rFonts w:eastAsia="SimSun"/>
          <w:b/>
          <w:bCs/>
        </w:rPr>
      </w:pPr>
      <w:r>
        <w:rPr>
          <w:rFonts w:eastAsia="SimSun"/>
          <w:b/>
          <w:bCs/>
        </w:rPr>
        <w:t>Assessment of the criteria</w:t>
      </w:r>
    </w:p>
    <w:p w14:paraId="69C07145" w14:textId="77777777" w:rsidR="004B451F" w:rsidRDefault="004B451F" w:rsidP="004B451F">
      <w:pPr>
        <w:numPr>
          <w:ilvl w:val="0"/>
          <w:numId w:val="21"/>
        </w:numPr>
        <w:shd w:val="clear" w:color="auto" w:fill="FFFFFF" w:themeFill="background1"/>
        <w:outlineLvl w:val="0"/>
        <w:rPr>
          <w:rFonts w:eastAsia="SimSun"/>
        </w:rPr>
      </w:pPr>
      <w:r>
        <w:rPr>
          <w:rFonts w:eastAsia="SimSun"/>
        </w:rPr>
        <w:t>Identifying a cut-off for defining SMEs based on two common characteristics used by Governments—sales revenue and number of employees—is difficult in the context of projects supported by the Multilateral Fund. This is due to the broad size range of Article 5 economies, which impacts sales, and the lack of readily available data on the number of employees within enterprises.</w:t>
      </w:r>
    </w:p>
    <w:p w14:paraId="16C64510" w14:textId="77777777" w:rsidR="004B451F" w:rsidRDefault="004B451F" w:rsidP="004B451F">
      <w:pPr>
        <w:widowControl w:val="0"/>
        <w:numPr>
          <w:ilvl w:val="0"/>
          <w:numId w:val="21"/>
        </w:numPr>
        <w:shd w:val="clear" w:color="auto" w:fill="FFFFFF" w:themeFill="background1"/>
        <w:spacing w:before="240" w:after="240"/>
        <w:outlineLvl w:val="0"/>
        <w:rPr>
          <w:rFonts w:eastAsia="SimSun"/>
        </w:rPr>
      </w:pPr>
      <w:r>
        <w:rPr>
          <w:rFonts w:eastAsia="SimSun"/>
        </w:rPr>
        <w:t>In the context of the HCFC phase-out, the Executive Committee has used consumption as the sole parameter to define SMEs in the foam sector. This definition may not fully capture the complexity of SMEs in Article 5 countries. It may also have resulted in inadvertently excluding some enterprises from the SME category and including some enterprises that would more appropriately be considered large</w:t>
      </w:r>
      <w:r>
        <w:rPr>
          <w:rFonts w:eastAsia="SimSun"/>
        </w:rPr>
        <w:noBreakHyphen/>
        <w:t>sized. However, it has proven to be a simple and practical proxy for identifying those enterprises that require additional funding relative to larger enterprises. Accordingly, the Secretariat proposes that consumption be used as a necessary but not sufficient characteristic to define SMEs in the commercial RAC sector.</w:t>
      </w:r>
    </w:p>
    <w:p w14:paraId="4F5442A4" w14:textId="77777777" w:rsidR="004B451F" w:rsidRDefault="004B451F" w:rsidP="004B451F">
      <w:pPr>
        <w:numPr>
          <w:ilvl w:val="0"/>
          <w:numId w:val="21"/>
        </w:numPr>
        <w:shd w:val="clear" w:color="auto" w:fill="FFFFFF" w:themeFill="background1"/>
        <w:spacing w:after="240"/>
        <w:outlineLvl w:val="0"/>
        <w:rPr>
          <w:rFonts w:eastAsia="SimSun"/>
        </w:rPr>
      </w:pPr>
      <w:r>
        <w:rPr>
          <w:rFonts w:eastAsia="SimSun"/>
        </w:rPr>
        <w:t>The ratio of foam blowing agent to refrigerant in the past CFC and HCFC conversion projects (i.e., the ratio of CFC-11/CFC-12 or HCFC-141b/HCFC-22) ranged from 2:1 to 4:1. Based on the definition that SMEs in the PU foam manufacturing sector would have a consumption of up to 20 mt of foam blowing agent, this suggests a cut-off between 5 and 10 mt for SMEs in the commercial RAC manufacturing sector.</w:t>
      </w:r>
    </w:p>
    <w:p w14:paraId="6E8D6085" w14:textId="77777777" w:rsidR="004B451F" w:rsidRDefault="004B451F" w:rsidP="004B451F">
      <w:pPr>
        <w:numPr>
          <w:ilvl w:val="0"/>
          <w:numId w:val="21"/>
        </w:numPr>
        <w:shd w:val="clear" w:color="auto" w:fill="FFFFFF" w:themeFill="background1"/>
        <w:spacing w:after="240"/>
        <w:outlineLvl w:val="0"/>
        <w:rPr>
          <w:rFonts w:eastAsia="SimSun"/>
        </w:rPr>
      </w:pPr>
      <w:r>
        <w:rPr>
          <w:rFonts w:eastAsia="SimSun"/>
        </w:rPr>
        <w:t>To narrow this range, the Secretariat consulted an independent technical expert and reviewed the ICCs incurred in converting 89 commercial RAC manufacturing enterprises with consumption of less than 20 mt of HCFC</w:t>
      </w:r>
      <w:r>
        <w:rPr>
          <w:rFonts w:eastAsia="SimSun"/>
        </w:rPr>
        <w:noBreakHyphen/>
        <w:t xml:space="preserve">22 in 10 countries, noting that while IOCs vary linearly with consumption, ICCs include certain costs that might change in a discontinuous manner based </w:t>
      </w:r>
      <w:r>
        <w:rPr>
          <w:rFonts w:eastAsia="SimSun"/>
          <w:i/>
          <w:iCs/>
        </w:rPr>
        <w:t xml:space="preserve">inter alia </w:t>
      </w:r>
      <w:r>
        <w:rPr>
          <w:rFonts w:eastAsia="SimSun"/>
        </w:rPr>
        <w:t xml:space="preserve">on the number of units manufactured, the range of products and their complexity, and other factors. For example, a large enterprise with high manufacturing output may require several vacuum pumps and an automatic charging machine to achieve the necessary manufacturing cycle time, while an SME producing lower quantities of equipment may be able to use a single vacuum pump and charge units manually. Thus, both the quantity (e.g., the number of vacuum pumps) and the type of equipment (e.g., automatic charging machine versus manual charging) needed for a conversion will vary across SMEs and large enterprises. </w:t>
      </w:r>
    </w:p>
    <w:p w14:paraId="40BCD171" w14:textId="77777777" w:rsidR="004B451F" w:rsidRDefault="004B451F" w:rsidP="004B451F">
      <w:pPr>
        <w:pStyle w:val="Heading1"/>
        <w:numPr>
          <w:ilvl w:val="0"/>
          <w:numId w:val="21"/>
        </w:numPr>
        <w:rPr>
          <w:rFonts w:eastAsia="SimSun"/>
        </w:rPr>
      </w:pPr>
      <w:r>
        <w:rPr>
          <w:rFonts w:eastAsia="SimSun"/>
        </w:rPr>
        <w:t>Based on the ICCs of the 86</w:t>
      </w:r>
      <w:r>
        <w:rPr>
          <w:rStyle w:val="FootnoteReference"/>
          <w:rFonts w:eastAsia="SimSun"/>
        </w:rPr>
        <w:footnoteReference w:id="22"/>
      </w:r>
      <w:r>
        <w:rPr>
          <w:rFonts w:eastAsia="SimSun"/>
        </w:rPr>
        <w:t xml:space="preserve"> enterprises, a pronounced change in the agreed ICCs is found between 5 and 6 mt. Noting the limited data available, and choosing to err on the side of being overly inclusive rather than inadvertently exclusive, given the challenges faced by SMEs in converting from HFCs in particular to flammable, toxic or high-pressure low-GWP alternatives, the Secretariat proposes a cut-off consumption </w:t>
      </w:r>
      <w:r>
        <w:rPr>
          <w:rFonts w:eastAsia="SimSun"/>
        </w:rPr>
        <w:lastRenderedPageBreak/>
        <w:t>threshold of 7 mt. For reference, an enterprise with a consumption of 7 mt of refrigerant manufacturing equipment with an average charge of 250 g/unit would manufacture 28,000 units per year.</w:t>
      </w:r>
    </w:p>
    <w:p w14:paraId="26BBB119" w14:textId="1275BBC9" w:rsidR="004B451F" w:rsidRDefault="004B451F" w:rsidP="004B451F">
      <w:pPr>
        <w:numPr>
          <w:ilvl w:val="0"/>
          <w:numId w:val="21"/>
        </w:numPr>
        <w:shd w:val="clear" w:color="auto" w:fill="FFFFFF" w:themeFill="background1"/>
        <w:spacing w:after="240"/>
        <w:outlineLvl w:val="0"/>
        <w:rPr>
          <w:rFonts w:eastAsia="SimSun"/>
        </w:rPr>
      </w:pPr>
      <w:r>
        <w:rPr>
          <w:rFonts w:eastAsia="SimSun"/>
        </w:rPr>
        <w:t>The Secretariat considers consumption to be a necessary but insufficient criterion to identify those SMEs that may require additional funding to successfully and sustainably convert from HFCs. In particular, the Secretariat proposes that enterprises that are owned or partly owned by multinational corporations not be categorized as SMEs for funding purposes, given these enterprises’ access to technical expertise, supply chains and capital. Similarly, enterprises that export their products to non</w:t>
      </w:r>
      <w:r>
        <w:rPr>
          <w:rFonts w:eastAsia="SimSun"/>
        </w:rPr>
        <w:noBreakHyphen/>
        <w:t xml:space="preserve">Article 5 countries likely present a higher level of technological involvement and financial capability in placing products in a competitive market, while noting that there could be exceptions to allow for exports of a small number of units on a trial basis. Accordingly, the Secretariat proposes that enterprises that export more than 10 per cent of their products to non-Article 5 countries not </w:t>
      </w:r>
      <w:r w:rsidR="005D4207">
        <w:rPr>
          <w:rFonts w:eastAsia="SimSun"/>
        </w:rPr>
        <w:t xml:space="preserve">to </w:t>
      </w:r>
      <w:r>
        <w:rPr>
          <w:rFonts w:eastAsia="SimSun"/>
        </w:rPr>
        <w:t>be categorized as SMEs for funding purposes.</w:t>
      </w:r>
    </w:p>
    <w:p w14:paraId="0985C5C8" w14:textId="77777777" w:rsidR="004B451F" w:rsidRDefault="004B451F" w:rsidP="004B451F">
      <w:pPr>
        <w:numPr>
          <w:ilvl w:val="0"/>
          <w:numId w:val="21"/>
        </w:numPr>
        <w:shd w:val="clear" w:color="auto" w:fill="FFFFFF" w:themeFill="background1"/>
        <w:outlineLvl w:val="0"/>
        <w:rPr>
          <w:rFonts w:eastAsia="SimSun"/>
        </w:rPr>
      </w:pPr>
      <w:r>
        <w:rPr>
          <w:rFonts w:eastAsia="SimSun"/>
        </w:rPr>
        <w:t>In addition, the Secretariat notes that an enterprise may have multiple manufacturing lines but only wish to convert one of those lines. What is relevant in defining an SME is the consumption of the enterprise rather than just the consumption of the line to be converted. Moreover, an enterprise may have multiple manufacturing lines, only one of which consumes HFCs. For example, an enterprise may manufacture HFC</w:t>
      </w:r>
      <w:r>
        <w:rPr>
          <w:rFonts w:eastAsia="SimSun"/>
        </w:rPr>
        <w:noBreakHyphen/>
        <w:t>based commercial RAC equipment on one line, and non-HFC-based equipment on other lines. Accordingly, the Secretariat proposes that an enterprise that manufactures more than 40,000 units</w:t>
      </w:r>
      <w:r>
        <w:rPr>
          <w:rFonts w:eastAsia="SimSun"/>
          <w:vertAlign w:val="superscript"/>
        </w:rPr>
        <w:footnoteReference w:id="23"/>
      </w:r>
      <w:r>
        <w:rPr>
          <w:rFonts w:eastAsia="SimSun"/>
        </w:rPr>
        <w:t xml:space="preserve"> of RAC equipment per year, irrespective of whether all such equipment is HFC-based, not be considered an SME for funding purposes.</w:t>
      </w:r>
    </w:p>
    <w:p w14:paraId="6C0137E2" w14:textId="77777777" w:rsidR="004B451F" w:rsidRDefault="004B451F" w:rsidP="004B451F">
      <w:pPr>
        <w:numPr>
          <w:ilvl w:val="0"/>
          <w:numId w:val="21"/>
        </w:numPr>
        <w:shd w:val="clear" w:color="auto" w:fill="FFFFFF" w:themeFill="background1"/>
        <w:spacing w:before="240" w:after="240"/>
        <w:outlineLvl w:val="0"/>
        <w:rPr>
          <w:rFonts w:eastAsia="SimSun"/>
        </w:rPr>
      </w:pPr>
      <w:r>
        <w:rPr>
          <w:rFonts w:eastAsia="SimSun"/>
        </w:rPr>
        <w:t xml:space="preserve">It should be noted that some enterprises manufacturing both commercial RAC equipment and related components (such as compressors, fans, or vacuum pumps) could be inadvertently considered as SMEs based on their HFC consumption, despite significant manufacturing output of related components; however, it is not clear how many enterprises would fall into this category or how they could be identified and excluded. </w:t>
      </w:r>
    </w:p>
    <w:p w14:paraId="05C9DC15" w14:textId="77777777" w:rsidR="004B451F" w:rsidRDefault="004B451F" w:rsidP="004B451F">
      <w:pPr>
        <w:numPr>
          <w:ilvl w:val="0"/>
          <w:numId w:val="21"/>
        </w:numPr>
        <w:shd w:val="clear" w:color="auto" w:fill="FFFFFF" w:themeFill="background1"/>
        <w:spacing w:after="240"/>
        <w:outlineLvl w:val="0"/>
        <w:rPr>
          <w:rFonts w:eastAsia="SimSun"/>
        </w:rPr>
      </w:pPr>
      <w:r>
        <w:rPr>
          <w:rFonts w:eastAsia="SimSun"/>
        </w:rPr>
        <w:t>In reviewing the 89 projects to convert commercial RAC manufacturing enterprises, the Secretariat noted that some of them included enterprises with consumption of less than 1 mt. The Executive Committee may wish to consider whether it wishes to define an additional category within SMEs: micro</w:t>
      </w:r>
      <w:r>
        <w:rPr>
          <w:rFonts w:eastAsia="SimSun"/>
        </w:rPr>
        <w:noBreakHyphen/>
        <w:t>enterprises with consumption of less than 1 mt. Such enterprises, which similarly could neither be multinationals nor export their products to non-Article 5 countries, likely have a lower technical capability and would likely face greater challenges than larger enterprises in establishing the necessary supply chains to convert from HFCs. Given those additional challenges, micro-sized enterprises would likely be the last enterprises in the sector to convert. The Executive Committee may wish to note that converting such micro-enterprises would likely only be sustainable as part of an umbrella project that addressed all remaining enterprises in the sector. As such, any individual enterprise could be eligible for up to twice the agreed cost</w:t>
      </w:r>
      <w:r>
        <w:rPr>
          <w:rFonts w:eastAsia="SimSun"/>
        </w:rPr>
        <w:noBreakHyphen/>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2C0CB239" w14:textId="63F799A5" w:rsidR="004B451F" w:rsidRDefault="004B451F" w:rsidP="004B451F">
      <w:pPr>
        <w:keepNext/>
        <w:shd w:val="clear" w:color="auto" w:fill="FFFFFF" w:themeFill="background1"/>
        <w:spacing w:before="360" w:after="240"/>
        <w:rPr>
          <w:rFonts w:eastAsia="SimSun"/>
          <w:b/>
          <w:bCs/>
        </w:rPr>
      </w:pPr>
      <w:r>
        <w:rPr>
          <w:rFonts w:eastAsia="SimSun"/>
          <w:b/>
          <w:bCs/>
        </w:rPr>
        <w:lastRenderedPageBreak/>
        <w:t>Conclusion</w:t>
      </w:r>
      <w:r w:rsidR="003874FC">
        <w:rPr>
          <w:rFonts w:eastAsia="SimSun"/>
          <w:b/>
          <w:bCs/>
        </w:rPr>
        <w:t xml:space="preserve"> on SMEs presented </w:t>
      </w:r>
      <w:r w:rsidR="00E04FD6">
        <w:rPr>
          <w:rFonts w:eastAsia="SimSun"/>
          <w:b/>
          <w:bCs/>
        </w:rPr>
        <w:t>to</w:t>
      </w:r>
      <w:r w:rsidR="003874FC">
        <w:rPr>
          <w:rFonts w:eastAsia="SimSun"/>
          <w:b/>
          <w:bCs/>
        </w:rPr>
        <w:t xml:space="preserve"> the </w:t>
      </w:r>
      <w:r w:rsidR="00680865">
        <w:rPr>
          <w:rFonts w:eastAsia="SimSun"/>
          <w:b/>
          <w:bCs/>
        </w:rPr>
        <w:t>92</w:t>
      </w:r>
      <w:r w:rsidR="00680865" w:rsidRPr="00E04FD6">
        <w:rPr>
          <w:rFonts w:eastAsia="SimSun"/>
          <w:b/>
          <w:bCs/>
          <w:vertAlign w:val="superscript"/>
        </w:rPr>
        <w:t>nd</w:t>
      </w:r>
      <w:r w:rsidR="00680865">
        <w:rPr>
          <w:rFonts w:eastAsia="SimSun"/>
          <w:b/>
          <w:bCs/>
        </w:rPr>
        <w:t xml:space="preserve"> meeting</w:t>
      </w:r>
    </w:p>
    <w:p w14:paraId="7E1E0F11" w14:textId="77777777" w:rsidR="004B451F" w:rsidRDefault="004B451F" w:rsidP="004B451F">
      <w:pPr>
        <w:keepNext/>
        <w:numPr>
          <w:ilvl w:val="0"/>
          <w:numId w:val="21"/>
        </w:numPr>
        <w:shd w:val="clear" w:color="auto" w:fill="FFFFFF" w:themeFill="background1"/>
        <w:spacing w:after="240"/>
        <w:outlineLvl w:val="0"/>
        <w:rPr>
          <w:rFonts w:eastAsia="SimSun"/>
        </w:rPr>
      </w:pPr>
      <w:bookmarkStart w:id="7" w:name="_Hlk128751124"/>
      <w:r>
        <w:rPr>
          <w:rFonts w:eastAsia="SimSun"/>
        </w:rPr>
        <w:t>The Executive Committee may wish to consider defining SMEs in the commercial RAC manufacturing sector as enterprises with HFC consumption of 7 mt or less, manufacturing commercial AC or commercial refrigeration equipment, on the understanding that:</w:t>
      </w:r>
    </w:p>
    <w:p w14:paraId="623501A0" w14:textId="77777777" w:rsidR="004B451F" w:rsidRDefault="004B451F" w:rsidP="004B451F">
      <w:pPr>
        <w:pStyle w:val="Heading2"/>
        <w:numPr>
          <w:ilvl w:val="1"/>
          <w:numId w:val="21"/>
        </w:numPr>
        <w:rPr>
          <w:rFonts w:eastAsia="SimSun"/>
        </w:rPr>
      </w:pPr>
      <w:r>
        <w:rPr>
          <w:rFonts w:eastAsia="SimSun"/>
        </w:rPr>
        <w:t>The entirety of HFC consumption by the enterprise will be considered, rather than just consumption of the line or the process to be converted;</w:t>
      </w:r>
    </w:p>
    <w:p w14:paraId="268C3A1B" w14:textId="77777777" w:rsidR="004B451F" w:rsidRDefault="004B451F" w:rsidP="004B451F">
      <w:pPr>
        <w:pStyle w:val="Heading2"/>
        <w:numPr>
          <w:ilvl w:val="1"/>
          <w:numId w:val="21"/>
        </w:numPr>
        <w:rPr>
          <w:rFonts w:eastAsia="SimSun"/>
        </w:rPr>
      </w:pPr>
      <w:r>
        <w:rPr>
          <w:rFonts w:eastAsia="SimSun"/>
        </w:rPr>
        <w:t xml:space="preserve">An enterprise that manufactures more than 40,000 units of equipment per year, </w:t>
      </w:r>
      <w:r>
        <w:t>irrespective of whether all such equipment is</w:t>
      </w:r>
      <w:r>
        <w:rPr>
          <w:rFonts w:eastAsia="SimSun"/>
        </w:rPr>
        <w:t xml:space="preserve"> HFC-based, will not be considered an SME for funding purposes; and</w:t>
      </w:r>
    </w:p>
    <w:p w14:paraId="6C9DF59F" w14:textId="77777777" w:rsidR="004B451F" w:rsidRDefault="004B451F" w:rsidP="004B451F">
      <w:pPr>
        <w:pStyle w:val="Heading2"/>
        <w:widowControl/>
        <w:numPr>
          <w:ilvl w:val="1"/>
          <w:numId w:val="21"/>
        </w:numPr>
        <w:rPr>
          <w:rFonts w:eastAsia="SimSun"/>
        </w:rPr>
      </w:pPr>
      <w:r>
        <w:rPr>
          <w:rFonts w:eastAsia="SimSun"/>
        </w:rPr>
        <w:t>An enterprise will not be considered an SME if it is owned or partly owned by a multinational corporation, regardless of whether that corporation is owned by an Article 5 country, or if it exports more than 10 per cent of its products to non-Article 5 countries.</w:t>
      </w:r>
    </w:p>
    <w:p w14:paraId="1EDEC26E" w14:textId="654798BD" w:rsidR="00BF1507" w:rsidRPr="00BF1507" w:rsidRDefault="00BF1507" w:rsidP="00CF2954">
      <w:pPr>
        <w:pStyle w:val="Heading1"/>
        <w:rPr>
          <w:rFonts w:eastAsia="SimSun"/>
        </w:rPr>
      </w:pPr>
      <w:r>
        <w:rPr>
          <w:rFonts w:eastAsia="SimSun"/>
        </w:rPr>
        <w:t xml:space="preserve">Subsequently, the Executive Committee further considered the definition of SMEs as reflected in </w:t>
      </w:r>
      <w:r w:rsidR="0097417E">
        <w:rPr>
          <w:rFonts w:eastAsia="SimSun"/>
        </w:rPr>
        <w:t>a</w:t>
      </w:r>
      <w:r>
        <w:rPr>
          <w:rFonts w:eastAsia="SimSun"/>
        </w:rPr>
        <w:t>nnex I</w:t>
      </w:r>
      <w:r w:rsidR="00751F3B">
        <w:rPr>
          <w:rFonts w:eastAsia="SimSun"/>
        </w:rPr>
        <w:t>V</w:t>
      </w:r>
      <w:r>
        <w:rPr>
          <w:rFonts w:eastAsia="SimSun"/>
        </w:rPr>
        <w:t xml:space="preserve">. </w:t>
      </w:r>
    </w:p>
    <w:p w14:paraId="02E4D079" w14:textId="6F8E629E" w:rsidR="004B451F" w:rsidRDefault="004B451F" w:rsidP="004B451F">
      <w:pPr>
        <w:pStyle w:val="Heading1"/>
        <w:keepNext/>
        <w:numPr>
          <w:ilvl w:val="0"/>
          <w:numId w:val="0"/>
        </w:numPr>
        <w:tabs>
          <w:tab w:val="left" w:pos="720"/>
        </w:tabs>
        <w:spacing w:before="360"/>
        <w:rPr>
          <w:rFonts w:eastAsia="SimSun"/>
          <w:b/>
          <w:bCs/>
        </w:rPr>
      </w:pPr>
      <w:r>
        <w:rPr>
          <w:rFonts w:eastAsia="SimSun"/>
          <w:b/>
          <w:bCs/>
        </w:rPr>
        <w:t>Discussion at the 92</w:t>
      </w:r>
      <w:r>
        <w:rPr>
          <w:rFonts w:eastAsia="SimSun"/>
          <w:b/>
          <w:bCs/>
          <w:vertAlign w:val="superscript"/>
        </w:rPr>
        <w:t>nd</w:t>
      </w:r>
      <w:r w:rsidR="00B83028">
        <w:rPr>
          <w:rFonts w:eastAsia="SimSun"/>
          <w:b/>
          <w:bCs/>
        </w:rPr>
        <w:t xml:space="preserve">, </w:t>
      </w:r>
      <w:r>
        <w:rPr>
          <w:rFonts w:eastAsia="SimSun"/>
          <w:b/>
          <w:bCs/>
        </w:rPr>
        <w:t>93</w:t>
      </w:r>
      <w:r>
        <w:rPr>
          <w:rFonts w:eastAsia="SimSun"/>
          <w:b/>
          <w:bCs/>
          <w:vertAlign w:val="superscript"/>
        </w:rPr>
        <w:t>rd</w:t>
      </w:r>
      <w:r>
        <w:rPr>
          <w:rFonts w:eastAsia="SimSun"/>
          <w:b/>
          <w:bCs/>
        </w:rPr>
        <w:t xml:space="preserve"> </w:t>
      </w:r>
      <w:r w:rsidR="00910D09">
        <w:rPr>
          <w:rFonts w:eastAsia="SimSun"/>
          <w:b/>
          <w:bCs/>
        </w:rPr>
        <w:t>and 94</w:t>
      </w:r>
      <w:r w:rsidR="00910D09" w:rsidRPr="00910D09">
        <w:rPr>
          <w:rFonts w:eastAsia="SimSun"/>
          <w:b/>
          <w:bCs/>
          <w:vertAlign w:val="superscript"/>
        </w:rPr>
        <w:t>th</w:t>
      </w:r>
      <w:r w:rsidR="00910D09">
        <w:rPr>
          <w:rFonts w:eastAsia="SimSun"/>
          <w:b/>
          <w:bCs/>
        </w:rPr>
        <w:t xml:space="preserve"> </w:t>
      </w:r>
      <w:r>
        <w:rPr>
          <w:rFonts w:eastAsia="SimSun"/>
          <w:b/>
          <w:bCs/>
        </w:rPr>
        <w:t>meetings on the definition</w:t>
      </w:r>
      <w:r w:rsidR="00FF1768">
        <w:rPr>
          <w:rFonts w:eastAsia="SimSun"/>
          <w:b/>
          <w:bCs/>
        </w:rPr>
        <w:t xml:space="preserve"> </w:t>
      </w:r>
      <w:r>
        <w:rPr>
          <w:rFonts w:eastAsia="SimSun"/>
          <w:b/>
          <w:bCs/>
        </w:rPr>
        <w:t>of small and medium-sized enterprises</w:t>
      </w:r>
      <w:r w:rsidR="007F04E7" w:rsidRPr="007F04E7">
        <w:rPr>
          <w:rFonts w:eastAsia="SimSun"/>
          <w:b/>
          <w:bCs/>
        </w:rPr>
        <w:t xml:space="preserve"> </w:t>
      </w:r>
      <w:r w:rsidR="007F04E7" w:rsidRPr="00B83028">
        <w:rPr>
          <w:rFonts w:eastAsia="SimSun"/>
          <w:b/>
          <w:bCs/>
        </w:rPr>
        <w:t>and special funding consideration for th</w:t>
      </w:r>
      <w:r w:rsidR="00B83028">
        <w:rPr>
          <w:rFonts w:eastAsia="SimSun"/>
          <w:b/>
          <w:bCs/>
        </w:rPr>
        <w:t>o</w:t>
      </w:r>
      <w:r w:rsidR="007F04E7" w:rsidRPr="00B83028">
        <w:rPr>
          <w:rFonts w:eastAsia="SimSun"/>
          <w:b/>
          <w:bCs/>
        </w:rPr>
        <w:t>se enterprises</w:t>
      </w:r>
    </w:p>
    <w:bookmarkEnd w:id="7"/>
    <w:p w14:paraId="1F1E613D" w14:textId="23C8ED2C" w:rsidR="004B451F" w:rsidRDefault="004B451F" w:rsidP="004B451F">
      <w:pPr>
        <w:pStyle w:val="Heading1"/>
        <w:numPr>
          <w:ilvl w:val="0"/>
          <w:numId w:val="21"/>
        </w:numPr>
        <w:rPr>
          <w:rFonts w:eastAsia="SimSun"/>
        </w:rPr>
      </w:pPr>
      <w:r>
        <w:rPr>
          <w:rFonts w:eastAsia="SimSun"/>
        </w:rPr>
        <w:t>At the 92</w:t>
      </w:r>
      <w:r>
        <w:rPr>
          <w:rFonts w:eastAsia="SimSun"/>
          <w:vertAlign w:val="superscript"/>
        </w:rPr>
        <w:t>nd</w:t>
      </w:r>
      <w:r>
        <w:rPr>
          <w:rFonts w:eastAsia="SimSun"/>
        </w:rPr>
        <w:t xml:space="preserve"> and 93</w:t>
      </w:r>
      <w:r>
        <w:rPr>
          <w:rFonts w:eastAsia="SimSun"/>
          <w:vertAlign w:val="superscript"/>
        </w:rPr>
        <w:t>rd</w:t>
      </w:r>
      <w:r>
        <w:rPr>
          <w:rFonts w:eastAsia="SimSun"/>
        </w:rPr>
        <w:t xml:space="preserve"> meetings, the contact group discussed the above conclusion, including clarifications of the analysis provided by the Secretariat and the basis of the proposed definition; a proposal by one member to establish the HFC consumption limit at 20 mt rather than 7 mt, followed by a revised proposal of 15 mt; as well as several questions related to the eligibility of enterprises, which resulted in the bracketing of subparagraph 36(c). The working text on the definition of SME</w:t>
      </w:r>
      <w:r w:rsidR="003A4FEF">
        <w:rPr>
          <w:rFonts w:eastAsia="SimSun"/>
        </w:rPr>
        <w:t>s</w:t>
      </w:r>
      <w:r>
        <w:rPr>
          <w:rFonts w:eastAsia="SimSun"/>
        </w:rPr>
        <w:t xml:space="preserve"> as of the 93</w:t>
      </w:r>
      <w:r>
        <w:rPr>
          <w:rFonts w:eastAsia="SimSun"/>
          <w:vertAlign w:val="superscript"/>
        </w:rPr>
        <w:t>rd</w:t>
      </w:r>
      <w:r>
        <w:rPr>
          <w:rFonts w:eastAsia="SimSun"/>
        </w:rPr>
        <w:t xml:space="preserve"> meeting is contained in annex I</w:t>
      </w:r>
      <w:r w:rsidR="00B63919">
        <w:rPr>
          <w:rFonts w:eastAsia="SimSun"/>
        </w:rPr>
        <w:t>V</w:t>
      </w:r>
      <w:r>
        <w:rPr>
          <w:rFonts w:eastAsia="SimSun"/>
        </w:rPr>
        <w:t xml:space="preserve"> to the present document.</w:t>
      </w:r>
      <w:r w:rsidR="00910D09">
        <w:rPr>
          <w:rFonts w:eastAsia="SimSun"/>
        </w:rPr>
        <w:t xml:space="preserve"> At the 94</w:t>
      </w:r>
      <w:r w:rsidR="00910D09" w:rsidRPr="00910D09">
        <w:rPr>
          <w:rFonts w:eastAsia="SimSun"/>
          <w:vertAlign w:val="superscript"/>
        </w:rPr>
        <w:t>th</w:t>
      </w:r>
      <w:r w:rsidR="00910D09">
        <w:rPr>
          <w:rFonts w:eastAsia="SimSun"/>
        </w:rPr>
        <w:t xml:space="preserve"> meeting,</w:t>
      </w:r>
      <w:r w:rsidR="00CA4727">
        <w:rPr>
          <w:rFonts w:eastAsia="SimSun"/>
        </w:rPr>
        <w:t xml:space="preserve"> the proposal </w:t>
      </w:r>
      <w:r w:rsidR="000D3431">
        <w:rPr>
          <w:rFonts w:eastAsia="SimSun"/>
        </w:rPr>
        <w:t>presented</w:t>
      </w:r>
      <w:r w:rsidR="00CA4727">
        <w:rPr>
          <w:rFonts w:eastAsia="SimSun"/>
        </w:rPr>
        <w:t xml:space="preserve"> by non-Article</w:t>
      </w:r>
      <w:r w:rsidR="0031785E">
        <w:rPr>
          <w:rFonts w:eastAsia="SimSun"/>
        </w:rPr>
        <w:t> </w:t>
      </w:r>
      <w:r w:rsidR="00CA4727">
        <w:rPr>
          <w:rFonts w:eastAsia="SimSun"/>
        </w:rPr>
        <w:t>5 countries</w:t>
      </w:r>
      <w:r w:rsidR="000D3431">
        <w:rPr>
          <w:rFonts w:eastAsia="SimSun"/>
        </w:rPr>
        <w:t xml:space="preserve"> (annex II) </w:t>
      </w:r>
      <w:r w:rsidR="00D06564">
        <w:rPr>
          <w:rFonts w:eastAsia="SimSun"/>
        </w:rPr>
        <w:t>included</w:t>
      </w:r>
      <w:r w:rsidR="00CA4727">
        <w:rPr>
          <w:rFonts w:eastAsia="SimSun"/>
        </w:rPr>
        <w:t xml:space="preserve"> </w:t>
      </w:r>
      <w:r w:rsidR="009D1224">
        <w:rPr>
          <w:rFonts w:eastAsia="SimSun"/>
        </w:rPr>
        <w:t xml:space="preserve">for SMEs </w:t>
      </w:r>
      <w:r w:rsidR="008000DB">
        <w:rPr>
          <w:rFonts w:eastAsia="SimSun"/>
        </w:rPr>
        <w:t xml:space="preserve">for each sector </w:t>
      </w:r>
      <w:r w:rsidR="009D1224">
        <w:rPr>
          <w:rFonts w:eastAsia="SimSun"/>
        </w:rPr>
        <w:t xml:space="preserve">an </w:t>
      </w:r>
      <w:r w:rsidR="00DF458E">
        <w:rPr>
          <w:rFonts w:eastAsia="SimSun"/>
        </w:rPr>
        <w:t xml:space="preserve">additional </w:t>
      </w:r>
      <w:r w:rsidR="00F31D44">
        <w:rPr>
          <w:rFonts w:eastAsia="SimSun"/>
        </w:rPr>
        <w:t xml:space="preserve">25 per cent </w:t>
      </w:r>
      <w:r w:rsidR="004A136F">
        <w:rPr>
          <w:rFonts w:eastAsia="SimSun"/>
        </w:rPr>
        <w:t xml:space="preserve">of </w:t>
      </w:r>
      <w:r w:rsidR="009D1224">
        <w:rPr>
          <w:rFonts w:eastAsia="SimSun"/>
        </w:rPr>
        <w:t xml:space="preserve">the cost-effectiveness threshold and </w:t>
      </w:r>
      <w:r w:rsidR="008A1ED8">
        <w:rPr>
          <w:rFonts w:eastAsia="SimSun"/>
        </w:rPr>
        <w:t xml:space="preserve">for micro-enterprises an </w:t>
      </w:r>
      <w:r w:rsidR="00F31D44">
        <w:rPr>
          <w:rFonts w:eastAsia="SimSun"/>
        </w:rPr>
        <w:t xml:space="preserve">additional </w:t>
      </w:r>
      <w:r w:rsidR="008A1ED8">
        <w:rPr>
          <w:rFonts w:eastAsia="SimSun"/>
        </w:rPr>
        <w:t xml:space="preserve">100 per cent of the cost-effectiveness threshold </w:t>
      </w:r>
      <w:r w:rsidR="00DF458E">
        <w:rPr>
          <w:rFonts w:eastAsia="SimSun"/>
        </w:rPr>
        <w:t xml:space="preserve">while the proposal </w:t>
      </w:r>
      <w:r w:rsidR="000D3431">
        <w:rPr>
          <w:rFonts w:eastAsia="SimSun"/>
        </w:rPr>
        <w:t>presented</w:t>
      </w:r>
      <w:r w:rsidR="00DF458E">
        <w:rPr>
          <w:rFonts w:eastAsia="SimSun"/>
        </w:rPr>
        <w:t xml:space="preserve"> by Article 5 countries </w:t>
      </w:r>
      <w:r w:rsidR="000D3431">
        <w:rPr>
          <w:rFonts w:eastAsia="SimSun"/>
        </w:rPr>
        <w:t xml:space="preserve">(annex III) </w:t>
      </w:r>
      <w:r w:rsidR="00C100E0">
        <w:rPr>
          <w:rFonts w:eastAsia="SimSun"/>
        </w:rPr>
        <w:t>included</w:t>
      </w:r>
      <w:r w:rsidR="00DF458E">
        <w:rPr>
          <w:rFonts w:eastAsia="SimSun"/>
        </w:rPr>
        <w:t xml:space="preserve"> </w:t>
      </w:r>
      <w:r w:rsidR="008F23FE">
        <w:rPr>
          <w:rFonts w:eastAsia="SimSun"/>
        </w:rPr>
        <w:t xml:space="preserve">a </w:t>
      </w:r>
      <w:r w:rsidR="005A66B1">
        <w:rPr>
          <w:rFonts w:eastAsia="SimSun"/>
        </w:rPr>
        <w:t xml:space="preserve">specified </w:t>
      </w:r>
      <w:r w:rsidR="000D3431">
        <w:rPr>
          <w:rFonts w:eastAsia="SimSun"/>
        </w:rPr>
        <w:t xml:space="preserve">funding </w:t>
      </w:r>
      <w:r w:rsidR="008F23FE">
        <w:rPr>
          <w:rFonts w:eastAsia="SimSun"/>
        </w:rPr>
        <w:t xml:space="preserve">level per enterprise </w:t>
      </w:r>
      <w:r w:rsidR="000D3431">
        <w:rPr>
          <w:rFonts w:eastAsia="SimSun"/>
        </w:rPr>
        <w:t xml:space="preserve">for </w:t>
      </w:r>
      <w:r w:rsidR="00743AF9">
        <w:rPr>
          <w:rFonts w:eastAsia="SimSun"/>
        </w:rPr>
        <w:t>micro and small enterprises</w:t>
      </w:r>
      <w:r w:rsidR="00964253">
        <w:rPr>
          <w:rFonts w:eastAsia="SimSun"/>
        </w:rPr>
        <w:t xml:space="preserve">. Discussions on </w:t>
      </w:r>
      <w:r w:rsidR="004A6E87">
        <w:rPr>
          <w:rFonts w:eastAsia="SimSun"/>
        </w:rPr>
        <w:t xml:space="preserve">the level of funding for SMEs </w:t>
      </w:r>
      <w:r w:rsidR="00D758F0">
        <w:rPr>
          <w:rFonts w:eastAsia="SimSun"/>
        </w:rPr>
        <w:t xml:space="preserve">and their definition </w:t>
      </w:r>
      <w:r w:rsidR="004A6E87">
        <w:rPr>
          <w:rFonts w:eastAsia="SimSun"/>
        </w:rPr>
        <w:t>will continue at the 95</w:t>
      </w:r>
      <w:r w:rsidR="004A6E87" w:rsidRPr="004A6E87">
        <w:rPr>
          <w:rFonts w:eastAsia="SimSun"/>
          <w:vertAlign w:val="superscript"/>
        </w:rPr>
        <w:t>th</w:t>
      </w:r>
      <w:r w:rsidR="004A6E87">
        <w:rPr>
          <w:rFonts w:eastAsia="SimSun"/>
        </w:rPr>
        <w:t xml:space="preserve"> meeting</w:t>
      </w:r>
      <w:r w:rsidR="00964253">
        <w:rPr>
          <w:rFonts w:eastAsia="SimSun"/>
        </w:rPr>
        <w:t>.</w:t>
      </w:r>
    </w:p>
    <w:p w14:paraId="6B852C3D" w14:textId="77777777" w:rsidR="004B451F" w:rsidRDefault="004B451F" w:rsidP="004B451F">
      <w:pPr>
        <w:pStyle w:val="Heading1"/>
        <w:keepNext/>
        <w:keepLines/>
        <w:numPr>
          <w:ilvl w:val="0"/>
          <w:numId w:val="0"/>
        </w:numPr>
        <w:tabs>
          <w:tab w:val="left" w:pos="720"/>
        </w:tabs>
        <w:spacing w:before="360"/>
        <w:rPr>
          <w:b/>
          <w:bCs/>
          <w:sz w:val="24"/>
          <w:szCs w:val="24"/>
        </w:rPr>
      </w:pPr>
      <w:r>
        <w:rPr>
          <w:b/>
          <w:bCs/>
          <w:sz w:val="24"/>
          <w:szCs w:val="24"/>
        </w:rPr>
        <w:t>III.</w:t>
      </w:r>
      <w:bookmarkStart w:id="8" w:name="_Hlk118106310"/>
      <w:r>
        <w:rPr>
          <w:b/>
          <w:bCs/>
          <w:sz w:val="24"/>
          <w:szCs w:val="24"/>
        </w:rPr>
        <w:tab/>
        <w:t>Recommendation</w:t>
      </w:r>
    </w:p>
    <w:p w14:paraId="6EFF1126" w14:textId="77777777" w:rsidR="004B451F" w:rsidRDefault="004B451F" w:rsidP="004B451F">
      <w:pPr>
        <w:pStyle w:val="Heading1"/>
        <w:keepNext/>
        <w:keepLines/>
        <w:numPr>
          <w:ilvl w:val="0"/>
          <w:numId w:val="21"/>
        </w:numPr>
        <w:spacing w:after="120"/>
      </w:pPr>
      <w:r>
        <w:t>The Executive Committee may wish:</w:t>
      </w:r>
    </w:p>
    <w:p w14:paraId="4A41DBB6" w14:textId="01148DAD" w:rsidR="004B451F" w:rsidRDefault="004B451F" w:rsidP="004B451F">
      <w:pPr>
        <w:pStyle w:val="Heading2"/>
        <w:keepNext/>
        <w:keepLines/>
        <w:widowControl/>
        <w:numPr>
          <w:ilvl w:val="1"/>
          <w:numId w:val="21"/>
        </w:numPr>
        <w:spacing w:after="0"/>
      </w:pPr>
      <w:r>
        <w:t>To note document</w:t>
      </w:r>
      <w:bookmarkEnd w:id="8"/>
      <w:r>
        <w:t xml:space="preserve"> UNEP/OzL.Pro/ExCom/9</w:t>
      </w:r>
      <w:r w:rsidR="00DE38F3">
        <w:t>5</w:t>
      </w:r>
      <w:r>
        <w:t>/</w:t>
      </w:r>
      <w:r w:rsidR="00BE79A2">
        <w:t>8</w:t>
      </w:r>
      <w:r w:rsidR="00BE03FA">
        <w:t>6</w:t>
      </w:r>
      <w:r>
        <w:t xml:space="preserve"> on the draft guidelines for funding the phase</w:t>
      </w:r>
      <w:r>
        <w:noBreakHyphen/>
        <w:t>down of HFCs in Article 5 countries, including consideration of operationalizing paragraph 24 of decision XXVIII/2; and</w:t>
      </w:r>
    </w:p>
    <w:p w14:paraId="63539CDF" w14:textId="77777777" w:rsidR="0074201C" w:rsidRPr="0074201C" w:rsidRDefault="0074201C" w:rsidP="001D1A9A"/>
    <w:p w14:paraId="5B96A72A" w14:textId="046BD881" w:rsidR="004B451F" w:rsidRDefault="004B451F" w:rsidP="001D1A9A">
      <w:pPr>
        <w:pStyle w:val="Heading2"/>
        <w:rPr>
          <w:sz w:val="24"/>
          <w:szCs w:val="24"/>
          <w:lang w:eastAsia="en-CA"/>
        </w:rPr>
      </w:pPr>
      <w:r>
        <w:t>To continue its deliberations on the guidelines for funding the phase-down of HFCs in Article 5 countries in light of document UNEP/OzL.Pro/ExCom</w:t>
      </w:r>
      <w:r w:rsidR="00457EA3">
        <w:t>/</w:t>
      </w:r>
      <w:r w:rsidR="00DE38F3">
        <w:t>95/</w:t>
      </w:r>
      <w:r w:rsidR="00BE79A2">
        <w:t>8</w:t>
      </w:r>
      <w:r w:rsidR="002927B2">
        <w:t>6</w:t>
      </w:r>
      <w:r w:rsidR="00D6363F">
        <w:t>.</w:t>
      </w:r>
    </w:p>
    <w:p w14:paraId="33F2AD48" w14:textId="77777777" w:rsidR="00BB2764" w:rsidRPr="009B0D30" w:rsidRDefault="00BB2764" w:rsidP="00BB2764"/>
    <w:p w14:paraId="2C52CFF1" w14:textId="77777777" w:rsidR="0074201C" w:rsidRDefault="0074201C" w:rsidP="004E7F9C">
      <w:pPr>
        <w:sectPr w:rsidR="0074201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23494FC"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6FC1363" w14:textId="77777777" w:rsidTr="00FB077C">
        <w:tc>
          <w:tcPr>
            <w:tcW w:w="1915" w:type="dxa"/>
          </w:tcPr>
          <w:p w14:paraId="76445F5C" w14:textId="77777777" w:rsidR="00E85409" w:rsidRPr="009B0D30" w:rsidRDefault="00E85409" w:rsidP="00FB077C"/>
        </w:tc>
        <w:tc>
          <w:tcPr>
            <w:tcW w:w="1915" w:type="dxa"/>
          </w:tcPr>
          <w:p w14:paraId="380B4821" w14:textId="77777777" w:rsidR="00E85409" w:rsidRPr="009B0D30" w:rsidRDefault="00E85409" w:rsidP="00FB077C"/>
        </w:tc>
        <w:tc>
          <w:tcPr>
            <w:tcW w:w="1915" w:type="dxa"/>
            <w:tcBorders>
              <w:bottom w:val="single" w:sz="4" w:space="0" w:color="auto"/>
            </w:tcBorders>
          </w:tcPr>
          <w:p w14:paraId="23DAEFA2" w14:textId="77777777" w:rsidR="00E85409" w:rsidRPr="009B0D30" w:rsidRDefault="00E85409" w:rsidP="00FB077C"/>
        </w:tc>
        <w:tc>
          <w:tcPr>
            <w:tcW w:w="1915" w:type="dxa"/>
          </w:tcPr>
          <w:p w14:paraId="2127E4EF" w14:textId="77777777" w:rsidR="00E85409" w:rsidRPr="009B0D30" w:rsidRDefault="00E85409" w:rsidP="00FB077C"/>
        </w:tc>
        <w:tc>
          <w:tcPr>
            <w:tcW w:w="1916" w:type="dxa"/>
          </w:tcPr>
          <w:p w14:paraId="12865874" w14:textId="77777777" w:rsidR="00E85409" w:rsidRPr="009B0D30" w:rsidRDefault="00E85409" w:rsidP="00FB077C"/>
        </w:tc>
      </w:tr>
    </w:tbl>
    <w:p w14:paraId="4F808E1D" w14:textId="77777777" w:rsidR="00E85409" w:rsidRDefault="00E85409" w:rsidP="004E7F9C"/>
    <w:p w14:paraId="1AB5E94B" w14:textId="77777777" w:rsidR="00802CD3" w:rsidRDefault="00802CD3" w:rsidP="004E7F9C">
      <w:pPr>
        <w:sectPr w:rsidR="00802CD3" w:rsidSect="0074201C">
          <w:type w:val="continuous"/>
          <w:pgSz w:w="12240" w:h="15840" w:code="1"/>
          <w:pgMar w:top="720" w:right="1440" w:bottom="864" w:left="1440" w:header="720" w:footer="475" w:gutter="0"/>
          <w:cols w:space="720"/>
          <w:titlePg/>
        </w:sectPr>
      </w:pPr>
    </w:p>
    <w:p w14:paraId="1E469B95" w14:textId="77777777" w:rsidR="00005EBC" w:rsidRDefault="00005EBC" w:rsidP="00005EBC">
      <w:pPr>
        <w:suppressAutoHyphens/>
        <w:spacing w:after="240"/>
        <w:jc w:val="center"/>
        <w:rPr>
          <w:b/>
          <w:bCs/>
        </w:rPr>
      </w:pPr>
      <w:r>
        <w:rPr>
          <w:b/>
          <w:bCs/>
        </w:rPr>
        <w:lastRenderedPageBreak/>
        <w:t>Annex I</w:t>
      </w:r>
    </w:p>
    <w:p w14:paraId="79945DAC" w14:textId="77777777" w:rsidR="00780419" w:rsidRPr="006C6555" w:rsidRDefault="00780419" w:rsidP="00780419">
      <w:pPr>
        <w:spacing w:after="360"/>
        <w:jc w:val="center"/>
        <w:rPr>
          <w:lang w:val="en-US"/>
        </w:rPr>
      </w:pPr>
      <w:bookmarkStart w:id="9" w:name="_Hlk170220688"/>
      <w:r w:rsidRPr="006C6555">
        <w:rPr>
          <w:b/>
          <w:bCs/>
          <w:lang w:val="en-US"/>
        </w:rPr>
        <w:t>FINAL WORKING TEXT: A</w:t>
      </w:r>
      <w:r>
        <w:rPr>
          <w:b/>
          <w:bCs/>
          <w:lang w:val="en-US"/>
        </w:rPr>
        <w:t xml:space="preserve">RTICLE </w:t>
      </w:r>
      <w:r w:rsidRPr="006C6555">
        <w:rPr>
          <w:b/>
          <w:bCs/>
          <w:lang w:val="en-US"/>
        </w:rPr>
        <w:t>5 AND NON-A</w:t>
      </w:r>
      <w:r>
        <w:rPr>
          <w:b/>
          <w:bCs/>
          <w:lang w:val="en-US"/>
        </w:rPr>
        <w:t xml:space="preserve">RTICLE </w:t>
      </w:r>
      <w:r w:rsidRPr="006C6555">
        <w:rPr>
          <w:b/>
          <w:bCs/>
          <w:lang w:val="en-US"/>
        </w:rPr>
        <w:t>5 PROPOSALS FOR LARGE ENTERPRISES AND IOCS</w:t>
      </w:r>
    </w:p>
    <w:bookmarkEnd w:id="9"/>
    <w:tbl>
      <w:tblPr>
        <w:tblStyle w:val="TableGrid"/>
        <w:tblpPr w:leftFromText="180" w:rightFromText="180" w:vertAnchor="text" w:tblpXSpec="center" w:tblpY="1"/>
        <w:tblOverlap w:val="never"/>
        <w:tblW w:w="13985" w:type="dxa"/>
        <w:tblLook w:val="04A0" w:firstRow="1" w:lastRow="0" w:firstColumn="1" w:lastColumn="0" w:noHBand="0" w:noVBand="1"/>
      </w:tblPr>
      <w:tblGrid>
        <w:gridCol w:w="3005"/>
        <w:gridCol w:w="1783"/>
        <w:gridCol w:w="1695"/>
        <w:gridCol w:w="1799"/>
        <w:gridCol w:w="1826"/>
        <w:gridCol w:w="2020"/>
        <w:gridCol w:w="1857"/>
      </w:tblGrid>
      <w:tr w:rsidR="00780419" w:rsidRPr="006C6555" w14:paraId="585C19C2" w14:textId="77777777" w:rsidTr="00797DA9">
        <w:trPr>
          <w:trHeight w:val="290"/>
        </w:trPr>
        <w:tc>
          <w:tcPr>
            <w:tcW w:w="3005" w:type="dxa"/>
          </w:tcPr>
          <w:p w14:paraId="4BDA8B6A" w14:textId="77777777" w:rsidR="00780419" w:rsidRPr="006C6555" w:rsidRDefault="00780419" w:rsidP="00797DA9">
            <w:pPr>
              <w:rPr>
                <w:lang w:val="en-US"/>
              </w:rPr>
            </w:pPr>
          </w:p>
        </w:tc>
        <w:tc>
          <w:tcPr>
            <w:tcW w:w="3478" w:type="dxa"/>
            <w:gridSpan w:val="2"/>
            <w:shd w:val="clear" w:color="auto" w:fill="DBE5F1" w:themeFill="accent1" w:themeFillTint="33"/>
          </w:tcPr>
          <w:p w14:paraId="1A234C22" w14:textId="45DC121B" w:rsidR="00780419" w:rsidRPr="006C6555" w:rsidRDefault="00780419" w:rsidP="00797DA9">
            <w:pPr>
              <w:jc w:val="center"/>
              <w:rPr>
                <w:b/>
                <w:bCs/>
                <w:lang w:val="en-US"/>
              </w:rPr>
            </w:pPr>
            <w:r w:rsidRPr="006C6555">
              <w:rPr>
                <w:b/>
                <w:bCs/>
                <w:lang w:val="en-US"/>
              </w:rPr>
              <w:t>A5 proposal (</w:t>
            </w:r>
            <w:r w:rsidR="004E3C37">
              <w:rPr>
                <w:b/>
                <w:bCs/>
                <w:lang w:val="en-US"/>
              </w:rPr>
              <w:t>US $</w:t>
            </w:r>
            <w:r w:rsidRPr="006C6555">
              <w:rPr>
                <w:b/>
                <w:bCs/>
                <w:lang w:val="en-US"/>
              </w:rPr>
              <w:t>/kg)</w:t>
            </w:r>
          </w:p>
        </w:tc>
        <w:tc>
          <w:tcPr>
            <w:tcW w:w="3625" w:type="dxa"/>
            <w:gridSpan w:val="2"/>
            <w:shd w:val="clear" w:color="auto" w:fill="EAF1DD" w:themeFill="accent3" w:themeFillTint="33"/>
          </w:tcPr>
          <w:p w14:paraId="572C7A09" w14:textId="35AE0A35" w:rsidR="00780419" w:rsidRPr="006C6555" w:rsidRDefault="00780419" w:rsidP="00797DA9">
            <w:pPr>
              <w:jc w:val="center"/>
              <w:rPr>
                <w:b/>
                <w:bCs/>
                <w:lang w:val="en-US"/>
              </w:rPr>
            </w:pPr>
            <w:r w:rsidRPr="006C6555">
              <w:rPr>
                <w:b/>
                <w:bCs/>
                <w:lang w:val="en-US"/>
              </w:rPr>
              <w:t>Non-A5 proposal (</w:t>
            </w:r>
            <w:r w:rsidR="004E3C37">
              <w:rPr>
                <w:b/>
                <w:bCs/>
                <w:lang w:val="en-US"/>
              </w:rPr>
              <w:t>US $</w:t>
            </w:r>
            <w:r w:rsidRPr="006C6555">
              <w:rPr>
                <w:b/>
                <w:bCs/>
                <w:lang w:val="en-US"/>
              </w:rPr>
              <w:t>/kg)</w:t>
            </w:r>
          </w:p>
        </w:tc>
        <w:tc>
          <w:tcPr>
            <w:tcW w:w="3877" w:type="dxa"/>
            <w:gridSpan w:val="2"/>
            <w:shd w:val="clear" w:color="auto" w:fill="FFF2CC"/>
          </w:tcPr>
          <w:p w14:paraId="60528242" w14:textId="1F5AF3D1" w:rsidR="00780419" w:rsidRPr="006C6555" w:rsidRDefault="00780419" w:rsidP="00797DA9">
            <w:pPr>
              <w:jc w:val="center"/>
              <w:rPr>
                <w:b/>
                <w:bCs/>
                <w:lang w:val="en-US"/>
              </w:rPr>
            </w:pPr>
            <w:r w:rsidRPr="006C6555">
              <w:rPr>
                <w:b/>
                <w:bCs/>
                <w:lang w:val="en-US"/>
              </w:rPr>
              <w:t>Agreed (</w:t>
            </w:r>
            <w:r w:rsidR="004E3C37">
              <w:rPr>
                <w:b/>
                <w:bCs/>
                <w:lang w:val="en-US"/>
              </w:rPr>
              <w:t>US $</w:t>
            </w:r>
            <w:r w:rsidRPr="006C6555">
              <w:rPr>
                <w:b/>
                <w:bCs/>
                <w:lang w:val="en-US"/>
              </w:rPr>
              <w:t>/kg)</w:t>
            </w:r>
          </w:p>
        </w:tc>
      </w:tr>
      <w:tr w:rsidR="00780419" w:rsidRPr="006C6555" w14:paraId="1A4C032D" w14:textId="77777777" w:rsidTr="00797DA9">
        <w:trPr>
          <w:trHeight w:val="290"/>
        </w:trPr>
        <w:tc>
          <w:tcPr>
            <w:tcW w:w="3005" w:type="dxa"/>
            <w:vAlign w:val="center"/>
          </w:tcPr>
          <w:p w14:paraId="60550403" w14:textId="77777777" w:rsidR="00780419" w:rsidRPr="006C6555" w:rsidRDefault="00780419" w:rsidP="00797DA9">
            <w:pPr>
              <w:rPr>
                <w:b/>
                <w:bCs/>
                <w:lang w:val="en-US"/>
              </w:rPr>
            </w:pPr>
            <w:r w:rsidRPr="006C6555">
              <w:rPr>
                <w:b/>
                <w:bCs/>
                <w:lang w:val="en-US"/>
              </w:rPr>
              <w:t xml:space="preserve">Sector </w:t>
            </w:r>
          </w:p>
        </w:tc>
        <w:tc>
          <w:tcPr>
            <w:tcW w:w="1783" w:type="dxa"/>
            <w:shd w:val="clear" w:color="auto" w:fill="DBE5F1" w:themeFill="accent1" w:themeFillTint="33"/>
            <w:vAlign w:val="center"/>
          </w:tcPr>
          <w:p w14:paraId="3887CD71" w14:textId="77777777" w:rsidR="00780419" w:rsidRPr="006C6555" w:rsidRDefault="00780419" w:rsidP="00797DA9">
            <w:pPr>
              <w:jc w:val="center"/>
              <w:rPr>
                <w:b/>
                <w:bCs/>
                <w:lang w:val="en-US"/>
              </w:rPr>
            </w:pPr>
            <w:r w:rsidRPr="006C6555">
              <w:rPr>
                <w:b/>
                <w:bCs/>
                <w:lang w:val="en-US"/>
              </w:rPr>
              <w:t>Large – CE Threshold</w:t>
            </w:r>
          </w:p>
        </w:tc>
        <w:tc>
          <w:tcPr>
            <w:tcW w:w="1695" w:type="dxa"/>
            <w:shd w:val="clear" w:color="auto" w:fill="DBE5F1" w:themeFill="accent1" w:themeFillTint="33"/>
            <w:vAlign w:val="center"/>
          </w:tcPr>
          <w:p w14:paraId="4CE14689" w14:textId="77777777" w:rsidR="00780419" w:rsidRPr="006C6555" w:rsidRDefault="00780419" w:rsidP="00797DA9">
            <w:pPr>
              <w:jc w:val="center"/>
              <w:rPr>
                <w:b/>
                <w:bCs/>
                <w:lang w:val="en-US"/>
              </w:rPr>
            </w:pPr>
            <w:r w:rsidRPr="006C6555">
              <w:rPr>
                <w:b/>
                <w:bCs/>
                <w:lang w:val="en-US"/>
              </w:rPr>
              <w:t>IOCs</w:t>
            </w:r>
          </w:p>
        </w:tc>
        <w:tc>
          <w:tcPr>
            <w:tcW w:w="1799" w:type="dxa"/>
            <w:shd w:val="clear" w:color="auto" w:fill="EAF1DD" w:themeFill="accent3" w:themeFillTint="33"/>
            <w:vAlign w:val="center"/>
          </w:tcPr>
          <w:p w14:paraId="795BD17B" w14:textId="77777777" w:rsidR="00780419" w:rsidRPr="006C6555" w:rsidRDefault="00780419" w:rsidP="00797DA9">
            <w:pPr>
              <w:jc w:val="center"/>
              <w:rPr>
                <w:b/>
                <w:bCs/>
                <w:lang w:val="en-US"/>
              </w:rPr>
            </w:pPr>
            <w:r w:rsidRPr="006C6555">
              <w:rPr>
                <w:rFonts w:eastAsia="Calibri"/>
                <w:b/>
                <w:bCs/>
                <w:lang w:val="en-US"/>
              </w:rPr>
              <w:t>Large – CE threshold</w:t>
            </w:r>
          </w:p>
        </w:tc>
        <w:tc>
          <w:tcPr>
            <w:tcW w:w="1826" w:type="dxa"/>
            <w:shd w:val="clear" w:color="auto" w:fill="EAF1DD" w:themeFill="accent3" w:themeFillTint="33"/>
            <w:vAlign w:val="center"/>
          </w:tcPr>
          <w:p w14:paraId="5280421C" w14:textId="77777777" w:rsidR="00780419" w:rsidRPr="006C6555" w:rsidRDefault="00780419" w:rsidP="00797DA9">
            <w:pPr>
              <w:jc w:val="center"/>
              <w:rPr>
                <w:b/>
                <w:bCs/>
                <w:lang w:val="en-US"/>
              </w:rPr>
            </w:pPr>
            <w:r w:rsidRPr="006C6555">
              <w:rPr>
                <w:rFonts w:eastAsia="Calibri"/>
                <w:b/>
                <w:bCs/>
                <w:lang w:val="en-US"/>
              </w:rPr>
              <w:t>IOCs</w:t>
            </w:r>
          </w:p>
        </w:tc>
        <w:tc>
          <w:tcPr>
            <w:tcW w:w="2020" w:type="dxa"/>
            <w:shd w:val="clear" w:color="auto" w:fill="FFF2CC"/>
          </w:tcPr>
          <w:p w14:paraId="1D7511B4" w14:textId="77777777" w:rsidR="00780419" w:rsidRPr="006C6555" w:rsidRDefault="00780419" w:rsidP="00797DA9">
            <w:pPr>
              <w:jc w:val="center"/>
              <w:rPr>
                <w:rFonts w:eastAsia="Calibri"/>
                <w:b/>
                <w:bCs/>
                <w:lang w:val="en-US"/>
              </w:rPr>
            </w:pPr>
            <w:r w:rsidRPr="006C6555">
              <w:rPr>
                <w:rFonts w:eastAsia="Calibri"/>
                <w:b/>
                <w:bCs/>
                <w:lang w:val="en-US"/>
              </w:rPr>
              <w:t>Large – CE threshold</w:t>
            </w:r>
          </w:p>
        </w:tc>
        <w:tc>
          <w:tcPr>
            <w:tcW w:w="1856" w:type="dxa"/>
            <w:shd w:val="clear" w:color="auto" w:fill="FFF2CC"/>
          </w:tcPr>
          <w:p w14:paraId="2F34DE97" w14:textId="77777777" w:rsidR="00780419" w:rsidRPr="006C6555" w:rsidRDefault="00780419" w:rsidP="00797DA9">
            <w:pPr>
              <w:jc w:val="center"/>
              <w:rPr>
                <w:rFonts w:eastAsia="Calibri"/>
                <w:b/>
                <w:bCs/>
                <w:lang w:val="en-US"/>
              </w:rPr>
            </w:pPr>
            <w:r w:rsidRPr="006C6555">
              <w:rPr>
                <w:rFonts w:eastAsia="Calibri"/>
                <w:b/>
                <w:bCs/>
                <w:lang w:val="en-US"/>
              </w:rPr>
              <w:t>IOCs</w:t>
            </w:r>
          </w:p>
        </w:tc>
      </w:tr>
      <w:tr w:rsidR="00780419" w:rsidRPr="006C6555" w14:paraId="68D01AEE" w14:textId="77777777" w:rsidTr="00797DA9">
        <w:trPr>
          <w:trHeight w:val="359"/>
        </w:trPr>
        <w:tc>
          <w:tcPr>
            <w:tcW w:w="3005" w:type="dxa"/>
          </w:tcPr>
          <w:p w14:paraId="7122914A" w14:textId="77777777" w:rsidR="00780419" w:rsidRPr="006C6555" w:rsidRDefault="00780419" w:rsidP="00797DA9">
            <w:pPr>
              <w:jc w:val="left"/>
              <w:rPr>
                <w:lang w:val="en-US"/>
              </w:rPr>
            </w:pPr>
            <w:r w:rsidRPr="006C6555">
              <w:rPr>
                <w:highlight w:val="green"/>
                <w:lang w:val="en-US"/>
              </w:rPr>
              <w:t>Domestic refrigeration</w:t>
            </w:r>
          </w:p>
        </w:tc>
        <w:tc>
          <w:tcPr>
            <w:tcW w:w="1783" w:type="dxa"/>
            <w:shd w:val="clear" w:color="auto" w:fill="DBE5F1" w:themeFill="accent1" w:themeFillTint="33"/>
          </w:tcPr>
          <w:p w14:paraId="562CA9B6" w14:textId="77777777" w:rsidR="00780419" w:rsidRPr="006C6555" w:rsidRDefault="00780419" w:rsidP="00797DA9">
            <w:pPr>
              <w:jc w:val="center"/>
              <w:rPr>
                <w:highlight w:val="green"/>
                <w:lang w:val="en-US"/>
              </w:rPr>
            </w:pPr>
            <w:r w:rsidRPr="006C6555">
              <w:rPr>
                <w:highlight w:val="green"/>
                <w:lang w:val="en-US"/>
              </w:rPr>
              <w:t>13.76</w:t>
            </w:r>
          </w:p>
        </w:tc>
        <w:tc>
          <w:tcPr>
            <w:tcW w:w="1695" w:type="dxa"/>
            <w:shd w:val="clear" w:color="auto" w:fill="DBE5F1" w:themeFill="accent1" w:themeFillTint="33"/>
          </w:tcPr>
          <w:p w14:paraId="0A777F44" w14:textId="77777777" w:rsidR="00780419" w:rsidRPr="006C6555" w:rsidRDefault="00780419" w:rsidP="00797DA9">
            <w:pPr>
              <w:jc w:val="center"/>
              <w:rPr>
                <w:lang w:val="en-US"/>
              </w:rPr>
            </w:pPr>
            <w:r w:rsidRPr="006C6555">
              <w:rPr>
                <w:lang w:val="en-US"/>
              </w:rPr>
              <w:t xml:space="preserve"> 7.50 </w:t>
            </w:r>
            <w:r w:rsidRPr="006C6555">
              <w:rPr>
                <w:strike/>
                <w:lang w:val="en-US"/>
              </w:rPr>
              <w:t>8.00</w:t>
            </w:r>
          </w:p>
        </w:tc>
        <w:tc>
          <w:tcPr>
            <w:tcW w:w="1799" w:type="dxa"/>
            <w:shd w:val="clear" w:color="auto" w:fill="EAF1DD" w:themeFill="accent3" w:themeFillTint="33"/>
          </w:tcPr>
          <w:p w14:paraId="255A0682" w14:textId="77777777" w:rsidR="00780419" w:rsidRPr="006C6555" w:rsidRDefault="00780419" w:rsidP="00797DA9">
            <w:pPr>
              <w:jc w:val="center"/>
              <w:rPr>
                <w:lang w:val="en-US"/>
              </w:rPr>
            </w:pPr>
            <w:r w:rsidRPr="006C6555">
              <w:rPr>
                <w:rFonts w:eastAsia="Calibri"/>
                <w:highlight w:val="green"/>
                <w:lang w:val="en-US"/>
              </w:rPr>
              <w:t>13.76</w:t>
            </w:r>
          </w:p>
        </w:tc>
        <w:tc>
          <w:tcPr>
            <w:tcW w:w="1826" w:type="dxa"/>
            <w:shd w:val="clear" w:color="auto" w:fill="EAF1DD" w:themeFill="accent3" w:themeFillTint="33"/>
          </w:tcPr>
          <w:p w14:paraId="09B8628D" w14:textId="77777777" w:rsidR="00780419" w:rsidRPr="006C6555" w:rsidRDefault="00780419" w:rsidP="00797DA9">
            <w:pPr>
              <w:jc w:val="center"/>
              <w:rPr>
                <w:lang w:val="en-US"/>
              </w:rPr>
            </w:pPr>
            <w:r w:rsidRPr="006C6555">
              <w:rPr>
                <w:rFonts w:eastAsia="Calibri"/>
                <w:lang w:val="en-US"/>
              </w:rPr>
              <w:t xml:space="preserve">4.7 </w:t>
            </w:r>
            <w:r w:rsidRPr="006C6555">
              <w:rPr>
                <w:rFonts w:eastAsia="Calibri"/>
                <w:strike/>
                <w:lang w:val="en-US"/>
              </w:rPr>
              <w:t>4.5</w:t>
            </w:r>
          </w:p>
        </w:tc>
        <w:tc>
          <w:tcPr>
            <w:tcW w:w="2020" w:type="dxa"/>
            <w:shd w:val="clear" w:color="auto" w:fill="FFF2CC"/>
          </w:tcPr>
          <w:p w14:paraId="01A96CFB" w14:textId="77777777" w:rsidR="00780419" w:rsidRPr="006C6555" w:rsidRDefault="00780419" w:rsidP="00797DA9">
            <w:pPr>
              <w:jc w:val="center"/>
              <w:rPr>
                <w:rFonts w:eastAsia="Calibri"/>
                <w:lang w:val="en-US"/>
              </w:rPr>
            </w:pPr>
            <w:r w:rsidRPr="006C6555">
              <w:rPr>
                <w:rFonts w:eastAsia="Calibri"/>
                <w:lang w:val="en-US"/>
              </w:rPr>
              <w:t>13.76</w:t>
            </w:r>
          </w:p>
        </w:tc>
        <w:tc>
          <w:tcPr>
            <w:tcW w:w="1856" w:type="dxa"/>
            <w:shd w:val="clear" w:color="auto" w:fill="FFF2CC"/>
          </w:tcPr>
          <w:p w14:paraId="5BC67DAC" w14:textId="77777777" w:rsidR="00780419" w:rsidRPr="006C6555" w:rsidRDefault="00780419" w:rsidP="00797DA9">
            <w:pPr>
              <w:jc w:val="center"/>
              <w:rPr>
                <w:rFonts w:eastAsia="Calibri"/>
                <w:lang w:val="en-US"/>
              </w:rPr>
            </w:pPr>
            <w:r w:rsidRPr="006C6555">
              <w:rPr>
                <w:rFonts w:eastAsia="Calibri"/>
                <w:lang w:val="en-US"/>
              </w:rPr>
              <w:t>5.75</w:t>
            </w:r>
          </w:p>
        </w:tc>
      </w:tr>
      <w:tr w:rsidR="00780419" w:rsidRPr="006C6555" w14:paraId="688B5C8D" w14:textId="77777777" w:rsidTr="00797DA9">
        <w:trPr>
          <w:trHeight w:val="359"/>
        </w:trPr>
        <w:tc>
          <w:tcPr>
            <w:tcW w:w="3005" w:type="dxa"/>
          </w:tcPr>
          <w:p w14:paraId="12A613E6" w14:textId="77777777" w:rsidR="00780419" w:rsidRPr="006C6555" w:rsidRDefault="00780419" w:rsidP="00797DA9">
            <w:pPr>
              <w:jc w:val="left"/>
              <w:rPr>
                <w:lang w:val="en-US"/>
              </w:rPr>
            </w:pPr>
            <w:r w:rsidRPr="006C6555">
              <w:rPr>
                <w:lang w:val="en-US"/>
              </w:rPr>
              <w:t>Commercial refrigeration</w:t>
            </w:r>
          </w:p>
        </w:tc>
        <w:tc>
          <w:tcPr>
            <w:tcW w:w="1783" w:type="dxa"/>
            <w:shd w:val="clear" w:color="auto" w:fill="DBE5F1" w:themeFill="accent1" w:themeFillTint="33"/>
          </w:tcPr>
          <w:p w14:paraId="08562691" w14:textId="77777777" w:rsidR="00780419" w:rsidRPr="006C6555" w:rsidRDefault="00780419" w:rsidP="00797DA9">
            <w:pPr>
              <w:jc w:val="center"/>
              <w:rPr>
                <w:lang w:val="en-US"/>
              </w:rPr>
            </w:pPr>
            <w:r w:rsidRPr="006C6555">
              <w:rPr>
                <w:lang w:val="en-US"/>
              </w:rPr>
              <w:t>17.50</w:t>
            </w:r>
            <w:r w:rsidRPr="006C6555">
              <w:rPr>
                <w:strike/>
                <w:lang w:val="en-US"/>
              </w:rPr>
              <w:t>18.00</w:t>
            </w:r>
          </w:p>
        </w:tc>
        <w:tc>
          <w:tcPr>
            <w:tcW w:w="1695" w:type="dxa"/>
            <w:shd w:val="clear" w:color="auto" w:fill="DBE5F1" w:themeFill="accent1" w:themeFillTint="33"/>
          </w:tcPr>
          <w:p w14:paraId="6C122B24" w14:textId="77777777" w:rsidR="00780419" w:rsidRPr="006C6555" w:rsidRDefault="00780419" w:rsidP="00797DA9">
            <w:pPr>
              <w:jc w:val="center"/>
              <w:rPr>
                <w:lang w:val="en-US"/>
              </w:rPr>
            </w:pPr>
            <w:r w:rsidRPr="006C6555">
              <w:rPr>
                <w:lang w:val="en-US"/>
              </w:rPr>
              <w:t xml:space="preserve">6.50 </w:t>
            </w:r>
            <w:r w:rsidRPr="006C6555">
              <w:rPr>
                <w:strike/>
                <w:lang w:val="en-US"/>
              </w:rPr>
              <w:t>8.00</w:t>
            </w:r>
          </w:p>
        </w:tc>
        <w:tc>
          <w:tcPr>
            <w:tcW w:w="1799" w:type="dxa"/>
            <w:shd w:val="clear" w:color="auto" w:fill="EAF1DD" w:themeFill="accent3" w:themeFillTint="33"/>
          </w:tcPr>
          <w:p w14:paraId="100DF333" w14:textId="77777777" w:rsidR="00780419" w:rsidRPr="006C6555" w:rsidRDefault="00780419" w:rsidP="00797DA9">
            <w:pPr>
              <w:jc w:val="center"/>
              <w:rPr>
                <w:lang w:val="en-US"/>
              </w:rPr>
            </w:pPr>
            <w:r w:rsidRPr="006C6555">
              <w:rPr>
                <w:rFonts w:eastAsia="Calibri"/>
                <w:lang w:val="en-US"/>
              </w:rPr>
              <w:t xml:space="preserve">15.40 </w:t>
            </w:r>
            <w:r w:rsidRPr="006C6555">
              <w:rPr>
                <w:rFonts w:eastAsia="Calibri"/>
                <w:strike/>
                <w:lang w:val="en-US"/>
              </w:rPr>
              <w:t>15.21</w:t>
            </w:r>
          </w:p>
        </w:tc>
        <w:tc>
          <w:tcPr>
            <w:tcW w:w="1826" w:type="dxa"/>
            <w:shd w:val="clear" w:color="auto" w:fill="EAF1DD" w:themeFill="accent3" w:themeFillTint="33"/>
          </w:tcPr>
          <w:p w14:paraId="0237AD65" w14:textId="77777777" w:rsidR="00780419" w:rsidRPr="006C6555" w:rsidRDefault="00780419" w:rsidP="00797DA9">
            <w:pPr>
              <w:jc w:val="center"/>
              <w:rPr>
                <w:lang w:val="en-US"/>
              </w:rPr>
            </w:pPr>
            <w:r w:rsidRPr="006C6555">
              <w:rPr>
                <w:rFonts w:eastAsia="Calibri"/>
                <w:lang w:val="en-US"/>
              </w:rPr>
              <w:t xml:space="preserve">5.1 </w:t>
            </w:r>
            <w:r w:rsidRPr="006C6555">
              <w:rPr>
                <w:rFonts w:eastAsia="Calibri"/>
                <w:strike/>
                <w:lang w:val="en-US"/>
              </w:rPr>
              <w:t>4.8</w:t>
            </w:r>
          </w:p>
        </w:tc>
        <w:tc>
          <w:tcPr>
            <w:tcW w:w="2020" w:type="dxa"/>
            <w:shd w:val="clear" w:color="auto" w:fill="FFF2CC"/>
          </w:tcPr>
          <w:p w14:paraId="2D03A235" w14:textId="77777777" w:rsidR="00780419" w:rsidRPr="006C6555" w:rsidRDefault="00780419" w:rsidP="00797DA9">
            <w:pPr>
              <w:jc w:val="center"/>
              <w:rPr>
                <w:rFonts w:eastAsia="Calibri"/>
                <w:lang w:val="en-US"/>
              </w:rPr>
            </w:pPr>
          </w:p>
        </w:tc>
        <w:tc>
          <w:tcPr>
            <w:tcW w:w="1856" w:type="dxa"/>
            <w:shd w:val="clear" w:color="auto" w:fill="FFF2CC"/>
          </w:tcPr>
          <w:p w14:paraId="7F728CAA" w14:textId="77777777" w:rsidR="00780419" w:rsidRPr="006C6555" w:rsidRDefault="00780419" w:rsidP="00797DA9">
            <w:pPr>
              <w:jc w:val="center"/>
              <w:rPr>
                <w:rFonts w:eastAsia="Calibri"/>
                <w:lang w:val="en-US"/>
              </w:rPr>
            </w:pPr>
            <w:r w:rsidRPr="006C6555">
              <w:rPr>
                <w:rFonts w:eastAsia="Calibri"/>
                <w:lang w:val="en-US"/>
              </w:rPr>
              <w:t>5.50</w:t>
            </w:r>
          </w:p>
        </w:tc>
      </w:tr>
      <w:tr w:rsidR="00780419" w:rsidRPr="006C6555" w14:paraId="15B80F45" w14:textId="77777777" w:rsidTr="00797DA9">
        <w:trPr>
          <w:trHeight w:val="359"/>
        </w:trPr>
        <w:tc>
          <w:tcPr>
            <w:tcW w:w="3005" w:type="dxa"/>
          </w:tcPr>
          <w:p w14:paraId="456A84BC" w14:textId="77777777" w:rsidR="00780419" w:rsidRPr="006C6555" w:rsidRDefault="00780419" w:rsidP="00797DA9">
            <w:pPr>
              <w:jc w:val="left"/>
              <w:rPr>
                <w:lang w:val="en-US"/>
              </w:rPr>
            </w:pPr>
            <w:r w:rsidRPr="006C6555">
              <w:rPr>
                <w:lang w:val="en-US"/>
              </w:rPr>
              <w:t>Stationary AC – residential</w:t>
            </w:r>
          </w:p>
        </w:tc>
        <w:tc>
          <w:tcPr>
            <w:tcW w:w="1783" w:type="dxa"/>
            <w:shd w:val="clear" w:color="auto" w:fill="DBE5F1" w:themeFill="accent1" w:themeFillTint="33"/>
          </w:tcPr>
          <w:p w14:paraId="2272EF46" w14:textId="77777777" w:rsidR="00780419" w:rsidRPr="006C6555" w:rsidRDefault="00780419" w:rsidP="00797DA9">
            <w:pPr>
              <w:jc w:val="center"/>
              <w:rPr>
                <w:lang w:val="en-US"/>
              </w:rPr>
            </w:pPr>
            <w:r w:rsidRPr="006C6555">
              <w:rPr>
                <w:lang w:val="en-US"/>
              </w:rPr>
              <w:t>16.00</w:t>
            </w:r>
          </w:p>
        </w:tc>
        <w:tc>
          <w:tcPr>
            <w:tcW w:w="1695" w:type="dxa"/>
            <w:shd w:val="clear" w:color="auto" w:fill="DBE5F1" w:themeFill="accent1" w:themeFillTint="33"/>
          </w:tcPr>
          <w:p w14:paraId="2E521524" w14:textId="77777777" w:rsidR="00780419" w:rsidRPr="006C6555" w:rsidRDefault="00780419" w:rsidP="00797DA9">
            <w:pPr>
              <w:jc w:val="center"/>
              <w:rPr>
                <w:lang w:val="en-US"/>
              </w:rPr>
            </w:pPr>
            <w:r w:rsidRPr="006C6555">
              <w:rPr>
                <w:lang w:val="en-US"/>
              </w:rPr>
              <w:t xml:space="preserve">8.30 </w:t>
            </w:r>
            <w:r w:rsidRPr="006C6555">
              <w:rPr>
                <w:strike/>
                <w:lang w:val="en-US"/>
              </w:rPr>
              <w:t>20.00</w:t>
            </w:r>
          </w:p>
        </w:tc>
        <w:tc>
          <w:tcPr>
            <w:tcW w:w="1799" w:type="dxa"/>
            <w:shd w:val="clear" w:color="auto" w:fill="EAF1DD" w:themeFill="accent3" w:themeFillTint="33"/>
          </w:tcPr>
          <w:p w14:paraId="1E01CF36" w14:textId="77777777" w:rsidR="00780419" w:rsidRPr="006C6555" w:rsidRDefault="00780419" w:rsidP="00797DA9">
            <w:pPr>
              <w:jc w:val="center"/>
              <w:rPr>
                <w:lang w:val="en-US"/>
              </w:rPr>
            </w:pPr>
            <w:r w:rsidRPr="006C6555">
              <w:rPr>
                <w:rFonts w:eastAsia="Calibri"/>
                <w:lang w:val="en-US"/>
              </w:rPr>
              <w:t>11.5</w:t>
            </w:r>
          </w:p>
        </w:tc>
        <w:tc>
          <w:tcPr>
            <w:tcW w:w="1826" w:type="dxa"/>
            <w:shd w:val="clear" w:color="auto" w:fill="EAF1DD" w:themeFill="accent3" w:themeFillTint="33"/>
          </w:tcPr>
          <w:p w14:paraId="467708E2" w14:textId="77777777" w:rsidR="00780419" w:rsidRPr="006C6555" w:rsidRDefault="00780419" w:rsidP="00797DA9">
            <w:pPr>
              <w:jc w:val="center"/>
              <w:rPr>
                <w:lang w:val="en-US"/>
              </w:rPr>
            </w:pPr>
            <w:r w:rsidRPr="006C6555">
              <w:rPr>
                <w:rFonts w:eastAsia="Calibri"/>
                <w:lang w:val="en-US"/>
              </w:rPr>
              <w:t xml:space="preserve"> 7.10 </w:t>
            </w:r>
            <w:r w:rsidRPr="006C6555">
              <w:rPr>
                <w:rFonts w:eastAsia="Calibri"/>
                <w:strike/>
                <w:lang w:val="en-US"/>
              </w:rPr>
              <w:t>6.7</w:t>
            </w:r>
          </w:p>
        </w:tc>
        <w:tc>
          <w:tcPr>
            <w:tcW w:w="2020" w:type="dxa"/>
            <w:shd w:val="clear" w:color="auto" w:fill="FFF2CC"/>
          </w:tcPr>
          <w:p w14:paraId="5F9C9DC4" w14:textId="77777777" w:rsidR="00780419" w:rsidRPr="006C6555" w:rsidDel="00BF3797" w:rsidRDefault="00780419" w:rsidP="00797DA9">
            <w:pPr>
              <w:jc w:val="center"/>
              <w:rPr>
                <w:rFonts w:eastAsia="Calibri"/>
                <w:lang w:val="en-US"/>
              </w:rPr>
            </w:pPr>
          </w:p>
        </w:tc>
        <w:tc>
          <w:tcPr>
            <w:tcW w:w="1856" w:type="dxa"/>
            <w:shd w:val="clear" w:color="auto" w:fill="FFF2CC"/>
          </w:tcPr>
          <w:p w14:paraId="165D55FA" w14:textId="77777777" w:rsidR="00780419" w:rsidRPr="006C6555" w:rsidDel="00BF3797" w:rsidRDefault="00780419" w:rsidP="00797DA9">
            <w:pPr>
              <w:jc w:val="center"/>
              <w:rPr>
                <w:rFonts w:eastAsia="Calibri"/>
                <w:lang w:val="en-US"/>
              </w:rPr>
            </w:pPr>
          </w:p>
        </w:tc>
      </w:tr>
      <w:tr w:rsidR="00780419" w:rsidRPr="006C6555" w14:paraId="5E0A9489" w14:textId="77777777" w:rsidTr="00797DA9">
        <w:trPr>
          <w:trHeight w:val="359"/>
        </w:trPr>
        <w:tc>
          <w:tcPr>
            <w:tcW w:w="3005" w:type="dxa"/>
          </w:tcPr>
          <w:p w14:paraId="512E8D6D" w14:textId="77777777" w:rsidR="00780419" w:rsidRPr="006C6555" w:rsidRDefault="00780419" w:rsidP="00797DA9">
            <w:pPr>
              <w:jc w:val="left"/>
              <w:rPr>
                <w:lang w:val="en-US"/>
              </w:rPr>
            </w:pPr>
            <w:r w:rsidRPr="006C6555">
              <w:rPr>
                <w:lang w:val="en-US"/>
              </w:rPr>
              <w:t xml:space="preserve">Stationary AC – commercial </w:t>
            </w:r>
          </w:p>
        </w:tc>
        <w:tc>
          <w:tcPr>
            <w:tcW w:w="1783" w:type="dxa"/>
            <w:shd w:val="clear" w:color="auto" w:fill="DBE5F1" w:themeFill="accent1" w:themeFillTint="33"/>
          </w:tcPr>
          <w:p w14:paraId="01F473C1" w14:textId="77777777" w:rsidR="00780419" w:rsidRPr="006C6555" w:rsidRDefault="00780419" w:rsidP="00797DA9">
            <w:pPr>
              <w:jc w:val="center"/>
              <w:rPr>
                <w:lang w:val="en-US"/>
              </w:rPr>
            </w:pPr>
            <w:r w:rsidRPr="006C6555">
              <w:rPr>
                <w:lang w:val="en-US"/>
              </w:rPr>
              <w:t>18.00</w:t>
            </w:r>
          </w:p>
        </w:tc>
        <w:tc>
          <w:tcPr>
            <w:tcW w:w="1695" w:type="dxa"/>
            <w:shd w:val="clear" w:color="auto" w:fill="DBE5F1" w:themeFill="accent1" w:themeFillTint="33"/>
          </w:tcPr>
          <w:p w14:paraId="1A096ED5" w14:textId="77777777" w:rsidR="00780419" w:rsidRPr="006C6555" w:rsidRDefault="00780419" w:rsidP="00797DA9">
            <w:pPr>
              <w:jc w:val="center"/>
              <w:rPr>
                <w:lang w:val="en-US"/>
              </w:rPr>
            </w:pPr>
            <w:r w:rsidRPr="006C6555">
              <w:rPr>
                <w:lang w:val="en-US"/>
              </w:rPr>
              <w:t xml:space="preserve">9.30 </w:t>
            </w:r>
            <w:r w:rsidRPr="006C6555">
              <w:rPr>
                <w:strike/>
                <w:lang w:val="en-US"/>
              </w:rPr>
              <w:t>15.00</w:t>
            </w:r>
          </w:p>
        </w:tc>
        <w:tc>
          <w:tcPr>
            <w:tcW w:w="1799" w:type="dxa"/>
            <w:shd w:val="clear" w:color="auto" w:fill="EAF1DD" w:themeFill="accent3" w:themeFillTint="33"/>
          </w:tcPr>
          <w:p w14:paraId="76EDB24D" w14:textId="77777777" w:rsidR="00780419" w:rsidRPr="006C6555" w:rsidRDefault="00780419" w:rsidP="00797DA9">
            <w:pPr>
              <w:jc w:val="center"/>
              <w:rPr>
                <w:lang w:val="en-US"/>
              </w:rPr>
            </w:pPr>
            <w:r w:rsidRPr="006C6555">
              <w:rPr>
                <w:rFonts w:eastAsia="Calibri"/>
                <w:lang w:val="en-US"/>
              </w:rPr>
              <w:t>13.0</w:t>
            </w:r>
          </w:p>
        </w:tc>
        <w:tc>
          <w:tcPr>
            <w:tcW w:w="1826" w:type="dxa"/>
            <w:shd w:val="clear" w:color="auto" w:fill="EAF1DD" w:themeFill="accent3" w:themeFillTint="33"/>
          </w:tcPr>
          <w:p w14:paraId="17DE2B69" w14:textId="77777777" w:rsidR="00780419" w:rsidRPr="006C6555" w:rsidRDefault="00780419" w:rsidP="00797DA9">
            <w:pPr>
              <w:jc w:val="center"/>
              <w:rPr>
                <w:lang w:val="en-US"/>
              </w:rPr>
            </w:pPr>
            <w:r w:rsidRPr="006C6555">
              <w:rPr>
                <w:rFonts w:eastAsia="Calibri"/>
                <w:lang w:val="en-US"/>
              </w:rPr>
              <w:t xml:space="preserve"> 7.05 </w:t>
            </w:r>
            <w:r w:rsidRPr="006C6555">
              <w:rPr>
                <w:rFonts w:eastAsia="Calibri"/>
                <w:strike/>
                <w:lang w:val="en-US"/>
              </w:rPr>
              <w:t>6.5</w:t>
            </w:r>
          </w:p>
        </w:tc>
        <w:tc>
          <w:tcPr>
            <w:tcW w:w="2020" w:type="dxa"/>
            <w:shd w:val="clear" w:color="auto" w:fill="FFF2CC"/>
          </w:tcPr>
          <w:p w14:paraId="4134234D" w14:textId="77777777" w:rsidR="00780419" w:rsidRPr="006C6555" w:rsidDel="00BF3797" w:rsidRDefault="00780419" w:rsidP="00797DA9">
            <w:pPr>
              <w:jc w:val="center"/>
              <w:rPr>
                <w:rFonts w:eastAsia="Calibri"/>
                <w:lang w:val="en-US"/>
              </w:rPr>
            </w:pPr>
          </w:p>
        </w:tc>
        <w:tc>
          <w:tcPr>
            <w:tcW w:w="1856" w:type="dxa"/>
            <w:shd w:val="clear" w:color="auto" w:fill="FFF2CC"/>
          </w:tcPr>
          <w:p w14:paraId="083B17BE" w14:textId="77777777" w:rsidR="00780419" w:rsidRPr="006C6555" w:rsidDel="00BF3797" w:rsidRDefault="00780419" w:rsidP="00797DA9">
            <w:pPr>
              <w:jc w:val="center"/>
              <w:rPr>
                <w:rFonts w:eastAsia="Calibri"/>
                <w:lang w:val="en-US"/>
              </w:rPr>
            </w:pPr>
          </w:p>
        </w:tc>
      </w:tr>
      <w:tr w:rsidR="00780419" w:rsidRPr="006C6555" w14:paraId="2CE6BB5B" w14:textId="77777777" w:rsidTr="00797DA9">
        <w:trPr>
          <w:trHeight w:val="359"/>
        </w:trPr>
        <w:tc>
          <w:tcPr>
            <w:tcW w:w="3005" w:type="dxa"/>
          </w:tcPr>
          <w:p w14:paraId="56F134AB" w14:textId="77777777" w:rsidR="00780419" w:rsidRPr="006C6555" w:rsidRDefault="00780419" w:rsidP="00797DA9">
            <w:pPr>
              <w:jc w:val="left"/>
              <w:rPr>
                <w:lang w:val="en-US"/>
              </w:rPr>
            </w:pPr>
            <w:r w:rsidRPr="006C6555">
              <w:rPr>
                <w:lang w:val="en-US"/>
              </w:rPr>
              <w:t>Industrial/transport ref</w:t>
            </w:r>
            <w:r>
              <w:rPr>
                <w:lang w:val="en-US"/>
              </w:rPr>
              <w:t>rigeration</w:t>
            </w:r>
          </w:p>
        </w:tc>
        <w:tc>
          <w:tcPr>
            <w:tcW w:w="1783" w:type="dxa"/>
            <w:shd w:val="clear" w:color="auto" w:fill="DBE5F1" w:themeFill="accent1" w:themeFillTint="33"/>
          </w:tcPr>
          <w:p w14:paraId="7E7E6959" w14:textId="77777777" w:rsidR="00780419" w:rsidRPr="006C6555" w:rsidRDefault="00780419" w:rsidP="00797DA9">
            <w:pPr>
              <w:jc w:val="center"/>
              <w:rPr>
                <w:lang w:val="en-US"/>
              </w:rPr>
            </w:pPr>
            <w:r w:rsidRPr="006C6555">
              <w:rPr>
                <w:lang w:val="en-US"/>
              </w:rPr>
              <w:t xml:space="preserve">Case-by-case </w:t>
            </w:r>
          </w:p>
        </w:tc>
        <w:tc>
          <w:tcPr>
            <w:tcW w:w="1695" w:type="dxa"/>
            <w:shd w:val="clear" w:color="auto" w:fill="DBE5F1" w:themeFill="accent1" w:themeFillTint="33"/>
          </w:tcPr>
          <w:p w14:paraId="529C6461" w14:textId="77777777" w:rsidR="00780419" w:rsidRPr="006C6555" w:rsidRDefault="00780419" w:rsidP="00797DA9">
            <w:pPr>
              <w:jc w:val="center"/>
              <w:rPr>
                <w:lang w:val="en-US"/>
              </w:rPr>
            </w:pPr>
            <w:r w:rsidRPr="006C6555">
              <w:rPr>
                <w:lang w:val="en-US"/>
              </w:rPr>
              <w:t>Case-by-case</w:t>
            </w:r>
          </w:p>
        </w:tc>
        <w:tc>
          <w:tcPr>
            <w:tcW w:w="1799" w:type="dxa"/>
            <w:shd w:val="clear" w:color="auto" w:fill="EAF1DD" w:themeFill="accent3" w:themeFillTint="33"/>
          </w:tcPr>
          <w:p w14:paraId="54C3D08D" w14:textId="77777777" w:rsidR="00780419" w:rsidRPr="006C6555" w:rsidRDefault="00780419" w:rsidP="00797DA9">
            <w:pPr>
              <w:jc w:val="center"/>
              <w:rPr>
                <w:lang w:val="en-US"/>
              </w:rPr>
            </w:pPr>
            <w:r w:rsidRPr="006C6555">
              <w:rPr>
                <w:rFonts w:eastAsia="Calibri"/>
                <w:lang w:val="en-US"/>
              </w:rPr>
              <w:t>Case-by-case</w:t>
            </w:r>
          </w:p>
        </w:tc>
        <w:tc>
          <w:tcPr>
            <w:tcW w:w="1826" w:type="dxa"/>
            <w:shd w:val="clear" w:color="auto" w:fill="EAF1DD" w:themeFill="accent3" w:themeFillTint="33"/>
          </w:tcPr>
          <w:p w14:paraId="77249FF7" w14:textId="77777777" w:rsidR="00780419" w:rsidRPr="006C6555" w:rsidRDefault="00780419" w:rsidP="00797DA9">
            <w:pPr>
              <w:jc w:val="center"/>
              <w:rPr>
                <w:lang w:val="en-US"/>
              </w:rPr>
            </w:pPr>
            <w:r w:rsidRPr="006C6555">
              <w:rPr>
                <w:rFonts w:eastAsia="Calibri"/>
                <w:lang w:val="en-US"/>
              </w:rPr>
              <w:t xml:space="preserve"> Case-by-case</w:t>
            </w:r>
          </w:p>
        </w:tc>
        <w:tc>
          <w:tcPr>
            <w:tcW w:w="2020" w:type="dxa"/>
            <w:shd w:val="clear" w:color="auto" w:fill="FFF2CC"/>
          </w:tcPr>
          <w:p w14:paraId="5319B267" w14:textId="598DF97E" w:rsidR="00780419" w:rsidRPr="006C6555" w:rsidRDefault="00780419" w:rsidP="00797DA9">
            <w:pPr>
              <w:jc w:val="center"/>
              <w:rPr>
                <w:rFonts w:eastAsia="Calibri"/>
                <w:lang w:val="en-US"/>
              </w:rPr>
            </w:pPr>
            <w:r w:rsidRPr="006C6555">
              <w:rPr>
                <w:rFonts w:eastAsia="Calibri"/>
                <w:lang w:val="en-US"/>
              </w:rPr>
              <w:t>Case-by-case</w:t>
            </w:r>
          </w:p>
        </w:tc>
        <w:tc>
          <w:tcPr>
            <w:tcW w:w="1856" w:type="dxa"/>
            <w:shd w:val="clear" w:color="auto" w:fill="FFF2CC"/>
          </w:tcPr>
          <w:p w14:paraId="1BDDF402" w14:textId="77777777" w:rsidR="00780419" w:rsidRPr="006C6555" w:rsidRDefault="00780419" w:rsidP="00797DA9">
            <w:pPr>
              <w:jc w:val="center"/>
              <w:rPr>
                <w:rFonts w:eastAsia="Calibri"/>
                <w:lang w:val="en-US"/>
              </w:rPr>
            </w:pPr>
            <w:r w:rsidRPr="006C6555">
              <w:rPr>
                <w:rFonts w:eastAsia="Calibri"/>
                <w:lang w:val="en-US"/>
              </w:rPr>
              <w:t>Case-by-case</w:t>
            </w:r>
          </w:p>
        </w:tc>
      </w:tr>
      <w:tr w:rsidR="00780419" w:rsidRPr="006C6555" w14:paraId="167A3708" w14:textId="77777777" w:rsidTr="00797DA9">
        <w:trPr>
          <w:trHeight w:val="359"/>
        </w:trPr>
        <w:tc>
          <w:tcPr>
            <w:tcW w:w="3005" w:type="dxa"/>
          </w:tcPr>
          <w:p w14:paraId="2AAE689A" w14:textId="77777777" w:rsidR="00780419" w:rsidRPr="006C6555" w:rsidRDefault="00780419" w:rsidP="00797DA9">
            <w:pPr>
              <w:jc w:val="left"/>
              <w:rPr>
                <w:lang w:val="en-US"/>
              </w:rPr>
            </w:pPr>
            <w:r w:rsidRPr="006C6555">
              <w:rPr>
                <w:highlight w:val="green"/>
                <w:lang w:val="en-US"/>
              </w:rPr>
              <w:t>PU Foam</w:t>
            </w:r>
          </w:p>
        </w:tc>
        <w:tc>
          <w:tcPr>
            <w:tcW w:w="1783" w:type="dxa"/>
            <w:shd w:val="clear" w:color="auto" w:fill="DBE5F1" w:themeFill="accent1" w:themeFillTint="33"/>
          </w:tcPr>
          <w:p w14:paraId="7FEFADEA" w14:textId="77777777" w:rsidR="00780419" w:rsidRPr="006C6555" w:rsidRDefault="00780419" w:rsidP="00797DA9">
            <w:pPr>
              <w:jc w:val="center"/>
              <w:rPr>
                <w:highlight w:val="green"/>
                <w:lang w:val="en-US"/>
              </w:rPr>
            </w:pPr>
            <w:r w:rsidRPr="006C6555">
              <w:rPr>
                <w:highlight w:val="green"/>
                <w:lang w:val="en-US"/>
              </w:rPr>
              <w:t>9.00</w:t>
            </w:r>
          </w:p>
        </w:tc>
        <w:tc>
          <w:tcPr>
            <w:tcW w:w="1695" w:type="dxa"/>
            <w:shd w:val="clear" w:color="auto" w:fill="DBE5F1" w:themeFill="accent1" w:themeFillTint="33"/>
          </w:tcPr>
          <w:p w14:paraId="28EFDF46" w14:textId="77777777" w:rsidR="00780419" w:rsidRPr="006C6555" w:rsidRDefault="00780419" w:rsidP="00797DA9">
            <w:pPr>
              <w:jc w:val="center"/>
              <w:rPr>
                <w:lang w:val="en-US"/>
              </w:rPr>
            </w:pPr>
            <w:r w:rsidRPr="006C6555">
              <w:rPr>
                <w:lang w:val="en-US"/>
              </w:rPr>
              <w:t xml:space="preserve">8.00 </w:t>
            </w:r>
            <w:r w:rsidRPr="006C6555">
              <w:rPr>
                <w:strike/>
                <w:lang w:val="en-US"/>
              </w:rPr>
              <w:t>9.00</w:t>
            </w:r>
          </w:p>
        </w:tc>
        <w:tc>
          <w:tcPr>
            <w:tcW w:w="1799" w:type="dxa"/>
            <w:shd w:val="clear" w:color="auto" w:fill="EAF1DD" w:themeFill="accent3" w:themeFillTint="33"/>
          </w:tcPr>
          <w:p w14:paraId="15553E40" w14:textId="77777777" w:rsidR="00780419" w:rsidRPr="006C6555" w:rsidRDefault="00780419" w:rsidP="00797DA9">
            <w:pPr>
              <w:jc w:val="center"/>
              <w:rPr>
                <w:lang w:val="en-US"/>
              </w:rPr>
            </w:pPr>
            <w:r w:rsidRPr="006C6555">
              <w:rPr>
                <w:rFonts w:eastAsia="Calibri"/>
                <w:highlight w:val="green"/>
                <w:lang w:val="en-US"/>
              </w:rPr>
              <w:t>9.00</w:t>
            </w:r>
          </w:p>
        </w:tc>
        <w:tc>
          <w:tcPr>
            <w:tcW w:w="1826" w:type="dxa"/>
            <w:shd w:val="clear" w:color="auto" w:fill="EAF1DD" w:themeFill="accent3" w:themeFillTint="33"/>
          </w:tcPr>
          <w:p w14:paraId="0241CB1C" w14:textId="77777777" w:rsidR="00780419" w:rsidRPr="006C6555" w:rsidRDefault="00780419" w:rsidP="00797DA9">
            <w:pPr>
              <w:jc w:val="center"/>
              <w:rPr>
                <w:lang w:val="en-US"/>
              </w:rPr>
            </w:pPr>
            <w:r w:rsidRPr="006C6555">
              <w:rPr>
                <w:rFonts w:eastAsia="Calibri"/>
                <w:lang w:val="en-US"/>
              </w:rPr>
              <w:t xml:space="preserve"> 4.6 </w:t>
            </w:r>
            <w:r w:rsidRPr="006C6555">
              <w:rPr>
                <w:rFonts w:eastAsia="Calibri"/>
                <w:strike/>
                <w:lang w:val="en-US"/>
              </w:rPr>
              <w:t>4.5</w:t>
            </w:r>
          </w:p>
        </w:tc>
        <w:tc>
          <w:tcPr>
            <w:tcW w:w="2020" w:type="dxa"/>
            <w:shd w:val="clear" w:color="auto" w:fill="FFF2CC"/>
          </w:tcPr>
          <w:p w14:paraId="3119AAF1" w14:textId="77777777" w:rsidR="00780419" w:rsidRPr="006C6555" w:rsidDel="00BF3797" w:rsidRDefault="00780419" w:rsidP="00797DA9">
            <w:pPr>
              <w:jc w:val="center"/>
              <w:rPr>
                <w:rFonts w:eastAsia="Calibri"/>
                <w:lang w:val="en-US"/>
              </w:rPr>
            </w:pPr>
            <w:r w:rsidRPr="006C6555">
              <w:rPr>
                <w:rFonts w:eastAsia="Calibri"/>
                <w:lang w:val="en-US"/>
              </w:rPr>
              <w:t>9.00</w:t>
            </w:r>
          </w:p>
        </w:tc>
        <w:tc>
          <w:tcPr>
            <w:tcW w:w="1856" w:type="dxa"/>
            <w:shd w:val="clear" w:color="auto" w:fill="FFF2CC"/>
          </w:tcPr>
          <w:p w14:paraId="40BFBB1E" w14:textId="77777777" w:rsidR="00780419" w:rsidRPr="006C6555" w:rsidDel="00BF3797" w:rsidRDefault="00780419" w:rsidP="00797DA9">
            <w:pPr>
              <w:jc w:val="center"/>
              <w:rPr>
                <w:rFonts w:eastAsia="Calibri"/>
                <w:lang w:val="en-US"/>
              </w:rPr>
            </w:pPr>
            <w:r w:rsidRPr="006C6555">
              <w:rPr>
                <w:rFonts w:eastAsia="Calibri"/>
                <w:lang w:val="en-US"/>
              </w:rPr>
              <w:t>5.20</w:t>
            </w:r>
          </w:p>
        </w:tc>
      </w:tr>
      <w:tr w:rsidR="00780419" w:rsidRPr="006C6555" w14:paraId="46889743" w14:textId="77777777" w:rsidTr="00797DA9">
        <w:trPr>
          <w:trHeight w:val="359"/>
        </w:trPr>
        <w:tc>
          <w:tcPr>
            <w:tcW w:w="3005" w:type="dxa"/>
          </w:tcPr>
          <w:p w14:paraId="699DEC2B" w14:textId="77777777" w:rsidR="00780419" w:rsidRPr="006C6555" w:rsidRDefault="00780419" w:rsidP="00797DA9">
            <w:pPr>
              <w:jc w:val="left"/>
              <w:rPr>
                <w:lang w:val="en-US"/>
              </w:rPr>
            </w:pPr>
            <w:r w:rsidRPr="006C6555">
              <w:rPr>
                <w:lang w:val="en-US"/>
              </w:rPr>
              <w:t>All other sectors</w:t>
            </w:r>
          </w:p>
        </w:tc>
        <w:tc>
          <w:tcPr>
            <w:tcW w:w="1783" w:type="dxa"/>
            <w:shd w:val="clear" w:color="auto" w:fill="DBE5F1" w:themeFill="accent1" w:themeFillTint="33"/>
          </w:tcPr>
          <w:p w14:paraId="6A7A2BA6" w14:textId="77777777" w:rsidR="00780419" w:rsidRPr="006C6555" w:rsidRDefault="00780419" w:rsidP="00797DA9">
            <w:pPr>
              <w:jc w:val="center"/>
              <w:rPr>
                <w:lang w:val="en-US"/>
              </w:rPr>
            </w:pPr>
            <w:r w:rsidRPr="006C6555">
              <w:rPr>
                <w:lang w:val="en-US"/>
              </w:rPr>
              <w:t>Case-by-case</w:t>
            </w:r>
          </w:p>
        </w:tc>
        <w:tc>
          <w:tcPr>
            <w:tcW w:w="1695" w:type="dxa"/>
            <w:shd w:val="clear" w:color="auto" w:fill="DBE5F1" w:themeFill="accent1" w:themeFillTint="33"/>
          </w:tcPr>
          <w:p w14:paraId="6BE96D13" w14:textId="77777777" w:rsidR="00780419" w:rsidRPr="006C6555" w:rsidRDefault="00780419" w:rsidP="00797DA9">
            <w:pPr>
              <w:jc w:val="center"/>
              <w:rPr>
                <w:lang w:val="en-US"/>
              </w:rPr>
            </w:pPr>
            <w:r w:rsidRPr="006C6555">
              <w:rPr>
                <w:lang w:val="en-US"/>
              </w:rPr>
              <w:t>Case-by-case</w:t>
            </w:r>
          </w:p>
        </w:tc>
        <w:tc>
          <w:tcPr>
            <w:tcW w:w="1799" w:type="dxa"/>
            <w:shd w:val="clear" w:color="auto" w:fill="EAF1DD" w:themeFill="accent3" w:themeFillTint="33"/>
          </w:tcPr>
          <w:p w14:paraId="750A4FB6" w14:textId="77777777" w:rsidR="00780419" w:rsidRPr="006C6555" w:rsidRDefault="00780419" w:rsidP="00797DA9">
            <w:pPr>
              <w:jc w:val="center"/>
              <w:rPr>
                <w:lang w:val="en-US"/>
              </w:rPr>
            </w:pPr>
            <w:r w:rsidRPr="006C6555">
              <w:rPr>
                <w:rFonts w:eastAsia="Calibri"/>
                <w:lang w:val="en-US"/>
              </w:rPr>
              <w:t>Case-by-case</w:t>
            </w:r>
          </w:p>
        </w:tc>
        <w:tc>
          <w:tcPr>
            <w:tcW w:w="1826" w:type="dxa"/>
            <w:shd w:val="clear" w:color="auto" w:fill="EAF1DD" w:themeFill="accent3" w:themeFillTint="33"/>
          </w:tcPr>
          <w:p w14:paraId="27A0E2D8" w14:textId="77777777" w:rsidR="00780419" w:rsidRPr="006C6555" w:rsidRDefault="00780419" w:rsidP="00797DA9">
            <w:pPr>
              <w:jc w:val="center"/>
              <w:rPr>
                <w:lang w:val="en-US"/>
              </w:rPr>
            </w:pPr>
            <w:r w:rsidRPr="006C6555">
              <w:rPr>
                <w:rFonts w:eastAsia="Calibri"/>
                <w:lang w:val="en-US"/>
              </w:rPr>
              <w:t>Case-by-case</w:t>
            </w:r>
          </w:p>
        </w:tc>
        <w:tc>
          <w:tcPr>
            <w:tcW w:w="2020" w:type="dxa"/>
            <w:shd w:val="clear" w:color="auto" w:fill="FFF2CC"/>
          </w:tcPr>
          <w:p w14:paraId="622B3755" w14:textId="77777777" w:rsidR="00780419" w:rsidRPr="006C6555" w:rsidRDefault="00780419" w:rsidP="00797DA9">
            <w:pPr>
              <w:jc w:val="center"/>
              <w:rPr>
                <w:rFonts w:eastAsia="Calibri"/>
                <w:lang w:val="en-US"/>
              </w:rPr>
            </w:pPr>
            <w:r w:rsidRPr="006C6555">
              <w:rPr>
                <w:rFonts w:eastAsia="Calibri"/>
                <w:lang w:val="en-US"/>
              </w:rPr>
              <w:t>Case-by-case</w:t>
            </w:r>
          </w:p>
        </w:tc>
        <w:tc>
          <w:tcPr>
            <w:tcW w:w="1856" w:type="dxa"/>
            <w:shd w:val="clear" w:color="auto" w:fill="FFF2CC"/>
          </w:tcPr>
          <w:p w14:paraId="2EF6A0EE" w14:textId="77777777" w:rsidR="00780419" w:rsidRPr="006C6555" w:rsidRDefault="00780419" w:rsidP="00797DA9">
            <w:pPr>
              <w:jc w:val="center"/>
              <w:rPr>
                <w:rFonts w:eastAsia="Calibri"/>
                <w:lang w:val="en-US"/>
              </w:rPr>
            </w:pPr>
            <w:r w:rsidRPr="006C6555">
              <w:rPr>
                <w:rFonts w:eastAsia="Calibri"/>
                <w:lang w:val="en-US"/>
              </w:rPr>
              <w:t>Case-by-case</w:t>
            </w:r>
          </w:p>
        </w:tc>
      </w:tr>
    </w:tbl>
    <w:p w14:paraId="011FC627" w14:textId="77777777" w:rsidR="00780419" w:rsidRPr="006C6555" w:rsidRDefault="00780419" w:rsidP="00780419">
      <w:pPr>
        <w:shd w:val="clear" w:color="auto" w:fill="EAF1DD" w:themeFill="accent3" w:themeFillTint="33"/>
        <w:ind w:left="142" w:right="132"/>
        <w:rPr>
          <w:rFonts w:eastAsia="Calibri"/>
          <w:sz w:val="18"/>
          <w:szCs w:val="18"/>
          <w:lang w:val="en-US"/>
        </w:rPr>
      </w:pPr>
      <w:r w:rsidRPr="006C6555">
        <w:rPr>
          <w:rFonts w:eastAsia="Calibri"/>
          <w:sz w:val="18"/>
          <w:szCs w:val="18"/>
          <w:lang w:val="en-US"/>
        </w:rPr>
        <w:t>*</w:t>
      </w:r>
      <w:r>
        <w:rPr>
          <w:rFonts w:eastAsia="Calibri"/>
          <w:sz w:val="18"/>
          <w:szCs w:val="18"/>
          <w:lang w:val="en-US"/>
        </w:rPr>
        <w:t xml:space="preserve"> </w:t>
      </w:r>
      <w:r w:rsidRPr="006C6555">
        <w:rPr>
          <w:rFonts w:eastAsia="Calibri"/>
          <w:sz w:val="18"/>
          <w:szCs w:val="18"/>
          <w:lang w:val="en-US"/>
        </w:rPr>
        <w:t>For all sectors, 25 per cent above CE thresholds for enterprises consuming up to 15 mt based on conditions proposed by Secretariat [20 mt for foam]</w:t>
      </w:r>
    </w:p>
    <w:p w14:paraId="3B016D5B" w14:textId="77777777" w:rsidR="00780419" w:rsidRPr="006C6555" w:rsidRDefault="00780419" w:rsidP="00780419">
      <w:pPr>
        <w:shd w:val="clear" w:color="auto" w:fill="EAF1DD" w:themeFill="accent3" w:themeFillTint="33"/>
        <w:ind w:left="142" w:right="132"/>
        <w:rPr>
          <w:rFonts w:eastAsia="Calibri"/>
          <w:sz w:val="18"/>
          <w:szCs w:val="18"/>
          <w:lang w:val="en-US"/>
        </w:rPr>
      </w:pPr>
      <w:r w:rsidRPr="006C6555">
        <w:rPr>
          <w:rFonts w:eastAsia="Calibri"/>
          <w:sz w:val="18"/>
          <w:szCs w:val="18"/>
          <w:lang w:val="en-US"/>
        </w:rPr>
        <w:t>**</w:t>
      </w:r>
      <w:r>
        <w:rPr>
          <w:rFonts w:eastAsia="Calibri"/>
          <w:sz w:val="18"/>
          <w:szCs w:val="18"/>
          <w:lang w:val="en-US"/>
        </w:rPr>
        <w:t xml:space="preserve"> </w:t>
      </w:r>
      <w:r w:rsidRPr="006C6555">
        <w:rPr>
          <w:rFonts w:eastAsia="Calibri"/>
          <w:sz w:val="18"/>
          <w:szCs w:val="18"/>
          <w:lang w:val="en-US"/>
        </w:rPr>
        <w:t xml:space="preserve">For microenterprises with consumption of less than 1 mt that are part of an umbrella project could receive up to twice the agreed CE threshold as long as the cost effectiveness of the umbrella project is within the agreed threshold for the sector. </w:t>
      </w:r>
    </w:p>
    <w:p w14:paraId="40CD15D3" w14:textId="77777777" w:rsidR="00780419" w:rsidRPr="006C6555" w:rsidRDefault="00780419" w:rsidP="00780419">
      <w:pPr>
        <w:pStyle w:val="ListParagraph"/>
        <w:numPr>
          <w:ilvl w:val="0"/>
          <w:numId w:val="22"/>
        </w:numPr>
        <w:shd w:val="clear" w:color="auto" w:fill="DBE5F1" w:themeFill="accent1" w:themeFillTint="33"/>
        <w:ind w:left="709" w:right="132" w:hanging="567"/>
        <w:rPr>
          <w:sz w:val="18"/>
          <w:lang w:val="en-US"/>
        </w:rPr>
      </w:pPr>
      <w:r w:rsidRPr="006C6555">
        <w:rPr>
          <w:sz w:val="18"/>
          <w:lang w:val="en-US"/>
        </w:rPr>
        <w:t>The above proposal is for large enterprises having consumption &gt;15 MT for all sectors, except foam sector for which the consumption is &gt;20 MT.</w:t>
      </w:r>
    </w:p>
    <w:p w14:paraId="16CB15D3" w14:textId="77777777" w:rsidR="00780419" w:rsidRPr="006C6555" w:rsidRDefault="00780419" w:rsidP="00780419">
      <w:pPr>
        <w:pStyle w:val="ListParagraph"/>
        <w:numPr>
          <w:ilvl w:val="0"/>
          <w:numId w:val="22"/>
        </w:numPr>
        <w:shd w:val="clear" w:color="auto" w:fill="DBE5F1" w:themeFill="accent1" w:themeFillTint="33"/>
        <w:ind w:left="709" w:right="132" w:hanging="567"/>
        <w:rPr>
          <w:sz w:val="18"/>
          <w:lang w:val="en-US"/>
        </w:rPr>
      </w:pPr>
      <w:r w:rsidRPr="006C6555">
        <w:rPr>
          <w:sz w:val="18"/>
          <w:lang w:val="en-US"/>
        </w:rPr>
        <w:t>Separate Proposal will be developed for SMEs having consumption up to 15 MT for all sectors, except foam sector for which the consumption is up to 20 MT.</w:t>
      </w:r>
    </w:p>
    <w:p w14:paraId="0810EEC9" w14:textId="77777777" w:rsidR="00780419" w:rsidRPr="006C6555" w:rsidRDefault="00780419" w:rsidP="00780419">
      <w:pPr>
        <w:rPr>
          <w:sz w:val="24"/>
          <w:szCs w:val="24"/>
          <w:lang w:val="en-US"/>
        </w:rPr>
      </w:pPr>
    </w:p>
    <w:p w14:paraId="0CA5522A" w14:textId="77777777" w:rsidR="00780419" w:rsidRPr="006C6555" w:rsidRDefault="00780419" w:rsidP="00780419">
      <w:pPr>
        <w:rPr>
          <w:lang w:val="en-US"/>
        </w:rPr>
      </w:pPr>
    </w:p>
    <w:p w14:paraId="2484EE47" w14:textId="77777777" w:rsidR="00802CD3" w:rsidRPr="00780419" w:rsidRDefault="00802CD3" w:rsidP="004E7F9C">
      <w:pPr>
        <w:rPr>
          <w:lang w:val="en-US"/>
        </w:rPr>
      </w:pPr>
    </w:p>
    <w:p w14:paraId="648897CB" w14:textId="77777777" w:rsidR="00DA0406" w:rsidRDefault="00DA0406" w:rsidP="004E7F9C"/>
    <w:p w14:paraId="5A705703" w14:textId="77777777" w:rsidR="00DA0406" w:rsidRDefault="00DA0406" w:rsidP="004E7F9C"/>
    <w:p w14:paraId="42CDD1DE" w14:textId="77777777" w:rsidR="00DA0406" w:rsidRDefault="00DA0406" w:rsidP="004E7F9C"/>
    <w:p w14:paraId="28ADB26C" w14:textId="77777777" w:rsidR="00DA0406" w:rsidRDefault="00DA0406" w:rsidP="004E7F9C"/>
    <w:p w14:paraId="1BF3F592" w14:textId="77777777" w:rsidR="00E329DF" w:rsidRDefault="00E329DF" w:rsidP="004E7F9C">
      <w:pPr>
        <w:sectPr w:rsidR="00E329DF" w:rsidSect="00780419">
          <w:headerReference w:type="default" r:id="rId20"/>
          <w:footerReference w:type="default" r:id="rId21"/>
          <w:headerReference w:type="first" r:id="rId22"/>
          <w:pgSz w:w="15840" w:h="12240" w:orient="landscape" w:code="1"/>
          <w:pgMar w:top="1440" w:right="720" w:bottom="1440" w:left="864" w:header="720" w:footer="475" w:gutter="0"/>
          <w:pgNumType w:start="1"/>
          <w:cols w:space="720"/>
          <w:docGrid w:linePitch="299"/>
        </w:sectPr>
      </w:pPr>
    </w:p>
    <w:p w14:paraId="53070260" w14:textId="77777777" w:rsidR="00005EBC" w:rsidRDefault="00F3123D" w:rsidP="00F3123D">
      <w:pPr>
        <w:suppressAutoHyphens/>
        <w:spacing w:after="360"/>
        <w:jc w:val="center"/>
        <w:rPr>
          <w:rFonts w:eastAsia="Calibri"/>
          <w:b/>
          <w:bCs/>
          <w14:ligatures w14:val="standardContextual"/>
        </w:rPr>
      </w:pPr>
      <w:r>
        <w:rPr>
          <w:rFonts w:eastAsia="Calibri"/>
          <w:b/>
          <w:bCs/>
          <w14:ligatures w14:val="standardContextual"/>
        </w:rPr>
        <w:lastRenderedPageBreak/>
        <w:t>Annex II</w:t>
      </w:r>
    </w:p>
    <w:p w14:paraId="1B17B0D2" w14:textId="266D87FF" w:rsidR="00F3123D" w:rsidRPr="006C6555" w:rsidRDefault="00F3123D" w:rsidP="00F3123D">
      <w:pPr>
        <w:suppressAutoHyphens/>
        <w:spacing w:after="360"/>
        <w:jc w:val="center"/>
        <w:rPr>
          <w:lang w:val="en-US"/>
        </w:rPr>
      </w:pPr>
      <w:r w:rsidRPr="00EC66BC">
        <w:rPr>
          <w:rFonts w:eastAsia="Calibri"/>
          <w:b/>
          <w:bCs/>
          <w:lang w:val="en-US"/>
          <w14:ligatures w14:val="standardContextual"/>
        </w:rPr>
        <w:t xml:space="preserve">WORKING TEXT </w:t>
      </w:r>
      <w:r>
        <w:rPr>
          <w:rFonts w:eastAsia="Calibri"/>
          <w:b/>
          <w:bCs/>
          <w:lang w:val="en-US"/>
          <w14:ligatures w14:val="standardContextual"/>
        </w:rPr>
        <w:t xml:space="preserve">ON </w:t>
      </w:r>
      <w:r w:rsidRPr="00EC66BC">
        <w:rPr>
          <w:rFonts w:eastAsia="Calibri"/>
          <w:b/>
          <w:bCs/>
          <w:lang w:val="en-US"/>
          <w14:ligatures w14:val="standardContextual"/>
        </w:rPr>
        <w:t>HFC COST GUIDELINES</w:t>
      </w:r>
      <w:r>
        <w:rPr>
          <w:rFonts w:eastAsia="Calibri"/>
          <w:b/>
          <w:bCs/>
          <w:lang w:val="en-US"/>
          <w14:ligatures w14:val="standardContextual"/>
        </w:rPr>
        <w:t>:</w:t>
      </w:r>
      <w:r w:rsidRPr="00EC66BC">
        <w:rPr>
          <w:rFonts w:eastAsia="Calibri"/>
          <w:b/>
          <w:bCs/>
          <w:lang w:val="en-US"/>
          <w14:ligatures w14:val="standardContextual"/>
        </w:rPr>
        <w:t xml:space="preserve"> </w:t>
      </w:r>
      <w:r>
        <w:rPr>
          <w:rFonts w:eastAsia="Calibri"/>
          <w:b/>
          <w:bCs/>
          <w:lang w:val="en-US"/>
          <w14:ligatures w14:val="standardContextual"/>
        </w:rPr>
        <w:t>N</w:t>
      </w:r>
      <w:r w:rsidRPr="00EC66BC">
        <w:rPr>
          <w:rFonts w:eastAsia="Calibri"/>
          <w:b/>
          <w:bCs/>
          <w:lang w:val="en-US"/>
          <w14:ligatures w14:val="standardContextual"/>
        </w:rPr>
        <w:t>ON-A</w:t>
      </w:r>
      <w:r>
        <w:rPr>
          <w:rFonts w:eastAsia="Calibri"/>
          <w:b/>
          <w:bCs/>
          <w:lang w:val="en-US"/>
          <w14:ligatures w14:val="standardContextual"/>
        </w:rPr>
        <w:t xml:space="preserve">RTICLE </w:t>
      </w:r>
      <w:r w:rsidRPr="00EC66BC">
        <w:rPr>
          <w:rFonts w:eastAsia="Calibri"/>
          <w:b/>
          <w:bCs/>
          <w:lang w:val="en-US"/>
          <w14:ligatures w14:val="standardContextual"/>
        </w:rPr>
        <w:t>5 PROPOSAL AS OF 30 MAY 2024</w:t>
      </w:r>
    </w:p>
    <w:tbl>
      <w:tblPr>
        <w:tblW w:w="452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610"/>
        <w:gridCol w:w="2611"/>
        <w:gridCol w:w="2611"/>
        <w:gridCol w:w="2611"/>
        <w:gridCol w:w="2456"/>
      </w:tblGrid>
      <w:tr w:rsidR="00F3123D" w:rsidRPr="00EC66BC" w14:paraId="5545A4BD" w14:textId="77777777" w:rsidTr="00797DA9">
        <w:trPr>
          <w:trHeight w:val="673"/>
          <w:jc w:val="center"/>
        </w:trPr>
        <w:tc>
          <w:tcPr>
            <w:tcW w:w="1012" w:type="pct"/>
            <w:tcMar>
              <w:top w:w="0" w:type="dxa"/>
              <w:left w:w="108" w:type="dxa"/>
              <w:bottom w:w="0" w:type="dxa"/>
              <w:right w:w="108" w:type="dxa"/>
            </w:tcMar>
            <w:vAlign w:val="center"/>
            <w:hideMark/>
          </w:tcPr>
          <w:p w14:paraId="76E72308" w14:textId="77777777"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Sector</w:t>
            </w:r>
          </w:p>
        </w:tc>
        <w:tc>
          <w:tcPr>
            <w:tcW w:w="1012" w:type="pct"/>
            <w:tcMar>
              <w:top w:w="0" w:type="dxa"/>
              <w:left w:w="108" w:type="dxa"/>
              <w:bottom w:w="0" w:type="dxa"/>
              <w:right w:w="108" w:type="dxa"/>
            </w:tcMar>
            <w:vAlign w:val="center"/>
            <w:hideMark/>
          </w:tcPr>
          <w:p w14:paraId="1C37D355" w14:textId="174B3331"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CE threshold</w:t>
            </w:r>
            <w:r w:rsidRPr="00EC66BC">
              <w:rPr>
                <w:rFonts w:eastAsia="Calibri"/>
                <w:b/>
                <w:bCs/>
                <w:sz w:val="20"/>
                <w:szCs w:val="20"/>
                <w:lang w:val="en-US"/>
                <w14:ligatures w14:val="standardContextual"/>
              </w:rPr>
              <w:br/>
              <w:t>(</w:t>
            </w:r>
            <w:r w:rsidR="004E3C37">
              <w:rPr>
                <w:rFonts w:eastAsia="Calibri"/>
                <w:b/>
                <w:bCs/>
                <w:sz w:val="20"/>
                <w:szCs w:val="20"/>
                <w:lang w:val="en-US"/>
                <w14:ligatures w14:val="standardContextual"/>
              </w:rPr>
              <w:t>US $</w:t>
            </w:r>
            <w:r w:rsidRPr="00EC66BC">
              <w:rPr>
                <w:rFonts w:eastAsia="Calibri"/>
                <w:b/>
                <w:bCs/>
                <w:sz w:val="20"/>
                <w:szCs w:val="20"/>
                <w:lang w:val="en-US"/>
                <w14:ligatures w14:val="standardContextual"/>
              </w:rPr>
              <w:t>/kg)</w:t>
            </w:r>
            <w:r>
              <w:rPr>
                <w:rStyle w:val="FootnoteReference"/>
                <w:rFonts w:eastAsia="Calibri"/>
                <w:b/>
                <w:bCs/>
                <w:sz w:val="20"/>
                <w:szCs w:val="20"/>
                <w:lang w:val="en-US"/>
                <w14:ligatures w14:val="standardContextual"/>
              </w:rPr>
              <w:footnoteReference w:id="24"/>
            </w:r>
          </w:p>
        </w:tc>
        <w:tc>
          <w:tcPr>
            <w:tcW w:w="1012" w:type="pct"/>
            <w:vAlign w:val="center"/>
          </w:tcPr>
          <w:p w14:paraId="24B32D3C" w14:textId="47C7730D"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CE threshold for SMEs (=1&lt;15 mt)*</w:t>
            </w:r>
            <w:r w:rsidRPr="00EC66BC">
              <w:rPr>
                <w:rFonts w:eastAsia="Calibri"/>
                <w:b/>
                <w:bCs/>
                <w:sz w:val="20"/>
                <w:szCs w:val="20"/>
                <w:lang w:val="en-US"/>
                <w14:ligatures w14:val="standardContextual"/>
              </w:rPr>
              <w:br/>
              <w:t>(</w:t>
            </w:r>
            <w:r w:rsidR="004E3C37">
              <w:rPr>
                <w:rFonts w:eastAsia="Calibri"/>
                <w:b/>
                <w:bCs/>
                <w:sz w:val="20"/>
                <w:szCs w:val="20"/>
                <w:lang w:val="en-US"/>
                <w14:ligatures w14:val="standardContextual"/>
              </w:rPr>
              <w:t>US $</w:t>
            </w:r>
            <w:r w:rsidRPr="00EC66BC">
              <w:rPr>
                <w:rFonts w:eastAsia="Calibri"/>
                <w:b/>
                <w:bCs/>
                <w:sz w:val="20"/>
                <w:szCs w:val="20"/>
                <w:lang w:val="en-US"/>
                <w14:ligatures w14:val="standardContextual"/>
              </w:rPr>
              <w:t>/kg)</w:t>
            </w:r>
          </w:p>
        </w:tc>
        <w:tc>
          <w:tcPr>
            <w:tcW w:w="1012" w:type="pct"/>
            <w:tcBorders>
              <w:bottom w:val="single" w:sz="6" w:space="0" w:color="auto"/>
            </w:tcBorders>
          </w:tcPr>
          <w:p w14:paraId="08DB29F9" w14:textId="77777777"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CE thresholds for micro-enterprises (&lt;1 mt)</w:t>
            </w:r>
          </w:p>
          <w:p w14:paraId="5AE5DA65" w14:textId="086DA275"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w:t>
            </w:r>
            <w:r w:rsidR="004E3C37">
              <w:rPr>
                <w:rFonts w:eastAsia="Calibri"/>
                <w:b/>
                <w:bCs/>
                <w:sz w:val="20"/>
                <w:szCs w:val="20"/>
                <w:lang w:val="en-US"/>
                <w14:ligatures w14:val="standardContextual"/>
              </w:rPr>
              <w:t>US $</w:t>
            </w:r>
            <w:r w:rsidRPr="00EC66BC">
              <w:rPr>
                <w:rFonts w:eastAsia="Calibri"/>
                <w:b/>
                <w:bCs/>
                <w:sz w:val="20"/>
                <w:szCs w:val="20"/>
                <w:lang w:val="en-US"/>
                <w14:ligatures w14:val="standardContextual"/>
              </w:rPr>
              <w:t xml:space="preserve">/kg)** </w:t>
            </w:r>
          </w:p>
        </w:tc>
        <w:tc>
          <w:tcPr>
            <w:tcW w:w="953" w:type="pct"/>
            <w:vAlign w:val="center"/>
          </w:tcPr>
          <w:p w14:paraId="3EF84396" w14:textId="5D959BC0" w:rsidR="00F3123D" w:rsidRPr="00EC66BC" w:rsidRDefault="00F3123D" w:rsidP="00797DA9">
            <w:pPr>
              <w:jc w:val="center"/>
              <w:rPr>
                <w:rFonts w:eastAsia="Calibri"/>
                <w:b/>
                <w:bCs/>
                <w:sz w:val="20"/>
                <w:szCs w:val="20"/>
                <w:lang w:val="en-US"/>
                <w14:ligatures w14:val="standardContextual"/>
              </w:rPr>
            </w:pPr>
            <w:r w:rsidRPr="00EC66BC">
              <w:rPr>
                <w:rFonts w:eastAsia="Calibri"/>
                <w:b/>
                <w:bCs/>
                <w:sz w:val="20"/>
                <w:szCs w:val="20"/>
                <w:lang w:val="en-US"/>
                <w14:ligatures w14:val="standardContextual"/>
              </w:rPr>
              <w:t>IOCs (one year)</w:t>
            </w:r>
            <w:r w:rsidRPr="00EC66BC">
              <w:rPr>
                <w:rFonts w:eastAsia="Calibri"/>
                <w:b/>
                <w:bCs/>
                <w:sz w:val="20"/>
                <w:szCs w:val="20"/>
                <w:lang w:val="en-US"/>
                <w14:ligatures w14:val="standardContextual"/>
              </w:rPr>
              <w:br/>
              <w:t>(</w:t>
            </w:r>
            <w:r w:rsidR="004E3C37">
              <w:rPr>
                <w:rFonts w:eastAsia="Calibri"/>
                <w:b/>
                <w:bCs/>
                <w:sz w:val="20"/>
                <w:szCs w:val="20"/>
                <w:lang w:val="en-US"/>
                <w14:ligatures w14:val="standardContextual"/>
              </w:rPr>
              <w:t>US $</w:t>
            </w:r>
            <w:r w:rsidRPr="00EC66BC">
              <w:rPr>
                <w:rFonts w:eastAsia="Calibri"/>
                <w:b/>
                <w:bCs/>
                <w:sz w:val="20"/>
                <w:szCs w:val="20"/>
                <w:lang w:val="en-US"/>
                <w14:ligatures w14:val="standardContextual"/>
              </w:rPr>
              <w:t>/kg)</w:t>
            </w:r>
            <w:r w:rsidR="00396D02">
              <w:rPr>
                <w:rFonts w:eastAsia="Calibri"/>
                <w:b/>
                <w:bCs/>
                <w:sz w:val="20"/>
                <w:szCs w:val="20"/>
                <w:vertAlign w:val="superscript"/>
                <w:lang w:val="en-US"/>
                <w14:ligatures w14:val="standardContextual"/>
              </w:rPr>
              <w:t>25</w:t>
            </w:r>
          </w:p>
        </w:tc>
      </w:tr>
      <w:tr w:rsidR="00F3123D" w:rsidRPr="00EC66BC" w14:paraId="0E291629" w14:textId="77777777" w:rsidTr="00797DA9">
        <w:trPr>
          <w:trHeight w:val="283"/>
          <w:jc w:val="center"/>
        </w:trPr>
        <w:tc>
          <w:tcPr>
            <w:tcW w:w="1012" w:type="pct"/>
            <w:tcMar>
              <w:top w:w="0" w:type="dxa"/>
              <w:left w:w="108" w:type="dxa"/>
              <w:bottom w:w="0" w:type="dxa"/>
              <w:right w:w="108" w:type="dxa"/>
            </w:tcMar>
            <w:hideMark/>
          </w:tcPr>
          <w:p w14:paraId="6BCDB8EE" w14:textId="77777777" w:rsidR="00F3123D" w:rsidRPr="00EC66BC" w:rsidRDefault="00F3123D" w:rsidP="00797DA9">
            <w:pPr>
              <w:jc w:val="left"/>
              <w:rPr>
                <w:rFonts w:eastAsia="Calibri"/>
                <w:sz w:val="20"/>
                <w:szCs w:val="20"/>
                <w:highlight w:val="green"/>
                <w:lang w:val="en-US"/>
                <w14:ligatures w14:val="standardContextual"/>
              </w:rPr>
            </w:pPr>
            <w:r w:rsidRPr="00EC66BC">
              <w:rPr>
                <w:rFonts w:eastAsia="Calibri"/>
                <w:sz w:val="20"/>
                <w:szCs w:val="20"/>
                <w:highlight w:val="green"/>
                <w:lang w:val="en-US"/>
                <w14:ligatures w14:val="standardContextual"/>
              </w:rPr>
              <w:t>Domestic refrigeration</w:t>
            </w:r>
          </w:p>
        </w:tc>
        <w:tc>
          <w:tcPr>
            <w:tcW w:w="1012" w:type="pct"/>
            <w:tcMar>
              <w:top w:w="0" w:type="dxa"/>
              <w:left w:w="108" w:type="dxa"/>
              <w:bottom w:w="0" w:type="dxa"/>
              <w:right w:w="108" w:type="dxa"/>
            </w:tcMar>
            <w:hideMark/>
          </w:tcPr>
          <w:p w14:paraId="4E3C6D3C" w14:textId="77777777" w:rsidR="00F3123D" w:rsidRPr="00EC66BC" w:rsidRDefault="00F3123D" w:rsidP="00797DA9">
            <w:pPr>
              <w:jc w:val="center"/>
              <w:rPr>
                <w:rFonts w:eastAsia="Calibri"/>
                <w:sz w:val="20"/>
                <w:szCs w:val="20"/>
                <w:highlight w:val="green"/>
                <w:lang w:val="en-US"/>
                <w14:ligatures w14:val="standardContextual"/>
              </w:rPr>
            </w:pPr>
            <w:r w:rsidRPr="00EC66BC">
              <w:rPr>
                <w:rFonts w:eastAsia="Calibri"/>
                <w:sz w:val="20"/>
                <w:szCs w:val="20"/>
                <w:highlight w:val="green"/>
                <w:lang w:val="en-US"/>
                <w14:ligatures w14:val="standardContextual"/>
              </w:rPr>
              <w:t>13.76 (already agreed)</w:t>
            </w:r>
          </w:p>
        </w:tc>
        <w:tc>
          <w:tcPr>
            <w:tcW w:w="1012" w:type="pct"/>
          </w:tcPr>
          <w:p w14:paraId="7F376A7D"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17.2</w:t>
            </w:r>
          </w:p>
        </w:tc>
        <w:tc>
          <w:tcPr>
            <w:tcW w:w="1012" w:type="pct"/>
            <w:shd w:val="clear" w:color="auto" w:fill="FFFF00"/>
          </w:tcPr>
          <w:p w14:paraId="0BFD397F"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27.52</w:t>
            </w:r>
          </w:p>
        </w:tc>
        <w:tc>
          <w:tcPr>
            <w:tcW w:w="953" w:type="pct"/>
          </w:tcPr>
          <w:p w14:paraId="0C9368D3"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[4.0] 4.2</w:t>
            </w:r>
          </w:p>
        </w:tc>
      </w:tr>
      <w:tr w:rsidR="00F3123D" w:rsidRPr="00EC66BC" w14:paraId="56EA9D48" w14:textId="77777777" w:rsidTr="00797DA9">
        <w:trPr>
          <w:trHeight w:val="283"/>
          <w:jc w:val="center"/>
        </w:trPr>
        <w:tc>
          <w:tcPr>
            <w:tcW w:w="1012" w:type="pct"/>
            <w:tcMar>
              <w:top w:w="0" w:type="dxa"/>
              <w:left w:w="108" w:type="dxa"/>
              <w:bottom w:w="0" w:type="dxa"/>
              <w:right w:w="108" w:type="dxa"/>
            </w:tcMar>
            <w:hideMark/>
          </w:tcPr>
          <w:p w14:paraId="5943DC83"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Commercial refrigeration</w:t>
            </w:r>
          </w:p>
        </w:tc>
        <w:tc>
          <w:tcPr>
            <w:tcW w:w="1012" w:type="pct"/>
            <w:tcMar>
              <w:top w:w="0" w:type="dxa"/>
              <w:left w:w="108" w:type="dxa"/>
              <w:bottom w:w="0" w:type="dxa"/>
              <w:right w:w="108" w:type="dxa"/>
            </w:tcMar>
            <w:hideMark/>
          </w:tcPr>
          <w:p w14:paraId="1B6F8195"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15.21</w:t>
            </w:r>
          </w:p>
        </w:tc>
        <w:tc>
          <w:tcPr>
            <w:tcW w:w="1012" w:type="pct"/>
          </w:tcPr>
          <w:p w14:paraId="1FCAEB80"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19.01</w:t>
            </w:r>
          </w:p>
        </w:tc>
        <w:tc>
          <w:tcPr>
            <w:tcW w:w="1012" w:type="pct"/>
            <w:shd w:val="clear" w:color="auto" w:fill="FFFF00"/>
          </w:tcPr>
          <w:p w14:paraId="46B95415"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30.42</w:t>
            </w:r>
          </w:p>
        </w:tc>
        <w:tc>
          <w:tcPr>
            <w:tcW w:w="953" w:type="pct"/>
          </w:tcPr>
          <w:p w14:paraId="4EDB8783"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[4.0] 4.2</w:t>
            </w:r>
          </w:p>
        </w:tc>
      </w:tr>
      <w:tr w:rsidR="00F3123D" w:rsidRPr="00EC66BC" w14:paraId="780AF650" w14:textId="77777777" w:rsidTr="00797DA9">
        <w:trPr>
          <w:trHeight w:val="283"/>
          <w:jc w:val="center"/>
        </w:trPr>
        <w:tc>
          <w:tcPr>
            <w:tcW w:w="1012" w:type="pct"/>
            <w:tcMar>
              <w:top w:w="0" w:type="dxa"/>
              <w:left w:w="108" w:type="dxa"/>
              <w:bottom w:w="0" w:type="dxa"/>
              <w:right w:w="108" w:type="dxa"/>
            </w:tcMar>
            <w:hideMark/>
          </w:tcPr>
          <w:p w14:paraId="01A0B431"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Stationary AC – residential</w:t>
            </w:r>
          </w:p>
        </w:tc>
        <w:tc>
          <w:tcPr>
            <w:tcW w:w="1012" w:type="pct"/>
            <w:tcMar>
              <w:top w:w="0" w:type="dxa"/>
              <w:left w:w="108" w:type="dxa"/>
              <w:bottom w:w="0" w:type="dxa"/>
              <w:right w:w="108" w:type="dxa"/>
            </w:tcMar>
            <w:hideMark/>
          </w:tcPr>
          <w:p w14:paraId="0D2D77E6"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11.3</w:t>
            </w:r>
          </w:p>
        </w:tc>
        <w:tc>
          <w:tcPr>
            <w:tcW w:w="1012" w:type="pct"/>
          </w:tcPr>
          <w:p w14:paraId="245D5998"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13.79</w:t>
            </w:r>
          </w:p>
        </w:tc>
        <w:tc>
          <w:tcPr>
            <w:tcW w:w="1012" w:type="pct"/>
            <w:shd w:val="clear" w:color="auto" w:fill="FFFF00"/>
          </w:tcPr>
          <w:p w14:paraId="2C42F38D"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22.6</w:t>
            </w:r>
          </w:p>
        </w:tc>
        <w:tc>
          <w:tcPr>
            <w:tcW w:w="953" w:type="pct"/>
          </w:tcPr>
          <w:p w14:paraId="1F862375"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[6.3] 6.4</w:t>
            </w:r>
          </w:p>
        </w:tc>
      </w:tr>
      <w:tr w:rsidR="00F3123D" w:rsidRPr="00EC66BC" w14:paraId="79C45CAE" w14:textId="77777777" w:rsidTr="00797DA9">
        <w:trPr>
          <w:trHeight w:val="283"/>
          <w:jc w:val="center"/>
        </w:trPr>
        <w:tc>
          <w:tcPr>
            <w:tcW w:w="1012" w:type="pct"/>
            <w:tcMar>
              <w:top w:w="0" w:type="dxa"/>
              <w:left w:w="108" w:type="dxa"/>
              <w:bottom w:w="0" w:type="dxa"/>
              <w:right w:w="108" w:type="dxa"/>
            </w:tcMar>
            <w:hideMark/>
          </w:tcPr>
          <w:p w14:paraId="57984319"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 xml:space="preserve">Stationary AC – commercial </w:t>
            </w:r>
          </w:p>
        </w:tc>
        <w:tc>
          <w:tcPr>
            <w:tcW w:w="1012" w:type="pct"/>
            <w:tcMar>
              <w:top w:w="0" w:type="dxa"/>
              <w:left w:w="108" w:type="dxa"/>
              <w:bottom w:w="0" w:type="dxa"/>
              <w:right w:w="108" w:type="dxa"/>
            </w:tcMar>
            <w:hideMark/>
          </w:tcPr>
          <w:p w14:paraId="07530B33"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13.0</w:t>
            </w:r>
          </w:p>
        </w:tc>
        <w:tc>
          <w:tcPr>
            <w:tcW w:w="1012" w:type="pct"/>
          </w:tcPr>
          <w:p w14:paraId="17E15356"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16.25</w:t>
            </w:r>
          </w:p>
        </w:tc>
        <w:tc>
          <w:tcPr>
            <w:tcW w:w="1012" w:type="pct"/>
            <w:shd w:val="clear" w:color="auto" w:fill="FFFF00"/>
          </w:tcPr>
          <w:p w14:paraId="3A46B95F"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26</w:t>
            </w:r>
          </w:p>
        </w:tc>
        <w:tc>
          <w:tcPr>
            <w:tcW w:w="953" w:type="pct"/>
          </w:tcPr>
          <w:p w14:paraId="46425504"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6.3</w:t>
            </w:r>
          </w:p>
        </w:tc>
      </w:tr>
      <w:tr w:rsidR="00F3123D" w:rsidRPr="00EC66BC" w14:paraId="7B5BADB3" w14:textId="77777777" w:rsidTr="00797DA9">
        <w:trPr>
          <w:trHeight w:val="283"/>
          <w:jc w:val="center"/>
        </w:trPr>
        <w:tc>
          <w:tcPr>
            <w:tcW w:w="1012" w:type="pct"/>
            <w:tcMar>
              <w:top w:w="0" w:type="dxa"/>
              <w:left w:w="108" w:type="dxa"/>
              <w:bottom w:w="0" w:type="dxa"/>
              <w:right w:w="108" w:type="dxa"/>
            </w:tcMar>
            <w:hideMark/>
          </w:tcPr>
          <w:p w14:paraId="7D24846E"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Industrial/transport refrigeration</w:t>
            </w:r>
          </w:p>
        </w:tc>
        <w:tc>
          <w:tcPr>
            <w:tcW w:w="1012" w:type="pct"/>
            <w:tcMar>
              <w:top w:w="0" w:type="dxa"/>
              <w:left w:w="108" w:type="dxa"/>
              <w:bottom w:w="0" w:type="dxa"/>
              <w:right w:w="108" w:type="dxa"/>
            </w:tcMar>
            <w:hideMark/>
          </w:tcPr>
          <w:p w14:paraId="7CF96EA9"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11.0</w:t>
            </w:r>
          </w:p>
        </w:tc>
        <w:tc>
          <w:tcPr>
            <w:tcW w:w="1012" w:type="pct"/>
          </w:tcPr>
          <w:p w14:paraId="08174F98"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13.75</w:t>
            </w:r>
          </w:p>
        </w:tc>
        <w:tc>
          <w:tcPr>
            <w:tcW w:w="1012" w:type="pct"/>
            <w:shd w:val="clear" w:color="auto" w:fill="FFFF00"/>
          </w:tcPr>
          <w:p w14:paraId="015539FD"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22</w:t>
            </w:r>
          </w:p>
        </w:tc>
        <w:tc>
          <w:tcPr>
            <w:tcW w:w="953" w:type="pct"/>
          </w:tcPr>
          <w:p w14:paraId="3D9E4220"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[4.0] 4.2</w:t>
            </w:r>
          </w:p>
        </w:tc>
      </w:tr>
      <w:tr w:rsidR="00F3123D" w:rsidRPr="00EC66BC" w14:paraId="7B4EBC44" w14:textId="77777777" w:rsidTr="00797DA9">
        <w:trPr>
          <w:trHeight w:val="283"/>
          <w:jc w:val="center"/>
        </w:trPr>
        <w:tc>
          <w:tcPr>
            <w:tcW w:w="1012" w:type="pct"/>
            <w:tcMar>
              <w:top w:w="0" w:type="dxa"/>
              <w:left w:w="108" w:type="dxa"/>
              <w:bottom w:w="0" w:type="dxa"/>
              <w:right w:w="108" w:type="dxa"/>
            </w:tcMar>
            <w:hideMark/>
          </w:tcPr>
          <w:p w14:paraId="07239CCC"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PU foam</w:t>
            </w:r>
          </w:p>
        </w:tc>
        <w:tc>
          <w:tcPr>
            <w:tcW w:w="1012" w:type="pct"/>
            <w:tcMar>
              <w:top w:w="0" w:type="dxa"/>
              <w:left w:w="108" w:type="dxa"/>
              <w:bottom w:w="0" w:type="dxa"/>
              <w:right w:w="108" w:type="dxa"/>
            </w:tcMar>
            <w:hideMark/>
          </w:tcPr>
          <w:p w14:paraId="7C42FFD1"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9.0</w:t>
            </w:r>
          </w:p>
        </w:tc>
        <w:tc>
          <w:tcPr>
            <w:tcW w:w="1012" w:type="pct"/>
          </w:tcPr>
          <w:p w14:paraId="315D0098"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11.25</w:t>
            </w:r>
          </w:p>
        </w:tc>
        <w:tc>
          <w:tcPr>
            <w:tcW w:w="1012" w:type="pct"/>
            <w:shd w:val="clear" w:color="auto" w:fill="FFFF00"/>
          </w:tcPr>
          <w:p w14:paraId="57EC90DF"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18</w:t>
            </w:r>
          </w:p>
        </w:tc>
        <w:tc>
          <w:tcPr>
            <w:tcW w:w="953" w:type="pct"/>
          </w:tcPr>
          <w:p w14:paraId="297EAA0F"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[3.6] 3.8</w:t>
            </w:r>
          </w:p>
        </w:tc>
      </w:tr>
      <w:tr w:rsidR="00F3123D" w:rsidRPr="00EC66BC" w14:paraId="2295D287" w14:textId="77777777" w:rsidTr="00797DA9">
        <w:trPr>
          <w:trHeight w:val="283"/>
          <w:jc w:val="center"/>
        </w:trPr>
        <w:tc>
          <w:tcPr>
            <w:tcW w:w="1012" w:type="pct"/>
            <w:tcMar>
              <w:top w:w="0" w:type="dxa"/>
              <w:left w:w="108" w:type="dxa"/>
              <w:bottom w:w="0" w:type="dxa"/>
              <w:right w:w="108" w:type="dxa"/>
            </w:tcMar>
            <w:hideMark/>
          </w:tcPr>
          <w:p w14:paraId="16996D19" w14:textId="77777777" w:rsidR="00F3123D" w:rsidRPr="00EC66BC" w:rsidRDefault="00F3123D" w:rsidP="00797DA9">
            <w:pPr>
              <w:jc w:val="left"/>
              <w:rPr>
                <w:rFonts w:eastAsia="Calibri"/>
                <w:sz w:val="20"/>
                <w:szCs w:val="20"/>
                <w:lang w:val="en-US"/>
                <w14:ligatures w14:val="standardContextual"/>
              </w:rPr>
            </w:pPr>
            <w:r w:rsidRPr="00EC66BC">
              <w:rPr>
                <w:rFonts w:eastAsia="Calibri"/>
                <w:sz w:val="20"/>
                <w:szCs w:val="20"/>
                <w:lang w:val="en-US"/>
                <w14:ligatures w14:val="standardContextual"/>
              </w:rPr>
              <w:t>All other sectors</w:t>
            </w:r>
          </w:p>
        </w:tc>
        <w:tc>
          <w:tcPr>
            <w:tcW w:w="1012" w:type="pct"/>
            <w:tcMar>
              <w:top w:w="0" w:type="dxa"/>
              <w:left w:w="108" w:type="dxa"/>
              <w:bottom w:w="0" w:type="dxa"/>
              <w:right w:w="108" w:type="dxa"/>
            </w:tcMar>
            <w:hideMark/>
          </w:tcPr>
          <w:p w14:paraId="16FB1D3E"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Case-by-case</w:t>
            </w:r>
          </w:p>
        </w:tc>
        <w:tc>
          <w:tcPr>
            <w:tcW w:w="1012" w:type="pct"/>
          </w:tcPr>
          <w:p w14:paraId="3A9DA01A"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Case-by-case</w:t>
            </w:r>
          </w:p>
        </w:tc>
        <w:tc>
          <w:tcPr>
            <w:tcW w:w="1012" w:type="pct"/>
            <w:shd w:val="clear" w:color="auto" w:fill="FFFF00"/>
          </w:tcPr>
          <w:p w14:paraId="4C13D159"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Case-by-case</w:t>
            </w:r>
          </w:p>
        </w:tc>
        <w:tc>
          <w:tcPr>
            <w:tcW w:w="953" w:type="pct"/>
          </w:tcPr>
          <w:p w14:paraId="2F531D3F" w14:textId="77777777" w:rsidR="00F3123D" w:rsidRPr="00EC66BC" w:rsidRDefault="00F3123D" w:rsidP="00797DA9">
            <w:pPr>
              <w:jc w:val="center"/>
              <w:rPr>
                <w:rFonts w:eastAsia="Calibri"/>
                <w:sz w:val="20"/>
                <w:szCs w:val="20"/>
                <w:lang w:val="en-US"/>
                <w14:ligatures w14:val="standardContextual"/>
              </w:rPr>
            </w:pPr>
            <w:r w:rsidRPr="00EC66BC">
              <w:rPr>
                <w:rFonts w:eastAsia="Calibri"/>
                <w:sz w:val="20"/>
                <w:szCs w:val="20"/>
                <w:lang w:val="en-US"/>
                <w14:ligatures w14:val="standardContextual"/>
              </w:rPr>
              <w:t>Case-by-case</w:t>
            </w:r>
          </w:p>
        </w:tc>
      </w:tr>
    </w:tbl>
    <w:p w14:paraId="68BA5A4F" w14:textId="77777777" w:rsidR="00F3123D" w:rsidRPr="00EC66BC" w:rsidRDefault="00F3123D" w:rsidP="00F3123D">
      <w:pPr>
        <w:ind w:left="709" w:right="789"/>
        <w:jc w:val="left"/>
        <w:rPr>
          <w:rFonts w:eastAsia="Calibri"/>
          <w:sz w:val="18"/>
          <w:szCs w:val="18"/>
          <w:lang w:val="en-US"/>
          <w14:ligatures w14:val="standardContextual"/>
        </w:rPr>
      </w:pPr>
      <w:r w:rsidRPr="00EC66BC">
        <w:rPr>
          <w:rFonts w:eastAsia="Calibri"/>
          <w:sz w:val="18"/>
          <w:szCs w:val="18"/>
          <w:lang w:val="en-US"/>
          <w14:ligatures w14:val="standardContextual"/>
        </w:rPr>
        <w:t>*</w:t>
      </w:r>
      <w:r>
        <w:rPr>
          <w:rFonts w:eastAsia="Calibri"/>
          <w:sz w:val="18"/>
          <w:szCs w:val="18"/>
          <w:lang w:val="en-US"/>
          <w14:ligatures w14:val="standardContextual"/>
        </w:rPr>
        <w:t xml:space="preserve"> </w:t>
      </w:r>
      <w:r w:rsidRPr="00EC66BC">
        <w:rPr>
          <w:rFonts w:eastAsia="Calibri"/>
          <w:sz w:val="18"/>
          <w:szCs w:val="18"/>
          <w:lang w:val="en-US"/>
          <w14:ligatures w14:val="standardContextual"/>
        </w:rPr>
        <w:t>For all sectors, 25 per cent above CE thresholds for enterprises consuming up to 15 mt based on conditions proposed by Secretariat</w:t>
      </w:r>
    </w:p>
    <w:p w14:paraId="50277DA9" w14:textId="77777777" w:rsidR="00F3123D" w:rsidRPr="00EC66BC" w:rsidRDefault="00F3123D" w:rsidP="00F3123D">
      <w:pPr>
        <w:ind w:left="709" w:right="789"/>
        <w:jc w:val="left"/>
        <w:rPr>
          <w:rFonts w:eastAsia="Calibri"/>
          <w:sz w:val="18"/>
          <w:szCs w:val="18"/>
          <w:lang w:val="en-US"/>
          <w14:ligatures w14:val="standardContextual"/>
        </w:rPr>
      </w:pPr>
      <w:r w:rsidRPr="00EC66BC">
        <w:rPr>
          <w:rFonts w:eastAsia="Calibri"/>
          <w:sz w:val="18"/>
          <w:szCs w:val="18"/>
          <w:lang w:val="en-US"/>
          <w14:ligatures w14:val="standardContextual"/>
        </w:rPr>
        <w:t>**</w:t>
      </w:r>
      <w:r>
        <w:rPr>
          <w:rFonts w:eastAsia="Calibri"/>
          <w:sz w:val="18"/>
          <w:szCs w:val="18"/>
          <w:lang w:val="en-US"/>
          <w14:ligatures w14:val="standardContextual"/>
        </w:rPr>
        <w:t xml:space="preserve"> </w:t>
      </w:r>
      <w:r w:rsidRPr="00EC66BC">
        <w:rPr>
          <w:rFonts w:eastAsia="Calibri"/>
          <w:sz w:val="18"/>
          <w:szCs w:val="18"/>
          <w:lang w:val="en-US"/>
          <w14:ligatures w14:val="standardContextual"/>
        </w:rPr>
        <w:t xml:space="preserve">For microenterprises with consumption of less than 1 mt that are part of an umbrella project could receive up to twice the agreed CE threshold as long as the cost effectiveness of the umbrella project is within the agreed threshold for the sector. </w:t>
      </w:r>
    </w:p>
    <w:p w14:paraId="160CAAFE" w14:textId="77777777" w:rsidR="00F3123D" w:rsidRPr="00EC66BC" w:rsidRDefault="00F3123D" w:rsidP="00F3123D">
      <w:pPr>
        <w:rPr>
          <w:lang w:val="en-US"/>
        </w:rPr>
      </w:pPr>
    </w:p>
    <w:p w14:paraId="7F0889A4" w14:textId="77777777" w:rsidR="00F3123D" w:rsidRPr="00EC66BC" w:rsidRDefault="00F3123D" w:rsidP="00F3123D">
      <w:pPr>
        <w:spacing w:before="240" w:after="240"/>
        <w:ind w:left="709"/>
        <w:jc w:val="left"/>
        <w:rPr>
          <w:rFonts w:eastAsia="Calibri"/>
          <w:b/>
          <w:bCs/>
          <w:lang w:val="en-US"/>
          <w14:ligatures w14:val="standardContextual"/>
        </w:rPr>
      </w:pPr>
      <w:r w:rsidRPr="00EC66BC">
        <w:rPr>
          <w:rFonts w:eastAsia="Calibri"/>
          <w:b/>
          <w:bCs/>
          <w:lang w:val="en-US"/>
          <w14:ligatures w14:val="standardContextual"/>
        </w:rPr>
        <w:t>Starting point</w:t>
      </w:r>
    </w:p>
    <w:p w14:paraId="059561B3" w14:textId="77777777" w:rsidR="00F3123D" w:rsidRPr="00EC66BC" w:rsidRDefault="00F3123D" w:rsidP="00F3123D">
      <w:pPr>
        <w:numPr>
          <w:ilvl w:val="0"/>
          <w:numId w:val="23"/>
        </w:numPr>
        <w:ind w:left="1134" w:hanging="425"/>
        <w:contextualSpacing/>
        <w:jc w:val="left"/>
        <w:rPr>
          <w:rFonts w:eastAsia="Calibri"/>
          <w:lang w:val="en-US"/>
          <w14:ligatures w14:val="standardContextual"/>
        </w:rPr>
      </w:pPr>
      <w:r w:rsidRPr="00EC66BC">
        <w:rPr>
          <w:rFonts w:eastAsia="Calibri"/>
          <w:lang w:val="en-US"/>
          <w14:ligatures w14:val="standardContextual"/>
        </w:rPr>
        <w:t>Methodology: as per Australian draft decision</w:t>
      </w:r>
    </w:p>
    <w:p w14:paraId="4ED1D316" w14:textId="77777777" w:rsidR="00F3123D" w:rsidRPr="00EC66BC" w:rsidRDefault="00F3123D" w:rsidP="00F3123D">
      <w:pPr>
        <w:numPr>
          <w:ilvl w:val="0"/>
          <w:numId w:val="23"/>
        </w:numPr>
        <w:ind w:left="1134" w:hanging="425"/>
        <w:contextualSpacing/>
        <w:jc w:val="left"/>
        <w:rPr>
          <w:rFonts w:eastAsia="Calibri"/>
          <w:lang w:val="en-US"/>
          <w14:ligatures w14:val="standardContextual"/>
        </w:rPr>
      </w:pPr>
      <w:r w:rsidRPr="00EC66BC">
        <w:rPr>
          <w:rFonts w:eastAsia="Calibri"/>
          <w:lang w:val="en-US"/>
          <w14:ligatures w14:val="standardContextual"/>
        </w:rPr>
        <w:t>Consideration of one or two starting points (one for manufacturing and one for servicing?)</w:t>
      </w:r>
    </w:p>
    <w:p w14:paraId="629BE2A2" w14:textId="77777777" w:rsidR="00F3123D" w:rsidRPr="00EC66BC" w:rsidRDefault="00F3123D" w:rsidP="00F3123D">
      <w:pPr>
        <w:numPr>
          <w:ilvl w:val="0"/>
          <w:numId w:val="23"/>
        </w:numPr>
        <w:ind w:left="1134" w:hanging="425"/>
        <w:contextualSpacing/>
        <w:jc w:val="left"/>
        <w:rPr>
          <w:rFonts w:eastAsia="Calibri"/>
          <w:lang w:val="en-US"/>
          <w14:ligatures w14:val="standardContextual"/>
        </w:rPr>
      </w:pPr>
      <w:r w:rsidRPr="00EC66BC">
        <w:rPr>
          <w:rFonts w:eastAsia="Calibri"/>
          <w:lang w:val="en-US"/>
          <w14:ligatures w14:val="standardContextual"/>
        </w:rPr>
        <w:t>Starting point formula: to defer discussion until first meeting in 2026</w:t>
      </w:r>
    </w:p>
    <w:p w14:paraId="580AE583" w14:textId="77777777" w:rsidR="00DA0406" w:rsidRDefault="00DA0406" w:rsidP="004E7F9C"/>
    <w:p w14:paraId="52CFDB55" w14:textId="77777777" w:rsidR="00DA0406" w:rsidRDefault="00DA0406" w:rsidP="004E7F9C"/>
    <w:p w14:paraId="21A7B257" w14:textId="77777777" w:rsidR="00DA0406" w:rsidRDefault="00DA0406" w:rsidP="004E7F9C"/>
    <w:p w14:paraId="52F8EF58" w14:textId="77777777" w:rsidR="00DA0406" w:rsidRDefault="00DA0406" w:rsidP="004E7F9C"/>
    <w:p w14:paraId="13AF16E7" w14:textId="77777777" w:rsidR="00DA0406" w:rsidRDefault="00DA0406" w:rsidP="004E7F9C"/>
    <w:p w14:paraId="6C07E075" w14:textId="77777777" w:rsidR="00CB5A72" w:rsidRDefault="00CB5A72" w:rsidP="004E7F9C">
      <w:pPr>
        <w:sectPr w:rsidR="00CB5A72" w:rsidSect="00780419">
          <w:headerReference w:type="default" r:id="rId23"/>
          <w:footnotePr>
            <w:numRestart w:val="eachSect"/>
          </w:footnotePr>
          <w:pgSz w:w="15840" w:h="12240" w:orient="landscape" w:code="1"/>
          <w:pgMar w:top="1440" w:right="720" w:bottom="1440" w:left="864" w:header="720" w:footer="475" w:gutter="0"/>
          <w:pgNumType w:start="1"/>
          <w:cols w:space="720"/>
          <w:docGrid w:linePitch="299"/>
        </w:sectPr>
      </w:pPr>
    </w:p>
    <w:p w14:paraId="1E34F7B0" w14:textId="654BFF20" w:rsidR="00107977" w:rsidRDefault="00107977" w:rsidP="00B16777">
      <w:pPr>
        <w:spacing w:after="360"/>
        <w:jc w:val="center"/>
        <w:rPr>
          <w:rFonts w:eastAsia="Calibri"/>
          <w:b/>
          <w:bCs/>
          <w:lang w:val="en-US"/>
        </w:rPr>
      </w:pPr>
      <w:r>
        <w:rPr>
          <w:rFonts w:eastAsia="Calibri"/>
          <w:b/>
          <w:bCs/>
          <w:lang w:val="en-US"/>
        </w:rPr>
        <w:lastRenderedPageBreak/>
        <w:t>Annex III</w:t>
      </w:r>
    </w:p>
    <w:p w14:paraId="25524DC1" w14:textId="6AFD9B1F" w:rsidR="00107977" w:rsidRPr="002867CD" w:rsidRDefault="00107977" w:rsidP="00107977">
      <w:pPr>
        <w:spacing w:before="240" w:after="360"/>
        <w:jc w:val="center"/>
        <w:rPr>
          <w:rFonts w:eastAsia="Calibri"/>
          <w:b/>
          <w:bCs/>
          <w:lang w:val="en-US"/>
        </w:rPr>
      </w:pPr>
      <w:r w:rsidRPr="002867CD">
        <w:rPr>
          <w:rFonts w:eastAsia="Calibri"/>
          <w:b/>
          <w:bCs/>
          <w:lang w:val="en-US"/>
        </w:rPr>
        <w:t xml:space="preserve">WORKING TEXT </w:t>
      </w:r>
      <w:r>
        <w:rPr>
          <w:rFonts w:eastAsia="Calibri"/>
          <w:b/>
          <w:bCs/>
          <w:lang w:val="en-US"/>
        </w:rPr>
        <w:t xml:space="preserve">ON </w:t>
      </w:r>
      <w:r w:rsidRPr="002867CD">
        <w:rPr>
          <w:rFonts w:eastAsia="Calibri"/>
          <w:b/>
          <w:bCs/>
          <w:lang w:val="en-US"/>
        </w:rPr>
        <w:t>HFC COST GUIDELINES</w:t>
      </w:r>
      <w:r>
        <w:rPr>
          <w:rFonts w:eastAsia="Calibri"/>
          <w:b/>
          <w:bCs/>
          <w:lang w:val="en-US"/>
        </w:rPr>
        <w:t>:</w:t>
      </w:r>
      <w:r w:rsidRPr="002867CD">
        <w:rPr>
          <w:rFonts w:eastAsia="Calibri"/>
          <w:b/>
          <w:bCs/>
          <w:lang w:val="en-US"/>
        </w:rPr>
        <w:t xml:space="preserve"> A</w:t>
      </w:r>
      <w:r>
        <w:rPr>
          <w:rFonts w:eastAsia="Calibri"/>
          <w:b/>
          <w:bCs/>
          <w:lang w:val="en-US"/>
          <w14:ligatures w14:val="standardContextual"/>
        </w:rPr>
        <w:t xml:space="preserve">RTICLE </w:t>
      </w:r>
      <w:r w:rsidRPr="002867CD">
        <w:rPr>
          <w:rFonts w:eastAsia="Calibri"/>
          <w:b/>
          <w:bCs/>
          <w:lang w:val="en-US"/>
        </w:rPr>
        <w:t>5 PROPOSAL AS OF 28 MAY 2024</w:t>
      </w:r>
    </w:p>
    <w:tbl>
      <w:tblPr>
        <w:tblW w:w="12933" w:type="dxa"/>
        <w:jc w:val="center"/>
        <w:tblLook w:val="04A0" w:firstRow="1" w:lastRow="0" w:firstColumn="1" w:lastColumn="0" w:noHBand="0" w:noVBand="1"/>
      </w:tblPr>
      <w:tblGrid>
        <w:gridCol w:w="12933"/>
      </w:tblGrid>
      <w:tr w:rsidR="00107977" w:rsidRPr="002867CD" w14:paraId="2F94EE01" w14:textId="77777777" w:rsidTr="00797DA9">
        <w:trPr>
          <w:trHeight w:val="310"/>
          <w:jc w:val="center"/>
        </w:trPr>
        <w:tc>
          <w:tcPr>
            <w:tcW w:w="129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DBBA7" w14:textId="7D2C82BC" w:rsidR="00107977" w:rsidRPr="002867CD" w:rsidRDefault="00107977" w:rsidP="00797DA9">
            <w:pPr>
              <w:rPr>
                <w:color w:val="000000"/>
                <w:sz w:val="24"/>
                <w:szCs w:val="24"/>
                <w:lang w:val="en-IN" w:eastAsia="en-IN"/>
              </w:rPr>
            </w:pPr>
            <w:r w:rsidRPr="002867CD">
              <w:rPr>
                <w:color w:val="000000"/>
                <w:sz w:val="24"/>
                <w:szCs w:val="24"/>
                <w:lang w:val="en-IN" w:eastAsia="en-IN"/>
              </w:rPr>
              <w:t> Micro (up</w:t>
            </w:r>
            <w:r w:rsidR="00646596">
              <w:rPr>
                <w:color w:val="000000"/>
                <w:sz w:val="24"/>
                <w:szCs w:val="24"/>
                <w:lang w:val="en-IN" w:eastAsia="en-IN"/>
              </w:rPr>
              <w:t xml:space="preserve"> </w:t>
            </w:r>
            <w:r w:rsidRPr="002867CD">
              <w:rPr>
                <w:color w:val="000000"/>
                <w:sz w:val="24"/>
                <w:szCs w:val="24"/>
                <w:lang w:val="en-IN" w:eastAsia="en-IN"/>
              </w:rPr>
              <w:t>to 1 ton)</w:t>
            </w:r>
          </w:p>
        </w:tc>
      </w:tr>
      <w:tr w:rsidR="00107977" w:rsidRPr="002867CD" w14:paraId="3CCECD72" w14:textId="77777777" w:rsidTr="00797DA9">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7F7B6B42" w14:textId="77777777" w:rsidR="00107977" w:rsidRPr="002867CD" w:rsidRDefault="00107977" w:rsidP="00797DA9">
            <w:pPr>
              <w:rPr>
                <w:color w:val="000000"/>
                <w:sz w:val="24"/>
                <w:szCs w:val="24"/>
                <w:lang w:val="en-IN" w:eastAsia="en-IN"/>
              </w:rPr>
            </w:pPr>
            <w:r w:rsidRPr="002867CD">
              <w:rPr>
                <w:color w:val="000000"/>
                <w:sz w:val="24"/>
                <w:szCs w:val="24"/>
                <w:lang w:val="en-IN" w:eastAsia="en-IN"/>
              </w:rPr>
              <w:t> Small (&gt;1 to &lt;=7 ton)</w:t>
            </w:r>
          </w:p>
        </w:tc>
      </w:tr>
      <w:tr w:rsidR="00107977" w:rsidRPr="002867CD" w14:paraId="43456D03" w14:textId="77777777" w:rsidTr="00797DA9">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64AC5BAA" w14:textId="77777777" w:rsidR="00107977" w:rsidRPr="002867CD" w:rsidRDefault="00107977" w:rsidP="00797DA9">
            <w:pPr>
              <w:rPr>
                <w:color w:val="000000"/>
                <w:sz w:val="24"/>
                <w:szCs w:val="24"/>
                <w:lang w:val="en-IN" w:eastAsia="en-IN"/>
              </w:rPr>
            </w:pPr>
            <w:r w:rsidRPr="002867CD">
              <w:rPr>
                <w:color w:val="000000"/>
                <w:sz w:val="24"/>
                <w:szCs w:val="24"/>
                <w:lang w:val="en-IN" w:eastAsia="en-IN"/>
              </w:rPr>
              <w:t> Medium (&gt;7 to &lt;=15 ton)</w:t>
            </w:r>
          </w:p>
        </w:tc>
      </w:tr>
      <w:tr w:rsidR="00107977" w:rsidRPr="002867CD" w14:paraId="4E7C6ACE" w14:textId="77777777" w:rsidTr="00797DA9">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5973E747" w14:textId="77777777" w:rsidR="00107977" w:rsidRPr="002867CD" w:rsidRDefault="00107977" w:rsidP="00797DA9">
            <w:pPr>
              <w:rPr>
                <w:color w:val="000000"/>
                <w:sz w:val="24"/>
                <w:szCs w:val="24"/>
                <w:lang w:val="en-IN" w:eastAsia="en-IN"/>
              </w:rPr>
            </w:pPr>
            <w:r w:rsidRPr="002867CD">
              <w:rPr>
                <w:color w:val="000000"/>
                <w:sz w:val="24"/>
                <w:szCs w:val="24"/>
                <w:lang w:val="en-IN" w:eastAsia="en-IN"/>
              </w:rPr>
              <w:t> Large (&gt;15 ton)</w:t>
            </w:r>
          </w:p>
        </w:tc>
      </w:tr>
    </w:tbl>
    <w:tbl>
      <w:tblPr>
        <w:tblStyle w:val="TableGrid"/>
        <w:tblpPr w:leftFromText="180" w:rightFromText="180" w:vertAnchor="text" w:tblpXSpec="center" w:tblpY="1"/>
        <w:tblOverlap w:val="never"/>
        <w:tblW w:w="12926" w:type="dxa"/>
        <w:tblLook w:val="04A0" w:firstRow="1" w:lastRow="0" w:firstColumn="1" w:lastColumn="0" w:noHBand="0" w:noVBand="1"/>
      </w:tblPr>
      <w:tblGrid>
        <w:gridCol w:w="2046"/>
        <w:gridCol w:w="2211"/>
        <w:gridCol w:w="1606"/>
        <w:gridCol w:w="2226"/>
        <w:gridCol w:w="1777"/>
        <w:gridCol w:w="3060"/>
      </w:tblGrid>
      <w:tr w:rsidR="00107977" w:rsidRPr="002867CD" w14:paraId="1E6D4F1E" w14:textId="77777777" w:rsidTr="00797DA9">
        <w:trPr>
          <w:trHeight w:val="405"/>
        </w:trPr>
        <w:tc>
          <w:tcPr>
            <w:tcW w:w="2046" w:type="dxa"/>
          </w:tcPr>
          <w:p w14:paraId="161A3CC7" w14:textId="77777777" w:rsidR="00107977" w:rsidRPr="002867CD" w:rsidRDefault="00107977" w:rsidP="00797DA9">
            <w:pPr>
              <w:rPr>
                <w:lang w:val="en-US"/>
              </w:rPr>
            </w:pPr>
            <w:r w:rsidRPr="002867CD">
              <w:rPr>
                <w:b/>
                <w:bCs/>
                <w:lang w:val="en-US"/>
              </w:rPr>
              <w:t xml:space="preserve">Sector </w:t>
            </w:r>
          </w:p>
        </w:tc>
        <w:tc>
          <w:tcPr>
            <w:tcW w:w="2211" w:type="dxa"/>
          </w:tcPr>
          <w:p w14:paraId="079A4CE7" w14:textId="77777777" w:rsidR="00107977" w:rsidRPr="002867CD" w:rsidRDefault="00107977" w:rsidP="00797DA9">
            <w:pPr>
              <w:jc w:val="center"/>
              <w:rPr>
                <w:b/>
                <w:bCs/>
                <w:lang w:val="en-US"/>
              </w:rPr>
            </w:pPr>
            <w:r w:rsidRPr="002867CD">
              <w:rPr>
                <w:b/>
                <w:bCs/>
                <w:lang w:val="en-US"/>
              </w:rPr>
              <w:t>Micro</w:t>
            </w:r>
          </w:p>
          <w:p w14:paraId="4584ECA5" w14:textId="77777777" w:rsidR="00107977" w:rsidRPr="002867CD" w:rsidRDefault="00107977" w:rsidP="00797DA9">
            <w:pPr>
              <w:jc w:val="center"/>
              <w:rPr>
                <w:b/>
                <w:bCs/>
                <w:lang w:val="en-US"/>
              </w:rPr>
            </w:pPr>
            <w:r w:rsidRPr="002867CD">
              <w:rPr>
                <w:b/>
                <w:bCs/>
                <w:lang w:val="en-US"/>
              </w:rPr>
              <w:t>(US$)</w:t>
            </w:r>
          </w:p>
        </w:tc>
        <w:tc>
          <w:tcPr>
            <w:tcW w:w="1606" w:type="dxa"/>
          </w:tcPr>
          <w:p w14:paraId="17774EA9" w14:textId="77777777" w:rsidR="00107977" w:rsidRPr="002867CD" w:rsidRDefault="00107977" w:rsidP="00797DA9">
            <w:pPr>
              <w:jc w:val="center"/>
              <w:rPr>
                <w:b/>
                <w:bCs/>
                <w:lang w:val="en-US"/>
              </w:rPr>
            </w:pPr>
            <w:r w:rsidRPr="002867CD">
              <w:rPr>
                <w:b/>
                <w:bCs/>
                <w:lang w:val="en-US"/>
              </w:rPr>
              <w:t>Small</w:t>
            </w:r>
          </w:p>
          <w:p w14:paraId="57115F44" w14:textId="77777777" w:rsidR="00107977" w:rsidRPr="002867CD" w:rsidRDefault="00107977" w:rsidP="00797DA9">
            <w:pPr>
              <w:jc w:val="center"/>
              <w:rPr>
                <w:b/>
                <w:bCs/>
                <w:lang w:val="en-US"/>
              </w:rPr>
            </w:pPr>
            <w:r w:rsidRPr="002867CD">
              <w:rPr>
                <w:b/>
                <w:bCs/>
                <w:lang w:val="en-US"/>
              </w:rPr>
              <w:t>(US$)</w:t>
            </w:r>
          </w:p>
        </w:tc>
        <w:tc>
          <w:tcPr>
            <w:tcW w:w="2226" w:type="dxa"/>
          </w:tcPr>
          <w:p w14:paraId="5080A48B" w14:textId="77777777" w:rsidR="00107977" w:rsidRPr="002867CD" w:rsidRDefault="00107977" w:rsidP="00797DA9">
            <w:pPr>
              <w:jc w:val="center"/>
              <w:rPr>
                <w:b/>
                <w:bCs/>
                <w:lang w:val="en-US"/>
              </w:rPr>
            </w:pPr>
            <w:r w:rsidRPr="002867CD">
              <w:rPr>
                <w:b/>
                <w:bCs/>
                <w:lang w:val="en-US"/>
              </w:rPr>
              <w:t>Medium (US$)</w:t>
            </w:r>
          </w:p>
        </w:tc>
        <w:tc>
          <w:tcPr>
            <w:tcW w:w="1777" w:type="dxa"/>
          </w:tcPr>
          <w:p w14:paraId="72355776" w14:textId="77777777" w:rsidR="00107977" w:rsidRPr="002867CD" w:rsidRDefault="00107977" w:rsidP="00797DA9">
            <w:pPr>
              <w:jc w:val="center"/>
              <w:rPr>
                <w:b/>
                <w:bCs/>
                <w:lang w:val="en-US"/>
              </w:rPr>
            </w:pPr>
            <w:r w:rsidRPr="002867CD">
              <w:rPr>
                <w:b/>
                <w:bCs/>
                <w:lang w:val="en-US"/>
              </w:rPr>
              <w:t>Large</w:t>
            </w:r>
          </w:p>
          <w:p w14:paraId="03694A73" w14:textId="77777777" w:rsidR="00107977" w:rsidRPr="002867CD" w:rsidRDefault="00107977" w:rsidP="00797DA9">
            <w:pPr>
              <w:jc w:val="center"/>
              <w:rPr>
                <w:b/>
                <w:bCs/>
                <w:lang w:val="en-US"/>
              </w:rPr>
            </w:pPr>
            <w:r w:rsidRPr="002867CD">
              <w:rPr>
                <w:b/>
                <w:bCs/>
                <w:lang w:val="en-US"/>
              </w:rPr>
              <w:t>(US$)</w:t>
            </w:r>
            <w:r w:rsidRPr="002867CD">
              <w:rPr>
                <w:rStyle w:val="FootnoteReference"/>
                <w:rFonts w:eastAsia="Calibri"/>
                <w:b/>
                <w:bCs/>
                <w:sz w:val="20"/>
                <w:szCs w:val="20"/>
                <w:lang w:val="en-US"/>
              </w:rPr>
              <w:footnoteReference w:id="25"/>
            </w:r>
          </w:p>
        </w:tc>
        <w:tc>
          <w:tcPr>
            <w:tcW w:w="3060" w:type="dxa"/>
          </w:tcPr>
          <w:p w14:paraId="7959C590" w14:textId="77777777" w:rsidR="00107977" w:rsidRPr="002867CD" w:rsidRDefault="00107977" w:rsidP="00797DA9">
            <w:pPr>
              <w:jc w:val="center"/>
              <w:rPr>
                <w:b/>
                <w:bCs/>
                <w:lang w:val="en-US"/>
              </w:rPr>
            </w:pPr>
            <w:r w:rsidRPr="002867CD">
              <w:rPr>
                <w:b/>
                <w:bCs/>
                <w:lang w:val="en-US"/>
              </w:rPr>
              <w:t>IOCs</w:t>
            </w:r>
          </w:p>
          <w:p w14:paraId="03FD1077" w14:textId="6FF239DA" w:rsidR="00107977" w:rsidRPr="002867CD" w:rsidRDefault="00107977" w:rsidP="00797DA9">
            <w:pPr>
              <w:jc w:val="center"/>
              <w:rPr>
                <w:b/>
                <w:bCs/>
                <w:lang w:val="en-US"/>
              </w:rPr>
            </w:pPr>
            <w:r w:rsidRPr="002867CD">
              <w:rPr>
                <w:b/>
                <w:bCs/>
                <w:lang w:val="en-US"/>
              </w:rPr>
              <w:t>(US$)</w:t>
            </w:r>
            <w:r>
              <w:rPr>
                <w:b/>
                <w:bCs/>
                <w:vertAlign w:val="superscript"/>
                <w:lang w:val="en-US"/>
              </w:rPr>
              <w:t>2</w:t>
            </w:r>
            <w:r w:rsidR="006D4616">
              <w:rPr>
                <w:b/>
                <w:bCs/>
                <w:vertAlign w:val="superscript"/>
                <w:lang w:val="en-US"/>
              </w:rPr>
              <w:t>6</w:t>
            </w:r>
          </w:p>
        </w:tc>
      </w:tr>
      <w:tr w:rsidR="00107977" w:rsidRPr="002867CD" w14:paraId="66F1D918" w14:textId="77777777" w:rsidTr="00797DA9">
        <w:tc>
          <w:tcPr>
            <w:tcW w:w="2046" w:type="dxa"/>
          </w:tcPr>
          <w:p w14:paraId="6280F9FA" w14:textId="77777777" w:rsidR="00107977" w:rsidRPr="002867CD" w:rsidRDefault="00107977" w:rsidP="00797DA9">
            <w:pPr>
              <w:jc w:val="left"/>
              <w:rPr>
                <w:lang w:val="en-US"/>
              </w:rPr>
            </w:pPr>
            <w:r w:rsidRPr="002867CD">
              <w:rPr>
                <w:highlight w:val="green"/>
                <w:lang w:val="en-US"/>
              </w:rPr>
              <w:t>Domestic refrigeration</w:t>
            </w:r>
          </w:p>
        </w:tc>
        <w:tc>
          <w:tcPr>
            <w:tcW w:w="2211" w:type="dxa"/>
          </w:tcPr>
          <w:p w14:paraId="0902E1FC" w14:textId="77777777" w:rsidR="00107977" w:rsidRPr="002867CD" w:rsidRDefault="00107977" w:rsidP="00797DA9">
            <w:pPr>
              <w:jc w:val="center"/>
              <w:rPr>
                <w:lang w:val="en-US"/>
              </w:rPr>
            </w:pPr>
            <w:r w:rsidRPr="002867CD">
              <w:rPr>
                <w:lang w:val="en-US"/>
              </w:rPr>
              <w:t>75000</w:t>
            </w:r>
          </w:p>
        </w:tc>
        <w:tc>
          <w:tcPr>
            <w:tcW w:w="1606" w:type="dxa"/>
          </w:tcPr>
          <w:p w14:paraId="4EA4452E" w14:textId="77777777" w:rsidR="00107977" w:rsidRPr="002867CD" w:rsidRDefault="00107977" w:rsidP="00797DA9">
            <w:pPr>
              <w:jc w:val="center"/>
              <w:rPr>
                <w:lang w:val="en-US"/>
              </w:rPr>
            </w:pPr>
            <w:r w:rsidRPr="002867CD">
              <w:rPr>
                <w:lang w:val="en-US"/>
              </w:rPr>
              <w:t>85000</w:t>
            </w:r>
          </w:p>
        </w:tc>
        <w:tc>
          <w:tcPr>
            <w:tcW w:w="2226" w:type="dxa"/>
          </w:tcPr>
          <w:p w14:paraId="0EFEDE3D" w14:textId="77777777" w:rsidR="00107977" w:rsidRPr="002867CD" w:rsidRDefault="00107977" w:rsidP="00797DA9">
            <w:pPr>
              <w:jc w:val="center"/>
              <w:rPr>
                <w:highlight w:val="green"/>
                <w:lang w:val="en-US"/>
              </w:rPr>
            </w:pPr>
            <w:r w:rsidRPr="002867CD">
              <w:rPr>
                <w:highlight w:val="green"/>
                <w:lang w:val="en-US"/>
              </w:rPr>
              <w:t>13.76</w:t>
            </w:r>
          </w:p>
        </w:tc>
        <w:tc>
          <w:tcPr>
            <w:tcW w:w="1777" w:type="dxa"/>
          </w:tcPr>
          <w:p w14:paraId="62A08C8B" w14:textId="77777777" w:rsidR="00107977" w:rsidRPr="002867CD" w:rsidRDefault="00107977" w:rsidP="00797DA9">
            <w:pPr>
              <w:jc w:val="center"/>
              <w:rPr>
                <w:highlight w:val="green"/>
                <w:lang w:val="en-US"/>
              </w:rPr>
            </w:pPr>
            <w:r w:rsidRPr="002867CD">
              <w:rPr>
                <w:highlight w:val="green"/>
                <w:lang w:val="en-US"/>
              </w:rPr>
              <w:t>13.76</w:t>
            </w:r>
          </w:p>
        </w:tc>
        <w:tc>
          <w:tcPr>
            <w:tcW w:w="3060" w:type="dxa"/>
          </w:tcPr>
          <w:p w14:paraId="443CAE27" w14:textId="77777777" w:rsidR="00107977" w:rsidRPr="002867CD" w:rsidRDefault="00107977" w:rsidP="00797DA9">
            <w:pPr>
              <w:jc w:val="center"/>
              <w:rPr>
                <w:lang w:val="en-US"/>
              </w:rPr>
            </w:pPr>
            <w:r w:rsidRPr="002867CD">
              <w:rPr>
                <w:lang w:val="en-US"/>
              </w:rPr>
              <w:t>15.00</w:t>
            </w:r>
          </w:p>
        </w:tc>
      </w:tr>
      <w:tr w:rsidR="00107977" w:rsidRPr="002867CD" w14:paraId="6C3167DF" w14:textId="77777777" w:rsidTr="00797DA9">
        <w:tc>
          <w:tcPr>
            <w:tcW w:w="2046" w:type="dxa"/>
          </w:tcPr>
          <w:p w14:paraId="67226022" w14:textId="77777777" w:rsidR="00107977" w:rsidRPr="002867CD" w:rsidRDefault="00107977" w:rsidP="00797DA9">
            <w:pPr>
              <w:jc w:val="left"/>
              <w:rPr>
                <w:lang w:val="en-US"/>
              </w:rPr>
            </w:pPr>
            <w:r w:rsidRPr="002867CD">
              <w:rPr>
                <w:lang w:val="en-US"/>
              </w:rPr>
              <w:t>Commercial refrigeration</w:t>
            </w:r>
          </w:p>
        </w:tc>
        <w:tc>
          <w:tcPr>
            <w:tcW w:w="2211" w:type="dxa"/>
          </w:tcPr>
          <w:p w14:paraId="2CCEE034" w14:textId="77777777" w:rsidR="00107977" w:rsidRPr="002867CD" w:rsidRDefault="00107977" w:rsidP="00797DA9">
            <w:pPr>
              <w:jc w:val="center"/>
              <w:rPr>
                <w:lang w:val="en-US"/>
              </w:rPr>
            </w:pPr>
            <w:r w:rsidRPr="002867CD">
              <w:rPr>
                <w:lang w:val="en-US"/>
              </w:rPr>
              <w:t>75000</w:t>
            </w:r>
          </w:p>
        </w:tc>
        <w:tc>
          <w:tcPr>
            <w:tcW w:w="1606" w:type="dxa"/>
          </w:tcPr>
          <w:p w14:paraId="177BFB4B" w14:textId="77777777" w:rsidR="00107977" w:rsidRPr="002867CD" w:rsidRDefault="00107977" w:rsidP="00797DA9">
            <w:pPr>
              <w:jc w:val="center"/>
              <w:rPr>
                <w:lang w:val="en-US"/>
              </w:rPr>
            </w:pPr>
            <w:r w:rsidRPr="002867CD">
              <w:rPr>
                <w:lang w:val="en-US"/>
              </w:rPr>
              <w:t>85000</w:t>
            </w:r>
          </w:p>
        </w:tc>
        <w:tc>
          <w:tcPr>
            <w:tcW w:w="2226" w:type="dxa"/>
          </w:tcPr>
          <w:p w14:paraId="0A641BE7" w14:textId="77777777" w:rsidR="00107977" w:rsidRPr="002867CD" w:rsidRDefault="00107977" w:rsidP="00797DA9">
            <w:pPr>
              <w:jc w:val="center"/>
              <w:rPr>
                <w:lang w:val="en-US"/>
              </w:rPr>
            </w:pPr>
            <w:r w:rsidRPr="002867CD">
              <w:rPr>
                <w:lang w:val="en-US"/>
              </w:rPr>
              <w:t>18.00</w:t>
            </w:r>
          </w:p>
        </w:tc>
        <w:tc>
          <w:tcPr>
            <w:tcW w:w="1777" w:type="dxa"/>
          </w:tcPr>
          <w:p w14:paraId="3D8F347A" w14:textId="77777777" w:rsidR="00107977" w:rsidRPr="002867CD" w:rsidRDefault="00107977" w:rsidP="00797DA9">
            <w:pPr>
              <w:jc w:val="center"/>
              <w:rPr>
                <w:lang w:val="en-US"/>
              </w:rPr>
            </w:pPr>
            <w:r w:rsidRPr="002867CD">
              <w:rPr>
                <w:lang w:val="en-US"/>
              </w:rPr>
              <w:t>18.00</w:t>
            </w:r>
          </w:p>
        </w:tc>
        <w:tc>
          <w:tcPr>
            <w:tcW w:w="3060" w:type="dxa"/>
          </w:tcPr>
          <w:p w14:paraId="39DCF1B4" w14:textId="77777777" w:rsidR="00107977" w:rsidRPr="002867CD" w:rsidRDefault="00107977" w:rsidP="00797DA9">
            <w:pPr>
              <w:jc w:val="center"/>
              <w:rPr>
                <w:lang w:val="en-US"/>
              </w:rPr>
            </w:pPr>
            <w:r w:rsidRPr="002867CD">
              <w:rPr>
                <w:lang w:val="en-US"/>
              </w:rPr>
              <w:t>15.00</w:t>
            </w:r>
          </w:p>
        </w:tc>
      </w:tr>
      <w:tr w:rsidR="00107977" w:rsidRPr="002867CD" w14:paraId="5DB4974B" w14:textId="77777777" w:rsidTr="00797DA9">
        <w:trPr>
          <w:trHeight w:val="478"/>
        </w:trPr>
        <w:tc>
          <w:tcPr>
            <w:tcW w:w="2046" w:type="dxa"/>
          </w:tcPr>
          <w:p w14:paraId="3E6ABBEA" w14:textId="77777777" w:rsidR="00107977" w:rsidRPr="002867CD" w:rsidRDefault="00107977" w:rsidP="00797DA9">
            <w:pPr>
              <w:jc w:val="left"/>
              <w:rPr>
                <w:lang w:val="en-US"/>
              </w:rPr>
            </w:pPr>
            <w:r w:rsidRPr="002867CD">
              <w:rPr>
                <w:lang w:val="en-US"/>
              </w:rPr>
              <w:t>Stationary AC - residential</w:t>
            </w:r>
          </w:p>
        </w:tc>
        <w:tc>
          <w:tcPr>
            <w:tcW w:w="2211" w:type="dxa"/>
          </w:tcPr>
          <w:p w14:paraId="1FB7DB0C" w14:textId="77777777" w:rsidR="00107977" w:rsidRPr="002867CD" w:rsidRDefault="00107977" w:rsidP="00797DA9">
            <w:pPr>
              <w:jc w:val="center"/>
              <w:rPr>
                <w:lang w:val="en-US"/>
              </w:rPr>
            </w:pPr>
            <w:r w:rsidRPr="002867CD">
              <w:rPr>
                <w:lang w:val="en-US"/>
              </w:rPr>
              <w:t>85000</w:t>
            </w:r>
          </w:p>
        </w:tc>
        <w:tc>
          <w:tcPr>
            <w:tcW w:w="1606" w:type="dxa"/>
          </w:tcPr>
          <w:p w14:paraId="6B5B296F" w14:textId="77777777" w:rsidR="00107977" w:rsidRPr="002867CD" w:rsidRDefault="00107977" w:rsidP="00797DA9">
            <w:pPr>
              <w:jc w:val="center"/>
              <w:rPr>
                <w:lang w:val="en-US"/>
              </w:rPr>
            </w:pPr>
            <w:r w:rsidRPr="002867CD">
              <w:rPr>
                <w:lang w:val="en-US"/>
              </w:rPr>
              <w:t>105000</w:t>
            </w:r>
          </w:p>
        </w:tc>
        <w:tc>
          <w:tcPr>
            <w:tcW w:w="2226" w:type="dxa"/>
          </w:tcPr>
          <w:p w14:paraId="23516B81" w14:textId="77777777" w:rsidR="00107977" w:rsidRPr="002867CD" w:rsidRDefault="00107977" w:rsidP="00797DA9">
            <w:pPr>
              <w:jc w:val="center"/>
              <w:rPr>
                <w:lang w:val="en-US"/>
              </w:rPr>
            </w:pPr>
            <w:r w:rsidRPr="002867CD">
              <w:rPr>
                <w:lang w:val="en-US"/>
              </w:rPr>
              <w:t>16.00</w:t>
            </w:r>
          </w:p>
        </w:tc>
        <w:tc>
          <w:tcPr>
            <w:tcW w:w="1777" w:type="dxa"/>
          </w:tcPr>
          <w:p w14:paraId="05960829" w14:textId="77777777" w:rsidR="00107977" w:rsidRPr="002867CD" w:rsidRDefault="00107977" w:rsidP="00797DA9">
            <w:pPr>
              <w:jc w:val="center"/>
              <w:rPr>
                <w:lang w:val="en-US"/>
              </w:rPr>
            </w:pPr>
            <w:r w:rsidRPr="002867CD">
              <w:rPr>
                <w:lang w:val="en-US"/>
              </w:rPr>
              <w:t>16.00</w:t>
            </w:r>
          </w:p>
        </w:tc>
        <w:tc>
          <w:tcPr>
            <w:tcW w:w="3060" w:type="dxa"/>
          </w:tcPr>
          <w:p w14:paraId="67C3CDA1" w14:textId="77777777" w:rsidR="00107977" w:rsidRPr="002867CD" w:rsidRDefault="00107977" w:rsidP="00797DA9">
            <w:pPr>
              <w:jc w:val="center"/>
              <w:rPr>
                <w:lang w:val="en-US"/>
              </w:rPr>
            </w:pPr>
            <w:r w:rsidRPr="002867CD">
              <w:rPr>
                <w:lang w:val="en-US"/>
              </w:rPr>
              <w:t>24.00</w:t>
            </w:r>
          </w:p>
        </w:tc>
      </w:tr>
      <w:tr w:rsidR="00107977" w:rsidRPr="002867CD" w14:paraId="1B59A1C2" w14:textId="77777777" w:rsidTr="00797DA9">
        <w:tc>
          <w:tcPr>
            <w:tcW w:w="2046" w:type="dxa"/>
          </w:tcPr>
          <w:p w14:paraId="741CF11C" w14:textId="77777777" w:rsidR="00107977" w:rsidRPr="002867CD" w:rsidRDefault="00107977" w:rsidP="00797DA9">
            <w:pPr>
              <w:jc w:val="left"/>
              <w:rPr>
                <w:lang w:val="en-US"/>
              </w:rPr>
            </w:pPr>
            <w:r w:rsidRPr="002867CD">
              <w:rPr>
                <w:lang w:val="en-US"/>
              </w:rPr>
              <w:t xml:space="preserve">Stationary AC – commercial </w:t>
            </w:r>
          </w:p>
        </w:tc>
        <w:tc>
          <w:tcPr>
            <w:tcW w:w="2211" w:type="dxa"/>
          </w:tcPr>
          <w:p w14:paraId="155AA959" w14:textId="77777777" w:rsidR="00107977" w:rsidRPr="002867CD" w:rsidRDefault="00107977" w:rsidP="00797DA9">
            <w:pPr>
              <w:jc w:val="center"/>
              <w:rPr>
                <w:lang w:val="en-US"/>
              </w:rPr>
            </w:pPr>
            <w:r w:rsidRPr="002867CD">
              <w:rPr>
                <w:lang w:val="en-US"/>
              </w:rPr>
              <w:t>Case by case basis</w:t>
            </w:r>
          </w:p>
        </w:tc>
        <w:tc>
          <w:tcPr>
            <w:tcW w:w="1606" w:type="dxa"/>
          </w:tcPr>
          <w:p w14:paraId="521F7DA5" w14:textId="77777777" w:rsidR="00107977" w:rsidRPr="002867CD" w:rsidRDefault="00107977" w:rsidP="00797DA9">
            <w:pPr>
              <w:jc w:val="center"/>
              <w:rPr>
                <w:lang w:val="en-US"/>
              </w:rPr>
            </w:pPr>
            <w:r w:rsidRPr="002867CD">
              <w:rPr>
                <w:lang w:val="en-US"/>
              </w:rPr>
              <w:t>Case by case basis</w:t>
            </w:r>
          </w:p>
        </w:tc>
        <w:tc>
          <w:tcPr>
            <w:tcW w:w="2226" w:type="dxa"/>
          </w:tcPr>
          <w:p w14:paraId="1D23F344" w14:textId="77777777" w:rsidR="00107977" w:rsidRPr="002867CD" w:rsidRDefault="00107977" w:rsidP="00797DA9">
            <w:pPr>
              <w:jc w:val="center"/>
              <w:rPr>
                <w:lang w:val="en-US"/>
              </w:rPr>
            </w:pPr>
            <w:r w:rsidRPr="002867CD">
              <w:rPr>
                <w:lang w:val="en-US"/>
              </w:rPr>
              <w:t>18.00</w:t>
            </w:r>
          </w:p>
        </w:tc>
        <w:tc>
          <w:tcPr>
            <w:tcW w:w="1777" w:type="dxa"/>
          </w:tcPr>
          <w:p w14:paraId="073846C2" w14:textId="77777777" w:rsidR="00107977" w:rsidRPr="002867CD" w:rsidRDefault="00107977" w:rsidP="00797DA9">
            <w:pPr>
              <w:jc w:val="center"/>
              <w:rPr>
                <w:lang w:val="en-US"/>
              </w:rPr>
            </w:pPr>
            <w:r w:rsidRPr="002867CD">
              <w:rPr>
                <w:lang w:val="en-US"/>
              </w:rPr>
              <w:t>18.00</w:t>
            </w:r>
          </w:p>
        </w:tc>
        <w:tc>
          <w:tcPr>
            <w:tcW w:w="3060" w:type="dxa"/>
          </w:tcPr>
          <w:p w14:paraId="14FF25CB" w14:textId="77777777" w:rsidR="00107977" w:rsidRPr="002867CD" w:rsidRDefault="00107977" w:rsidP="00797DA9">
            <w:pPr>
              <w:jc w:val="center"/>
              <w:rPr>
                <w:lang w:val="en-US"/>
              </w:rPr>
            </w:pPr>
            <w:r w:rsidRPr="002867CD">
              <w:rPr>
                <w:lang w:val="en-US"/>
              </w:rPr>
              <w:t>15.00</w:t>
            </w:r>
          </w:p>
        </w:tc>
      </w:tr>
      <w:tr w:rsidR="00107977" w:rsidRPr="002867CD" w14:paraId="1C37497F" w14:textId="77777777" w:rsidTr="00797DA9">
        <w:tc>
          <w:tcPr>
            <w:tcW w:w="2046" w:type="dxa"/>
          </w:tcPr>
          <w:p w14:paraId="589F4E1E" w14:textId="77777777" w:rsidR="00107977" w:rsidRPr="002867CD" w:rsidRDefault="00107977" w:rsidP="00797DA9">
            <w:pPr>
              <w:jc w:val="left"/>
              <w:rPr>
                <w:lang w:val="en-US"/>
              </w:rPr>
            </w:pPr>
            <w:r w:rsidRPr="002867CD">
              <w:rPr>
                <w:lang w:val="en-US"/>
              </w:rPr>
              <w:t>Industrial/transport refrigeration</w:t>
            </w:r>
          </w:p>
        </w:tc>
        <w:tc>
          <w:tcPr>
            <w:tcW w:w="2211" w:type="dxa"/>
          </w:tcPr>
          <w:p w14:paraId="7284A90A" w14:textId="77777777" w:rsidR="00107977" w:rsidRPr="002867CD" w:rsidRDefault="00107977" w:rsidP="00797DA9">
            <w:pPr>
              <w:jc w:val="center"/>
              <w:rPr>
                <w:lang w:val="en-US"/>
              </w:rPr>
            </w:pPr>
            <w:r w:rsidRPr="002867CD">
              <w:rPr>
                <w:lang w:val="en-US"/>
              </w:rPr>
              <w:t>Case by case basis</w:t>
            </w:r>
          </w:p>
        </w:tc>
        <w:tc>
          <w:tcPr>
            <w:tcW w:w="1606" w:type="dxa"/>
          </w:tcPr>
          <w:p w14:paraId="6655E429" w14:textId="77777777" w:rsidR="00107977" w:rsidRPr="002867CD" w:rsidRDefault="00107977" w:rsidP="00797DA9">
            <w:pPr>
              <w:jc w:val="center"/>
              <w:rPr>
                <w:lang w:val="en-US"/>
              </w:rPr>
            </w:pPr>
            <w:r w:rsidRPr="002867CD">
              <w:rPr>
                <w:lang w:val="en-US"/>
              </w:rPr>
              <w:t>Case by case basis</w:t>
            </w:r>
          </w:p>
        </w:tc>
        <w:tc>
          <w:tcPr>
            <w:tcW w:w="2226" w:type="dxa"/>
          </w:tcPr>
          <w:p w14:paraId="081ED8BB" w14:textId="77777777" w:rsidR="00107977" w:rsidRPr="002867CD" w:rsidRDefault="00107977" w:rsidP="00797DA9">
            <w:pPr>
              <w:jc w:val="center"/>
              <w:rPr>
                <w:lang w:val="en-US"/>
              </w:rPr>
            </w:pPr>
            <w:r w:rsidRPr="002867CD">
              <w:rPr>
                <w:lang w:val="en-US"/>
              </w:rPr>
              <w:t>Case by case basis</w:t>
            </w:r>
          </w:p>
        </w:tc>
        <w:tc>
          <w:tcPr>
            <w:tcW w:w="1777" w:type="dxa"/>
          </w:tcPr>
          <w:p w14:paraId="226D3DA0" w14:textId="77777777" w:rsidR="00107977" w:rsidRPr="002867CD" w:rsidRDefault="00107977" w:rsidP="00797DA9">
            <w:pPr>
              <w:jc w:val="center"/>
              <w:rPr>
                <w:lang w:val="en-US"/>
              </w:rPr>
            </w:pPr>
            <w:r w:rsidRPr="002867CD">
              <w:rPr>
                <w:lang w:val="en-US"/>
              </w:rPr>
              <w:t>Case by case basis</w:t>
            </w:r>
          </w:p>
        </w:tc>
        <w:tc>
          <w:tcPr>
            <w:tcW w:w="3060" w:type="dxa"/>
          </w:tcPr>
          <w:p w14:paraId="53E1E5BC" w14:textId="77777777" w:rsidR="00107977" w:rsidRPr="002867CD" w:rsidRDefault="00107977" w:rsidP="00797DA9">
            <w:pPr>
              <w:jc w:val="center"/>
              <w:rPr>
                <w:lang w:val="en-US"/>
              </w:rPr>
            </w:pPr>
            <w:r w:rsidRPr="002867CD">
              <w:rPr>
                <w:lang w:val="en-US"/>
              </w:rPr>
              <w:t>Case by case basis</w:t>
            </w:r>
          </w:p>
        </w:tc>
      </w:tr>
      <w:tr w:rsidR="00107977" w:rsidRPr="002867CD" w14:paraId="36FEDE4F" w14:textId="77777777" w:rsidTr="00797DA9">
        <w:trPr>
          <w:trHeight w:val="283"/>
        </w:trPr>
        <w:tc>
          <w:tcPr>
            <w:tcW w:w="2046" w:type="dxa"/>
          </w:tcPr>
          <w:p w14:paraId="100B4BB5" w14:textId="77777777" w:rsidR="00107977" w:rsidRPr="002867CD" w:rsidRDefault="00107977" w:rsidP="00797DA9">
            <w:pPr>
              <w:jc w:val="left"/>
              <w:rPr>
                <w:lang w:val="en-US"/>
              </w:rPr>
            </w:pPr>
            <w:r w:rsidRPr="002867CD">
              <w:rPr>
                <w:highlight w:val="green"/>
                <w:lang w:val="en-US"/>
              </w:rPr>
              <w:t>PU Foam</w:t>
            </w:r>
          </w:p>
        </w:tc>
        <w:tc>
          <w:tcPr>
            <w:tcW w:w="2211" w:type="dxa"/>
          </w:tcPr>
          <w:p w14:paraId="1C640592" w14:textId="77777777" w:rsidR="00107977" w:rsidRPr="002867CD" w:rsidRDefault="00107977" w:rsidP="00797DA9">
            <w:pPr>
              <w:jc w:val="center"/>
              <w:rPr>
                <w:lang w:val="en-US"/>
              </w:rPr>
            </w:pPr>
            <w:r w:rsidRPr="002867CD">
              <w:rPr>
                <w:lang w:val="en-US"/>
              </w:rPr>
              <w:t>14</w:t>
            </w:r>
          </w:p>
        </w:tc>
        <w:tc>
          <w:tcPr>
            <w:tcW w:w="1606" w:type="dxa"/>
          </w:tcPr>
          <w:p w14:paraId="443668F6" w14:textId="77777777" w:rsidR="00107977" w:rsidRPr="002867CD" w:rsidRDefault="00107977" w:rsidP="00797DA9">
            <w:pPr>
              <w:jc w:val="center"/>
              <w:rPr>
                <w:lang w:val="en-US"/>
              </w:rPr>
            </w:pPr>
            <w:r w:rsidRPr="002867CD">
              <w:rPr>
                <w:lang w:val="en-US"/>
              </w:rPr>
              <w:t>14</w:t>
            </w:r>
          </w:p>
        </w:tc>
        <w:tc>
          <w:tcPr>
            <w:tcW w:w="2226" w:type="dxa"/>
          </w:tcPr>
          <w:p w14:paraId="766584AC" w14:textId="77777777" w:rsidR="00107977" w:rsidRPr="002867CD" w:rsidRDefault="00107977" w:rsidP="00797DA9">
            <w:pPr>
              <w:jc w:val="center"/>
              <w:rPr>
                <w:highlight w:val="green"/>
                <w:lang w:val="en-US"/>
              </w:rPr>
            </w:pPr>
            <w:r w:rsidRPr="002867CD">
              <w:rPr>
                <w:highlight w:val="green"/>
                <w:lang w:val="en-US"/>
              </w:rPr>
              <w:t>9.0</w:t>
            </w:r>
          </w:p>
        </w:tc>
        <w:tc>
          <w:tcPr>
            <w:tcW w:w="1777" w:type="dxa"/>
          </w:tcPr>
          <w:p w14:paraId="2F9FBC7C" w14:textId="77777777" w:rsidR="00107977" w:rsidRPr="002867CD" w:rsidRDefault="00107977" w:rsidP="00797DA9">
            <w:pPr>
              <w:jc w:val="center"/>
              <w:rPr>
                <w:highlight w:val="green"/>
                <w:lang w:val="en-US"/>
              </w:rPr>
            </w:pPr>
            <w:r w:rsidRPr="002867CD">
              <w:rPr>
                <w:highlight w:val="green"/>
                <w:lang w:val="en-US"/>
              </w:rPr>
              <w:t>9.00</w:t>
            </w:r>
          </w:p>
        </w:tc>
        <w:tc>
          <w:tcPr>
            <w:tcW w:w="3060" w:type="dxa"/>
          </w:tcPr>
          <w:p w14:paraId="1E0EC095" w14:textId="77777777" w:rsidR="00107977" w:rsidRPr="002867CD" w:rsidRDefault="00107977" w:rsidP="00797DA9">
            <w:pPr>
              <w:jc w:val="center"/>
              <w:rPr>
                <w:lang w:val="en-US"/>
              </w:rPr>
            </w:pPr>
            <w:r w:rsidRPr="002867CD">
              <w:rPr>
                <w:lang w:val="en-US"/>
              </w:rPr>
              <w:t>15.00</w:t>
            </w:r>
          </w:p>
        </w:tc>
      </w:tr>
      <w:tr w:rsidR="00107977" w:rsidRPr="002867CD" w14:paraId="747D0DD1" w14:textId="77777777" w:rsidTr="00797DA9">
        <w:tc>
          <w:tcPr>
            <w:tcW w:w="2046" w:type="dxa"/>
          </w:tcPr>
          <w:p w14:paraId="6AA34FCB" w14:textId="77777777" w:rsidR="00107977" w:rsidRPr="002867CD" w:rsidRDefault="00107977" w:rsidP="00797DA9">
            <w:pPr>
              <w:jc w:val="left"/>
              <w:rPr>
                <w:lang w:val="en-US"/>
              </w:rPr>
            </w:pPr>
            <w:r w:rsidRPr="002867CD">
              <w:rPr>
                <w:lang w:val="en-US"/>
              </w:rPr>
              <w:t>All other sectors</w:t>
            </w:r>
          </w:p>
        </w:tc>
        <w:tc>
          <w:tcPr>
            <w:tcW w:w="2211" w:type="dxa"/>
          </w:tcPr>
          <w:p w14:paraId="16390972" w14:textId="77777777" w:rsidR="00107977" w:rsidRPr="002867CD" w:rsidRDefault="00107977" w:rsidP="00797DA9">
            <w:pPr>
              <w:jc w:val="center"/>
              <w:rPr>
                <w:lang w:val="en-US"/>
              </w:rPr>
            </w:pPr>
            <w:r w:rsidRPr="002867CD">
              <w:rPr>
                <w:lang w:val="en-US"/>
              </w:rPr>
              <w:t>Case by case basis</w:t>
            </w:r>
          </w:p>
        </w:tc>
        <w:tc>
          <w:tcPr>
            <w:tcW w:w="1606" w:type="dxa"/>
          </w:tcPr>
          <w:p w14:paraId="252C2711" w14:textId="77777777" w:rsidR="00107977" w:rsidRPr="002867CD" w:rsidRDefault="00107977" w:rsidP="00797DA9">
            <w:pPr>
              <w:jc w:val="center"/>
              <w:rPr>
                <w:lang w:val="en-US"/>
              </w:rPr>
            </w:pPr>
            <w:r w:rsidRPr="002867CD">
              <w:rPr>
                <w:lang w:val="en-US"/>
              </w:rPr>
              <w:t>Case by case basis</w:t>
            </w:r>
          </w:p>
        </w:tc>
        <w:tc>
          <w:tcPr>
            <w:tcW w:w="2226" w:type="dxa"/>
          </w:tcPr>
          <w:p w14:paraId="29E38A0C" w14:textId="77777777" w:rsidR="00107977" w:rsidRPr="002867CD" w:rsidRDefault="00107977" w:rsidP="00797DA9">
            <w:pPr>
              <w:jc w:val="center"/>
              <w:rPr>
                <w:lang w:val="en-US"/>
              </w:rPr>
            </w:pPr>
            <w:r w:rsidRPr="002867CD">
              <w:rPr>
                <w:lang w:val="en-US"/>
              </w:rPr>
              <w:t>Case by case basis</w:t>
            </w:r>
          </w:p>
        </w:tc>
        <w:tc>
          <w:tcPr>
            <w:tcW w:w="1777" w:type="dxa"/>
          </w:tcPr>
          <w:p w14:paraId="1933C428" w14:textId="77777777" w:rsidR="00107977" w:rsidRPr="002867CD" w:rsidRDefault="00107977" w:rsidP="00797DA9">
            <w:pPr>
              <w:jc w:val="center"/>
              <w:rPr>
                <w:lang w:val="en-US"/>
              </w:rPr>
            </w:pPr>
            <w:r w:rsidRPr="002867CD">
              <w:rPr>
                <w:lang w:val="en-US"/>
              </w:rPr>
              <w:t>Case by case basis</w:t>
            </w:r>
          </w:p>
        </w:tc>
        <w:tc>
          <w:tcPr>
            <w:tcW w:w="3060" w:type="dxa"/>
          </w:tcPr>
          <w:p w14:paraId="71F8E52E" w14:textId="77777777" w:rsidR="00107977" w:rsidRPr="002867CD" w:rsidRDefault="00107977" w:rsidP="00797DA9">
            <w:pPr>
              <w:jc w:val="center"/>
              <w:rPr>
                <w:lang w:val="en-US"/>
              </w:rPr>
            </w:pPr>
            <w:r w:rsidRPr="002867CD">
              <w:rPr>
                <w:lang w:val="en-US"/>
              </w:rPr>
              <w:t>Case by case basis</w:t>
            </w:r>
          </w:p>
        </w:tc>
      </w:tr>
    </w:tbl>
    <w:p w14:paraId="7C8811B8" w14:textId="77777777" w:rsidR="00107977" w:rsidRPr="002867CD" w:rsidRDefault="00107977" w:rsidP="00107977">
      <w:pPr>
        <w:rPr>
          <w:lang w:val="en-US"/>
        </w:rPr>
      </w:pPr>
      <w:r w:rsidRPr="002867CD">
        <w:rPr>
          <w:lang w:val="en-US"/>
        </w:rPr>
        <w:br w:type="textWrapping" w:clear="all"/>
      </w:r>
    </w:p>
    <w:p w14:paraId="25B4C896" w14:textId="77777777" w:rsidR="00DA0406" w:rsidRDefault="00DA0406" w:rsidP="004E7F9C"/>
    <w:p w14:paraId="7CAD40D4" w14:textId="77777777" w:rsidR="00DA0406" w:rsidRDefault="00DA0406" w:rsidP="004E7F9C"/>
    <w:p w14:paraId="2F876AB5" w14:textId="77777777" w:rsidR="00107977" w:rsidRDefault="00107977" w:rsidP="004E7F9C">
      <w:pPr>
        <w:sectPr w:rsidR="00107977" w:rsidSect="00780419">
          <w:headerReference w:type="default" r:id="rId24"/>
          <w:footnotePr>
            <w:numRestart w:val="eachSect"/>
          </w:footnotePr>
          <w:pgSz w:w="15840" w:h="12240" w:orient="landscape" w:code="1"/>
          <w:pgMar w:top="1440" w:right="720" w:bottom="1440" w:left="864" w:header="720" w:footer="475" w:gutter="0"/>
          <w:pgNumType w:start="1"/>
          <w:cols w:space="720"/>
          <w:docGrid w:linePitch="299"/>
        </w:sectPr>
      </w:pPr>
    </w:p>
    <w:p w14:paraId="2AA1D551" w14:textId="34F126DB" w:rsidR="00DA0406" w:rsidRPr="00E969BC" w:rsidRDefault="00E969BC" w:rsidP="00E969BC">
      <w:pPr>
        <w:jc w:val="center"/>
        <w:rPr>
          <w:b/>
          <w:bCs/>
        </w:rPr>
      </w:pPr>
      <w:r w:rsidRPr="00E969BC">
        <w:rPr>
          <w:b/>
          <w:bCs/>
        </w:rPr>
        <w:lastRenderedPageBreak/>
        <w:t>Annex IV</w:t>
      </w:r>
    </w:p>
    <w:p w14:paraId="464F0182" w14:textId="77777777" w:rsidR="00DA0406" w:rsidRDefault="00DA0406" w:rsidP="004E7F9C"/>
    <w:p w14:paraId="234072F2" w14:textId="77777777" w:rsidR="00E969BC" w:rsidRDefault="00E969BC" w:rsidP="00E969BC">
      <w:pPr>
        <w:spacing w:after="120"/>
        <w:jc w:val="center"/>
        <w:rPr>
          <w:b/>
          <w:bCs/>
        </w:rPr>
      </w:pPr>
      <w:r>
        <w:rPr>
          <w:b/>
          <w:bCs/>
        </w:rPr>
        <w:t>WORKING TEXT ON THE DEFINITION OF</w:t>
      </w:r>
      <w:r>
        <w:rPr>
          <w:b/>
          <w:bCs/>
        </w:rPr>
        <w:br/>
        <w:t>SMALL AND MEDIUM-SIZED ENTERPRISES</w:t>
      </w:r>
    </w:p>
    <w:p w14:paraId="7A8678C4" w14:textId="77777777" w:rsidR="00E969BC" w:rsidRPr="00B44D30" w:rsidRDefault="00E969BC" w:rsidP="00E969BC">
      <w:pPr>
        <w:spacing w:after="360"/>
        <w:jc w:val="center"/>
        <w:rPr>
          <w:bCs/>
        </w:rPr>
      </w:pPr>
      <w:r w:rsidRPr="00B44D30">
        <w:rPr>
          <w:bCs/>
        </w:rPr>
        <w:t>(Annex LXII of document UNEP/OzL.Pro/ExCom/93/105)</w:t>
      </w:r>
    </w:p>
    <w:p w14:paraId="13D3E2A7" w14:textId="77777777" w:rsidR="00E969BC" w:rsidRDefault="00E969BC" w:rsidP="00B16777">
      <w:pPr>
        <w:pStyle w:val="Heading1"/>
        <w:numPr>
          <w:ilvl w:val="0"/>
          <w:numId w:val="24"/>
        </w:numPr>
        <w:tabs>
          <w:tab w:val="clear" w:pos="0"/>
          <w:tab w:val="num" w:pos="720"/>
        </w:tabs>
        <w:rPr>
          <w:rFonts w:eastAsia="SimSun"/>
        </w:rPr>
      </w:pPr>
      <w:r>
        <w:rPr>
          <w:rFonts w:eastAsia="SimSun"/>
        </w:rPr>
        <w:t>The Executive Committee may wish to consider defining small and medium-sized enterprises (SMEs) in the commercial refrigeration and air-conditioning (RAC) manufacturing sector as enterprises with HFC consumption of [small between 1-10 mt] [medium between 10-15 mt] [micro &lt;1 mt] [7 mt] [15 mt] or less manufacturing commercial air-conditioning (AC) or commercial refrigeration equipment, on the understanding that:</w:t>
      </w:r>
    </w:p>
    <w:p w14:paraId="42AAE66D" w14:textId="77777777" w:rsidR="00E969BC" w:rsidRDefault="00E969BC" w:rsidP="00B16777">
      <w:pPr>
        <w:pStyle w:val="Heading2"/>
        <w:numPr>
          <w:ilvl w:val="1"/>
          <w:numId w:val="21"/>
        </w:numPr>
        <w:tabs>
          <w:tab w:val="clear" w:pos="0"/>
          <w:tab w:val="num" w:pos="1440"/>
        </w:tabs>
        <w:rPr>
          <w:rFonts w:eastAsia="SimSun"/>
        </w:rPr>
      </w:pPr>
      <w:r>
        <w:rPr>
          <w:rFonts w:eastAsia="SimSun"/>
        </w:rPr>
        <w:t>The entirety of HFC consumption by the enterprise will be considered, rather than just consumption of the line or the process to be converted;</w:t>
      </w:r>
    </w:p>
    <w:p w14:paraId="3156C18F" w14:textId="77777777" w:rsidR="00E969BC" w:rsidRDefault="00E969BC" w:rsidP="00B16777">
      <w:pPr>
        <w:pStyle w:val="Heading2"/>
        <w:numPr>
          <w:ilvl w:val="1"/>
          <w:numId w:val="21"/>
        </w:numPr>
        <w:tabs>
          <w:tab w:val="clear" w:pos="0"/>
          <w:tab w:val="num" w:pos="1440"/>
        </w:tabs>
        <w:rPr>
          <w:rFonts w:eastAsia="SimSun"/>
        </w:rPr>
      </w:pPr>
      <w:r>
        <w:rPr>
          <w:rFonts w:eastAsia="SimSun"/>
        </w:rPr>
        <w:t xml:space="preserve">An enterprise that manufactures more than 40,000 units of equipment per year, </w:t>
      </w:r>
      <w:r>
        <w:t>irrespective of whether all such equipment is</w:t>
      </w:r>
      <w:r>
        <w:rPr>
          <w:rFonts w:eastAsia="SimSun"/>
        </w:rPr>
        <w:t xml:space="preserve"> HFC-based, will not be considered an SME for funding purposes; and</w:t>
      </w:r>
    </w:p>
    <w:p w14:paraId="684C5C3F" w14:textId="77777777" w:rsidR="00E969BC" w:rsidRDefault="00E969BC" w:rsidP="00B16777">
      <w:pPr>
        <w:pStyle w:val="Heading2"/>
        <w:widowControl/>
        <w:numPr>
          <w:ilvl w:val="1"/>
          <w:numId w:val="21"/>
        </w:numPr>
        <w:tabs>
          <w:tab w:val="clear" w:pos="0"/>
          <w:tab w:val="num" w:pos="1440"/>
        </w:tabs>
        <w:rPr>
          <w:rFonts w:eastAsia="SimSun"/>
        </w:rPr>
      </w:pPr>
      <w:r>
        <w:rPr>
          <w:rFonts w:eastAsia="SimSun"/>
        </w:rPr>
        <w:t>[An enterprise will not be considered an SME if it is owned or partly owned by a multinational corporation, regardless of whether that corporation is owned by an Article 5 country, or if it exports more than 10 per cent of its products to non-Article 5 countries];</w:t>
      </w:r>
    </w:p>
    <w:p w14:paraId="547BB9CC" w14:textId="77777777" w:rsidR="00E969BC" w:rsidRDefault="00E969BC" w:rsidP="00B16777">
      <w:pPr>
        <w:pStyle w:val="Heading2"/>
        <w:numPr>
          <w:ilvl w:val="1"/>
          <w:numId w:val="21"/>
        </w:numPr>
        <w:tabs>
          <w:tab w:val="clear" w:pos="0"/>
          <w:tab w:val="num" w:pos="1440"/>
        </w:tabs>
        <w:rPr>
          <w:rFonts w:eastAsia="SimSun"/>
        </w:rPr>
      </w:pPr>
      <w:r>
        <w:rPr>
          <w:rFonts w:eastAsia="SimSun"/>
        </w:rPr>
        <w:t>[Micro</w:t>
      </w:r>
      <w:r>
        <w:rPr>
          <w:rFonts w:eastAsia="SimSun"/>
        </w:rPr>
        <w:noBreakHyphen/>
        <w:t>enterprises which are enterprises with consumption of less than 1 mt that are part of an umbrella project could receive funding up to twice the agreed cost</w:t>
      </w:r>
      <w:r>
        <w:rPr>
          <w:rFonts w:eastAsia="SimSun"/>
        </w:rPr>
        <w:noBreakHyphen/>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366030E4" w14:textId="77777777" w:rsidR="00E969BC" w:rsidRDefault="00E969BC" w:rsidP="004E7F9C"/>
    <w:p w14:paraId="0AC6559E" w14:textId="77777777" w:rsidR="00DA0406" w:rsidRDefault="00DA0406" w:rsidP="004E7F9C"/>
    <w:p w14:paraId="2A362A86" w14:textId="77777777" w:rsidR="00DA0406" w:rsidRDefault="00DA0406" w:rsidP="004E7F9C"/>
    <w:p w14:paraId="362C4D85" w14:textId="77777777" w:rsidR="00E969BC" w:rsidRDefault="00E969BC" w:rsidP="004E7F9C">
      <w:pPr>
        <w:sectPr w:rsidR="00E969BC" w:rsidSect="00E969BC">
          <w:headerReference w:type="default" r:id="rId25"/>
          <w:pgSz w:w="12240" w:h="15840" w:code="1"/>
          <w:pgMar w:top="720" w:right="1440" w:bottom="864" w:left="1440" w:header="720" w:footer="475" w:gutter="0"/>
          <w:pgNumType w:start="1"/>
          <w:cols w:space="720"/>
          <w:docGrid w:linePitch="299"/>
        </w:sectPr>
      </w:pPr>
    </w:p>
    <w:p w14:paraId="63CD9629" w14:textId="5B664618" w:rsidR="00DA0406" w:rsidRDefault="000D62A9" w:rsidP="000D62A9">
      <w:pPr>
        <w:spacing w:after="240"/>
        <w:jc w:val="center"/>
        <w:rPr>
          <w:b/>
          <w:bCs/>
        </w:rPr>
      </w:pPr>
      <w:r w:rsidRPr="000D62A9">
        <w:rPr>
          <w:b/>
          <w:bCs/>
        </w:rPr>
        <w:lastRenderedPageBreak/>
        <w:t>Annex V</w:t>
      </w:r>
    </w:p>
    <w:p w14:paraId="3FEDEF07" w14:textId="77777777" w:rsidR="000D62A9" w:rsidRDefault="000D62A9" w:rsidP="000D62A9">
      <w:pPr>
        <w:spacing w:after="120"/>
        <w:jc w:val="center"/>
        <w:rPr>
          <w:b/>
        </w:rPr>
      </w:pPr>
      <w:r>
        <w:rPr>
          <w:b/>
        </w:rPr>
        <w:t>WORKING TEXT ON THE STARTING POINT</w:t>
      </w:r>
      <w:r>
        <w:rPr>
          <w:b/>
        </w:rPr>
        <w:br/>
        <w:t>FOR SUSTAINED AGGREGATE REDUCTIONS IN HFC CONSUMPTION</w:t>
      </w:r>
    </w:p>
    <w:p w14:paraId="25F7C273" w14:textId="77777777" w:rsidR="000D62A9" w:rsidRDefault="000D62A9" w:rsidP="000D62A9">
      <w:pPr>
        <w:spacing w:before="120"/>
        <w:jc w:val="center"/>
        <w:rPr>
          <w:b/>
        </w:rPr>
      </w:pPr>
      <w:r>
        <w:rPr>
          <w:b/>
        </w:rPr>
        <w:t>Submitted by the Government of Australia</w:t>
      </w:r>
    </w:p>
    <w:p w14:paraId="2CEB86A0" w14:textId="77777777" w:rsidR="000D62A9" w:rsidRDefault="000D62A9" w:rsidP="000D62A9">
      <w:pPr>
        <w:spacing w:before="120" w:after="360"/>
        <w:jc w:val="center"/>
      </w:pPr>
      <w:r>
        <w:rPr>
          <w:bCs/>
        </w:rPr>
        <w:t>(Annex LXII of document UNEP/OzL.Pro/ExCom/93/105)</w:t>
      </w:r>
    </w:p>
    <w:p w14:paraId="62988196" w14:textId="77777777" w:rsidR="000D62A9" w:rsidRDefault="000D62A9" w:rsidP="00B16777">
      <w:pPr>
        <w:pStyle w:val="Heading1"/>
        <w:numPr>
          <w:ilvl w:val="0"/>
          <w:numId w:val="27"/>
        </w:numPr>
      </w:pPr>
      <w:r>
        <w:t xml:space="preserve">The Executive Committee </w:t>
      </w:r>
      <w:r w:rsidRPr="00B54090">
        <w:rPr>
          <w:u w:val="single"/>
        </w:rPr>
        <w:t>decided</w:t>
      </w:r>
      <w:r>
        <w:t>:</w:t>
      </w:r>
    </w:p>
    <w:p w14:paraId="0FB0530D" w14:textId="77777777" w:rsidR="000D62A9" w:rsidRDefault="000D62A9" w:rsidP="00B16777">
      <w:pPr>
        <w:pStyle w:val="Heading2"/>
        <w:numPr>
          <w:ilvl w:val="1"/>
          <w:numId w:val="21"/>
        </w:numPr>
        <w:tabs>
          <w:tab w:val="clear" w:pos="0"/>
          <w:tab w:val="num" w:pos="1440"/>
        </w:tabs>
      </w:pPr>
      <w:r>
        <w:t>To note the paper on the starting point for sustained aggregate reductions in HFC consumption contained in document UNEP/OzL.Pro/ExC</w:t>
      </w:r>
      <w:r>
        <w:rPr>
          <w:color w:val="000000"/>
        </w:rPr>
        <w:t xml:space="preserve">om </w:t>
      </w:r>
      <w:r>
        <w:t>93/97;</w:t>
      </w:r>
    </w:p>
    <w:p w14:paraId="7A6EE15A" w14:textId="77777777" w:rsidR="000D62A9" w:rsidRDefault="000D62A9" w:rsidP="00B16777">
      <w:pPr>
        <w:pStyle w:val="Heading2"/>
        <w:numPr>
          <w:ilvl w:val="1"/>
          <w:numId w:val="21"/>
        </w:numPr>
        <w:tabs>
          <w:tab w:val="clear" w:pos="0"/>
          <w:tab w:val="num" w:pos="1440"/>
        </w:tabs>
      </w:pPr>
      <w:r>
        <w:t>That the unit of measurement for the starting point would be CO</w:t>
      </w:r>
      <w:r>
        <w:rPr>
          <w:vertAlign w:val="subscript"/>
        </w:rPr>
        <w:t>2</w:t>
      </w:r>
      <w:r>
        <w:t>-equivalent tonnes, on the understanding that the reductions from the starting point would be accounted for in accordance with the approach outlined in paragraphs 8 to 15 of document UNEP/OzL.Pro/ExCom 93/97;</w:t>
      </w:r>
    </w:p>
    <w:p w14:paraId="0AC82C6A" w14:textId="77777777" w:rsidR="000D62A9" w:rsidRDefault="000D62A9" w:rsidP="00B16777">
      <w:pPr>
        <w:pStyle w:val="Heading2"/>
        <w:numPr>
          <w:ilvl w:val="1"/>
          <w:numId w:val="21"/>
        </w:numPr>
        <w:tabs>
          <w:tab w:val="clear" w:pos="0"/>
          <w:tab w:val="num" w:pos="1440"/>
        </w:tabs>
      </w:pPr>
      <w:r>
        <w:t>That the quantities of HFCs with lower global-warming potential phased in by enterprises under manufacturing conversions supported by the Multilateral Fund would be eligible for funding if necessary for the country concerned to meet the final HFC phase</w:t>
      </w:r>
      <w:r>
        <w:noBreakHyphen/>
        <w:t>down step, irrespective of whether the country had sufficient remaining consumption eligible for funding, in line with paragraph 18(e) of decision XXVIII/2 and the agreed eligibility requirements of the Multilateral Fund;</w:t>
      </w:r>
    </w:p>
    <w:p w14:paraId="3C5C9595" w14:textId="77777777" w:rsidR="000D62A9" w:rsidRDefault="000D62A9" w:rsidP="00B16777">
      <w:pPr>
        <w:pStyle w:val="Heading2"/>
        <w:numPr>
          <w:ilvl w:val="1"/>
          <w:numId w:val="21"/>
        </w:numPr>
        <w:tabs>
          <w:tab w:val="clear" w:pos="0"/>
          <w:tab w:val="num" w:pos="1440"/>
        </w:tabs>
      </w:pPr>
      <w:r>
        <w:t>That during each stage of a Kigali HFC implementation plan for a country with HFC consumption in the manufacturing sector, the bilateral and implementing agencies concerned would identify and report on any HFC consumption at ineligible enterprises, ineligible consumption, and HFC consumption phased out in manufacturing enterprises without assistance from the Multilateral Fund; and</w:t>
      </w:r>
    </w:p>
    <w:p w14:paraId="46E33C03" w14:textId="77777777" w:rsidR="000D62A9" w:rsidRDefault="000D62A9" w:rsidP="00B16777">
      <w:pPr>
        <w:pStyle w:val="Heading2"/>
        <w:numPr>
          <w:ilvl w:val="1"/>
          <w:numId w:val="21"/>
        </w:numPr>
        <w:tabs>
          <w:tab w:val="clear" w:pos="0"/>
          <w:tab w:val="num" w:pos="1440"/>
        </w:tabs>
        <w:rPr>
          <w:lang w:val="en-US"/>
        </w:rPr>
      </w:pPr>
      <w:r>
        <w:t>To note that, [as was the case with the HCFC cost guidelines], for low</w:t>
      </w:r>
      <w:r>
        <w:noBreakHyphen/>
        <w:t>volume</w:t>
      </w:r>
      <w:r>
        <w:noBreakHyphen/>
        <w:t>consuming countries with consumption in the servicing sector only, no starting point would be applied as funding would be based on the modality represented by the table contained in decision 92/37.</w:t>
      </w:r>
    </w:p>
    <w:p w14:paraId="1682127D" w14:textId="77777777" w:rsidR="000D62A9" w:rsidRPr="00BA60E9" w:rsidRDefault="000D62A9" w:rsidP="000D62A9">
      <w:pPr>
        <w:ind w:left="851"/>
        <w:rPr>
          <w:lang w:val="en-US"/>
        </w:rPr>
      </w:pPr>
    </w:p>
    <w:p w14:paraId="61922DA5" w14:textId="77777777" w:rsidR="000D62A9" w:rsidRPr="000D62A9" w:rsidRDefault="000D62A9" w:rsidP="000D62A9">
      <w:pPr>
        <w:jc w:val="center"/>
        <w:rPr>
          <w:b/>
          <w:bCs/>
          <w:lang w:val="en-US"/>
        </w:rPr>
      </w:pPr>
    </w:p>
    <w:p w14:paraId="51B540EA" w14:textId="77777777" w:rsidR="00DA0406" w:rsidRDefault="00DA0406" w:rsidP="004E7F9C"/>
    <w:p w14:paraId="52927977" w14:textId="77777777" w:rsidR="00DA0406" w:rsidRDefault="00DA0406" w:rsidP="004E7F9C"/>
    <w:p w14:paraId="43B5CA81" w14:textId="77777777" w:rsidR="00DA0406" w:rsidRDefault="00DA0406" w:rsidP="004E7F9C"/>
    <w:p w14:paraId="2324344C" w14:textId="77777777" w:rsidR="00AB2ADE" w:rsidRDefault="00AB2ADE" w:rsidP="004E7F9C">
      <w:pPr>
        <w:sectPr w:rsidR="00AB2ADE" w:rsidSect="00E969BC">
          <w:headerReference w:type="default" r:id="rId26"/>
          <w:pgSz w:w="12240" w:h="15840" w:code="1"/>
          <w:pgMar w:top="720" w:right="1440" w:bottom="864" w:left="1440" w:header="720" w:footer="475" w:gutter="0"/>
          <w:pgNumType w:start="1"/>
          <w:cols w:space="720"/>
          <w:docGrid w:linePitch="299"/>
        </w:sectPr>
      </w:pPr>
    </w:p>
    <w:p w14:paraId="492C11EA" w14:textId="4B0DCD79" w:rsidR="00AB2ADE" w:rsidRDefault="00AB2ADE" w:rsidP="00AB2ADE">
      <w:pPr>
        <w:widowControl w:val="0"/>
        <w:tabs>
          <w:tab w:val="left" w:pos="8280"/>
        </w:tabs>
        <w:spacing w:after="240"/>
        <w:jc w:val="center"/>
        <w:rPr>
          <w:b/>
        </w:rPr>
      </w:pPr>
      <w:r>
        <w:rPr>
          <w:b/>
        </w:rPr>
        <w:lastRenderedPageBreak/>
        <w:t>Annex V</w:t>
      </w:r>
      <w:r w:rsidR="00FB0548">
        <w:rPr>
          <w:b/>
        </w:rPr>
        <w:t>I</w:t>
      </w:r>
    </w:p>
    <w:p w14:paraId="3AB812C1" w14:textId="77777777" w:rsidR="00AB2ADE" w:rsidRDefault="00AB2ADE" w:rsidP="00AB2ADE">
      <w:pPr>
        <w:widowControl w:val="0"/>
        <w:tabs>
          <w:tab w:val="left" w:pos="8280"/>
        </w:tabs>
        <w:jc w:val="center"/>
        <w:rPr>
          <w:b/>
        </w:rPr>
      </w:pPr>
      <w:r>
        <w:rPr>
          <w:b/>
        </w:rPr>
        <w:t>DRAFT TEMPLATE OF THE COST GUIDELINES FOR THE PHASE-DOWN OF HFCs</w:t>
      </w:r>
    </w:p>
    <w:p w14:paraId="42B43A4C" w14:textId="41166C61" w:rsidR="00AB2ADE" w:rsidRDefault="00AB2ADE" w:rsidP="00AB2ADE">
      <w:pPr>
        <w:widowControl w:val="0"/>
        <w:shd w:val="clear" w:color="auto" w:fill="FFFFFF" w:themeFill="background1"/>
        <w:tabs>
          <w:tab w:val="left" w:pos="8280"/>
        </w:tabs>
        <w:spacing w:before="120" w:after="240"/>
        <w:jc w:val="center"/>
        <w:rPr>
          <w:b/>
          <w:bCs/>
        </w:rPr>
      </w:pPr>
      <w:r>
        <w:rPr>
          <w:b/>
        </w:rPr>
        <w:t>(</w:t>
      </w:r>
      <w:r>
        <w:rPr>
          <w:b/>
          <w:bCs/>
        </w:rPr>
        <w:t>As of the 9</w:t>
      </w:r>
      <w:r w:rsidR="00D6792E">
        <w:rPr>
          <w:b/>
          <w:bCs/>
        </w:rPr>
        <w:t>4</w:t>
      </w:r>
      <w:r w:rsidR="00D6792E" w:rsidRPr="00D6792E">
        <w:rPr>
          <w:b/>
          <w:bCs/>
          <w:vertAlign w:val="superscript"/>
        </w:rPr>
        <w:t>th</w:t>
      </w:r>
      <w:r w:rsidR="00D6792E">
        <w:rPr>
          <w:b/>
          <w:bCs/>
        </w:rPr>
        <w:t xml:space="preserve"> </w:t>
      </w:r>
      <w:r>
        <w:rPr>
          <w:b/>
          <w:bCs/>
        </w:rPr>
        <w:t>meeting)</w:t>
      </w:r>
    </w:p>
    <w:p w14:paraId="172D5AB1" w14:textId="77777777" w:rsidR="00AB2ADE" w:rsidRDefault="00AB2ADE" w:rsidP="00AB2ADE">
      <w:pPr>
        <w:widowControl w:val="0"/>
        <w:spacing w:after="240"/>
        <w:rPr>
          <w:u w:val="single"/>
        </w:rPr>
      </w:pPr>
      <w:r>
        <w:rPr>
          <w:u w:val="single"/>
        </w:rPr>
        <w:t>Background</w:t>
      </w:r>
    </w:p>
    <w:p w14:paraId="41FCED0D" w14:textId="77777777" w:rsidR="00AB2ADE" w:rsidRDefault="00AB2ADE" w:rsidP="00B16777">
      <w:pPr>
        <w:pStyle w:val="Heading1"/>
        <w:numPr>
          <w:ilvl w:val="0"/>
          <w:numId w:val="28"/>
        </w:numPr>
      </w:pPr>
      <w:r>
        <w:t>The present annex contains the draft cost guidelines for the phase-down of HFCs based on the relevant elements of decision XXVIII/2 agreed by the Parties at their Twenty-Eighth Meeting. These draft cost guidelines contain elements agreed at the 78</w:t>
      </w:r>
      <w:r w:rsidRPr="00B54090">
        <w:rPr>
          <w:vertAlign w:val="superscript"/>
        </w:rPr>
        <w:t>th</w:t>
      </w:r>
      <w:r>
        <w:t xml:space="preserve"> and subsequent meetings of the Executive Committee and will be updated pursuant to further discussions at future meetings of the Executive Committee.</w:t>
      </w:r>
    </w:p>
    <w:p w14:paraId="1F1EE0C5" w14:textId="77777777" w:rsidR="00AB2ADE" w:rsidRDefault="00AB2ADE" w:rsidP="00AB2ADE">
      <w:pPr>
        <w:widowControl w:val="0"/>
        <w:spacing w:after="240"/>
        <w:rPr>
          <w:u w:val="single"/>
        </w:rPr>
      </w:pPr>
      <w:r>
        <w:rPr>
          <w:u w:val="single"/>
        </w:rPr>
        <w:t>Draft cost guidelines for the phase-down of HFCs</w:t>
      </w:r>
    </w:p>
    <w:p w14:paraId="7EA19F42" w14:textId="77777777" w:rsidR="00AB2ADE" w:rsidRDefault="00AB2ADE" w:rsidP="00AB2ADE">
      <w:pPr>
        <w:widowControl w:val="0"/>
        <w:spacing w:after="240"/>
        <w:rPr>
          <w:b/>
        </w:rPr>
      </w:pPr>
      <w:r>
        <w:rPr>
          <w:b/>
        </w:rPr>
        <w:t>Flexibility in implementation that enables Parties to select their own strategies and priorities in sectors and technologies</w:t>
      </w:r>
    </w:p>
    <w:p w14:paraId="1967A1F0" w14:textId="77777777" w:rsidR="00AB2ADE" w:rsidRDefault="00AB2ADE" w:rsidP="00AB2ADE">
      <w:pPr>
        <w:pStyle w:val="Heading1"/>
        <w:numPr>
          <w:ilvl w:val="0"/>
          <w:numId w:val="21"/>
        </w:numPr>
      </w:pPr>
      <w: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37BC2A83" w14:textId="77777777" w:rsidR="00AB2ADE" w:rsidRDefault="00AB2ADE" w:rsidP="00AB2ADE">
      <w:pPr>
        <w:widowControl w:val="0"/>
        <w:spacing w:after="240"/>
        <w:rPr>
          <w:b/>
        </w:rPr>
      </w:pPr>
      <w:r>
        <w:rPr>
          <w:b/>
        </w:rPr>
        <w:t>Cut-off date for eligible capacity</w:t>
      </w:r>
    </w:p>
    <w:p w14:paraId="48B7B184" w14:textId="77777777" w:rsidR="00AB2ADE" w:rsidRDefault="00AB2ADE" w:rsidP="00AB2ADE">
      <w:pPr>
        <w:pStyle w:val="Heading1"/>
        <w:numPr>
          <w:ilvl w:val="0"/>
          <w:numId w:val="21"/>
        </w:numPr>
      </w:pPr>
      <w:r>
        <w:t>The cut-off date for eligible capacity is 1 January 2020 for those Parties with baseline years from 2020 to 2022, and 1 January 2024 for those Parties with baseline years from 2024 to 2026.</w:t>
      </w:r>
    </w:p>
    <w:p w14:paraId="4A21EB32" w14:textId="77777777" w:rsidR="00AB2ADE" w:rsidRDefault="00AB2ADE" w:rsidP="00AB2ADE">
      <w:pPr>
        <w:widowControl w:val="0"/>
        <w:spacing w:after="240"/>
        <w:rPr>
          <w:b/>
        </w:rPr>
      </w:pPr>
      <w:r>
        <w:rPr>
          <w:b/>
        </w:rPr>
        <w:t>Second and third conversions</w:t>
      </w:r>
    </w:p>
    <w:p w14:paraId="1248B9A1" w14:textId="77777777" w:rsidR="00AB2ADE" w:rsidRDefault="00AB2ADE" w:rsidP="00AB2ADE">
      <w:pPr>
        <w:pStyle w:val="Heading1"/>
        <w:numPr>
          <w:ilvl w:val="0"/>
          <w:numId w:val="21"/>
        </w:numPr>
      </w:pPr>
      <w:r>
        <w:t>To apply the following principles for second and third conversion projects:</w:t>
      </w:r>
    </w:p>
    <w:p w14:paraId="0B060E83" w14:textId="77777777" w:rsidR="00AB2ADE" w:rsidRDefault="00AB2ADE" w:rsidP="00AB2ADE">
      <w:pPr>
        <w:pStyle w:val="Heading2"/>
        <w:numPr>
          <w:ilvl w:val="1"/>
          <w:numId w:val="21"/>
        </w:numPr>
      </w:pPr>
      <w:r>
        <w:t>First conversions, in the context of a phase-down of HFCs, are defined as conversions to alternatives with low or zero global</w:t>
      </w:r>
      <w:r>
        <w:noBreakHyphen/>
        <w:t>warming potential (GWP) of enterprises that have never received any direct or indirect support, in part or in full, from the Multilateral Fund, including enterprises that converted to HFCs with their own resources;</w:t>
      </w:r>
    </w:p>
    <w:p w14:paraId="026773D6" w14:textId="77777777" w:rsidR="00AB2ADE" w:rsidRDefault="00AB2ADE" w:rsidP="00AB2ADE">
      <w:pPr>
        <w:widowControl w:val="0"/>
        <w:numPr>
          <w:ilvl w:val="1"/>
          <w:numId w:val="21"/>
        </w:numPr>
        <w:spacing w:after="240"/>
        <w:outlineLvl w:val="1"/>
      </w:pPr>
      <w:r>
        <w:t>Enterprises that have already converted to HFCs in phasing out CFCs and/or HCFCs will be eligible to receive funding from the Multilateral Fund to meet agreed incremental costs in the same manner as enterprises eligible for first conversions;</w:t>
      </w:r>
    </w:p>
    <w:p w14:paraId="55D38DB7" w14:textId="77777777" w:rsidR="00AB2ADE" w:rsidRDefault="00AB2ADE" w:rsidP="00AB2ADE">
      <w:pPr>
        <w:widowControl w:val="0"/>
        <w:numPr>
          <w:ilvl w:val="1"/>
          <w:numId w:val="21"/>
        </w:numPr>
        <w:spacing w:after="240"/>
        <w:outlineLvl w:val="1"/>
      </w:pPr>
      <w:r>
        <w:t xml:space="preserve">Enterprises that convert from HCFCs to high-GWP HFCs, after the date of adoption of the Amendment, under HCFC phase-out management plans (HPMPs)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2FF08F6F" w14:textId="77777777" w:rsidR="00AB2ADE" w:rsidRDefault="00AB2ADE" w:rsidP="00AB2ADE">
      <w:pPr>
        <w:widowControl w:val="0"/>
        <w:numPr>
          <w:ilvl w:val="1"/>
          <w:numId w:val="21"/>
        </w:numPr>
        <w:spacing w:after="240"/>
        <w:outlineLvl w:val="1"/>
      </w:pPr>
      <w: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3ABB59A9" w14:textId="77777777" w:rsidR="00AB2ADE" w:rsidRDefault="00AB2ADE" w:rsidP="00AB2ADE">
      <w:pPr>
        <w:numPr>
          <w:ilvl w:val="1"/>
          <w:numId w:val="21"/>
        </w:numPr>
        <w:outlineLvl w:val="1"/>
      </w:pPr>
      <w:r>
        <w:t xml:space="preserve">Enterprises that convert from HFCs to lower-GWP HFCs with Multilateral Fund support when no other alternatives are available will be eligible to receive funding from the </w:t>
      </w:r>
      <w:r>
        <w:lastRenderedPageBreak/>
        <w:t>Multilateral Fund for a subsequent conversion to low-GWP or zero-GWP alternatives if necessary to meet the final HFC phase-down step.</w:t>
      </w:r>
    </w:p>
    <w:p w14:paraId="406B750C" w14:textId="77777777" w:rsidR="00AB2ADE" w:rsidRDefault="00AB2ADE" w:rsidP="00AB2ADE">
      <w:pPr>
        <w:widowControl w:val="0"/>
        <w:spacing w:before="240" w:after="240"/>
        <w:rPr>
          <w:b/>
        </w:rPr>
      </w:pPr>
      <w:r>
        <w:rPr>
          <w:b/>
        </w:rPr>
        <w:t>Sustained aggregate reductions</w:t>
      </w:r>
    </w:p>
    <w:p w14:paraId="7576203A" w14:textId="77777777" w:rsidR="00AB2ADE" w:rsidRDefault="00AB2ADE" w:rsidP="00AB2ADE">
      <w:pPr>
        <w:pStyle w:val="Heading1"/>
        <w:numPr>
          <w:ilvl w:val="0"/>
          <w:numId w:val="21"/>
        </w:numPr>
      </w:pPr>
      <w:r>
        <w:t>The remaining eligible consumption for funding in tonnage will be determined on the basis of the starting point of national aggregate consumption less the amount funded by previously approved projects in future multi-year agreement templates for Kigali HFC implementation plans (KIPs).</w:t>
      </w:r>
    </w:p>
    <w:p w14:paraId="4FBF4D3A" w14:textId="77777777" w:rsidR="00AB2ADE" w:rsidRDefault="00AB2ADE" w:rsidP="00AB2ADE">
      <w:pPr>
        <w:widowControl w:val="0"/>
        <w:spacing w:after="240"/>
        <w:rPr>
          <w:b/>
        </w:rPr>
      </w:pPr>
      <w:r>
        <w:rPr>
          <w:b/>
        </w:rPr>
        <w:t>Eligible incremental costs</w:t>
      </w:r>
    </w:p>
    <w:p w14:paraId="79028328" w14:textId="77777777" w:rsidR="00AB2ADE" w:rsidRDefault="00AB2ADE" w:rsidP="00AB2ADE">
      <w:pPr>
        <w:widowControl w:val="0"/>
        <w:spacing w:after="240"/>
        <w:ind w:firstLine="720"/>
        <w:rPr>
          <w:i/>
        </w:rPr>
      </w:pPr>
      <w:r>
        <w:rPr>
          <w:i/>
        </w:rPr>
        <w:t>Consumption manufacturing sector</w:t>
      </w:r>
    </w:p>
    <w:p w14:paraId="706E949B" w14:textId="77777777" w:rsidR="00AB2ADE" w:rsidRDefault="00AB2ADE" w:rsidP="00AB2ADE">
      <w:pPr>
        <w:pStyle w:val="Heading1"/>
        <w:numPr>
          <w:ilvl w:val="0"/>
          <w:numId w:val="21"/>
        </w:numPr>
      </w:pPr>
      <w:r>
        <w:t>To make the following categories of costs eligible and to include them in the cost calculation associated with the phase-down of HFCs in the consumption manufacturing sector:</w:t>
      </w:r>
    </w:p>
    <w:p w14:paraId="5D4800E8" w14:textId="77777777" w:rsidR="00AB2ADE" w:rsidRDefault="00AB2ADE" w:rsidP="00AB2ADE">
      <w:pPr>
        <w:widowControl w:val="0"/>
        <w:numPr>
          <w:ilvl w:val="1"/>
          <w:numId w:val="21"/>
        </w:numPr>
        <w:spacing w:after="240"/>
        <w:outlineLvl w:val="1"/>
      </w:pPr>
      <w:r>
        <w:t>Incremental capital costs;</w:t>
      </w:r>
    </w:p>
    <w:p w14:paraId="2E57B533" w14:textId="77777777" w:rsidR="00AB2ADE" w:rsidRDefault="00AB2ADE" w:rsidP="00AB2ADE">
      <w:pPr>
        <w:widowControl w:val="0"/>
        <w:numPr>
          <w:ilvl w:val="1"/>
          <w:numId w:val="21"/>
        </w:numPr>
        <w:spacing w:after="240"/>
        <w:outlineLvl w:val="1"/>
      </w:pPr>
      <w:r>
        <w:t>Incremental operating costs for a duration to be determined by the Executive Committee;</w:t>
      </w:r>
    </w:p>
    <w:p w14:paraId="75CF3519" w14:textId="77777777" w:rsidR="00AB2ADE" w:rsidRDefault="00AB2ADE" w:rsidP="00AB2ADE">
      <w:pPr>
        <w:widowControl w:val="0"/>
        <w:numPr>
          <w:ilvl w:val="1"/>
          <w:numId w:val="21"/>
        </w:numPr>
        <w:spacing w:after="240"/>
        <w:outlineLvl w:val="1"/>
      </w:pPr>
      <w:r>
        <w:t xml:space="preserve">Technical assistance activities; </w:t>
      </w:r>
    </w:p>
    <w:p w14:paraId="2934FC8A" w14:textId="77777777" w:rsidR="00AB2ADE" w:rsidRDefault="00AB2ADE" w:rsidP="00AB2ADE">
      <w:pPr>
        <w:widowControl w:val="0"/>
        <w:numPr>
          <w:ilvl w:val="1"/>
          <w:numId w:val="21"/>
        </w:numPr>
        <w:spacing w:after="240"/>
        <w:outlineLvl w:val="1"/>
      </w:pPr>
      <w:r>
        <w:t>Research and development, when required to adapt and optimize alternatives to HFCs with low or zero GWP;</w:t>
      </w:r>
    </w:p>
    <w:p w14:paraId="70C908BB" w14:textId="77777777" w:rsidR="00AB2ADE" w:rsidRDefault="00AB2ADE" w:rsidP="00AB2ADE">
      <w:pPr>
        <w:widowControl w:val="0"/>
        <w:numPr>
          <w:ilvl w:val="1"/>
          <w:numId w:val="21"/>
        </w:numPr>
        <w:spacing w:after="240"/>
        <w:outlineLvl w:val="1"/>
      </w:pPr>
      <w:r>
        <w:t>Costs of patents and designs, and incremental costs of royalties, when necessary and cost</w:t>
      </w:r>
      <w:r>
        <w:noBreakHyphen/>
        <w:t>effective; and</w:t>
      </w:r>
    </w:p>
    <w:p w14:paraId="6B60DC87" w14:textId="77777777" w:rsidR="00AB2ADE" w:rsidRDefault="00AB2ADE" w:rsidP="00AB2ADE">
      <w:pPr>
        <w:widowControl w:val="0"/>
        <w:numPr>
          <w:ilvl w:val="1"/>
          <w:numId w:val="21"/>
        </w:numPr>
        <w:spacing w:after="240"/>
        <w:outlineLvl w:val="1"/>
      </w:pPr>
      <w:r>
        <w:t>Costs of the safe introduction of flammable and toxic alternatives.</w:t>
      </w:r>
    </w:p>
    <w:p w14:paraId="7DF904C6" w14:textId="77777777" w:rsidR="00AB2ADE" w:rsidRDefault="00AB2ADE" w:rsidP="00AB2ADE">
      <w:pPr>
        <w:widowControl w:val="0"/>
        <w:spacing w:after="240"/>
        <w:ind w:left="720"/>
        <w:rPr>
          <w:i/>
        </w:rPr>
      </w:pPr>
      <w:r>
        <w:rPr>
          <w:i/>
        </w:rPr>
        <w:t>Production sector</w:t>
      </w:r>
    </w:p>
    <w:p w14:paraId="5539291F" w14:textId="77777777" w:rsidR="00AB2ADE" w:rsidRDefault="00AB2ADE" w:rsidP="00AB2ADE">
      <w:pPr>
        <w:pStyle w:val="Heading1"/>
        <w:numPr>
          <w:ilvl w:val="0"/>
          <w:numId w:val="21"/>
        </w:numPr>
      </w:pPr>
      <w:r>
        <w:t>To make the following categories of costs eligible and to include them in the cost calculation associated with the phase-down of HFCs in the production sector:</w:t>
      </w:r>
    </w:p>
    <w:p w14:paraId="0CEB7A95" w14:textId="77777777" w:rsidR="00AB2ADE" w:rsidRDefault="00AB2ADE" w:rsidP="00AB2ADE">
      <w:pPr>
        <w:widowControl w:val="0"/>
        <w:numPr>
          <w:ilvl w:val="1"/>
          <w:numId w:val="21"/>
        </w:numPr>
        <w:spacing w:after="240"/>
        <w:outlineLvl w:val="1"/>
      </w:pPr>
      <w:r>
        <w:t>Lost profit due to the shutdown/closure of production facilities, as well as production reduction;</w:t>
      </w:r>
    </w:p>
    <w:p w14:paraId="40CA6452" w14:textId="77777777" w:rsidR="00AB2ADE" w:rsidRDefault="00AB2ADE" w:rsidP="00AB2ADE">
      <w:pPr>
        <w:widowControl w:val="0"/>
        <w:numPr>
          <w:ilvl w:val="1"/>
          <w:numId w:val="21"/>
        </w:numPr>
        <w:spacing w:after="240"/>
        <w:outlineLvl w:val="1"/>
      </w:pPr>
      <w:r>
        <w:t>Compensation for displaced workers;</w:t>
      </w:r>
    </w:p>
    <w:p w14:paraId="2F776E7D" w14:textId="77777777" w:rsidR="00AB2ADE" w:rsidRDefault="00AB2ADE" w:rsidP="00AB2ADE">
      <w:pPr>
        <w:widowControl w:val="0"/>
        <w:numPr>
          <w:ilvl w:val="1"/>
          <w:numId w:val="21"/>
        </w:numPr>
        <w:spacing w:after="240"/>
        <w:outlineLvl w:val="1"/>
      </w:pPr>
      <w:r>
        <w:t>Dismantling of production facilities;</w:t>
      </w:r>
    </w:p>
    <w:p w14:paraId="13D67CF1" w14:textId="77777777" w:rsidR="00AB2ADE" w:rsidRDefault="00AB2ADE" w:rsidP="00AB2ADE">
      <w:pPr>
        <w:widowControl w:val="0"/>
        <w:numPr>
          <w:ilvl w:val="1"/>
          <w:numId w:val="21"/>
        </w:numPr>
        <w:spacing w:after="240"/>
        <w:outlineLvl w:val="1"/>
      </w:pPr>
      <w:r>
        <w:t>Technical assistance activities;</w:t>
      </w:r>
    </w:p>
    <w:p w14:paraId="2683E0A0" w14:textId="77777777" w:rsidR="00AB2ADE" w:rsidRDefault="00AB2ADE" w:rsidP="00AB2ADE">
      <w:pPr>
        <w:widowControl w:val="0"/>
        <w:numPr>
          <w:ilvl w:val="1"/>
          <w:numId w:val="21"/>
        </w:numPr>
        <w:spacing w:after="240"/>
        <w:outlineLvl w:val="1"/>
      </w:pPr>
      <w:r>
        <w:t xml:space="preserve">Research and development related to the production of low-GWP or zero-GWP alternatives to HFCs with a view to lowering the costs of alternatives; </w:t>
      </w:r>
    </w:p>
    <w:p w14:paraId="2C4D2102" w14:textId="77777777" w:rsidR="00AB2ADE" w:rsidRDefault="00AB2ADE" w:rsidP="00AB2ADE">
      <w:pPr>
        <w:widowControl w:val="0"/>
        <w:numPr>
          <w:ilvl w:val="1"/>
          <w:numId w:val="21"/>
        </w:numPr>
        <w:spacing w:after="240"/>
        <w:outlineLvl w:val="1"/>
      </w:pPr>
      <w:r>
        <w:t>Costs of patents and designs or incremental costs of royalties;</w:t>
      </w:r>
    </w:p>
    <w:p w14:paraId="25F81D20" w14:textId="77777777" w:rsidR="00AB2ADE" w:rsidRDefault="00AB2ADE" w:rsidP="00AB2ADE">
      <w:pPr>
        <w:numPr>
          <w:ilvl w:val="1"/>
          <w:numId w:val="21"/>
        </w:numPr>
        <w:spacing w:after="240"/>
        <w:outlineLvl w:val="1"/>
      </w:pPr>
      <w:r>
        <w:t>Costs of converting facilities to produce low-GWP or zero-GWP alternatives to HFCs when technically feasible and cost-effective; and</w:t>
      </w:r>
    </w:p>
    <w:p w14:paraId="3A820E78" w14:textId="77777777" w:rsidR="00AB2ADE" w:rsidRDefault="00AB2ADE" w:rsidP="00AB2ADE">
      <w:pPr>
        <w:keepNext/>
        <w:numPr>
          <w:ilvl w:val="1"/>
          <w:numId w:val="21"/>
        </w:numPr>
        <w:spacing w:after="240"/>
        <w:outlineLvl w:val="1"/>
      </w:pPr>
      <w:r>
        <w:t>Costs of reducing emissions of HFC-23, a by-product from the production process of HCFC</w:t>
      </w:r>
      <w:r>
        <w:noBreakHyphen/>
        <w:t xml:space="preserve">22, by reducing its emission rate in the process, destroying it from the off-gas, or </w:t>
      </w:r>
      <w:r>
        <w:lastRenderedPageBreak/>
        <w:t>by collecting and converting it to other environmentally safe chemicals; such costs should be funded by the Multilateral Fund to meet the obligations of Article 5 Parties specified under the Amendment.</w:t>
      </w:r>
    </w:p>
    <w:p w14:paraId="2A71F420" w14:textId="77777777" w:rsidR="00AB2ADE" w:rsidRDefault="00AB2ADE" w:rsidP="00AB2ADE">
      <w:pPr>
        <w:pStyle w:val="Heading1"/>
        <w:numPr>
          <w:ilvl w:val="0"/>
          <w:numId w:val="21"/>
        </w:numPr>
      </w:pPr>
      <w:r>
        <w:t>The Sub-group on the Production Sector would consider compensation for compliance</w:t>
      </w:r>
      <w:r>
        <w:noBreakHyphen/>
        <w:t>related control obligations for the production sector on a case-by-case basis once official reporting of HFC production had been submitted by Article 5 countries.</w:t>
      </w:r>
    </w:p>
    <w:p w14:paraId="70AF43FE" w14:textId="77777777" w:rsidR="00AB2ADE" w:rsidRDefault="00AB2ADE" w:rsidP="00AB2ADE">
      <w:pPr>
        <w:widowControl w:val="0"/>
        <w:spacing w:after="240"/>
        <w:ind w:left="720"/>
        <w:rPr>
          <w:i/>
        </w:rPr>
      </w:pPr>
      <w:r>
        <w:rPr>
          <w:i/>
        </w:rPr>
        <w:t>Refrigeration servicing sector</w:t>
      </w:r>
    </w:p>
    <w:p w14:paraId="0ED05559" w14:textId="77777777" w:rsidR="00AB2ADE" w:rsidRDefault="00AB2ADE" w:rsidP="00AB2ADE">
      <w:pPr>
        <w:pStyle w:val="Heading1"/>
        <w:numPr>
          <w:ilvl w:val="0"/>
          <w:numId w:val="21"/>
        </w:numPr>
      </w:pPr>
      <w:r>
        <w:t>To make the following categories of costs eligible and to include them in the cost calculation associated with the phase-down of HFCs in the refrigeration servicing sector:</w:t>
      </w:r>
    </w:p>
    <w:p w14:paraId="6966E45D" w14:textId="77777777" w:rsidR="00AB2ADE" w:rsidRDefault="00AB2ADE" w:rsidP="00AB2ADE">
      <w:pPr>
        <w:widowControl w:val="0"/>
        <w:numPr>
          <w:ilvl w:val="1"/>
          <w:numId w:val="21"/>
        </w:numPr>
        <w:spacing w:after="240"/>
        <w:outlineLvl w:val="1"/>
      </w:pPr>
      <w:r>
        <w:t>Public awareness activities;</w:t>
      </w:r>
    </w:p>
    <w:p w14:paraId="2B53A3FF" w14:textId="77777777" w:rsidR="00AB2ADE" w:rsidRDefault="00AB2ADE" w:rsidP="00AB2ADE">
      <w:pPr>
        <w:widowControl w:val="0"/>
        <w:numPr>
          <w:ilvl w:val="1"/>
          <w:numId w:val="21"/>
        </w:numPr>
        <w:spacing w:after="240"/>
        <w:outlineLvl w:val="1"/>
      </w:pPr>
      <w:r>
        <w:t>Policy development and implementation;</w:t>
      </w:r>
    </w:p>
    <w:p w14:paraId="42C729CE" w14:textId="77777777" w:rsidR="00AB2ADE" w:rsidRDefault="00AB2ADE" w:rsidP="00AB2ADE">
      <w:pPr>
        <w:widowControl w:val="0"/>
        <w:numPr>
          <w:ilvl w:val="1"/>
          <w:numId w:val="21"/>
        </w:numPr>
        <w:spacing w:after="240"/>
        <w:outlineLvl w:val="1"/>
      </w:pPr>
      <w:r>
        <w:t>Certification programmes and training of technicians on safe handling, good practices and safety in respect of alternatives, including training equipment;</w:t>
      </w:r>
    </w:p>
    <w:p w14:paraId="6D9B9834" w14:textId="77777777" w:rsidR="00AB2ADE" w:rsidRDefault="00AB2ADE" w:rsidP="00AB2ADE">
      <w:pPr>
        <w:widowControl w:val="0"/>
        <w:numPr>
          <w:ilvl w:val="1"/>
          <w:numId w:val="21"/>
        </w:numPr>
        <w:spacing w:after="240"/>
        <w:outlineLvl w:val="1"/>
      </w:pPr>
      <w:r>
        <w:t>Training of customs officers;</w:t>
      </w:r>
    </w:p>
    <w:p w14:paraId="052AF0F7" w14:textId="77777777" w:rsidR="00AB2ADE" w:rsidRDefault="00AB2ADE" w:rsidP="00AB2ADE">
      <w:pPr>
        <w:widowControl w:val="0"/>
        <w:numPr>
          <w:ilvl w:val="1"/>
          <w:numId w:val="21"/>
        </w:numPr>
        <w:spacing w:after="240"/>
        <w:outlineLvl w:val="1"/>
      </w:pPr>
      <w:r>
        <w:t>Prevention of illegal trade of HFCs;</w:t>
      </w:r>
    </w:p>
    <w:p w14:paraId="5B6AE0C3" w14:textId="77777777" w:rsidR="00AB2ADE" w:rsidRDefault="00AB2ADE" w:rsidP="00AB2ADE">
      <w:pPr>
        <w:widowControl w:val="0"/>
        <w:numPr>
          <w:ilvl w:val="1"/>
          <w:numId w:val="21"/>
        </w:numPr>
        <w:spacing w:after="240"/>
        <w:outlineLvl w:val="1"/>
      </w:pPr>
      <w:r>
        <w:t xml:space="preserve">Servicing tools; </w:t>
      </w:r>
    </w:p>
    <w:p w14:paraId="2E3D790D" w14:textId="77777777" w:rsidR="00AB2ADE" w:rsidRDefault="00AB2ADE" w:rsidP="00AB2ADE">
      <w:pPr>
        <w:widowControl w:val="0"/>
        <w:numPr>
          <w:ilvl w:val="1"/>
          <w:numId w:val="21"/>
        </w:numPr>
        <w:spacing w:after="240"/>
        <w:outlineLvl w:val="1"/>
      </w:pPr>
      <w:r>
        <w:t>Refrigerant testing equipment for the refrigeration and air-conditioning sector; and</w:t>
      </w:r>
    </w:p>
    <w:p w14:paraId="0759A3E5" w14:textId="77777777" w:rsidR="00AB2ADE" w:rsidRDefault="00AB2ADE" w:rsidP="00AB2ADE">
      <w:pPr>
        <w:widowControl w:val="0"/>
        <w:numPr>
          <w:ilvl w:val="1"/>
          <w:numId w:val="21"/>
        </w:numPr>
        <w:spacing w:after="240"/>
        <w:outlineLvl w:val="1"/>
      </w:pPr>
      <w:r>
        <w:t>Recycling and recovery of HFCs.</w:t>
      </w:r>
    </w:p>
    <w:p w14:paraId="14F13633" w14:textId="77777777" w:rsidR="00AB2ADE" w:rsidRDefault="00AB2ADE" w:rsidP="00AB2ADE">
      <w:pPr>
        <w:pStyle w:val="Heading1"/>
        <w:numPr>
          <w:ilvl w:val="0"/>
          <w:numId w:val="21"/>
        </w:numPr>
      </w:pPr>
      <w:r>
        <w:t>In relation to the level and modalities of funding for HFC phase-down in the refrigeration servicing sector, in line with decision 92/37:</w:t>
      </w:r>
    </w:p>
    <w:p w14:paraId="04B90A3D" w14:textId="77777777" w:rsidR="00AB2ADE" w:rsidRDefault="00AB2ADE" w:rsidP="00AB2ADE">
      <w:pPr>
        <w:pStyle w:val="Heading2"/>
        <w:numPr>
          <w:ilvl w:val="1"/>
          <w:numId w:val="26"/>
        </w:numPr>
      </w:pPr>
      <w:r>
        <w:t>To apply the following principles with regard to the eligible incremental costs in the refrigeration servicing sector for stage I of the KIPs, on the understanding that the funding levels specified below would be revised for activities submitted for future KIP stages when activities under HPMPs had been completed:</w:t>
      </w:r>
    </w:p>
    <w:p w14:paraId="49CA731E" w14:textId="77777777" w:rsidR="00AB2ADE" w:rsidRDefault="00AB2ADE" w:rsidP="00AB2ADE">
      <w:pPr>
        <w:pStyle w:val="Heading3"/>
        <w:numPr>
          <w:ilvl w:val="2"/>
          <w:numId w:val="21"/>
        </w:numPr>
      </w:pPr>
      <w:r>
        <w:t xml:space="preserve">Article 5 countries must include in their KIPs, at a minimum: </w:t>
      </w:r>
    </w:p>
    <w:p w14:paraId="76AF1F23" w14:textId="77777777" w:rsidR="00AB2ADE" w:rsidRDefault="00AB2ADE" w:rsidP="00AB2ADE">
      <w:pPr>
        <w:pStyle w:val="Header4"/>
        <w:numPr>
          <w:ilvl w:val="0"/>
          <w:numId w:val="25"/>
        </w:numPr>
        <w:ind w:left="2880" w:hanging="720"/>
      </w:pPr>
      <w:r>
        <w:t>A commitment to meeting, without further requests for funding, at least the 10 per cent reduction target in HFC consumption in line with the compliance schedule of the Montreal Protocol, and to restricting imports of HFC-based equipment, if feasible, and if necessary to achieve the compliance schedule and support relevant phase-down activities;</w:t>
      </w:r>
    </w:p>
    <w:p w14:paraId="374A685E" w14:textId="77777777" w:rsidR="00AB2ADE" w:rsidRDefault="00AB2ADE" w:rsidP="008D6FD5">
      <w:pPr>
        <w:pStyle w:val="Header4"/>
        <w:widowControl/>
        <w:numPr>
          <w:ilvl w:val="0"/>
          <w:numId w:val="25"/>
        </w:numPr>
        <w:ind w:left="2880" w:hanging="720"/>
      </w:pPr>
      <w:r>
        <w:t>Mandatory reporting, by the time funding tranches for the KIPs were requested, on the implementation of activities undertaken in the refrigeration servicing sector and in the manufacturing sector, when applicable, in the previous tranche, as well as a comprehensive annual work plan for the implementation of the activities associated with the next tranche;</w:t>
      </w:r>
    </w:p>
    <w:p w14:paraId="3C92B24B" w14:textId="77777777" w:rsidR="00AB2ADE" w:rsidRDefault="00AB2ADE" w:rsidP="008D6FD5">
      <w:pPr>
        <w:pStyle w:val="Header4"/>
        <w:widowControl/>
        <w:numPr>
          <w:ilvl w:val="0"/>
          <w:numId w:val="25"/>
        </w:numPr>
        <w:ind w:left="2880" w:hanging="720"/>
      </w:pPr>
      <w:r>
        <w:lastRenderedPageBreak/>
        <w:t>A description of the roles and responsibilities of major stakeholders and the lead implementing agency and the cooperating agencies, where applicable;</w:t>
      </w:r>
    </w:p>
    <w:p w14:paraId="62CEC069" w14:textId="77777777" w:rsidR="00AB2ADE" w:rsidRDefault="00AB2ADE" w:rsidP="00AB2ADE">
      <w:pPr>
        <w:pStyle w:val="Header4"/>
        <w:numPr>
          <w:ilvl w:val="0"/>
          <w:numId w:val="25"/>
        </w:numPr>
        <w:ind w:left="2880" w:hanging="720"/>
      </w:pPr>
      <w:r>
        <w:t>A description of how activities in the servicing sector under KIPs and HPMPs would be coordinated in their implementation;</w:t>
      </w:r>
    </w:p>
    <w:p w14:paraId="30B85BD4" w14:textId="77777777" w:rsidR="00AB2ADE" w:rsidRDefault="00AB2ADE" w:rsidP="00AB2ADE">
      <w:pPr>
        <w:pStyle w:val="Heading3"/>
        <w:numPr>
          <w:ilvl w:val="2"/>
          <w:numId w:val="21"/>
        </w:numPr>
      </w:pPr>
      <w:r>
        <w:t>Article 5 countries that had an average HFC consumption in the servicing sector during the baseline years of up to 360 metric tonnes (mt) would be provided funding consistent with the level of consumption in the refrigeration servicing sector, as shown in the table below, on the understanding that project proposals would still need to demonstrate that the funding level was necessary to achieve at least the 10 per cent of the Montreal Protocol HFC reduction target;</w:t>
      </w:r>
    </w:p>
    <w:tbl>
      <w:tblPr>
        <w:tblStyle w:val="TableGrid"/>
        <w:tblW w:w="0" w:type="auto"/>
        <w:tblInd w:w="2122" w:type="dxa"/>
        <w:tblLook w:val="04A0" w:firstRow="1" w:lastRow="0" w:firstColumn="1" w:lastColumn="0" w:noHBand="0" w:noVBand="1"/>
      </w:tblPr>
      <w:tblGrid>
        <w:gridCol w:w="3614"/>
        <w:gridCol w:w="3614"/>
      </w:tblGrid>
      <w:tr w:rsidR="00AB2ADE" w14:paraId="7CE83956"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2BA7AC22" w14:textId="77777777" w:rsidR="00AB2ADE" w:rsidRDefault="00AB2ADE">
            <w:pPr>
              <w:jc w:val="center"/>
              <w:rPr>
                <w:b/>
                <w:bCs/>
                <w:sz w:val="20"/>
                <w:szCs w:val="20"/>
                <w:lang w:val="en-US"/>
              </w:rPr>
            </w:pPr>
            <w:r>
              <w:rPr>
                <w:b/>
                <w:bCs/>
                <w:sz w:val="20"/>
                <w:szCs w:val="20"/>
                <w:lang w:val="en-US"/>
              </w:rPr>
              <w:t>Average HFC consumption in</w:t>
            </w:r>
            <w:r>
              <w:rPr>
                <w:b/>
                <w:bCs/>
                <w:sz w:val="20"/>
                <w:szCs w:val="20"/>
                <w:lang w:val="en-US"/>
              </w:rPr>
              <w:br/>
              <w:t>servicing in baseline years (mt)</w:t>
            </w:r>
          </w:p>
        </w:tc>
        <w:tc>
          <w:tcPr>
            <w:tcW w:w="3614" w:type="dxa"/>
            <w:tcBorders>
              <w:top w:val="single" w:sz="4" w:space="0" w:color="auto"/>
              <w:left w:val="single" w:sz="4" w:space="0" w:color="auto"/>
              <w:bottom w:val="single" w:sz="4" w:space="0" w:color="auto"/>
              <w:right w:val="single" w:sz="4" w:space="0" w:color="auto"/>
            </w:tcBorders>
            <w:hideMark/>
          </w:tcPr>
          <w:p w14:paraId="5A835F34" w14:textId="3EC9AE97" w:rsidR="00AB2ADE" w:rsidRDefault="00AB2ADE">
            <w:pPr>
              <w:jc w:val="center"/>
              <w:rPr>
                <w:b/>
                <w:bCs/>
                <w:sz w:val="20"/>
                <w:szCs w:val="20"/>
                <w:lang w:val="en-US"/>
              </w:rPr>
            </w:pPr>
            <w:r>
              <w:rPr>
                <w:b/>
                <w:bCs/>
                <w:sz w:val="20"/>
                <w:szCs w:val="20"/>
                <w:lang w:val="en-US"/>
              </w:rPr>
              <w:t>Funding for meeting the 10% Montreal protocol HFC reduction target (</w:t>
            </w:r>
            <w:r w:rsidR="004E3C37">
              <w:rPr>
                <w:b/>
                <w:bCs/>
                <w:sz w:val="20"/>
                <w:szCs w:val="20"/>
                <w:lang w:val="en-US"/>
              </w:rPr>
              <w:t>US $</w:t>
            </w:r>
            <w:r>
              <w:rPr>
                <w:b/>
                <w:bCs/>
                <w:sz w:val="20"/>
                <w:szCs w:val="20"/>
                <w:lang w:val="en-US"/>
              </w:rPr>
              <w:t>)</w:t>
            </w:r>
          </w:p>
        </w:tc>
      </w:tr>
      <w:tr w:rsidR="00AB2ADE" w14:paraId="2FF199D9"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73EC8436" w14:textId="77777777" w:rsidR="00AB2ADE" w:rsidRDefault="00AB2ADE">
            <w:pPr>
              <w:ind w:left="602" w:hanging="142"/>
              <w:rPr>
                <w:sz w:val="20"/>
                <w:szCs w:val="20"/>
                <w:lang w:val="en-US"/>
              </w:rPr>
            </w:pPr>
            <w:r>
              <w:rPr>
                <w:sz w:val="20"/>
                <w:szCs w:val="20"/>
                <w:lang w:val="en-US"/>
              </w:rPr>
              <w:t>&gt;0 &lt;15</w:t>
            </w:r>
          </w:p>
        </w:tc>
        <w:tc>
          <w:tcPr>
            <w:tcW w:w="3614" w:type="dxa"/>
            <w:tcBorders>
              <w:top w:val="single" w:sz="4" w:space="0" w:color="auto"/>
              <w:left w:val="single" w:sz="4" w:space="0" w:color="auto"/>
              <w:bottom w:val="single" w:sz="4" w:space="0" w:color="auto"/>
              <w:right w:val="single" w:sz="4" w:space="0" w:color="auto"/>
            </w:tcBorders>
            <w:hideMark/>
          </w:tcPr>
          <w:p w14:paraId="53990214" w14:textId="77777777" w:rsidR="00AB2ADE" w:rsidRDefault="00AB2ADE">
            <w:pPr>
              <w:ind w:right="605"/>
              <w:jc w:val="right"/>
              <w:rPr>
                <w:sz w:val="20"/>
                <w:szCs w:val="20"/>
                <w:lang w:val="en-US"/>
              </w:rPr>
            </w:pPr>
            <w:r>
              <w:rPr>
                <w:sz w:val="20"/>
                <w:szCs w:val="20"/>
                <w:lang w:val="en-US"/>
              </w:rPr>
              <w:t>135,000</w:t>
            </w:r>
          </w:p>
        </w:tc>
      </w:tr>
      <w:tr w:rsidR="00AB2ADE" w14:paraId="2CE76561"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62A7F8D7" w14:textId="77777777" w:rsidR="00AB2ADE" w:rsidRDefault="00AB2ADE">
            <w:pPr>
              <w:ind w:left="602" w:hanging="142"/>
              <w:rPr>
                <w:sz w:val="20"/>
                <w:szCs w:val="20"/>
                <w:lang w:val="en-US"/>
              </w:rPr>
            </w:pPr>
            <w:r>
              <w:rPr>
                <w:sz w:val="20"/>
                <w:szCs w:val="20"/>
                <w:lang w:val="en-US"/>
              </w:rPr>
              <w:t>15 &lt;40</w:t>
            </w:r>
          </w:p>
        </w:tc>
        <w:tc>
          <w:tcPr>
            <w:tcW w:w="3614" w:type="dxa"/>
            <w:tcBorders>
              <w:top w:val="single" w:sz="4" w:space="0" w:color="auto"/>
              <w:left w:val="single" w:sz="4" w:space="0" w:color="auto"/>
              <w:bottom w:val="single" w:sz="4" w:space="0" w:color="auto"/>
              <w:right w:val="single" w:sz="4" w:space="0" w:color="auto"/>
            </w:tcBorders>
            <w:hideMark/>
          </w:tcPr>
          <w:p w14:paraId="6102363B" w14:textId="77777777" w:rsidR="00AB2ADE" w:rsidRDefault="00AB2ADE">
            <w:pPr>
              <w:ind w:right="605"/>
              <w:jc w:val="right"/>
              <w:rPr>
                <w:sz w:val="20"/>
                <w:szCs w:val="20"/>
                <w:lang w:val="en-US"/>
              </w:rPr>
            </w:pPr>
            <w:r>
              <w:rPr>
                <w:sz w:val="20"/>
                <w:szCs w:val="20"/>
                <w:lang w:val="en-US"/>
              </w:rPr>
              <w:t>145,000</w:t>
            </w:r>
          </w:p>
        </w:tc>
      </w:tr>
      <w:tr w:rsidR="00AB2ADE" w14:paraId="5842E3C8"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428FBF3" w14:textId="77777777" w:rsidR="00AB2ADE" w:rsidRDefault="00AB2ADE">
            <w:pPr>
              <w:ind w:left="602" w:hanging="142"/>
              <w:rPr>
                <w:sz w:val="20"/>
                <w:szCs w:val="20"/>
                <w:lang w:val="en-US"/>
              </w:rPr>
            </w:pPr>
            <w:r>
              <w:rPr>
                <w:sz w:val="20"/>
                <w:szCs w:val="20"/>
                <w:lang w:val="en-US"/>
              </w:rPr>
              <w:t>40 &lt;80</w:t>
            </w:r>
          </w:p>
        </w:tc>
        <w:tc>
          <w:tcPr>
            <w:tcW w:w="3614" w:type="dxa"/>
            <w:tcBorders>
              <w:top w:val="single" w:sz="4" w:space="0" w:color="auto"/>
              <w:left w:val="single" w:sz="4" w:space="0" w:color="auto"/>
              <w:bottom w:val="single" w:sz="4" w:space="0" w:color="auto"/>
              <w:right w:val="single" w:sz="4" w:space="0" w:color="auto"/>
            </w:tcBorders>
            <w:hideMark/>
          </w:tcPr>
          <w:p w14:paraId="73567E94" w14:textId="77777777" w:rsidR="00AB2ADE" w:rsidRDefault="00AB2ADE">
            <w:pPr>
              <w:ind w:right="605"/>
              <w:jc w:val="right"/>
              <w:rPr>
                <w:sz w:val="20"/>
                <w:szCs w:val="20"/>
                <w:lang w:val="en-US"/>
              </w:rPr>
            </w:pPr>
            <w:r>
              <w:rPr>
                <w:sz w:val="20"/>
                <w:szCs w:val="20"/>
                <w:lang w:val="en-US"/>
              </w:rPr>
              <w:t>158,000</w:t>
            </w:r>
          </w:p>
        </w:tc>
      </w:tr>
      <w:tr w:rsidR="00AB2ADE" w14:paraId="39607D8A"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19295EC7" w14:textId="77777777" w:rsidR="00AB2ADE" w:rsidRDefault="00AB2ADE">
            <w:pPr>
              <w:ind w:left="602" w:hanging="142"/>
              <w:rPr>
                <w:sz w:val="20"/>
                <w:szCs w:val="20"/>
                <w:lang w:val="en-US"/>
              </w:rPr>
            </w:pPr>
            <w:r>
              <w:rPr>
                <w:sz w:val="20"/>
                <w:szCs w:val="20"/>
                <w:lang w:val="en-US"/>
              </w:rPr>
              <w:t>80 &lt;120</w:t>
            </w:r>
          </w:p>
        </w:tc>
        <w:tc>
          <w:tcPr>
            <w:tcW w:w="3614" w:type="dxa"/>
            <w:tcBorders>
              <w:top w:val="single" w:sz="4" w:space="0" w:color="auto"/>
              <w:left w:val="single" w:sz="4" w:space="0" w:color="auto"/>
              <w:bottom w:val="single" w:sz="4" w:space="0" w:color="auto"/>
              <w:right w:val="single" w:sz="4" w:space="0" w:color="auto"/>
            </w:tcBorders>
            <w:hideMark/>
          </w:tcPr>
          <w:p w14:paraId="6325BA14" w14:textId="77777777" w:rsidR="00AB2ADE" w:rsidRDefault="00AB2ADE">
            <w:pPr>
              <w:ind w:right="605"/>
              <w:jc w:val="right"/>
              <w:rPr>
                <w:sz w:val="20"/>
                <w:szCs w:val="20"/>
                <w:lang w:val="en-US"/>
              </w:rPr>
            </w:pPr>
            <w:r>
              <w:rPr>
                <w:sz w:val="20"/>
                <w:szCs w:val="20"/>
                <w:lang w:val="en-US"/>
              </w:rPr>
              <w:t>170,000</w:t>
            </w:r>
          </w:p>
        </w:tc>
      </w:tr>
      <w:tr w:rsidR="00AB2ADE" w14:paraId="7F527D01"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5BCDCAB" w14:textId="77777777" w:rsidR="00AB2ADE" w:rsidRDefault="00AB2ADE">
            <w:pPr>
              <w:ind w:left="602" w:hanging="142"/>
              <w:rPr>
                <w:sz w:val="20"/>
                <w:szCs w:val="20"/>
                <w:lang w:val="en-US"/>
              </w:rPr>
            </w:pPr>
            <w:r>
              <w:rPr>
                <w:sz w:val="20"/>
                <w:szCs w:val="20"/>
                <w:lang w:val="en-US"/>
              </w:rPr>
              <w:t>120 &lt;160</w:t>
            </w:r>
          </w:p>
        </w:tc>
        <w:tc>
          <w:tcPr>
            <w:tcW w:w="3614" w:type="dxa"/>
            <w:tcBorders>
              <w:top w:val="single" w:sz="4" w:space="0" w:color="auto"/>
              <w:left w:val="single" w:sz="4" w:space="0" w:color="auto"/>
              <w:bottom w:val="single" w:sz="4" w:space="0" w:color="auto"/>
              <w:right w:val="single" w:sz="4" w:space="0" w:color="auto"/>
            </w:tcBorders>
            <w:hideMark/>
          </w:tcPr>
          <w:p w14:paraId="796A552C" w14:textId="77777777" w:rsidR="00AB2ADE" w:rsidRDefault="00AB2ADE">
            <w:pPr>
              <w:ind w:right="605"/>
              <w:jc w:val="right"/>
              <w:rPr>
                <w:sz w:val="20"/>
                <w:szCs w:val="20"/>
                <w:lang w:val="en-US"/>
              </w:rPr>
            </w:pPr>
            <w:r>
              <w:rPr>
                <w:sz w:val="20"/>
                <w:szCs w:val="20"/>
                <w:lang w:val="en-US"/>
              </w:rPr>
              <w:t>180,000</w:t>
            </w:r>
          </w:p>
        </w:tc>
      </w:tr>
      <w:tr w:rsidR="00AB2ADE" w14:paraId="68CAC787"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1A9291AB" w14:textId="77777777" w:rsidR="00AB2ADE" w:rsidRDefault="00AB2ADE">
            <w:pPr>
              <w:ind w:left="602" w:hanging="142"/>
              <w:rPr>
                <w:sz w:val="20"/>
                <w:szCs w:val="20"/>
                <w:lang w:val="en-US"/>
              </w:rPr>
            </w:pPr>
            <w:r>
              <w:rPr>
                <w:sz w:val="20"/>
                <w:szCs w:val="20"/>
                <w:lang w:val="en-US"/>
              </w:rPr>
              <w:t>160 &lt;200</w:t>
            </w:r>
          </w:p>
        </w:tc>
        <w:tc>
          <w:tcPr>
            <w:tcW w:w="3614" w:type="dxa"/>
            <w:tcBorders>
              <w:top w:val="single" w:sz="4" w:space="0" w:color="auto"/>
              <w:left w:val="single" w:sz="4" w:space="0" w:color="auto"/>
              <w:bottom w:val="single" w:sz="4" w:space="0" w:color="auto"/>
              <w:right w:val="single" w:sz="4" w:space="0" w:color="auto"/>
            </w:tcBorders>
            <w:hideMark/>
          </w:tcPr>
          <w:p w14:paraId="03EAFBCE" w14:textId="77777777" w:rsidR="00AB2ADE" w:rsidRDefault="00AB2ADE">
            <w:pPr>
              <w:ind w:right="605"/>
              <w:jc w:val="right"/>
              <w:rPr>
                <w:sz w:val="20"/>
                <w:szCs w:val="20"/>
                <w:lang w:val="en-US"/>
              </w:rPr>
            </w:pPr>
            <w:r>
              <w:rPr>
                <w:sz w:val="20"/>
                <w:szCs w:val="20"/>
                <w:lang w:val="en-US"/>
              </w:rPr>
              <w:t>190,000</w:t>
            </w:r>
          </w:p>
        </w:tc>
      </w:tr>
      <w:tr w:rsidR="00AB2ADE" w14:paraId="6FD782FD"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46558100" w14:textId="77777777" w:rsidR="00AB2ADE" w:rsidRDefault="00AB2ADE">
            <w:pPr>
              <w:ind w:left="602" w:hanging="142"/>
              <w:rPr>
                <w:sz w:val="20"/>
                <w:szCs w:val="20"/>
                <w:lang w:val="en-US"/>
              </w:rPr>
            </w:pPr>
            <w:r>
              <w:rPr>
                <w:sz w:val="20"/>
                <w:szCs w:val="20"/>
                <w:lang w:val="en-US"/>
              </w:rPr>
              <w:t>200 &lt;300</w:t>
            </w:r>
          </w:p>
        </w:tc>
        <w:tc>
          <w:tcPr>
            <w:tcW w:w="3614" w:type="dxa"/>
            <w:tcBorders>
              <w:top w:val="single" w:sz="4" w:space="0" w:color="auto"/>
              <w:left w:val="single" w:sz="4" w:space="0" w:color="auto"/>
              <w:bottom w:val="single" w:sz="4" w:space="0" w:color="auto"/>
              <w:right w:val="single" w:sz="4" w:space="0" w:color="auto"/>
            </w:tcBorders>
            <w:hideMark/>
          </w:tcPr>
          <w:p w14:paraId="5942B99C" w14:textId="77777777" w:rsidR="00AB2ADE" w:rsidRDefault="00AB2ADE">
            <w:pPr>
              <w:ind w:right="605"/>
              <w:jc w:val="right"/>
              <w:rPr>
                <w:sz w:val="20"/>
                <w:szCs w:val="20"/>
                <w:lang w:val="en-US"/>
              </w:rPr>
            </w:pPr>
            <w:r>
              <w:rPr>
                <w:sz w:val="20"/>
                <w:szCs w:val="20"/>
                <w:lang w:val="en-US"/>
              </w:rPr>
              <w:t>325,000</w:t>
            </w:r>
          </w:p>
        </w:tc>
      </w:tr>
      <w:tr w:rsidR="00AB2ADE" w14:paraId="3B00F59F" w14:textId="77777777" w:rsidTr="00AB2ADE">
        <w:tc>
          <w:tcPr>
            <w:tcW w:w="3614" w:type="dxa"/>
            <w:tcBorders>
              <w:top w:val="single" w:sz="4" w:space="0" w:color="auto"/>
              <w:left w:val="single" w:sz="4" w:space="0" w:color="auto"/>
              <w:bottom w:val="single" w:sz="4" w:space="0" w:color="auto"/>
              <w:right w:val="single" w:sz="4" w:space="0" w:color="auto"/>
            </w:tcBorders>
            <w:hideMark/>
          </w:tcPr>
          <w:p w14:paraId="39C924A3" w14:textId="77777777" w:rsidR="00AB2ADE" w:rsidRDefault="00AB2ADE">
            <w:pPr>
              <w:ind w:left="602" w:hanging="142"/>
              <w:rPr>
                <w:sz w:val="20"/>
                <w:szCs w:val="20"/>
                <w:lang w:val="en-US"/>
              </w:rPr>
            </w:pPr>
            <w:r>
              <w:rPr>
                <w:sz w:val="20"/>
                <w:szCs w:val="20"/>
                <w:lang w:val="en-US"/>
              </w:rPr>
              <w:t>300 &lt;360</w:t>
            </w:r>
          </w:p>
        </w:tc>
        <w:tc>
          <w:tcPr>
            <w:tcW w:w="3614" w:type="dxa"/>
            <w:tcBorders>
              <w:top w:val="single" w:sz="4" w:space="0" w:color="auto"/>
              <w:left w:val="single" w:sz="4" w:space="0" w:color="auto"/>
              <w:bottom w:val="single" w:sz="4" w:space="0" w:color="auto"/>
              <w:right w:val="single" w:sz="4" w:space="0" w:color="auto"/>
            </w:tcBorders>
            <w:hideMark/>
          </w:tcPr>
          <w:p w14:paraId="748F5D73" w14:textId="77777777" w:rsidR="00AB2ADE" w:rsidRDefault="00AB2ADE">
            <w:pPr>
              <w:ind w:right="605"/>
              <w:jc w:val="right"/>
              <w:rPr>
                <w:sz w:val="20"/>
                <w:szCs w:val="20"/>
                <w:lang w:val="en-US"/>
              </w:rPr>
            </w:pPr>
            <w:r>
              <w:rPr>
                <w:sz w:val="20"/>
                <w:szCs w:val="20"/>
                <w:lang w:val="en-US"/>
              </w:rPr>
              <w:t>360,000</w:t>
            </w:r>
          </w:p>
        </w:tc>
      </w:tr>
    </w:tbl>
    <w:p w14:paraId="2EDB9D85" w14:textId="77777777" w:rsidR="00AB2ADE" w:rsidRDefault="00AB2ADE" w:rsidP="00AB2ADE">
      <w:pPr>
        <w:spacing w:after="240"/>
        <w:ind w:left="2127"/>
        <w:rPr>
          <w:sz w:val="18"/>
          <w:szCs w:val="18"/>
        </w:rPr>
      </w:pPr>
      <w:r>
        <w:rPr>
          <w:sz w:val="18"/>
          <w:szCs w:val="18"/>
        </w:rPr>
        <w:t>*Plus 20 per cent funding for countries committing to reduce consumption by 10 per cent of the average HFC consumption in the baseline years</w:t>
      </w:r>
    </w:p>
    <w:p w14:paraId="3A36B91B" w14:textId="3E2D3764" w:rsidR="00AB2ADE" w:rsidRDefault="00AB2ADE" w:rsidP="00AB2ADE">
      <w:pPr>
        <w:pStyle w:val="Heading3"/>
        <w:numPr>
          <w:ilvl w:val="2"/>
          <w:numId w:val="21"/>
        </w:numPr>
      </w:pPr>
      <w:r>
        <w:t xml:space="preserve">Article 5 countries with average HFC consumption above 360 metric tonnes and below 25,000 metric tonnes in the servicing sector in the baseline years would be provided funding, which would be deducted from their starting point for aggregate reductions in HFC consumption, at a level up to </w:t>
      </w:r>
      <w:r w:rsidR="004E3C37">
        <w:t>US $</w:t>
      </w:r>
      <w:r>
        <w:t>5.10/kg on the understanding that project proposals would still need to demonstrate that the funding level was necessary to achieve at least the 10 per cent HFC reduction target;</w:t>
      </w:r>
    </w:p>
    <w:p w14:paraId="606806B7" w14:textId="77777777" w:rsidR="00AB2ADE" w:rsidRDefault="00AB2ADE" w:rsidP="00AB2ADE">
      <w:pPr>
        <w:pStyle w:val="Heading3"/>
        <w:numPr>
          <w:ilvl w:val="2"/>
          <w:numId w:val="21"/>
        </w:numPr>
      </w:pPr>
      <w:r>
        <w:t>Funding for Article 5 countries that had an average HFC consumption in servicing in baseline years above 25,000 metric tonnes would be considered on a case</w:t>
      </w:r>
      <w:r>
        <w:noBreakHyphen/>
        <w:t>by</w:t>
      </w:r>
      <w:r>
        <w:noBreakHyphen/>
        <w:t>case basis;</w:t>
      </w:r>
    </w:p>
    <w:p w14:paraId="11D68661" w14:textId="77777777" w:rsidR="00AB2ADE" w:rsidRDefault="00AB2ADE" w:rsidP="00AB2ADE">
      <w:pPr>
        <w:pStyle w:val="Heading2"/>
        <w:numPr>
          <w:ilvl w:val="1"/>
          <w:numId w:val="21"/>
        </w:numPr>
      </w:pPr>
      <w:r>
        <w:t>That Article 5 countries referred to in subparagraph (b)(iii) above that could achieve the 10 per cent reduction step in HFC consumption in line with the compliance schedule of the Montreal Protocol could receive funding up to the level determined for low</w:t>
      </w:r>
      <w:r>
        <w:noBreakHyphen/>
        <w:t>volume</w:t>
      </w:r>
      <w:r>
        <w:noBreakHyphen/>
        <w:t>consuming countries with average HFC consumption in servicing in the baseline years between 300 and 360 metric tonnes as specified in subparagraph (a)(ii) above, on the understanding that they must include in their HFC phase-down plans, as a minimum, the requirements described in subparagraph (a)(i) above; and</w:t>
      </w:r>
    </w:p>
    <w:p w14:paraId="6DEE004A" w14:textId="77777777" w:rsidR="00AB2ADE" w:rsidRDefault="00AB2ADE" w:rsidP="00AB2ADE">
      <w:pPr>
        <w:pStyle w:val="Heading2"/>
        <w:widowControl/>
        <w:numPr>
          <w:ilvl w:val="1"/>
          <w:numId w:val="21"/>
        </w:numPr>
      </w:pPr>
      <w:r>
        <w:t>To revisit the principles referred to in subparagraphs (a) and (b) in 2028 for the funding of future stages of the KIPs.</w:t>
      </w:r>
    </w:p>
    <w:p w14:paraId="5E8E1AE8" w14:textId="77777777" w:rsidR="00AB2ADE" w:rsidRDefault="00AB2ADE" w:rsidP="00AB2ADE">
      <w:pPr>
        <w:keepNext/>
        <w:spacing w:after="240"/>
        <w:rPr>
          <w:b/>
        </w:rPr>
      </w:pPr>
      <w:r>
        <w:rPr>
          <w:b/>
        </w:rPr>
        <w:t>Energy efficiency</w:t>
      </w:r>
    </w:p>
    <w:p w14:paraId="0CAB1239" w14:textId="77777777" w:rsidR="00AB2ADE" w:rsidRDefault="00AB2ADE" w:rsidP="00AB2ADE">
      <w:pPr>
        <w:widowControl w:val="0"/>
        <w:spacing w:after="240"/>
        <w:rPr>
          <w:b/>
        </w:rPr>
      </w:pPr>
      <w:r>
        <w:rPr>
          <w:b/>
        </w:rPr>
        <w:t xml:space="preserve">Capacity building to address safety </w:t>
      </w:r>
      <w:r>
        <w:rPr>
          <w:bCs/>
        </w:rPr>
        <w:t>(addressed as part of the servicing sector in line with decision 81/67(c))</w:t>
      </w:r>
    </w:p>
    <w:p w14:paraId="19E6C351" w14:textId="77777777" w:rsidR="00AB2ADE" w:rsidRDefault="00AB2ADE" w:rsidP="00B16777">
      <w:pPr>
        <w:keepNext/>
        <w:spacing w:after="240"/>
        <w:rPr>
          <w:b/>
        </w:rPr>
      </w:pPr>
      <w:r>
        <w:rPr>
          <w:b/>
        </w:rPr>
        <w:lastRenderedPageBreak/>
        <w:t>Disposal</w:t>
      </w:r>
    </w:p>
    <w:p w14:paraId="44DFAD27" w14:textId="77777777" w:rsidR="00AB2ADE" w:rsidRDefault="00AB2ADE" w:rsidP="00AB2ADE">
      <w:pPr>
        <w:widowControl w:val="0"/>
        <w:spacing w:after="240"/>
        <w:rPr>
          <w:b/>
        </w:rPr>
      </w:pPr>
      <w:r>
        <w:rPr>
          <w:b/>
        </w:rPr>
        <w:t>Eligibility of Annex F substances subject to high-ambient-temperature exemption</w:t>
      </w:r>
    </w:p>
    <w:p w14:paraId="1B133CE9" w14:textId="77777777" w:rsidR="004B728C" w:rsidRDefault="00AB2ADE" w:rsidP="004E7F9C">
      <w:r>
        <w:t>That amounts of Annex F substances that are subject to the high-ambient-temperature exemption are not eligible for funding under the Multilateral Fund while they are exempted for that Party.</w:t>
      </w:r>
    </w:p>
    <w:p w14:paraId="5E94B6BB" w14:textId="77777777" w:rsidR="004B728C" w:rsidRDefault="004B728C" w:rsidP="004B728C">
      <w:pPr>
        <w:jc w:val="center"/>
      </w:pPr>
    </w:p>
    <w:p w14:paraId="0A3301F9" w14:textId="77777777" w:rsidR="004B728C" w:rsidRDefault="004B728C" w:rsidP="004B728C">
      <w:pPr>
        <w:jc w:val="center"/>
      </w:pPr>
    </w:p>
    <w:p w14:paraId="61DF5F5C" w14:textId="77777777" w:rsidR="004B728C" w:rsidRDefault="004B728C" w:rsidP="004B728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728C" w:rsidRPr="00CC6E10" w14:paraId="70DCEC57" w14:textId="77777777" w:rsidTr="00EF7EB1">
        <w:tc>
          <w:tcPr>
            <w:tcW w:w="1871" w:type="dxa"/>
          </w:tcPr>
          <w:p w14:paraId="515A2536" w14:textId="77777777" w:rsidR="004B728C" w:rsidRPr="00CC6E10" w:rsidRDefault="004B728C" w:rsidP="0077129D">
            <w:pPr>
              <w:jc w:val="center"/>
            </w:pPr>
          </w:p>
        </w:tc>
        <w:tc>
          <w:tcPr>
            <w:tcW w:w="1872" w:type="dxa"/>
          </w:tcPr>
          <w:p w14:paraId="0A526BD3" w14:textId="77777777" w:rsidR="004B728C" w:rsidRPr="00CC6E10" w:rsidRDefault="004B728C" w:rsidP="0077129D"/>
        </w:tc>
        <w:tc>
          <w:tcPr>
            <w:tcW w:w="1872" w:type="dxa"/>
            <w:tcBorders>
              <w:bottom w:val="single" w:sz="4" w:space="0" w:color="auto"/>
            </w:tcBorders>
          </w:tcPr>
          <w:p w14:paraId="16FF4403" w14:textId="77777777" w:rsidR="004B728C" w:rsidRPr="00CC6E10" w:rsidRDefault="004B728C" w:rsidP="0077129D">
            <w:pPr>
              <w:jc w:val="center"/>
            </w:pPr>
          </w:p>
        </w:tc>
        <w:tc>
          <w:tcPr>
            <w:tcW w:w="1872" w:type="dxa"/>
          </w:tcPr>
          <w:p w14:paraId="59E0F012" w14:textId="77777777" w:rsidR="004B728C" w:rsidRPr="00CC6E10" w:rsidRDefault="004B728C" w:rsidP="0077129D">
            <w:pPr>
              <w:jc w:val="center"/>
            </w:pPr>
          </w:p>
        </w:tc>
        <w:tc>
          <w:tcPr>
            <w:tcW w:w="1873" w:type="dxa"/>
          </w:tcPr>
          <w:p w14:paraId="2566B93C" w14:textId="77777777" w:rsidR="004B728C" w:rsidRPr="00CC6E10" w:rsidRDefault="004B728C" w:rsidP="0077129D">
            <w:pPr>
              <w:jc w:val="center"/>
            </w:pPr>
          </w:p>
        </w:tc>
      </w:tr>
    </w:tbl>
    <w:p w14:paraId="6663B2A0" w14:textId="77777777" w:rsidR="004B728C" w:rsidRDefault="004B728C" w:rsidP="004B728C">
      <w:pPr>
        <w:jc w:val="center"/>
        <w:outlineLvl w:val="0"/>
      </w:pPr>
    </w:p>
    <w:p w14:paraId="6060133A" w14:textId="77777777" w:rsidR="00DA0406" w:rsidRDefault="00DA0406" w:rsidP="004E7F9C"/>
    <w:p w14:paraId="68A75762" w14:textId="77777777" w:rsidR="00DA0406" w:rsidRPr="009B0D30" w:rsidRDefault="00DA0406" w:rsidP="004E7F9C"/>
    <w:sectPr w:rsidR="00DA0406" w:rsidRPr="009B0D30" w:rsidSect="00E969BC">
      <w:headerReference w:type="even" r:id="rId27"/>
      <w:headerReference w:type="defaul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3E138" w14:textId="77777777" w:rsidR="00A20C85" w:rsidRDefault="00A20C85" w:rsidP="004A504B">
      <w:r>
        <w:separator/>
      </w:r>
    </w:p>
  </w:endnote>
  <w:endnote w:type="continuationSeparator" w:id="0">
    <w:p w14:paraId="3D92989F" w14:textId="77777777" w:rsidR="00A20C85" w:rsidRDefault="00A20C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20B0503020202020204"/>
    <w:charset w:val="00"/>
    <w:family w:val="swiss"/>
    <w:pitch w:val="variable"/>
    <w:sig w:usb0="80000287" w:usb1="00000000" w:usb2="00000000" w:usb3="00000000" w:csb0="0000000F" w:csb1="00000000"/>
  </w:font>
  <w:font w:name="Univers Bold">
    <w:altName w:val="Arial"/>
    <w:panose1 w:val="020B0604020202020204"/>
    <w:charset w:val="00"/>
    <w:family w:val="swiss"/>
    <w:pitch w:val="default"/>
    <w:sig w:usb0="00000003" w:usb1="00000000" w:usb2="00000000" w:usb3="00000000" w:csb0="00000001" w:csb1="00000000"/>
  </w:font>
  <w:font w:name="Times New Roman Bold">
    <w:altName w:val="Times New Roman"/>
    <w:panose1 w:val="020B06040202020202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6043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FA6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0308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A1B4E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17454" w14:textId="77777777" w:rsidR="00DA0406" w:rsidRPr="0033525D" w:rsidRDefault="00DA0406">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0413C5" w14:textId="77777777" w:rsidR="00A20C85" w:rsidRDefault="00A20C85" w:rsidP="004A504B">
      <w:r>
        <w:separator/>
      </w:r>
    </w:p>
  </w:footnote>
  <w:footnote w:type="continuationSeparator" w:id="0">
    <w:p w14:paraId="38B5E4EB" w14:textId="77777777" w:rsidR="00A20C85" w:rsidRDefault="00A20C85" w:rsidP="004A504B">
      <w:r>
        <w:continuationSeparator/>
      </w:r>
    </w:p>
  </w:footnote>
  <w:footnote w:id="1">
    <w:p w14:paraId="55EAB122"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2">
    <w:p w14:paraId="3D97CC20" w14:textId="77777777" w:rsidR="004B451F" w:rsidRDefault="004B451F" w:rsidP="004B451F">
      <w:pPr>
        <w:pStyle w:val="FootnoteText"/>
      </w:pPr>
      <w:r>
        <w:rPr>
          <w:rStyle w:val="FootnoteReference"/>
        </w:rPr>
        <w:footnoteRef/>
      </w:r>
      <w:r>
        <w:t xml:space="preserve"> Decision XXVIII/2 related to the amendment phasing down HFCs includes several elements that pertain to the operation of the Multilateral Fund, and thus are for the consideration of the Executive Committee; decision XXX/4 related to progress by the Executive Committee of the Multilateral Fund in the development of guidelines for financing the phase</w:t>
      </w:r>
      <w:r>
        <w:noBreakHyphen/>
        <w:t>down of HFCs.</w:t>
      </w:r>
    </w:p>
  </w:footnote>
  <w:footnote w:id="3">
    <w:p w14:paraId="2C8C1E1C" w14:textId="77777777" w:rsidR="004B451F" w:rsidRDefault="004B451F" w:rsidP="004B451F">
      <w:pPr>
        <w:pStyle w:val="FootnoteText"/>
      </w:pPr>
      <w:r>
        <w:rPr>
          <w:rStyle w:val="FootnoteReference"/>
        </w:rPr>
        <w:footnoteRef/>
      </w:r>
      <w:r>
        <w:t xml:space="preserve"> UNEP/OzL.Pro/ExCom/92/46</w:t>
      </w:r>
    </w:p>
  </w:footnote>
  <w:footnote w:id="4">
    <w:p w14:paraId="166BE281" w14:textId="1D03739E" w:rsidR="004B451F" w:rsidRDefault="004B451F" w:rsidP="004B451F">
      <w:pPr>
        <w:pStyle w:val="FootnoteText"/>
      </w:pPr>
      <w:r>
        <w:rPr>
          <w:rStyle w:val="FootnoteReference"/>
        </w:rPr>
        <w:footnoteRef/>
      </w:r>
      <w:r w:rsidR="00E238F5">
        <w:t> </w:t>
      </w:r>
      <w:r>
        <w:t>Complemented by related information in documents UNEP/OzL.Pro/ExCom/89/10/Rev.1 and UNEP/OzL.Pro/ExCom/89/10/Add.1 (cost</w:t>
      </w:r>
      <w:r>
        <w:noBreakHyphen/>
        <w:t>effectiveness thresholds), UNEP/OzL.Pro/ExCom/91/66 (disposal), and UNEP/OzL.Pro/ExCom/93/97 (starting point).</w:t>
      </w:r>
    </w:p>
  </w:footnote>
  <w:footnote w:id="5">
    <w:p w14:paraId="43DD2988" w14:textId="77777777" w:rsidR="004B451F" w:rsidRDefault="004B451F" w:rsidP="004B451F">
      <w:pPr>
        <w:pStyle w:val="FootnoteText"/>
        <w:shd w:val="clear" w:color="auto" w:fill="FFFFFF" w:themeFill="background1"/>
      </w:pPr>
      <w:r>
        <w:rPr>
          <w:rStyle w:val="FootnoteReference"/>
        </w:rPr>
        <w:footnoteRef/>
      </w:r>
      <w:r>
        <w:t xml:space="preserve"> Parties to the Montreal Protocol may identify other items to be added to the indicative list of incremental costs emanating from conversion to low-GWP alternatives.</w:t>
      </w:r>
    </w:p>
  </w:footnote>
  <w:footnote w:id="6">
    <w:p w14:paraId="48C266A3" w14:textId="77777777" w:rsidR="00DB1155" w:rsidRDefault="00DB1155" w:rsidP="00DB1155">
      <w:pPr>
        <w:pStyle w:val="FootnoteText"/>
      </w:pPr>
      <w:r>
        <w:rPr>
          <w:rStyle w:val="FootnoteReference"/>
        </w:rPr>
        <w:footnoteRef/>
      </w:r>
      <w:r>
        <w:t xml:space="preserve"> Based on paragraphs 8 to 38 of document UNEP/OzL.Pro/ExCom/94/61.</w:t>
      </w:r>
    </w:p>
  </w:footnote>
  <w:footnote w:id="7">
    <w:p w14:paraId="323FAB95" w14:textId="0F15D15C" w:rsidR="00EB2110" w:rsidRPr="00EB2110" w:rsidRDefault="00EB2110">
      <w:pPr>
        <w:pStyle w:val="FootnoteText"/>
      </w:pPr>
      <w:r>
        <w:rPr>
          <w:rStyle w:val="FootnoteReference"/>
        </w:rPr>
        <w:footnoteRef/>
      </w:r>
      <w:r>
        <w:t xml:space="preserve"> </w:t>
      </w:r>
      <w:r w:rsidRPr="00EB2110">
        <w:t>At the 93</w:t>
      </w:r>
      <w:r w:rsidR="00D8142B" w:rsidRPr="00D8142B">
        <w:rPr>
          <w:vertAlign w:val="superscript"/>
        </w:rPr>
        <w:t>rd</w:t>
      </w:r>
      <w:r w:rsidR="00D8142B">
        <w:t xml:space="preserve"> </w:t>
      </w:r>
      <w:r w:rsidRPr="00EB2110">
        <w:t>meeting, the Executive Committee decided to request the Secretariat to prepare, for consideration by the Committee at its 97</w:t>
      </w:r>
      <w:r w:rsidRPr="00D8142B">
        <w:rPr>
          <w:vertAlign w:val="superscript"/>
        </w:rPr>
        <w:t>th</w:t>
      </w:r>
      <w:r w:rsidR="00D8142B">
        <w:t xml:space="preserve"> </w:t>
      </w:r>
      <w:r w:rsidRPr="00EB2110">
        <w:t>meeting, a report providing an overview of the report of the Technology and Economic Assessment Panel and the outcomes of the workshop that would be held in line with decision XXXV/11 of the Thirty</w:t>
      </w:r>
      <w:r w:rsidR="00B1223F">
        <w:t>-</w:t>
      </w:r>
      <w:r w:rsidRPr="00EB2110">
        <w:t>Fifth Meeting of the Parties; and of the status of implementation and preliminary outcomes of the projects submitted under decision 91/66 with a view to considering the establishment of a funding window in line with decision XXXV/11 (decision 93/104).</w:t>
      </w:r>
    </w:p>
  </w:footnote>
  <w:footnote w:id="8">
    <w:p w14:paraId="3904D5BD" w14:textId="77777777" w:rsidR="00172343" w:rsidRPr="00244536" w:rsidRDefault="00172343" w:rsidP="00172343">
      <w:pPr>
        <w:pStyle w:val="FootnoteText"/>
      </w:pPr>
      <w:r>
        <w:rPr>
          <w:rStyle w:val="FootnoteReference"/>
        </w:rPr>
        <w:footnoteRef/>
      </w:r>
      <w:r>
        <w:t xml:space="preserve"> The incremental costs comprise the incremental capital costs and IOCs. </w:t>
      </w:r>
    </w:p>
  </w:footnote>
  <w:footnote w:id="9">
    <w:p w14:paraId="6CDFF2A2" w14:textId="7E4AF949" w:rsidR="00B42CFE" w:rsidRPr="00B42CFE" w:rsidRDefault="00B42CFE">
      <w:pPr>
        <w:pStyle w:val="FootnoteText"/>
      </w:pPr>
      <w:r>
        <w:rPr>
          <w:rStyle w:val="FootnoteReference"/>
        </w:rPr>
        <w:footnoteRef/>
      </w:r>
      <w:r>
        <w:t xml:space="preserve"> </w:t>
      </w:r>
      <w:r w:rsidR="00712F42" w:rsidRPr="00712F42">
        <w:t>Decisions 18/25 and 25/48</w:t>
      </w:r>
      <w:r w:rsidR="00712F42">
        <w:t>.</w:t>
      </w:r>
    </w:p>
  </w:footnote>
  <w:footnote w:id="10">
    <w:p w14:paraId="0AA5F2C5" w14:textId="77777777" w:rsidR="004B451F" w:rsidRDefault="004B451F" w:rsidP="009955FD">
      <w:pPr>
        <w:pStyle w:val="FootnoteText"/>
        <w:widowControl w:val="0"/>
      </w:pPr>
      <w:r>
        <w:rPr>
          <w:rStyle w:val="FootnoteReference"/>
        </w:rPr>
        <w:footnoteRef/>
      </w:r>
      <w:r>
        <w:t xml:space="preserve"> The Executive Committee considered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w:t>
      </w:r>
    </w:p>
  </w:footnote>
  <w:footnote w:id="11">
    <w:p w14:paraId="1B5F1C27" w14:textId="77777777" w:rsidR="004B451F" w:rsidRDefault="004B451F" w:rsidP="009955FD">
      <w:pPr>
        <w:pStyle w:val="FootnoteText"/>
        <w:widowControl w:val="0"/>
      </w:pPr>
      <w:r>
        <w:rPr>
          <w:rStyle w:val="FootnoteReference"/>
        </w:rPr>
        <w:footnoteRef/>
      </w:r>
      <w:r>
        <w:t xml:space="preserve"> Projects submitted under decision 78/3(g) would be considered on a case-by-case basis, should be in individual enterprises deciding to convert to mature technologies, have broad replicability to the country or region or sector, take into account geographic distribution, and must be fully implemented by no more than two years from the time of their approval; the relevant project completion reports should be comprehensive with detailed information on the eligible ICCs, IOCs, any possible savings incurred during the conversion and relevant factors that facilitated implementation; and any remaining funds would be returned to the Multilateral Fund no later than one year after the date of project completion as per the project proposals.</w:t>
      </w:r>
    </w:p>
  </w:footnote>
  <w:footnote w:id="12">
    <w:p w14:paraId="2AC7BA91" w14:textId="77777777" w:rsidR="004B451F" w:rsidRDefault="004B451F" w:rsidP="009955FD">
      <w:pPr>
        <w:pStyle w:val="FootnoteText"/>
        <w:widowControl w:val="0"/>
      </w:pPr>
      <w:r>
        <w:rPr>
          <w:rStyle w:val="FootnoteReference"/>
        </w:rPr>
        <w:footnoteRef/>
      </w:r>
      <w:r>
        <w:t xml:space="preserve"> To invite bilateral and implementing agencies to prepare and present project proposals for conversion to alternatives to HFCs and promotion of new technologies, for submission up to and including the 84</w:t>
      </w:r>
      <w:r>
        <w:rPr>
          <w:vertAlign w:val="superscript"/>
        </w:rPr>
        <w:t>th</w:t>
      </w:r>
      <w:r>
        <w:t xml:space="preserve"> meeting, especially in sectors and regions that were not covered by projects approved up to and including the 81</w:t>
      </w:r>
      <w:r>
        <w:rPr>
          <w:vertAlign w:val="superscript"/>
        </w:rPr>
        <w:t>st</w:t>
      </w:r>
      <w:r>
        <w:t xml:space="preserve"> meeting</w:t>
      </w:r>
    </w:p>
  </w:footnote>
  <w:footnote w:id="13">
    <w:p w14:paraId="4B4D2192" w14:textId="77777777" w:rsidR="004B451F" w:rsidRDefault="004B451F" w:rsidP="009955FD">
      <w:pPr>
        <w:pStyle w:val="FootnoteText"/>
        <w:widowControl w:val="0"/>
      </w:pPr>
      <w:r>
        <w:rPr>
          <w:rStyle w:val="FootnoteReference"/>
        </w:rPr>
        <w:footnoteRef/>
      </w:r>
      <w:r>
        <w:t xml:space="preserve"> To consider proposals for such projects up to the 87</w:t>
      </w:r>
      <w:r>
        <w:rPr>
          <w:vertAlign w:val="superscript"/>
        </w:rPr>
        <w:t>th</w:t>
      </w:r>
      <w:r>
        <w:t xml:space="preserve"> meeting, in accordance with the criteria set out in decisions 78/3(g), 79/45, and 81/53, and prioritizing projects in the stationary AC, commercial refrigeration, and mobile AC sectors.</w:t>
      </w:r>
    </w:p>
  </w:footnote>
  <w:footnote w:id="14">
    <w:p w14:paraId="690DB029" w14:textId="4F3AD0E2" w:rsidR="004B451F" w:rsidRDefault="004B451F" w:rsidP="009955FD">
      <w:pPr>
        <w:pStyle w:val="FootnoteText"/>
        <w:widowControl w:val="0"/>
        <w:rPr>
          <w:lang w:val="en-US"/>
        </w:rPr>
      </w:pPr>
      <w:r>
        <w:rPr>
          <w:rStyle w:val="FootnoteReference"/>
        </w:rPr>
        <w:footnoteRef/>
      </w:r>
      <w:r>
        <w:t xml:space="preserve"> Projects at a total value of </w:t>
      </w:r>
      <w:r w:rsidR="004E3C37">
        <w:t>US $</w:t>
      </w:r>
      <w:r>
        <w:t>13,397,249 (plus agency support costs) were approved for Argentina, Bangladesh, China, the Dominican Republic, Jordan, Lebanon, Mexico (two), Thailand, and Zimbabwe to phase down 1,090 mt (1.63 million CO</w:t>
      </w:r>
      <w:r>
        <w:rPr>
          <w:vertAlign w:val="subscript"/>
        </w:rPr>
        <w:t>2</w:t>
      </w:r>
      <w:r>
        <w:t>-eq tonnes) of HFCs.</w:t>
      </w:r>
    </w:p>
  </w:footnote>
  <w:footnote w:id="15">
    <w:p w14:paraId="4D2BF1BB" w14:textId="77777777" w:rsidR="004B451F" w:rsidRDefault="004B451F" w:rsidP="004B451F">
      <w:pPr>
        <w:pStyle w:val="FootnoteText"/>
        <w:rPr>
          <w:lang w:val="en-US"/>
        </w:rPr>
      </w:pPr>
      <w:r>
        <w:rPr>
          <w:rStyle w:val="FootnoteReference"/>
        </w:rPr>
        <w:footnoteRef/>
      </w:r>
      <w:r>
        <w:t xml:space="preserve"> </w:t>
      </w:r>
      <w:r>
        <w:rPr>
          <w:rFonts w:eastAsia="Calibri"/>
        </w:rPr>
        <w:t>Annex XXXII of document UNEP/OzL.Pro/ExCom/91/72.</w:t>
      </w:r>
    </w:p>
  </w:footnote>
  <w:footnote w:id="16">
    <w:p w14:paraId="3FD23B2D" w14:textId="1A2E6D5E" w:rsidR="00775702" w:rsidRPr="00775702" w:rsidRDefault="00775702">
      <w:pPr>
        <w:pStyle w:val="FootnoteText"/>
      </w:pPr>
      <w:r>
        <w:rPr>
          <w:rStyle w:val="FootnoteReference"/>
        </w:rPr>
        <w:footnoteRef/>
      </w:r>
      <w:r>
        <w:t xml:space="preserve"> Agreed cost-effectiveness thresholds are for large enterprises.</w:t>
      </w:r>
    </w:p>
  </w:footnote>
  <w:footnote w:id="17">
    <w:p w14:paraId="29E56ECC" w14:textId="77777777" w:rsidR="004B451F" w:rsidRDefault="004B451F" w:rsidP="004B451F">
      <w:pPr>
        <w:pStyle w:val="FootnoteText"/>
      </w:pPr>
      <w:r>
        <w:rPr>
          <w:rStyle w:val="FootnoteReference"/>
        </w:rPr>
        <w:footnoteRef/>
      </w:r>
      <w:r>
        <w:t xml:space="preserve"> </w:t>
      </w:r>
      <w:r>
        <w:rPr>
          <w:rFonts w:eastAsia="Calibri"/>
        </w:rPr>
        <w:t>Annex XXXII of document UNEP/OzL.Pro/ExCom/91/72.</w:t>
      </w:r>
    </w:p>
  </w:footnote>
  <w:footnote w:id="18">
    <w:p w14:paraId="61D8561C" w14:textId="77777777" w:rsidR="004B451F" w:rsidRDefault="004B451F" w:rsidP="004B451F">
      <w:pPr>
        <w:pStyle w:val="FootnoteText"/>
        <w:rPr>
          <w:lang w:val="en-US"/>
        </w:rPr>
      </w:pPr>
      <w:r>
        <w:rPr>
          <w:rStyle w:val="FootnoteReference"/>
        </w:rPr>
        <w:footnoteRef/>
      </w:r>
      <w:r>
        <w:t xml:space="preserve"> Synthesis report describing best practices and ways for the Executive Committee to consider operationalizing paragraph 24 of decision XXVIII/2 (decision 84/87(b)).</w:t>
      </w:r>
    </w:p>
  </w:footnote>
  <w:footnote w:id="19">
    <w:p w14:paraId="436C4D62" w14:textId="77777777" w:rsidR="004B451F" w:rsidRDefault="004B451F" w:rsidP="004B451F">
      <w:pPr>
        <w:pStyle w:val="FootnoteText"/>
      </w:pPr>
      <w:r>
        <w:rPr>
          <w:rStyle w:val="FootnoteReference"/>
        </w:rPr>
        <w:footnoteRef/>
      </w:r>
      <w:r>
        <w:t xml:space="preserve"> UNEP/OzL.Pro/ExCom/91/66</w:t>
      </w:r>
    </w:p>
  </w:footnote>
  <w:footnote w:id="20">
    <w:p w14:paraId="2CE180F2" w14:textId="299A75F9" w:rsidR="004B451F" w:rsidRDefault="004B451F" w:rsidP="004B451F">
      <w:pPr>
        <w:pStyle w:val="FootnoteText"/>
        <w:rPr>
          <w:lang w:val="en-US"/>
        </w:rPr>
      </w:pPr>
      <w:r>
        <w:rPr>
          <w:rStyle w:val="FootnoteReference"/>
        </w:rPr>
        <w:footnoteRef/>
      </w:r>
      <w:r>
        <w:t xml:space="preserve"> </w:t>
      </w:r>
      <w:proofErr w:type="spellStart"/>
      <w:r w:rsidR="00B23FB4" w:rsidRPr="00B23FB4">
        <w:t>Annnex</w:t>
      </w:r>
      <w:proofErr w:type="spellEnd"/>
      <w:r w:rsidR="00B23FB4" w:rsidRPr="00B23FB4">
        <w:t xml:space="preserve"> VI of document UNEP/OzL.Pro/ExCom/94/60</w:t>
      </w:r>
      <w:r w:rsidR="00B23FB4">
        <w:t xml:space="preserve"> that </w:t>
      </w:r>
      <w:r>
        <w:t>contains the historical consideration of SMEs by the Executive Committee.</w:t>
      </w:r>
    </w:p>
  </w:footnote>
  <w:footnote w:id="21">
    <w:p w14:paraId="621C7D4F" w14:textId="0CEF7E81" w:rsidR="004B451F" w:rsidRDefault="004B451F" w:rsidP="004B451F">
      <w:pPr>
        <w:pStyle w:val="FootnoteText"/>
        <w:rPr>
          <w:lang w:val="en-US"/>
        </w:rPr>
      </w:pPr>
      <w:r>
        <w:rPr>
          <w:rStyle w:val="FootnoteReference"/>
        </w:rPr>
        <w:footnoteRef/>
      </w:r>
      <w:r>
        <w:t xml:space="preserve"> </w:t>
      </w:r>
      <w:r w:rsidR="00A6646A">
        <w:t>Ibid</w:t>
      </w:r>
      <w:r w:rsidR="00011B64">
        <w:t>.</w:t>
      </w:r>
    </w:p>
  </w:footnote>
  <w:footnote w:id="22">
    <w:p w14:paraId="7A001EC8" w14:textId="77777777" w:rsidR="004B451F" w:rsidRDefault="004B451F" w:rsidP="004B451F">
      <w:pPr>
        <w:pStyle w:val="FootnoteText"/>
      </w:pPr>
      <w:r>
        <w:rPr>
          <w:rStyle w:val="FootnoteReference"/>
        </w:rPr>
        <w:footnoteRef/>
      </w:r>
      <w:r>
        <w:t xml:space="preserve"> Document UNEP/OzL.Pro/ExCom/92/45 incorrectly indicated that the analysis was based on 89 enterprises.</w:t>
      </w:r>
    </w:p>
  </w:footnote>
  <w:footnote w:id="23">
    <w:p w14:paraId="71A9CBC0" w14:textId="77777777" w:rsidR="004B451F" w:rsidRDefault="004B451F" w:rsidP="004B451F">
      <w:pPr>
        <w:pStyle w:val="FootnoteText"/>
      </w:pPr>
      <w:r>
        <w:rPr>
          <w:rStyle w:val="FootnoteReference"/>
        </w:rPr>
        <w:footnoteRef/>
      </w:r>
      <w:r>
        <w:t xml:space="preserve"> Calculated based on a consumption of 7 mt and a refrigerant charge of 175 g/unit, a threshold below which commercial RAC equipment is not manufactured.</w:t>
      </w:r>
    </w:p>
  </w:footnote>
  <w:footnote w:id="24">
    <w:p w14:paraId="1152536C" w14:textId="1D11E283" w:rsidR="00F3123D" w:rsidRDefault="00F3123D" w:rsidP="00F3123D">
      <w:pPr>
        <w:pStyle w:val="FootnoteText"/>
      </w:pPr>
      <w:r>
        <w:rPr>
          <w:rStyle w:val="FootnoteReference"/>
        </w:rPr>
        <w:footnoteRef/>
      </w:r>
      <w:r>
        <w:t xml:space="preserve"> Subsequent proposal was made by non-Article 5 countries (see</w:t>
      </w:r>
      <w:r w:rsidR="008446B8">
        <w:t xml:space="preserve"> </w:t>
      </w:r>
      <w:r w:rsidR="00BE3C63">
        <w:t>a</w:t>
      </w:r>
      <w:r w:rsidR="008446B8">
        <w:t>nnex I</w:t>
      </w:r>
      <w:r>
        <w:t>).</w:t>
      </w:r>
    </w:p>
  </w:footnote>
  <w:footnote w:id="25">
    <w:p w14:paraId="0B1CB75C" w14:textId="7D44597D" w:rsidR="00107977" w:rsidRDefault="00107977" w:rsidP="00107977">
      <w:pPr>
        <w:pStyle w:val="FootnoteText"/>
      </w:pPr>
      <w:r>
        <w:rPr>
          <w:rStyle w:val="FootnoteReference"/>
        </w:rPr>
        <w:footnoteRef/>
      </w:r>
      <w:r>
        <w:t xml:space="preserve"> Subsequent proposal was made by Article 5 countries (see </w:t>
      </w:r>
      <w:r w:rsidR="003524F6">
        <w:t>a</w:t>
      </w:r>
      <w:r w:rsidR="00B8160E">
        <w:t>nnex I</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5EA6D" w14:textId="0650FD27" w:rsidR="00DC6A10" w:rsidRPr="0033525D" w:rsidRDefault="00B4102D">
    <w:fldSimple w:instr=" DOCPROPERTY &quot;Document number&quot;  \* MERGEFORMAT ">
      <w:r w:rsidR="00E72922">
        <w:t>UNEP/OzL.Pro/ExCom/95/86</w:t>
      </w:r>
    </w:fldSimple>
  </w:p>
  <w:p w14:paraId="2470FC92" w14:textId="77777777" w:rsidR="00DC6A10" w:rsidRDefault="00DC6A10"/>
  <w:p w14:paraId="515D1542" w14:textId="77777777" w:rsidR="00B66E1B" w:rsidRPr="0033525D" w:rsidRDefault="00B66E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55189" w14:textId="5217474B" w:rsidR="00DC6A10" w:rsidRPr="0033525D" w:rsidRDefault="00B4102D">
    <w:pPr>
      <w:jc w:val="right"/>
    </w:pPr>
    <w:fldSimple w:instr=" DOCPROPERTY &quot;Document number&quot;  \* MERGEFORMAT ">
      <w:r w:rsidR="00E72922">
        <w:t>UNEP/OzL.Pro/ExCom/95/86</w:t>
      </w:r>
    </w:fldSimple>
  </w:p>
  <w:p w14:paraId="4675C29F" w14:textId="6D2AA91F" w:rsidR="00DC6A10" w:rsidRPr="0033525D" w:rsidRDefault="00DC6A10" w:rsidP="00DA0406">
    <w:pPr>
      <w:jc w:val="right"/>
    </w:pPr>
  </w:p>
  <w:p w14:paraId="2EB81D0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AA0ED" w14:textId="46213AB6" w:rsidR="0074201C" w:rsidRPr="0033525D" w:rsidRDefault="00B4102D">
    <w:pPr>
      <w:jc w:val="right"/>
    </w:pPr>
    <w:fldSimple w:instr=" DOCPROPERTY &quot;Document number&quot;  \* MERGEFORMAT ">
      <w:r w:rsidR="009704D1">
        <w:t>UNEP/OzL.Pro/ExCom/95/86</w:t>
      </w:r>
    </w:fldSimple>
  </w:p>
  <w:p w14:paraId="2F3C8BBA" w14:textId="77777777" w:rsidR="0074201C" w:rsidRPr="0033525D" w:rsidRDefault="0074201C" w:rsidP="00DA0406">
    <w:pPr>
      <w:jc w:val="right"/>
    </w:pPr>
    <w:r>
      <w:t>Annex I</w:t>
    </w:r>
  </w:p>
  <w:p w14:paraId="40C91A10" w14:textId="77777777" w:rsidR="0074201C" w:rsidRPr="0033525D" w:rsidRDefault="007420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89E63" w14:textId="77777777" w:rsidR="00DA0406" w:rsidRPr="0033525D" w:rsidRDefault="00DA0406" w:rsidP="00DA0406">
    <w:pPr>
      <w:jc w:val="right"/>
    </w:pPr>
    <w:fldSimple w:instr=" DOCPROPERTY &quot;Document number&quot;  \* MERGEFORMAT ">
      <w:r>
        <w:t>UNEP/OzL.Pro/ExCom/95/1</w:t>
      </w:r>
    </w:fldSimple>
  </w:p>
  <w:p w14:paraId="2D951CAD" w14:textId="36DF7989" w:rsidR="00DA0406" w:rsidRDefault="00DA0406" w:rsidP="00DA0406">
    <w:pPr>
      <w:pStyle w:val="Header"/>
      <w:jc w:val="right"/>
    </w:pPr>
    <w:r>
      <w:tab/>
    </w:r>
    <w:r>
      <w:tab/>
      <w:t>Annex I</w:t>
    </w:r>
  </w:p>
  <w:p w14:paraId="40115767" w14:textId="77777777" w:rsidR="00DA0406" w:rsidRDefault="00DA0406" w:rsidP="00DA040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7347C" w14:textId="49F424F0" w:rsidR="00F3123D" w:rsidRPr="0033525D" w:rsidRDefault="00B4102D">
    <w:pPr>
      <w:jc w:val="right"/>
    </w:pPr>
    <w:fldSimple w:instr=" DOCPROPERTY &quot;Document number&quot;  \* MERGEFORMAT ">
      <w:r w:rsidR="009704D1">
        <w:t>UNEP/OzL.Pro/ExCom/95/86</w:t>
      </w:r>
    </w:fldSimple>
  </w:p>
  <w:p w14:paraId="169556B6" w14:textId="6C5C3FFF" w:rsidR="00F3123D" w:rsidRPr="0033525D" w:rsidRDefault="00F3123D" w:rsidP="00DA0406">
    <w:pPr>
      <w:jc w:val="right"/>
    </w:pPr>
    <w:r>
      <w:t>Annex II</w:t>
    </w:r>
  </w:p>
  <w:p w14:paraId="7A2C398A" w14:textId="77777777" w:rsidR="00F3123D" w:rsidRPr="0033525D" w:rsidRDefault="00F312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2D9E3" w14:textId="6425A575" w:rsidR="00467D4B" w:rsidRPr="0033525D" w:rsidRDefault="00B4102D">
    <w:pPr>
      <w:jc w:val="right"/>
    </w:pPr>
    <w:fldSimple w:instr=" DOCPROPERTY &quot;Document number&quot;  \* MERGEFORMAT ">
      <w:r w:rsidR="009704D1">
        <w:t>UNEP/OzL.Pro/ExCom/95/86</w:t>
      </w:r>
    </w:fldSimple>
  </w:p>
  <w:p w14:paraId="0A2DBD59" w14:textId="17273857" w:rsidR="00467D4B" w:rsidRPr="0033525D" w:rsidRDefault="00467D4B" w:rsidP="00DA0406">
    <w:pPr>
      <w:jc w:val="right"/>
    </w:pPr>
    <w:r>
      <w:t>Annex III</w:t>
    </w:r>
  </w:p>
  <w:p w14:paraId="17C5B7C1" w14:textId="77777777" w:rsidR="00467D4B" w:rsidRPr="0033525D" w:rsidRDefault="00467D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E3757" w14:textId="01BB49DD" w:rsidR="00107977" w:rsidRPr="0033525D" w:rsidRDefault="00B4102D">
    <w:pPr>
      <w:jc w:val="right"/>
    </w:pPr>
    <w:fldSimple w:instr=" DOCPROPERTY &quot;Document number&quot;  \* MERGEFORMAT ">
      <w:r w:rsidR="009704D1">
        <w:t>UNEP/OzL.Pro/ExCom/95/86</w:t>
      </w:r>
    </w:fldSimple>
  </w:p>
  <w:p w14:paraId="540DDFA4" w14:textId="149BC048" w:rsidR="00107977" w:rsidRPr="0033525D" w:rsidRDefault="00107977" w:rsidP="00DA0406">
    <w:pPr>
      <w:jc w:val="right"/>
    </w:pPr>
    <w:r>
      <w:t>Annex I</w:t>
    </w:r>
    <w:r w:rsidR="00E969BC">
      <w:t>V</w:t>
    </w:r>
  </w:p>
  <w:p w14:paraId="33498B05" w14:textId="77777777" w:rsidR="00107977" w:rsidRPr="0033525D" w:rsidRDefault="001079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FF60B" w14:textId="62332C94" w:rsidR="00E969BC" w:rsidRPr="0033525D" w:rsidRDefault="00B4102D">
    <w:pPr>
      <w:jc w:val="right"/>
    </w:pPr>
    <w:fldSimple w:instr=" DOCPROPERTY &quot;Document number&quot;  \* MERGEFORMAT ">
      <w:r w:rsidR="009704D1">
        <w:t>UNEP/OzL.Pro/ExCom/95/86</w:t>
      </w:r>
    </w:fldSimple>
  </w:p>
  <w:p w14:paraId="001EF19F" w14:textId="35DAD532" w:rsidR="00E969BC" w:rsidRPr="0033525D" w:rsidRDefault="00E969BC" w:rsidP="00DA0406">
    <w:pPr>
      <w:jc w:val="right"/>
    </w:pPr>
    <w:r>
      <w:t>Annex V</w:t>
    </w:r>
  </w:p>
  <w:p w14:paraId="3E280A59" w14:textId="77777777" w:rsidR="00E969BC" w:rsidRPr="0033525D" w:rsidRDefault="00E969B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0D963" w14:textId="77777777" w:rsidR="00090985" w:rsidRPr="0033525D" w:rsidRDefault="00090985">
    <w:fldSimple w:instr=" DOCPROPERTY &quot;Document number&quot;  \* MERGEFORMAT ">
      <w:r>
        <w:t>UNEP/OzL.Pro/ExCom/95/86</w:t>
      </w:r>
    </w:fldSimple>
  </w:p>
  <w:p w14:paraId="0490A94C" w14:textId="0B22DFD5" w:rsidR="00090985" w:rsidRDefault="00090985">
    <w:r>
      <w:t>Annex VI</w:t>
    </w:r>
  </w:p>
  <w:p w14:paraId="3CBB85AD" w14:textId="77777777" w:rsidR="00090985" w:rsidRPr="0033525D" w:rsidRDefault="0009098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9E7BA" w14:textId="79ED2947" w:rsidR="004B728C" w:rsidRPr="0033525D" w:rsidRDefault="00B4102D">
    <w:pPr>
      <w:jc w:val="right"/>
    </w:pPr>
    <w:fldSimple w:instr=" DOCPROPERTY &quot;Document number&quot;  \* MERGEFORMAT ">
      <w:r w:rsidR="009704D1">
        <w:t>UNEP/OzL.Pro/ExCom/95/86</w:t>
      </w:r>
    </w:fldSimple>
  </w:p>
  <w:p w14:paraId="205BB7D1" w14:textId="1D2CC5AC" w:rsidR="004B728C" w:rsidRPr="0033525D" w:rsidRDefault="004B728C" w:rsidP="00DA0406">
    <w:pPr>
      <w:jc w:val="right"/>
    </w:pPr>
    <w:r>
      <w:t>Annex VI</w:t>
    </w:r>
  </w:p>
  <w:p w14:paraId="79A7A078" w14:textId="77777777" w:rsidR="004B728C" w:rsidRPr="0033525D" w:rsidRDefault="004B7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9432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102288">
    <w:abstractNumId w:val="11"/>
  </w:num>
  <w:num w:numId="23" w16cid:durableId="2014338048">
    <w:abstractNumId w:val="16"/>
  </w:num>
  <w:num w:numId="24" w16cid:durableId="19269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446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37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10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7001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5653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451F"/>
    <w:rsid w:val="00000FED"/>
    <w:rsid w:val="00003EBC"/>
    <w:rsid w:val="0000434E"/>
    <w:rsid w:val="00005EBC"/>
    <w:rsid w:val="00011B64"/>
    <w:rsid w:val="000138E6"/>
    <w:rsid w:val="0002114C"/>
    <w:rsid w:val="000211A9"/>
    <w:rsid w:val="00021238"/>
    <w:rsid w:val="00022071"/>
    <w:rsid w:val="00024B50"/>
    <w:rsid w:val="000256FC"/>
    <w:rsid w:val="00031260"/>
    <w:rsid w:val="0003681A"/>
    <w:rsid w:val="000372B7"/>
    <w:rsid w:val="00042906"/>
    <w:rsid w:val="0004435C"/>
    <w:rsid w:val="000443BB"/>
    <w:rsid w:val="00046ACE"/>
    <w:rsid w:val="00050F6E"/>
    <w:rsid w:val="00054638"/>
    <w:rsid w:val="00061EC2"/>
    <w:rsid w:val="000630AE"/>
    <w:rsid w:val="00066CE8"/>
    <w:rsid w:val="00067005"/>
    <w:rsid w:val="00073400"/>
    <w:rsid w:val="00076429"/>
    <w:rsid w:val="000770D0"/>
    <w:rsid w:val="00080ED0"/>
    <w:rsid w:val="00085B8F"/>
    <w:rsid w:val="00090481"/>
    <w:rsid w:val="00090985"/>
    <w:rsid w:val="00096A02"/>
    <w:rsid w:val="000A3826"/>
    <w:rsid w:val="000A6874"/>
    <w:rsid w:val="000A6C26"/>
    <w:rsid w:val="000B32B0"/>
    <w:rsid w:val="000B36C8"/>
    <w:rsid w:val="000C7199"/>
    <w:rsid w:val="000C79EF"/>
    <w:rsid w:val="000D3431"/>
    <w:rsid w:val="000D52A4"/>
    <w:rsid w:val="000D53F8"/>
    <w:rsid w:val="000D62A9"/>
    <w:rsid w:val="000D7BC5"/>
    <w:rsid w:val="000E07BC"/>
    <w:rsid w:val="000E29F2"/>
    <w:rsid w:val="000E2E21"/>
    <w:rsid w:val="000E6F66"/>
    <w:rsid w:val="000F0A10"/>
    <w:rsid w:val="000F0D2A"/>
    <w:rsid w:val="000F1CD4"/>
    <w:rsid w:val="000F4103"/>
    <w:rsid w:val="000F70A7"/>
    <w:rsid w:val="001005E6"/>
    <w:rsid w:val="001014B7"/>
    <w:rsid w:val="001070CF"/>
    <w:rsid w:val="00107977"/>
    <w:rsid w:val="00113CCA"/>
    <w:rsid w:val="00115B05"/>
    <w:rsid w:val="0011762E"/>
    <w:rsid w:val="00120A64"/>
    <w:rsid w:val="00122BF3"/>
    <w:rsid w:val="00122E33"/>
    <w:rsid w:val="00122F25"/>
    <w:rsid w:val="00130173"/>
    <w:rsid w:val="001301CD"/>
    <w:rsid w:val="00132A04"/>
    <w:rsid w:val="00132C13"/>
    <w:rsid w:val="00135980"/>
    <w:rsid w:val="0013786F"/>
    <w:rsid w:val="00137AAC"/>
    <w:rsid w:val="00147DA6"/>
    <w:rsid w:val="00151C22"/>
    <w:rsid w:val="00152E7B"/>
    <w:rsid w:val="001535BD"/>
    <w:rsid w:val="00155870"/>
    <w:rsid w:val="001565F9"/>
    <w:rsid w:val="001576B0"/>
    <w:rsid w:val="00163043"/>
    <w:rsid w:val="00163A5A"/>
    <w:rsid w:val="001642EE"/>
    <w:rsid w:val="00164719"/>
    <w:rsid w:val="00166FC4"/>
    <w:rsid w:val="001677AC"/>
    <w:rsid w:val="00172343"/>
    <w:rsid w:val="00172F33"/>
    <w:rsid w:val="001804EA"/>
    <w:rsid w:val="00186A65"/>
    <w:rsid w:val="00190A61"/>
    <w:rsid w:val="00194E1A"/>
    <w:rsid w:val="00195758"/>
    <w:rsid w:val="00197179"/>
    <w:rsid w:val="001A2215"/>
    <w:rsid w:val="001A3342"/>
    <w:rsid w:val="001A3E3D"/>
    <w:rsid w:val="001A7049"/>
    <w:rsid w:val="001B1E40"/>
    <w:rsid w:val="001B2D7C"/>
    <w:rsid w:val="001C764E"/>
    <w:rsid w:val="001D1A9A"/>
    <w:rsid w:val="001D20A4"/>
    <w:rsid w:val="001D5009"/>
    <w:rsid w:val="001E1052"/>
    <w:rsid w:val="001E21B1"/>
    <w:rsid w:val="001E2F93"/>
    <w:rsid w:val="001E4554"/>
    <w:rsid w:val="001E61E5"/>
    <w:rsid w:val="001E7036"/>
    <w:rsid w:val="001F2159"/>
    <w:rsid w:val="001F53FD"/>
    <w:rsid w:val="001F657A"/>
    <w:rsid w:val="001F6AA9"/>
    <w:rsid w:val="00200D06"/>
    <w:rsid w:val="00201192"/>
    <w:rsid w:val="00202B8D"/>
    <w:rsid w:val="00203904"/>
    <w:rsid w:val="0020597C"/>
    <w:rsid w:val="00210B8B"/>
    <w:rsid w:val="00214863"/>
    <w:rsid w:val="0021561B"/>
    <w:rsid w:val="002156B4"/>
    <w:rsid w:val="002223DD"/>
    <w:rsid w:val="00222A0C"/>
    <w:rsid w:val="00224FCD"/>
    <w:rsid w:val="002267CF"/>
    <w:rsid w:val="00230883"/>
    <w:rsid w:val="00232776"/>
    <w:rsid w:val="00236421"/>
    <w:rsid w:val="002408DB"/>
    <w:rsid w:val="00244536"/>
    <w:rsid w:val="0024471A"/>
    <w:rsid w:val="00247837"/>
    <w:rsid w:val="00253222"/>
    <w:rsid w:val="00254C8A"/>
    <w:rsid w:val="00261C13"/>
    <w:rsid w:val="00262847"/>
    <w:rsid w:val="00272EC1"/>
    <w:rsid w:val="00281BB2"/>
    <w:rsid w:val="0028280E"/>
    <w:rsid w:val="00291C48"/>
    <w:rsid w:val="002927B2"/>
    <w:rsid w:val="00292B4B"/>
    <w:rsid w:val="0029644D"/>
    <w:rsid w:val="0029715A"/>
    <w:rsid w:val="002A03C3"/>
    <w:rsid w:val="002B01F9"/>
    <w:rsid w:val="002B1C9E"/>
    <w:rsid w:val="002B254E"/>
    <w:rsid w:val="002B4CE8"/>
    <w:rsid w:val="002B51A6"/>
    <w:rsid w:val="002B72E9"/>
    <w:rsid w:val="002C0197"/>
    <w:rsid w:val="002C7998"/>
    <w:rsid w:val="002F171A"/>
    <w:rsid w:val="002F1E53"/>
    <w:rsid w:val="002F2CAA"/>
    <w:rsid w:val="002F5D97"/>
    <w:rsid w:val="002F5DA6"/>
    <w:rsid w:val="0030052C"/>
    <w:rsid w:val="00301F61"/>
    <w:rsid w:val="00304E8F"/>
    <w:rsid w:val="003063D3"/>
    <w:rsid w:val="00313779"/>
    <w:rsid w:val="0031785E"/>
    <w:rsid w:val="00321E6C"/>
    <w:rsid w:val="00321F7C"/>
    <w:rsid w:val="003250C1"/>
    <w:rsid w:val="003306E1"/>
    <w:rsid w:val="003320E4"/>
    <w:rsid w:val="0033525D"/>
    <w:rsid w:val="00335C02"/>
    <w:rsid w:val="003414F3"/>
    <w:rsid w:val="003524F6"/>
    <w:rsid w:val="0035613E"/>
    <w:rsid w:val="00357A3B"/>
    <w:rsid w:val="0036222B"/>
    <w:rsid w:val="00363522"/>
    <w:rsid w:val="00363EE9"/>
    <w:rsid w:val="00366FAC"/>
    <w:rsid w:val="00367701"/>
    <w:rsid w:val="00376128"/>
    <w:rsid w:val="003763AB"/>
    <w:rsid w:val="0037742E"/>
    <w:rsid w:val="00377AA3"/>
    <w:rsid w:val="00377D56"/>
    <w:rsid w:val="00380283"/>
    <w:rsid w:val="0038245A"/>
    <w:rsid w:val="003840E6"/>
    <w:rsid w:val="00385CFC"/>
    <w:rsid w:val="003874FC"/>
    <w:rsid w:val="003878E3"/>
    <w:rsid w:val="0039337A"/>
    <w:rsid w:val="00394BCD"/>
    <w:rsid w:val="00396D02"/>
    <w:rsid w:val="003A3189"/>
    <w:rsid w:val="003A39AB"/>
    <w:rsid w:val="003A3CA7"/>
    <w:rsid w:val="003A4FEF"/>
    <w:rsid w:val="003B33BD"/>
    <w:rsid w:val="003B569D"/>
    <w:rsid w:val="003C1F6E"/>
    <w:rsid w:val="003C34C9"/>
    <w:rsid w:val="003C3C0E"/>
    <w:rsid w:val="003D42A6"/>
    <w:rsid w:val="003D4F21"/>
    <w:rsid w:val="003D4FAC"/>
    <w:rsid w:val="003E1885"/>
    <w:rsid w:val="003E75C3"/>
    <w:rsid w:val="003E7906"/>
    <w:rsid w:val="003F000F"/>
    <w:rsid w:val="003F02C0"/>
    <w:rsid w:val="003F3C50"/>
    <w:rsid w:val="00403510"/>
    <w:rsid w:val="00406202"/>
    <w:rsid w:val="00406A6A"/>
    <w:rsid w:val="00406B22"/>
    <w:rsid w:val="00407147"/>
    <w:rsid w:val="004078FA"/>
    <w:rsid w:val="00407BA9"/>
    <w:rsid w:val="00422612"/>
    <w:rsid w:val="00431E08"/>
    <w:rsid w:val="004328A7"/>
    <w:rsid w:val="00434C74"/>
    <w:rsid w:val="0043649D"/>
    <w:rsid w:val="004451A4"/>
    <w:rsid w:val="00447222"/>
    <w:rsid w:val="00456EB4"/>
    <w:rsid w:val="00457827"/>
    <w:rsid w:val="00457EA3"/>
    <w:rsid w:val="00461D9B"/>
    <w:rsid w:val="00463168"/>
    <w:rsid w:val="00465548"/>
    <w:rsid w:val="00466BDF"/>
    <w:rsid w:val="00467D4B"/>
    <w:rsid w:val="00470CC9"/>
    <w:rsid w:val="004718F3"/>
    <w:rsid w:val="00472332"/>
    <w:rsid w:val="00473C90"/>
    <w:rsid w:val="00475040"/>
    <w:rsid w:val="004759C4"/>
    <w:rsid w:val="004775CE"/>
    <w:rsid w:val="00490818"/>
    <w:rsid w:val="00490C06"/>
    <w:rsid w:val="00493D40"/>
    <w:rsid w:val="00493EE3"/>
    <w:rsid w:val="004955A6"/>
    <w:rsid w:val="004967B6"/>
    <w:rsid w:val="00497386"/>
    <w:rsid w:val="004A045C"/>
    <w:rsid w:val="004A1232"/>
    <w:rsid w:val="004A136F"/>
    <w:rsid w:val="004A42C2"/>
    <w:rsid w:val="004A504B"/>
    <w:rsid w:val="004A6911"/>
    <w:rsid w:val="004A6E87"/>
    <w:rsid w:val="004B3652"/>
    <w:rsid w:val="004B451F"/>
    <w:rsid w:val="004B54E0"/>
    <w:rsid w:val="004B728C"/>
    <w:rsid w:val="004B7384"/>
    <w:rsid w:val="004C2BA7"/>
    <w:rsid w:val="004C36A0"/>
    <w:rsid w:val="004C4269"/>
    <w:rsid w:val="004D1D3B"/>
    <w:rsid w:val="004D3733"/>
    <w:rsid w:val="004D395E"/>
    <w:rsid w:val="004D6236"/>
    <w:rsid w:val="004D7F90"/>
    <w:rsid w:val="004E0423"/>
    <w:rsid w:val="004E2C21"/>
    <w:rsid w:val="004E3C37"/>
    <w:rsid w:val="004E4DBB"/>
    <w:rsid w:val="004E4E41"/>
    <w:rsid w:val="004E5666"/>
    <w:rsid w:val="004E73DB"/>
    <w:rsid w:val="004E75CB"/>
    <w:rsid w:val="004E7F9C"/>
    <w:rsid w:val="004F009F"/>
    <w:rsid w:val="004F0CAD"/>
    <w:rsid w:val="004F3493"/>
    <w:rsid w:val="004F5143"/>
    <w:rsid w:val="004F78F7"/>
    <w:rsid w:val="0050153D"/>
    <w:rsid w:val="00512B09"/>
    <w:rsid w:val="005171A0"/>
    <w:rsid w:val="005220ED"/>
    <w:rsid w:val="00533796"/>
    <w:rsid w:val="00536247"/>
    <w:rsid w:val="00536867"/>
    <w:rsid w:val="00537343"/>
    <w:rsid w:val="00547FDC"/>
    <w:rsid w:val="00551404"/>
    <w:rsid w:val="005516F3"/>
    <w:rsid w:val="00552639"/>
    <w:rsid w:val="0055334E"/>
    <w:rsid w:val="00555D75"/>
    <w:rsid w:val="00555FF5"/>
    <w:rsid w:val="00560A52"/>
    <w:rsid w:val="00560DF0"/>
    <w:rsid w:val="00562377"/>
    <w:rsid w:val="005639A3"/>
    <w:rsid w:val="005647B7"/>
    <w:rsid w:val="0056759C"/>
    <w:rsid w:val="0057290F"/>
    <w:rsid w:val="005757E7"/>
    <w:rsid w:val="0059513E"/>
    <w:rsid w:val="005A425B"/>
    <w:rsid w:val="005A66B1"/>
    <w:rsid w:val="005A6AA4"/>
    <w:rsid w:val="005A6D9F"/>
    <w:rsid w:val="005B0FEE"/>
    <w:rsid w:val="005B48FF"/>
    <w:rsid w:val="005B6553"/>
    <w:rsid w:val="005B6F2C"/>
    <w:rsid w:val="005C1E32"/>
    <w:rsid w:val="005C1F95"/>
    <w:rsid w:val="005C3340"/>
    <w:rsid w:val="005C49AB"/>
    <w:rsid w:val="005C670D"/>
    <w:rsid w:val="005D363F"/>
    <w:rsid w:val="005D4207"/>
    <w:rsid w:val="005D4833"/>
    <w:rsid w:val="005E1936"/>
    <w:rsid w:val="005E2F24"/>
    <w:rsid w:val="005E2FFC"/>
    <w:rsid w:val="005E321B"/>
    <w:rsid w:val="005E3759"/>
    <w:rsid w:val="005F0997"/>
    <w:rsid w:val="00600407"/>
    <w:rsid w:val="00604C15"/>
    <w:rsid w:val="00607464"/>
    <w:rsid w:val="00613720"/>
    <w:rsid w:val="006158D5"/>
    <w:rsid w:val="00621D1E"/>
    <w:rsid w:val="00621DC5"/>
    <w:rsid w:val="00622009"/>
    <w:rsid w:val="00625D83"/>
    <w:rsid w:val="00626B6E"/>
    <w:rsid w:val="00646596"/>
    <w:rsid w:val="00647598"/>
    <w:rsid w:val="00651984"/>
    <w:rsid w:val="00652C9E"/>
    <w:rsid w:val="0065593D"/>
    <w:rsid w:val="006573E9"/>
    <w:rsid w:val="00660F44"/>
    <w:rsid w:val="006623E7"/>
    <w:rsid w:val="00662B80"/>
    <w:rsid w:val="0066768F"/>
    <w:rsid w:val="00670598"/>
    <w:rsid w:val="00670F6C"/>
    <w:rsid w:val="00673F7C"/>
    <w:rsid w:val="00676E58"/>
    <w:rsid w:val="00680865"/>
    <w:rsid w:val="006852C7"/>
    <w:rsid w:val="006852CE"/>
    <w:rsid w:val="0068773A"/>
    <w:rsid w:val="00692D14"/>
    <w:rsid w:val="00694CEC"/>
    <w:rsid w:val="00694D97"/>
    <w:rsid w:val="006A32A2"/>
    <w:rsid w:val="006A4165"/>
    <w:rsid w:val="006A73E1"/>
    <w:rsid w:val="006A7A3B"/>
    <w:rsid w:val="006B65C7"/>
    <w:rsid w:val="006B68F5"/>
    <w:rsid w:val="006B712C"/>
    <w:rsid w:val="006C1727"/>
    <w:rsid w:val="006C32FD"/>
    <w:rsid w:val="006C39CE"/>
    <w:rsid w:val="006D0FCC"/>
    <w:rsid w:val="006D21F5"/>
    <w:rsid w:val="006D3089"/>
    <w:rsid w:val="006D317C"/>
    <w:rsid w:val="006D4616"/>
    <w:rsid w:val="006E126D"/>
    <w:rsid w:val="006E1FC3"/>
    <w:rsid w:val="006F0EA1"/>
    <w:rsid w:val="00700B78"/>
    <w:rsid w:val="00700CD3"/>
    <w:rsid w:val="00702A01"/>
    <w:rsid w:val="00704BCD"/>
    <w:rsid w:val="00704CE9"/>
    <w:rsid w:val="0070616B"/>
    <w:rsid w:val="00706295"/>
    <w:rsid w:val="00706FDA"/>
    <w:rsid w:val="00711F9A"/>
    <w:rsid w:val="00712F42"/>
    <w:rsid w:val="00713810"/>
    <w:rsid w:val="0071675A"/>
    <w:rsid w:val="00716CFA"/>
    <w:rsid w:val="007206A1"/>
    <w:rsid w:val="007256F5"/>
    <w:rsid w:val="007303A5"/>
    <w:rsid w:val="00730B3E"/>
    <w:rsid w:val="00731061"/>
    <w:rsid w:val="00732A74"/>
    <w:rsid w:val="0073420B"/>
    <w:rsid w:val="00734D1B"/>
    <w:rsid w:val="007355DA"/>
    <w:rsid w:val="00736367"/>
    <w:rsid w:val="0074201C"/>
    <w:rsid w:val="00743AF9"/>
    <w:rsid w:val="007449DF"/>
    <w:rsid w:val="0074736B"/>
    <w:rsid w:val="0074760E"/>
    <w:rsid w:val="0075112D"/>
    <w:rsid w:val="00751F3B"/>
    <w:rsid w:val="007548C4"/>
    <w:rsid w:val="00754ABA"/>
    <w:rsid w:val="00755457"/>
    <w:rsid w:val="00762E57"/>
    <w:rsid w:val="0076413C"/>
    <w:rsid w:val="00764C2C"/>
    <w:rsid w:val="00766468"/>
    <w:rsid w:val="00775702"/>
    <w:rsid w:val="00780419"/>
    <w:rsid w:val="007824F2"/>
    <w:rsid w:val="00782B0D"/>
    <w:rsid w:val="00785B63"/>
    <w:rsid w:val="0079781A"/>
    <w:rsid w:val="007A024F"/>
    <w:rsid w:val="007A1546"/>
    <w:rsid w:val="007A228C"/>
    <w:rsid w:val="007A368E"/>
    <w:rsid w:val="007A377E"/>
    <w:rsid w:val="007A5868"/>
    <w:rsid w:val="007A7A17"/>
    <w:rsid w:val="007B04CE"/>
    <w:rsid w:val="007B20AD"/>
    <w:rsid w:val="007B2DE0"/>
    <w:rsid w:val="007B6871"/>
    <w:rsid w:val="007B7A2F"/>
    <w:rsid w:val="007C32EE"/>
    <w:rsid w:val="007C3D33"/>
    <w:rsid w:val="007C4C4F"/>
    <w:rsid w:val="007D0A34"/>
    <w:rsid w:val="007D294A"/>
    <w:rsid w:val="007D3350"/>
    <w:rsid w:val="007D47D2"/>
    <w:rsid w:val="007D6EC0"/>
    <w:rsid w:val="007D7E1D"/>
    <w:rsid w:val="007D7F3D"/>
    <w:rsid w:val="007E2DE3"/>
    <w:rsid w:val="007E2FD5"/>
    <w:rsid w:val="007E503C"/>
    <w:rsid w:val="007F0447"/>
    <w:rsid w:val="007F04E7"/>
    <w:rsid w:val="007F55ED"/>
    <w:rsid w:val="007F55F1"/>
    <w:rsid w:val="007F7DA4"/>
    <w:rsid w:val="008000DB"/>
    <w:rsid w:val="00801B41"/>
    <w:rsid w:val="00802CD3"/>
    <w:rsid w:val="0080345C"/>
    <w:rsid w:val="008201DF"/>
    <w:rsid w:val="0082522F"/>
    <w:rsid w:val="0083168E"/>
    <w:rsid w:val="00831979"/>
    <w:rsid w:val="008332EF"/>
    <w:rsid w:val="008446B8"/>
    <w:rsid w:val="00850101"/>
    <w:rsid w:val="00851352"/>
    <w:rsid w:val="008539E2"/>
    <w:rsid w:val="00857077"/>
    <w:rsid w:val="008604FD"/>
    <w:rsid w:val="00860AE8"/>
    <w:rsid w:val="00863230"/>
    <w:rsid w:val="0086423D"/>
    <w:rsid w:val="00865BD0"/>
    <w:rsid w:val="008717D8"/>
    <w:rsid w:val="0087215C"/>
    <w:rsid w:val="00872C5E"/>
    <w:rsid w:val="00874E3A"/>
    <w:rsid w:val="00875D25"/>
    <w:rsid w:val="00880E35"/>
    <w:rsid w:val="008875FE"/>
    <w:rsid w:val="00887F8E"/>
    <w:rsid w:val="00891265"/>
    <w:rsid w:val="008930BC"/>
    <w:rsid w:val="00896234"/>
    <w:rsid w:val="00896D40"/>
    <w:rsid w:val="00897E43"/>
    <w:rsid w:val="008A1ED8"/>
    <w:rsid w:val="008A5466"/>
    <w:rsid w:val="008A5CA5"/>
    <w:rsid w:val="008A6839"/>
    <w:rsid w:val="008A6D08"/>
    <w:rsid w:val="008A71D1"/>
    <w:rsid w:val="008A7AE2"/>
    <w:rsid w:val="008C222B"/>
    <w:rsid w:val="008C2CD7"/>
    <w:rsid w:val="008C3108"/>
    <w:rsid w:val="008C5738"/>
    <w:rsid w:val="008C7EAD"/>
    <w:rsid w:val="008D0CFE"/>
    <w:rsid w:val="008D15CB"/>
    <w:rsid w:val="008D4A85"/>
    <w:rsid w:val="008D500C"/>
    <w:rsid w:val="008D6152"/>
    <w:rsid w:val="008D6FD5"/>
    <w:rsid w:val="008E7BA9"/>
    <w:rsid w:val="008F0F81"/>
    <w:rsid w:val="008F23FE"/>
    <w:rsid w:val="008F27BF"/>
    <w:rsid w:val="008F2C55"/>
    <w:rsid w:val="008F2E64"/>
    <w:rsid w:val="008F477B"/>
    <w:rsid w:val="00900EE5"/>
    <w:rsid w:val="009053FF"/>
    <w:rsid w:val="00910D09"/>
    <w:rsid w:val="009134B7"/>
    <w:rsid w:val="009142EC"/>
    <w:rsid w:val="009145E4"/>
    <w:rsid w:val="009154C3"/>
    <w:rsid w:val="00923540"/>
    <w:rsid w:val="00926767"/>
    <w:rsid w:val="009267B3"/>
    <w:rsid w:val="00933380"/>
    <w:rsid w:val="009339DF"/>
    <w:rsid w:val="009361D5"/>
    <w:rsid w:val="009428A4"/>
    <w:rsid w:val="00945AE4"/>
    <w:rsid w:val="00947A09"/>
    <w:rsid w:val="0095296D"/>
    <w:rsid w:val="00964253"/>
    <w:rsid w:val="009659F4"/>
    <w:rsid w:val="009704D1"/>
    <w:rsid w:val="00970D60"/>
    <w:rsid w:val="0097417E"/>
    <w:rsid w:val="009874D0"/>
    <w:rsid w:val="00990812"/>
    <w:rsid w:val="0099390E"/>
    <w:rsid w:val="009955FD"/>
    <w:rsid w:val="009960E5"/>
    <w:rsid w:val="009A0483"/>
    <w:rsid w:val="009A1697"/>
    <w:rsid w:val="009A266F"/>
    <w:rsid w:val="009A7ADC"/>
    <w:rsid w:val="009B0C3E"/>
    <w:rsid w:val="009B0D30"/>
    <w:rsid w:val="009B1865"/>
    <w:rsid w:val="009B5F8D"/>
    <w:rsid w:val="009C19B7"/>
    <w:rsid w:val="009C5ABB"/>
    <w:rsid w:val="009C693C"/>
    <w:rsid w:val="009D1224"/>
    <w:rsid w:val="009D2C47"/>
    <w:rsid w:val="009D452C"/>
    <w:rsid w:val="009D7C51"/>
    <w:rsid w:val="009E196C"/>
    <w:rsid w:val="009E34FA"/>
    <w:rsid w:val="009E59DC"/>
    <w:rsid w:val="009E6276"/>
    <w:rsid w:val="009E6A0A"/>
    <w:rsid w:val="009E6CF4"/>
    <w:rsid w:val="009F3009"/>
    <w:rsid w:val="009F36BF"/>
    <w:rsid w:val="00A01C61"/>
    <w:rsid w:val="00A04B83"/>
    <w:rsid w:val="00A10A60"/>
    <w:rsid w:val="00A111B6"/>
    <w:rsid w:val="00A20C85"/>
    <w:rsid w:val="00A237FC"/>
    <w:rsid w:val="00A26D27"/>
    <w:rsid w:val="00A307D2"/>
    <w:rsid w:val="00A335BB"/>
    <w:rsid w:val="00A376EE"/>
    <w:rsid w:val="00A42A99"/>
    <w:rsid w:val="00A46FEC"/>
    <w:rsid w:val="00A5151A"/>
    <w:rsid w:val="00A57E0A"/>
    <w:rsid w:val="00A6646A"/>
    <w:rsid w:val="00A700CE"/>
    <w:rsid w:val="00A73B57"/>
    <w:rsid w:val="00A74165"/>
    <w:rsid w:val="00A74520"/>
    <w:rsid w:val="00A772D0"/>
    <w:rsid w:val="00A77919"/>
    <w:rsid w:val="00A823F6"/>
    <w:rsid w:val="00A851B0"/>
    <w:rsid w:val="00A8719E"/>
    <w:rsid w:val="00A87E64"/>
    <w:rsid w:val="00A90992"/>
    <w:rsid w:val="00A91EBA"/>
    <w:rsid w:val="00A926B3"/>
    <w:rsid w:val="00A93D1E"/>
    <w:rsid w:val="00A95599"/>
    <w:rsid w:val="00AA0A89"/>
    <w:rsid w:val="00AA5368"/>
    <w:rsid w:val="00AA6429"/>
    <w:rsid w:val="00AA6928"/>
    <w:rsid w:val="00AB2ADE"/>
    <w:rsid w:val="00AB39DE"/>
    <w:rsid w:val="00AB49C0"/>
    <w:rsid w:val="00AB4F7B"/>
    <w:rsid w:val="00AC01AA"/>
    <w:rsid w:val="00AC3EE9"/>
    <w:rsid w:val="00AC4936"/>
    <w:rsid w:val="00AC4CAA"/>
    <w:rsid w:val="00AC4F72"/>
    <w:rsid w:val="00AC5041"/>
    <w:rsid w:val="00AD27CE"/>
    <w:rsid w:val="00AE2410"/>
    <w:rsid w:val="00AE482E"/>
    <w:rsid w:val="00AF1B39"/>
    <w:rsid w:val="00AF741A"/>
    <w:rsid w:val="00B01ADB"/>
    <w:rsid w:val="00B04161"/>
    <w:rsid w:val="00B056F9"/>
    <w:rsid w:val="00B0589F"/>
    <w:rsid w:val="00B11790"/>
    <w:rsid w:val="00B11E3D"/>
    <w:rsid w:val="00B1223F"/>
    <w:rsid w:val="00B1239E"/>
    <w:rsid w:val="00B14B30"/>
    <w:rsid w:val="00B14D2C"/>
    <w:rsid w:val="00B16777"/>
    <w:rsid w:val="00B17E82"/>
    <w:rsid w:val="00B239E8"/>
    <w:rsid w:val="00B23FB4"/>
    <w:rsid w:val="00B260D0"/>
    <w:rsid w:val="00B33E95"/>
    <w:rsid w:val="00B35802"/>
    <w:rsid w:val="00B4102D"/>
    <w:rsid w:val="00B42CFE"/>
    <w:rsid w:val="00B4548B"/>
    <w:rsid w:val="00B4575A"/>
    <w:rsid w:val="00B46184"/>
    <w:rsid w:val="00B54090"/>
    <w:rsid w:val="00B575BA"/>
    <w:rsid w:val="00B62C1A"/>
    <w:rsid w:val="00B63919"/>
    <w:rsid w:val="00B66E1B"/>
    <w:rsid w:val="00B67491"/>
    <w:rsid w:val="00B71608"/>
    <w:rsid w:val="00B72DC4"/>
    <w:rsid w:val="00B76429"/>
    <w:rsid w:val="00B8160E"/>
    <w:rsid w:val="00B83028"/>
    <w:rsid w:val="00B84DC1"/>
    <w:rsid w:val="00B86471"/>
    <w:rsid w:val="00B8666D"/>
    <w:rsid w:val="00B956D4"/>
    <w:rsid w:val="00B967C8"/>
    <w:rsid w:val="00B96BF4"/>
    <w:rsid w:val="00B96D9F"/>
    <w:rsid w:val="00B97446"/>
    <w:rsid w:val="00B9751A"/>
    <w:rsid w:val="00B97C30"/>
    <w:rsid w:val="00BA04E2"/>
    <w:rsid w:val="00BA1D19"/>
    <w:rsid w:val="00BA4A30"/>
    <w:rsid w:val="00BA7432"/>
    <w:rsid w:val="00BB2764"/>
    <w:rsid w:val="00BC1459"/>
    <w:rsid w:val="00BC1AA0"/>
    <w:rsid w:val="00BC2495"/>
    <w:rsid w:val="00BC314A"/>
    <w:rsid w:val="00BC4C80"/>
    <w:rsid w:val="00BC6E9D"/>
    <w:rsid w:val="00BC7EB9"/>
    <w:rsid w:val="00BD2643"/>
    <w:rsid w:val="00BD543F"/>
    <w:rsid w:val="00BD558B"/>
    <w:rsid w:val="00BD56B1"/>
    <w:rsid w:val="00BD6558"/>
    <w:rsid w:val="00BE03FA"/>
    <w:rsid w:val="00BE3C63"/>
    <w:rsid w:val="00BE6498"/>
    <w:rsid w:val="00BE79A2"/>
    <w:rsid w:val="00BF1507"/>
    <w:rsid w:val="00BF2AD7"/>
    <w:rsid w:val="00BF2F76"/>
    <w:rsid w:val="00BF3022"/>
    <w:rsid w:val="00BF3214"/>
    <w:rsid w:val="00BF5573"/>
    <w:rsid w:val="00BF5958"/>
    <w:rsid w:val="00C05A2A"/>
    <w:rsid w:val="00C065FB"/>
    <w:rsid w:val="00C06C3F"/>
    <w:rsid w:val="00C100E0"/>
    <w:rsid w:val="00C15867"/>
    <w:rsid w:val="00C22398"/>
    <w:rsid w:val="00C227CB"/>
    <w:rsid w:val="00C2296D"/>
    <w:rsid w:val="00C23155"/>
    <w:rsid w:val="00C27A56"/>
    <w:rsid w:val="00C40C41"/>
    <w:rsid w:val="00C40E2A"/>
    <w:rsid w:val="00C44595"/>
    <w:rsid w:val="00C45885"/>
    <w:rsid w:val="00C46E09"/>
    <w:rsid w:val="00C50F22"/>
    <w:rsid w:val="00C57971"/>
    <w:rsid w:val="00C65BD7"/>
    <w:rsid w:val="00C672D2"/>
    <w:rsid w:val="00C71D8C"/>
    <w:rsid w:val="00C76BA4"/>
    <w:rsid w:val="00C83A48"/>
    <w:rsid w:val="00C85865"/>
    <w:rsid w:val="00C85E85"/>
    <w:rsid w:val="00C926C8"/>
    <w:rsid w:val="00C931CC"/>
    <w:rsid w:val="00C93C84"/>
    <w:rsid w:val="00C97E44"/>
    <w:rsid w:val="00CA2EAE"/>
    <w:rsid w:val="00CA3900"/>
    <w:rsid w:val="00CA4727"/>
    <w:rsid w:val="00CA4AC1"/>
    <w:rsid w:val="00CA59FB"/>
    <w:rsid w:val="00CB0316"/>
    <w:rsid w:val="00CB0B11"/>
    <w:rsid w:val="00CB1DBA"/>
    <w:rsid w:val="00CB426A"/>
    <w:rsid w:val="00CB5354"/>
    <w:rsid w:val="00CB5A72"/>
    <w:rsid w:val="00CB792B"/>
    <w:rsid w:val="00CC1830"/>
    <w:rsid w:val="00CC3C9E"/>
    <w:rsid w:val="00CC6A14"/>
    <w:rsid w:val="00CC6E22"/>
    <w:rsid w:val="00CC70A3"/>
    <w:rsid w:val="00CD4442"/>
    <w:rsid w:val="00CD53C3"/>
    <w:rsid w:val="00CD574E"/>
    <w:rsid w:val="00CE2369"/>
    <w:rsid w:val="00CE4C22"/>
    <w:rsid w:val="00CE76E5"/>
    <w:rsid w:val="00CF2954"/>
    <w:rsid w:val="00CF41EC"/>
    <w:rsid w:val="00CF5D04"/>
    <w:rsid w:val="00CF6DE4"/>
    <w:rsid w:val="00D047B8"/>
    <w:rsid w:val="00D04DE4"/>
    <w:rsid w:val="00D063F1"/>
    <w:rsid w:val="00D06564"/>
    <w:rsid w:val="00D11735"/>
    <w:rsid w:val="00D14F22"/>
    <w:rsid w:val="00D21310"/>
    <w:rsid w:val="00D265E7"/>
    <w:rsid w:val="00D43615"/>
    <w:rsid w:val="00D45B22"/>
    <w:rsid w:val="00D46383"/>
    <w:rsid w:val="00D4741C"/>
    <w:rsid w:val="00D47610"/>
    <w:rsid w:val="00D51A91"/>
    <w:rsid w:val="00D542E1"/>
    <w:rsid w:val="00D57918"/>
    <w:rsid w:val="00D6084B"/>
    <w:rsid w:val="00D6363F"/>
    <w:rsid w:val="00D6792E"/>
    <w:rsid w:val="00D71602"/>
    <w:rsid w:val="00D73A0B"/>
    <w:rsid w:val="00D73DC6"/>
    <w:rsid w:val="00D74C1A"/>
    <w:rsid w:val="00D754C1"/>
    <w:rsid w:val="00D758F0"/>
    <w:rsid w:val="00D77393"/>
    <w:rsid w:val="00D77A35"/>
    <w:rsid w:val="00D8142B"/>
    <w:rsid w:val="00D81B3E"/>
    <w:rsid w:val="00D90C70"/>
    <w:rsid w:val="00D90E49"/>
    <w:rsid w:val="00D92F74"/>
    <w:rsid w:val="00D96835"/>
    <w:rsid w:val="00D96ADE"/>
    <w:rsid w:val="00DA0406"/>
    <w:rsid w:val="00DA0CE2"/>
    <w:rsid w:val="00DA14D3"/>
    <w:rsid w:val="00DA2387"/>
    <w:rsid w:val="00DB1155"/>
    <w:rsid w:val="00DC38B2"/>
    <w:rsid w:val="00DC6A10"/>
    <w:rsid w:val="00DD1720"/>
    <w:rsid w:val="00DD40E7"/>
    <w:rsid w:val="00DD5E27"/>
    <w:rsid w:val="00DE0443"/>
    <w:rsid w:val="00DE38F3"/>
    <w:rsid w:val="00DE657E"/>
    <w:rsid w:val="00DF1E7D"/>
    <w:rsid w:val="00DF458E"/>
    <w:rsid w:val="00DF4704"/>
    <w:rsid w:val="00E001D9"/>
    <w:rsid w:val="00E01890"/>
    <w:rsid w:val="00E024AA"/>
    <w:rsid w:val="00E0387F"/>
    <w:rsid w:val="00E04FD6"/>
    <w:rsid w:val="00E12108"/>
    <w:rsid w:val="00E1542E"/>
    <w:rsid w:val="00E15C77"/>
    <w:rsid w:val="00E1693E"/>
    <w:rsid w:val="00E238F5"/>
    <w:rsid w:val="00E250F1"/>
    <w:rsid w:val="00E329DF"/>
    <w:rsid w:val="00E3550D"/>
    <w:rsid w:val="00E47204"/>
    <w:rsid w:val="00E52838"/>
    <w:rsid w:val="00E55CC5"/>
    <w:rsid w:val="00E56BB2"/>
    <w:rsid w:val="00E614E0"/>
    <w:rsid w:val="00E649E7"/>
    <w:rsid w:val="00E6511B"/>
    <w:rsid w:val="00E662F5"/>
    <w:rsid w:val="00E72922"/>
    <w:rsid w:val="00E73F7F"/>
    <w:rsid w:val="00E753E8"/>
    <w:rsid w:val="00E801B3"/>
    <w:rsid w:val="00E83B1A"/>
    <w:rsid w:val="00E853A8"/>
    <w:rsid w:val="00E85409"/>
    <w:rsid w:val="00E9339B"/>
    <w:rsid w:val="00E93F05"/>
    <w:rsid w:val="00E95CBB"/>
    <w:rsid w:val="00E969BC"/>
    <w:rsid w:val="00EA3E3F"/>
    <w:rsid w:val="00EA429F"/>
    <w:rsid w:val="00EA4F9E"/>
    <w:rsid w:val="00EA63CA"/>
    <w:rsid w:val="00EA6D3B"/>
    <w:rsid w:val="00EB00AD"/>
    <w:rsid w:val="00EB136C"/>
    <w:rsid w:val="00EB198D"/>
    <w:rsid w:val="00EB2110"/>
    <w:rsid w:val="00EB236F"/>
    <w:rsid w:val="00EB480E"/>
    <w:rsid w:val="00EB5EC6"/>
    <w:rsid w:val="00EB7FC9"/>
    <w:rsid w:val="00EC0FD7"/>
    <w:rsid w:val="00EC1D2E"/>
    <w:rsid w:val="00ED27E8"/>
    <w:rsid w:val="00ED2DE6"/>
    <w:rsid w:val="00ED5468"/>
    <w:rsid w:val="00ED5CE3"/>
    <w:rsid w:val="00ED7137"/>
    <w:rsid w:val="00EE288C"/>
    <w:rsid w:val="00EE2FA2"/>
    <w:rsid w:val="00EE3079"/>
    <w:rsid w:val="00EE339B"/>
    <w:rsid w:val="00EE3780"/>
    <w:rsid w:val="00EE405D"/>
    <w:rsid w:val="00EE48AB"/>
    <w:rsid w:val="00EE5753"/>
    <w:rsid w:val="00EE5EAD"/>
    <w:rsid w:val="00EF06EA"/>
    <w:rsid w:val="00EF4FB2"/>
    <w:rsid w:val="00EF6FBA"/>
    <w:rsid w:val="00EF74BF"/>
    <w:rsid w:val="00F07604"/>
    <w:rsid w:val="00F1334A"/>
    <w:rsid w:val="00F14687"/>
    <w:rsid w:val="00F21088"/>
    <w:rsid w:val="00F3123D"/>
    <w:rsid w:val="00F31D44"/>
    <w:rsid w:val="00F326BF"/>
    <w:rsid w:val="00F327E7"/>
    <w:rsid w:val="00F35746"/>
    <w:rsid w:val="00F40068"/>
    <w:rsid w:val="00F447C7"/>
    <w:rsid w:val="00F459B4"/>
    <w:rsid w:val="00F5211B"/>
    <w:rsid w:val="00F554A9"/>
    <w:rsid w:val="00F60BDA"/>
    <w:rsid w:val="00F6542E"/>
    <w:rsid w:val="00F663EF"/>
    <w:rsid w:val="00F70BEB"/>
    <w:rsid w:val="00F716FD"/>
    <w:rsid w:val="00F7210B"/>
    <w:rsid w:val="00F80355"/>
    <w:rsid w:val="00F853F8"/>
    <w:rsid w:val="00F873F2"/>
    <w:rsid w:val="00F87846"/>
    <w:rsid w:val="00F87C43"/>
    <w:rsid w:val="00F905D3"/>
    <w:rsid w:val="00F9428C"/>
    <w:rsid w:val="00F948B0"/>
    <w:rsid w:val="00F96C95"/>
    <w:rsid w:val="00FA1379"/>
    <w:rsid w:val="00FA1A1A"/>
    <w:rsid w:val="00FA5722"/>
    <w:rsid w:val="00FB0548"/>
    <w:rsid w:val="00FB09C9"/>
    <w:rsid w:val="00FB0C81"/>
    <w:rsid w:val="00FC0A1D"/>
    <w:rsid w:val="00FC2200"/>
    <w:rsid w:val="00FC2540"/>
    <w:rsid w:val="00FC7D6A"/>
    <w:rsid w:val="00FD3C14"/>
    <w:rsid w:val="00FD594C"/>
    <w:rsid w:val="00FE01BA"/>
    <w:rsid w:val="00FF0204"/>
    <w:rsid w:val="00FF1650"/>
    <w:rsid w:val="00FF1768"/>
    <w:rsid w:val="00FF216A"/>
    <w:rsid w:val="00FF3AED"/>
    <w:rsid w:val="00FF78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FF58C"/>
  <w15:docId w15:val="{F731F569-0C63-474E-99A5-02FF986E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B451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4B451F"/>
    <w:rPr>
      <w:sz w:val="22"/>
      <w:szCs w:val="22"/>
      <w:lang w:val="en-CA"/>
    </w:rPr>
  </w:style>
  <w:style w:type="character" w:customStyle="1" w:styleId="Style3Char">
    <w:name w:val="Style 3 Char"/>
    <w:basedOn w:val="DefaultParagraphFont"/>
    <w:link w:val="Style3"/>
    <w:locked/>
    <w:rsid w:val="004B451F"/>
    <w:rPr>
      <w:b/>
      <w:sz w:val="22"/>
      <w:szCs w:val="22"/>
      <w:lang w:val="en-CA"/>
    </w:rPr>
  </w:style>
  <w:style w:type="paragraph" w:customStyle="1" w:styleId="Style3">
    <w:name w:val="Style 3"/>
    <w:basedOn w:val="Normal"/>
    <w:link w:val="Style3Char"/>
    <w:autoRedefine/>
    <w:qFormat/>
    <w:rsid w:val="004B451F"/>
    <w:pPr>
      <w:widowControl w:val="0"/>
      <w:spacing w:before="240" w:after="240"/>
      <w:ind w:left="720" w:hanging="720"/>
    </w:pPr>
    <w:rPr>
      <w: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451F"/>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804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80419"/>
    <w:rPr>
      <w:sz w:val="22"/>
      <w:szCs w:val="22"/>
      <w:lang w:val="en-GB"/>
    </w:rPr>
  </w:style>
  <w:style w:type="paragraph" w:styleId="Revision">
    <w:name w:val="Revision"/>
    <w:hidden/>
    <w:uiPriority w:val="99"/>
    <w:semiHidden/>
    <w:rsid w:val="005E2F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7051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www.w3.org/2000/xmlns/"/>
    <ds:schemaRef ds:uri="eb6c2e4c-3f1c-4103-a37b-37c984dbe58f"/>
    <ds:schemaRef ds:uri="http://www.w3.org/2001/XMLSchema-instance"/>
    <ds:schemaRef ds:uri="b93c647f-d63b-431a-95c8-8e00048cff23"/>
    <ds:schemaRef ds:uri="http://schemas.microsoft.com/office/infopath/2007/PartnerControl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0/xmlns/"/>
    <ds:schemaRef ds:uri="http://www.w3.org/2001/XMLSchema"/>
    <ds:schemaRef ds:uri="b93c647f-d63b-431a-95c8-8e00048cff23"/>
    <ds:schemaRef ds:uri="eb6c2e4c-3f1c-4103-a37b-37c984dbe58f"/>
  </ds:schemaRefs>
</ds:datastoreItem>
</file>

<file path=docProps/app.xml><?xml version="1.0" encoding="utf-8"?>
<Properties xmlns="http://schemas.openxmlformats.org/officeDocument/2006/extended-properties" xmlns:vt="http://schemas.openxmlformats.org/officeDocument/2006/docPropsVTypes">
  <Template>Eec95G.dotm</Template>
  <TotalTime>0</TotalTime>
  <Pages>27</Pages>
  <Words>8233</Words>
  <Characters>46121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Alejandro Ramirez-Pabon</dc:creator>
  <cp:lastModifiedBy>Kata Koppel</cp:lastModifiedBy>
  <cp:revision>2</cp:revision>
  <cp:lastPrinted>2001-05-26T16:40:00Z</cp:lastPrinted>
  <dcterms:created xsi:type="dcterms:W3CDTF">2024-10-12T00:52:00Z</dcterms:created>
  <dcterms:modified xsi:type="dcterms:W3CDTF">2024-10-12T00:52:00Z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UNEP/OzL.Pro/ExCom/95/86</vt:lpwstr>
  </property>
  <property fmtid="{D5CDD505-2E9C-101B-9397-08002B2CF9AE}" pid="3" name="Revision date">
    <vt:lpwstr>10/11/2024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