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142"/>
        <w:gridCol w:w="3870"/>
        <w:gridCol w:w="4140"/>
      </w:tblGrid>
      <w:tr w:rsidR="00500865" w14:paraId="6F5F80F5" w14:textId="77777777" w:rsidTr="00321D25">
        <w:trPr>
          <w:trHeight w:val="720"/>
        </w:trPr>
        <w:tc>
          <w:tcPr>
            <w:tcW w:w="6012" w:type="dxa"/>
            <w:gridSpan w:val="2"/>
            <w:tcBorders>
              <w:bottom w:val="single" w:sz="18" w:space="0" w:color="auto"/>
            </w:tcBorders>
            <w:vAlign w:val="center"/>
          </w:tcPr>
          <w:p w14:paraId="32FEF620" w14:textId="77777777" w:rsidR="00500865" w:rsidRDefault="00500865" w:rsidP="00321D2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7A35046F" w14:textId="77777777" w:rsidR="00500865" w:rsidRDefault="00500865" w:rsidP="00321D2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4140" w:type="dxa"/>
            <w:tcBorders>
              <w:bottom w:val="single" w:sz="18" w:space="0" w:color="auto"/>
            </w:tcBorders>
          </w:tcPr>
          <w:p w14:paraId="5EF81C38" w14:textId="77777777" w:rsidR="00500865" w:rsidRDefault="00500865" w:rsidP="00321D25">
            <w:pPr>
              <w:tabs>
                <w:tab w:val="left" w:pos="3010"/>
              </w:tabs>
              <w:jc w:val="center"/>
              <w:rPr>
                <w:sz w:val="52"/>
                <w:szCs w:val="52"/>
              </w:rPr>
            </w:pPr>
            <w:r>
              <w:rPr>
                <w:rFonts w:ascii="Univers Bold" w:hAnsi="Univers Bold"/>
                <w:b/>
                <w:sz w:val="72"/>
                <w:lang w:val="fr-CA"/>
              </w:rPr>
              <w:t xml:space="preserve">             EP</w:t>
            </w:r>
          </w:p>
        </w:tc>
      </w:tr>
      <w:tr w:rsidR="00500865" w:rsidRPr="007F5501" w14:paraId="4B6EE6A7" w14:textId="77777777" w:rsidTr="00321D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142" w:type="dxa"/>
            <w:tcBorders>
              <w:top w:val="nil"/>
              <w:left w:val="nil"/>
              <w:bottom w:val="single" w:sz="36" w:space="0" w:color="auto"/>
              <w:right w:val="nil"/>
            </w:tcBorders>
          </w:tcPr>
          <w:p w14:paraId="3DE3376E" w14:textId="77777777" w:rsidR="00500865" w:rsidRDefault="00500865" w:rsidP="00321D25">
            <w:pPr>
              <w:spacing w:before="120"/>
            </w:pPr>
            <w:r>
              <w:rPr>
                <w:noProof/>
                <w:lang w:eastAsia="en-CA"/>
              </w:rPr>
              <w:drawing>
                <wp:anchor distT="0" distB="0" distL="114300" distR="114300" simplePos="0" relativeHeight="251659264" behindDoc="0" locked="0" layoutInCell="1" allowOverlap="1" wp14:anchorId="13D3806C" wp14:editId="33F27DE9">
                  <wp:simplePos x="0" y="0"/>
                  <wp:positionH relativeFrom="column">
                    <wp:posOffset>62864</wp:posOffset>
                  </wp:positionH>
                  <wp:positionV relativeFrom="paragraph">
                    <wp:posOffset>814705</wp:posOffset>
                  </wp:positionV>
                  <wp:extent cx="761365" cy="687705"/>
                  <wp:effectExtent l="0" t="0" r="635"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61559" cy="687880"/>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CA"/>
              </w:rPr>
              <w:drawing>
                <wp:anchor distT="0" distB="0" distL="114300" distR="114300" simplePos="0" relativeHeight="251660288" behindDoc="1" locked="0" layoutInCell="0" allowOverlap="1" wp14:anchorId="78D522D7" wp14:editId="23A69216">
                  <wp:simplePos x="0" y="0"/>
                  <wp:positionH relativeFrom="column">
                    <wp:posOffset>51361</wp:posOffset>
                  </wp:positionH>
                  <wp:positionV relativeFrom="paragraph">
                    <wp:posOffset>105311</wp:posOffset>
                  </wp:positionV>
                  <wp:extent cx="771401"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50D25DB0" w14:textId="77777777" w:rsidR="00500865" w:rsidRDefault="00500865" w:rsidP="00321D2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316103E7" w14:textId="77777777" w:rsidR="00500865" w:rsidRDefault="00500865" w:rsidP="00321D2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71DF7C06" w14:textId="77777777" w:rsidR="00500865" w:rsidRDefault="00500865" w:rsidP="00321D25">
            <w:pPr>
              <w:rPr>
                <w:rFonts w:ascii="Univers" w:hAnsi="Univers"/>
                <w:b/>
                <w:sz w:val="32"/>
                <w:lang w:val="fr-CA"/>
              </w:rPr>
            </w:pPr>
            <w:r>
              <w:rPr>
                <w:rFonts w:ascii="Univers" w:hAnsi="Univers"/>
                <w:b/>
                <w:sz w:val="32"/>
                <w:lang w:val="fr-CA"/>
              </w:rPr>
              <w:t>Nations Unies pour</w:t>
            </w:r>
          </w:p>
          <w:p w14:paraId="25A5DA7B" w14:textId="77777777" w:rsidR="00500865" w:rsidRPr="00542808" w:rsidRDefault="00500865" w:rsidP="00321D25">
            <w:pPr>
              <w:rPr>
                <w:rFonts w:ascii="Univers" w:hAnsi="Univers"/>
                <w:b/>
                <w:sz w:val="32"/>
                <w:lang w:val="fr-CA"/>
              </w:rPr>
            </w:pPr>
            <w:r>
              <w:rPr>
                <w:rFonts w:ascii="Univers" w:hAnsi="Univers"/>
                <w:b/>
                <w:sz w:val="32"/>
                <w:lang w:val="fr-CA"/>
              </w:rPr>
              <w:t>l’environnement</w:t>
            </w:r>
          </w:p>
        </w:tc>
        <w:tc>
          <w:tcPr>
            <w:tcW w:w="4140" w:type="dxa"/>
            <w:tcBorders>
              <w:top w:val="nil"/>
              <w:left w:val="nil"/>
              <w:bottom w:val="single" w:sz="36" w:space="0" w:color="auto"/>
              <w:right w:val="nil"/>
            </w:tcBorders>
          </w:tcPr>
          <w:p w14:paraId="66BB7487" w14:textId="77777777" w:rsidR="00500865" w:rsidRDefault="00500865" w:rsidP="00321D25"/>
          <w:p w14:paraId="407242B3" w14:textId="77777777" w:rsidR="00500865" w:rsidRPr="00DD3433" w:rsidRDefault="00500865" w:rsidP="00321D25">
            <w:r w:rsidRPr="00DD3433">
              <w:t>Distr.</w:t>
            </w:r>
          </w:p>
          <w:p w14:paraId="7A7596D4" w14:textId="77777777" w:rsidR="00500865" w:rsidRPr="00DD3433" w:rsidRDefault="00500865" w:rsidP="00321D25">
            <w:r w:rsidRPr="00DD3433">
              <w:t>GÉNÉRALE</w:t>
            </w:r>
          </w:p>
          <w:p w14:paraId="0C284000" w14:textId="77777777" w:rsidR="00500865" w:rsidRPr="00DD3433" w:rsidRDefault="00500865" w:rsidP="00321D25"/>
          <w:p w14:paraId="7F2BF293" w14:textId="3F2DA2FC" w:rsidR="00500865" w:rsidRPr="00BB607B" w:rsidRDefault="00500865" w:rsidP="00321D25">
            <w:pPr>
              <w:rPr>
                <w:lang w:val="fr-CA"/>
              </w:rPr>
            </w:pPr>
            <w:r>
              <w:fldChar w:fldCharType="begin"/>
            </w:r>
            <w:r w:rsidRPr="00BB607B">
              <w:rPr>
                <w:lang w:val="fr-CA"/>
              </w:rPr>
              <w:instrText xml:space="preserve"> DOCPROPERTY "Document number"  \* MERGEFORMAT </w:instrText>
            </w:r>
            <w:r>
              <w:fldChar w:fldCharType="separate"/>
            </w:r>
            <w:r w:rsidR="00B52E73">
              <w:rPr>
                <w:lang w:val="fr-CA"/>
              </w:rPr>
              <w:t>UNEP/OzL.Pro/ExCom/98/32</w:t>
            </w:r>
            <w:r>
              <w:fldChar w:fldCharType="end"/>
            </w:r>
          </w:p>
          <w:p w14:paraId="5405E28B" w14:textId="0CF07463" w:rsidR="00500865" w:rsidRPr="007F5501" w:rsidRDefault="00500865" w:rsidP="00321D25">
            <w:pPr>
              <w:rPr>
                <w:szCs w:val="24"/>
                <w:lang w:val="fr-CA"/>
              </w:rPr>
            </w:pPr>
            <w:r w:rsidRPr="008B7BCA">
              <w:rPr>
                <w:szCs w:val="24"/>
              </w:rPr>
              <w:fldChar w:fldCharType="begin"/>
            </w:r>
            <w:r w:rsidRPr="007F5501">
              <w:rPr>
                <w:szCs w:val="24"/>
                <w:lang w:val="fr-CA"/>
              </w:rPr>
              <w:instrText xml:space="preserve"> DOCPROPERTY "Revision date" \@ "d MMMM YYYY"  \* MERGEFORMAT </w:instrText>
            </w:r>
            <w:r w:rsidRPr="008B7BCA">
              <w:rPr>
                <w:szCs w:val="24"/>
              </w:rPr>
              <w:fldChar w:fldCharType="separate"/>
            </w:r>
            <w:r>
              <w:rPr>
                <w:szCs w:val="24"/>
                <w:lang w:val="fr-CA"/>
              </w:rPr>
              <w:t>31 mai 2026</w:t>
            </w:r>
            <w:r w:rsidRPr="008B7BCA">
              <w:rPr>
                <w:szCs w:val="24"/>
              </w:rPr>
              <w:fldChar w:fldCharType="end"/>
            </w:r>
          </w:p>
          <w:p w14:paraId="00D0D321" w14:textId="77777777" w:rsidR="00500865" w:rsidRDefault="00500865" w:rsidP="00321D25">
            <w:pPr>
              <w:rPr>
                <w:caps/>
              </w:rPr>
            </w:pPr>
            <w:r w:rsidRPr="007F5501">
              <w:rPr>
                <w:caps/>
                <w:lang w:val="fr-CA"/>
              </w:rPr>
              <w:br/>
            </w:r>
            <w:r>
              <w:rPr>
                <w:caps/>
              </w:rPr>
              <w:t>FRANÇAIS</w:t>
            </w:r>
          </w:p>
          <w:p w14:paraId="66404A4A" w14:textId="54D28060" w:rsidR="00500865" w:rsidRPr="00E5237E" w:rsidRDefault="00500865" w:rsidP="00321D25">
            <w:pPr>
              <w:rPr>
                <w:lang w:val="fr-CA"/>
              </w:rPr>
            </w:pPr>
            <w:r w:rsidRPr="00E5237E">
              <w:rPr>
                <w:lang w:val="fr-CA"/>
              </w:rPr>
              <w:t>ORIGINAL</w:t>
            </w:r>
            <w:r w:rsidR="00B52E73">
              <w:rPr>
                <w:lang w:val="fr-CA"/>
              </w:rPr>
              <w:t xml:space="preserve"> </w:t>
            </w:r>
            <w:r w:rsidRPr="00E5237E">
              <w:rPr>
                <w:lang w:val="fr-CA"/>
              </w:rPr>
              <w:t>: ANGLAIS</w:t>
            </w:r>
          </w:p>
        </w:tc>
      </w:tr>
    </w:tbl>
    <w:p w14:paraId="78937DF0" w14:textId="77777777" w:rsidR="00500865" w:rsidRPr="00630485" w:rsidRDefault="00500865" w:rsidP="00500865">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r>
      <w:r w:rsidRPr="00630485">
        <w:rPr>
          <w:lang w:val="fr-CA"/>
        </w:rPr>
        <w:t>Quatre-vingt-dix-huitième réunion</w:t>
      </w:r>
    </w:p>
    <w:p w14:paraId="4D536842" w14:textId="77777777" w:rsidR="00500865" w:rsidRPr="00FE1FA0" w:rsidRDefault="00500865" w:rsidP="00500865">
      <w:pPr>
        <w:jc w:val="left"/>
        <w:rPr>
          <w:lang w:val="fr-CA"/>
        </w:rPr>
      </w:pPr>
      <w:r w:rsidRPr="008A4946">
        <w:rPr>
          <w:lang w:val="fr-CA"/>
        </w:rPr>
        <w:t xml:space="preserve">Montréal, </w:t>
      </w:r>
      <w:r w:rsidRPr="00BB607B">
        <w:rPr>
          <w:lang w:val="fr-CA"/>
        </w:rPr>
        <w:t>22</w:t>
      </w:r>
      <w:r>
        <w:rPr>
          <w:lang w:val="fr-CA"/>
        </w:rPr>
        <w:t>-</w:t>
      </w:r>
      <w:r w:rsidRPr="00BB607B">
        <w:rPr>
          <w:lang w:val="fr-CA"/>
        </w:rPr>
        <w:t>26 juin 2026</w:t>
      </w:r>
    </w:p>
    <w:p w14:paraId="0A9C0C7D" w14:textId="7F6C98D0" w:rsidR="00F72392" w:rsidRDefault="00F72392">
      <w:pPr>
        <w:jc w:val="left"/>
      </w:pPr>
      <w:r>
        <w:t>Point 8 c) de l’ordre du jour provisoire</w:t>
      </w:r>
      <w:r w:rsidRPr="00512BEF">
        <w:rPr>
          <w:rStyle w:val="FootnoteReference"/>
        </w:rPr>
        <w:footnoteReference w:id="1"/>
      </w:r>
    </w:p>
    <w:p w14:paraId="1F97BB3A" w14:textId="77777777" w:rsidR="00F72392" w:rsidRPr="008933E1" w:rsidRDefault="00F72392"/>
    <w:p w14:paraId="1AF6732B" w14:textId="77777777" w:rsidR="00F72392" w:rsidRPr="008933E1" w:rsidRDefault="00F72392"/>
    <w:p w14:paraId="7BACFCF4" w14:textId="77777777" w:rsidR="00F72392" w:rsidRPr="008933E1" w:rsidRDefault="00F72392"/>
    <w:p w14:paraId="2A7272FA" w14:textId="77777777" w:rsidR="00F72392" w:rsidRPr="00E9063C" w:rsidRDefault="00F72392"/>
    <w:p w14:paraId="03B1BD96" w14:textId="77777777" w:rsidR="00F72392" w:rsidRPr="00E9063C" w:rsidRDefault="00F72392"/>
    <w:p w14:paraId="54C2D206" w14:textId="336CECF6" w:rsidR="00F72392" w:rsidRPr="00A3051B" w:rsidRDefault="00F72392">
      <w:pPr>
        <w:jc w:val="center"/>
        <w:rPr>
          <w:b/>
        </w:rPr>
      </w:pPr>
      <w:r>
        <w:rPr>
          <w:b/>
        </w:rPr>
        <w:t>PROPOSITIONS DE PROJET : LA RÉPUBLIQUE DÉMOCRATIQUE DU CONGO</w:t>
      </w:r>
    </w:p>
    <w:p w14:paraId="5100024D" w14:textId="77777777" w:rsidR="00F72392" w:rsidRPr="00A3051B" w:rsidRDefault="00F72392"/>
    <w:p w14:paraId="086520D0" w14:textId="77777777" w:rsidR="00F72392" w:rsidRPr="00A3051B" w:rsidRDefault="00F72392"/>
    <w:p w14:paraId="2AA88110" w14:textId="3707AB11" w:rsidR="00F72392" w:rsidRPr="00A3051B" w:rsidRDefault="00F72392">
      <w:pPr>
        <w:spacing w:after="240"/>
        <w:ind w:firstLine="720"/>
      </w:pPr>
      <w:r>
        <w:t>Le présent document comprend les observations et la recommandation du secrétariat sur la proposition de projet suivante :</w:t>
      </w:r>
    </w:p>
    <w:p w14:paraId="1D6C10D1" w14:textId="77777777" w:rsidR="00F72392" w:rsidRPr="00A3051B" w:rsidRDefault="00F72392">
      <w:pPr>
        <w:spacing w:after="240"/>
        <w:rPr>
          <w:u w:val="single"/>
        </w:rPr>
      </w:pPr>
      <w:r>
        <w:rPr>
          <w:u w:val="single"/>
        </w:rPr>
        <w:t>Élimination</w:t>
      </w: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1843"/>
        <w:gridCol w:w="2552"/>
      </w:tblGrid>
      <w:tr w:rsidR="00F72392" w:rsidRPr="00A3051B" w14:paraId="1E39F7BD" w14:textId="77777777">
        <w:tc>
          <w:tcPr>
            <w:tcW w:w="5103" w:type="dxa"/>
          </w:tcPr>
          <w:p w14:paraId="55CDD8C6" w14:textId="6013B176" w:rsidR="00F72392" w:rsidRPr="00A3051B" w:rsidRDefault="00F72392" w:rsidP="00EF1BAB">
            <w:pPr>
              <w:numPr>
                <w:ilvl w:val="0"/>
                <w:numId w:val="6"/>
              </w:numPr>
              <w:ind w:left="599" w:hanging="709"/>
              <w:contextualSpacing/>
              <w:jc w:val="left"/>
            </w:pPr>
            <w:r>
              <w:t>Plan de gestion de l’élimination des HCFC (phase II, deuxième tranche)</w:t>
            </w:r>
          </w:p>
        </w:tc>
        <w:tc>
          <w:tcPr>
            <w:tcW w:w="1843" w:type="dxa"/>
          </w:tcPr>
          <w:p w14:paraId="5501FC45" w14:textId="5807F5C6" w:rsidR="00F72392" w:rsidRPr="00A3051B" w:rsidRDefault="00600DB9" w:rsidP="00600DB9">
            <w:pPr>
              <w:ind w:right="-394"/>
            </w:pPr>
            <w:r>
              <w:t>PNUE et PNUD</w:t>
            </w:r>
          </w:p>
        </w:tc>
        <w:tc>
          <w:tcPr>
            <w:tcW w:w="2552" w:type="dxa"/>
          </w:tcPr>
          <w:p w14:paraId="4837C2D3" w14:textId="1311B08C" w:rsidR="00F72392" w:rsidRPr="00A3051B" w:rsidRDefault="006612BA">
            <w:pPr>
              <w:jc w:val="right"/>
            </w:pPr>
            <w:r>
              <w:t>Approbation globale</w:t>
            </w:r>
          </w:p>
        </w:tc>
      </w:tr>
    </w:tbl>
    <w:p w14:paraId="30E1D465" w14:textId="77777777" w:rsidR="00F72392" w:rsidRPr="00A3051B" w:rsidRDefault="00F72392"/>
    <w:p w14:paraId="629DEC26" w14:textId="77777777" w:rsidR="00F72392" w:rsidRPr="00A3051B" w:rsidRDefault="00F72392"/>
    <w:p w14:paraId="5F795641" w14:textId="77777777" w:rsidR="00F72392" w:rsidRPr="00A3051B" w:rsidRDefault="00F72392"/>
    <w:p w14:paraId="4CEEDD65" w14:textId="77777777" w:rsidR="00F72392" w:rsidRPr="00A3051B" w:rsidRDefault="00F72392"/>
    <w:p w14:paraId="02B0471C" w14:textId="77777777" w:rsidR="00F72392" w:rsidRPr="00A3051B" w:rsidRDefault="00F72392">
      <w:r>
        <w:br w:type="page"/>
      </w:r>
    </w:p>
    <w:p w14:paraId="3FA4A15D" w14:textId="77777777" w:rsidR="00F72392" w:rsidRPr="00A3051B" w:rsidRDefault="00F72392">
      <w:pPr>
        <w:spacing w:after="120"/>
        <w:jc w:val="center"/>
        <w:rPr>
          <w:b/>
        </w:rPr>
      </w:pPr>
      <w:r>
        <w:rPr>
          <w:b/>
        </w:rPr>
        <w:lastRenderedPageBreak/>
        <w:t>FICHE D’ÉVALUATION DE PROJET – PROJETS PLURIANNUELS</w:t>
      </w:r>
    </w:p>
    <w:p w14:paraId="29CF3C5D" w14:textId="200AE444" w:rsidR="00F72392" w:rsidRPr="00A3051B" w:rsidRDefault="0087787C">
      <w:pPr>
        <w:spacing w:after="200"/>
        <w:jc w:val="center"/>
      </w:pPr>
      <w:r>
        <w:rPr>
          <w:b/>
        </w:rPr>
        <w:t>La République démocratique du Congo</w:t>
      </w:r>
    </w:p>
    <w:tbl>
      <w:tblPr>
        <w:tblStyle w:val="TableGrid"/>
        <w:tblW w:w="5744" w:type="pct"/>
        <w:tblInd w:w="-725" w:type="dxa"/>
        <w:tblLayout w:type="fixed"/>
        <w:tblLook w:val="04A0" w:firstRow="1" w:lastRow="0" w:firstColumn="1" w:lastColumn="0" w:noHBand="0" w:noVBand="1"/>
      </w:tblPr>
      <w:tblGrid>
        <w:gridCol w:w="3255"/>
        <w:gridCol w:w="2530"/>
        <w:gridCol w:w="2530"/>
        <w:gridCol w:w="2530"/>
      </w:tblGrid>
      <w:tr w:rsidR="00F72392" w:rsidRPr="00A3051B" w14:paraId="1F06663C" w14:textId="77777777" w:rsidTr="001649E9">
        <w:trPr>
          <w:trHeight w:val="240"/>
        </w:trPr>
        <w:tc>
          <w:tcPr>
            <w:tcW w:w="3255" w:type="dxa"/>
            <w:vAlign w:val="center"/>
            <w:hideMark/>
          </w:tcPr>
          <w:p w14:paraId="0E4B8285" w14:textId="77777777" w:rsidR="00F72392" w:rsidRPr="00A3051B" w:rsidRDefault="00F72392">
            <w:pPr>
              <w:spacing w:before="20" w:after="20"/>
              <w:jc w:val="center"/>
              <w:rPr>
                <w:b/>
                <w:sz w:val="20"/>
                <w:szCs w:val="20"/>
              </w:rPr>
            </w:pPr>
            <w:r>
              <w:rPr>
                <w:b/>
                <w:sz w:val="20"/>
              </w:rPr>
              <w:t>TITRE DU PROJET</w:t>
            </w:r>
          </w:p>
        </w:tc>
        <w:tc>
          <w:tcPr>
            <w:tcW w:w="2530" w:type="dxa"/>
            <w:vAlign w:val="center"/>
            <w:hideMark/>
          </w:tcPr>
          <w:p w14:paraId="01DAEDC7" w14:textId="77777777" w:rsidR="00F72392" w:rsidRPr="00A3051B" w:rsidRDefault="00F72392">
            <w:pPr>
              <w:spacing w:before="20" w:after="20"/>
              <w:jc w:val="center"/>
              <w:rPr>
                <w:b/>
                <w:sz w:val="20"/>
                <w:szCs w:val="20"/>
              </w:rPr>
            </w:pPr>
            <w:r>
              <w:rPr>
                <w:b/>
                <w:sz w:val="20"/>
              </w:rPr>
              <w:t>AGENCE</w:t>
            </w:r>
          </w:p>
        </w:tc>
        <w:tc>
          <w:tcPr>
            <w:tcW w:w="2530" w:type="dxa"/>
            <w:vAlign w:val="center"/>
            <w:hideMark/>
          </w:tcPr>
          <w:p w14:paraId="46E0AD61" w14:textId="77777777" w:rsidR="00F72392" w:rsidRPr="00A3051B" w:rsidRDefault="00F72392">
            <w:pPr>
              <w:spacing w:before="20" w:after="20"/>
              <w:jc w:val="center"/>
              <w:rPr>
                <w:b/>
                <w:sz w:val="20"/>
                <w:szCs w:val="20"/>
              </w:rPr>
            </w:pPr>
            <w:r>
              <w:rPr>
                <w:b/>
                <w:sz w:val="20"/>
              </w:rPr>
              <w:t>RÉUNION D’APPROBATION</w:t>
            </w:r>
          </w:p>
        </w:tc>
        <w:tc>
          <w:tcPr>
            <w:tcW w:w="2530" w:type="dxa"/>
            <w:vAlign w:val="center"/>
            <w:hideMark/>
          </w:tcPr>
          <w:p w14:paraId="34684406" w14:textId="77777777" w:rsidR="00F72392" w:rsidRPr="00A3051B" w:rsidRDefault="00F72392">
            <w:pPr>
              <w:spacing w:before="20" w:after="20"/>
              <w:jc w:val="center"/>
              <w:rPr>
                <w:b/>
                <w:sz w:val="20"/>
                <w:szCs w:val="20"/>
              </w:rPr>
            </w:pPr>
            <w:r>
              <w:rPr>
                <w:b/>
                <w:sz w:val="20"/>
              </w:rPr>
              <w:t>MESURE DE CONTRÔLE</w:t>
            </w:r>
          </w:p>
        </w:tc>
      </w:tr>
      <w:tr w:rsidR="00F72392" w:rsidRPr="00A3051B" w14:paraId="6A6EF2EC" w14:textId="77777777" w:rsidTr="001649E9">
        <w:trPr>
          <w:trHeight w:val="240"/>
        </w:trPr>
        <w:tc>
          <w:tcPr>
            <w:tcW w:w="3255" w:type="dxa"/>
            <w:vAlign w:val="center"/>
            <w:hideMark/>
          </w:tcPr>
          <w:p w14:paraId="538CCD49" w14:textId="75B9422C" w:rsidR="00F72392" w:rsidRPr="00A3051B" w:rsidRDefault="00F72392">
            <w:pPr>
              <w:spacing w:before="20" w:after="20"/>
              <w:ind w:right="37"/>
              <w:jc w:val="center"/>
              <w:rPr>
                <w:sz w:val="20"/>
                <w:szCs w:val="20"/>
              </w:rPr>
            </w:pPr>
            <w:r>
              <w:rPr>
                <w:sz w:val="20"/>
              </w:rPr>
              <w:t>Plan d’élimination des HCFC (phase II)</w:t>
            </w:r>
          </w:p>
        </w:tc>
        <w:tc>
          <w:tcPr>
            <w:tcW w:w="2530" w:type="dxa"/>
            <w:vAlign w:val="center"/>
          </w:tcPr>
          <w:p w14:paraId="5BAC39EB" w14:textId="68507400" w:rsidR="00F72392" w:rsidRPr="00A3051B" w:rsidRDefault="00515080">
            <w:pPr>
              <w:tabs>
                <w:tab w:val="left" w:pos="1729"/>
              </w:tabs>
              <w:spacing w:before="20" w:after="20"/>
              <w:jc w:val="center"/>
              <w:rPr>
                <w:sz w:val="20"/>
                <w:szCs w:val="20"/>
              </w:rPr>
            </w:pPr>
            <w:r>
              <w:rPr>
                <w:color w:val="000000" w:themeColor="text1"/>
                <w:sz w:val="20"/>
              </w:rPr>
              <w:t>PNUE (principale), PNUD</w:t>
            </w:r>
          </w:p>
        </w:tc>
        <w:tc>
          <w:tcPr>
            <w:tcW w:w="2530" w:type="dxa"/>
            <w:vAlign w:val="center"/>
          </w:tcPr>
          <w:p w14:paraId="7936C263" w14:textId="35D3E5B8" w:rsidR="00F72392" w:rsidRPr="00A3051B" w:rsidRDefault="00515080">
            <w:pPr>
              <w:spacing w:before="20" w:after="20"/>
              <w:ind w:left="30" w:right="31"/>
              <w:jc w:val="center"/>
              <w:rPr>
                <w:sz w:val="20"/>
                <w:szCs w:val="20"/>
              </w:rPr>
            </w:pPr>
            <w:r>
              <w:rPr>
                <w:sz w:val="20"/>
              </w:rPr>
              <w:t>88</w:t>
            </w:r>
            <w:r>
              <w:rPr>
                <w:sz w:val="20"/>
                <w:vertAlign w:val="superscript"/>
              </w:rPr>
              <w:t>e</w:t>
            </w:r>
            <w:r>
              <w:rPr>
                <w:sz w:val="20"/>
              </w:rPr>
              <w:t xml:space="preserve"> </w:t>
            </w:r>
          </w:p>
        </w:tc>
        <w:tc>
          <w:tcPr>
            <w:tcW w:w="2530" w:type="dxa"/>
            <w:vAlign w:val="center"/>
          </w:tcPr>
          <w:p w14:paraId="44CC3DE2" w14:textId="2E4859F4" w:rsidR="00F72392" w:rsidRPr="00A3051B" w:rsidRDefault="00ED5ABC">
            <w:pPr>
              <w:spacing w:before="20" w:after="20"/>
              <w:jc w:val="center"/>
              <w:rPr>
                <w:sz w:val="20"/>
                <w:szCs w:val="20"/>
              </w:rPr>
            </w:pPr>
            <w:r>
              <w:rPr>
                <w:sz w:val="20"/>
              </w:rPr>
              <w:t>Élimination totale d’ici 2030</w:t>
            </w:r>
          </w:p>
        </w:tc>
      </w:tr>
    </w:tbl>
    <w:p w14:paraId="3D6A302F" w14:textId="77777777" w:rsidR="00F72392" w:rsidRPr="00A3051B" w:rsidRDefault="00F72392">
      <w:pPr>
        <w:spacing w:before="20" w:after="20"/>
        <w:jc w:val="center"/>
        <w:rPr>
          <w:sz w:val="18"/>
          <w:szCs w:val="18"/>
        </w:rPr>
      </w:pPr>
    </w:p>
    <w:tbl>
      <w:tblPr>
        <w:tblStyle w:val="TableGrid"/>
        <w:tblW w:w="5744" w:type="pct"/>
        <w:tblInd w:w="-725" w:type="dxa"/>
        <w:tblLayout w:type="fixed"/>
        <w:tblLook w:val="04A0" w:firstRow="1" w:lastRow="0" w:firstColumn="1" w:lastColumn="0" w:noHBand="0" w:noVBand="1"/>
      </w:tblPr>
      <w:tblGrid>
        <w:gridCol w:w="5872"/>
        <w:gridCol w:w="2486"/>
        <w:gridCol w:w="2487"/>
      </w:tblGrid>
      <w:tr w:rsidR="00F72392" w:rsidRPr="00A3051B" w14:paraId="47DFE9AA" w14:textId="77777777" w:rsidTr="001649E9">
        <w:trPr>
          <w:trHeight w:val="43"/>
        </w:trPr>
        <w:tc>
          <w:tcPr>
            <w:tcW w:w="5872" w:type="dxa"/>
            <w:vAlign w:val="center"/>
            <w:hideMark/>
          </w:tcPr>
          <w:p w14:paraId="2DC75CDB" w14:textId="77777777" w:rsidR="00F72392" w:rsidRPr="00A3051B" w:rsidRDefault="00F72392">
            <w:pPr>
              <w:spacing w:before="20" w:after="20"/>
              <w:jc w:val="left"/>
              <w:rPr>
                <w:b/>
                <w:sz w:val="20"/>
                <w:szCs w:val="20"/>
              </w:rPr>
            </w:pPr>
            <w:r>
              <w:rPr>
                <w:b/>
                <w:sz w:val="20"/>
              </w:rPr>
              <w:t>DONNÉES VISÉES À L’ARTICLE 7 (annexe C, groupe I)</w:t>
            </w:r>
          </w:p>
        </w:tc>
        <w:tc>
          <w:tcPr>
            <w:tcW w:w="2486" w:type="dxa"/>
            <w:vAlign w:val="center"/>
            <w:hideMark/>
          </w:tcPr>
          <w:p w14:paraId="544218F8" w14:textId="7D32478C" w:rsidR="00F72392" w:rsidRPr="00A3051B" w:rsidRDefault="00F72392">
            <w:pPr>
              <w:spacing w:before="20" w:after="20"/>
              <w:jc w:val="center"/>
              <w:rPr>
                <w:b/>
                <w:bCs/>
                <w:sz w:val="20"/>
                <w:szCs w:val="20"/>
              </w:rPr>
            </w:pPr>
            <w:r>
              <w:rPr>
                <w:b/>
                <w:sz w:val="20"/>
              </w:rPr>
              <w:t>Année : 2025</w:t>
            </w:r>
          </w:p>
        </w:tc>
        <w:tc>
          <w:tcPr>
            <w:tcW w:w="2487" w:type="dxa"/>
            <w:vAlign w:val="center"/>
            <w:hideMark/>
          </w:tcPr>
          <w:p w14:paraId="06C4D304" w14:textId="031A7DB4" w:rsidR="00F72392" w:rsidRPr="00A3051B" w:rsidRDefault="00B33248">
            <w:pPr>
              <w:spacing w:before="20" w:after="20"/>
              <w:jc w:val="right"/>
              <w:rPr>
                <w:sz w:val="20"/>
                <w:szCs w:val="20"/>
              </w:rPr>
            </w:pPr>
            <w:r>
              <w:rPr>
                <w:color w:val="000000" w:themeColor="text1"/>
                <w:sz w:val="20"/>
              </w:rPr>
              <w:t>1,18</w:t>
            </w:r>
            <w:r>
              <w:rPr>
                <w:sz w:val="20"/>
              </w:rPr>
              <w:t> tonnes PAO</w:t>
            </w:r>
          </w:p>
        </w:tc>
      </w:tr>
    </w:tbl>
    <w:p w14:paraId="7413F4D9" w14:textId="77777777" w:rsidR="00F72392" w:rsidRPr="00A3051B" w:rsidRDefault="00F72392">
      <w:pPr>
        <w:spacing w:before="20" w:after="20"/>
        <w:jc w:val="center"/>
        <w:rPr>
          <w:sz w:val="18"/>
          <w:szCs w:val="18"/>
        </w:rPr>
      </w:pPr>
    </w:p>
    <w:tbl>
      <w:tblPr>
        <w:tblStyle w:val="TableGrid"/>
        <w:tblW w:w="5735" w:type="pct"/>
        <w:tblInd w:w="-707" w:type="dxa"/>
        <w:tblLayout w:type="fixed"/>
        <w:tblLook w:val="04A0" w:firstRow="1" w:lastRow="0" w:firstColumn="1" w:lastColumn="0" w:noHBand="0" w:noVBand="1"/>
      </w:tblPr>
      <w:tblGrid>
        <w:gridCol w:w="1960"/>
        <w:gridCol w:w="1176"/>
        <w:gridCol w:w="1143"/>
        <w:gridCol w:w="1289"/>
        <w:gridCol w:w="1429"/>
        <w:gridCol w:w="1289"/>
        <w:gridCol w:w="1005"/>
        <w:gridCol w:w="879"/>
        <w:gridCol w:w="658"/>
      </w:tblGrid>
      <w:tr w:rsidR="00F72392" w:rsidRPr="00A3051B" w14:paraId="59DDC228" w14:textId="77777777" w:rsidTr="001649E9">
        <w:trPr>
          <w:trHeight w:val="50"/>
        </w:trPr>
        <w:tc>
          <w:tcPr>
            <w:tcW w:w="4290" w:type="pct"/>
            <w:gridSpan w:val="7"/>
            <w:tcBorders>
              <w:right w:val="single" w:sz="4" w:space="0" w:color="auto"/>
            </w:tcBorders>
            <w:hideMark/>
          </w:tcPr>
          <w:p w14:paraId="3CA51DB8" w14:textId="77777777" w:rsidR="00F72392" w:rsidRPr="00A3051B" w:rsidRDefault="00F72392">
            <w:pPr>
              <w:spacing w:before="20" w:after="20"/>
              <w:jc w:val="left"/>
              <w:rPr>
                <w:b/>
                <w:sz w:val="20"/>
                <w:szCs w:val="20"/>
              </w:rPr>
            </w:pPr>
            <w:r>
              <w:rPr>
                <w:b/>
                <w:sz w:val="20"/>
              </w:rPr>
              <w:t>DONNÉES SECTORIELLES DU PROGRAMME DU PAYS (tonnes PAO)</w:t>
            </w:r>
          </w:p>
        </w:tc>
        <w:tc>
          <w:tcPr>
            <w:tcW w:w="406" w:type="pct"/>
            <w:tcBorders>
              <w:top w:val="single" w:sz="4" w:space="0" w:color="auto"/>
              <w:left w:val="single" w:sz="4" w:space="0" w:color="auto"/>
              <w:bottom w:val="single" w:sz="4" w:space="0" w:color="auto"/>
              <w:right w:val="nil"/>
            </w:tcBorders>
          </w:tcPr>
          <w:p w14:paraId="25720379" w14:textId="77777777" w:rsidR="00F72392" w:rsidRPr="00A3051B" w:rsidRDefault="00F72392">
            <w:pPr>
              <w:spacing w:before="20" w:after="20"/>
              <w:jc w:val="left"/>
              <w:rPr>
                <w:b/>
                <w:sz w:val="20"/>
                <w:szCs w:val="20"/>
              </w:rPr>
            </w:pPr>
            <w:r>
              <w:rPr>
                <w:b/>
                <w:sz w:val="20"/>
              </w:rPr>
              <w:t>Année :</w:t>
            </w:r>
          </w:p>
        </w:tc>
        <w:tc>
          <w:tcPr>
            <w:tcW w:w="304" w:type="pct"/>
            <w:tcBorders>
              <w:top w:val="single" w:sz="4" w:space="0" w:color="auto"/>
              <w:left w:val="nil"/>
              <w:bottom w:val="single" w:sz="4" w:space="0" w:color="auto"/>
              <w:right w:val="single" w:sz="4" w:space="0" w:color="auto"/>
            </w:tcBorders>
          </w:tcPr>
          <w:p w14:paraId="21FBF474" w14:textId="77777777" w:rsidR="00F72392" w:rsidRPr="00A3051B" w:rsidRDefault="00F72392">
            <w:pPr>
              <w:spacing w:before="20" w:after="20"/>
              <w:jc w:val="right"/>
              <w:rPr>
                <w:b/>
                <w:sz w:val="20"/>
                <w:szCs w:val="20"/>
              </w:rPr>
            </w:pPr>
            <w:r>
              <w:rPr>
                <w:b/>
                <w:sz w:val="20"/>
              </w:rPr>
              <w:t>2025</w:t>
            </w:r>
          </w:p>
        </w:tc>
      </w:tr>
      <w:tr w:rsidR="00F72392" w:rsidRPr="00A3051B" w14:paraId="0A6625BF" w14:textId="77777777" w:rsidTr="001649E9">
        <w:trPr>
          <w:trHeight w:val="77"/>
        </w:trPr>
        <w:tc>
          <w:tcPr>
            <w:tcW w:w="905" w:type="pct"/>
            <w:vMerge w:val="restart"/>
            <w:vAlign w:val="center"/>
            <w:hideMark/>
          </w:tcPr>
          <w:p w14:paraId="2B6E6554" w14:textId="77777777" w:rsidR="00F72392" w:rsidRPr="00A3051B" w:rsidRDefault="00F72392">
            <w:pPr>
              <w:spacing w:before="20" w:after="20"/>
              <w:jc w:val="center"/>
              <w:rPr>
                <w:sz w:val="20"/>
                <w:szCs w:val="20"/>
              </w:rPr>
            </w:pPr>
            <w:r>
              <w:rPr>
                <w:sz w:val="20"/>
              </w:rPr>
              <w:t>Substance</w:t>
            </w:r>
          </w:p>
        </w:tc>
        <w:tc>
          <w:tcPr>
            <w:tcW w:w="543" w:type="pct"/>
            <w:vMerge w:val="restart"/>
            <w:vAlign w:val="center"/>
            <w:hideMark/>
          </w:tcPr>
          <w:p w14:paraId="45321777" w14:textId="77777777" w:rsidR="00F72392" w:rsidRPr="00A3051B" w:rsidRDefault="00F72392">
            <w:pPr>
              <w:spacing w:before="20" w:after="20"/>
              <w:jc w:val="center"/>
              <w:rPr>
                <w:sz w:val="20"/>
                <w:szCs w:val="20"/>
              </w:rPr>
            </w:pPr>
            <w:r>
              <w:rPr>
                <w:sz w:val="20"/>
              </w:rPr>
              <w:t>Aérosol</w:t>
            </w:r>
          </w:p>
        </w:tc>
        <w:tc>
          <w:tcPr>
            <w:tcW w:w="528" w:type="pct"/>
            <w:vMerge w:val="restart"/>
            <w:vAlign w:val="center"/>
            <w:hideMark/>
          </w:tcPr>
          <w:p w14:paraId="2DBB02CE" w14:textId="77777777" w:rsidR="00F72392" w:rsidRPr="00A3051B" w:rsidRDefault="00F72392">
            <w:pPr>
              <w:spacing w:before="20" w:after="20"/>
              <w:jc w:val="center"/>
              <w:rPr>
                <w:sz w:val="20"/>
                <w:szCs w:val="20"/>
              </w:rPr>
            </w:pPr>
            <w:r>
              <w:rPr>
                <w:sz w:val="20"/>
              </w:rPr>
              <w:t>Mousse</w:t>
            </w:r>
          </w:p>
        </w:tc>
        <w:tc>
          <w:tcPr>
            <w:tcW w:w="595" w:type="pct"/>
            <w:vMerge w:val="restart"/>
            <w:vAlign w:val="center"/>
            <w:hideMark/>
          </w:tcPr>
          <w:p w14:paraId="7A6752C1" w14:textId="77777777" w:rsidR="00F72392" w:rsidRPr="00A3051B" w:rsidRDefault="00F72392">
            <w:pPr>
              <w:spacing w:before="20" w:after="20"/>
              <w:jc w:val="center"/>
              <w:rPr>
                <w:sz w:val="20"/>
                <w:szCs w:val="20"/>
              </w:rPr>
            </w:pPr>
            <w:r>
              <w:rPr>
                <w:sz w:val="20"/>
              </w:rPr>
              <w:t>Lutte contre les incendies</w:t>
            </w:r>
          </w:p>
        </w:tc>
        <w:tc>
          <w:tcPr>
            <w:tcW w:w="1255" w:type="pct"/>
            <w:gridSpan w:val="2"/>
            <w:vAlign w:val="center"/>
            <w:hideMark/>
          </w:tcPr>
          <w:p w14:paraId="68DE9F9C" w14:textId="77777777" w:rsidR="00F72392" w:rsidRPr="00A3051B" w:rsidRDefault="00F72392">
            <w:pPr>
              <w:spacing w:before="20" w:after="20"/>
              <w:jc w:val="center"/>
              <w:rPr>
                <w:sz w:val="20"/>
                <w:szCs w:val="20"/>
              </w:rPr>
            </w:pPr>
            <w:r>
              <w:rPr>
                <w:sz w:val="20"/>
              </w:rPr>
              <w:t>Réfrigération</w:t>
            </w:r>
          </w:p>
        </w:tc>
        <w:tc>
          <w:tcPr>
            <w:tcW w:w="463" w:type="pct"/>
            <w:vMerge w:val="restart"/>
            <w:vAlign w:val="center"/>
            <w:hideMark/>
          </w:tcPr>
          <w:p w14:paraId="3F9E1A49" w14:textId="77777777" w:rsidR="00F72392" w:rsidRPr="00A3051B" w:rsidRDefault="00F72392">
            <w:pPr>
              <w:spacing w:before="20" w:after="20"/>
              <w:jc w:val="center"/>
              <w:rPr>
                <w:sz w:val="20"/>
                <w:szCs w:val="20"/>
              </w:rPr>
            </w:pPr>
            <w:r>
              <w:rPr>
                <w:sz w:val="20"/>
              </w:rPr>
              <w:t>Solvant</w:t>
            </w:r>
          </w:p>
        </w:tc>
        <w:tc>
          <w:tcPr>
            <w:tcW w:w="710" w:type="pct"/>
            <w:gridSpan w:val="2"/>
            <w:vMerge w:val="restart"/>
            <w:tcBorders>
              <w:top w:val="single" w:sz="4" w:space="0" w:color="auto"/>
            </w:tcBorders>
            <w:vAlign w:val="center"/>
            <w:hideMark/>
          </w:tcPr>
          <w:p w14:paraId="2F632A9A" w14:textId="77777777" w:rsidR="00F72392" w:rsidRPr="00A3051B" w:rsidRDefault="00F72392">
            <w:pPr>
              <w:spacing w:before="20" w:after="20"/>
              <w:jc w:val="center"/>
              <w:rPr>
                <w:sz w:val="20"/>
                <w:szCs w:val="20"/>
              </w:rPr>
            </w:pPr>
            <w:r>
              <w:rPr>
                <w:sz w:val="20"/>
              </w:rPr>
              <w:t>Consommation totale du secteur</w:t>
            </w:r>
          </w:p>
        </w:tc>
      </w:tr>
      <w:tr w:rsidR="00F72392" w:rsidRPr="00A3051B" w14:paraId="58A621C3" w14:textId="77777777" w:rsidTr="001649E9">
        <w:trPr>
          <w:trHeight w:val="77"/>
        </w:trPr>
        <w:tc>
          <w:tcPr>
            <w:tcW w:w="905" w:type="pct"/>
            <w:vMerge/>
            <w:tcBorders>
              <w:bottom w:val="single" w:sz="4" w:space="0" w:color="auto"/>
            </w:tcBorders>
            <w:hideMark/>
          </w:tcPr>
          <w:p w14:paraId="0BC2D506" w14:textId="77777777" w:rsidR="00F72392" w:rsidRPr="00A3051B" w:rsidRDefault="00F72392">
            <w:pPr>
              <w:spacing w:before="20" w:after="20"/>
              <w:jc w:val="center"/>
              <w:rPr>
                <w:sz w:val="20"/>
                <w:szCs w:val="20"/>
                <w:lang w:val="en-US"/>
              </w:rPr>
            </w:pPr>
          </w:p>
        </w:tc>
        <w:tc>
          <w:tcPr>
            <w:tcW w:w="543" w:type="pct"/>
            <w:vMerge/>
            <w:tcBorders>
              <w:bottom w:val="single" w:sz="4" w:space="0" w:color="auto"/>
            </w:tcBorders>
          </w:tcPr>
          <w:p w14:paraId="4C730957" w14:textId="77777777" w:rsidR="00F72392" w:rsidRPr="00A3051B" w:rsidRDefault="00F72392">
            <w:pPr>
              <w:spacing w:before="20" w:after="20"/>
              <w:jc w:val="center"/>
              <w:rPr>
                <w:sz w:val="20"/>
                <w:szCs w:val="20"/>
                <w:lang w:val="en-US"/>
              </w:rPr>
            </w:pPr>
          </w:p>
        </w:tc>
        <w:tc>
          <w:tcPr>
            <w:tcW w:w="528" w:type="pct"/>
            <w:vMerge/>
            <w:tcBorders>
              <w:bottom w:val="single" w:sz="4" w:space="0" w:color="auto"/>
            </w:tcBorders>
          </w:tcPr>
          <w:p w14:paraId="743A375A" w14:textId="77777777" w:rsidR="00F72392" w:rsidRPr="00A3051B" w:rsidRDefault="00F72392">
            <w:pPr>
              <w:spacing w:before="20" w:after="20"/>
              <w:jc w:val="center"/>
              <w:rPr>
                <w:sz w:val="20"/>
                <w:szCs w:val="20"/>
                <w:lang w:val="en-US"/>
              </w:rPr>
            </w:pPr>
          </w:p>
        </w:tc>
        <w:tc>
          <w:tcPr>
            <w:tcW w:w="595" w:type="pct"/>
            <w:vMerge/>
            <w:tcBorders>
              <w:bottom w:val="single" w:sz="4" w:space="0" w:color="auto"/>
            </w:tcBorders>
          </w:tcPr>
          <w:p w14:paraId="786A7559" w14:textId="77777777" w:rsidR="00F72392" w:rsidRPr="00A3051B" w:rsidRDefault="00F72392">
            <w:pPr>
              <w:spacing w:before="20" w:after="20"/>
              <w:jc w:val="center"/>
              <w:rPr>
                <w:sz w:val="20"/>
                <w:szCs w:val="20"/>
                <w:lang w:val="en-US"/>
              </w:rPr>
            </w:pPr>
          </w:p>
        </w:tc>
        <w:tc>
          <w:tcPr>
            <w:tcW w:w="660" w:type="pct"/>
            <w:hideMark/>
          </w:tcPr>
          <w:p w14:paraId="2724C8B3" w14:textId="77777777" w:rsidR="00F72392" w:rsidRPr="00A3051B" w:rsidRDefault="00F72392">
            <w:pPr>
              <w:spacing w:before="20" w:after="20"/>
              <w:ind w:left="-250" w:right="-179"/>
              <w:jc w:val="center"/>
              <w:rPr>
                <w:sz w:val="20"/>
                <w:szCs w:val="20"/>
              </w:rPr>
            </w:pPr>
            <w:r>
              <w:rPr>
                <w:sz w:val="20"/>
              </w:rPr>
              <w:t>Fabrication</w:t>
            </w:r>
          </w:p>
        </w:tc>
        <w:tc>
          <w:tcPr>
            <w:tcW w:w="595" w:type="pct"/>
            <w:hideMark/>
          </w:tcPr>
          <w:p w14:paraId="49344E1F" w14:textId="77777777" w:rsidR="00F72392" w:rsidRPr="00A3051B" w:rsidRDefault="00F72392">
            <w:pPr>
              <w:spacing w:before="20" w:after="20"/>
              <w:jc w:val="center"/>
              <w:rPr>
                <w:sz w:val="20"/>
                <w:szCs w:val="20"/>
              </w:rPr>
            </w:pPr>
            <w:r>
              <w:rPr>
                <w:sz w:val="20"/>
              </w:rPr>
              <w:t>Entretien</w:t>
            </w:r>
          </w:p>
        </w:tc>
        <w:tc>
          <w:tcPr>
            <w:tcW w:w="463" w:type="pct"/>
            <w:vMerge/>
            <w:tcBorders>
              <w:bottom w:val="single" w:sz="4" w:space="0" w:color="auto"/>
            </w:tcBorders>
          </w:tcPr>
          <w:p w14:paraId="76A5E5F5" w14:textId="77777777" w:rsidR="00F72392" w:rsidRPr="00A3051B" w:rsidRDefault="00F72392">
            <w:pPr>
              <w:spacing w:before="20" w:after="20"/>
              <w:jc w:val="right"/>
              <w:rPr>
                <w:sz w:val="20"/>
                <w:szCs w:val="20"/>
                <w:lang w:val="en-US"/>
              </w:rPr>
            </w:pPr>
          </w:p>
        </w:tc>
        <w:tc>
          <w:tcPr>
            <w:tcW w:w="710" w:type="pct"/>
            <w:gridSpan w:val="2"/>
            <w:vMerge/>
            <w:tcBorders>
              <w:bottom w:val="single" w:sz="4" w:space="0" w:color="auto"/>
            </w:tcBorders>
          </w:tcPr>
          <w:p w14:paraId="5573DB05" w14:textId="77777777" w:rsidR="00F72392" w:rsidRPr="00A3051B" w:rsidRDefault="00F72392">
            <w:pPr>
              <w:spacing w:before="20" w:after="20"/>
              <w:jc w:val="right"/>
              <w:rPr>
                <w:sz w:val="20"/>
                <w:szCs w:val="20"/>
                <w:lang w:val="en-US"/>
              </w:rPr>
            </w:pPr>
          </w:p>
        </w:tc>
      </w:tr>
      <w:tr w:rsidR="00F72392" w:rsidRPr="00A3051B" w14:paraId="5CB3331F" w14:textId="77777777" w:rsidTr="001649E9">
        <w:trPr>
          <w:trHeight w:val="249"/>
        </w:trPr>
        <w:tc>
          <w:tcPr>
            <w:tcW w:w="905" w:type="pct"/>
            <w:tcBorders>
              <w:top w:val="single" w:sz="4" w:space="0" w:color="auto"/>
            </w:tcBorders>
            <w:hideMark/>
          </w:tcPr>
          <w:p w14:paraId="786A1299" w14:textId="77777777" w:rsidR="00F72392" w:rsidRPr="00A3051B" w:rsidRDefault="00F72392">
            <w:pPr>
              <w:spacing w:before="20" w:after="20"/>
              <w:ind w:left="32"/>
              <w:jc w:val="left"/>
              <w:rPr>
                <w:sz w:val="20"/>
                <w:szCs w:val="20"/>
              </w:rPr>
            </w:pPr>
            <w:r>
              <w:rPr>
                <w:sz w:val="20"/>
              </w:rPr>
              <w:t>HCFC-22</w:t>
            </w:r>
          </w:p>
        </w:tc>
        <w:tc>
          <w:tcPr>
            <w:tcW w:w="543" w:type="pct"/>
            <w:tcBorders>
              <w:top w:val="single" w:sz="4" w:space="0" w:color="auto"/>
            </w:tcBorders>
          </w:tcPr>
          <w:p w14:paraId="185872D8" w14:textId="77777777" w:rsidR="00F72392" w:rsidRPr="00A3051B" w:rsidRDefault="00F72392">
            <w:pPr>
              <w:spacing w:before="20" w:after="20"/>
              <w:jc w:val="right"/>
              <w:rPr>
                <w:sz w:val="20"/>
                <w:szCs w:val="20"/>
                <w:lang w:val="en-US"/>
              </w:rPr>
            </w:pPr>
          </w:p>
        </w:tc>
        <w:tc>
          <w:tcPr>
            <w:tcW w:w="528" w:type="pct"/>
            <w:tcBorders>
              <w:top w:val="single" w:sz="4" w:space="0" w:color="auto"/>
            </w:tcBorders>
          </w:tcPr>
          <w:p w14:paraId="143A744E" w14:textId="77777777" w:rsidR="00F72392" w:rsidRPr="00A3051B" w:rsidRDefault="00F72392">
            <w:pPr>
              <w:spacing w:before="20" w:after="20"/>
              <w:jc w:val="right"/>
              <w:rPr>
                <w:sz w:val="20"/>
                <w:szCs w:val="20"/>
                <w:lang w:val="en-US"/>
              </w:rPr>
            </w:pPr>
          </w:p>
        </w:tc>
        <w:tc>
          <w:tcPr>
            <w:tcW w:w="595" w:type="pct"/>
            <w:tcBorders>
              <w:top w:val="single" w:sz="4" w:space="0" w:color="auto"/>
            </w:tcBorders>
          </w:tcPr>
          <w:p w14:paraId="218C91C8" w14:textId="77777777" w:rsidR="00F72392" w:rsidRPr="00A3051B" w:rsidRDefault="00F72392">
            <w:pPr>
              <w:spacing w:before="20" w:after="20"/>
              <w:jc w:val="right"/>
              <w:rPr>
                <w:sz w:val="20"/>
                <w:szCs w:val="20"/>
                <w:lang w:val="en-US"/>
              </w:rPr>
            </w:pPr>
          </w:p>
        </w:tc>
        <w:tc>
          <w:tcPr>
            <w:tcW w:w="660" w:type="pct"/>
          </w:tcPr>
          <w:p w14:paraId="28C15709" w14:textId="77777777" w:rsidR="00F72392" w:rsidRPr="00A3051B" w:rsidRDefault="00F72392">
            <w:pPr>
              <w:spacing w:before="20" w:after="20"/>
              <w:jc w:val="right"/>
              <w:rPr>
                <w:sz w:val="20"/>
                <w:szCs w:val="20"/>
                <w:lang w:val="en-US"/>
              </w:rPr>
            </w:pPr>
          </w:p>
        </w:tc>
        <w:tc>
          <w:tcPr>
            <w:tcW w:w="595" w:type="pct"/>
          </w:tcPr>
          <w:p w14:paraId="1C34C2A6" w14:textId="656008AF" w:rsidR="00F72392" w:rsidRPr="00A3051B" w:rsidRDefault="006D0878">
            <w:pPr>
              <w:spacing w:before="20" w:after="20"/>
              <w:jc w:val="right"/>
              <w:rPr>
                <w:sz w:val="20"/>
                <w:szCs w:val="20"/>
              </w:rPr>
            </w:pPr>
            <w:r>
              <w:rPr>
                <w:color w:val="000000" w:themeColor="text1"/>
                <w:sz w:val="20"/>
              </w:rPr>
              <w:t>1,18</w:t>
            </w:r>
          </w:p>
        </w:tc>
        <w:tc>
          <w:tcPr>
            <w:tcW w:w="463" w:type="pct"/>
          </w:tcPr>
          <w:p w14:paraId="2F1C0DA2" w14:textId="77777777" w:rsidR="00F72392" w:rsidRPr="00A3051B" w:rsidRDefault="00F72392">
            <w:pPr>
              <w:spacing w:before="20" w:after="20"/>
              <w:jc w:val="right"/>
              <w:rPr>
                <w:sz w:val="20"/>
                <w:szCs w:val="20"/>
                <w:lang w:val="en-US"/>
              </w:rPr>
            </w:pPr>
          </w:p>
        </w:tc>
        <w:tc>
          <w:tcPr>
            <w:tcW w:w="710" w:type="pct"/>
            <w:gridSpan w:val="2"/>
          </w:tcPr>
          <w:p w14:paraId="6243C396" w14:textId="0BEFCAA0" w:rsidR="00F72392" w:rsidRPr="00A3051B" w:rsidRDefault="00B652F1">
            <w:pPr>
              <w:spacing w:before="20" w:after="20"/>
              <w:jc w:val="right"/>
              <w:rPr>
                <w:sz w:val="20"/>
                <w:szCs w:val="20"/>
              </w:rPr>
            </w:pPr>
            <w:r>
              <w:rPr>
                <w:color w:val="000000" w:themeColor="text1"/>
                <w:sz w:val="20"/>
              </w:rPr>
              <w:t>1,18</w:t>
            </w:r>
          </w:p>
        </w:tc>
      </w:tr>
    </w:tbl>
    <w:p w14:paraId="03083196" w14:textId="77777777" w:rsidR="00F72392" w:rsidRPr="00A3051B" w:rsidRDefault="00F72392">
      <w:pPr>
        <w:spacing w:before="20" w:after="20"/>
        <w:jc w:val="center"/>
        <w:rPr>
          <w:sz w:val="18"/>
          <w:szCs w:val="18"/>
        </w:rPr>
      </w:pPr>
    </w:p>
    <w:tbl>
      <w:tblPr>
        <w:tblStyle w:val="TableGrid"/>
        <w:tblW w:w="5720" w:type="pct"/>
        <w:tblInd w:w="-680" w:type="dxa"/>
        <w:tblLayout w:type="fixed"/>
        <w:tblLook w:val="04A0" w:firstRow="1" w:lastRow="0" w:firstColumn="1" w:lastColumn="0" w:noHBand="0" w:noVBand="1"/>
      </w:tblPr>
      <w:tblGrid>
        <w:gridCol w:w="3118"/>
        <w:gridCol w:w="2012"/>
        <w:gridCol w:w="4310"/>
        <w:gridCol w:w="1359"/>
      </w:tblGrid>
      <w:tr w:rsidR="00F72392" w:rsidRPr="00A3051B" w14:paraId="2B8DB5EB" w14:textId="77777777" w:rsidTr="001649E9">
        <w:trPr>
          <w:trHeight w:val="79"/>
        </w:trPr>
        <w:tc>
          <w:tcPr>
            <w:tcW w:w="10800" w:type="dxa"/>
            <w:gridSpan w:val="4"/>
            <w:vAlign w:val="center"/>
            <w:hideMark/>
          </w:tcPr>
          <w:p w14:paraId="6C62F63F" w14:textId="77777777" w:rsidR="00F72392" w:rsidRPr="00A3051B" w:rsidRDefault="00F72392">
            <w:pPr>
              <w:spacing w:before="20" w:after="20"/>
              <w:jc w:val="left"/>
              <w:rPr>
                <w:b/>
                <w:sz w:val="20"/>
                <w:szCs w:val="20"/>
              </w:rPr>
            </w:pPr>
            <w:r>
              <w:rPr>
                <w:b/>
                <w:sz w:val="20"/>
              </w:rPr>
              <w:t>DONNÉES SUR LA CONSOMMATION (tonnes PAO)</w:t>
            </w:r>
          </w:p>
        </w:tc>
      </w:tr>
      <w:tr w:rsidR="00F72392" w:rsidRPr="00A3051B" w14:paraId="5908E6E2" w14:textId="77777777" w:rsidTr="001649E9">
        <w:trPr>
          <w:trHeight w:val="140"/>
        </w:trPr>
        <w:tc>
          <w:tcPr>
            <w:tcW w:w="3119" w:type="dxa"/>
            <w:vAlign w:val="center"/>
            <w:hideMark/>
          </w:tcPr>
          <w:p w14:paraId="7688B97B" w14:textId="77777777" w:rsidR="00F72392" w:rsidRPr="00A3051B" w:rsidRDefault="00F72392">
            <w:pPr>
              <w:spacing w:before="20" w:after="20"/>
              <w:jc w:val="center"/>
              <w:rPr>
                <w:sz w:val="20"/>
                <w:szCs w:val="20"/>
              </w:rPr>
            </w:pPr>
            <w:r>
              <w:rPr>
                <w:sz w:val="20"/>
              </w:rPr>
              <w:t>Référence 2009–2010 :</w:t>
            </w:r>
          </w:p>
        </w:tc>
        <w:tc>
          <w:tcPr>
            <w:tcW w:w="2012" w:type="dxa"/>
            <w:vAlign w:val="center"/>
            <w:hideMark/>
          </w:tcPr>
          <w:p w14:paraId="76409DF7" w14:textId="6384B7A8" w:rsidR="00F72392" w:rsidRPr="00A3051B" w:rsidRDefault="0060664F">
            <w:pPr>
              <w:spacing w:before="20" w:after="20"/>
              <w:jc w:val="right"/>
              <w:rPr>
                <w:sz w:val="20"/>
                <w:szCs w:val="20"/>
              </w:rPr>
            </w:pPr>
            <w:r>
              <w:rPr>
                <w:color w:val="000000" w:themeColor="text1"/>
                <w:sz w:val="20"/>
              </w:rPr>
              <w:t>66,21</w:t>
            </w:r>
          </w:p>
        </w:tc>
        <w:tc>
          <w:tcPr>
            <w:tcW w:w="4310" w:type="dxa"/>
            <w:vAlign w:val="center"/>
            <w:hideMark/>
          </w:tcPr>
          <w:p w14:paraId="27F8F75B" w14:textId="77777777" w:rsidR="00F72392" w:rsidRPr="00A3051B" w:rsidRDefault="00F72392">
            <w:pPr>
              <w:spacing w:before="20" w:after="20"/>
              <w:jc w:val="center"/>
              <w:rPr>
                <w:sz w:val="20"/>
                <w:szCs w:val="20"/>
              </w:rPr>
            </w:pPr>
            <w:r>
              <w:rPr>
                <w:sz w:val="20"/>
              </w:rPr>
              <w:t>Point de départ des réductions globales durables :</w:t>
            </w:r>
          </w:p>
        </w:tc>
        <w:tc>
          <w:tcPr>
            <w:tcW w:w="1359" w:type="dxa"/>
            <w:vAlign w:val="center"/>
            <w:hideMark/>
          </w:tcPr>
          <w:p w14:paraId="153623D2" w14:textId="6F632808" w:rsidR="00F72392" w:rsidRPr="00A3051B" w:rsidRDefault="0060664F">
            <w:pPr>
              <w:spacing w:before="20" w:after="20"/>
              <w:jc w:val="right"/>
              <w:rPr>
                <w:sz w:val="20"/>
                <w:szCs w:val="20"/>
              </w:rPr>
            </w:pPr>
            <w:r>
              <w:rPr>
                <w:color w:val="000000" w:themeColor="text1"/>
                <w:sz w:val="20"/>
              </w:rPr>
              <w:t>17,00</w:t>
            </w:r>
          </w:p>
        </w:tc>
      </w:tr>
      <w:tr w:rsidR="00F72392" w:rsidRPr="00A3051B" w14:paraId="02960CC1" w14:textId="77777777" w:rsidTr="001649E9">
        <w:trPr>
          <w:trHeight w:val="215"/>
        </w:trPr>
        <w:tc>
          <w:tcPr>
            <w:tcW w:w="10800" w:type="dxa"/>
            <w:gridSpan w:val="4"/>
            <w:vAlign w:val="center"/>
            <w:hideMark/>
          </w:tcPr>
          <w:p w14:paraId="458E63C3" w14:textId="77777777" w:rsidR="00F72392" w:rsidRPr="00A3051B" w:rsidRDefault="00F72392">
            <w:pPr>
              <w:spacing w:before="20" w:after="20"/>
              <w:jc w:val="left"/>
              <w:rPr>
                <w:b/>
                <w:sz w:val="20"/>
                <w:szCs w:val="20"/>
              </w:rPr>
            </w:pPr>
            <w:r>
              <w:rPr>
                <w:b/>
                <w:sz w:val="20"/>
              </w:rPr>
              <w:t>CONSOMMATION ADMISSIBLE AU FINANCEMENT</w:t>
            </w:r>
          </w:p>
        </w:tc>
      </w:tr>
      <w:tr w:rsidR="00F72392" w:rsidRPr="00A3051B" w14:paraId="0A7466B1" w14:textId="77777777" w:rsidTr="001649E9">
        <w:trPr>
          <w:trHeight w:val="50"/>
        </w:trPr>
        <w:tc>
          <w:tcPr>
            <w:tcW w:w="3119" w:type="dxa"/>
            <w:vAlign w:val="center"/>
            <w:hideMark/>
          </w:tcPr>
          <w:p w14:paraId="51740494" w14:textId="77777777" w:rsidR="00F72392" w:rsidRPr="00A3051B" w:rsidRDefault="00F72392">
            <w:pPr>
              <w:spacing w:before="20" w:after="20"/>
              <w:jc w:val="center"/>
              <w:rPr>
                <w:sz w:val="20"/>
                <w:szCs w:val="20"/>
              </w:rPr>
            </w:pPr>
            <w:r>
              <w:rPr>
                <w:sz w:val="20"/>
              </w:rPr>
              <w:t>Déjà approuvée :</w:t>
            </w:r>
          </w:p>
        </w:tc>
        <w:tc>
          <w:tcPr>
            <w:tcW w:w="2012" w:type="dxa"/>
            <w:vAlign w:val="center"/>
            <w:hideMark/>
          </w:tcPr>
          <w:p w14:paraId="6AE09202" w14:textId="7A276460" w:rsidR="00F72392" w:rsidRPr="00A3051B" w:rsidRDefault="003E45C9">
            <w:pPr>
              <w:spacing w:before="20" w:after="20"/>
              <w:jc w:val="right"/>
              <w:rPr>
                <w:sz w:val="20"/>
                <w:szCs w:val="20"/>
              </w:rPr>
            </w:pPr>
            <w:r>
              <w:rPr>
                <w:color w:val="000000" w:themeColor="text1"/>
                <w:sz w:val="20"/>
              </w:rPr>
              <w:t>17,00</w:t>
            </w:r>
          </w:p>
        </w:tc>
        <w:tc>
          <w:tcPr>
            <w:tcW w:w="4310" w:type="dxa"/>
            <w:vAlign w:val="center"/>
            <w:hideMark/>
          </w:tcPr>
          <w:p w14:paraId="444E4B51" w14:textId="77777777" w:rsidR="00F72392" w:rsidRPr="00A3051B" w:rsidRDefault="00F72392">
            <w:pPr>
              <w:spacing w:before="20" w:after="20"/>
              <w:jc w:val="center"/>
              <w:rPr>
                <w:i/>
                <w:sz w:val="20"/>
                <w:szCs w:val="20"/>
              </w:rPr>
            </w:pPr>
            <w:r>
              <w:rPr>
                <w:sz w:val="20"/>
              </w:rPr>
              <w:t>Restante :</w:t>
            </w:r>
          </w:p>
        </w:tc>
        <w:tc>
          <w:tcPr>
            <w:tcW w:w="1359" w:type="dxa"/>
            <w:vAlign w:val="center"/>
            <w:hideMark/>
          </w:tcPr>
          <w:p w14:paraId="0AAC2E2F" w14:textId="5442A013" w:rsidR="00F72392" w:rsidRPr="00A3051B" w:rsidRDefault="003E45C9">
            <w:pPr>
              <w:spacing w:before="20" w:after="20"/>
              <w:jc w:val="right"/>
              <w:rPr>
                <w:sz w:val="20"/>
                <w:szCs w:val="20"/>
              </w:rPr>
            </w:pPr>
            <w:r>
              <w:rPr>
                <w:color w:val="000000" w:themeColor="text1"/>
                <w:sz w:val="20"/>
              </w:rPr>
              <w:t>0,00</w:t>
            </w:r>
          </w:p>
        </w:tc>
      </w:tr>
    </w:tbl>
    <w:p w14:paraId="2E944ED2" w14:textId="77777777" w:rsidR="00F72392" w:rsidRPr="00A3051B" w:rsidRDefault="00F72392">
      <w:pPr>
        <w:spacing w:before="20" w:after="20"/>
        <w:jc w:val="center"/>
        <w:rPr>
          <w:sz w:val="18"/>
          <w:szCs w:val="18"/>
        </w:rPr>
      </w:pPr>
    </w:p>
    <w:tbl>
      <w:tblPr>
        <w:tblStyle w:val="TableGrid"/>
        <w:tblW w:w="5720" w:type="pct"/>
        <w:tblInd w:w="-680" w:type="dxa"/>
        <w:tblLayout w:type="fixed"/>
        <w:tblLook w:val="04A0" w:firstRow="1" w:lastRow="0" w:firstColumn="1" w:lastColumn="0" w:noHBand="0" w:noVBand="1"/>
      </w:tblPr>
      <w:tblGrid>
        <w:gridCol w:w="1394"/>
        <w:gridCol w:w="3739"/>
        <w:gridCol w:w="1417"/>
        <w:gridCol w:w="1417"/>
        <w:gridCol w:w="1417"/>
        <w:gridCol w:w="1415"/>
      </w:tblGrid>
      <w:tr w:rsidR="00F72392" w:rsidRPr="00A3051B" w14:paraId="42A14933" w14:textId="77777777" w:rsidTr="000E1630">
        <w:trPr>
          <w:trHeight w:val="50"/>
        </w:trPr>
        <w:tc>
          <w:tcPr>
            <w:tcW w:w="2377" w:type="pct"/>
            <w:gridSpan w:val="2"/>
            <w:vAlign w:val="center"/>
            <w:hideMark/>
          </w:tcPr>
          <w:p w14:paraId="0AA0A2D0" w14:textId="77777777" w:rsidR="00F72392" w:rsidRPr="00A3051B" w:rsidRDefault="00F72392">
            <w:pPr>
              <w:spacing w:before="20" w:after="20"/>
              <w:jc w:val="left"/>
              <w:rPr>
                <w:b/>
                <w:sz w:val="20"/>
                <w:szCs w:val="20"/>
              </w:rPr>
            </w:pPr>
            <w:r>
              <w:rPr>
                <w:b/>
                <w:sz w:val="20"/>
              </w:rPr>
              <w:t>PLAN D’ACTIVITÉS APPROUVÉ</w:t>
            </w:r>
          </w:p>
        </w:tc>
        <w:tc>
          <w:tcPr>
            <w:tcW w:w="656" w:type="pct"/>
            <w:vAlign w:val="center"/>
            <w:hideMark/>
          </w:tcPr>
          <w:p w14:paraId="4F92B4D7" w14:textId="77777777" w:rsidR="00F72392" w:rsidRPr="00A3051B" w:rsidRDefault="00F72392">
            <w:pPr>
              <w:spacing w:before="20" w:after="20"/>
              <w:jc w:val="center"/>
              <w:rPr>
                <w:b/>
                <w:sz w:val="20"/>
                <w:szCs w:val="20"/>
              </w:rPr>
            </w:pPr>
            <w:r>
              <w:rPr>
                <w:b/>
                <w:sz w:val="20"/>
              </w:rPr>
              <w:t>2026</w:t>
            </w:r>
          </w:p>
        </w:tc>
        <w:tc>
          <w:tcPr>
            <w:tcW w:w="656" w:type="pct"/>
            <w:vAlign w:val="center"/>
            <w:hideMark/>
          </w:tcPr>
          <w:p w14:paraId="4A308D8C" w14:textId="77777777" w:rsidR="00F72392" w:rsidRPr="00A3051B" w:rsidRDefault="00F72392">
            <w:pPr>
              <w:spacing w:before="20" w:after="20"/>
              <w:jc w:val="center"/>
              <w:rPr>
                <w:b/>
                <w:sz w:val="20"/>
                <w:szCs w:val="20"/>
              </w:rPr>
            </w:pPr>
            <w:r>
              <w:rPr>
                <w:b/>
                <w:sz w:val="20"/>
              </w:rPr>
              <w:t>2027</w:t>
            </w:r>
          </w:p>
        </w:tc>
        <w:tc>
          <w:tcPr>
            <w:tcW w:w="656" w:type="pct"/>
            <w:vAlign w:val="center"/>
            <w:hideMark/>
          </w:tcPr>
          <w:p w14:paraId="43B30DD9" w14:textId="77777777" w:rsidR="00F72392" w:rsidRPr="00A3051B" w:rsidRDefault="00F72392">
            <w:pPr>
              <w:spacing w:before="20" w:after="20"/>
              <w:jc w:val="center"/>
              <w:rPr>
                <w:b/>
                <w:sz w:val="20"/>
                <w:szCs w:val="20"/>
              </w:rPr>
            </w:pPr>
            <w:r>
              <w:rPr>
                <w:b/>
                <w:sz w:val="20"/>
              </w:rPr>
              <w:t>2028</w:t>
            </w:r>
          </w:p>
        </w:tc>
        <w:tc>
          <w:tcPr>
            <w:tcW w:w="655" w:type="pct"/>
            <w:vAlign w:val="center"/>
            <w:hideMark/>
          </w:tcPr>
          <w:p w14:paraId="47271D71" w14:textId="77777777" w:rsidR="00F72392" w:rsidRPr="00A3051B" w:rsidRDefault="00F72392">
            <w:pPr>
              <w:spacing w:before="20" w:after="20"/>
              <w:jc w:val="center"/>
              <w:rPr>
                <w:b/>
                <w:sz w:val="20"/>
                <w:szCs w:val="20"/>
              </w:rPr>
            </w:pPr>
            <w:r>
              <w:rPr>
                <w:b/>
                <w:sz w:val="20"/>
              </w:rPr>
              <w:t>Total</w:t>
            </w:r>
          </w:p>
        </w:tc>
      </w:tr>
      <w:tr w:rsidR="00F72392" w:rsidRPr="00A3051B" w14:paraId="0C5CA5C6" w14:textId="77777777" w:rsidTr="000E1630">
        <w:trPr>
          <w:trHeight w:val="187"/>
        </w:trPr>
        <w:tc>
          <w:tcPr>
            <w:tcW w:w="646" w:type="pct"/>
            <w:vMerge w:val="restart"/>
            <w:vAlign w:val="center"/>
            <w:hideMark/>
          </w:tcPr>
          <w:p w14:paraId="4081F881" w14:textId="45CF9845" w:rsidR="00F72392" w:rsidRPr="00A3051B" w:rsidRDefault="006D0878">
            <w:pPr>
              <w:spacing w:before="20" w:after="20"/>
              <w:jc w:val="center"/>
              <w:rPr>
                <w:sz w:val="20"/>
                <w:szCs w:val="20"/>
              </w:rPr>
            </w:pPr>
            <w:r>
              <w:rPr>
                <w:color w:val="000000" w:themeColor="text1"/>
                <w:sz w:val="20"/>
              </w:rPr>
              <w:t>PNUE</w:t>
            </w:r>
          </w:p>
        </w:tc>
        <w:tc>
          <w:tcPr>
            <w:tcW w:w="1731" w:type="pct"/>
            <w:vAlign w:val="center"/>
            <w:hideMark/>
          </w:tcPr>
          <w:p w14:paraId="55273192" w14:textId="77777777" w:rsidR="00F72392" w:rsidRPr="00A3051B" w:rsidRDefault="00F72392">
            <w:pPr>
              <w:spacing w:before="20" w:after="20"/>
              <w:jc w:val="left"/>
              <w:rPr>
                <w:sz w:val="20"/>
                <w:szCs w:val="20"/>
              </w:rPr>
            </w:pPr>
            <w:r>
              <w:rPr>
                <w:sz w:val="20"/>
              </w:rPr>
              <w:t>Élimination des SAO (tonnes PAO)</w:t>
            </w:r>
          </w:p>
        </w:tc>
        <w:tc>
          <w:tcPr>
            <w:tcW w:w="656" w:type="pct"/>
            <w:vAlign w:val="center"/>
          </w:tcPr>
          <w:p w14:paraId="5BA59D88" w14:textId="5B2EEB56" w:rsidR="00F72392" w:rsidRPr="00A3051B" w:rsidRDefault="0018680F">
            <w:pPr>
              <w:spacing w:before="20" w:after="20"/>
              <w:jc w:val="right"/>
              <w:rPr>
                <w:sz w:val="20"/>
                <w:szCs w:val="20"/>
              </w:rPr>
            </w:pPr>
            <w:r>
              <w:rPr>
                <w:sz w:val="20"/>
              </w:rPr>
              <w:t>1,59</w:t>
            </w:r>
          </w:p>
        </w:tc>
        <w:tc>
          <w:tcPr>
            <w:tcW w:w="656" w:type="pct"/>
            <w:vAlign w:val="center"/>
          </w:tcPr>
          <w:p w14:paraId="7B994F08" w14:textId="13FF8F19" w:rsidR="00F72392" w:rsidRPr="00A3051B" w:rsidRDefault="00D029A3">
            <w:pPr>
              <w:spacing w:before="20" w:after="20"/>
              <w:jc w:val="right"/>
              <w:rPr>
                <w:sz w:val="20"/>
                <w:szCs w:val="20"/>
              </w:rPr>
            </w:pPr>
            <w:r>
              <w:rPr>
                <w:sz w:val="20"/>
              </w:rPr>
              <w:t>0</w:t>
            </w:r>
          </w:p>
        </w:tc>
        <w:tc>
          <w:tcPr>
            <w:tcW w:w="656" w:type="pct"/>
            <w:vAlign w:val="center"/>
          </w:tcPr>
          <w:p w14:paraId="4379E3F0" w14:textId="77DB219A" w:rsidR="00F72392" w:rsidRPr="00A3051B" w:rsidRDefault="003D0C20">
            <w:pPr>
              <w:spacing w:before="20" w:after="20"/>
              <w:jc w:val="right"/>
              <w:rPr>
                <w:sz w:val="20"/>
                <w:szCs w:val="20"/>
              </w:rPr>
            </w:pPr>
            <w:r>
              <w:rPr>
                <w:sz w:val="20"/>
              </w:rPr>
              <w:t>1,84</w:t>
            </w:r>
          </w:p>
        </w:tc>
        <w:tc>
          <w:tcPr>
            <w:tcW w:w="655" w:type="pct"/>
            <w:vAlign w:val="center"/>
          </w:tcPr>
          <w:p w14:paraId="362A35BF" w14:textId="5B4DF819" w:rsidR="00F72392" w:rsidRPr="00A3051B" w:rsidRDefault="00D029A3" w:rsidP="00D029A3">
            <w:pPr>
              <w:spacing w:before="20" w:after="20"/>
              <w:jc w:val="right"/>
              <w:rPr>
                <w:noProof/>
                <w:sz w:val="20"/>
                <w:szCs w:val="20"/>
              </w:rPr>
            </w:pPr>
            <w:r w:rsidRPr="00A3051B">
              <w:rPr>
                <w:sz w:val="20"/>
              </w:rPr>
              <w:fldChar w:fldCharType="begin"/>
            </w:r>
            <w:r w:rsidRPr="00A3051B">
              <w:rPr>
                <w:sz w:val="20"/>
              </w:rPr>
              <w:instrText xml:space="preserve"> =SUM(LEFT) </w:instrText>
            </w:r>
            <w:r w:rsidRPr="00A3051B">
              <w:rPr>
                <w:sz w:val="20"/>
              </w:rPr>
              <w:fldChar w:fldCharType="separate"/>
            </w:r>
            <w:r w:rsidR="00500865">
              <w:rPr>
                <w:noProof/>
                <w:sz w:val="20"/>
              </w:rPr>
              <w:t>3,43</w:t>
            </w:r>
            <w:r w:rsidRPr="00A3051B">
              <w:rPr>
                <w:sz w:val="20"/>
              </w:rPr>
              <w:fldChar w:fldCharType="end"/>
            </w:r>
          </w:p>
        </w:tc>
      </w:tr>
      <w:tr w:rsidR="00F72392" w:rsidRPr="00A3051B" w14:paraId="5998425C" w14:textId="77777777" w:rsidTr="000E1630">
        <w:trPr>
          <w:trHeight w:val="55"/>
        </w:trPr>
        <w:tc>
          <w:tcPr>
            <w:tcW w:w="646" w:type="pct"/>
            <w:vMerge/>
            <w:vAlign w:val="center"/>
            <w:hideMark/>
          </w:tcPr>
          <w:p w14:paraId="5950580C" w14:textId="77777777" w:rsidR="00F72392" w:rsidRPr="00A3051B" w:rsidRDefault="00F72392">
            <w:pPr>
              <w:spacing w:before="20" w:after="20"/>
              <w:jc w:val="center"/>
              <w:rPr>
                <w:sz w:val="20"/>
                <w:szCs w:val="20"/>
                <w:lang w:val="en-US"/>
              </w:rPr>
            </w:pPr>
          </w:p>
        </w:tc>
        <w:tc>
          <w:tcPr>
            <w:tcW w:w="1731" w:type="pct"/>
            <w:vAlign w:val="center"/>
            <w:hideMark/>
          </w:tcPr>
          <w:p w14:paraId="7A4EAA42" w14:textId="77777777" w:rsidR="00F72392" w:rsidRPr="00A3051B" w:rsidRDefault="00F72392">
            <w:pPr>
              <w:spacing w:before="20" w:after="20"/>
              <w:jc w:val="left"/>
              <w:rPr>
                <w:sz w:val="20"/>
                <w:szCs w:val="20"/>
              </w:rPr>
            </w:pPr>
            <w:r>
              <w:rPr>
                <w:sz w:val="20"/>
              </w:rPr>
              <w:t>Financement ($US)</w:t>
            </w:r>
          </w:p>
        </w:tc>
        <w:tc>
          <w:tcPr>
            <w:tcW w:w="656" w:type="pct"/>
            <w:vAlign w:val="center"/>
          </w:tcPr>
          <w:p w14:paraId="36E6A761" w14:textId="575D9212" w:rsidR="00F72392" w:rsidRPr="00A3051B" w:rsidRDefault="008C4E2F" w:rsidP="00D029A3">
            <w:pPr>
              <w:spacing w:before="20" w:after="20"/>
              <w:jc w:val="right"/>
              <w:rPr>
                <w:sz w:val="20"/>
                <w:szCs w:val="20"/>
              </w:rPr>
            </w:pPr>
            <w:r>
              <w:rPr>
                <w:sz w:val="20"/>
              </w:rPr>
              <w:t>315 867*</w:t>
            </w:r>
          </w:p>
        </w:tc>
        <w:tc>
          <w:tcPr>
            <w:tcW w:w="656" w:type="pct"/>
            <w:vAlign w:val="center"/>
          </w:tcPr>
          <w:p w14:paraId="49B00263" w14:textId="4E217FEF" w:rsidR="00F72392" w:rsidRPr="00A3051B" w:rsidRDefault="00D029A3" w:rsidP="00D029A3">
            <w:pPr>
              <w:spacing w:before="20" w:after="20"/>
              <w:jc w:val="right"/>
              <w:rPr>
                <w:sz w:val="20"/>
                <w:szCs w:val="20"/>
              </w:rPr>
            </w:pPr>
            <w:r>
              <w:rPr>
                <w:sz w:val="20"/>
              </w:rPr>
              <w:t>0</w:t>
            </w:r>
          </w:p>
        </w:tc>
        <w:tc>
          <w:tcPr>
            <w:tcW w:w="656" w:type="pct"/>
            <w:vAlign w:val="center"/>
          </w:tcPr>
          <w:p w14:paraId="00587B1E" w14:textId="152E582D" w:rsidR="00F72392" w:rsidRPr="00A3051B" w:rsidRDefault="003D0C20" w:rsidP="00D029A3">
            <w:pPr>
              <w:spacing w:before="20" w:after="20"/>
              <w:jc w:val="right"/>
              <w:rPr>
                <w:sz w:val="20"/>
                <w:szCs w:val="20"/>
              </w:rPr>
            </w:pPr>
            <w:r>
              <w:rPr>
                <w:sz w:val="20"/>
              </w:rPr>
              <w:t>208 433</w:t>
            </w:r>
          </w:p>
        </w:tc>
        <w:tc>
          <w:tcPr>
            <w:tcW w:w="655" w:type="pct"/>
            <w:vAlign w:val="center"/>
          </w:tcPr>
          <w:p w14:paraId="5D77D7A2" w14:textId="50A88CF5" w:rsidR="00F72392" w:rsidRPr="00A3051B" w:rsidRDefault="00D029A3" w:rsidP="00D029A3">
            <w:pPr>
              <w:spacing w:before="20" w:after="20"/>
              <w:jc w:val="right"/>
              <w:rPr>
                <w:sz w:val="20"/>
                <w:szCs w:val="20"/>
              </w:rPr>
            </w:pPr>
            <w:r w:rsidRPr="00A3051B">
              <w:rPr>
                <w:sz w:val="20"/>
              </w:rPr>
              <w:fldChar w:fldCharType="begin"/>
            </w:r>
            <w:r w:rsidRPr="00A3051B">
              <w:rPr>
                <w:sz w:val="20"/>
              </w:rPr>
              <w:instrText xml:space="preserve"> =SUM(LEFT) </w:instrText>
            </w:r>
            <w:r w:rsidRPr="00A3051B">
              <w:rPr>
                <w:sz w:val="20"/>
              </w:rPr>
              <w:fldChar w:fldCharType="separate"/>
            </w:r>
            <w:r w:rsidR="00500865">
              <w:rPr>
                <w:noProof/>
                <w:sz w:val="20"/>
              </w:rPr>
              <w:t>208 433</w:t>
            </w:r>
            <w:r w:rsidRPr="00A3051B">
              <w:rPr>
                <w:sz w:val="20"/>
              </w:rPr>
              <w:fldChar w:fldCharType="end"/>
            </w:r>
          </w:p>
        </w:tc>
      </w:tr>
      <w:tr w:rsidR="00F72392" w:rsidRPr="00A3051B" w14:paraId="475BEDBD" w14:textId="77777777" w:rsidTr="000E1630">
        <w:trPr>
          <w:trHeight w:val="78"/>
        </w:trPr>
        <w:tc>
          <w:tcPr>
            <w:tcW w:w="646" w:type="pct"/>
            <w:vMerge w:val="restart"/>
            <w:vAlign w:val="center"/>
            <w:hideMark/>
          </w:tcPr>
          <w:p w14:paraId="4136A9D9" w14:textId="355C3F05" w:rsidR="00F72392" w:rsidRPr="00A3051B" w:rsidRDefault="006D0878">
            <w:pPr>
              <w:spacing w:before="20" w:after="20"/>
              <w:jc w:val="center"/>
              <w:rPr>
                <w:sz w:val="20"/>
                <w:szCs w:val="20"/>
              </w:rPr>
            </w:pPr>
            <w:r>
              <w:rPr>
                <w:sz w:val="20"/>
              </w:rPr>
              <w:t>PNUD</w:t>
            </w:r>
          </w:p>
        </w:tc>
        <w:tc>
          <w:tcPr>
            <w:tcW w:w="1731" w:type="pct"/>
            <w:vAlign w:val="center"/>
            <w:hideMark/>
          </w:tcPr>
          <w:p w14:paraId="691ECF48" w14:textId="77777777" w:rsidR="00F72392" w:rsidRPr="00A3051B" w:rsidRDefault="00F72392">
            <w:pPr>
              <w:spacing w:before="20" w:after="20"/>
              <w:jc w:val="left"/>
              <w:rPr>
                <w:sz w:val="20"/>
                <w:szCs w:val="20"/>
              </w:rPr>
            </w:pPr>
            <w:r>
              <w:rPr>
                <w:sz w:val="20"/>
              </w:rPr>
              <w:t>Élimination des SAO (tonnes PAO)</w:t>
            </w:r>
          </w:p>
        </w:tc>
        <w:tc>
          <w:tcPr>
            <w:tcW w:w="656" w:type="pct"/>
            <w:vAlign w:val="center"/>
          </w:tcPr>
          <w:p w14:paraId="5E02FB1C" w14:textId="58D7A49D" w:rsidR="00F72392" w:rsidRPr="00A3051B" w:rsidRDefault="00F20BFC" w:rsidP="00D029A3">
            <w:pPr>
              <w:spacing w:before="20" w:after="20"/>
              <w:jc w:val="right"/>
              <w:rPr>
                <w:sz w:val="20"/>
                <w:szCs w:val="20"/>
              </w:rPr>
            </w:pPr>
            <w:r>
              <w:rPr>
                <w:sz w:val="20"/>
              </w:rPr>
              <w:t>2,10</w:t>
            </w:r>
          </w:p>
        </w:tc>
        <w:tc>
          <w:tcPr>
            <w:tcW w:w="656" w:type="pct"/>
            <w:vAlign w:val="center"/>
          </w:tcPr>
          <w:p w14:paraId="336847F9" w14:textId="65F736D7" w:rsidR="00F72392" w:rsidRPr="00A3051B" w:rsidRDefault="00D029A3" w:rsidP="00D029A3">
            <w:pPr>
              <w:spacing w:before="20" w:after="20"/>
              <w:jc w:val="right"/>
              <w:rPr>
                <w:sz w:val="20"/>
                <w:szCs w:val="20"/>
              </w:rPr>
            </w:pPr>
            <w:r>
              <w:rPr>
                <w:sz w:val="20"/>
              </w:rPr>
              <w:t>0</w:t>
            </w:r>
          </w:p>
        </w:tc>
        <w:tc>
          <w:tcPr>
            <w:tcW w:w="656" w:type="pct"/>
            <w:vAlign w:val="center"/>
          </w:tcPr>
          <w:p w14:paraId="429DFD63" w14:textId="65B9CDBD" w:rsidR="00F72392" w:rsidRPr="00A3051B" w:rsidRDefault="00BE7860" w:rsidP="00D029A3">
            <w:pPr>
              <w:spacing w:before="20" w:after="20"/>
              <w:jc w:val="right"/>
              <w:rPr>
                <w:sz w:val="20"/>
                <w:szCs w:val="20"/>
              </w:rPr>
            </w:pPr>
            <w:r>
              <w:rPr>
                <w:sz w:val="20"/>
              </w:rPr>
              <w:t>0,96</w:t>
            </w:r>
          </w:p>
        </w:tc>
        <w:tc>
          <w:tcPr>
            <w:tcW w:w="655" w:type="pct"/>
            <w:vAlign w:val="center"/>
          </w:tcPr>
          <w:p w14:paraId="420EA850" w14:textId="11A1D0BA" w:rsidR="00F72392" w:rsidRPr="00A3051B" w:rsidRDefault="00D029A3" w:rsidP="00D029A3">
            <w:pPr>
              <w:spacing w:before="20" w:after="20"/>
              <w:jc w:val="right"/>
              <w:rPr>
                <w:sz w:val="20"/>
                <w:szCs w:val="20"/>
              </w:rPr>
            </w:pPr>
            <w:r w:rsidRPr="00A3051B">
              <w:rPr>
                <w:sz w:val="20"/>
              </w:rPr>
              <w:fldChar w:fldCharType="begin"/>
            </w:r>
            <w:r w:rsidRPr="00A3051B">
              <w:rPr>
                <w:sz w:val="20"/>
              </w:rPr>
              <w:instrText xml:space="preserve"> =SUM(left) </w:instrText>
            </w:r>
            <w:r w:rsidRPr="00A3051B">
              <w:rPr>
                <w:sz w:val="20"/>
              </w:rPr>
              <w:fldChar w:fldCharType="separate"/>
            </w:r>
            <w:r w:rsidR="00500865">
              <w:rPr>
                <w:noProof/>
                <w:sz w:val="20"/>
              </w:rPr>
              <w:t>3,06</w:t>
            </w:r>
            <w:r w:rsidRPr="00A3051B">
              <w:rPr>
                <w:sz w:val="20"/>
              </w:rPr>
              <w:fldChar w:fldCharType="end"/>
            </w:r>
          </w:p>
        </w:tc>
      </w:tr>
      <w:tr w:rsidR="00F72392" w:rsidRPr="00A3051B" w14:paraId="0EE27E22" w14:textId="77777777" w:rsidTr="000E1630">
        <w:trPr>
          <w:trHeight w:val="77"/>
        </w:trPr>
        <w:tc>
          <w:tcPr>
            <w:tcW w:w="646" w:type="pct"/>
            <w:vMerge/>
            <w:vAlign w:val="center"/>
            <w:hideMark/>
          </w:tcPr>
          <w:p w14:paraId="2CBC3BFC" w14:textId="77777777" w:rsidR="00F72392" w:rsidRPr="00A3051B" w:rsidRDefault="00F72392">
            <w:pPr>
              <w:spacing w:before="20" w:after="20"/>
              <w:jc w:val="left"/>
              <w:rPr>
                <w:sz w:val="20"/>
                <w:szCs w:val="20"/>
                <w:lang w:val="en-US"/>
              </w:rPr>
            </w:pPr>
          </w:p>
        </w:tc>
        <w:tc>
          <w:tcPr>
            <w:tcW w:w="1731" w:type="pct"/>
            <w:vAlign w:val="center"/>
            <w:hideMark/>
          </w:tcPr>
          <w:p w14:paraId="4C560199" w14:textId="77777777" w:rsidR="00F72392" w:rsidRPr="00A3051B" w:rsidRDefault="00F72392">
            <w:pPr>
              <w:spacing w:before="20" w:after="20"/>
              <w:jc w:val="left"/>
              <w:rPr>
                <w:sz w:val="20"/>
                <w:szCs w:val="20"/>
              </w:rPr>
            </w:pPr>
            <w:r>
              <w:rPr>
                <w:sz w:val="20"/>
              </w:rPr>
              <w:t>Financement ($US)</w:t>
            </w:r>
          </w:p>
        </w:tc>
        <w:tc>
          <w:tcPr>
            <w:tcW w:w="656" w:type="pct"/>
            <w:vAlign w:val="center"/>
          </w:tcPr>
          <w:p w14:paraId="1A881643" w14:textId="713CE75B" w:rsidR="00F72392" w:rsidRPr="00A3051B" w:rsidRDefault="00A01DD2" w:rsidP="00D029A3">
            <w:pPr>
              <w:spacing w:before="20" w:after="20"/>
              <w:jc w:val="right"/>
              <w:rPr>
                <w:sz w:val="20"/>
                <w:szCs w:val="20"/>
              </w:rPr>
            </w:pPr>
            <w:r>
              <w:rPr>
                <w:sz w:val="20"/>
              </w:rPr>
              <w:t>225 235</w:t>
            </w:r>
          </w:p>
        </w:tc>
        <w:tc>
          <w:tcPr>
            <w:tcW w:w="656" w:type="pct"/>
            <w:vAlign w:val="center"/>
          </w:tcPr>
          <w:p w14:paraId="71CACD59" w14:textId="57FFC333" w:rsidR="00F72392" w:rsidRPr="00A3051B" w:rsidRDefault="00D029A3" w:rsidP="00D029A3">
            <w:pPr>
              <w:spacing w:before="20" w:after="20"/>
              <w:jc w:val="right"/>
              <w:rPr>
                <w:sz w:val="20"/>
                <w:szCs w:val="20"/>
              </w:rPr>
            </w:pPr>
            <w:r>
              <w:rPr>
                <w:sz w:val="20"/>
              </w:rPr>
              <w:t>0</w:t>
            </w:r>
          </w:p>
        </w:tc>
        <w:tc>
          <w:tcPr>
            <w:tcW w:w="656" w:type="pct"/>
            <w:vAlign w:val="center"/>
          </w:tcPr>
          <w:p w14:paraId="0C34B457" w14:textId="1E24F0E3" w:rsidR="00F72392" w:rsidRPr="00A3051B" w:rsidRDefault="00BE7860" w:rsidP="00D029A3">
            <w:pPr>
              <w:spacing w:before="20" w:after="20"/>
              <w:jc w:val="right"/>
              <w:rPr>
                <w:sz w:val="20"/>
                <w:szCs w:val="20"/>
              </w:rPr>
            </w:pPr>
            <w:r>
              <w:rPr>
                <w:sz w:val="20"/>
              </w:rPr>
              <w:t>103 255</w:t>
            </w:r>
          </w:p>
        </w:tc>
        <w:tc>
          <w:tcPr>
            <w:tcW w:w="655" w:type="pct"/>
            <w:vAlign w:val="center"/>
          </w:tcPr>
          <w:p w14:paraId="5CF71B63" w14:textId="7E7C468B" w:rsidR="00F72392" w:rsidRPr="00A3051B" w:rsidRDefault="00D029A3" w:rsidP="00D029A3">
            <w:pPr>
              <w:spacing w:before="20" w:after="20"/>
              <w:jc w:val="right"/>
              <w:rPr>
                <w:sz w:val="20"/>
                <w:szCs w:val="20"/>
              </w:rPr>
            </w:pPr>
            <w:r w:rsidRPr="00A3051B">
              <w:rPr>
                <w:sz w:val="20"/>
              </w:rPr>
              <w:fldChar w:fldCharType="begin"/>
            </w:r>
            <w:r w:rsidRPr="00A3051B">
              <w:rPr>
                <w:sz w:val="20"/>
              </w:rPr>
              <w:instrText xml:space="preserve"> =SUM(left) </w:instrText>
            </w:r>
            <w:r w:rsidRPr="00A3051B">
              <w:rPr>
                <w:sz w:val="20"/>
              </w:rPr>
              <w:fldChar w:fldCharType="separate"/>
            </w:r>
            <w:r w:rsidR="00500865">
              <w:rPr>
                <w:noProof/>
                <w:sz w:val="20"/>
              </w:rPr>
              <w:t>328 490</w:t>
            </w:r>
            <w:r w:rsidRPr="00A3051B">
              <w:rPr>
                <w:sz w:val="20"/>
              </w:rPr>
              <w:fldChar w:fldCharType="end"/>
            </w:r>
          </w:p>
        </w:tc>
      </w:tr>
    </w:tbl>
    <w:p w14:paraId="220D97AD" w14:textId="3FB5BB6B" w:rsidR="00F72392" w:rsidRPr="00A3051B" w:rsidRDefault="00F72392" w:rsidP="001649E9">
      <w:pPr>
        <w:spacing w:before="20" w:after="20"/>
        <w:ind w:right="-279" w:hanging="720"/>
        <w:jc w:val="left"/>
        <w:rPr>
          <w:sz w:val="18"/>
          <w:szCs w:val="18"/>
        </w:rPr>
      </w:pPr>
      <w:r>
        <w:rPr>
          <w:sz w:val="18"/>
        </w:rPr>
        <w:t>* Dont 135 600 $US pour le PNUE pour des activités supplémentaires visant à maintenir le rendement énergétique (décision 89/6)</w:t>
      </w:r>
    </w:p>
    <w:p w14:paraId="7E807999" w14:textId="77777777" w:rsidR="00F72392" w:rsidRPr="00A3051B" w:rsidRDefault="00F72392">
      <w:pPr>
        <w:spacing w:before="20" w:after="20"/>
        <w:jc w:val="center"/>
        <w:rPr>
          <w:sz w:val="18"/>
          <w:szCs w:val="18"/>
        </w:rPr>
      </w:pPr>
    </w:p>
    <w:tbl>
      <w:tblPr>
        <w:tblStyle w:val="TableGrid"/>
        <w:tblW w:w="5702"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435"/>
        <w:gridCol w:w="972"/>
        <w:gridCol w:w="1418"/>
        <w:gridCol w:w="850"/>
        <w:gridCol w:w="709"/>
        <w:gridCol w:w="850"/>
        <w:gridCol w:w="567"/>
        <w:gridCol w:w="851"/>
        <w:gridCol w:w="805"/>
        <w:gridCol w:w="615"/>
        <w:gridCol w:w="735"/>
        <w:gridCol w:w="963"/>
      </w:tblGrid>
      <w:tr w:rsidR="0063431D" w:rsidRPr="00A3051B" w14:paraId="1FC9C6A2" w14:textId="77777777" w:rsidTr="00AF76BF">
        <w:trPr>
          <w:trHeight w:val="82"/>
          <w:jc w:val="center"/>
        </w:trPr>
        <w:tc>
          <w:tcPr>
            <w:tcW w:w="3825" w:type="dxa"/>
            <w:gridSpan w:val="3"/>
            <w:tcBorders>
              <w:top w:val="single" w:sz="2" w:space="0" w:color="auto"/>
              <w:left w:val="single" w:sz="2" w:space="0" w:color="auto"/>
              <w:bottom w:val="single" w:sz="2" w:space="0" w:color="auto"/>
              <w:right w:val="single" w:sz="2" w:space="0" w:color="auto"/>
            </w:tcBorders>
            <w:vAlign w:val="center"/>
            <w:hideMark/>
          </w:tcPr>
          <w:p w14:paraId="21C5D3CD" w14:textId="685D2A9D" w:rsidR="0063431D" w:rsidRPr="00A3051B" w:rsidRDefault="0063431D" w:rsidP="009A396D">
            <w:pPr>
              <w:spacing w:before="20" w:after="20"/>
              <w:ind w:left="38"/>
              <w:jc w:val="left"/>
              <w:rPr>
                <w:b/>
                <w:sz w:val="20"/>
                <w:szCs w:val="20"/>
              </w:rPr>
            </w:pPr>
            <w:r>
              <w:rPr>
                <w:b/>
                <w:sz w:val="20"/>
              </w:rPr>
              <w:t>DONNÉES DU PROJET</w:t>
            </w:r>
          </w:p>
        </w:tc>
        <w:tc>
          <w:tcPr>
            <w:tcW w:w="850" w:type="dxa"/>
            <w:tcBorders>
              <w:top w:val="single" w:sz="2" w:space="0" w:color="auto"/>
              <w:left w:val="single" w:sz="2" w:space="0" w:color="auto"/>
              <w:bottom w:val="single" w:sz="2" w:space="0" w:color="auto"/>
              <w:right w:val="single" w:sz="2" w:space="0" w:color="auto"/>
            </w:tcBorders>
            <w:vAlign w:val="center"/>
            <w:hideMark/>
          </w:tcPr>
          <w:p w14:paraId="3D5B24A2" w14:textId="64B66DB4" w:rsidR="0063431D" w:rsidRPr="00A3051B" w:rsidRDefault="0063431D" w:rsidP="009A396D">
            <w:pPr>
              <w:spacing w:before="20" w:after="20"/>
              <w:ind w:left="38"/>
              <w:jc w:val="center"/>
              <w:rPr>
                <w:b/>
                <w:sz w:val="18"/>
                <w:szCs w:val="18"/>
              </w:rPr>
            </w:pPr>
            <w:r>
              <w:rPr>
                <w:b/>
                <w:sz w:val="18"/>
              </w:rPr>
              <w:t>2021</w:t>
            </w:r>
          </w:p>
        </w:tc>
        <w:tc>
          <w:tcPr>
            <w:tcW w:w="709" w:type="dxa"/>
            <w:tcBorders>
              <w:top w:val="single" w:sz="2" w:space="0" w:color="auto"/>
              <w:left w:val="single" w:sz="2" w:space="0" w:color="auto"/>
              <w:bottom w:val="single" w:sz="2" w:space="0" w:color="auto"/>
              <w:right w:val="single" w:sz="2" w:space="0" w:color="auto"/>
            </w:tcBorders>
            <w:vAlign w:val="center"/>
            <w:hideMark/>
          </w:tcPr>
          <w:p w14:paraId="6C99276D" w14:textId="1B03D3A5" w:rsidR="0063431D" w:rsidRPr="00A3051B" w:rsidRDefault="0063431D" w:rsidP="009A396D">
            <w:pPr>
              <w:spacing w:before="20" w:after="20"/>
              <w:jc w:val="center"/>
              <w:rPr>
                <w:b/>
                <w:sz w:val="18"/>
                <w:szCs w:val="18"/>
              </w:rPr>
            </w:pPr>
            <w:r>
              <w:rPr>
                <w:b/>
                <w:sz w:val="18"/>
              </w:rPr>
              <w:t xml:space="preserve">2022 – 2023 </w:t>
            </w:r>
          </w:p>
        </w:tc>
        <w:tc>
          <w:tcPr>
            <w:tcW w:w="850" w:type="dxa"/>
            <w:tcBorders>
              <w:top w:val="single" w:sz="2" w:space="0" w:color="auto"/>
              <w:left w:val="single" w:sz="2" w:space="0" w:color="auto"/>
              <w:bottom w:val="single" w:sz="2" w:space="0" w:color="auto"/>
              <w:right w:val="single" w:sz="2" w:space="0" w:color="auto"/>
            </w:tcBorders>
            <w:vAlign w:val="center"/>
          </w:tcPr>
          <w:p w14:paraId="40F3EFA5" w14:textId="197D0658" w:rsidR="0063431D" w:rsidRPr="00A3051B" w:rsidRDefault="0063431D" w:rsidP="009A396D">
            <w:pPr>
              <w:spacing w:before="20" w:after="20"/>
              <w:jc w:val="center"/>
              <w:rPr>
                <w:b/>
                <w:sz w:val="18"/>
                <w:szCs w:val="18"/>
              </w:rPr>
            </w:pPr>
            <w:r>
              <w:rPr>
                <w:b/>
                <w:sz w:val="18"/>
              </w:rPr>
              <w:t>2024</w:t>
            </w:r>
          </w:p>
        </w:tc>
        <w:tc>
          <w:tcPr>
            <w:tcW w:w="567" w:type="dxa"/>
            <w:tcBorders>
              <w:top w:val="single" w:sz="2" w:space="0" w:color="auto"/>
              <w:left w:val="single" w:sz="2" w:space="0" w:color="auto"/>
              <w:bottom w:val="single" w:sz="2" w:space="0" w:color="auto"/>
              <w:right w:val="single" w:sz="2" w:space="0" w:color="auto"/>
            </w:tcBorders>
            <w:vAlign w:val="center"/>
            <w:hideMark/>
          </w:tcPr>
          <w:p w14:paraId="4A8A72DD" w14:textId="29A8849B" w:rsidR="0063431D" w:rsidRPr="00A3051B" w:rsidRDefault="0063431D" w:rsidP="009A396D">
            <w:pPr>
              <w:spacing w:before="20" w:after="20"/>
              <w:jc w:val="center"/>
              <w:rPr>
                <w:b/>
                <w:sz w:val="18"/>
                <w:szCs w:val="18"/>
              </w:rPr>
            </w:pPr>
            <w:r>
              <w:rPr>
                <w:b/>
                <w:sz w:val="18"/>
              </w:rPr>
              <w:t>2025</w:t>
            </w:r>
          </w:p>
        </w:tc>
        <w:tc>
          <w:tcPr>
            <w:tcW w:w="851" w:type="dxa"/>
            <w:tcBorders>
              <w:top w:val="single" w:sz="2" w:space="0" w:color="auto"/>
              <w:left w:val="single" w:sz="2" w:space="0" w:color="auto"/>
              <w:bottom w:val="single" w:sz="2" w:space="0" w:color="auto"/>
              <w:right w:val="single" w:sz="2" w:space="0" w:color="auto"/>
            </w:tcBorders>
            <w:vAlign w:val="center"/>
            <w:hideMark/>
          </w:tcPr>
          <w:p w14:paraId="3C656246" w14:textId="765FFB65" w:rsidR="0063431D" w:rsidRPr="00A3051B" w:rsidRDefault="0063431D" w:rsidP="009A396D">
            <w:pPr>
              <w:spacing w:before="20" w:after="20"/>
              <w:jc w:val="center"/>
              <w:rPr>
                <w:b/>
                <w:sz w:val="18"/>
                <w:szCs w:val="18"/>
              </w:rPr>
            </w:pPr>
            <w:r>
              <w:rPr>
                <w:b/>
                <w:sz w:val="18"/>
              </w:rPr>
              <w:t>2026</w:t>
            </w:r>
          </w:p>
        </w:tc>
        <w:tc>
          <w:tcPr>
            <w:tcW w:w="805" w:type="dxa"/>
            <w:tcBorders>
              <w:top w:val="single" w:sz="2" w:space="0" w:color="auto"/>
              <w:left w:val="single" w:sz="2" w:space="0" w:color="auto"/>
              <w:bottom w:val="single" w:sz="2" w:space="0" w:color="auto"/>
              <w:right w:val="single" w:sz="2" w:space="0" w:color="auto"/>
            </w:tcBorders>
            <w:vAlign w:val="center"/>
            <w:hideMark/>
          </w:tcPr>
          <w:p w14:paraId="1877F70A" w14:textId="231568CD" w:rsidR="0063431D" w:rsidRPr="00A3051B" w:rsidRDefault="0063431D" w:rsidP="009A396D">
            <w:pPr>
              <w:spacing w:before="20" w:after="20"/>
              <w:jc w:val="center"/>
              <w:rPr>
                <w:b/>
                <w:sz w:val="18"/>
                <w:szCs w:val="18"/>
              </w:rPr>
            </w:pPr>
            <w:r>
              <w:rPr>
                <w:b/>
                <w:sz w:val="18"/>
              </w:rPr>
              <w:t>2027</w:t>
            </w:r>
          </w:p>
        </w:tc>
        <w:tc>
          <w:tcPr>
            <w:tcW w:w="615" w:type="dxa"/>
            <w:tcBorders>
              <w:top w:val="single" w:sz="2" w:space="0" w:color="auto"/>
              <w:left w:val="single" w:sz="2" w:space="0" w:color="auto"/>
              <w:bottom w:val="single" w:sz="2" w:space="0" w:color="auto"/>
              <w:right w:val="single" w:sz="2" w:space="0" w:color="auto"/>
            </w:tcBorders>
            <w:vAlign w:val="center"/>
          </w:tcPr>
          <w:p w14:paraId="15D19D6A" w14:textId="5F232A6A" w:rsidR="0063431D" w:rsidRPr="00A3051B" w:rsidRDefault="0063431D" w:rsidP="009A396D">
            <w:pPr>
              <w:spacing w:before="20" w:after="20"/>
              <w:jc w:val="center"/>
              <w:rPr>
                <w:b/>
                <w:sz w:val="18"/>
                <w:szCs w:val="18"/>
              </w:rPr>
            </w:pPr>
            <w:r>
              <w:rPr>
                <w:b/>
                <w:sz w:val="18"/>
              </w:rPr>
              <w:t>2028-2029</w:t>
            </w:r>
          </w:p>
        </w:tc>
        <w:tc>
          <w:tcPr>
            <w:tcW w:w="735" w:type="dxa"/>
            <w:tcBorders>
              <w:top w:val="single" w:sz="2" w:space="0" w:color="auto"/>
              <w:left w:val="single" w:sz="2" w:space="0" w:color="auto"/>
              <w:bottom w:val="single" w:sz="2" w:space="0" w:color="auto"/>
              <w:right w:val="single" w:sz="2" w:space="0" w:color="auto"/>
            </w:tcBorders>
            <w:vAlign w:val="center"/>
          </w:tcPr>
          <w:p w14:paraId="67674F8E" w14:textId="6146B475" w:rsidR="0063431D" w:rsidRPr="00A3051B" w:rsidRDefault="0063431D" w:rsidP="009A396D">
            <w:pPr>
              <w:spacing w:before="20" w:after="20"/>
              <w:jc w:val="center"/>
              <w:rPr>
                <w:b/>
                <w:sz w:val="18"/>
                <w:szCs w:val="18"/>
              </w:rPr>
            </w:pPr>
            <w:r>
              <w:rPr>
                <w:b/>
                <w:sz w:val="18"/>
              </w:rPr>
              <w:t>2030</w:t>
            </w:r>
          </w:p>
        </w:tc>
        <w:tc>
          <w:tcPr>
            <w:tcW w:w="963" w:type="dxa"/>
            <w:tcBorders>
              <w:top w:val="single" w:sz="2" w:space="0" w:color="auto"/>
              <w:left w:val="single" w:sz="2" w:space="0" w:color="auto"/>
              <w:bottom w:val="single" w:sz="2" w:space="0" w:color="auto"/>
              <w:right w:val="single" w:sz="2" w:space="0" w:color="auto"/>
            </w:tcBorders>
            <w:vAlign w:val="center"/>
            <w:hideMark/>
          </w:tcPr>
          <w:p w14:paraId="4D4D0BC8" w14:textId="6251639C" w:rsidR="0063431D" w:rsidRPr="00A3051B" w:rsidRDefault="0063431D" w:rsidP="009A396D">
            <w:pPr>
              <w:spacing w:before="20" w:after="20"/>
              <w:jc w:val="center"/>
              <w:rPr>
                <w:b/>
                <w:sz w:val="18"/>
                <w:szCs w:val="18"/>
              </w:rPr>
            </w:pPr>
            <w:r>
              <w:rPr>
                <w:b/>
                <w:sz w:val="18"/>
              </w:rPr>
              <w:t>Total</w:t>
            </w:r>
          </w:p>
        </w:tc>
      </w:tr>
      <w:tr w:rsidR="0063431D" w:rsidRPr="00A3051B" w14:paraId="1F4336C1" w14:textId="77777777" w:rsidTr="00AF76BF">
        <w:trPr>
          <w:trHeight w:val="72"/>
          <w:jc w:val="center"/>
        </w:trPr>
        <w:tc>
          <w:tcPr>
            <w:tcW w:w="1435" w:type="dxa"/>
            <w:vMerge w:val="restart"/>
            <w:tcBorders>
              <w:top w:val="single" w:sz="2" w:space="0" w:color="auto"/>
              <w:left w:val="single" w:sz="2" w:space="0" w:color="auto"/>
              <w:right w:val="single" w:sz="2" w:space="0" w:color="auto"/>
            </w:tcBorders>
            <w:vAlign w:val="center"/>
            <w:hideMark/>
          </w:tcPr>
          <w:p w14:paraId="1AD5F990" w14:textId="77777777" w:rsidR="0063431D" w:rsidRPr="00A3051B" w:rsidRDefault="0063431D" w:rsidP="0063431D">
            <w:pPr>
              <w:spacing w:before="20" w:after="20"/>
              <w:ind w:left="38"/>
              <w:jc w:val="left"/>
              <w:rPr>
                <w:sz w:val="18"/>
                <w:szCs w:val="18"/>
              </w:rPr>
            </w:pPr>
            <w:r>
              <w:rPr>
                <w:sz w:val="18"/>
              </w:rPr>
              <w:t>Consommation (tonnes PAO)</w:t>
            </w:r>
          </w:p>
        </w:tc>
        <w:tc>
          <w:tcPr>
            <w:tcW w:w="2390" w:type="dxa"/>
            <w:gridSpan w:val="2"/>
            <w:tcBorders>
              <w:top w:val="single" w:sz="2" w:space="0" w:color="auto"/>
              <w:left w:val="single" w:sz="2" w:space="0" w:color="auto"/>
              <w:bottom w:val="single" w:sz="2" w:space="0" w:color="auto"/>
              <w:right w:val="single" w:sz="2" w:space="0" w:color="auto"/>
            </w:tcBorders>
            <w:vAlign w:val="center"/>
          </w:tcPr>
          <w:p w14:paraId="1DD3D272" w14:textId="77777777" w:rsidR="0063431D" w:rsidRPr="00A3051B" w:rsidRDefault="0063431D" w:rsidP="0063431D">
            <w:pPr>
              <w:spacing w:before="20" w:after="20"/>
              <w:ind w:left="38"/>
              <w:jc w:val="left"/>
              <w:rPr>
                <w:sz w:val="18"/>
                <w:szCs w:val="18"/>
              </w:rPr>
            </w:pPr>
            <w:r>
              <w:rPr>
                <w:sz w:val="18"/>
              </w:rPr>
              <w:t>Limites fixées par le Protocole de Montréal</w:t>
            </w:r>
          </w:p>
        </w:tc>
        <w:tc>
          <w:tcPr>
            <w:tcW w:w="850" w:type="dxa"/>
            <w:tcBorders>
              <w:top w:val="single" w:sz="2" w:space="0" w:color="auto"/>
              <w:left w:val="single" w:sz="2" w:space="0" w:color="auto"/>
              <w:bottom w:val="single" w:sz="2" w:space="0" w:color="auto"/>
              <w:right w:val="single" w:sz="2" w:space="0" w:color="auto"/>
            </w:tcBorders>
            <w:vAlign w:val="center"/>
          </w:tcPr>
          <w:p w14:paraId="623D1DAD" w14:textId="39D3EDF4" w:rsidR="0063431D" w:rsidRPr="00A3051B" w:rsidRDefault="0063431D" w:rsidP="0063431D">
            <w:pPr>
              <w:spacing w:before="20" w:after="20"/>
              <w:ind w:left="38"/>
              <w:jc w:val="right"/>
              <w:rPr>
                <w:sz w:val="18"/>
                <w:szCs w:val="18"/>
              </w:rPr>
            </w:pPr>
            <w:r>
              <w:rPr>
                <w:sz w:val="18"/>
              </w:rPr>
              <w:t>43,04</w:t>
            </w:r>
          </w:p>
        </w:tc>
        <w:tc>
          <w:tcPr>
            <w:tcW w:w="709" w:type="dxa"/>
            <w:tcBorders>
              <w:top w:val="single" w:sz="2" w:space="0" w:color="auto"/>
              <w:left w:val="single" w:sz="2" w:space="0" w:color="auto"/>
              <w:bottom w:val="single" w:sz="2" w:space="0" w:color="auto"/>
              <w:right w:val="single" w:sz="2" w:space="0" w:color="auto"/>
            </w:tcBorders>
            <w:vAlign w:val="center"/>
          </w:tcPr>
          <w:p w14:paraId="5DA873E0" w14:textId="15166001" w:rsidR="0063431D" w:rsidRPr="00A3051B" w:rsidRDefault="0063431D" w:rsidP="0063431D">
            <w:pPr>
              <w:spacing w:before="20" w:after="20"/>
              <w:jc w:val="right"/>
              <w:rPr>
                <w:sz w:val="18"/>
                <w:szCs w:val="18"/>
              </w:rPr>
            </w:pPr>
            <w:r>
              <w:rPr>
                <w:sz w:val="18"/>
              </w:rPr>
              <w:t>43,04</w:t>
            </w:r>
          </w:p>
        </w:tc>
        <w:tc>
          <w:tcPr>
            <w:tcW w:w="850" w:type="dxa"/>
            <w:tcBorders>
              <w:top w:val="single" w:sz="2" w:space="0" w:color="auto"/>
              <w:left w:val="single" w:sz="2" w:space="0" w:color="auto"/>
              <w:bottom w:val="single" w:sz="2" w:space="0" w:color="auto"/>
              <w:right w:val="single" w:sz="2" w:space="0" w:color="auto"/>
            </w:tcBorders>
            <w:vAlign w:val="center"/>
          </w:tcPr>
          <w:p w14:paraId="1BF96DAF" w14:textId="41E58C15" w:rsidR="0063431D" w:rsidRPr="00A3051B" w:rsidRDefault="0063431D" w:rsidP="0063431D">
            <w:pPr>
              <w:spacing w:before="20" w:after="20"/>
              <w:jc w:val="right"/>
              <w:rPr>
                <w:sz w:val="18"/>
                <w:szCs w:val="18"/>
              </w:rPr>
            </w:pPr>
            <w:r>
              <w:rPr>
                <w:sz w:val="18"/>
              </w:rPr>
              <w:t>43,04</w:t>
            </w:r>
          </w:p>
        </w:tc>
        <w:tc>
          <w:tcPr>
            <w:tcW w:w="567" w:type="dxa"/>
            <w:tcBorders>
              <w:top w:val="single" w:sz="2" w:space="0" w:color="auto"/>
              <w:left w:val="single" w:sz="2" w:space="0" w:color="auto"/>
              <w:bottom w:val="single" w:sz="2" w:space="0" w:color="auto"/>
              <w:right w:val="single" w:sz="2" w:space="0" w:color="auto"/>
            </w:tcBorders>
            <w:vAlign w:val="center"/>
          </w:tcPr>
          <w:p w14:paraId="22724626" w14:textId="2C0A2350" w:rsidR="0063431D" w:rsidRPr="00A3051B" w:rsidRDefault="0063431D" w:rsidP="0063431D">
            <w:pPr>
              <w:spacing w:before="20" w:after="20"/>
              <w:jc w:val="right"/>
              <w:rPr>
                <w:sz w:val="18"/>
                <w:szCs w:val="18"/>
              </w:rPr>
            </w:pPr>
            <w:r>
              <w:rPr>
                <w:sz w:val="18"/>
              </w:rPr>
              <w:t>21,52</w:t>
            </w:r>
          </w:p>
        </w:tc>
        <w:tc>
          <w:tcPr>
            <w:tcW w:w="851" w:type="dxa"/>
            <w:tcBorders>
              <w:top w:val="single" w:sz="2" w:space="0" w:color="auto"/>
              <w:left w:val="single" w:sz="2" w:space="0" w:color="auto"/>
              <w:bottom w:val="single" w:sz="2" w:space="0" w:color="auto"/>
              <w:right w:val="single" w:sz="2" w:space="0" w:color="auto"/>
            </w:tcBorders>
            <w:vAlign w:val="center"/>
          </w:tcPr>
          <w:p w14:paraId="14F9D741" w14:textId="4C9E80CB" w:rsidR="0063431D" w:rsidRPr="00A3051B" w:rsidRDefault="0063431D" w:rsidP="0063431D">
            <w:pPr>
              <w:spacing w:before="20" w:after="20"/>
              <w:jc w:val="right"/>
              <w:rPr>
                <w:sz w:val="18"/>
                <w:szCs w:val="18"/>
              </w:rPr>
            </w:pPr>
            <w:r>
              <w:rPr>
                <w:sz w:val="18"/>
              </w:rPr>
              <w:t>21,52</w:t>
            </w:r>
          </w:p>
        </w:tc>
        <w:tc>
          <w:tcPr>
            <w:tcW w:w="805" w:type="dxa"/>
            <w:tcBorders>
              <w:top w:val="single" w:sz="2" w:space="0" w:color="auto"/>
              <w:left w:val="single" w:sz="2" w:space="0" w:color="auto"/>
              <w:bottom w:val="single" w:sz="2" w:space="0" w:color="auto"/>
              <w:right w:val="single" w:sz="2" w:space="0" w:color="auto"/>
            </w:tcBorders>
            <w:vAlign w:val="center"/>
          </w:tcPr>
          <w:p w14:paraId="4FC39BF9" w14:textId="11AE8286" w:rsidR="0063431D" w:rsidRPr="00A3051B" w:rsidRDefault="0063431D" w:rsidP="0063431D">
            <w:pPr>
              <w:spacing w:before="20" w:after="20"/>
              <w:jc w:val="right"/>
              <w:rPr>
                <w:sz w:val="18"/>
                <w:szCs w:val="18"/>
              </w:rPr>
            </w:pPr>
            <w:r>
              <w:rPr>
                <w:sz w:val="18"/>
              </w:rPr>
              <w:t>21,52</w:t>
            </w:r>
          </w:p>
        </w:tc>
        <w:tc>
          <w:tcPr>
            <w:tcW w:w="615" w:type="dxa"/>
            <w:tcBorders>
              <w:top w:val="single" w:sz="2" w:space="0" w:color="auto"/>
              <w:left w:val="single" w:sz="2" w:space="0" w:color="auto"/>
              <w:bottom w:val="single" w:sz="2" w:space="0" w:color="auto"/>
              <w:right w:val="single" w:sz="2" w:space="0" w:color="auto"/>
            </w:tcBorders>
            <w:vAlign w:val="center"/>
          </w:tcPr>
          <w:p w14:paraId="4ADA9C9B" w14:textId="3F8A7B83" w:rsidR="0063431D" w:rsidRPr="00500865" w:rsidRDefault="0063431D" w:rsidP="00500865">
            <w:pPr>
              <w:spacing w:before="20" w:after="20"/>
              <w:ind w:left="38"/>
              <w:jc w:val="right"/>
              <w:rPr>
                <w:sz w:val="18"/>
              </w:rPr>
            </w:pPr>
            <w:r>
              <w:rPr>
                <w:sz w:val="18"/>
              </w:rPr>
              <w:t>21,52</w:t>
            </w:r>
          </w:p>
        </w:tc>
        <w:tc>
          <w:tcPr>
            <w:tcW w:w="735" w:type="dxa"/>
            <w:tcBorders>
              <w:top w:val="single" w:sz="2" w:space="0" w:color="auto"/>
              <w:left w:val="single" w:sz="2" w:space="0" w:color="auto"/>
              <w:bottom w:val="single" w:sz="2" w:space="0" w:color="auto"/>
              <w:right w:val="single" w:sz="2" w:space="0" w:color="auto"/>
            </w:tcBorders>
            <w:vAlign w:val="center"/>
          </w:tcPr>
          <w:p w14:paraId="2C50D63B" w14:textId="2628197B" w:rsidR="0063431D" w:rsidRPr="00500865" w:rsidRDefault="0063431D" w:rsidP="00500865">
            <w:pPr>
              <w:spacing w:before="20" w:after="20"/>
              <w:ind w:left="38"/>
              <w:jc w:val="right"/>
              <w:rPr>
                <w:sz w:val="18"/>
              </w:rPr>
            </w:pPr>
            <w:r>
              <w:rPr>
                <w:sz w:val="18"/>
              </w:rPr>
              <w:t>0</w:t>
            </w:r>
          </w:p>
        </w:tc>
        <w:tc>
          <w:tcPr>
            <w:tcW w:w="963" w:type="dxa"/>
            <w:tcBorders>
              <w:top w:val="single" w:sz="2" w:space="0" w:color="auto"/>
              <w:left w:val="single" w:sz="2" w:space="0" w:color="auto"/>
              <w:bottom w:val="single" w:sz="2" w:space="0" w:color="auto"/>
              <w:right w:val="single" w:sz="2" w:space="0" w:color="auto"/>
            </w:tcBorders>
            <w:vAlign w:val="center"/>
            <w:hideMark/>
          </w:tcPr>
          <w:p w14:paraId="1E43849D" w14:textId="17622C79" w:rsidR="0063431D" w:rsidRPr="00500865" w:rsidRDefault="0063431D" w:rsidP="00500865">
            <w:pPr>
              <w:spacing w:before="20" w:after="20"/>
              <w:ind w:left="38"/>
              <w:jc w:val="right"/>
              <w:rPr>
                <w:sz w:val="18"/>
              </w:rPr>
            </w:pPr>
            <w:r>
              <w:rPr>
                <w:sz w:val="18"/>
              </w:rPr>
              <w:t>s.o.</w:t>
            </w:r>
          </w:p>
        </w:tc>
      </w:tr>
      <w:tr w:rsidR="0063431D" w:rsidRPr="00A3051B" w14:paraId="45F16F17" w14:textId="77777777" w:rsidTr="00AF76BF">
        <w:trPr>
          <w:trHeight w:val="84"/>
          <w:jc w:val="center"/>
        </w:trPr>
        <w:tc>
          <w:tcPr>
            <w:tcW w:w="1435" w:type="dxa"/>
            <w:vMerge/>
            <w:tcBorders>
              <w:left w:val="single" w:sz="2" w:space="0" w:color="auto"/>
              <w:bottom w:val="single" w:sz="2" w:space="0" w:color="auto"/>
              <w:right w:val="single" w:sz="2" w:space="0" w:color="auto"/>
            </w:tcBorders>
            <w:vAlign w:val="center"/>
            <w:hideMark/>
          </w:tcPr>
          <w:p w14:paraId="70985B08" w14:textId="77777777" w:rsidR="0063431D" w:rsidRPr="00A3051B" w:rsidRDefault="0063431D" w:rsidP="0063431D">
            <w:pPr>
              <w:spacing w:before="20" w:after="20"/>
              <w:ind w:left="38"/>
              <w:jc w:val="left"/>
              <w:rPr>
                <w:sz w:val="18"/>
                <w:szCs w:val="18"/>
                <w:lang w:val="en-US"/>
              </w:rPr>
            </w:pPr>
          </w:p>
        </w:tc>
        <w:tc>
          <w:tcPr>
            <w:tcW w:w="2390" w:type="dxa"/>
            <w:gridSpan w:val="2"/>
            <w:tcBorders>
              <w:top w:val="single" w:sz="2" w:space="0" w:color="auto"/>
              <w:left w:val="single" w:sz="2" w:space="0" w:color="auto"/>
              <w:bottom w:val="single" w:sz="2" w:space="0" w:color="auto"/>
              <w:right w:val="single" w:sz="2" w:space="0" w:color="auto"/>
            </w:tcBorders>
            <w:vAlign w:val="center"/>
          </w:tcPr>
          <w:p w14:paraId="1FE948B4" w14:textId="77777777" w:rsidR="0063431D" w:rsidRPr="00A3051B" w:rsidRDefault="0063431D" w:rsidP="0063431D">
            <w:pPr>
              <w:spacing w:before="20" w:after="20"/>
              <w:ind w:left="38"/>
              <w:jc w:val="left"/>
              <w:rPr>
                <w:sz w:val="18"/>
                <w:szCs w:val="18"/>
              </w:rPr>
            </w:pPr>
            <w:r>
              <w:rPr>
                <w:sz w:val="18"/>
              </w:rPr>
              <w:t xml:space="preserve">Consommation maximale autorisée </w:t>
            </w:r>
          </w:p>
        </w:tc>
        <w:tc>
          <w:tcPr>
            <w:tcW w:w="850" w:type="dxa"/>
            <w:tcBorders>
              <w:top w:val="single" w:sz="2" w:space="0" w:color="auto"/>
              <w:left w:val="single" w:sz="2" w:space="0" w:color="auto"/>
              <w:bottom w:val="single" w:sz="2" w:space="0" w:color="auto"/>
              <w:right w:val="single" w:sz="2" w:space="0" w:color="auto"/>
            </w:tcBorders>
            <w:vAlign w:val="center"/>
          </w:tcPr>
          <w:p w14:paraId="5396F289" w14:textId="319EF74B" w:rsidR="0063431D" w:rsidRPr="00A3051B" w:rsidRDefault="0063431D" w:rsidP="0063431D">
            <w:pPr>
              <w:spacing w:before="20" w:after="20"/>
              <w:ind w:left="38"/>
              <w:jc w:val="right"/>
              <w:rPr>
                <w:sz w:val="18"/>
                <w:szCs w:val="18"/>
              </w:rPr>
            </w:pPr>
            <w:r>
              <w:rPr>
                <w:sz w:val="18"/>
              </w:rPr>
              <w:t>6,00</w:t>
            </w:r>
          </w:p>
        </w:tc>
        <w:tc>
          <w:tcPr>
            <w:tcW w:w="709" w:type="dxa"/>
            <w:tcBorders>
              <w:top w:val="single" w:sz="2" w:space="0" w:color="auto"/>
              <w:left w:val="single" w:sz="2" w:space="0" w:color="auto"/>
              <w:bottom w:val="single" w:sz="2" w:space="0" w:color="auto"/>
              <w:right w:val="single" w:sz="2" w:space="0" w:color="auto"/>
            </w:tcBorders>
            <w:vAlign w:val="center"/>
          </w:tcPr>
          <w:p w14:paraId="60E3671B" w14:textId="4C14FA9A" w:rsidR="0063431D" w:rsidRPr="00A3051B" w:rsidRDefault="0063431D" w:rsidP="0063431D">
            <w:pPr>
              <w:spacing w:before="20" w:after="20"/>
              <w:jc w:val="right"/>
              <w:rPr>
                <w:sz w:val="18"/>
                <w:szCs w:val="18"/>
              </w:rPr>
            </w:pPr>
            <w:r>
              <w:rPr>
                <w:sz w:val="18"/>
              </w:rPr>
              <w:t>6,00</w:t>
            </w:r>
          </w:p>
        </w:tc>
        <w:tc>
          <w:tcPr>
            <w:tcW w:w="850" w:type="dxa"/>
            <w:tcBorders>
              <w:top w:val="single" w:sz="2" w:space="0" w:color="auto"/>
              <w:left w:val="single" w:sz="2" w:space="0" w:color="auto"/>
              <w:bottom w:val="single" w:sz="2" w:space="0" w:color="auto"/>
              <w:right w:val="single" w:sz="2" w:space="0" w:color="auto"/>
            </w:tcBorders>
            <w:vAlign w:val="center"/>
          </w:tcPr>
          <w:p w14:paraId="155F589F" w14:textId="1E3BD986" w:rsidR="0063431D" w:rsidRPr="00A3051B" w:rsidRDefault="0063431D" w:rsidP="0063431D">
            <w:pPr>
              <w:spacing w:before="20" w:after="20"/>
              <w:jc w:val="right"/>
              <w:rPr>
                <w:sz w:val="18"/>
                <w:szCs w:val="18"/>
              </w:rPr>
            </w:pPr>
            <w:r>
              <w:rPr>
                <w:sz w:val="18"/>
              </w:rPr>
              <w:t>6,00</w:t>
            </w:r>
          </w:p>
        </w:tc>
        <w:tc>
          <w:tcPr>
            <w:tcW w:w="567" w:type="dxa"/>
            <w:tcBorders>
              <w:top w:val="single" w:sz="2" w:space="0" w:color="auto"/>
              <w:left w:val="single" w:sz="2" w:space="0" w:color="auto"/>
              <w:bottom w:val="single" w:sz="2" w:space="0" w:color="auto"/>
              <w:right w:val="single" w:sz="2" w:space="0" w:color="auto"/>
            </w:tcBorders>
            <w:vAlign w:val="center"/>
          </w:tcPr>
          <w:p w14:paraId="0EF761E2" w14:textId="181FC1ED" w:rsidR="0063431D" w:rsidRPr="00A3051B" w:rsidRDefault="0063431D" w:rsidP="0063431D">
            <w:pPr>
              <w:spacing w:before="20" w:after="20"/>
              <w:jc w:val="right"/>
              <w:rPr>
                <w:sz w:val="18"/>
                <w:szCs w:val="18"/>
              </w:rPr>
            </w:pPr>
            <w:r>
              <w:rPr>
                <w:sz w:val="18"/>
              </w:rPr>
              <w:t>3,00</w:t>
            </w:r>
          </w:p>
        </w:tc>
        <w:tc>
          <w:tcPr>
            <w:tcW w:w="851" w:type="dxa"/>
            <w:tcBorders>
              <w:top w:val="single" w:sz="2" w:space="0" w:color="auto"/>
              <w:left w:val="single" w:sz="2" w:space="0" w:color="auto"/>
              <w:bottom w:val="single" w:sz="2" w:space="0" w:color="auto"/>
              <w:right w:val="single" w:sz="2" w:space="0" w:color="auto"/>
            </w:tcBorders>
            <w:vAlign w:val="center"/>
          </w:tcPr>
          <w:p w14:paraId="4372E43B" w14:textId="1424137D" w:rsidR="0063431D" w:rsidRPr="00A3051B" w:rsidRDefault="0063431D" w:rsidP="0063431D">
            <w:pPr>
              <w:spacing w:before="20" w:after="20"/>
              <w:jc w:val="right"/>
              <w:rPr>
                <w:sz w:val="18"/>
                <w:szCs w:val="18"/>
              </w:rPr>
            </w:pPr>
            <w:r>
              <w:rPr>
                <w:sz w:val="18"/>
              </w:rPr>
              <w:t>3,00</w:t>
            </w:r>
          </w:p>
        </w:tc>
        <w:tc>
          <w:tcPr>
            <w:tcW w:w="805" w:type="dxa"/>
            <w:tcBorders>
              <w:top w:val="single" w:sz="2" w:space="0" w:color="auto"/>
              <w:left w:val="single" w:sz="2" w:space="0" w:color="auto"/>
              <w:bottom w:val="single" w:sz="2" w:space="0" w:color="auto"/>
              <w:right w:val="single" w:sz="2" w:space="0" w:color="auto"/>
            </w:tcBorders>
            <w:vAlign w:val="center"/>
          </w:tcPr>
          <w:p w14:paraId="29AA9010" w14:textId="7E21D475" w:rsidR="0063431D" w:rsidRPr="00A3051B" w:rsidRDefault="0063431D" w:rsidP="0063431D">
            <w:pPr>
              <w:spacing w:before="20" w:after="20"/>
              <w:jc w:val="right"/>
              <w:rPr>
                <w:sz w:val="18"/>
                <w:szCs w:val="18"/>
              </w:rPr>
            </w:pPr>
            <w:r>
              <w:rPr>
                <w:sz w:val="18"/>
              </w:rPr>
              <w:t>3,00</w:t>
            </w:r>
          </w:p>
        </w:tc>
        <w:tc>
          <w:tcPr>
            <w:tcW w:w="615" w:type="dxa"/>
            <w:tcBorders>
              <w:top w:val="single" w:sz="2" w:space="0" w:color="auto"/>
              <w:left w:val="single" w:sz="2" w:space="0" w:color="auto"/>
              <w:bottom w:val="single" w:sz="2" w:space="0" w:color="auto"/>
              <w:right w:val="single" w:sz="2" w:space="0" w:color="auto"/>
            </w:tcBorders>
            <w:vAlign w:val="center"/>
          </w:tcPr>
          <w:p w14:paraId="35B33FC6" w14:textId="322AA8A9" w:rsidR="0063431D" w:rsidRPr="00A3051B" w:rsidRDefault="0063431D" w:rsidP="0063431D">
            <w:pPr>
              <w:spacing w:before="20" w:after="20"/>
              <w:jc w:val="right"/>
              <w:rPr>
                <w:sz w:val="18"/>
                <w:szCs w:val="18"/>
              </w:rPr>
            </w:pPr>
            <w:r>
              <w:rPr>
                <w:sz w:val="18"/>
              </w:rPr>
              <w:t>2,00</w:t>
            </w:r>
          </w:p>
        </w:tc>
        <w:tc>
          <w:tcPr>
            <w:tcW w:w="735" w:type="dxa"/>
            <w:tcBorders>
              <w:top w:val="single" w:sz="2" w:space="0" w:color="auto"/>
              <w:left w:val="single" w:sz="2" w:space="0" w:color="auto"/>
              <w:bottom w:val="single" w:sz="2" w:space="0" w:color="auto"/>
              <w:right w:val="single" w:sz="2" w:space="0" w:color="auto"/>
            </w:tcBorders>
            <w:vAlign w:val="center"/>
          </w:tcPr>
          <w:p w14:paraId="4828CAEF" w14:textId="5C894DA4" w:rsidR="0063431D" w:rsidRPr="00A3051B" w:rsidRDefault="0063431D" w:rsidP="0063431D">
            <w:pPr>
              <w:spacing w:before="20" w:after="20"/>
              <w:jc w:val="right"/>
              <w:rPr>
                <w:sz w:val="18"/>
                <w:szCs w:val="18"/>
              </w:rPr>
            </w:pPr>
            <w:r>
              <w:rPr>
                <w:sz w:val="18"/>
              </w:rPr>
              <w:t>0</w:t>
            </w:r>
          </w:p>
        </w:tc>
        <w:tc>
          <w:tcPr>
            <w:tcW w:w="963" w:type="dxa"/>
            <w:tcBorders>
              <w:top w:val="single" w:sz="2" w:space="0" w:color="auto"/>
              <w:left w:val="single" w:sz="2" w:space="0" w:color="auto"/>
              <w:bottom w:val="single" w:sz="2" w:space="0" w:color="auto"/>
              <w:right w:val="single" w:sz="2" w:space="0" w:color="auto"/>
            </w:tcBorders>
            <w:vAlign w:val="center"/>
            <w:hideMark/>
          </w:tcPr>
          <w:p w14:paraId="0F658D7B" w14:textId="7CF117BE" w:rsidR="0063431D" w:rsidRPr="00A3051B" w:rsidRDefault="0063431D" w:rsidP="0063431D">
            <w:pPr>
              <w:spacing w:before="20" w:after="20"/>
              <w:jc w:val="right"/>
              <w:rPr>
                <w:sz w:val="18"/>
                <w:szCs w:val="18"/>
              </w:rPr>
            </w:pPr>
            <w:r>
              <w:rPr>
                <w:sz w:val="18"/>
              </w:rPr>
              <w:t>s.o.</w:t>
            </w:r>
          </w:p>
        </w:tc>
      </w:tr>
      <w:tr w:rsidR="0063431D" w:rsidRPr="00A3051B" w14:paraId="5428657D" w14:textId="77777777" w:rsidTr="00AF76BF">
        <w:trPr>
          <w:trHeight w:val="94"/>
          <w:jc w:val="center"/>
        </w:trPr>
        <w:tc>
          <w:tcPr>
            <w:tcW w:w="1435" w:type="dxa"/>
            <w:vMerge w:val="restart"/>
            <w:tcBorders>
              <w:top w:val="single" w:sz="2" w:space="0" w:color="auto"/>
              <w:left w:val="single" w:sz="4" w:space="0" w:color="auto"/>
              <w:bottom w:val="single" w:sz="4" w:space="0" w:color="auto"/>
              <w:right w:val="single" w:sz="4" w:space="0" w:color="auto"/>
            </w:tcBorders>
            <w:vAlign w:val="center"/>
            <w:hideMark/>
          </w:tcPr>
          <w:p w14:paraId="5A3FA32A" w14:textId="77777777" w:rsidR="0063431D" w:rsidRPr="00A3051B" w:rsidRDefault="0063431D" w:rsidP="0063431D">
            <w:pPr>
              <w:spacing w:before="20" w:after="20"/>
              <w:ind w:left="38" w:right="-82"/>
              <w:jc w:val="left"/>
              <w:rPr>
                <w:sz w:val="18"/>
                <w:szCs w:val="18"/>
              </w:rPr>
            </w:pPr>
            <w:r>
              <w:rPr>
                <w:sz w:val="18"/>
              </w:rPr>
              <w:t>Montants approuvés en principe ($US)</w:t>
            </w:r>
          </w:p>
        </w:tc>
        <w:tc>
          <w:tcPr>
            <w:tcW w:w="972" w:type="dxa"/>
            <w:vMerge w:val="restart"/>
            <w:tcBorders>
              <w:top w:val="single" w:sz="2" w:space="0" w:color="auto"/>
              <w:left w:val="single" w:sz="4" w:space="0" w:color="auto"/>
              <w:bottom w:val="single" w:sz="4" w:space="0" w:color="auto"/>
              <w:right w:val="single" w:sz="4" w:space="0" w:color="auto"/>
            </w:tcBorders>
            <w:vAlign w:val="center"/>
            <w:hideMark/>
          </w:tcPr>
          <w:p w14:paraId="56636BFB" w14:textId="5751B8C2" w:rsidR="0063431D" w:rsidRPr="00A3051B" w:rsidRDefault="0063431D" w:rsidP="0063431D">
            <w:pPr>
              <w:spacing w:before="20" w:after="20"/>
              <w:ind w:left="38"/>
              <w:jc w:val="center"/>
              <w:rPr>
                <w:sz w:val="18"/>
                <w:szCs w:val="18"/>
              </w:rPr>
            </w:pPr>
            <w:r>
              <w:rPr>
                <w:color w:val="000000" w:themeColor="text1"/>
                <w:sz w:val="18"/>
              </w:rPr>
              <w:t>PNUE</w:t>
            </w:r>
          </w:p>
        </w:tc>
        <w:tc>
          <w:tcPr>
            <w:tcW w:w="1418" w:type="dxa"/>
            <w:tcBorders>
              <w:top w:val="single" w:sz="2" w:space="0" w:color="auto"/>
              <w:left w:val="single" w:sz="4" w:space="0" w:color="auto"/>
              <w:bottom w:val="single" w:sz="4" w:space="0" w:color="auto"/>
              <w:right w:val="single" w:sz="4" w:space="0" w:color="auto"/>
            </w:tcBorders>
            <w:vAlign w:val="center"/>
            <w:hideMark/>
          </w:tcPr>
          <w:p w14:paraId="3F326156" w14:textId="77777777" w:rsidR="0063431D" w:rsidRPr="00A3051B" w:rsidRDefault="0063431D" w:rsidP="0063431D">
            <w:pPr>
              <w:spacing w:before="20" w:after="20"/>
              <w:ind w:left="38"/>
              <w:jc w:val="left"/>
              <w:rPr>
                <w:sz w:val="18"/>
                <w:szCs w:val="18"/>
              </w:rPr>
            </w:pPr>
            <w:r>
              <w:rPr>
                <w:sz w:val="18"/>
              </w:rPr>
              <w:t>Coûts du projet</w:t>
            </w:r>
          </w:p>
        </w:tc>
        <w:tc>
          <w:tcPr>
            <w:tcW w:w="850" w:type="dxa"/>
            <w:tcBorders>
              <w:top w:val="single" w:sz="2" w:space="0" w:color="auto"/>
              <w:left w:val="single" w:sz="4" w:space="0" w:color="auto"/>
              <w:bottom w:val="single" w:sz="4" w:space="0" w:color="auto"/>
              <w:right w:val="single" w:sz="4" w:space="0" w:color="auto"/>
            </w:tcBorders>
            <w:vAlign w:val="center"/>
          </w:tcPr>
          <w:p w14:paraId="0ACD0254" w14:textId="34844CC6" w:rsidR="0063431D" w:rsidRPr="00A3051B" w:rsidRDefault="0063431D" w:rsidP="0063431D">
            <w:pPr>
              <w:spacing w:before="20" w:after="20"/>
              <w:ind w:left="38"/>
              <w:jc w:val="right"/>
              <w:rPr>
                <w:color w:val="000000"/>
                <w:sz w:val="18"/>
                <w:szCs w:val="18"/>
              </w:rPr>
            </w:pPr>
            <w:r>
              <w:rPr>
                <w:color w:val="000000"/>
                <w:sz w:val="18"/>
              </w:rPr>
              <w:t>140 000</w:t>
            </w:r>
          </w:p>
        </w:tc>
        <w:tc>
          <w:tcPr>
            <w:tcW w:w="709" w:type="dxa"/>
            <w:tcBorders>
              <w:top w:val="single" w:sz="2" w:space="0" w:color="auto"/>
              <w:left w:val="single" w:sz="4" w:space="0" w:color="auto"/>
              <w:bottom w:val="single" w:sz="4" w:space="0" w:color="auto"/>
              <w:right w:val="single" w:sz="4" w:space="0" w:color="auto"/>
            </w:tcBorders>
            <w:vAlign w:val="center"/>
          </w:tcPr>
          <w:p w14:paraId="75DEFB12" w14:textId="5DED1436" w:rsidR="0063431D" w:rsidRPr="00A3051B" w:rsidRDefault="0063431D" w:rsidP="0063431D">
            <w:pPr>
              <w:spacing w:before="20" w:after="20"/>
              <w:jc w:val="right"/>
              <w:rPr>
                <w:color w:val="000000"/>
                <w:sz w:val="18"/>
                <w:szCs w:val="18"/>
              </w:rPr>
            </w:pPr>
            <w:r>
              <w:rPr>
                <w:color w:val="000000"/>
                <w:sz w:val="18"/>
              </w:rPr>
              <w:t>0</w:t>
            </w:r>
          </w:p>
        </w:tc>
        <w:tc>
          <w:tcPr>
            <w:tcW w:w="850" w:type="dxa"/>
            <w:tcBorders>
              <w:top w:val="single" w:sz="2" w:space="0" w:color="auto"/>
              <w:left w:val="single" w:sz="4" w:space="0" w:color="auto"/>
              <w:bottom w:val="single" w:sz="4" w:space="0" w:color="auto"/>
              <w:right w:val="single" w:sz="4" w:space="0" w:color="auto"/>
            </w:tcBorders>
            <w:vAlign w:val="center"/>
          </w:tcPr>
          <w:p w14:paraId="77FCEDA2" w14:textId="097FCD0E" w:rsidR="0063431D" w:rsidRPr="00A3051B" w:rsidRDefault="0063431D" w:rsidP="0063431D">
            <w:pPr>
              <w:spacing w:before="20" w:after="20"/>
              <w:jc w:val="right"/>
              <w:rPr>
                <w:color w:val="000000"/>
                <w:sz w:val="18"/>
                <w:szCs w:val="18"/>
              </w:rPr>
            </w:pPr>
            <w:r>
              <w:rPr>
                <w:color w:val="000000"/>
                <w:sz w:val="18"/>
              </w:rPr>
              <w:t>160 000</w:t>
            </w:r>
          </w:p>
        </w:tc>
        <w:tc>
          <w:tcPr>
            <w:tcW w:w="567" w:type="dxa"/>
            <w:tcBorders>
              <w:top w:val="single" w:sz="2" w:space="0" w:color="auto"/>
              <w:left w:val="single" w:sz="4" w:space="0" w:color="auto"/>
              <w:bottom w:val="single" w:sz="4" w:space="0" w:color="auto"/>
              <w:right w:val="single" w:sz="4" w:space="0" w:color="auto"/>
            </w:tcBorders>
            <w:vAlign w:val="center"/>
          </w:tcPr>
          <w:p w14:paraId="0652E857" w14:textId="065EA56D" w:rsidR="0063431D" w:rsidRPr="00A3051B" w:rsidRDefault="0063431D" w:rsidP="0063431D">
            <w:pPr>
              <w:spacing w:before="20" w:after="20"/>
              <w:jc w:val="right"/>
              <w:rPr>
                <w:color w:val="000000"/>
                <w:sz w:val="18"/>
                <w:szCs w:val="18"/>
              </w:rPr>
            </w:pPr>
            <w:r>
              <w:rPr>
                <w:color w:val="000000"/>
                <w:sz w:val="18"/>
              </w:rPr>
              <w:t>0</w:t>
            </w:r>
          </w:p>
        </w:tc>
        <w:tc>
          <w:tcPr>
            <w:tcW w:w="851" w:type="dxa"/>
            <w:tcBorders>
              <w:top w:val="single" w:sz="2" w:space="0" w:color="auto"/>
              <w:left w:val="single" w:sz="4" w:space="0" w:color="auto"/>
              <w:bottom w:val="single" w:sz="4" w:space="0" w:color="auto"/>
              <w:right w:val="single" w:sz="4" w:space="0" w:color="auto"/>
            </w:tcBorders>
            <w:vAlign w:val="center"/>
          </w:tcPr>
          <w:p w14:paraId="35A7FC64" w14:textId="7CDB1324" w:rsidR="0063431D" w:rsidRPr="00A3051B" w:rsidRDefault="0063431D" w:rsidP="0063431D">
            <w:pPr>
              <w:spacing w:before="20" w:after="20"/>
              <w:jc w:val="right"/>
              <w:rPr>
                <w:color w:val="000000"/>
                <w:sz w:val="18"/>
                <w:szCs w:val="18"/>
              </w:rPr>
            </w:pPr>
            <w:r>
              <w:rPr>
                <w:color w:val="000000"/>
                <w:sz w:val="18"/>
              </w:rPr>
              <w:t>0</w:t>
            </w:r>
          </w:p>
        </w:tc>
        <w:tc>
          <w:tcPr>
            <w:tcW w:w="805" w:type="dxa"/>
            <w:tcBorders>
              <w:top w:val="single" w:sz="2" w:space="0" w:color="auto"/>
              <w:left w:val="single" w:sz="4" w:space="0" w:color="auto"/>
              <w:bottom w:val="single" w:sz="4" w:space="0" w:color="auto"/>
              <w:right w:val="single" w:sz="4" w:space="0" w:color="auto"/>
            </w:tcBorders>
            <w:vAlign w:val="center"/>
          </w:tcPr>
          <w:p w14:paraId="088A574E" w14:textId="7B7A40BD" w:rsidR="0063431D" w:rsidRPr="00A3051B" w:rsidRDefault="0063431D" w:rsidP="0063431D">
            <w:pPr>
              <w:spacing w:before="20" w:after="20"/>
              <w:jc w:val="right"/>
              <w:rPr>
                <w:color w:val="000000"/>
                <w:sz w:val="18"/>
                <w:szCs w:val="18"/>
              </w:rPr>
            </w:pPr>
            <w:r>
              <w:rPr>
                <w:color w:val="000000"/>
                <w:sz w:val="18"/>
              </w:rPr>
              <w:t>185 000</w:t>
            </w:r>
          </w:p>
        </w:tc>
        <w:tc>
          <w:tcPr>
            <w:tcW w:w="615" w:type="dxa"/>
            <w:tcBorders>
              <w:top w:val="single" w:sz="2" w:space="0" w:color="auto"/>
              <w:left w:val="single" w:sz="4" w:space="0" w:color="auto"/>
              <w:bottom w:val="single" w:sz="4" w:space="0" w:color="auto"/>
              <w:right w:val="single" w:sz="4" w:space="0" w:color="auto"/>
            </w:tcBorders>
            <w:vAlign w:val="center"/>
          </w:tcPr>
          <w:p w14:paraId="746DC94A" w14:textId="1C128BD2" w:rsidR="0063431D" w:rsidRPr="00A3051B" w:rsidRDefault="0063431D" w:rsidP="0063431D">
            <w:pPr>
              <w:spacing w:before="20" w:after="20"/>
              <w:jc w:val="right"/>
              <w:rPr>
                <w:color w:val="000000"/>
                <w:sz w:val="18"/>
                <w:szCs w:val="18"/>
                <w:lang w:val="en-US" w:eastAsia="en-CA"/>
              </w:rPr>
            </w:pPr>
          </w:p>
        </w:tc>
        <w:tc>
          <w:tcPr>
            <w:tcW w:w="735" w:type="dxa"/>
            <w:tcBorders>
              <w:top w:val="single" w:sz="2" w:space="0" w:color="auto"/>
              <w:left w:val="single" w:sz="4" w:space="0" w:color="auto"/>
              <w:bottom w:val="single" w:sz="4" w:space="0" w:color="auto"/>
              <w:right w:val="single" w:sz="4" w:space="0" w:color="auto"/>
            </w:tcBorders>
            <w:vAlign w:val="center"/>
          </w:tcPr>
          <w:p w14:paraId="58B0E67F" w14:textId="269F477F" w:rsidR="0063431D" w:rsidRPr="00A3051B" w:rsidRDefault="0063431D" w:rsidP="00500865">
            <w:pPr>
              <w:spacing w:before="20" w:after="20"/>
              <w:rPr>
                <w:color w:val="000000"/>
                <w:sz w:val="18"/>
                <w:szCs w:val="18"/>
              </w:rPr>
            </w:pPr>
            <w:r>
              <w:rPr>
                <w:color w:val="000000"/>
                <w:sz w:val="18"/>
              </w:rPr>
              <w:t>115 000</w:t>
            </w:r>
          </w:p>
        </w:tc>
        <w:tc>
          <w:tcPr>
            <w:tcW w:w="963" w:type="dxa"/>
            <w:tcBorders>
              <w:top w:val="single" w:sz="2" w:space="0" w:color="auto"/>
              <w:left w:val="single" w:sz="4" w:space="0" w:color="auto"/>
              <w:bottom w:val="single" w:sz="4" w:space="0" w:color="auto"/>
              <w:right w:val="single" w:sz="4" w:space="0" w:color="auto"/>
            </w:tcBorders>
            <w:vAlign w:val="center"/>
          </w:tcPr>
          <w:p w14:paraId="3E44100C" w14:textId="217B1555" w:rsidR="0063431D" w:rsidRPr="00A3051B" w:rsidRDefault="0063431D" w:rsidP="0063431D">
            <w:pPr>
              <w:spacing w:before="20" w:after="20"/>
              <w:jc w:val="right"/>
              <w:rPr>
                <w:color w:val="000000"/>
                <w:sz w:val="18"/>
                <w:szCs w:val="18"/>
              </w:rPr>
            </w:pPr>
            <w:r>
              <w:rPr>
                <w:color w:val="000000"/>
                <w:sz w:val="18"/>
              </w:rPr>
              <w:t>600 000</w:t>
            </w:r>
          </w:p>
        </w:tc>
      </w:tr>
      <w:tr w:rsidR="0063431D" w:rsidRPr="00A3051B" w14:paraId="4D9C7DC1" w14:textId="77777777" w:rsidTr="00AF76BF">
        <w:trPr>
          <w:trHeight w:val="77"/>
          <w:jc w:val="center"/>
        </w:trPr>
        <w:tc>
          <w:tcPr>
            <w:tcW w:w="1435" w:type="dxa"/>
            <w:vMerge/>
            <w:tcBorders>
              <w:top w:val="single" w:sz="4" w:space="0" w:color="auto"/>
              <w:left w:val="single" w:sz="4" w:space="0" w:color="auto"/>
              <w:bottom w:val="single" w:sz="4" w:space="0" w:color="auto"/>
              <w:right w:val="single" w:sz="4" w:space="0" w:color="auto"/>
            </w:tcBorders>
            <w:vAlign w:val="center"/>
            <w:hideMark/>
          </w:tcPr>
          <w:p w14:paraId="2CCA510A" w14:textId="77777777" w:rsidR="0063431D" w:rsidRPr="00A3051B" w:rsidRDefault="0063431D" w:rsidP="0063431D">
            <w:pPr>
              <w:spacing w:before="20" w:after="20"/>
              <w:ind w:left="38"/>
              <w:jc w:val="left"/>
              <w:rPr>
                <w:sz w:val="18"/>
                <w:szCs w:val="18"/>
                <w:lang w:val="en-US"/>
              </w:rPr>
            </w:pPr>
          </w:p>
        </w:tc>
        <w:tc>
          <w:tcPr>
            <w:tcW w:w="972" w:type="dxa"/>
            <w:vMerge/>
            <w:tcBorders>
              <w:top w:val="single" w:sz="4" w:space="0" w:color="auto"/>
              <w:left w:val="single" w:sz="4" w:space="0" w:color="auto"/>
              <w:bottom w:val="single" w:sz="4" w:space="0" w:color="auto"/>
              <w:right w:val="single" w:sz="4" w:space="0" w:color="auto"/>
            </w:tcBorders>
            <w:vAlign w:val="center"/>
            <w:hideMark/>
          </w:tcPr>
          <w:p w14:paraId="6893C44C" w14:textId="77777777" w:rsidR="0063431D" w:rsidRPr="00A3051B" w:rsidRDefault="0063431D" w:rsidP="0063431D">
            <w:pPr>
              <w:spacing w:before="20" w:after="20"/>
              <w:ind w:left="38"/>
              <w:jc w:val="center"/>
              <w:rPr>
                <w:sz w:val="18"/>
                <w:szCs w:val="18"/>
                <w:lang w:val="en-US"/>
              </w:rPr>
            </w:pPr>
          </w:p>
        </w:tc>
        <w:tc>
          <w:tcPr>
            <w:tcW w:w="1418" w:type="dxa"/>
            <w:tcBorders>
              <w:top w:val="single" w:sz="4" w:space="0" w:color="auto"/>
              <w:left w:val="single" w:sz="4" w:space="0" w:color="auto"/>
              <w:bottom w:val="single" w:sz="4" w:space="0" w:color="auto"/>
              <w:right w:val="single" w:sz="4" w:space="0" w:color="auto"/>
            </w:tcBorders>
            <w:vAlign w:val="center"/>
            <w:hideMark/>
          </w:tcPr>
          <w:p w14:paraId="07DE8562" w14:textId="77777777" w:rsidR="0063431D" w:rsidRPr="00A3051B" w:rsidRDefault="0063431D" w:rsidP="0063431D">
            <w:pPr>
              <w:spacing w:before="20" w:after="20"/>
              <w:ind w:left="38"/>
              <w:jc w:val="left"/>
              <w:rPr>
                <w:sz w:val="18"/>
                <w:szCs w:val="18"/>
              </w:rPr>
            </w:pPr>
            <w:r>
              <w:rPr>
                <w:sz w:val="18"/>
              </w:rPr>
              <w:t>Coûts d’appui</w:t>
            </w:r>
          </w:p>
        </w:tc>
        <w:tc>
          <w:tcPr>
            <w:tcW w:w="850" w:type="dxa"/>
            <w:tcBorders>
              <w:top w:val="single" w:sz="4" w:space="0" w:color="auto"/>
              <w:left w:val="single" w:sz="4" w:space="0" w:color="auto"/>
              <w:bottom w:val="single" w:sz="4" w:space="0" w:color="auto"/>
              <w:right w:val="single" w:sz="4" w:space="0" w:color="auto"/>
            </w:tcBorders>
            <w:vAlign w:val="center"/>
          </w:tcPr>
          <w:p w14:paraId="7EAFB80C" w14:textId="45B01997" w:rsidR="0063431D" w:rsidRPr="00A3051B" w:rsidRDefault="0063431D" w:rsidP="0063431D">
            <w:pPr>
              <w:spacing w:before="20" w:after="20"/>
              <w:ind w:left="38"/>
              <w:jc w:val="right"/>
              <w:rPr>
                <w:color w:val="000000"/>
                <w:sz w:val="18"/>
                <w:szCs w:val="18"/>
              </w:rPr>
            </w:pPr>
            <w:r>
              <w:rPr>
                <w:color w:val="000000"/>
                <w:sz w:val="18"/>
              </w:rPr>
              <w:t>17 733</w:t>
            </w:r>
          </w:p>
        </w:tc>
        <w:tc>
          <w:tcPr>
            <w:tcW w:w="709" w:type="dxa"/>
            <w:tcBorders>
              <w:top w:val="single" w:sz="4" w:space="0" w:color="auto"/>
              <w:left w:val="single" w:sz="4" w:space="0" w:color="auto"/>
              <w:bottom w:val="single" w:sz="4" w:space="0" w:color="auto"/>
              <w:right w:val="single" w:sz="4" w:space="0" w:color="auto"/>
            </w:tcBorders>
            <w:vAlign w:val="center"/>
          </w:tcPr>
          <w:p w14:paraId="36348E16" w14:textId="6B2D360E" w:rsidR="0063431D" w:rsidRPr="00A3051B" w:rsidRDefault="0063431D" w:rsidP="0063431D">
            <w:pPr>
              <w:spacing w:before="20" w:after="20"/>
              <w:jc w:val="right"/>
              <w:rPr>
                <w:color w:val="000000"/>
                <w:sz w:val="18"/>
                <w:szCs w:val="18"/>
              </w:rPr>
            </w:pPr>
            <w:r>
              <w:rPr>
                <w:color w:val="000000"/>
                <w:sz w:val="18"/>
              </w:rPr>
              <w:t>0</w:t>
            </w:r>
          </w:p>
        </w:tc>
        <w:tc>
          <w:tcPr>
            <w:tcW w:w="850" w:type="dxa"/>
            <w:tcBorders>
              <w:top w:val="single" w:sz="4" w:space="0" w:color="auto"/>
              <w:left w:val="single" w:sz="4" w:space="0" w:color="auto"/>
              <w:bottom w:val="single" w:sz="4" w:space="0" w:color="auto"/>
              <w:right w:val="single" w:sz="4" w:space="0" w:color="auto"/>
            </w:tcBorders>
            <w:vAlign w:val="center"/>
          </w:tcPr>
          <w:p w14:paraId="260E75F5" w14:textId="06EA529A" w:rsidR="0063431D" w:rsidRPr="00A3051B" w:rsidRDefault="0063431D" w:rsidP="0063431D">
            <w:pPr>
              <w:spacing w:before="20" w:after="20"/>
              <w:jc w:val="right"/>
              <w:rPr>
                <w:color w:val="000000"/>
                <w:sz w:val="18"/>
                <w:szCs w:val="18"/>
              </w:rPr>
            </w:pPr>
            <w:r>
              <w:rPr>
                <w:color w:val="000000"/>
                <w:sz w:val="18"/>
              </w:rPr>
              <w:t>20 267</w:t>
            </w:r>
          </w:p>
        </w:tc>
        <w:tc>
          <w:tcPr>
            <w:tcW w:w="567" w:type="dxa"/>
            <w:tcBorders>
              <w:top w:val="single" w:sz="4" w:space="0" w:color="auto"/>
              <w:left w:val="single" w:sz="4" w:space="0" w:color="auto"/>
              <w:bottom w:val="single" w:sz="4" w:space="0" w:color="auto"/>
              <w:right w:val="single" w:sz="4" w:space="0" w:color="auto"/>
            </w:tcBorders>
            <w:vAlign w:val="center"/>
          </w:tcPr>
          <w:p w14:paraId="193BA0DC" w14:textId="2FA9F450" w:rsidR="0063431D" w:rsidRPr="00A3051B" w:rsidRDefault="0063431D" w:rsidP="0063431D">
            <w:pPr>
              <w:spacing w:before="20" w:after="20"/>
              <w:jc w:val="right"/>
              <w:rPr>
                <w:color w:val="000000"/>
                <w:sz w:val="18"/>
                <w:szCs w:val="18"/>
              </w:rPr>
            </w:pPr>
            <w:r>
              <w:rPr>
                <w:color w:val="000000"/>
                <w:sz w:val="18"/>
              </w:rPr>
              <w:t>0</w:t>
            </w:r>
          </w:p>
        </w:tc>
        <w:tc>
          <w:tcPr>
            <w:tcW w:w="851" w:type="dxa"/>
            <w:tcBorders>
              <w:top w:val="single" w:sz="4" w:space="0" w:color="auto"/>
              <w:left w:val="single" w:sz="4" w:space="0" w:color="auto"/>
              <w:bottom w:val="single" w:sz="4" w:space="0" w:color="auto"/>
              <w:right w:val="single" w:sz="4" w:space="0" w:color="auto"/>
            </w:tcBorders>
            <w:vAlign w:val="center"/>
          </w:tcPr>
          <w:p w14:paraId="1F96DA9C" w14:textId="0E8AC631" w:rsidR="0063431D" w:rsidRPr="00A3051B" w:rsidRDefault="0063431D" w:rsidP="0063431D">
            <w:pPr>
              <w:spacing w:before="20" w:after="20"/>
              <w:jc w:val="right"/>
              <w:rPr>
                <w:color w:val="000000"/>
                <w:sz w:val="18"/>
                <w:szCs w:val="18"/>
              </w:rPr>
            </w:pPr>
            <w:r>
              <w:rPr>
                <w:color w:val="000000"/>
                <w:sz w:val="18"/>
              </w:rPr>
              <w:t>0</w:t>
            </w:r>
          </w:p>
        </w:tc>
        <w:tc>
          <w:tcPr>
            <w:tcW w:w="805" w:type="dxa"/>
            <w:tcBorders>
              <w:top w:val="single" w:sz="4" w:space="0" w:color="auto"/>
              <w:left w:val="single" w:sz="4" w:space="0" w:color="auto"/>
              <w:bottom w:val="single" w:sz="4" w:space="0" w:color="auto"/>
              <w:right w:val="single" w:sz="4" w:space="0" w:color="auto"/>
            </w:tcBorders>
            <w:vAlign w:val="center"/>
          </w:tcPr>
          <w:p w14:paraId="794D5F78" w14:textId="7CE2038A" w:rsidR="0063431D" w:rsidRPr="00A3051B" w:rsidRDefault="0063431D" w:rsidP="0063431D">
            <w:pPr>
              <w:spacing w:before="20" w:after="20"/>
              <w:jc w:val="right"/>
              <w:rPr>
                <w:color w:val="000000"/>
                <w:sz w:val="18"/>
                <w:szCs w:val="18"/>
              </w:rPr>
            </w:pPr>
            <w:r>
              <w:rPr>
                <w:color w:val="000000"/>
                <w:sz w:val="18"/>
              </w:rPr>
              <w:t>23 433</w:t>
            </w:r>
          </w:p>
        </w:tc>
        <w:tc>
          <w:tcPr>
            <w:tcW w:w="615" w:type="dxa"/>
            <w:tcBorders>
              <w:top w:val="single" w:sz="4" w:space="0" w:color="auto"/>
              <w:left w:val="single" w:sz="4" w:space="0" w:color="auto"/>
              <w:bottom w:val="single" w:sz="4" w:space="0" w:color="auto"/>
              <w:right w:val="single" w:sz="4" w:space="0" w:color="auto"/>
            </w:tcBorders>
            <w:vAlign w:val="center"/>
          </w:tcPr>
          <w:p w14:paraId="082E4311" w14:textId="05AEB8C0" w:rsidR="0063431D" w:rsidRPr="00A3051B" w:rsidRDefault="0063431D" w:rsidP="0063431D">
            <w:pPr>
              <w:spacing w:before="20" w:after="20"/>
              <w:jc w:val="right"/>
              <w:rPr>
                <w:color w:val="000000"/>
                <w:sz w:val="18"/>
                <w:szCs w:val="18"/>
                <w:lang w:val="en-US" w:eastAsia="en-CA"/>
              </w:rPr>
            </w:pPr>
          </w:p>
        </w:tc>
        <w:tc>
          <w:tcPr>
            <w:tcW w:w="735" w:type="dxa"/>
            <w:tcBorders>
              <w:top w:val="single" w:sz="4" w:space="0" w:color="auto"/>
              <w:left w:val="single" w:sz="4" w:space="0" w:color="auto"/>
              <w:bottom w:val="single" w:sz="4" w:space="0" w:color="auto"/>
              <w:right w:val="single" w:sz="4" w:space="0" w:color="auto"/>
            </w:tcBorders>
            <w:vAlign w:val="center"/>
          </w:tcPr>
          <w:p w14:paraId="0F038AE6" w14:textId="1CB36197" w:rsidR="0063431D" w:rsidRPr="00A3051B" w:rsidRDefault="0063431D" w:rsidP="0063431D">
            <w:pPr>
              <w:spacing w:before="20" w:after="20"/>
              <w:jc w:val="right"/>
              <w:rPr>
                <w:color w:val="000000"/>
                <w:sz w:val="18"/>
                <w:szCs w:val="18"/>
              </w:rPr>
            </w:pPr>
            <w:r>
              <w:rPr>
                <w:color w:val="000000"/>
                <w:sz w:val="18"/>
              </w:rPr>
              <w:t>14 567</w:t>
            </w:r>
          </w:p>
        </w:tc>
        <w:tc>
          <w:tcPr>
            <w:tcW w:w="963" w:type="dxa"/>
            <w:tcBorders>
              <w:top w:val="single" w:sz="4" w:space="0" w:color="auto"/>
              <w:left w:val="single" w:sz="4" w:space="0" w:color="auto"/>
              <w:bottom w:val="single" w:sz="4" w:space="0" w:color="auto"/>
              <w:right w:val="single" w:sz="4" w:space="0" w:color="auto"/>
            </w:tcBorders>
            <w:vAlign w:val="center"/>
          </w:tcPr>
          <w:p w14:paraId="285485C4" w14:textId="5106CB14" w:rsidR="0063431D" w:rsidRPr="00A3051B" w:rsidRDefault="0063431D" w:rsidP="0063431D">
            <w:pPr>
              <w:spacing w:before="20" w:after="20"/>
              <w:jc w:val="right"/>
              <w:rPr>
                <w:color w:val="000000"/>
                <w:sz w:val="18"/>
                <w:szCs w:val="18"/>
              </w:rPr>
            </w:pPr>
            <w:r>
              <w:rPr>
                <w:color w:val="000000"/>
                <w:sz w:val="18"/>
              </w:rPr>
              <w:t>76 000</w:t>
            </w:r>
          </w:p>
        </w:tc>
      </w:tr>
      <w:tr w:rsidR="0063431D" w:rsidRPr="00A3051B" w14:paraId="7F835556" w14:textId="77777777" w:rsidTr="00AF76BF">
        <w:trPr>
          <w:trHeight w:val="50"/>
          <w:jc w:val="center"/>
        </w:trPr>
        <w:tc>
          <w:tcPr>
            <w:tcW w:w="1435" w:type="dxa"/>
            <w:vMerge/>
            <w:tcBorders>
              <w:top w:val="single" w:sz="4" w:space="0" w:color="auto"/>
              <w:left w:val="single" w:sz="4" w:space="0" w:color="auto"/>
              <w:bottom w:val="single" w:sz="4" w:space="0" w:color="auto"/>
              <w:right w:val="single" w:sz="4" w:space="0" w:color="auto"/>
            </w:tcBorders>
            <w:vAlign w:val="center"/>
            <w:hideMark/>
          </w:tcPr>
          <w:p w14:paraId="07912EE2" w14:textId="77777777" w:rsidR="0063431D" w:rsidRPr="00A3051B" w:rsidRDefault="0063431D" w:rsidP="0063431D">
            <w:pPr>
              <w:spacing w:before="20" w:after="20"/>
              <w:ind w:left="38"/>
              <w:jc w:val="left"/>
              <w:rPr>
                <w:sz w:val="18"/>
                <w:szCs w:val="18"/>
                <w:lang w:val="en-US"/>
              </w:rPr>
            </w:pPr>
          </w:p>
        </w:tc>
        <w:tc>
          <w:tcPr>
            <w:tcW w:w="972" w:type="dxa"/>
            <w:vMerge w:val="restart"/>
            <w:tcBorders>
              <w:top w:val="single" w:sz="4" w:space="0" w:color="auto"/>
              <w:left w:val="single" w:sz="4" w:space="0" w:color="auto"/>
              <w:bottom w:val="single" w:sz="4" w:space="0" w:color="auto"/>
              <w:right w:val="single" w:sz="4" w:space="0" w:color="auto"/>
            </w:tcBorders>
            <w:vAlign w:val="center"/>
            <w:hideMark/>
          </w:tcPr>
          <w:p w14:paraId="67C03871" w14:textId="4F2A3F10" w:rsidR="0063431D" w:rsidRPr="00A3051B" w:rsidRDefault="0063431D" w:rsidP="0063431D">
            <w:pPr>
              <w:spacing w:before="20" w:after="20"/>
              <w:ind w:left="38"/>
              <w:jc w:val="center"/>
              <w:rPr>
                <w:caps/>
                <w:sz w:val="18"/>
                <w:szCs w:val="18"/>
              </w:rPr>
            </w:pPr>
            <w:r>
              <w:rPr>
                <w:color w:val="000000" w:themeColor="text1"/>
                <w:sz w:val="18"/>
              </w:rPr>
              <w:t>PNUD</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442248F" w14:textId="77777777" w:rsidR="0063431D" w:rsidRPr="00A3051B" w:rsidRDefault="0063431D" w:rsidP="0063431D">
            <w:pPr>
              <w:spacing w:before="20" w:after="20"/>
              <w:ind w:left="38"/>
              <w:jc w:val="left"/>
              <w:rPr>
                <w:sz w:val="18"/>
                <w:szCs w:val="18"/>
              </w:rPr>
            </w:pPr>
            <w:r>
              <w:rPr>
                <w:sz w:val="18"/>
              </w:rPr>
              <w:t>Coûts du projet</w:t>
            </w:r>
          </w:p>
        </w:tc>
        <w:tc>
          <w:tcPr>
            <w:tcW w:w="850" w:type="dxa"/>
            <w:tcBorders>
              <w:top w:val="single" w:sz="4" w:space="0" w:color="auto"/>
              <w:left w:val="single" w:sz="4" w:space="0" w:color="auto"/>
              <w:bottom w:val="single" w:sz="4" w:space="0" w:color="auto"/>
              <w:right w:val="single" w:sz="4" w:space="0" w:color="auto"/>
            </w:tcBorders>
            <w:vAlign w:val="center"/>
          </w:tcPr>
          <w:p w14:paraId="0881762B" w14:textId="472080EC" w:rsidR="0063431D" w:rsidRPr="00A3051B" w:rsidRDefault="0063431D" w:rsidP="0063431D">
            <w:pPr>
              <w:spacing w:before="20" w:after="20"/>
              <w:ind w:left="38"/>
              <w:jc w:val="right"/>
              <w:rPr>
                <w:color w:val="000000"/>
                <w:sz w:val="18"/>
                <w:szCs w:val="18"/>
              </w:rPr>
            </w:pPr>
            <w:r>
              <w:rPr>
                <w:color w:val="000000"/>
                <w:sz w:val="18"/>
              </w:rPr>
              <w:t>218 000</w:t>
            </w:r>
          </w:p>
        </w:tc>
        <w:tc>
          <w:tcPr>
            <w:tcW w:w="709" w:type="dxa"/>
            <w:tcBorders>
              <w:top w:val="single" w:sz="4" w:space="0" w:color="auto"/>
              <w:left w:val="single" w:sz="4" w:space="0" w:color="auto"/>
              <w:bottom w:val="single" w:sz="4" w:space="0" w:color="auto"/>
              <w:right w:val="single" w:sz="4" w:space="0" w:color="auto"/>
            </w:tcBorders>
            <w:vAlign w:val="center"/>
          </w:tcPr>
          <w:p w14:paraId="699EF888" w14:textId="407F9A24" w:rsidR="0063431D" w:rsidRPr="00A3051B" w:rsidRDefault="0063431D" w:rsidP="0063431D">
            <w:pPr>
              <w:spacing w:before="20" w:after="20"/>
              <w:jc w:val="right"/>
              <w:rPr>
                <w:color w:val="000000"/>
                <w:sz w:val="18"/>
                <w:szCs w:val="18"/>
              </w:rPr>
            </w:pPr>
            <w:r>
              <w:rPr>
                <w:color w:val="000000"/>
                <w:sz w:val="18"/>
              </w:rPr>
              <w:t>0</w:t>
            </w:r>
          </w:p>
        </w:tc>
        <w:tc>
          <w:tcPr>
            <w:tcW w:w="850" w:type="dxa"/>
            <w:tcBorders>
              <w:top w:val="single" w:sz="4" w:space="0" w:color="auto"/>
              <w:left w:val="single" w:sz="4" w:space="0" w:color="auto"/>
              <w:bottom w:val="single" w:sz="4" w:space="0" w:color="auto"/>
              <w:right w:val="single" w:sz="4" w:space="0" w:color="auto"/>
            </w:tcBorders>
            <w:vAlign w:val="center"/>
          </w:tcPr>
          <w:p w14:paraId="48820FEF" w14:textId="666FA07B" w:rsidR="0063431D" w:rsidRPr="00A3051B" w:rsidRDefault="0063431D" w:rsidP="0063431D">
            <w:pPr>
              <w:spacing w:before="20" w:after="20"/>
              <w:jc w:val="right"/>
              <w:rPr>
                <w:color w:val="000000"/>
                <w:sz w:val="18"/>
                <w:szCs w:val="18"/>
              </w:rPr>
            </w:pPr>
            <w:r>
              <w:rPr>
                <w:color w:val="000000"/>
                <w:sz w:val="18"/>
              </w:rPr>
              <w:t>210 500</w:t>
            </w:r>
          </w:p>
        </w:tc>
        <w:tc>
          <w:tcPr>
            <w:tcW w:w="567" w:type="dxa"/>
            <w:tcBorders>
              <w:top w:val="single" w:sz="4" w:space="0" w:color="auto"/>
              <w:left w:val="single" w:sz="4" w:space="0" w:color="auto"/>
              <w:bottom w:val="single" w:sz="4" w:space="0" w:color="auto"/>
              <w:right w:val="single" w:sz="4" w:space="0" w:color="auto"/>
            </w:tcBorders>
            <w:vAlign w:val="center"/>
          </w:tcPr>
          <w:p w14:paraId="12B159FE" w14:textId="2B326CBB" w:rsidR="0063431D" w:rsidRPr="00A3051B" w:rsidRDefault="0063431D" w:rsidP="0063431D">
            <w:pPr>
              <w:spacing w:before="20" w:after="20"/>
              <w:jc w:val="right"/>
              <w:rPr>
                <w:color w:val="000000"/>
                <w:sz w:val="18"/>
                <w:szCs w:val="18"/>
              </w:rPr>
            </w:pPr>
            <w:r>
              <w:rPr>
                <w:color w:val="000000"/>
                <w:sz w:val="18"/>
              </w:rPr>
              <w:t>0</w:t>
            </w:r>
          </w:p>
        </w:tc>
        <w:tc>
          <w:tcPr>
            <w:tcW w:w="851" w:type="dxa"/>
            <w:tcBorders>
              <w:top w:val="single" w:sz="4" w:space="0" w:color="auto"/>
              <w:left w:val="single" w:sz="4" w:space="0" w:color="auto"/>
              <w:bottom w:val="single" w:sz="4" w:space="0" w:color="auto"/>
              <w:right w:val="single" w:sz="4" w:space="0" w:color="auto"/>
            </w:tcBorders>
            <w:vAlign w:val="center"/>
          </w:tcPr>
          <w:p w14:paraId="38D61DEC" w14:textId="1AF25BB8" w:rsidR="0063431D" w:rsidRPr="00A3051B" w:rsidRDefault="0063431D" w:rsidP="0063431D">
            <w:pPr>
              <w:spacing w:before="20" w:after="20"/>
              <w:jc w:val="right"/>
              <w:rPr>
                <w:color w:val="000000"/>
                <w:sz w:val="18"/>
                <w:szCs w:val="18"/>
              </w:rPr>
            </w:pPr>
            <w:r>
              <w:rPr>
                <w:color w:val="000000"/>
                <w:sz w:val="18"/>
              </w:rPr>
              <w:t>0</w:t>
            </w:r>
          </w:p>
        </w:tc>
        <w:tc>
          <w:tcPr>
            <w:tcW w:w="805" w:type="dxa"/>
            <w:tcBorders>
              <w:top w:val="single" w:sz="4" w:space="0" w:color="auto"/>
              <w:left w:val="single" w:sz="4" w:space="0" w:color="auto"/>
              <w:bottom w:val="single" w:sz="4" w:space="0" w:color="auto"/>
              <w:right w:val="single" w:sz="4" w:space="0" w:color="auto"/>
            </w:tcBorders>
            <w:vAlign w:val="center"/>
          </w:tcPr>
          <w:p w14:paraId="0946A681" w14:textId="5EB55DA3" w:rsidR="0063431D" w:rsidRPr="00A3051B" w:rsidRDefault="0063431D" w:rsidP="0063431D">
            <w:pPr>
              <w:spacing w:before="20" w:after="20"/>
              <w:jc w:val="right"/>
              <w:rPr>
                <w:color w:val="000000"/>
                <w:sz w:val="18"/>
                <w:szCs w:val="18"/>
              </w:rPr>
            </w:pPr>
            <w:r>
              <w:rPr>
                <w:color w:val="000000"/>
                <w:sz w:val="18"/>
              </w:rPr>
              <w:t>96 500</w:t>
            </w:r>
          </w:p>
        </w:tc>
        <w:tc>
          <w:tcPr>
            <w:tcW w:w="615" w:type="dxa"/>
            <w:tcBorders>
              <w:top w:val="single" w:sz="4" w:space="0" w:color="auto"/>
              <w:left w:val="single" w:sz="4" w:space="0" w:color="auto"/>
              <w:bottom w:val="single" w:sz="4" w:space="0" w:color="auto"/>
              <w:right w:val="single" w:sz="4" w:space="0" w:color="auto"/>
            </w:tcBorders>
            <w:vAlign w:val="center"/>
          </w:tcPr>
          <w:p w14:paraId="64C97F12" w14:textId="6ED60E1A" w:rsidR="0063431D" w:rsidRPr="00A3051B" w:rsidRDefault="0063431D" w:rsidP="0063431D">
            <w:pPr>
              <w:spacing w:before="20" w:after="20"/>
              <w:jc w:val="right"/>
              <w:rPr>
                <w:color w:val="000000"/>
                <w:sz w:val="18"/>
                <w:szCs w:val="18"/>
                <w:lang w:val="en-US" w:eastAsia="en-CA"/>
              </w:rPr>
            </w:pPr>
          </w:p>
        </w:tc>
        <w:tc>
          <w:tcPr>
            <w:tcW w:w="735" w:type="dxa"/>
            <w:tcBorders>
              <w:top w:val="single" w:sz="4" w:space="0" w:color="auto"/>
              <w:left w:val="single" w:sz="4" w:space="0" w:color="auto"/>
              <w:bottom w:val="single" w:sz="4" w:space="0" w:color="auto"/>
              <w:right w:val="single" w:sz="4" w:space="0" w:color="auto"/>
            </w:tcBorders>
            <w:vAlign w:val="center"/>
          </w:tcPr>
          <w:p w14:paraId="3941D912" w14:textId="5C67C4A9" w:rsidR="0063431D" w:rsidRPr="00A3051B" w:rsidRDefault="0063431D" w:rsidP="0063431D">
            <w:pPr>
              <w:spacing w:before="20" w:after="20"/>
              <w:jc w:val="right"/>
              <w:rPr>
                <w:color w:val="000000"/>
                <w:sz w:val="18"/>
                <w:szCs w:val="18"/>
              </w:rPr>
            </w:pPr>
            <w:r>
              <w:rPr>
                <w:color w:val="000000"/>
                <w:sz w:val="18"/>
              </w:rPr>
              <w:t>0</w:t>
            </w:r>
          </w:p>
        </w:tc>
        <w:tc>
          <w:tcPr>
            <w:tcW w:w="963" w:type="dxa"/>
            <w:tcBorders>
              <w:top w:val="single" w:sz="4" w:space="0" w:color="auto"/>
              <w:left w:val="single" w:sz="4" w:space="0" w:color="auto"/>
              <w:bottom w:val="single" w:sz="4" w:space="0" w:color="auto"/>
              <w:right w:val="single" w:sz="4" w:space="0" w:color="auto"/>
            </w:tcBorders>
            <w:vAlign w:val="center"/>
          </w:tcPr>
          <w:p w14:paraId="766E4614" w14:textId="7D24AB3F" w:rsidR="0063431D" w:rsidRPr="00A3051B" w:rsidRDefault="0063431D" w:rsidP="0063431D">
            <w:pPr>
              <w:spacing w:before="20" w:after="20"/>
              <w:jc w:val="right"/>
              <w:rPr>
                <w:color w:val="000000"/>
                <w:sz w:val="18"/>
                <w:szCs w:val="18"/>
              </w:rPr>
            </w:pPr>
            <w:r>
              <w:rPr>
                <w:color w:val="000000"/>
                <w:sz w:val="18"/>
              </w:rPr>
              <w:t>525 000</w:t>
            </w:r>
          </w:p>
        </w:tc>
      </w:tr>
      <w:tr w:rsidR="0063431D" w:rsidRPr="00A3051B" w14:paraId="6A668446" w14:textId="77777777" w:rsidTr="00AF76BF">
        <w:trPr>
          <w:trHeight w:val="50"/>
          <w:jc w:val="center"/>
        </w:trPr>
        <w:tc>
          <w:tcPr>
            <w:tcW w:w="1435" w:type="dxa"/>
            <w:vMerge/>
            <w:tcBorders>
              <w:top w:val="single" w:sz="4" w:space="0" w:color="auto"/>
              <w:left w:val="single" w:sz="4" w:space="0" w:color="auto"/>
              <w:bottom w:val="single" w:sz="4" w:space="0" w:color="auto"/>
              <w:right w:val="single" w:sz="4" w:space="0" w:color="auto"/>
            </w:tcBorders>
            <w:vAlign w:val="center"/>
            <w:hideMark/>
          </w:tcPr>
          <w:p w14:paraId="6C6DCFFB" w14:textId="77777777" w:rsidR="0063431D" w:rsidRPr="00A3051B" w:rsidRDefault="0063431D" w:rsidP="0063431D">
            <w:pPr>
              <w:spacing w:before="20" w:after="20"/>
              <w:ind w:left="38"/>
              <w:jc w:val="left"/>
              <w:rPr>
                <w:sz w:val="18"/>
                <w:szCs w:val="18"/>
                <w:lang w:val="en-US"/>
              </w:rPr>
            </w:pPr>
          </w:p>
        </w:tc>
        <w:tc>
          <w:tcPr>
            <w:tcW w:w="972" w:type="dxa"/>
            <w:vMerge/>
            <w:tcBorders>
              <w:top w:val="single" w:sz="4" w:space="0" w:color="auto"/>
              <w:left w:val="single" w:sz="4" w:space="0" w:color="auto"/>
              <w:bottom w:val="single" w:sz="4" w:space="0" w:color="auto"/>
              <w:right w:val="single" w:sz="4" w:space="0" w:color="auto"/>
            </w:tcBorders>
            <w:vAlign w:val="center"/>
            <w:hideMark/>
          </w:tcPr>
          <w:p w14:paraId="4BD0C73F" w14:textId="77777777" w:rsidR="0063431D" w:rsidRPr="00A3051B" w:rsidRDefault="0063431D" w:rsidP="0063431D">
            <w:pPr>
              <w:spacing w:before="20" w:after="20"/>
              <w:ind w:left="38"/>
              <w:jc w:val="left"/>
              <w:rPr>
                <w:sz w:val="18"/>
                <w:szCs w:val="18"/>
                <w:lang w:val="en-US"/>
              </w:rPr>
            </w:pPr>
          </w:p>
        </w:tc>
        <w:tc>
          <w:tcPr>
            <w:tcW w:w="1418" w:type="dxa"/>
            <w:tcBorders>
              <w:top w:val="single" w:sz="4" w:space="0" w:color="auto"/>
              <w:left w:val="single" w:sz="4" w:space="0" w:color="auto"/>
              <w:bottom w:val="single" w:sz="4" w:space="0" w:color="auto"/>
              <w:right w:val="single" w:sz="4" w:space="0" w:color="auto"/>
            </w:tcBorders>
            <w:vAlign w:val="center"/>
            <w:hideMark/>
          </w:tcPr>
          <w:p w14:paraId="2378877E" w14:textId="77777777" w:rsidR="0063431D" w:rsidRPr="00A3051B" w:rsidRDefault="0063431D" w:rsidP="0063431D">
            <w:pPr>
              <w:spacing w:before="20" w:after="20"/>
              <w:ind w:left="38"/>
              <w:jc w:val="left"/>
              <w:rPr>
                <w:sz w:val="18"/>
                <w:szCs w:val="18"/>
              </w:rPr>
            </w:pPr>
            <w:r>
              <w:rPr>
                <w:sz w:val="18"/>
              </w:rPr>
              <w:t>Coûts d’appui</w:t>
            </w:r>
          </w:p>
        </w:tc>
        <w:tc>
          <w:tcPr>
            <w:tcW w:w="850" w:type="dxa"/>
            <w:tcBorders>
              <w:top w:val="single" w:sz="4" w:space="0" w:color="auto"/>
              <w:left w:val="single" w:sz="4" w:space="0" w:color="auto"/>
              <w:bottom w:val="single" w:sz="4" w:space="0" w:color="auto"/>
              <w:right w:val="single" w:sz="4" w:space="0" w:color="auto"/>
            </w:tcBorders>
            <w:vAlign w:val="center"/>
          </w:tcPr>
          <w:p w14:paraId="61F2AAD0" w14:textId="31FB82DD" w:rsidR="0063431D" w:rsidRPr="00A3051B" w:rsidRDefault="0063431D" w:rsidP="0063431D">
            <w:pPr>
              <w:spacing w:before="20" w:after="20"/>
              <w:ind w:left="38"/>
              <w:jc w:val="right"/>
              <w:rPr>
                <w:color w:val="000000"/>
                <w:sz w:val="18"/>
                <w:szCs w:val="18"/>
              </w:rPr>
            </w:pPr>
            <w:r>
              <w:rPr>
                <w:color w:val="000000"/>
                <w:sz w:val="18"/>
              </w:rPr>
              <w:t>15 260</w:t>
            </w:r>
          </w:p>
        </w:tc>
        <w:tc>
          <w:tcPr>
            <w:tcW w:w="709" w:type="dxa"/>
            <w:tcBorders>
              <w:top w:val="single" w:sz="4" w:space="0" w:color="auto"/>
              <w:left w:val="single" w:sz="4" w:space="0" w:color="auto"/>
              <w:bottom w:val="single" w:sz="4" w:space="0" w:color="auto"/>
              <w:right w:val="single" w:sz="4" w:space="0" w:color="auto"/>
            </w:tcBorders>
            <w:vAlign w:val="center"/>
          </w:tcPr>
          <w:p w14:paraId="358FD6B0" w14:textId="7A493602" w:rsidR="0063431D" w:rsidRPr="00A3051B" w:rsidRDefault="0063431D" w:rsidP="0063431D">
            <w:pPr>
              <w:spacing w:before="20" w:after="20"/>
              <w:jc w:val="right"/>
              <w:rPr>
                <w:color w:val="000000"/>
                <w:sz w:val="18"/>
                <w:szCs w:val="18"/>
              </w:rPr>
            </w:pPr>
            <w:r>
              <w:rPr>
                <w:color w:val="000000"/>
                <w:sz w:val="18"/>
              </w:rPr>
              <w:t>0</w:t>
            </w:r>
          </w:p>
        </w:tc>
        <w:tc>
          <w:tcPr>
            <w:tcW w:w="850" w:type="dxa"/>
            <w:tcBorders>
              <w:top w:val="single" w:sz="4" w:space="0" w:color="auto"/>
              <w:left w:val="single" w:sz="4" w:space="0" w:color="auto"/>
              <w:bottom w:val="single" w:sz="4" w:space="0" w:color="auto"/>
              <w:right w:val="single" w:sz="4" w:space="0" w:color="auto"/>
            </w:tcBorders>
            <w:vAlign w:val="center"/>
          </w:tcPr>
          <w:p w14:paraId="0034B90D" w14:textId="636C73E9" w:rsidR="0063431D" w:rsidRPr="00A3051B" w:rsidRDefault="0063431D" w:rsidP="0063431D">
            <w:pPr>
              <w:spacing w:before="20" w:after="20"/>
              <w:jc w:val="right"/>
              <w:rPr>
                <w:color w:val="000000"/>
                <w:sz w:val="18"/>
                <w:szCs w:val="18"/>
              </w:rPr>
            </w:pPr>
            <w:r>
              <w:rPr>
                <w:color w:val="000000"/>
                <w:sz w:val="18"/>
              </w:rPr>
              <w:t>14 735</w:t>
            </w:r>
          </w:p>
        </w:tc>
        <w:tc>
          <w:tcPr>
            <w:tcW w:w="567" w:type="dxa"/>
            <w:tcBorders>
              <w:top w:val="single" w:sz="4" w:space="0" w:color="auto"/>
              <w:left w:val="single" w:sz="4" w:space="0" w:color="auto"/>
              <w:bottom w:val="single" w:sz="4" w:space="0" w:color="auto"/>
              <w:right w:val="single" w:sz="4" w:space="0" w:color="auto"/>
            </w:tcBorders>
            <w:vAlign w:val="center"/>
          </w:tcPr>
          <w:p w14:paraId="6A2BF1B5" w14:textId="0982F66F" w:rsidR="0063431D" w:rsidRPr="00A3051B" w:rsidRDefault="0063431D" w:rsidP="0063431D">
            <w:pPr>
              <w:spacing w:before="20" w:after="20"/>
              <w:jc w:val="right"/>
              <w:rPr>
                <w:color w:val="000000"/>
                <w:sz w:val="18"/>
                <w:szCs w:val="18"/>
              </w:rPr>
            </w:pPr>
            <w:r>
              <w:rPr>
                <w:color w:val="000000"/>
                <w:sz w:val="18"/>
              </w:rPr>
              <w:t>0</w:t>
            </w:r>
          </w:p>
        </w:tc>
        <w:tc>
          <w:tcPr>
            <w:tcW w:w="851" w:type="dxa"/>
            <w:tcBorders>
              <w:top w:val="single" w:sz="4" w:space="0" w:color="auto"/>
              <w:left w:val="single" w:sz="4" w:space="0" w:color="auto"/>
              <w:bottom w:val="single" w:sz="4" w:space="0" w:color="auto"/>
              <w:right w:val="single" w:sz="4" w:space="0" w:color="auto"/>
            </w:tcBorders>
            <w:vAlign w:val="center"/>
          </w:tcPr>
          <w:p w14:paraId="32E48971" w14:textId="24E7FE1F" w:rsidR="0063431D" w:rsidRPr="00A3051B" w:rsidRDefault="0063431D" w:rsidP="0063431D">
            <w:pPr>
              <w:spacing w:before="20" w:after="20"/>
              <w:jc w:val="right"/>
              <w:rPr>
                <w:color w:val="000000"/>
                <w:sz w:val="18"/>
                <w:szCs w:val="18"/>
              </w:rPr>
            </w:pPr>
            <w:r>
              <w:rPr>
                <w:color w:val="000000"/>
                <w:sz w:val="18"/>
              </w:rPr>
              <w:t>0</w:t>
            </w:r>
          </w:p>
        </w:tc>
        <w:tc>
          <w:tcPr>
            <w:tcW w:w="805" w:type="dxa"/>
            <w:tcBorders>
              <w:top w:val="single" w:sz="4" w:space="0" w:color="auto"/>
              <w:left w:val="single" w:sz="4" w:space="0" w:color="auto"/>
              <w:bottom w:val="single" w:sz="4" w:space="0" w:color="auto"/>
              <w:right w:val="single" w:sz="4" w:space="0" w:color="auto"/>
            </w:tcBorders>
            <w:vAlign w:val="center"/>
          </w:tcPr>
          <w:p w14:paraId="047981FB" w14:textId="730CBCB5" w:rsidR="0063431D" w:rsidRPr="00A3051B" w:rsidRDefault="0063431D" w:rsidP="0063431D">
            <w:pPr>
              <w:spacing w:before="20" w:after="20"/>
              <w:jc w:val="right"/>
              <w:rPr>
                <w:color w:val="000000"/>
                <w:sz w:val="18"/>
                <w:szCs w:val="18"/>
              </w:rPr>
            </w:pPr>
            <w:r>
              <w:rPr>
                <w:color w:val="000000"/>
                <w:sz w:val="18"/>
              </w:rPr>
              <w:t>6 755</w:t>
            </w:r>
          </w:p>
        </w:tc>
        <w:tc>
          <w:tcPr>
            <w:tcW w:w="615" w:type="dxa"/>
            <w:tcBorders>
              <w:top w:val="single" w:sz="4" w:space="0" w:color="auto"/>
              <w:left w:val="single" w:sz="4" w:space="0" w:color="auto"/>
              <w:bottom w:val="single" w:sz="4" w:space="0" w:color="auto"/>
              <w:right w:val="single" w:sz="4" w:space="0" w:color="auto"/>
            </w:tcBorders>
            <w:vAlign w:val="center"/>
          </w:tcPr>
          <w:p w14:paraId="0E7AC818" w14:textId="4AB0569A" w:rsidR="0063431D" w:rsidRPr="00A3051B" w:rsidRDefault="0063431D" w:rsidP="0063431D">
            <w:pPr>
              <w:spacing w:before="20" w:after="20"/>
              <w:jc w:val="right"/>
              <w:rPr>
                <w:color w:val="000000"/>
                <w:sz w:val="18"/>
                <w:szCs w:val="18"/>
                <w:lang w:val="en-US" w:eastAsia="en-CA"/>
              </w:rPr>
            </w:pPr>
          </w:p>
        </w:tc>
        <w:tc>
          <w:tcPr>
            <w:tcW w:w="735" w:type="dxa"/>
            <w:tcBorders>
              <w:top w:val="single" w:sz="4" w:space="0" w:color="auto"/>
              <w:left w:val="single" w:sz="4" w:space="0" w:color="auto"/>
              <w:bottom w:val="single" w:sz="4" w:space="0" w:color="auto"/>
              <w:right w:val="single" w:sz="4" w:space="0" w:color="auto"/>
            </w:tcBorders>
            <w:vAlign w:val="center"/>
          </w:tcPr>
          <w:p w14:paraId="3BF91499" w14:textId="13F06FD9" w:rsidR="0063431D" w:rsidRPr="00A3051B" w:rsidRDefault="0063431D" w:rsidP="0063431D">
            <w:pPr>
              <w:spacing w:before="20" w:after="20"/>
              <w:jc w:val="right"/>
              <w:rPr>
                <w:color w:val="000000"/>
                <w:sz w:val="18"/>
                <w:szCs w:val="18"/>
              </w:rPr>
            </w:pPr>
            <w:r>
              <w:rPr>
                <w:color w:val="000000"/>
                <w:sz w:val="18"/>
              </w:rPr>
              <w:t>0</w:t>
            </w:r>
          </w:p>
        </w:tc>
        <w:tc>
          <w:tcPr>
            <w:tcW w:w="963" w:type="dxa"/>
            <w:tcBorders>
              <w:top w:val="single" w:sz="4" w:space="0" w:color="auto"/>
              <w:left w:val="single" w:sz="4" w:space="0" w:color="auto"/>
              <w:bottom w:val="single" w:sz="4" w:space="0" w:color="auto"/>
              <w:right w:val="single" w:sz="4" w:space="0" w:color="auto"/>
            </w:tcBorders>
            <w:vAlign w:val="center"/>
          </w:tcPr>
          <w:p w14:paraId="447C2A10" w14:textId="6511EC8D" w:rsidR="0063431D" w:rsidRPr="00A3051B" w:rsidRDefault="0063431D" w:rsidP="0063431D">
            <w:pPr>
              <w:spacing w:before="20" w:after="20"/>
              <w:jc w:val="right"/>
              <w:rPr>
                <w:color w:val="000000"/>
                <w:sz w:val="18"/>
                <w:szCs w:val="18"/>
              </w:rPr>
            </w:pPr>
            <w:r>
              <w:rPr>
                <w:color w:val="000000"/>
                <w:sz w:val="18"/>
              </w:rPr>
              <w:t>36 750</w:t>
            </w:r>
          </w:p>
        </w:tc>
      </w:tr>
      <w:tr w:rsidR="0063431D" w:rsidRPr="00A3051B" w14:paraId="64A0BFDB" w14:textId="77777777" w:rsidTr="00AF76BF">
        <w:trPr>
          <w:trHeight w:val="50"/>
          <w:jc w:val="center"/>
        </w:trPr>
        <w:tc>
          <w:tcPr>
            <w:tcW w:w="2407"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79ED50CF" w14:textId="77777777" w:rsidR="0063431D" w:rsidRPr="00A3051B" w:rsidRDefault="0063431D" w:rsidP="009A396D">
            <w:pPr>
              <w:spacing w:before="20" w:after="20"/>
              <w:ind w:left="38"/>
              <w:jc w:val="left"/>
              <w:rPr>
                <w:sz w:val="18"/>
                <w:szCs w:val="18"/>
              </w:rPr>
            </w:pPr>
            <w:r>
              <w:rPr>
                <w:sz w:val="18"/>
              </w:rPr>
              <w:t>Fonds approuvés par le Comité exécutif ($US)</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0421E2C" w14:textId="77777777" w:rsidR="0063431D" w:rsidRPr="00A3051B" w:rsidRDefault="0063431D" w:rsidP="009A396D">
            <w:pPr>
              <w:spacing w:before="20" w:after="20"/>
              <w:ind w:left="38"/>
              <w:jc w:val="left"/>
              <w:rPr>
                <w:sz w:val="18"/>
                <w:szCs w:val="18"/>
              </w:rPr>
            </w:pPr>
            <w:r>
              <w:rPr>
                <w:sz w:val="18"/>
              </w:rPr>
              <w:t>Coûts du projet</w:t>
            </w:r>
          </w:p>
        </w:tc>
        <w:tc>
          <w:tcPr>
            <w:tcW w:w="850" w:type="dxa"/>
            <w:tcBorders>
              <w:top w:val="single" w:sz="4" w:space="0" w:color="auto"/>
              <w:left w:val="single" w:sz="4" w:space="0" w:color="auto"/>
              <w:bottom w:val="single" w:sz="4" w:space="0" w:color="auto"/>
              <w:right w:val="single" w:sz="4" w:space="0" w:color="auto"/>
            </w:tcBorders>
            <w:vAlign w:val="center"/>
          </w:tcPr>
          <w:p w14:paraId="238C32F6" w14:textId="69F72CAE" w:rsidR="0063431D" w:rsidRPr="00A3051B" w:rsidRDefault="0063431D" w:rsidP="009A396D">
            <w:pPr>
              <w:spacing w:before="20" w:after="20"/>
              <w:ind w:left="38"/>
              <w:jc w:val="right"/>
              <w:rPr>
                <w:color w:val="000000"/>
                <w:sz w:val="18"/>
                <w:szCs w:val="18"/>
              </w:rPr>
            </w:pPr>
            <w:r>
              <w:rPr>
                <w:color w:val="000000"/>
                <w:sz w:val="18"/>
              </w:rPr>
              <w:t>358 000</w:t>
            </w:r>
          </w:p>
        </w:tc>
        <w:tc>
          <w:tcPr>
            <w:tcW w:w="709" w:type="dxa"/>
            <w:tcBorders>
              <w:top w:val="single" w:sz="4" w:space="0" w:color="auto"/>
              <w:left w:val="single" w:sz="4" w:space="0" w:color="auto"/>
              <w:bottom w:val="single" w:sz="4" w:space="0" w:color="auto"/>
              <w:right w:val="single" w:sz="4" w:space="0" w:color="auto"/>
            </w:tcBorders>
            <w:vAlign w:val="center"/>
          </w:tcPr>
          <w:p w14:paraId="548BCAF4" w14:textId="4A7A0E24" w:rsidR="0063431D" w:rsidRPr="00A3051B" w:rsidRDefault="0063431D" w:rsidP="009A396D">
            <w:pPr>
              <w:spacing w:before="20" w:after="20"/>
              <w:jc w:val="right"/>
              <w:rPr>
                <w:color w:val="000000"/>
                <w:sz w:val="18"/>
                <w:szCs w:val="18"/>
                <w:lang w:val="en-US" w:eastAsia="en-CA"/>
              </w:rPr>
            </w:pPr>
          </w:p>
        </w:tc>
        <w:tc>
          <w:tcPr>
            <w:tcW w:w="850" w:type="dxa"/>
            <w:tcBorders>
              <w:top w:val="single" w:sz="4" w:space="0" w:color="auto"/>
              <w:left w:val="single" w:sz="4" w:space="0" w:color="auto"/>
              <w:bottom w:val="single" w:sz="4" w:space="0" w:color="auto"/>
              <w:right w:val="single" w:sz="4" w:space="0" w:color="auto"/>
            </w:tcBorders>
            <w:vAlign w:val="center"/>
          </w:tcPr>
          <w:p w14:paraId="69F4EC0B" w14:textId="77777777" w:rsidR="0063431D" w:rsidRPr="00A3051B" w:rsidDel="00765B4A" w:rsidRDefault="0063431D" w:rsidP="009A396D">
            <w:pPr>
              <w:spacing w:before="20" w:after="20"/>
              <w:jc w:val="right"/>
              <w:rPr>
                <w:color w:val="000000"/>
                <w:sz w:val="18"/>
                <w:szCs w:val="18"/>
                <w:lang w:val="en-US" w:eastAsia="en-CA"/>
              </w:rPr>
            </w:pPr>
          </w:p>
        </w:tc>
        <w:tc>
          <w:tcPr>
            <w:tcW w:w="567" w:type="dxa"/>
            <w:tcBorders>
              <w:top w:val="single" w:sz="4" w:space="0" w:color="auto"/>
              <w:left w:val="single" w:sz="4" w:space="0" w:color="auto"/>
              <w:bottom w:val="single" w:sz="4" w:space="0" w:color="auto"/>
              <w:right w:val="single" w:sz="4" w:space="0" w:color="auto"/>
            </w:tcBorders>
            <w:vAlign w:val="center"/>
          </w:tcPr>
          <w:p w14:paraId="11F5C657" w14:textId="477D4961" w:rsidR="0063431D" w:rsidRPr="00A3051B" w:rsidRDefault="0063431D" w:rsidP="009A396D">
            <w:pPr>
              <w:spacing w:before="20" w:after="20"/>
              <w:jc w:val="right"/>
              <w:rPr>
                <w:color w:val="000000"/>
                <w:sz w:val="18"/>
                <w:szCs w:val="18"/>
                <w:lang w:val="en-US" w:eastAsia="en-CA"/>
              </w:rPr>
            </w:pPr>
          </w:p>
        </w:tc>
        <w:tc>
          <w:tcPr>
            <w:tcW w:w="851" w:type="dxa"/>
            <w:tcBorders>
              <w:top w:val="single" w:sz="4" w:space="0" w:color="auto"/>
              <w:left w:val="single" w:sz="4" w:space="0" w:color="auto"/>
              <w:bottom w:val="single" w:sz="4" w:space="0" w:color="auto"/>
              <w:right w:val="single" w:sz="4" w:space="0" w:color="auto"/>
            </w:tcBorders>
            <w:vAlign w:val="center"/>
          </w:tcPr>
          <w:p w14:paraId="1CC6A6F6" w14:textId="2C74E0F6" w:rsidR="0063431D" w:rsidRPr="00A3051B" w:rsidRDefault="0063431D" w:rsidP="009A396D">
            <w:pPr>
              <w:spacing w:before="20" w:after="20"/>
              <w:jc w:val="right"/>
              <w:rPr>
                <w:color w:val="000000"/>
                <w:sz w:val="18"/>
                <w:szCs w:val="18"/>
                <w:lang w:val="en-US" w:eastAsia="en-CA"/>
              </w:rPr>
            </w:pPr>
          </w:p>
        </w:tc>
        <w:tc>
          <w:tcPr>
            <w:tcW w:w="805" w:type="dxa"/>
            <w:tcBorders>
              <w:top w:val="single" w:sz="4" w:space="0" w:color="auto"/>
              <w:left w:val="single" w:sz="4" w:space="0" w:color="auto"/>
              <w:bottom w:val="single" w:sz="4" w:space="0" w:color="auto"/>
              <w:right w:val="single" w:sz="4" w:space="0" w:color="auto"/>
            </w:tcBorders>
            <w:vAlign w:val="center"/>
          </w:tcPr>
          <w:p w14:paraId="0BFFFD6B" w14:textId="1AE7053A" w:rsidR="0063431D" w:rsidRPr="00A3051B" w:rsidRDefault="0063431D" w:rsidP="009A396D">
            <w:pPr>
              <w:spacing w:before="20" w:after="20"/>
              <w:jc w:val="right"/>
              <w:rPr>
                <w:color w:val="000000"/>
                <w:sz w:val="18"/>
                <w:szCs w:val="18"/>
                <w:lang w:val="en-US" w:eastAsia="en-CA"/>
              </w:rPr>
            </w:pPr>
          </w:p>
        </w:tc>
        <w:tc>
          <w:tcPr>
            <w:tcW w:w="615" w:type="dxa"/>
            <w:tcBorders>
              <w:top w:val="single" w:sz="4" w:space="0" w:color="auto"/>
              <w:left w:val="single" w:sz="4" w:space="0" w:color="auto"/>
              <w:bottom w:val="single" w:sz="4" w:space="0" w:color="auto"/>
              <w:right w:val="single" w:sz="4" w:space="0" w:color="auto"/>
            </w:tcBorders>
            <w:vAlign w:val="center"/>
          </w:tcPr>
          <w:p w14:paraId="4F5D4E25" w14:textId="2BC03CF7" w:rsidR="0063431D" w:rsidRPr="00A3051B" w:rsidRDefault="0063431D" w:rsidP="009A396D">
            <w:pPr>
              <w:spacing w:before="20" w:after="20"/>
              <w:jc w:val="right"/>
              <w:rPr>
                <w:color w:val="000000"/>
                <w:sz w:val="18"/>
                <w:szCs w:val="18"/>
                <w:lang w:val="en-US" w:eastAsia="en-CA"/>
              </w:rPr>
            </w:pPr>
          </w:p>
        </w:tc>
        <w:tc>
          <w:tcPr>
            <w:tcW w:w="735" w:type="dxa"/>
            <w:tcBorders>
              <w:top w:val="single" w:sz="4" w:space="0" w:color="auto"/>
              <w:left w:val="single" w:sz="4" w:space="0" w:color="auto"/>
              <w:bottom w:val="single" w:sz="4" w:space="0" w:color="auto"/>
              <w:right w:val="single" w:sz="4" w:space="0" w:color="auto"/>
            </w:tcBorders>
            <w:vAlign w:val="center"/>
          </w:tcPr>
          <w:p w14:paraId="6FED25AA" w14:textId="08EFA0BB" w:rsidR="0063431D" w:rsidRPr="00A3051B" w:rsidRDefault="0063431D" w:rsidP="009A396D">
            <w:pPr>
              <w:spacing w:before="20" w:after="20"/>
              <w:jc w:val="right"/>
              <w:rPr>
                <w:color w:val="000000"/>
                <w:sz w:val="18"/>
                <w:szCs w:val="18"/>
                <w:lang w:val="en-US" w:eastAsia="en-CA"/>
              </w:rPr>
            </w:pPr>
          </w:p>
        </w:tc>
        <w:tc>
          <w:tcPr>
            <w:tcW w:w="963" w:type="dxa"/>
            <w:tcBorders>
              <w:top w:val="single" w:sz="4" w:space="0" w:color="auto"/>
              <w:left w:val="single" w:sz="4" w:space="0" w:color="auto"/>
              <w:bottom w:val="single" w:sz="4" w:space="0" w:color="auto"/>
              <w:right w:val="single" w:sz="4" w:space="0" w:color="auto"/>
            </w:tcBorders>
            <w:vAlign w:val="center"/>
          </w:tcPr>
          <w:p w14:paraId="76A9A15F" w14:textId="5A12BE4B" w:rsidR="0063431D" w:rsidRPr="00A3051B" w:rsidRDefault="0063431D" w:rsidP="009A396D">
            <w:pPr>
              <w:spacing w:before="20" w:after="20"/>
              <w:jc w:val="right"/>
              <w:rPr>
                <w:color w:val="000000"/>
                <w:sz w:val="18"/>
                <w:szCs w:val="18"/>
              </w:rPr>
            </w:pPr>
            <w:r>
              <w:rPr>
                <w:color w:val="000000"/>
                <w:sz w:val="18"/>
              </w:rPr>
              <w:t>358 000</w:t>
            </w:r>
          </w:p>
        </w:tc>
      </w:tr>
      <w:tr w:rsidR="0063431D" w:rsidRPr="00A3051B" w14:paraId="744E1585" w14:textId="77777777" w:rsidTr="00AF76BF">
        <w:trPr>
          <w:trHeight w:val="184"/>
          <w:jc w:val="center"/>
        </w:trPr>
        <w:tc>
          <w:tcPr>
            <w:tcW w:w="2407" w:type="dxa"/>
            <w:gridSpan w:val="2"/>
            <w:vMerge/>
            <w:tcBorders>
              <w:top w:val="single" w:sz="4" w:space="0" w:color="auto"/>
              <w:left w:val="single" w:sz="4" w:space="0" w:color="auto"/>
              <w:bottom w:val="single" w:sz="4" w:space="0" w:color="auto"/>
              <w:right w:val="single" w:sz="4" w:space="0" w:color="auto"/>
            </w:tcBorders>
            <w:vAlign w:val="center"/>
            <w:hideMark/>
          </w:tcPr>
          <w:p w14:paraId="05ED28A0" w14:textId="77777777" w:rsidR="0063431D" w:rsidRPr="00A3051B" w:rsidRDefault="0063431D" w:rsidP="009A396D">
            <w:pPr>
              <w:spacing w:before="20" w:after="20"/>
              <w:ind w:left="38"/>
              <w:jc w:val="left"/>
              <w:rPr>
                <w:sz w:val="18"/>
                <w:szCs w:val="18"/>
                <w:lang w:val="en-US"/>
              </w:rPr>
            </w:pPr>
          </w:p>
        </w:tc>
        <w:tc>
          <w:tcPr>
            <w:tcW w:w="1418" w:type="dxa"/>
            <w:tcBorders>
              <w:top w:val="single" w:sz="4" w:space="0" w:color="auto"/>
              <w:left w:val="single" w:sz="4" w:space="0" w:color="auto"/>
              <w:bottom w:val="single" w:sz="4" w:space="0" w:color="auto"/>
              <w:right w:val="single" w:sz="4" w:space="0" w:color="auto"/>
            </w:tcBorders>
            <w:vAlign w:val="center"/>
            <w:hideMark/>
          </w:tcPr>
          <w:p w14:paraId="763C4376" w14:textId="77777777" w:rsidR="0063431D" w:rsidRPr="00A3051B" w:rsidRDefault="0063431D" w:rsidP="009A396D">
            <w:pPr>
              <w:spacing w:before="20" w:after="20"/>
              <w:ind w:left="38"/>
              <w:jc w:val="left"/>
              <w:rPr>
                <w:sz w:val="18"/>
                <w:szCs w:val="18"/>
              </w:rPr>
            </w:pPr>
            <w:r>
              <w:rPr>
                <w:sz w:val="18"/>
              </w:rPr>
              <w:t>Coûts d’appui</w:t>
            </w:r>
          </w:p>
        </w:tc>
        <w:tc>
          <w:tcPr>
            <w:tcW w:w="850" w:type="dxa"/>
            <w:tcBorders>
              <w:top w:val="single" w:sz="4" w:space="0" w:color="auto"/>
              <w:left w:val="single" w:sz="4" w:space="0" w:color="auto"/>
              <w:bottom w:val="single" w:sz="4" w:space="0" w:color="auto"/>
              <w:right w:val="single" w:sz="4" w:space="0" w:color="auto"/>
            </w:tcBorders>
            <w:vAlign w:val="center"/>
          </w:tcPr>
          <w:p w14:paraId="00F4EEB2" w14:textId="6BF5E6F8" w:rsidR="0063431D" w:rsidRPr="00A3051B" w:rsidRDefault="0063431D" w:rsidP="009A396D">
            <w:pPr>
              <w:spacing w:before="20" w:after="20"/>
              <w:ind w:left="38"/>
              <w:jc w:val="right"/>
              <w:rPr>
                <w:color w:val="000000"/>
                <w:sz w:val="18"/>
                <w:szCs w:val="18"/>
              </w:rPr>
            </w:pPr>
            <w:r>
              <w:rPr>
                <w:color w:val="000000"/>
                <w:sz w:val="18"/>
              </w:rPr>
              <w:t>32 993</w:t>
            </w:r>
          </w:p>
        </w:tc>
        <w:tc>
          <w:tcPr>
            <w:tcW w:w="709" w:type="dxa"/>
            <w:tcBorders>
              <w:top w:val="single" w:sz="4" w:space="0" w:color="auto"/>
              <w:left w:val="single" w:sz="4" w:space="0" w:color="auto"/>
              <w:bottom w:val="single" w:sz="4" w:space="0" w:color="auto"/>
              <w:right w:val="single" w:sz="4" w:space="0" w:color="auto"/>
            </w:tcBorders>
            <w:vAlign w:val="center"/>
          </w:tcPr>
          <w:p w14:paraId="4F75DAA3" w14:textId="53AAAB68" w:rsidR="0063431D" w:rsidRPr="00A3051B" w:rsidRDefault="0063431D" w:rsidP="009A396D">
            <w:pPr>
              <w:spacing w:before="20" w:after="20"/>
              <w:jc w:val="right"/>
              <w:rPr>
                <w:color w:val="000000"/>
                <w:sz w:val="18"/>
                <w:szCs w:val="18"/>
                <w:lang w:val="en-US" w:eastAsia="en-CA"/>
              </w:rPr>
            </w:pPr>
          </w:p>
        </w:tc>
        <w:tc>
          <w:tcPr>
            <w:tcW w:w="850" w:type="dxa"/>
            <w:tcBorders>
              <w:top w:val="single" w:sz="4" w:space="0" w:color="auto"/>
              <w:left w:val="single" w:sz="4" w:space="0" w:color="auto"/>
              <w:bottom w:val="single" w:sz="4" w:space="0" w:color="auto"/>
              <w:right w:val="single" w:sz="4" w:space="0" w:color="auto"/>
            </w:tcBorders>
            <w:vAlign w:val="center"/>
          </w:tcPr>
          <w:p w14:paraId="13D774D4" w14:textId="77777777" w:rsidR="0063431D" w:rsidRPr="00A3051B" w:rsidDel="00765B4A" w:rsidRDefault="0063431D" w:rsidP="009A396D">
            <w:pPr>
              <w:spacing w:before="20" w:after="20"/>
              <w:jc w:val="right"/>
              <w:rPr>
                <w:color w:val="000000"/>
                <w:sz w:val="18"/>
                <w:szCs w:val="18"/>
                <w:lang w:val="en-US" w:eastAsia="en-CA"/>
              </w:rPr>
            </w:pPr>
          </w:p>
        </w:tc>
        <w:tc>
          <w:tcPr>
            <w:tcW w:w="567" w:type="dxa"/>
            <w:tcBorders>
              <w:top w:val="single" w:sz="4" w:space="0" w:color="auto"/>
              <w:left w:val="single" w:sz="4" w:space="0" w:color="auto"/>
              <w:bottom w:val="single" w:sz="4" w:space="0" w:color="auto"/>
              <w:right w:val="single" w:sz="4" w:space="0" w:color="auto"/>
            </w:tcBorders>
            <w:vAlign w:val="center"/>
          </w:tcPr>
          <w:p w14:paraId="77516CFD" w14:textId="557EA399" w:rsidR="0063431D" w:rsidRPr="00A3051B" w:rsidRDefault="0063431D" w:rsidP="009A396D">
            <w:pPr>
              <w:spacing w:before="20" w:after="20"/>
              <w:jc w:val="right"/>
              <w:rPr>
                <w:color w:val="000000"/>
                <w:sz w:val="18"/>
                <w:szCs w:val="18"/>
                <w:lang w:val="en-US" w:eastAsia="en-CA"/>
              </w:rPr>
            </w:pPr>
          </w:p>
        </w:tc>
        <w:tc>
          <w:tcPr>
            <w:tcW w:w="851" w:type="dxa"/>
            <w:tcBorders>
              <w:top w:val="single" w:sz="4" w:space="0" w:color="auto"/>
              <w:left w:val="single" w:sz="4" w:space="0" w:color="auto"/>
              <w:bottom w:val="single" w:sz="4" w:space="0" w:color="auto"/>
              <w:right w:val="single" w:sz="4" w:space="0" w:color="auto"/>
            </w:tcBorders>
            <w:vAlign w:val="center"/>
          </w:tcPr>
          <w:p w14:paraId="09CF200C" w14:textId="76571738" w:rsidR="0063431D" w:rsidRPr="00A3051B" w:rsidRDefault="0063431D" w:rsidP="009A396D">
            <w:pPr>
              <w:spacing w:before="20" w:after="20"/>
              <w:jc w:val="right"/>
              <w:rPr>
                <w:color w:val="000000"/>
                <w:sz w:val="18"/>
                <w:szCs w:val="18"/>
                <w:lang w:val="en-US" w:eastAsia="en-CA"/>
              </w:rPr>
            </w:pPr>
          </w:p>
        </w:tc>
        <w:tc>
          <w:tcPr>
            <w:tcW w:w="805" w:type="dxa"/>
            <w:tcBorders>
              <w:top w:val="single" w:sz="4" w:space="0" w:color="auto"/>
              <w:left w:val="single" w:sz="4" w:space="0" w:color="auto"/>
              <w:bottom w:val="single" w:sz="4" w:space="0" w:color="auto"/>
              <w:right w:val="single" w:sz="4" w:space="0" w:color="auto"/>
            </w:tcBorders>
            <w:vAlign w:val="center"/>
          </w:tcPr>
          <w:p w14:paraId="6A0D22D4" w14:textId="0622BC1A" w:rsidR="0063431D" w:rsidRPr="00A3051B" w:rsidRDefault="0063431D" w:rsidP="009A396D">
            <w:pPr>
              <w:spacing w:before="20" w:after="20"/>
              <w:jc w:val="right"/>
              <w:rPr>
                <w:color w:val="000000"/>
                <w:sz w:val="18"/>
                <w:szCs w:val="18"/>
                <w:lang w:val="en-US" w:eastAsia="en-CA"/>
              </w:rPr>
            </w:pPr>
          </w:p>
        </w:tc>
        <w:tc>
          <w:tcPr>
            <w:tcW w:w="615" w:type="dxa"/>
            <w:tcBorders>
              <w:top w:val="single" w:sz="4" w:space="0" w:color="auto"/>
              <w:left w:val="single" w:sz="4" w:space="0" w:color="auto"/>
              <w:bottom w:val="single" w:sz="4" w:space="0" w:color="auto"/>
              <w:right w:val="single" w:sz="4" w:space="0" w:color="auto"/>
            </w:tcBorders>
            <w:vAlign w:val="center"/>
          </w:tcPr>
          <w:p w14:paraId="6C05886E" w14:textId="7D96F58D" w:rsidR="0063431D" w:rsidRPr="00A3051B" w:rsidRDefault="0063431D" w:rsidP="009A396D">
            <w:pPr>
              <w:spacing w:before="20" w:after="20"/>
              <w:jc w:val="right"/>
              <w:rPr>
                <w:color w:val="000000"/>
                <w:sz w:val="18"/>
                <w:szCs w:val="18"/>
                <w:lang w:val="en-US" w:eastAsia="en-CA"/>
              </w:rPr>
            </w:pPr>
          </w:p>
        </w:tc>
        <w:tc>
          <w:tcPr>
            <w:tcW w:w="735" w:type="dxa"/>
            <w:tcBorders>
              <w:top w:val="single" w:sz="4" w:space="0" w:color="auto"/>
              <w:left w:val="single" w:sz="4" w:space="0" w:color="auto"/>
              <w:bottom w:val="single" w:sz="4" w:space="0" w:color="auto"/>
              <w:right w:val="single" w:sz="4" w:space="0" w:color="auto"/>
            </w:tcBorders>
            <w:vAlign w:val="center"/>
          </w:tcPr>
          <w:p w14:paraId="5D0404DD" w14:textId="235726B3" w:rsidR="0063431D" w:rsidRPr="00A3051B" w:rsidRDefault="0063431D" w:rsidP="009A396D">
            <w:pPr>
              <w:spacing w:before="20" w:after="20"/>
              <w:jc w:val="right"/>
              <w:rPr>
                <w:color w:val="000000"/>
                <w:sz w:val="18"/>
                <w:szCs w:val="18"/>
                <w:lang w:val="en-US" w:eastAsia="en-CA"/>
              </w:rPr>
            </w:pPr>
          </w:p>
        </w:tc>
        <w:tc>
          <w:tcPr>
            <w:tcW w:w="963" w:type="dxa"/>
            <w:tcBorders>
              <w:top w:val="single" w:sz="4" w:space="0" w:color="auto"/>
              <w:left w:val="single" w:sz="4" w:space="0" w:color="auto"/>
              <w:bottom w:val="single" w:sz="4" w:space="0" w:color="auto"/>
              <w:right w:val="single" w:sz="4" w:space="0" w:color="auto"/>
            </w:tcBorders>
            <w:vAlign w:val="center"/>
          </w:tcPr>
          <w:p w14:paraId="14FE213E" w14:textId="617459E5" w:rsidR="0063431D" w:rsidRPr="00A3051B" w:rsidRDefault="0063431D" w:rsidP="009A396D">
            <w:pPr>
              <w:spacing w:before="20" w:after="20"/>
              <w:jc w:val="right"/>
              <w:rPr>
                <w:color w:val="000000"/>
                <w:sz w:val="18"/>
                <w:szCs w:val="18"/>
              </w:rPr>
            </w:pPr>
            <w:r>
              <w:rPr>
                <w:color w:val="000000"/>
                <w:sz w:val="18"/>
              </w:rPr>
              <w:t>32 993</w:t>
            </w:r>
          </w:p>
        </w:tc>
      </w:tr>
      <w:tr w:rsidR="0063431D" w:rsidRPr="00A3051B" w14:paraId="1FDC185E" w14:textId="77777777" w:rsidTr="00AF76BF">
        <w:trPr>
          <w:trHeight w:val="50"/>
          <w:jc w:val="center"/>
        </w:trPr>
        <w:tc>
          <w:tcPr>
            <w:tcW w:w="2407"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729C92E3" w14:textId="77777777" w:rsidR="0063431D" w:rsidRPr="00A3051B" w:rsidRDefault="0063431D" w:rsidP="009A396D">
            <w:pPr>
              <w:spacing w:before="20" w:after="20"/>
              <w:ind w:left="38" w:right="-85"/>
              <w:jc w:val="left"/>
              <w:rPr>
                <w:sz w:val="18"/>
                <w:szCs w:val="18"/>
              </w:rPr>
            </w:pPr>
            <w:r>
              <w:rPr>
                <w:sz w:val="18"/>
              </w:rPr>
              <w:t>Total des fonds recommandés pour approbation lors de cette réunion ($US)</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BBC0D2A" w14:textId="77777777" w:rsidR="0063431D" w:rsidRPr="00A3051B" w:rsidRDefault="0063431D" w:rsidP="009A396D">
            <w:pPr>
              <w:spacing w:before="20" w:after="20"/>
              <w:ind w:left="38"/>
              <w:jc w:val="left"/>
              <w:rPr>
                <w:sz w:val="18"/>
                <w:szCs w:val="18"/>
              </w:rPr>
            </w:pPr>
            <w:r>
              <w:rPr>
                <w:sz w:val="18"/>
              </w:rPr>
              <w:t>Coûts du projet</w:t>
            </w:r>
          </w:p>
        </w:tc>
        <w:tc>
          <w:tcPr>
            <w:tcW w:w="850" w:type="dxa"/>
            <w:tcBorders>
              <w:top w:val="single" w:sz="4" w:space="0" w:color="auto"/>
              <w:left w:val="single" w:sz="4" w:space="0" w:color="auto"/>
              <w:bottom w:val="single" w:sz="4" w:space="0" w:color="auto"/>
              <w:right w:val="single" w:sz="4" w:space="0" w:color="auto"/>
            </w:tcBorders>
            <w:vAlign w:val="center"/>
          </w:tcPr>
          <w:p w14:paraId="78520A74" w14:textId="47A9A139" w:rsidR="0063431D" w:rsidRPr="00A3051B" w:rsidRDefault="0063431D" w:rsidP="009A396D">
            <w:pPr>
              <w:spacing w:before="20" w:after="20"/>
              <w:ind w:left="38"/>
              <w:jc w:val="right"/>
              <w:rPr>
                <w:color w:val="000000"/>
                <w:sz w:val="18"/>
                <w:szCs w:val="18"/>
                <w:lang w:val="en-US" w:eastAsia="en-CA"/>
              </w:rPr>
            </w:pPr>
          </w:p>
        </w:tc>
        <w:tc>
          <w:tcPr>
            <w:tcW w:w="709" w:type="dxa"/>
            <w:tcBorders>
              <w:top w:val="single" w:sz="4" w:space="0" w:color="auto"/>
              <w:left w:val="single" w:sz="4" w:space="0" w:color="auto"/>
              <w:bottom w:val="single" w:sz="4" w:space="0" w:color="auto"/>
              <w:right w:val="single" w:sz="4" w:space="0" w:color="auto"/>
            </w:tcBorders>
            <w:vAlign w:val="center"/>
          </w:tcPr>
          <w:p w14:paraId="7E67EA44" w14:textId="519AEB49" w:rsidR="0063431D" w:rsidRPr="00A3051B" w:rsidRDefault="0063431D" w:rsidP="009A396D">
            <w:pPr>
              <w:spacing w:before="20" w:after="20"/>
              <w:jc w:val="right"/>
              <w:rPr>
                <w:color w:val="000000"/>
                <w:sz w:val="18"/>
                <w:szCs w:val="18"/>
                <w:lang w:val="en-US" w:eastAsia="en-CA"/>
              </w:rPr>
            </w:pPr>
          </w:p>
        </w:tc>
        <w:tc>
          <w:tcPr>
            <w:tcW w:w="850" w:type="dxa"/>
            <w:tcBorders>
              <w:top w:val="single" w:sz="4" w:space="0" w:color="auto"/>
              <w:left w:val="single" w:sz="4" w:space="0" w:color="auto"/>
              <w:bottom w:val="single" w:sz="4" w:space="0" w:color="auto"/>
              <w:right w:val="single" w:sz="4" w:space="0" w:color="auto"/>
            </w:tcBorders>
            <w:vAlign w:val="center"/>
          </w:tcPr>
          <w:p w14:paraId="4B78D26E" w14:textId="77777777" w:rsidR="0063431D" w:rsidRPr="00A3051B" w:rsidDel="00765B4A" w:rsidRDefault="0063431D" w:rsidP="009A396D">
            <w:pPr>
              <w:spacing w:before="20" w:after="20"/>
              <w:jc w:val="right"/>
              <w:rPr>
                <w:color w:val="000000"/>
                <w:sz w:val="18"/>
                <w:szCs w:val="18"/>
                <w:lang w:val="en-US" w:eastAsia="en-CA"/>
              </w:rPr>
            </w:pPr>
          </w:p>
        </w:tc>
        <w:tc>
          <w:tcPr>
            <w:tcW w:w="567" w:type="dxa"/>
            <w:tcBorders>
              <w:top w:val="single" w:sz="4" w:space="0" w:color="auto"/>
              <w:left w:val="single" w:sz="4" w:space="0" w:color="auto"/>
              <w:bottom w:val="single" w:sz="4" w:space="0" w:color="auto"/>
              <w:right w:val="single" w:sz="4" w:space="0" w:color="auto"/>
            </w:tcBorders>
            <w:vAlign w:val="center"/>
          </w:tcPr>
          <w:p w14:paraId="739322B8" w14:textId="3F4138B8" w:rsidR="0063431D" w:rsidRPr="00A3051B" w:rsidRDefault="0063431D" w:rsidP="009A396D">
            <w:pPr>
              <w:spacing w:before="20" w:after="20"/>
              <w:jc w:val="right"/>
              <w:rPr>
                <w:color w:val="000000"/>
                <w:sz w:val="18"/>
                <w:szCs w:val="18"/>
                <w:lang w:val="en-US" w:eastAsia="en-CA"/>
              </w:rPr>
            </w:pPr>
          </w:p>
        </w:tc>
        <w:tc>
          <w:tcPr>
            <w:tcW w:w="851" w:type="dxa"/>
            <w:tcBorders>
              <w:top w:val="single" w:sz="4" w:space="0" w:color="auto"/>
              <w:left w:val="single" w:sz="4" w:space="0" w:color="auto"/>
              <w:bottom w:val="single" w:sz="4" w:space="0" w:color="auto"/>
              <w:right w:val="single" w:sz="4" w:space="0" w:color="auto"/>
            </w:tcBorders>
            <w:vAlign w:val="center"/>
          </w:tcPr>
          <w:p w14:paraId="6EA7DBF6" w14:textId="0CBB3BCD" w:rsidR="0063431D" w:rsidRPr="00A3051B" w:rsidRDefault="0063431D" w:rsidP="009A396D">
            <w:pPr>
              <w:spacing w:before="20" w:after="20"/>
              <w:jc w:val="right"/>
              <w:rPr>
                <w:color w:val="000000"/>
                <w:sz w:val="18"/>
                <w:szCs w:val="18"/>
              </w:rPr>
            </w:pPr>
            <w:r>
              <w:rPr>
                <w:color w:val="000000"/>
                <w:sz w:val="18"/>
              </w:rPr>
              <w:t>370 500</w:t>
            </w:r>
          </w:p>
        </w:tc>
        <w:tc>
          <w:tcPr>
            <w:tcW w:w="805" w:type="dxa"/>
            <w:tcBorders>
              <w:top w:val="single" w:sz="4" w:space="0" w:color="auto"/>
              <w:left w:val="single" w:sz="4" w:space="0" w:color="auto"/>
              <w:bottom w:val="single" w:sz="4" w:space="0" w:color="auto"/>
              <w:right w:val="single" w:sz="4" w:space="0" w:color="auto"/>
            </w:tcBorders>
            <w:vAlign w:val="center"/>
          </w:tcPr>
          <w:p w14:paraId="38AE5498" w14:textId="4429C595" w:rsidR="0063431D" w:rsidRPr="00A3051B" w:rsidRDefault="0063431D" w:rsidP="009A396D">
            <w:pPr>
              <w:spacing w:before="20" w:after="20"/>
              <w:jc w:val="right"/>
              <w:rPr>
                <w:color w:val="000000"/>
                <w:sz w:val="18"/>
                <w:szCs w:val="18"/>
                <w:lang w:val="en-US" w:eastAsia="en-CA"/>
              </w:rPr>
            </w:pPr>
          </w:p>
        </w:tc>
        <w:tc>
          <w:tcPr>
            <w:tcW w:w="615" w:type="dxa"/>
            <w:tcBorders>
              <w:top w:val="single" w:sz="4" w:space="0" w:color="auto"/>
              <w:left w:val="single" w:sz="4" w:space="0" w:color="auto"/>
              <w:bottom w:val="single" w:sz="4" w:space="0" w:color="auto"/>
              <w:right w:val="single" w:sz="4" w:space="0" w:color="auto"/>
            </w:tcBorders>
            <w:vAlign w:val="center"/>
          </w:tcPr>
          <w:p w14:paraId="3B244EA9" w14:textId="118DBDB3" w:rsidR="0063431D" w:rsidRPr="00A3051B" w:rsidRDefault="0063431D" w:rsidP="009A396D">
            <w:pPr>
              <w:spacing w:before="20" w:after="20"/>
              <w:jc w:val="right"/>
              <w:rPr>
                <w:color w:val="000000"/>
                <w:sz w:val="18"/>
                <w:szCs w:val="18"/>
                <w:lang w:val="en-US" w:eastAsia="en-CA"/>
              </w:rPr>
            </w:pPr>
          </w:p>
        </w:tc>
        <w:tc>
          <w:tcPr>
            <w:tcW w:w="735" w:type="dxa"/>
            <w:tcBorders>
              <w:top w:val="single" w:sz="4" w:space="0" w:color="auto"/>
              <w:left w:val="single" w:sz="4" w:space="0" w:color="auto"/>
              <w:bottom w:val="single" w:sz="4" w:space="0" w:color="auto"/>
              <w:right w:val="single" w:sz="4" w:space="0" w:color="auto"/>
            </w:tcBorders>
            <w:vAlign w:val="center"/>
          </w:tcPr>
          <w:p w14:paraId="625E0F6A" w14:textId="05B323F8" w:rsidR="0063431D" w:rsidRPr="00A3051B" w:rsidRDefault="0063431D" w:rsidP="009A396D">
            <w:pPr>
              <w:spacing w:before="20" w:after="20"/>
              <w:jc w:val="right"/>
              <w:rPr>
                <w:color w:val="000000"/>
                <w:sz w:val="18"/>
                <w:szCs w:val="18"/>
                <w:lang w:val="en-US" w:eastAsia="en-CA"/>
              </w:rPr>
            </w:pPr>
          </w:p>
        </w:tc>
        <w:tc>
          <w:tcPr>
            <w:tcW w:w="963" w:type="dxa"/>
            <w:tcBorders>
              <w:top w:val="single" w:sz="4" w:space="0" w:color="auto"/>
              <w:left w:val="single" w:sz="4" w:space="0" w:color="auto"/>
              <w:bottom w:val="single" w:sz="4" w:space="0" w:color="auto"/>
              <w:right w:val="single" w:sz="4" w:space="0" w:color="auto"/>
            </w:tcBorders>
            <w:vAlign w:val="center"/>
          </w:tcPr>
          <w:p w14:paraId="12F0182C" w14:textId="3D97CC34" w:rsidR="0063431D" w:rsidRPr="00A3051B" w:rsidRDefault="0063431D" w:rsidP="009A396D">
            <w:pPr>
              <w:spacing w:before="20" w:after="20"/>
              <w:jc w:val="right"/>
              <w:rPr>
                <w:color w:val="000000"/>
                <w:sz w:val="18"/>
                <w:szCs w:val="18"/>
              </w:rPr>
            </w:pPr>
            <w:r>
              <w:rPr>
                <w:color w:val="000000"/>
                <w:sz w:val="18"/>
              </w:rPr>
              <w:t>370 500</w:t>
            </w:r>
          </w:p>
        </w:tc>
      </w:tr>
      <w:tr w:rsidR="0063431D" w:rsidRPr="00A3051B" w14:paraId="77B804EF" w14:textId="77777777" w:rsidTr="00AF76BF">
        <w:trPr>
          <w:trHeight w:val="50"/>
          <w:jc w:val="center"/>
        </w:trPr>
        <w:tc>
          <w:tcPr>
            <w:tcW w:w="2407" w:type="dxa"/>
            <w:gridSpan w:val="2"/>
            <w:vMerge/>
            <w:tcBorders>
              <w:top w:val="single" w:sz="4" w:space="0" w:color="auto"/>
              <w:left w:val="single" w:sz="4" w:space="0" w:color="auto"/>
              <w:bottom w:val="single" w:sz="4" w:space="0" w:color="auto"/>
              <w:right w:val="single" w:sz="4" w:space="0" w:color="auto"/>
            </w:tcBorders>
            <w:vAlign w:val="center"/>
            <w:hideMark/>
          </w:tcPr>
          <w:p w14:paraId="599F9375" w14:textId="77777777" w:rsidR="0063431D" w:rsidRPr="00A3051B" w:rsidRDefault="0063431D" w:rsidP="009A396D">
            <w:pPr>
              <w:spacing w:before="20" w:after="20"/>
              <w:ind w:left="38"/>
              <w:jc w:val="left"/>
              <w:rPr>
                <w:sz w:val="18"/>
                <w:szCs w:val="18"/>
                <w:lang w:val="en-US"/>
              </w:rPr>
            </w:pPr>
          </w:p>
        </w:tc>
        <w:tc>
          <w:tcPr>
            <w:tcW w:w="1418" w:type="dxa"/>
            <w:tcBorders>
              <w:top w:val="single" w:sz="4" w:space="0" w:color="auto"/>
              <w:left w:val="single" w:sz="4" w:space="0" w:color="auto"/>
              <w:bottom w:val="single" w:sz="4" w:space="0" w:color="auto"/>
              <w:right w:val="single" w:sz="4" w:space="0" w:color="auto"/>
            </w:tcBorders>
            <w:vAlign w:val="center"/>
            <w:hideMark/>
          </w:tcPr>
          <w:p w14:paraId="59E8CA04" w14:textId="77777777" w:rsidR="0063431D" w:rsidRPr="00A3051B" w:rsidRDefault="0063431D" w:rsidP="009A396D">
            <w:pPr>
              <w:spacing w:before="20" w:after="20"/>
              <w:ind w:left="38"/>
              <w:jc w:val="left"/>
              <w:rPr>
                <w:sz w:val="18"/>
                <w:szCs w:val="18"/>
              </w:rPr>
            </w:pPr>
            <w:r>
              <w:rPr>
                <w:sz w:val="18"/>
              </w:rPr>
              <w:t>Coûts d’appui</w:t>
            </w:r>
          </w:p>
        </w:tc>
        <w:tc>
          <w:tcPr>
            <w:tcW w:w="850" w:type="dxa"/>
            <w:tcBorders>
              <w:top w:val="single" w:sz="4" w:space="0" w:color="auto"/>
              <w:left w:val="single" w:sz="4" w:space="0" w:color="auto"/>
              <w:bottom w:val="single" w:sz="4" w:space="0" w:color="auto"/>
              <w:right w:val="single" w:sz="4" w:space="0" w:color="auto"/>
            </w:tcBorders>
            <w:vAlign w:val="center"/>
          </w:tcPr>
          <w:p w14:paraId="529AE57A" w14:textId="44778D74" w:rsidR="0063431D" w:rsidRPr="00A3051B" w:rsidRDefault="0063431D" w:rsidP="009A396D">
            <w:pPr>
              <w:spacing w:before="20" w:after="20"/>
              <w:ind w:left="38"/>
              <w:jc w:val="right"/>
              <w:rPr>
                <w:color w:val="000000"/>
                <w:sz w:val="18"/>
                <w:szCs w:val="18"/>
                <w:lang w:val="en-US" w:eastAsia="en-CA"/>
              </w:rPr>
            </w:pPr>
          </w:p>
        </w:tc>
        <w:tc>
          <w:tcPr>
            <w:tcW w:w="709" w:type="dxa"/>
            <w:tcBorders>
              <w:top w:val="single" w:sz="4" w:space="0" w:color="auto"/>
              <w:left w:val="single" w:sz="4" w:space="0" w:color="auto"/>
              <w:bottom w:val="single" w:sz="4" w:space="0" w:color="auto"/>
              <w:right w:val="single" w:sz="4" w:space="0" w:color="auto"/>
            </w:tcBorders>
            <w:vAlign w:val="center"/>
          </w:tcPr>
          <w:p w14:paraId="1B6253FC" w14:textId="397A62FF" w:rsidR="0063431D" w:rsidRPr="00A3051B" w:rsidRDefault="0063431D" w:rsidP="009A396D">
            <w:pPr>
              <w:spacing w:before="20" w:after="20"/>
              <w:jc w:val="right"/>
              <w:rPr>
                <w:color w:val="000000"/>
                <w:sz w:val="18"/>
                <w:szCs w:val="18"/>
                <w:lang w:val="en-US" w:eastAsia="en-CA"/>
              </w:rPr>
            </w:pPr>
          </w:p>
        </w:tc>
        <w:tc>
          <w:tcPr>
            <w:tcW w:w="850" w:type="dxa"/>
            <w:tcBorders>
              <w:top w:val="single" w:sz="4" w:space="0" w:color="auto"/>
              <w:left w:val="single" w:sz="4" w:space="0" w:color="auto"/>
              <w:bottom w:val="single" w:sz="4" w:space="0" w:color="auto"/>
              <w:right w:val="single" w:sz="4" w:space="0" w:color="auto"/>
            </w:tcBorders>
            <w:vAlign w:val="center"/>
          </w:tcPr>
          <w:p w14:paraId="5CC90E96" w14:textId="77777777" w:rsidR="0063431D" w:rsidRPr="00A3051B" w:rsidDel="00765B4A" w:rsidRDefault="0063431D" w:rsidP="009A396D">
            <w:pPr>
              <w:spacing w:before="20" w:after="20"/>
              <w:jc w:val="right"/>
              <w:rPr>
                <w:color w:val="000000"/>
                <w:sz w:val="18"/>
                <w:szCs w:val="18"/>
                <w:lang w:val="en-US" w:eastAsia="en-CA"/>
              </w:rPr>
            </w:pPr>
          </w:p>
        </w:tc>
        <w:tc>
          <w:tcPr>
            <w:tcW w:w="567" w:type="dxa"/>
            <w:tcBorders>
              <w:top w:val="single" w:sz="4" w:space="0" w:color="auto"/>
              <w:left w:val="single" w:sz="4" w:space="0" w:color="auto"/>
              <w:bottom w:val="single" w:sz="4" w:space="0" w:color="auto"/>
              <w:right w:val="single" w:sz="4" w:space="0" w:color="auto"/>
            </w:tcBorders>
            <w:vAlign w:val="center"/>
          </w:tcPr>
          <w:p w14:paraId="263CBC25" w14:textId="2734B1E5" w:rsidR="0063431D" w:rsidRPr="00A3051B" w:rsidRDefault="0063431D" w:rsidP="009A396D">
            <w:pPr>
              <w:spacing w:before="20" w:after="20"/>
              <w:jc w:val="right"/>
              <w:rPr>
                <w:color w:val="000000"/>
                <w:sz w:val="18"/>
                <w:szCs w:val="18"/>
                <w:lang w:val="en-US" w:eastAsia="en-CA"/>
              </w:rPr>
            </w:pPr>
          </w:p>
        </w:tc>
        <w:tc>
          <w:tcPr>
            <w:tcW w:w="851" w:type="dxa"/>
            <w:tcBorders>
              <w:top w:val="single" w:sz="4" w:space="0" w:color="auto"/>
              <w:left w:val="single" w:sz="4" w:space="0" w:color="auto"/>
              <w:bottom w:val="single" w:sz="4" w:space="0" w:color="auto"/>
              <w:right w:val="single" w:sz="4" w:space="0" w:color="auto"/>
            </w:tcBorders>
            <w:vAlign w:val="center"/>
          </w:tcPr>
          <w:p w14:paraId="030AA9DE" w14:textId="758776A9" w:rsidR="0063431D" w:rsidRPr="00A3051B" w:rsidRDefault="0063431D" w:rsidP="009A396D">
            <w:pPr>
              <w:spacing w:before="20" w:after="20"/>
              <w:jc w:val="right"/>
              <w:rPr>
                <w:color w:val="000000"/>
                <w:sz w:val="18"/>
                <w:szCs w:val="18"/>
              </w:rPr>
            </w:pPr>
            <w:r>
              <w:rPr>
                <w:color w:val="000000"/>
                <w:sz w:val="18"/>
              </w:rPr>
              <w:t>35 002</w:t>
            </w:r>
          </w:p>
        </w:tc>
        <w:tc>
          <w:tcPr>
            <w:tcW w:w="805" w:type="dxa"/>
            <w:tcBorders>
              <w:top w:val="single" w:sz="4" w:space="0" w:color="auto"/>
              <w:left w:val="single" w:sz="4" w:space="0" w:color="auto"/>
              <w:bottom w:val="single" w:sz="4" w:space="0" w:color="auto"/>
              <w:right w:val="single" w:sz="4" w:space="0" w:color="auto"/>
            </w:tcBorders>
            <w:vAlign w:val="center"/>
          </w:tcPr>
          <w:p w14:paraId="4B2355A2" w14:textId="2B996F31" w:rsidR="0063431D" w:rsidRPr="00A3051B" w:rsidRDefault="0063431D" w:rsidP="009A396D">
            <w:pPr>
              <w:spacing w:before="20" w:after="20"/>
              <w:jc w:val="right"/>
              <w:rPr>
                <w:color w:val="000000"/>
                <w:sz w:val="18"/>
                <w:szCs w:val="18"/>
                <w:lang w:val="en-US" w:eastAsia="en-CA"/>
              </w:rPr>
            </w:pPr>
          </w:p>
        </w:tc>
        <w:tc>
          <w:tcPr>
            <w:tcW w:w="615" w:type="dxa"/>
            <w:tcBorders>
              <w:top w:val="single" w:sz="4" w:space="0" w:color="auto"/>
              <w:left w:val="single" w:sz="4" w:space="0" w:color="auto"/>
              <w:bottom w:val="single" w:sz="4" w:space="0" w:color="auto"/>
              <w:right w:val="single" w:sz="4" w:space="0" w:color="auto"/>
            </w:tcBorders>
            <w:vAlign w:val="center"/>
          </w:tcPr>
          <w:p w14:paraId="515129A2" w14:textId="384B6BD7" w:rsidR="0063431D" w:rsidRPr="00A3051B" w:rsidRDefault="0063431D" w:rsidP="009A396D">
            <w:pPr>
              <w:spacing w:before="20" w:after="20"/>
              <w:jc w:val="right"/>
              <w:rPr>
                <w:color w:val="000000"/>
                <w:sz w:val="18"/>
                <w:szCs w:val="18"/>
                <w:lang w:val="en-US" w:eastAsia="en-CA"/>
              </w:rPr>
            </w:pPr>
          </w:p>
        </w:tc>
        <w:tc>
          <w:tcPr>
            <w:tcW w:w="735" w:type="dxa"/>
            <w:tcBorders>
              <w:top w:val="single" w:sz="4" w:space="0" w:color="auto"/>
              <w:left w:val="single" w:sz="4" w:space="0" w:color="auto"/>
              <w:bottom w:val="single" w:sz="4" w:space="0" w:color="auto"/>
              <w:right w:val="single" w:sz="4" w:space="0" w:color="auto"/>
            </w:tcBorders>
            <w:vAlign w:val="center"/>
          </w:tcPr>
          <w:p w14:paraId="4F8260F7" w14:textId="4074E40F" w:rsidR="0063431D" w:rsidRPr="00A3051B" w:rsidRDefault="0063431D" w:rsidP="009A396D">
            <w:pPr>
              <w:spacing w:before="20" w:after="20"/>
              <w:jc w:val="right"/>
              <w:rPr>
                <w:color w:val="000000"/>
                <w:sz w:val="18"/>
                <w:szCs w:val="18"/>
                <w:lang w:val="en-US" w:eastAsia="en-CA"/>
              </w:rPr>
            </w:pPr>
          </w:p>
        </w:tc>
        <w:tc>
          <w:tcPr>
            <w:tcW w:w="963" w:type="dxa"/>
            <w:tcBorders>
              <w:top w:val="single" w:sz="4" w:space="0" w:color="auto"/>
              <w:left w:val="single" w:sz="4" w:space="0" w:color="auto"/>
              <w:bottom w:val="single" w:sz="4" w:space="0" w:color="auto"/>
              <w:right w:val="single" w:sz="4" w:space="0" w:color="auto"/>
            </w:tcBorders>
            <w:vAlign w:val="center"/>
          </w:tcPr>
          <w:p w14:paraId="2598F33C" w14:textId="4345B5E5" w:rsidR="0063431D" w:rsidRPr="00A3051B" w:rsidRDefault="0063431D" w:rsidP="009A396D">
            <w:pPr>
              <w:spacing w:before="20" w:after="20"/>
              <w:jc w:val="right"/>
              <w:rPr>
                <w:color w:val="000000"/>
                <w:sz w:val="18"/>
                <w:szCs w:val="18"/>
              </w:rPr>
            </w:pPr>
            <w:r>
              <w:rPr>
                <w:color w:val="000000"/>
                <w:sz w:val="18"/>
              </w:rPr>
              <w:t>35 002</w:t>
            </w:r>
          </w:p>
        </w:tc>
      </w:tr>
    </w:tbl>
    <w:p w14:paraId="69A2313E" w14:textId="2228E16C" w:rsidR="00F72392" w:rsidRPr="00A3051B" w:rsidRDefault="00F72392">
      <w:pPr>
        <w:spacing w:before="20" w:after="20"/>
        <w:ind w:left="-284" w:right="-279"/>
        <w:rPr>
          <w:sz w:val="18"/>
          <w:szCs w:val="18"/>
        </w:rPr>
      </w:pPr>
    </w:p>
    <w:tbl>
      <w:tblPr>
        <w:tblStyle w:val="TableGrid"/>
        <w:tblW w:w="5711" w:type="pct"/>
        <w:tblInd w:w="-63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6008"/>
        <w:gridCol w:w="4779"/>
      </w:tblGrid>
      <w:tr w:rsidR="00F72392" w:rsidRPr="00A3051B" w14:paraId="2162B147" w14:textId="77777777" w:rsidTr="001649E9">
        <w:trPr>
          <w:trHeight w:val="128"/>
        </w:trPr>
        <w:tc>
          <w:tcPr>
            <w:tcW w:w="6008" w:type="dxa"/>
            <w:vAlign w:val="center"/>
            <w:hideMark/>
          </w:tcPr>
          <w:p w14:paraId="7DD1971A" w14:textId="77777777" w:rsidR="00F72392" w:rsidRPr="00A3051B" w:rsidRDefault="00F72392">
            <w:pPr>
              <w:spacing w:before="20" w:after="20"/>
              <w:jc w:val="left"/>
              <w:rPr>
                <w:b/>
                <w:sz w:val="20"/>
                <w:szCs w:val="20"/>
              </w:rPr>
            </w:pPr>
            <w:r>
              <w:rPr>
                <w:b/>
                <w:sz w:val="20"/>
              </w:rPr>
              <w:t>Recommandation du secrétariat :</w:t>
            </w:r>
          </w:p>
        </w:tc>
        <w:tc>
          <w:tcPr>
            <w:tcW w:w="4779" w:type="dxa"/>
            <w:vAlign w:val="center"/>
            <w:hideMark/>
          </w:tcPr>
          <w:p w14:paraId="6C9EC118" w14:textId="2F851946" w:rsidR="00F72392" w:rsidRPr="00A3051B" w:rsidRDefault="00930F02">
            <w:pPr>
              <w:spacing w:before="20" w:after="20"/>
              <w:jc w:val="center"/>
              <w:rPr>
                <w:sz w:val="20"/>
                <w:szCs w:val="20"/>
              </w:rPr>
            </w:pPr>
            <w:r>
              <w:rPr>
                <w:sz w:val="20"/>
              </w:rPr>
              <w:t xml:space="preserve">Approbation globale </w:t>
            </w:r>
          </w:p>
        </w:tc>
      </w:tr>
    </w:tbl>
    <w:p w14:paraId="6237B87F" w14:textId="77777777" w:rsidR="00F72392" w:rsidRPr="00A3051B" w:rsidRDefault="00F72392">
      <w:r>
        <w:br w:type="page"/>
      </w:r>
    </w:p>
    <w:p w14:paraId="0EADD9D3" w14:textId="77777777" w:rsidR="00F72392" w:rsidRPr="00A3051B" w:rsidRDefault="00F72392">
      <w:pPr>
        <w:keepNext/>
        <w:spacing w:after="240"/>
        <w:jc w:val="center"/>
        <w:rPr>
          <w:b/>
        </w:rPr>
      </w:pPr>
      <w:r>
        <w:rPr>
          <w:b/>
        </w:rPr>
        <w:lastRenderedPageBreak/>
        <w:t>DESCRIPTION DU PROJET</w:t>
      </w:r>
    </w:p>
    <w:p w14:paraId="3E8A2687" w14:textId="77A67952" w:rsidR="0016491C" w:rsidRPr="00A3051B" w:rsidRDefault="00F72392" w:rsidP="0016491C">
      <w:pPr>
        <w:numPr>
          <w:ilvl w:val="0"/>
          <w:numId w:val="1"/>
        </w:numPr>
        <w:spacing w:after="240"/>
        <w:outlineLvl w:val="0"/>
      </w:pPr>
      <w:r>
        <w:t>Au nom du Gouvernement de la République démocratique du Congo, le PNUE, en sa qualité d’agence d’exécution principale, a présenté une demande de financement pour la deuxième tranche du plan de gestion de l’élimination des HCFC (PGEH) d’un montant total de 405 502 $US, soit 160 000 $US, plus des coûts d’appui d’agence de 20 267 $US, pour le PNUE, et 210 500 $US, plus des coûts d’appui d’agence de 14 735 $US, pour le PNUD. La demande contient un rapport périodique sur la mise en œuvre de la première tranche ainsi que le plan de mise en œuvre de la tranche pour 2026 à 2028.</w:t>
      </w:r>
    </w:p>
    <w:p w14:paraId="54F4EFB2" w14:textId="77777777" w:rsidR="00F72392" w:rsidRPr="00A3051B" w:rsidRDefault="00F72392">
      <w:pPr>
        <w:keepNext/>
        <w:spacing w:after="240"/>
        <w:rPr>
          <w:u w:val="single"/>
        </w:rPr>
      </w:pPr>
      <w:r>
        <w:rPr>
          <w:u w:val="single"/>
        </w:rPr>
        <w:t>Rapport sur la consommation de HCFC</w:t>
      </w:r>
    </w:p>
    <w:p w14:paraId="539C53A8" w14:textId="03FB2939" w:rsidR="00F72392" w:rsidRPr="00A3051B" w:rsidRDefault="00F72392">
      <w:pPr>
        <w:numPr>
          <w:ilvl w:val="0"/>
          <w:numId w:val="1"/>
        </w:numPr>
        <w:spacing w:after="240"/>
        <w:outlineLvl w:val="0"/>
      </w:pPr>
      <w:r>
        <w:t>Le Gouvernement de la République démocratique du Congo a déclaré une consommation de 1,18 tonne PAO de HCFC en 2025, soit 98 pour cent de moins que le niveau de référence de HCFC du pays aux fins de conformité. La consommation de HCFC pour la période 2021–2025 figure dans le tableau 1.</w:t>
      </w:r>
    </w:p>
    <w:p w14:paraId="2F4245A0" w14:textId="1EA48D1F" w:rsidR="00F72392" w:rsidRPr="00A3051B" w:rsidRDefault="00F72392">
      <w:pPr>
        <w:keepNext/>
        <w:keepLines/>
        <w:spacing w:before="240"/>
        <w:rPr>
          <w:b/>
        </w:rPr>
      </w:pPr>
      <w:r>
        <w:rPr>
          <w:b/>
        </w:rPr>
        <w:t>Tableau 1. Consommation de HCFC de la République démocratique du Congo pour 2021</w:t>
      </w:r>
      <w:r>
        <w:t>–</w:t>
      </w:r>
      <w:r>
        <w:rPr>
          <w:b/>
        </w:rPr>
        <w:t>2025 (données visées à l’article 7)</w:t>
      </w:r>
    </w:p>
    <w:tbl>
      <w:tblPr>
        <w:tblW w:w="5000" w:type="pct"/>
        <w:tblLook w:val="04A0" w:firstRow="1" w:lastRow="0" w:firstColumn="1" w:lastColumn="0" w:noHBand="0" w:noVBand="1"/>
      </w:tblPr>
      <w:tblGrid>
        <w:gridCol w:w="3101"/>
        <w:gridCol w:w="1039"/>
        <w:gridCol w:w="1039"/>
        <w:gridCol w:w="1039"/>
        <w:gridCol w:w="1038"/>
        <w:gridCol w:w="1040"/>
        <w:gridCol w:w="1144"/>
      </w:tblGrid>
      <w:tr w:rsidR="00F72392" w:rsidRPr="00A3051B" w14:paraId="228E2B1A" w14:textId="77777777">
        <w:trPr>
          <w:trHeight w:val="150"/>
          <w:tblHeader/>
        </w:trPr>
        <w:tc>
          <w:tcPr>
            <w:tcW w:w="164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1C75CCB1" w14:textId="77777777" w:rsidR="00F72392" w:rsidRPr="00A3051B" w:rsidRDefault="00F72392">
            <w:pPr>
              <w:keepNext/>
              <w:keepLines/>
              <w:spacing w:before="20" w:after="20"/>
              <w:jc w:val="center"/>
              <w:rPr>
                <w:b/>
                <w:bCs/>
                <w:color w:val="000000"/>
                <w:sz w:val="20"/>
                <w:szCs w:val="20"/>
              </w:rPr>
            </w:pPr>
            <w:r>
              <w:rPr>
                <w:b/>
                <w:color w:val="000000"/>
                <w:sz w:val="20"/>
              </w:rPr>
              <w:t>HCFC-22</w:t>
            </w:r>
          </w:p>
        </w:tc>
        <w:tc>
          <w:tcPr>
            <w:tcW w:w="550" w:type="pct"/>
            <w:tcBorders>
              <w:top w:val="single" w:sz="4" w:space="0" w:color="auto"/>
              <w:left w:val="nil"/>
              <w:bottom w:val="single" w:sz="4" w:space="0" w:color="auto"/>
              <w:right w:val="single" w:sz="4" w:space="0" w:color="auto"/>
            </w:tcBorders>
            <w:noWrap/>
            <w:vAlign w:val="center"/>
            <w:hideMark/>
          </w:tcPr>
          <w:p w14:paraId="6E3A534D" w14:textId="77777777" w:rsidR="00F72392" w:rsidRPr="00A3051B" w:rsidRDefault="00F72392">
            <w:pPr>
              <w:keepNext/>
              <w:keepLines/>
              <w:spacing w:before="20" w:after="20"/>
              <w:jc w:val="center"/>
              <w:rPr>
                <w:b/>
                <w:bCs/>
                <w:color w:val="000000"/>
                <w:sz w:val="20"/>
                <w:szCs w:val="20"/>
              </w:rPr>
            </w:pPr>
            <w:r>
              <w:rPr>
                <w:b/>
                <w:color w:val="000000"/>
                <w:sz w:val="20"/>
              </w:rPr>
              <w:t>2021</w:t>
            </w:r>
          </w:p>
        </w:tc>
        <w:tc>
          <w:tcPr>
            <w:tcW w:w="550" w:type="pct"/>
            <w:tcBorders>
              <w:top w:val="single" w:sz="4" w:space="0" w:color="auto"/>
              <w:left w:val="nil"/>
              <w:bottom w:val="single" w:sz="4" w:space="0" w:color="auto"/>
              <w:right w:val="single" w:sz="4" w:space="0" w:color="auto"/>
            </w:tcBorders>
            <w:noWrap/>
            <w:vAlign w:val="center"/>
            <w:hideMark/>
          </w:tcPr>
          <w:p w14:paraId="4E9AA93B" w14:textId="77777777" w:rsidR="00F72392" w:rsidRPr="00A3051B" w:rsidRDefault="00F72392">
            <w:pPr>
              <w:keepNext/>
              <w:keepLines/>
              <w:spacing w:before="20" w:after="20"/>
              <w:jc w:val="center"/>
              <w:rPr>
                <w:b/>
                <w:bCs/>
                <w:color w:val="000000"/>
                <w:sz w:val="20"/>
                <w:szCs w:val="20"/>
              </w:rPr>
            </w:pPr>
            <w:r>
              <w:rPr>
                <w:b/>
                <w:color w:val="000000"/>
                <w:sz w:val="20"/>
              </w:rPr>
              <w:t>2022</w:t>
            </w:r>
          </w:p>
        </w:tc>
        <w:tc>
          <w:tcPr>
            <w:tcW w:w="550" w:type="pct"/>
            <w:tcBorders>
              <w:top w:val="single" w:sz="4" w:space="0" w:color="auto"/>
              <w:left w:val="nil"/>
              <w:bottom w:val="single" w:sz="4" w:space="0" w:color="auto"/>
              <w:right w:val="single" w:sz="4" w:space="0" w:color="auto"/>
            </w:tcBorders>
            <w:vAlign w:val="center"/>
          </w:tcPr>
          <w:p w14:paraId="1E5B2ACE" w14:textId="77777777" w:rsidR="00F72392" w:rsidRPr="00A3051B" w:rsidRDefault="00F72392">
            <w:pPr>
              <w:keepNext/>
              <w:keepLines/>
              <w:spacing w:before="20" w:after="20"/>
              <w:jc w:val="center"/>
              <w:rPr>
                <w:b/>
                <w:bCs/>
                <w:color w:val="000000"/>
                <w:sz w:val="20"/>
                <w:szCs w:val="20"/>
              </w:rPr>
            </w:pPr>
            <w:r>
              <w:rPr>
                <w:b/>
                <w:color w:val="000000"/>
                <w:sz w:val="20"/>
              </w:rPr>
              <w:t>2023</w:t>
            </w:r>
          </w:p>
        </w:tc>
        <w:tc>
          <w:tcPr>
            <w:tcW w:w="550" w:type="pct"/>
            <w:tcBorders>
              <w:top w:val="single" w:sz="4" w:space="0" w:color="auto"/>
              <w:left w:val="single" w:sz="4" w:space="0" w:color="auto"/>
              <w:bottom w:val="single" w:sz="4" w:space="0" w:color="auto"/>
              <w:right w:val="single" w:sz="4" w:space="0" w:color="auto"/>
            </w:tcBorders>
            <w:vAlign w:val="center"/>
          </w:tcPr>
          <w:p w14:paraId="2A85E9AB" w14:textId="77777777" w:rsidR="00F72392" w:rsidRPr="00A3051B" w:rsidRDefault="00F72392">
            <w:pPr>
              <w:keepNext/>
              <w:keepLines/>
              <w:spacing w:before="20" w:after="20"/>
              <w:jc w:val="center"/>
              <w:rPr>
                <w:b/>
                <w:bCs/>
                <w:color w:val="000000"/>
                <w:sz w:val="20"/>
                <w:szCs w:val="20"/>
              </w:rPr>
            </w:pPr>
            <w:r>
              <w:rPr>
                <w:b/>
                <w:color w:val="000000"/>
                <w:sz w:val="20"/>
              </w:rPr>
              <w:t>2024</w:t>
            </w:r>
          </w:p>
        </w:tc>
        <w:tc>
          <w:tcPr>
            <w:tcW w:w="551" w:type="pct"/>
            <w:tcBorders>
              <w:top w:val="single" w:sz="4" w:space="0" w:color="auto"/>
              <w:left w:val="single" w:sz="4" w:space="0" w:color="auto"/>
              <w:bottom w:val="single" w:sz="4" w:space="0" w:color="auto"/>
              <w:right w:val="single" w:sz="4" w:space="0" w:color="auto"/>
            </w:tcBorders>
            <w:vAlign w:val="center"/>
          </w:tcPr>
          <w:p w14:paraId="6E620DE0" w14:textId="4BF53A89" w:rsidR="00F72392" w:rsidRPr="00A3051B" w:rsidRDefault="00F72392">
            <w:pPr>
              <w:keepNext/>
              <w:keepLines/>
              <w:spacing w:before="20" w:after="20"/>
              <w:jc w:val="center"/>
              <w:rPr>
                <w:b/>
                <w:bCs/>
                <w:color w:val="000000"/>
                <w:sz w:val="20"/>
                <w:szCs w:val="20"/>
              </w:rPr>
            </w:pPr>
            <w:r>
              <w:rPr>
                <w:b/>
                <w:color w:val="000000"/>
                <w:sz w:val="20"/>
              </w:rPr>
              <w:t>2025</w:t>
            </w:r>
          </w:p>
        </w:tc>
        <w:tc>
          <w:tcPr>
            <w:tcW w:w="606" w:type="pct"/>
            <w:tcBorders>
              <w:top w:val="single" w:sz="4" w:space="0" w:color="auto"/>
              <w:left w:val="single" w:sz="4" w:space="0" w:color="auto"/>
              <w:bottom w:val="single" w:sz="4" w:space="0" w:color="auto"/>
              <w:right w:val="single" w:sz="4" w:space="0" w:color="auto"/>
            </w:tcBorders>
            <w:noWrap/>
            <w:vAlign w:val="center"/>
            <w:hideMark/>
          </w:tcPr>
          <w:p w14:paraId="42BB3287" w14:textId="77777777" w:rsidR="00F72392" w:rsidRPr="00A3051B" w:rsidRDefault="00F72392">
            <w:pPr>
              <w:keepNext/>
              <w:keepLines/>
              <w:spacing w:before="20" w:after="20"/>
              <w:jc w:val="center"/>
              <w:rPr>
                <w:b/>
                <w:bCs/>
                <w:color w:val="000000"/>
                <w:sz w:val="20"/>
                <w:szCs w:val="20"/>
              </w:rPr>
            </w:pPr>
            <w:r>
              <w:rPr>
                <w:b/>
                <w:color w:val="000000"/>
                <w:sz w:val="20"/>
              </w:rPr>
              <w:t>Référence</w:t>
            </w:r>
          </w:p>
        </w:tc>
      </w:tr>
      <w:tr w:rsidR="00F72392" w:rsidRPr="00A3051B" w14:paraId="495405EE" w14:textId="77777777">
        <w:trPr>
          <w:trHeight w:val="60"/>
        </w:trPr>
        <w:tc>
          <w:tcPr>
            <w:tcW w:w="164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431857EA" w14:textId="77777777" w:rsidR="00F72392" w:rsidRPr="00A3051B" w:rsidRDefault="00F72392">
            <w:pPr>
              <w:keepNext/>
              <w:keepLines/>
              <w:spacing w:before="20" w:after="20"/>
              <w:ind w:left="98"/>
              <w:jc w:val="left"/>
              <w:rPr>
                <w:b/>
                <w:color w:val="000000"/>
                <w:sz w:val="20"/>
                <w:szCs w:val="20"/>
              </w:rPr>
            </w:pPr>
            <w:r>
              <w:rPr>
                <w:b/>
                <w:color w:val="000000"/>
                <w:sz w:val="20"/>
              </w:rPr>
              <w:t>Tonnes métriques (tm)</w:t>
            </w:r>
          </w:p>
        </w:tc>
        <w:tc>
          <w:tcPr>
            <w:tcW w:w="550" w:type="pct"/>
            <w:tcBorders>
              <w:top w:val="nil"/>
              <w:left w:val="nil"/>
              <w:bottom w:val="single" w:sz="4" w:space="0" w:color="auto"/>
              <w:right w:val="single" w:sz="4" w:space="0" w:color="auto"/>
            </w:tcBorders>
            <w:noWrap/>
            <w:vAlign w:val="center"/>
          </w:tcPr>
          <w:p w14:paraId="17F19330" w14:textId="4A03F059" w:rsidR="00F72392" w:rsidRPr="00A3051B" w:rsidRDefault="00783B5C" w:rsidP="006A51E9">
            <w:pPr>
              <w:keepNext/>
              <w:keepLines/>
              <w:spacing w:before="20" w:after="20"/>
              <w:ind w:left="-201" w:right="104"/>
              <w:jc w:val="right"/>
              <w:rPr>
                <w:color w:val="000000"/>
                <w:sz w:val="20"/>
                <w:szCs w:val="20"/>
              </w:rPr>
            </w:pPr>
            <w:r>
              <w:rPr>
                <w:color w:val="000000"/>
                <w:sz w:val="20"/>
              </w:rPr>
              <w:t>22,10</w:t>
            </w:r>
          </w:p>
        </w:tc>
        <w:tc>
          <w:tcPr>
            <w:tcW w:w="550" w:type="pct"/>
            <w:tcBorders>
              <w:top w:val="nil"/>
              <w:left w:val="nil"/>
              <w:bottom w:val="single" w:sz="4" w:space="0" w:color="auto"/>
              <w:right w:val="single" w:sz="4" w:space="0" w:color="auto"/>
            </w:tcBorders>
            <w:noWrap/>
            <w:vAlign w:val="center"/>
          </w:tcPr>
          <w:p w14:paraId="29A8507C" w14:textId="47E5A7C4" w:rsidR="00F72392" w:rsidRPr="00A3051B" w:rsidRDefault="00783B5C" w:rsidP="006A51E9">
            <w:pPr>
              <w:keepNext/>
              <w:keepLines/>
              <w:spacing w:before="20" w:after="20"/>
              <w:ind w:left="-201" w:right="104"/>
              <w:jc w:val="right"/>
              <w:rPr>
                <w:color w:val="000000"/>
                <w:sz w:val="20"/>
                <w:szCs w:val="20"/>
              </w:rPr>
            </w:pPr>
            <w:r>
              <w:rPr>
                <w:color w:val="000000"/>
                <w:sz w:val="20"/>
              </w:rPr>
              <w:t>18,40</w:t>
            </w:r>
          </w:p>
        </w:tc>
        <w:tc>
          <w:tcPr>
            <w:tcW w:w="550" w:type="pct"/>
            <w:tcBorders>
              <w:top w:val="single" w:sz="4" w:space="0" w:color="auto"/>
              <w:left w:val="nil"/>
              <w:bottom w:val="single" w:sz="4" w:space="0" w:color="auto"/>
              <w:right w:val="single" w:sz="4" w:space="0" w:color="auto"/>
            </w:tcBorders>
            <w:vAlign w:val="center"/>
          </w:tcPr>
          <w:p w14:paraId="392479CB" w14:textId="56FA85B8" w:rsidR="00F72392" w:rsidRPr="00A3051B" w:rsidRDefault="00783B5C" w:rsidP="006A51E9">
            <w:pPr>
              <w:keepNext/>
              <w:keepLines/>
              <w:spacing w:before="20" w:after="20"/>
              <w:ind w:left="-201" w:right="104"/>
              <w:jc w:val="right"/>
              <w:rPr>
                <w:color w:val="000000"/>
                <w:sz w:val="20"/>
                <w:szCs w:val="20"/>
              </w:rPr>
            </w:pPr>
            <w:r>
              <w:rPr>
                <w:color w:val="000000"/>
                <w:sz w:val="20"/>
              </w:rPr>
              <w:t>16</w:t>
            </w:r>
          </w:p>
        </w:tc>
        <w:tc>
          <w:tcPr>
            <w:tcW w:w="550" w:type="pct"/>
            <w:tcBorders>
              <w:top w:val="nil"/>
              <w:left w:val="single" w:sz="4" w:space="0" w:color="auto"/>
              <w:bottom w:val="single" w:sz="4" w:space="0" w:color="auto"/>
              <w:right w:val="single" w:sz="4" w:space="0" w:color="auto"/>
            </w:tcBorders>
            <w:vAlign w:val="center"/>
          </w:tcPr>
          <w:p w14:paraId="476124EE" w14:textId="6A1FA44B" w:rsidR="00F72392" w:rsidRPr="00A3051B" w:rsidRDefault="00783B5C" w:rsidP="006A51E9">
            <w:pPr>
              <w:keepNext/>
              <w:keepLines/>
              <w:spacing w:before="20" w:after="20"/>
              <w:ind w:left="-201" w:right="104"/>
              <w:jc w:val="right"/>
              <w:rPr>
                <w:color w:val="000000"/>
                <w:sz w:val="20"/>
                <w:szCs w:val="20"/>
              </w:rPr>
            </w:pPr>
            <w:r>
              <w:rPr>
                <w:color w:val="000000"/>
                <w:sz w:val="20"/>
              </w:rPr>
              <w:t>14,20</w:t>
            </w:r>
          </w:p>
        </w:tc>
        <w:tc>
          <w:tcPr>
            <w:tcW w:w="551" w:type="pct"/>
            <w:tcBorders>
              <w:top w:val="nil"/>
              <w:left w:val="single" w:sz="4" w:space="0" w:color="auto"/>
              <w:bottom w:val="single" w:sz="4" w:space="0" w:color="auto"/>
              <w:right w:val="single" w:sz="4" w:space="0" w:color="auto"/>
            </w:tcBorders>
            <w:vAlign w:val="center"/>
          </w:tcPr>
          <w:p w14:paraId="74D2A389" w14:textId="5FD7C6B0" w:rsidR="00F72392" w:rsidRPr="00A3051B" w:rsidRDefault="00783B5C" w:rsidP="006A51E9">
            <w:pPr>
              <w:keepNext/>
              <w:keepLines/>
              <w:spacing w:before="20" w:after="20"/>
              <w:ind w:left="-201" w:right="104"/>
              <w:jc w:val="right"/>
              <w:rPr>
                <w:rFonts w:eastAsiaTheme="minorHAnsi"/>
                <w:color w:val="000000"/>
                <w:sz w:val="20"/>
                <w:szCs w:val="20"/>
              </w:rPr>
            </w:pPr>
            <w:r>
              <w:rPr>
                <w:color w:val="000000"/>
                <w:sz w:val="20"/>
              </w:rPr>
              <w:t>21,52</w:t>
            </w:r>
          </w:p>
        </w:tc>
        <w:tc>
          <w:tcPr>
            <w:tcW w:w="606" w:type="pct"/>
            <w:tcBorders>
              <w:top w:val="nil"/>
              <w:left w:val="single" w:sz="4" w:space="0" w:color="auto"/>
              <w:bottom w:val="single" w:sz="4" w:space="0" w:color="auto"/>
              <w:right w:val="single" w:sz="4" w:space="0" w:color="auto"/>
            </w:tcBorders>
            <w:noWrap/>
            <w:vAlign w:val="center"/>
          </w:tcPr>
          <w:p w14:paraId="4FD8C03F" w14:textId="4BF332EB" w:rsidR="00F72392" w:rsidRPr="00A3051B" w:rsidRDefault="00CD40CB" w:rsidP="006A51E9">
            <w:pPr>
              <w:keepNext/>
              <w:keepLines/>
              <w:spacing w:before="20" w:after="20"/>
              <w:ind w:left="-201" w:right="104"/>
              <w:jc w:val="right"/>
              <w:rPr>
                <w:color w:val="000000"/>
                <w:sz w:val="20"/>
                <w:szCs w:val="20"/>
              </w:rPr>
            </w:pPr>
            <w:r>
              <w:rPr>
                <w:color w:val="000000"/>
                <w:sz w:val="20"/>
              </w:rPr>
              <w:t>1 203,82</w:t>
            </w:r>
          </w:p>
        </w:tc>
      </w:tr>
      <w:tr w:rsidR="00F72392" w:rsidRPr="00A3051B" w14:paraId="1E630058" w14:textId="77777777">
        <w:trPr>
          <w:trHeight w:val="60"/>
        </w:trPr>
        <w:tc>
          <w:tcPr>
            <w:tcW w:w="164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37745B85" w14:textId="77777777" w:rsidR="00F72392" w:rsidRPr="00A3051B" w:rsidRDefault="00F72392">
            <w:pPr>
              <w:keepNext/>
              <w:keepLines/>
              <w:spacing w:before="20" w:after="20"/>
              <w:ind w:left="98"/>
              <w:jc w:val="left"/>
              <w:rPr>
                <w:b/>
                <w:color w:val="000000"/>
                <w:sz w:val="20"/>
                <w:szCs w:val="20"/>
              </w:rPr>
            </w:pPr>
            <w:r>
              <w:rPr>
                <w:b/>
                <w:color w:val="000000"/>
                <w:sz w:val="20"/>
              </w:rPr>
              <w:t>Tonnes PAO</w:t>
            </w:r>
          </w:p>
        </w:tc>
        <w:tc>
          <w:tcPr>
            <w:tcW w:w="550" w:type="pct"/>
            <w:tcBorders>
              <w:top w:val="nil"/>
              <w:left w:val="nil"/>
              <w:bottom w:val="single" w:sz="4" w:space="0" w:color="auto"/>
              <w:right w:val="single" w:sz="4" w:space="0" w:color="auto"/>
            </w:tcBorders>
            <w:noWrap/>
            <w:vAlign w:val="center"/>
          </w:tcPr>
          <w:p w14:paraId="05E7D1EA" w14:textId="5A2E3AD1" w:rsidR="00F72392" w:rsidRPr="00A3051B" w:rsidRDefault="00783B5C" w:rsidP="006A51E9">
            <w:pPr>
              <w:keepNext/>
              <w:keepLines/>
              <w:spacing w:before="20" w:after="20"/>
              <w:ind w:left="-201" w:right="104"/>
              <w:jc w:val="right"/>
              <w:rPr>
                <w:rFonts w:eastAsiaTheme="minorHAnsi"/>
                <w:color w:val="000000"/>
                <w:sz w:val="20"/>
                <w:szCs w:val="20"/>
              </w:rPr>
            </w:pPr>
            <w:r>
              <w:rPr>
                <w:color w:val="000000"/>
                <w:sz w:val="20"/>
              </w:rPr>
              <w:t>1,22</w:t>
            </w:r>
          </w:p>
        </w:tc>
        <w:tc>
          <w:tcPr>
            <w:tcW w:w="550" w:type="pct"/>
            <w:tcBorders>
              <w:top w:val="nil"/>
              <w:left w:val="nil"/>
              <w:bottom w:val="single" w:sz="4" w:space="0" w:color="auto"/>
              <w:right w:val="single" w:sz="4" w:space="0" w:color="auto"/>
            </w:tcBorders>
            <w:noWrap/>
            <w:vAlign w:val="center"/>
          </w:tcPr>
          <w:p w14:paraId="296CB442" w14:textId="79488D41" w:rsidR="00F72392" w:rsidRPr="00A3051B" w:rsidRDefault="00783B5C" w:rsidP="006A51E9">
            <w:pPr>
              <w:keepNext/>
              <w:keepLines/>
              <w:spacing w:before="20" w:after="20"/>
              <w:ind w:left="-201" w:right="104"/>
              <w:jc w:val="right"/>
              <w:rPr>
                <w:color w:val="000000"/>
                <w:sz w:val="20"/>
                <w:szCs w:val="20"/>
              </w:rPr>
            </w:pPr>
            <w:r>
              <w:rPr>
                <w:color w:val="000000"/>
                <w:sz w:val="20"/>
              </w:rPr>
              <w:t>1,01</w:t>
            </w:r>
          </w:p>
        </w:tc>
        <w:tc>
          <w:tcPr>
            <w:tcW w:w="550" w:type="pct"/>
            <w:tcBorders>
              <w:top w:val="single" w:sz="4" w:space="0" w:color="auto"/>
              <w:left w:val="nil"/>
              <w:bottom w:val="single" w:sz="4" w:space="0" w:color="auto"/>
              <w:right w:val="single" w:sz="4" w:space="0" w:color="auto"/>
            </w:tcBorders>
            <w:vAlign w:val="center"/>
          </w:tcPr>
          <w:p w14:paraId="4A4C0EEF" w14:textId="42BBA92D" w:rsidR="00F72392" w:rsidRPr="00A3051B" w:rsidRDefault="00783B5C" w:rsidP="006A51E9">
            <w:pPr>
              <w:keepNext/>
              <w:keepLines/>
              <w:spacing w:before="20" w:after="20"/>
              <w:ind w:left="-201" w:right="104"/>
              <w:jc w:val="right"/>
              <w:rPr>
                <w:color w:val="000000"/>
                <w:sz w:val="20"/>
                <w:szCs w:val="20"/>
              </w:rPr>
            </w:pPr>
            <w:r>
              <w:rPr>
                <w:color w:val="000000"/>
                <w:sz w:val="20"/>
              </w:rPr>
              <w:t>0,88</w:t>
            </w:r>
          </w:p>
        </w:tc>
        <w:tc>
          <w:tcPr>
            <w:tcW w:w="550" w:type="pct"/>
            <w:tcBorders>
              <w:top w:val="nil"/>
              <w:left w:val="single" w:sz="4" w:space="0" w:color="auto"/>
              <w:bottom w:val="single" w:sz="4" w:space="0" w:color="auto"/>
              <w:right w:val="single" w:sz="4" w:space="0" w:color="auto"/>
            </w:tcBorders>
            <w:vAlign w:val="center"/>
          </w:tcPr>
          <w:p w14:paraId="62E5C130" w14:textId="51E55AEB" w:rsidR="00F72392" w:rsidRPr="00A3051B" w:rsidRDefault="00783B5C" w:rsidP="006A51E9">
            <w:pPr>
              <w:keepNext/>
              <w:keepLines/>
              <w:spacing w:before="20" w:after="20"/>
              <w:ind w:left="-201" w:right="104"/>
              <w:jc w:val="right"/>
              <w:rPr>
                <w:sz w:val="20"/>
                <w:szCs w:val="20"/>
              </w:rPr>
            </w:pPr>
            <w:r>
              <w:rPr>
                <w:sz w:val="20"/>
              </w:rPr>
              <w:t>0,78</w:t>
            </w:r>
          </w:p>
        </w:tc>
        <w:tc>
          <w:tcPr>
            <w:tcW w:w="551" w:type="pct"/>
            <w:tcBorders>
              <w:top w:val="nil"/>
              <w:left w:val="single" w:sz="4" w:space="0" w:color="auto"/>
              <w:bottom w:val="single" w:sz="4" w:space="0" w:color="auto"/>
              <w:right w:val="single" w:sz="4" w:space="0" w:color="auto"/>
            </w:tcBorders>
            <w:vAlign w:val="center"/>
          </w:tcPr>
          <w:p w14:paraId="23312A87" w14:textId="502A5744" w:rsidR="00F72392" w:rsidRPr="00A3051B" w:rsidRDefault="00783B5C" w:rsidP="006A51E9">
            <w:pPr>
              <w:keepNext/>
              <w:keepLines/>
              <w:spacing w:before="20" w:after="20"/>
              <w:ind w:left="-201" w:right="104"/>
              <w:jc w:val="right"/>
              <w:rPr>
                <w:rFonts w:eastAsiaTheme="minorHAnsi"/>
                <w:color w:val="000000"/>
                <w:sz w:val="20"/>
                <w:szCs w:val="20"/>
              </w:rPr>
            </w:pPr>
            <w:r>
              <w:rPr>
                <w:color w:val="000000"/>
                <w:sz w:val="20"/>
              </w:rPr>
              <w:t>1,18</w:t>
            </w:r>
          </w:p>
        </w:tc>
        <w:tc>
          <w:tcPr>
            <w:tcW w:w="606" w:type="pct"/>
            <w:tcBorders>
              <w:top w:val="nil"/>
              <w:left w:val="single" w:sz="4" w:space="0" w:color="auto"/>
              <w:bottom w:val="single" w:sz="4" w:space="0" w:color="auto"/>
              <w:right w:val="single" w:sz="4" w:space="0" w:color="auto"/>
            </w:tcBorders>
            <w:noWrap/>
            <w:vAlign w:val="center"/>
          </w:tcPr>
          <w:p w14:paraId="30393996" w14:textId="6BAA7B6A" w:rsidR="00F72392" w:rsidRPr="00A3051B" w:rsidRDefault="006A51E9" w:rsidP="006A51E9">
            <w:pPr>
              <w:keepNext/>
              <w:keepLines/>
              <w:spacing w:before="20" w:after="20"/>
              <w:ind w:left="-201" w:right="104"/>
              <w:jc w:val="right"/>
              <w:rPr>
                <w:rFonts w:eastAsiaTheme="minorHAnsi"/>
                <w:color w:val="000000"/>
                <w:sz w:val="20"/>
                <w:szCs w:val="20"/>
              </w:rPr>
            </w:pPr>
            <w:r>
              <w:rPr>
                <w:color w:val="000000"/>
                <w:sz w:val="20"/>
              </w:rPr>
              <w:t>66,21</w:t>
            </w:r>
          </w:p>
        </w:tc>
      </w:tr>
    </w:tbl>
    <w:p w14:paraId="215407A9" w14:textId="348E81B9" w:rsidR="00EA3916" w:rsidRPr="00A3051B" w:rsidRDefault="00652DB6">
      <w:pPr>
        <w:numPr>
          <w:ilvl w:val="0"/>
          <w:numId w:val="1"/>
        </w:numPr>
        <w:spacing w:before="240" w:after="240"/>
        <w:outlineLvl w:val="0"/>
      </w:pPr>
      <w:r>
        <w:t xml:space="preserve">La consommation de HCFC de la République démocratique du Congo en 2025 a augmenté par rapport aux niveaux de consommation de 2023 et 2024. L’unité nationale de l’ozone (UNO) et le Comité national de l’ozone ont </w:t>
      </w:r>
      <w:r w:rsidR="00A818BA">
        <w:t xml:space="preserve">commencé par </w:t>
      </w:r>
      <w:r>
        <w:t>fix</w:t>
      </w:r>
      <w:r w:rsidR="00A818BA">
        <w:t>er</w:t>
      </w:r>
      <w:r>
        <w:t xml:space="preserve"> de très faibles quotas dans le but d’encourager une réduction de la dépendance aux HCFC, mais cette décision a été remise en cause par les importateurs locaux en raison de la demande restante. Afin de réduire le risque d’importations illicites, l’UNO et le Comité national de l’ozone ont </w:t>
      </w:r>
      <w:r w:rsidR="00A818BA">
        <w:t xml:space="preserve">donc </w:t>
      </w:r>
      <w:r>
        <w:t xml:space="preserve">décidé de revoir les quotas à la hausse, tout en maintenant la consommation globale en-dessous des objectifs de réduction figurant dans l’Accord </w:t>
      </w:r>
      <w:r w:rsidR="00A818BA">
        <w:t>correspondant</w:t>
      </w:r>
      <w:r>
        <w:t xml:space="preserve"> à la phase II du PGEH.</w:t>
      </w:r>
    </w:p>
    <w:p w14:paraId="490D4177" w14:textId="77777777" w:rsidR="00F72392" w:rsidRPr="00A3051B" w:rsidRDefault="00F72392">
      <w:pPr>
        <w:keepNext/>
        <w:spacing w:after="240"/>
        <w:rPr>
          <w:i/>
        </w:rPr>
      </w:pPr>
      <w:r>
        <w:rPr>
          <w:i/>
        </w:rPr>
        <w:t>Rapport sur la mise en œuvre du programme national</w:t>
      </w:r>
    </w:p>
    <w:p w14:paraId="1C953FDC" w14:textId="3E8EDA80" w:rsidR="00F72392" w:rsidRPr="00A3051B" w:rsidRDefault="00F72392">
      <w:pPr>
        <w:pStyle w:val="Heading1"/>
      </w:pPr>
      <w:r>
        <w:t xml:space="preserve">Les données sur la consommation de HCFC fournies par le Gouvernement de la République démocratique du Congo dans son rapport sur la mise en œuvre du programme du pays pour </w:t>
      </w:r>
      <w:r>
        <w:rPr>
          <w:shd w:val="clear" w:color="auto" w:fill="FFFFFF" w:themeFill="background1"/>
        </w:rPr>
        <w:t>2025</w:t>
      </w:r>
      <w:r>
        <w:t xml:space="preserve"> sont conformes aux données déclarées au titre de l’article 7 du Protocole de Montréal.</w:t>
      </w:r>
    </w:p>
    <w:p w14:paraId="79C4B6E6" w14:textId="09612AFB" w:rsidR="00F72392" w:rsidRPr="00A3051B" w:rsidRDefault="00F72392" w:rsidP="00335E02">
      <w:pPr>
        <w:keepNext/>
        <w:spacing w:after="240"/>
        <w:outlineLvl w:val="0"/>
        <w:rPr>
          <w:u w:val="single"/>
        </w:rPr>
      </w:pPr>
      <w:r>
        <w:rPr>
          <w:u w:val="single"/>
        </w:rPr>
        <w:t>État de la mise en œuvre de la phase I du plan de gestion de l’élimination des HCFC</w:t>
      </w:r>
    </w:p>
    <w:p w14:paraId="0AA98640" w14:textId="1CC97B29" w:rsidR="00F72392" w:rsidRPr="00A3051B" w:rsidRDefault="00F72392">
      <w:pPr>
        <w:numPr>
          <w:ilvl w:val="0"/>
          <w:numId w:val="1"/>
        </w:numPr>
        <w:spacing w:after="240"/>
        <w:outlineLvl w:val="0"/>
      </w:pPr>
      <w:r>
        <w:t>La phase I du PGEH s’est achevée le 30 juin 2020, conformément à la prorogation approuvée par le Comité exécutif dans la décision 84/15. Le rapport d’achèvement du projet a été remis le 17 septembre 2021.</w:t>
      </w:r>
    </w:p>
    <w:p w14:paraId="248FFFEC" w14:textId="3E656974" w:rsidR="00F72392" w:rsidRPr="00A3051B" w:rsidRDefault="00F72392">
      <w:pPr>
        <w:keepNext/>
        <w:spacing w:after="240"/>
        <w:rPr>
          <w:u w:val="single"/>
        </w:rPr>
      </w:pPr>
      <w:r>
        <w:rPr>
          <w:u w:val="single"/>
        </w:rPr>
        <w:t>Rapport périodique sur la mise en œuvre de la première tranche de la phase II du plan de gestion de l’élimination des HCFC</w:t>
      </w:r>
    </w:p>
    <w:p w14:paraId="3819489A" w14:textId="77777777" w:rsidR="00580FAB" w:rsidRPr="00A3051B" w:rsidRDefault="00F72392" w:rsidP="00DA5D71">
      <w:pPr>
        <w:keepNext/>
        <w:spacing w:after="240"/>
        <w:rPr>
          <w:iCs/>
        </w:rPr>
      </w:pPr>
      <w:r>
        <w:rPr>
          <w:i/>
        </w:rPr>
        <w:t xml:space="preserve">Cadre juridique </w:t>
      </w:r>
    </w:p>
    <w:p w14:paraId="7CEB9067" w14:textId="18DD9C7B" w:rsidR="00CE5CAA" w:rsidRPr="00A3051B" w:rsidRDefault="00D81510" w:rsidP="005D3A79">
      <w:pPr>
        <w:pStyle w:val="Heading1"/>
      </w:pPr>
      <w:r>
        <w:t>La République démocratique du Congo dispose depuis 2005 d’un système d’autorisation pour les importations de HCFC, et le système de quotas est opérationnel depuis 2011. Les quotas de HCFC sont définis annuellement par le Ministère du commerce et l’UNO.</w:t>
      </w:r>
    </w:p>
    <w:p w14:paraId="4E7C591B" w14:textId="691C7CDE" w:rsidR="00B87CF6" w:rsidRPr="00A3051B" w:rsidRDefault="00276A1A" w:rsidP="0074354B">
      <w:pPr>
        <w:numPr>
          <w:ilvl w:val="0"/>
          <w:numId w:val="1"/>
        </w:numPr>
        <w:spacing w:after="240"/>
        <w:outlineLvl w:val="0"/>
      </w:pPr>
      <w:r>
        <w:t xml:space="preserve">Durant la première tranche, un total de 202 agents des douanes et agents d’exécution de la loi, dont 34 femmes, ont été formés aux mesures de contrôle des HCFC et à la lutte contre le commerce illicite de ces produits au cours de huit sessions de formation. Une session de formation a également été </w:t>
      </w:r>
      <w:r w:rsidR="00A818BA">
        <w:t>organisée</w:t>
      </w:r>
      <w:r>
        <w:t xml:space="preserve"> pour quatre formateurs des douanes.</w:t>
      </w:r>
    </w:p>
    <w:p w14:paraId="37107D9C" w14:textId="13179457" w:rsidR="0074354B" w:rsidRPr="00A3051B" w:rsidRDefault="008C60F9" w:rsidP="0074354B">
      <w:pPr>
        <w:numPr>
          <w:ilvl w:val="0"/>
          <w:numId w:val="1"/>
        </w:numPr>
        <w:spacing w:after="240"/>
        <w:outlineLvl w:val="0"/>
      </w:pPr>
      <w:r>
        <w:lastRenderedPageBreak/>
        <w:t xml:space="preserve">Le cursus de formation des douanes a été examiné et adopté à la suite de deux réunions : </w:t>
      </w:r>
      <w:r w:rsidR="00A818BA">
        <w:t>l’</w:t>
      </w:r>
      <w:r>
        <w:t xml:space="preserve">une avec le Comité national de l’ozone incluant 11 participants dont quatre femmes, </w:t>
      </w:r>
      <w:r w:rsidR="00A818BA">
        <w:t>l’</w:t>
      </w:r>
      <w:r>
        <w:t xml:space="preserve"> autre avec les parties prenantes nationales et visant à adopter le cursus révisé, comptant 23 participants dont huit femmes.</w:t>
      </w:r>
    </w:p>
    <w:p w14:paraId="3E04015D" w14:textId="7CC422FF" w:rsidR="0033778E" w:rsidRPr="00A3051B" w:rsidRDefault="0033778E" w:rsidP="0074354B">
      <w:pPr>
        <w:numPr>
          <w:ilvl w:val="0"/>
          <w:numId w:val="1"/>
        </w:numPr>
        <w:spacing w:after="240"/>
        <w:outlineLvl w:val="0"/>
      </w:pPr>
      <w:r>
        <w:t xml:space="preserve">Un atelier a été organisé avec les décideurs en matière d’environnement, le service des douanes, le service du commerce et des importateurs afin de débattre </w:t>
      </w:r>
      <w:r w:rsidR="00A818BA">
        <w:t xml:space="preserve">du </w:t>
      </w:r>
      <w:r>
        <w:t xml:space="preserve">remaniement des réglementations en vigueur encadrant les SAO. </w:t>
      </w:r>
      <w:r w:rsidR="00A818BA" w:rsidRPr="00A818BA">
        <w:t>Les remaniements du cadre réglementaire actuel devraient débuter une fois que le gouvernement aura ratifié l’Amendement de Kigali, pour veiller à ce qu’ils respectent les dispositions et les exigences de conformité dudit Amendement</w:t>
      </w:r>
      <w:r>
        <w:t>.</w:t>
      </w:r>
    </w:p>
    <w:p w14:paraId="6012E84B" w14:textId="77777777" w:rsidR="00F72392" w:rsidRPr="00A3051B" w:rsidRDefault="00F72392">
      <w:pPr>
        <w:keepNext/>
        <w:spacing w:after="240"/>
        <w:rPr>
          <w:i/>
        </w:rPr>
      </w:pPr>
      <w:r>
        <w:rPr>
          <w:i/>
        </w:rPr>
        <w:t>Secteur de l’entretien des équipements de réfrigération</w:t>
      </w:r>
    </w:p>
    <w:p w14:paraId="3E300D99" w14:textId="66C3CA98" w:rsidR="002A0368" w:rsidRPr="00A3051B" w:rsidRDefault="002A0368" w:rsidP="00850475">
      <w:pPr>
        <w:numPr>
          <w:ilvl w:val="0"/>
          <w:numId w:val="1"/>
        </w:numPr>
        <w:spacing w:after="240"/>
        <w:outlineLvl w:val="0"/>
      </w:pPr>
      <w:r>
        <w:t>Les activités suivantes ont été réalisées pendant la période de mise en œuvre :</w:t>
      </w:r>
    </w:p>
    <w:p w14:paraId="174E77B0" w14:textId="4A0DA49D" w:rsidR="00407064" w:rsidRPr="00A3051B" w:rsidRDefault="00407064" w:rsidP="002A0368">
      <w:pPr>
        <w:pStyle w:val="Heading2"/>
      </w:pPr>
      <w:r>
        <w:t xml:space="preserve">Quinze sessions de formations ont été organisées pour former </w:t>
      </w:r>
      <w:r w:rsidR="00A818BA">
        <w:t xml:space="preserve">aux bonnes pratiques d’entretien </w:t>
      </w:r>
      <w:r>
        <w:t>un total de 382 techniciens en réfrigération et climatisation, dont 31 techniciennes. Une session de formation a également été menée pour 15 formateurs en réfrigération et climatisation. Le cursus de formation national en réfrigération et le code de conduite national pour les techniciennes et techniciens en réfrigération ont été actualisés et adoptés à la suite d’une réunion avec le Comité national de l’ozone comptant 15 participants, dont quatre femmes, et d’une réunion avec les parties prenantes nationales comptant 31 participants, dont huit femmes ;</w:t>
      </w:r>
    </w:p>
    <w:p w14:paraId="1C180CFF" w14:textId="32D339D6" w:rsidR="001C040C" w:rsidRPr="00A3051B" w:rsidRDefault="002A0368" w:rsidP="002A0368">
      <w:pPr>
        <w:pStyle w:val="Heading2"/>
      </w:pPr>
      <w:r>
        <w:t xml:space="preserve">Des discussions ont commencé à l’échelle nationale </w:t>
      </w:r>
      <w:r w:rsidR="005C35C1">
        <w:t>concernant</w:t>
      </w:r>
      <w:r>
        <w:t xml:space="preserve"> la mise en place du </w:t>
      </w:r>
      <w:r w:rsidR="005C35C1" w:rsidRPr="005C35C1">
        <w:t xml:space="preserve">système </w:t>
      </w:r>
      <w:r>
        <w:t xml:space="preserve">de certification à destination des techniciennes et techniciens. Cinq formateurs ont reçu une certification aux gaz fluorés. Une entreprise internationale a été choisie pour concevoir un </w:t>
      </w:r>
      <w:r w:rsidR="005C35C1" w:rsidRPr="005C35C1">
        <w:t xml:space="preserve">système </w:t>
      </w:r>
      <w:r>
        <w:t>de certification aux gaz fluorés en français, adapté aux besoins spécifiques du pays, qui devrait être finalisé d’ici fin 2026 ;</w:t>
      </w:r>
    </w:p>
    <w:p w14:paraId="6287E9E0" w14:textId="6364CB9C" w:rsidR="005F49F2" w:rsidRPr="00A3051B" w:rsidRDefault="005F49F2" w:rsidP="00AC14F8">
      <w:pPr>
        <w:pStyle w:val="Heading2"/>
      </w:pPr>
      <w:r>
        <w:t>Deux ateliers de formation ont été réalisés pour 35 utilisateurs finaux et importateurs, dont sept femmes, concernant l’élimination des HCFC et l’adoption de technologies à faible potentiel de réchauffement de la planète (PRP). Trois associations du secteur de la réfrigération et de la climatisation ont été renforcées en recevant un soutien à l’organisation de réunions, d’activités de sensibilisation et de sessions de formation ;</w:t>
      </w:r>
    </w:p>
    <w:p w14:paraId="3F596E20" w14:textId="4EB6F979" w:rsidR="003000AE" w:rsidRPr="00A3051B" w:rsidRDefault="008E3394" w:rsidP="00C11D64">
      <w:pPr>
        <w:pStyle w:val="Heading2"/>
      </w:pPr>
      <w:r>
        <w:t>Sept réunions ont été organisées dans le but de recenser les besoins en équipements des instituts de formation technique et d’évaluer le bien-fondé des centres existants ;</w:t>
      </w:r>
    </w:p>
    <w:p w14:paraId="316BE8CF" w14:textId="5941F569" w:rsidR="00D91572" w:rsidRPr="00A3051B" w:rsidRDefault="00C11D64" w:rsidP="003000AE">
      <w:pPr>
        <w:pStyle w:val="Heading2"/>
      </w:pPr>
      <w:r>
        <w:t xml:space="preserve">Une étude de faisabilité a été menée par l’UNO concernant la mise en place du système de récupération et de régénération. L’étude a révélé </w:t>
      </w:r>
      <w:r w:rsidR="001E6675">
        <w:t>plusieurs</w:t>
      </w:r>
      <w:r>
        <w:t xml:space="preserve"> difficultés : l’obsolescence généralisée du matériel, une fonctionnalité limitée, et des incompatibilités institutionnelles au sein des centres existants. Les installations du secteur public ne disposent pas de l’autorité, de la structure et de la capacité opérationnelle nécessaires pour mener des activités spécialisées de récupération et de régénération des réfrigérants. Une approche basée sur un partenariat secteur public</w:t>
      </w:r>
      <w:r>
        <w:noBreakHyphen/>
        <w:t>secteur privé a donc été identifiée comme le modèle le plus viable et 10 sites stratégiques ont été recensés pour établir ou améliorer les centres de référence ; et</w:t>
      </w:r>
    </w:p>
    <w:p w14:paraId="1FA862F4" w14:textId="21A535AE" w:rsidR="00B4483A" w:rsidRPr="00A3051B" w:rsidRDefault="00B4483A" w:rsidP="00C11D64">
      <w:pPr>
        <w:pStyle w:val="Heading2"/>
      </w:pPr>
      <w:r>
        <w:t xml:space="preserve">Une liste des outils et du matériel requis pour les prochaines tranches du PGEH a été </w:t>
      </w:r>
      <w:r w:rsidR="001E6675">
        <w:t>dressée</w:t>
      </w:r>
      <w:r>
        <w:t xml:space="preserve"> et présentée à l’UNO en vue de son examen, et l’achat des articles de la liste devrait débuter d’ici fin 2026.</w:t>
      </w:r>
    </w:p>
    <w:p w14:paraId="0B3F9E33" w14:textId="77777777" w:rsidR="00F72392" w:rsidRPr="00A3051B" w:rsidRDefault="00F72392">
      <w:pPr>
        <w:keepNext/>
        <w:spacing w:after="240"/>
        <w:rPr>
          <w:i/>
        </w:rPr>
      </w:pPr>
      <w:r>
        <w:rPr>
          <w:i/>
        </w:rPr>
        <w:lastRenderedPageBreak/>
        <w:t>Mise en œuvre et suivi du projet</w:t>
      </w:r>
    </w:p>
    <w:p w14:paraId="2A0F87E3" w14:textId="1694D87A" w:rsidR="00BB65D7" w:rsidRPr="00A3051B" w:rsidRDefault="00F72392" w:rsidP="006008C6">
      <w:pPr>
        <w:numPr>
          <w:ilvl w:val="0"/>
          <w:numId w:val="1"/>
        </w:numPr>
        <w:spacing w:after="240"/>
        <w:ind w:right="62"/>
        <w:outlineLvl w:val="0"/>
      </w:pPr>
      <w:r>
        <w:t>L’UNO et le PNUE ont surveillé les activités, rendu compte des progrès réalisés et travaillé avec les parties prenantes pour éliminer les HCFC. Sur les 15 000 $US approuvés pour les activités de suivi de projet au titre de la première tranche, la totalité a été décaissée pour du personnel et des consultantes ou consultants (7 500 $US), des frais de déplacements (5 000 $US)</w:t>
      </w:r>
      <w:r w:rsidR="001E6675">
        <w:t>,</w:t>
      </w:r>
      <w:r>
        <w:t xml:space="preserve"> </w:t>
      </w:r>
      <w:r w:rsidR="001E6675">
        <w:t>ainsi que</w:t>
      </w:r>
      <w:r>
        <w:t xml:space="preserve"> des réunions et des ateliers </w:t>
      </w:r>
      <w:bookmarkStart w:id="0" w:name="_Hlk190692798"/>
      <w:r>
        <w:t>(2 500 $US</w:t>
      </w:r>
      <w:bookmarkEnd w:id="0"/>
      <w:r>
        <w:t>).</w:t>
      </w:r>
    </w:p>
    <w:p w14:paraId="57254F2B" w14:textId="377547BB" w:rsidR="00F72392" w:rsidRPr="00A3051B" w:rsidRDefault="00F72392" w:rsidP="00875611">
      <w:pPr>
        <w:keepNext/>
        <w:spacing w:after="240"/>
        <w:ind w:right="62"/>
        <w:jc w:val="left"/>
        <w:outlineLvl w:val="0"/>
      </w:pPr>
      <w:r>
        <w:rPr>
          <w:u w:val="single"/>
        </w:rPr>
        <w:t>Niveau de décaissement des fonds</w:t>
      </w:r>
    </w:p>
    <w:p w14:paraId="5F2E51CD" w14:textId="294D9977" w:rsidR="00865902" w:rsidRPr="00A3051B" w:rsidRDefault="00F72392" w:rsidP="00875611">
      <w:pPr>
        <w:keepNext/>
        <w:numPr>
          <w:ilvl w:val="0"/>
          <w:numId w:val="1"/>
        </w:numPr>
        <w:spacing w:after="240"/>
        <w:outlineLvl w:val="0"/>
        <w:rPr>
          <w:u w:val="single"/>
        </w:rPr>
      </w:pPr>
      <w:r>
        <w:t>En date de février 2026, sur les 358 000 $US approuvés jusque-là (140 000 $US pour le PNUE et 218 000 $US pour le PNUD), 135 575 $US (37,9 pour cent) avaient été décaissés (110 144 $US pour le PNUE et 25 431 $US pour le PNUD). Le solde de 222 425 $US sera décaissé durant la mise en œuvre de la deuxième tranche.</w:t>
      </w:r>
    </w:p>
    <w:p w14:paraId="21127C7E" w14:textId="5E665678" w:rsidR="00F72392" w:rsidRPr="00A3051B" w:rsidRDefault="00F72392" w:rsidP="00865902">
      <w:pPr>
        <w:spacing w:after="240"/>
        <w:outlineLvl w:val="0"/>
        <w:rPr>
          <w:u w:val="single"/>
        </w:rPr>
      </w:pPr>
      <w:r>
        <w:rPr>
          <w:u w:val="single"/>
        </w:rPr>
        <w:t>Plan de mise en œuvre de la deuxième tranche de la phase II du plan de gestion de l’élimination des HCFC</w:t>
      </w:r>
    </w:p>
    <w:p w14:paraId="5D3EA79E" w14:textId="41BD7686" w:rsidR="00F72392" w:rsidRPr="00A3051B" w:rsidRDefault="00F72392">
      <w:pPr>
        <w:numPr>
          <w:ilvl w:val="0"/>
          <w:numId w:val="1"/>
        </w:numPr>
        <w:spacing w:after="240"/>
        <w:outlineLvl w:val="0"/>
      </w:pPr>
      <w:bookmarkStart w:id="1" w:name="_Hlk126934425"/>
      <w:bookmarkStart w:id="2" w:name="_Hlk126663552"/>
      <w:r>
        <w:t xml:space="preserve">Les activités suivantes seront mises en œuvre </w:t>
      </w:r>
      <w:r w:rsidR="001E6675">
        <w:t>de</w:t>
      </w:r>
      <w:r>
        <w:t xml:space="preserve"> juillet 2026 </w:t>
      </w:r>
      <w:r w:rsidR="001E6675">
        <w:t>à</w:t>
      </w:r>
      <w:r>
        <w:t xml:space="preserve"> juin 2028 :</w:t>
      </w:r>
    </w:p>
    <w:p w14:paraId="752E90D4" w14:textId="1D1121BC" w:rsidR="00F72392" w:rsidRPr="00A3051B" w:rsidRDefault="00E33BA0">
      <w:pPr>
        <w:numPr>
          <w:ilvl w:val="1"/>
          <w:numId w:val="1"/>
        </w:numPr>
        <w:spacing w:after="240"/>
        <w:outlineLvl w:val="1"/>
      </w:pPr>
      <w:r>
        <w:rPr>
          <w:i/>
        </w:rPr>
        <w:t>Renforcement de la surveillance et de la mise en application des réglementations sur les SAO et des politiques s’y rapportant</w:t>
      </w:r>
      <w:r>
        <w:t> : Animation d’une formation pour 125 agents des douanes et d’exécution de la loi sur les mesures de contrôle des HCFC et la lutte contre le commerce illicite de ces produits ; remaniement des réglementations existantes (PNUE) (35 000 $US) ;</w:t>
      </w:r>
    </w:p>
    <w:p w14:paraId="16770317" w14:textId="0895AB8C" w:rsidR="00F72392" w:rsidRPr="00A3051B" w:rsidRDefault="00A832B9">
      <w:pPr>
        <w:numPr>
          <w:ilvl w:val="1"/>
          <w:numId w:val="1"/>
        </w:numPr>
        <w:spacing w:after="240"/>
        <w:outlineLvl w:val="1"/>
      </w:pPr>
      <w:r>
        <w:rPr>
          <w:i/>
        </w:rPr>
        <w:t xml:space="preserve">Renforcement de la capacité des techniciennes et techniciens en réfrigération et climatisation et mise en place d’un </w:t>
      </w:r>
      <w:r w:rsidR="005C35C1" w:rsidRPr="005C35C1">
        <w:rPr>
          <w:i/>
        </w:rPr>
        <w:t xml:space="preserve">système </w:t>
      </w:r>
      <w:r>
        <w:rPr>
          <w:i/>
        </w:rPr>
        <w:t>de certification</w:t>
      </w:r>
      <w:r>
        <w:t xml:space="preserve"> : Animation d’une formation pour 525 techniciennes et techniciens en réfrigération et climatisation aux bonnes pratiques d’entretien ; mise en place du </w:t>
      </w:r>
      <w:r w:rsidR="005C35C1">
        <w:t>système</w:t>
      </w:r>
      <w:r>
        <w:t xml:space="preserve"> de certification des techniciennes et techniciens, incluant des consultations des parties prenantes et la certification de 125 </w:t>
      </w:r>
      <w:r w:rsidR="00E02FA1">
        <w:t>personnes</w:t>
      </w:r>
      <w:r>
        <w:t xml:space="preserve"> ; animation d’un atelier de formation pour utilisatrices et utilisateurs finaux </w:t>
      </w:r>
      <w:r w:rsidR="00E02FA1">
        <w:t>portant sur</w:t>
      </w:r>
      <w:r>
        <w:t xml:space="preserve"> l’élimination des HCFC et l’adoption de technologies à faible PRP ; renforcement des associations de réfrigération et climatisation par un soutien aux réunions et la réalisation d’activités de sensibilisation et de sessions de formation (PNUE) (110 000 $US) ;</w:t>
      </w:r>
    </w:p>
    <w:p w14:paraId="6EBE3663" w14:textId="26F0C407" w:rsidR="00F72392" w:rsidRPr="00A3051B" w:rsidRDefault="00677E03">
      <w:pPr>
        <w:numPr>
          <w:ilvl w:val="1"/>
          <w:numId w:val="1"/>
        </w:numPr>
        <w:spacing w:after="240"/>
        <w:outlineLvl w:val="1"/>
      </w:pPr>
      <w:r>
        <w:rPr>
          <w:i/>
        </w:rPr>
        <w:t xml:space="preserve">Soutien à l’industrie et aux </w:t>
      </w:r>
      <w:r w:rsidR="00E02FA1" w:rsidRPr="00E02FA1">
        <w:rPr>
          <w:i/>
        </w:rPr>
        <w:t xml:space="preserve">collèges d’enseignement </w:t>
      </w:r>
      <w:r>
        <w:rPr>
          <w:i/>
        </w:rPr>
        <w:t>technique par la fourniture d’équipements d’entretien et de kits d’outillage et mise en place de deux centres de récupération et de régénération</w:t>
      </w:r>
      <w:r>
        <w:t> : Approvisionnement et distribution d’outils et de matériel pour sept centres de formation soutenus durant la phase I ; mise en place d’un nouveau centre de formation de formateurs ; mise en place d’un système de récupération et de régénération, incluant un centre de récupération et régénération (PNUD) (210 500 $US) ; et</w:t>
      </w:r>
    </w:p>
    <w:p w14:paraId="3C5EFE84" w14:textId="21053D7A" w:rsidR="00F72392" w:rsidRPr="00A3051B" w:rsidRDefault="00F72392">
      <w:pPr>
        <w:numPr>
          <w:ilvl w:val="1"/>
          <w:numId w:val="1"/>
        </w:numPr>
        <w:spacing w:after="240"/>
        <w:outlineLvl w:val="1"/>
      </w:pPr>
      <w:r>
        <w:rPr>
          <w:i/>
        </w:rPr>
        <w:t>Suivi du projet</w:t>
      </w:r>
      <w:r>
        <w:t> : Personnel et consultantes et consultants pour le suivi du projet (7 500 $US), déplacements nationaux (5 000 $US) et réunions et ateliers (2 500 $US) (PNUE).</w:t>
      </w:r>
    </w:p>
    <w:bookmarkEnd w:id="1"/>
    <w:bookmarkEnd w:id="2"/>
    <w:p w14:paraId="2ED5E18A" w14:textId="77777777" w:rsidR="00F72392" w:rsidRPr="00A3051B" w:rsidRDefault="00F72392">
      <w:pPr>
        <w:keepNext/>
        <w:keepLines/>
        <w:spacing w:before="360" w:after="240"/>
        <w:jc w:val="center"/>
        <w:rPr>
          <w:b/>
        </w:rPr>
      </w:pPr>
      <w:r>
        <w:rPr>
          <w:b/>
        </w:rPr>
        <w:t>OBSERVATIONS ET RECOMMANDATION DU SECRÉTARIAT</w:t>
      </w:r>
    </w:p>
    <w:p w14:paraId="5E3A4917" w14:textId="77777777" w:rsidR="00F72392" w:rsidRPr="00A3051B" w:rsidRDefault="00F72392">
      <w:pPr>
        <w:keepNext/>
        <w:keepLines/>
        <w:rPr>
          <w:b/>
        </w:rPr>
      </w:pPr>
      <w:r>
        <w:rPr>
          <w:b/>
        </w:rPr>
        <w:t>OBSERVATIONS</w:t>
      </w:r>
    </w:p>
    <w:p w14:paraId="7D12EF03" w14:textId="379DB1EF" w:rsidR="00F72392" w:rsidRPr="00A3051B" w:rsidRDefault="00166A51">
      <w:pPr>
        <w:keepNext/>
        <w:keepLines/>
        <w:spacing w:before="240" w:after="240"/>
      </w:pPr>
      <w:r>
        <w:rPr>
          <w:u w:val="single"/>
        </w:rPr>
        <w:t>Rapport de vérification</w:t>
      </w:r>
    </w:p>
    <w:p w14:paraId="4E778F2E" w14:textId="3C39DD37" w:rsidR="002B7C25" w:rsidRPr="00A3051B" w:rsidRDefault="00540E14" w:rsidP="00790DA6">
      <w:pPr>
        <w:pStyle w:val="Heading1"/>
      </w:pPr>
      <w:r>
        <w:t xml:space="preserve">La deuxième tranche de la phase II du PGEH requiert la </w:t>
      </w:r>
      <w:r w:rsidR="00BD3AE3">
        <w:t>soumission</w:t>
      </w:r>
      <w:r>
        <w:t xml:space="preserve"> d’un rapport de vérification de la consommation de HCFC depuis 2021. Le PNUE a indiqué que ce rapport est encore en cours de </w:t>
      </w:r>
      <w:r>
        <w:lastRenderedPageBreak/>
        <w:t>finalisation et prévoit de le soumettre d’ici au 31 juillet 2026 et au plus tard 12 semaines avant la 99</w:t>
      </w:r>
      <w:r>
        <w:rPr>
          <w:vertAlign w:val="superscript"/>
        </w:rPr>
        <w:t>e</w:t>
      </w:r>
      <w:r>
        <w:t> réunion. Conformément à la décision 72/19, le Trésorier sera prié de transférer les fonds approuvés au PNUE et au PNUD seulement après la réception par le secrétariat du rapport de vérification confirmant que le pays est en conformité et que les recommandations qu’il contient seront prises en compte durant la mise en œuvre de la deuxième tranche.</w:t>
      </w:r>
    </w:p>
    <w:p w14:paraId="78D0E8BB" w14:textId="61144397" w:rsidR="00C8322B" w:rsidRPr="00A3051B" w:rsidRDefault="002B7C25" w:rsidP="002B7C25">
      <w:pPr>
        <w:pStyle w:val="Heading1"/>
        <w:numPr>
          <w:ilvl w:val="0"/>
          <w:numId w:val="0"/>
        </w:numPr>
        <w:rPr>
          <w:u w:val="single"/>
        </w:rPr>
      </w:pPr>
      <w:r>
        <w:rPr>
          <w:u w:val="single"/>
        </w:rPr>
        <w:t>Retards de soumission</w:t>
      </w:r>
    </w:p>
    <w:p w14:paraId="63562F3E" w14:textId="6767809D" w:rsidR="00D46708" w:rsidRPr="00A3051B" w:rsidRDefault="00D46708" w:rsidP="00D46708">
      <w:pPr>
        <w:pStyle w:val="Heading1"/>
      </w:pPr>
      <w:r>
        <w:t>La deuxième tranche de la phase II du PGEH devait s’achever en 2024, toutefois la mise en œuvre de la tranche précédente a connu d’importants retards</w:t>
      </w:r>
      <w:r w:rsidR="00BD3AE3">
        <w:t>,</w:t>
      </w:r>
      <w:r>
        <w:t xml:space="preserve"> essentiellement dus à une période de transition administrative qui a entraîné des restructurations institutionnelles et a perturbé temporairement les activités en cours. </w:t>
      </w:r>
      <w:r w:rsidR="007A2309">
        <w:t>Par ailleurs</w:t>
      </w:r>
      <w:r>
        <w:t>, des contraintes opérationnelles liées aux conditions sur le terrain et à l’accès à certaines zones ont également affecté le calendrier de mise en œuvre. Les activités sont désormais sur la bonne voie et le PNUE, le PNUD et l’UNO ont confirmé que les tranches seraient mise</w:t>
      </w:r>
      <w:r w:rsidR="007A2309">
        <w:t>s</w:t>
      </w:r>
      <w:r>
        <w:t xml:space="preserve"> en œuvre comme prévu.</w:t>
      </w:r>
    </w:p>
    <w:p w14:paraId="7B1B25A6" w14:textId="7A305B73" w:rsidR="006F6716" w:rsidRPr="00A3051B" w:rsidRDefault="00F72392">
      <w:pPr>
        <w:keepNext/>
        <w:keepLines/>
        <w:spacing w:before="240" w:after="240"/>
        <w:rPr>
          <w:u w:val="single"/>
        </w:rPr>
      </w:pPr>
      <w:r>
        <w:rPr>
          <w:u w:val="single"/>
        </w:rPr>
        <w:t>Rapport périodique sur la mise en œuvre de la première tranche de la phase II du plan de gestion de l’élimination des HCFC</w:t>
      </w:r>
    </w:p>
    <w:p w14:paraId="5FD51247" w14:textId="77777777" w:rsidR="00F72392" w:rsidRPr="00A3051B" w:rsidRDefault="00F72392">
      <w:pPr>
        <w:keepNext/>
        <w:keepLines/>
        <w:spacing w:before="240" w:after="240"/>
        <w:rPr>
          <w:i/>
        </w:rPr>
      </w:pPr>
      <w:r>
        <w:rPr>
          <w:i/>
        </w:rPr>
        <w:t>Cadre juridique</w:t>
      </w:r>
    </w:p>
    <w:p w14:paraId="0C2B0B88" w14:textId="571B7E4F" w:rsidR="009207A5" w:rsidRPr="00A3051B" w:rsidRDefault="00F72392" w:rsidP="009207A5">
      <w:pPr>
        <w:numPr>
          <w:ilvl w:val="0"/>
          <w:numId w:val="1"/>
        </w:numPr>
        <w:spacing w:after="240"/>
        <w:outlineLvl w:val="0"/>
      </w:pPr>
      <w:r>
        <w:t>Le Gouvernement de la République démocratique du Congo a fixé les quotas d’importation de HCFC pour 2026 à 1,20 tonne PAO, une valeur inférieure aux objectifs de contrôle du Protocole de Montréal et aux objectifs définis dans l’Accord conclu avec le Comité exécutif.</w:t>
      </w:r>
    </w:p>
    <w:p w14:paraId="716C66E2" w14:textId="235BD07B" w:rsidR="0079302B" w:rsidRPr="00A3051B" w:rsidRDefault="00642976" w:rsidP="009207A5">
      <w:pPr>
        <w:pStyle w:val="Heading1"/>
      </w:pPr>
      <w:r>
        <w:t>En réponse à la question du secrétariat concernant le retard et l’état d’avancement de la mise en place de l’interdiction d’importer des équipements à base de HCFC et des mesures réglementaires visant à contrôler les émissions intentionnelles de réfrigérants lors de l’installation, de l’entretien et du démantèlement avant le 1er janvier 2024, comme indiqué dans la décision 88/47, le PNUE a déclaré que la situation politique du pays ces dernières années a considérablement entravé la consultation et le processus de rédaction des documents. Malgré les efforts déployés pour préparer les documents juridiques nécessaires, il reste difficile sur le plan institutionnel d’obtenir un décret interministériel signé pour formaliser l’interdiction des équipements neufs et d’occasion à base de HCFC.</w:t>
      </w:r>
    </w:p>
    <w:p w14:paraId="6CAE11B1" w14:textId="79236F21" w:rsidR="00D64F5C" w:rsidRPr="00A3051B" w:rsidRDefault="0052184C" w:rsidP="009511F1">
      <w:pPr>
        <w:numPr>
          <w:ilvl w:val="0"/>
          <w:numId w:val="1"/>
        </w:numPr>
        <w:spacing w:after="240"/>
        <w:outlineLvl w:val="0"/>
      </w:pPr>
      <w:r>
        <w:t xml:space="preserve">Pour contourner ces difficultés, l’UNO explore actuellement une autre voie plus rapide consistant à exploiter le mandat légal accordé au Comité national de l’ozone pour autoriser et contrôler l’importation d’équipements de réfrigération et de climatisation, qui pourrait servir </w:t>
      </w:r>
      <w:r w:rsidR="007A2309">
        <w:t>à</w:t>
      </w:r>
      <w:r>
        <w:t xml:space="preserve"> interdire l’importation d’équipements à base de HCFC, compte tenu du fait que le Comité national de l’ozone comprend des représentantes et des représentants de toutes les entités gouvernementales et de tous les ministères concernés. Cette approche peut être menée à terme et actée d’ici début 2027 au plus tard. En ce qui concerne l’établissement des mesures réglementaires pour contrôler les émissions intentionnelles de réfrigérants durant l’installation, l’entretien et le démantèlement, le pays projette d’intégrer ces mesures à un cadre plus large de gestion des réfrigérants après la mise en œuvre effective du système de récupération et de régénération et l’ouverture du centre de régénération, dans lequel pourra être introduit un ensemble réglementaire complet de gestion des réfrigérants.</w:t>
      </w:r>
    </w:p>
    <w:p w14:paraId="498C2142" w14:textId="28339058" w:rsidR="000E1C03" w:rsidRPr="00A3051B" w:rsidRDefault="00787B6D" w:rsidP="009511F1">
      <w:pPr>
        <w:numPr>
          <w:ilvl w:val="0"/>
          <w:numId w:val="1"/>
        </w:numPr>
        <w:spacing w:after="240"/>
        <w:outlineLvl w:val="0"/>
      </w:pPr>
      <w:r>
        <w:t>Quant au retard de la fourniture des dispositifs d’identification de réfrigérants, le PNUE a précisé que du fait des délais administratifs du processus, les ressources affectées à l’approvisionnement dans le cadre de la première tranche ont servi aux activités de formation des douanes, étant entendu que l’approvisionnement se fera avec des ressources de la deuxième tranche. Le PNUE réfléchit actuellement à des moyens d’autoriser rapidement le PNUD à procéder à l’approvisionnement une fois la deuxième tranche approuvée.</w:t>
      </w:r>
    </w:p>
    <w:p w14:paraId="26FEFC0F" w14:textId="2177B793" w:rsidR="00CF2F29" w:rsidRPr="00A3051B" w:rsidRDefault="00CF2F29" w:rsidP="00083C63">
      <w:pPr>
        <w:numPr>
          <w:ilvl w:val="0"/>
          <w:numId w:val="1"/>
        </w:numPr>
        <w:spacing w:after="240"/>
        <w:outlineLvl w:val="0"/>
      </w:pPr>
      <w:r>
        <w:t xml:space="preserve">Le PNUE a également indiqué que le dialogue prévu sur les questions frontalières n’était plus d’actualité en raison de l’évolution politique récente de certains pays voisins. L’UNO reconnaît que cet enjeu </w:t>
      </w:r>
      <w:r>
        <w:lastRenderedPageBreak/>
        <w:t>n’a pas été convenablement pris en compte durant l’élaboration du projet et qu’il devrait être retiré des objectifs de la phase II du PGEH.</w:t>
      </w:r>
    </w:p>
    <w:p w14:paraId="3F013C4F" w14:textId="77777777" w:rsidR="00F72392" w:rsidRPr="00A3051B" w:rsidRDefault="00F72392">
      <w:pPr>
        <w:keepNext/>
        <w:spacing w:after="240"/>
        <w:rPr>
          <w:i/>
        </w:rPr>
      </w:pPr>
      <w:r>
        <w:rPr>
          <w:i/>
        </w:rPr>
        <w:t>Secteur de l’entretien des équipements de réfrigération</w:t>
      </w:r>
    </w:p>
    <w:p w14:paraId="4640AAF1" w14:textId="478F15E0" w:rsidR="009D5A4A" w:rsidRPr="00A3051B" w:rsidRDefault="009D5A4A" w:rsidP="00C3469A">
      <w:pPr>
        <w:numPr>
          <w:ilvl w:val="0"/>
          <w:numId w:val="1"/>
        </w:numPr>
        <w:spacing w:after="240"/>
        <w:outlineLvl w:val="0"/>
      </w:pPr>
      <w:r>
        <w:t xml:space="preserve">Le secrétariat a demandé des détails sur les résultats de l’étude de faisabilité </w:t>
      </w:r>
      <w:r w:rsidR="007A2309">
        <w:t>concernant</w:t>
      </w:r>
      <w:r>
        <w:t xml:space="preserve"> l’établissement du système de récupération et de régénération dans le pays, ainsi que sur le modèle économique, les quantités prévisionnelles de réfrigérants à récupérer et une suggestion de l’institution la plus adaptée pour gérer le centre de régénération, conformément à la décision 88/47. Le PNUE a précisé que le PNUD a mené l’étude en coopération avec l’UNO, en analysant les capacités et les emplacements potentiels, ce qui a révélé que bon nombre des centres initialement envisagés pour accueillir les équipements de récupération et de régénération sont inaccessibles, et que seuls cinq des lieux recensés peuvent être développés plus avant avec un soutien et utilisés pour le programme de récupération. L’analyse a également montré que sur les 355 équipements d’entretien cartographiés, qui ont été fournis lors de projets précédents, seuls 29 pour cent peuvent soutenir le programme de régénération, et que le reste est obsolète. Il suggère en outre de suivre l’approche du modèle économique d</w:t>
      </w:r>
      <w:r w:rsidR="007A2309">
        <w:t>’un</w:t>
      </w:r>
      <w:r>
        <w:t xml:space="preserve"> partenariat secteur public‑secteur privé plutôt que l’installation publique initialement prévue, car le programme peut tirer profit de l’expertise technique du secteur privé et bénéficier d’une plus grande souplesse dans la gestion des activités en fonction des besoins du marché. </w:t>
      </w:r>
      <w:r w:rsidR="007A2309" w:rsidRPr="007A2309">
        <w:t>Une liste indicative du matériel nécessaire est aussi présentée, et les équipements correspondants devraient être achetés lors de la mise en œuvre de la deuxième tranche</w:t>
      </w:r>
      <w:r w:rsidR="007A2309">
        <w:t> </w:t>
      </w:r>
      <w:r w:rsidR="007A2309" w:rsidRPr="007A2309">
        <w:t xml:space="preserve">; un critère a également été défini </w:t>
      </w:r>
      <w:r w:rsidR="00FB1E0C" w:rsidRPr="00FB1E0C">
        <w:t>pour le choix du partenaire</w:t>
      </w:r>
      <w:r>
        <w:t>.</w:t>
      </w:r>
    </w:p>
    <w:p w14:paraId="1CA47909" w14:textId="24BE94F6" w:rsidR="001A298A" w:rsidRPr="00A3051B" w:rsidRDefault="00187329" w:rsidP="002206E0">
      <w:pPr>
        <w:numPr>
          <w:ilvl w:val="0"/>
          <w:numId w:val="1"/>
        </w:numPr>
        <w:spacing w:after="240"/>
        <w:outlineLvl w:val="0"/>
      </w:pPr>
      <w:r w:rsidRPr="00187329">
        <w:t>De plus amples discussions avec les agences durant l’examen de la proposition ont montré la nécessité de poursuivre les travaux pour finir de couvrir l’ensemble des aspects de l’étude, notamment l’analyse des installations locales de réfrigération et de climatisation qui peuvent être prises en charge par le programme de récupération et de régénération, les quantités prévisionnelles à récupérer/réutiliser/régénérer, les éléments économiques du programme de récupération et de régénération (à savoir le coût des réfrigérants vierges par rapport à celui des réfrigérants récupérés/régénérés et le coût de l’exploitation, de la logistique et du transport, ainsi que des aspects techniques liés aux normes et aux essais à réaliser sur les réfrigérants récupérés et concernant les capacités techniques).</w:t>
      </w:r>
      <w:r w:rsidR="009D5A4A">
        <w:t xml:space="preserve"> </w:t>
      </w:r>
      <w:r w:rsidR="00E717F9" w:rsidRPr="00E717F9">
        <w:t>Le PNUD a pris acte du fait qu’un travail supplémentaire est nécessaire avant de considérer l’étude comme finalisée et de passer à la mise en place du programme de récupération et de régénération, et a convenu avec l’UNO et l’expert de terminer l’analyse des points restants et de finaliser l’étude au plus tard fin 2026</w:t>
      </w:r>
      <w:r w:rsidR="009D5A4A">
        <w:t>. À cet égard, le secrétariat a recommandé cette tranche à condition que les fonds approuvés ne soient pas transférés au PNUD avant que le secrétariat ait examiné le rapport final de l’étude de faisabilité sur la mise en place d’un système de récupération et de régénération en République démocratique du Congo, qui doit être soumis au moins 10 semaines avant la 99</w:t>
      </w:r>
      <w:r w:rsidR="009D5A4A">
        <w:rPr>
          <w:vertAlign w:val="superscript"/>
        </w:rPr>
        <w:t>e</w:t>
      </w:r>
      <w:r w:rsidR="009D5A4A">
        <w:t> réunion du Comité exécutif.</w:t>
      </w:r>
    </w:p>
    <w:p w14:paraId="3A36D087" w14:textId="138F9100" w:rsidR="009D5A4A" w:rsidRPr="00A3051B" w:rsidRDefault="009D5A4A" w:rsidP="002206E0">
      <w:pPr>
        <w:numPr>
          <w:ilvl w:val="0"/>
          <w:numId w:val="1"/>
        </w:numPr>
        <w:spacing w:after="240"/>
        <w:outlineLvl w:val="0"/>
      </w:pPr>
      <w:r>
        <w:t xml:space="preserve">En ce qui concerne le délai d’approvisionnement du matériel nécessaire pour l’institut de formation et </w:t>
      </w:r>
      <w:r w:rsidR="00E02FA1">
        <w:t xml:space="preserve">le </w:t>
      </w:r>
      <w:r w:rsidR="00E02FA1" w:rsidRPr="00E02FA1">
        <w:t>collège d’enseignement technologique</w:t>
      </w:r>
      <w:r>
        <w:t xml:space="preserve">, le PNUD a précisé que le retard était dû à un accord conclu avec le gouvernement </w:t>
      </w:r>
      <w:r w:rsidR="007B1ACE">
        <w:t>visant à</w:t>
      </w:r>
      <w:r>
        <w:t xml:space="preserve"> suspendre l’approvisionnement jusqu’à la publication des conclusions de l’étude, afin que le matériel acheté puisse répondre aux besoins réels, et pour procéder à un achat groupé compte tenu de l’instabilité du pays. Le processus d’appel d’offres est désormais terminé, le contrat a été attribué et la livraison et la distribution sont prévues dans deux à quatre mois</w:t>
      </w:r>
      <w:r w:rsidR="006F3DB2" w:rsidRPr="00A3051B">
        <w:rPr>
          <w:rStyle w:val="FootnoteReference"/>
        </w:rPr>
        <w:footnoteReference w:id="2"/>
      </w:r>
      <w:r>
        <w:t>. Le matériel acheté couvrira à la fois la formation et le programme de récupération et de régénération, tandis que le reste du matériel devant être acheté dans le cadre de la deuxième tranche sera uniquement dédié au programme de régénération et sera défini d’après les conclusions finales de l’étude de faisabilité.</w:t>
      </w:r>
    </w:p>
    <w:p w14:paraId="4F6D0E49" w14:textId="765A399D" w:rsidR="009F0CB5" w:rsidRPr="00A3051B" w:rsidRDefault="000D373E" w:rsidP="009511F1">
      <w:pPr>
        <w:numPr>
          <w:ilvl w:val="0"/>
          <w:numId w:val="1"/>
        </w:numPr>
        <w:spacing w:after="240"/>
        <w:outlineLvl w:val="0"/>
      </w:pPr>
      <w:r>
        <w:lastRenderedPageBreak/>
        <w:t>Le secrétariat s’est également renseigné sur la soumission d’un volet pour des activités complémentaires concernant l’efficacité énergétique au titre de la décision 89/6, qui a été intégré au plan d’activités de 2026 du PNUE. Le PNUE a indiqué qu’en raison du retard pris dans les discussions et la coordination des besoins et des suggestions d’activités avec les entités gouvernementales et le ministère concernés, la soumission est repoussée à 2027.</w:t>
      </w:r>
    </w:p>
    <w:p w14:paraId="0DD9C29B" w14:textId="3151B2D7" w:rsidR="00FC3EF2" w:rsidRPr="00A3051B" w:rsidRDefault="00BA738D" w:rsidP="002B7564">
      <w:pPr>
        <w:numPr>
          <w:ilvl w:val="0"/>
          <w:numId w:val="1"/>
        </w:numPr>
        <w:spacing w:after="240"/>
        <w:outlineLvl w:val="0"/>
      </w:pPr>
      <w:r>
        <w:t xml:space="preserve">En réponse à la demande du secrétariat au sujet de l’avancement du code de bonnes pratiques et du </w:t>
      </w:r>
      <w:r w:rsidR="005C35C1">
        <w:t xml:space="preserve">système </w:t>
      </w:r>
      <w:r>
        <w:t xml:space="preserve">de certification en réfrigération et climatisation, le PNUE a précisé qu’une entreprise internationale participe actuellement à des visites sur le terrain et à des réunions de consultation avec différentes institutions de formation en réfrigération et climatisation, et prévoit de finaliser la proposition de projet de </w:t>
      </w:r>
      <w:r w:rsidR="005C35C1">
        <w:t xml:space="preserve">système </w:t>
      </w:r>
      <w:r>
        <w:t xml:space="preserve">de certification et de code de bonnes pratiques d’ici la fin du troisième trimestre 2026. Le code de bonnes pratiques couvrira les critères d’un entretien </w:t>
      </w:r>
      <w:r w:rsidR="00AB2754">
        <w:t xml:space="preserve">de qualité </w:t>
      </w:r>
      <w:r>
        <w:t>pour les appareils de réfrigération domestiques et les applications de réfrigération commerciales, en particulier dans les domaines de la vente au détail, de l’entreposage frigorifique, du chauffage, de la ventilation et des systèmes de climatisation pour les bureaux et les bâtiments à usage commercial, en plus des appareils particuliers dédiés aux installations de santé et aux installations pharmaceutiques.</w:t>
      </w:r>
    </w:p>
    <w:p w14:paraId="31BA34DE" w14:textId="77777777" w:rsidR="00F72392" w:rsidRPr="00A3051B" w:rsidRDefault="00F72392">
      <w:pPr>
        <w:keepNext/>
        <w:spacing w:after="240"/>
        <w:rPr>
          <w:u w:val="single"/>
        </w:rPr>
      </w:pPr>
      <w:r>
        <w:rPr>
          <w:u w:val="single"/>
        </w:rPr>
        <w:t>Mise en œuvre de l’égalité des genres</w:t>
      </w:r>
    </w:p>
    <w:p w14:paraId="44C25687" w14:textId="56AB347E" w:rsidR="00622CD8" w:rsidRPr="00A3051B" w:rsidRDefault="004F0FC7" w:rsidP="002B7564">
      <w:pPr>
        <w:numPr>
          <w:ilvl w:val="0"/>
          <w:numId w:val="1"/>
        </w:numPr>
        <w:spacing w:after="240"/>
        <w:outlineLvl w:val="0"/>
      </w:pPr>
      <w:r>
        <w:t xml:space="preserve">Conformément à la décision 84/92 d), durant la mise en œuvre de la tranche précédente, l’UNO a fait la promotion de la politique d’égalité des genres du Fonds multilatéral au cours des activités déroulées dans le cadre du PGEH en encourageant les femmes à participer à la planification, à la formation et à la prise des décisions, en recueillant les données nécessaires et en abordant les questions de genre dans les ateliers. Lors des formations dispensées aux agents des douanes, environ 16,8 pour cent des participants étaient des femmes, et huit pour cent des personnes ayant participé à une formation pour techniciennes et techniciens en réfrigération et climatisation étaient des femmes. L’UNO s’engage à faire en sorte que 20 à 30 pour cent des agents des douanes et des techniciens en réfrigération et climatisation recevant une formation soient des femmes, à encourager les associations de réfrigération et </w:t>
      </w:r>
      <w:r w:rsidR="00AB2754">
        <w:t xml:space="preserve">de </w:t>
      </w:r>
      <w:r>
        <w:t>climatisation à promouvoir le recrutement de techniciennes, à intégrer des modules de sensibilisation aux questions de genre au cursus de formation en réfrigération et climatisation, à réaliser des campagnes de sensibilisation à la protection de la couche d’ozone dirigées par des expertes et des techniciennes, à recueillir des données ventilées par sexe sur l’engagement et la participation des femmes aux programmes de réfrigération et climatisation, et à intégrer des indicateurs pertinents dans les activités de suivi de projet.</w:t>
      </w:r>
    </w:p>
    <w:p w14:paraId="7E9690F6" w14:textId="77777777" w:rsidR="00F72392" w:rsidRPr="00A3051B" w:rsidRDefault="00F72392" w:rsidP="00F32F09">
      <w:pPr>
        <w:keepNext/>
        <w:spacing w:after="240"/>
        <w:outlineLvl w:val="0"/>
        <w:rPr>
          <w:u w:val="single"/>
        </w:rPr>
      </w:pPr>
      <w:r w:rsidRPr="00E717F9">
        <w:rPr>
          <w:u w:val="single"/>
        </w:rPr>
        <w:t>Durabilité de l’élimination des HCFC et évaluation des risques</w:t>
      </w:r>
    </w:p>
    <w:p w14:paraId="4D585492" w14:textId="27FA16EC" w:rsidR="00CD2037" w:rsidRPr="00A3051B" w:rsidRDefault="008C4B87" w:rsidP="009511F1">
      <w:pPr>
        <w:numPr>
          <w:ilvl w:val="0"/>
          <w:numId w:val="1"/>
        </w:numPr>
        <w:spacing w:after="240"/>
        <w:outlineLvl w:val="0"/>
      </w:pPr>
      <w:r>
        <w:t>Compte tenu de l’instabilité à laquelle le pays fait face ces dernières années, des risques pour la sécurité identifiés dans plusieurs régions du pays, et des retards qui ont suivi dans la mise en œuvre des activités et la soumission de la deuxième tranche, le secrétariat a prié le PNUE de lui fournir davantage d’informations sur les mesures prévues pour garantir la mise en œuvre de la deuxième tranche dans les délais prévus, tout en prenant note de l’avancée substantielle de la mise en œuvre de la première tranche.</w:t>
      </w:r>
    </w:p>
    <w:p w14:paraId="51F9E20F" w14:textId="5305E728" w:rsidR="00CD2037" w:rsidRPr="00A3051B" w:rsidRDefault="00115D1A" w:rsidP="002E4639">
      <w:pPr>
        <w:numPr>
          <w:ilvl w:val="0"/>
          <w:numId w:val="1"/>
        </w:numPr>
        <w:spacing w:after="240"/>
        <w:outlineLvl w:val="0"/>
      </w:pPr>
      <w:r>
        <w:t xml:space="preserve">Le PNUE a précisé que, d’après les enseignements tirés de la mise en œuvre de la première tranche, se reposer sur une escorte de police pour les missions de formation dans les régions instables entraîne souvent des coûts supplémentaires, génère un ressentiment au sein des communautés et peut même saper la confiance que les populations accordent au programme. Il a donc été convenu avec l’UNO d’opter pour des approches plus pratiques, plus économiques et plus sûres, notamment en choisissant avec soin le lieu des formations, en évitant les zones de conflit lors de l’élaboration des activités de formation et en demandant aux formateurs locaux des zones de conflit d’animer et de planifier </w:t>
      </w:r>
      <w:r w:rsidR="00B84576">
        <w:t xml:space="preserve">eux-mêmes </w:t>
      </w:r>
      <w:r>
        <w:t>les sessions de formation dans ces zones.</w:t>
      </w:r>
    </w:p>
    <w:p w14:paraId="603044CD" w14:textId="77777777" w:rsidR="00F72392" w:rsidRPr="00A3051B" w:rsidRDefault="00F72392">
      <w:pPr>
        <w:keepNext/>
        <w:spacing w:before="240" w:after="240"/>
        <w:rPr>
          <w:u w:val="single"/>
        </w:rPr>
      </w:pPr>
      <w:r>
        <w:rPr>
          <w:u w:val="single"/>
        </w:rPr>
        <w:lastRenderedPageBreak/>
        <w:t>Conclusion</w:t>
      </w:r>
    </w:p>
    <w:p w14:paraId="37FB6888" w14:textId="466B59BA" w:rsidR="00F320F2" w:rsidRPr="00A3051B" w:rsidRDefault="00F320F2" w:rsidP="00E14740">
      <w:pPr>
        <w:numPr>
          <w:ilvl w:val="0"/>
          <w:numId w:val="1"/>
        </w:numPr>
        <w:spacing w:after="240"/>
        <w:outlineLvl w:val="0"/>
      </w:pPr>
      <w:r>
        <w:t xml:space="preserve">Le Gouvernement de la République démocratique du Congo a réduit sa consommation de HCFC à 1,18 tonne PAO en 2025, ce qui représente 98 pour cent de moins que la valeur de référence pour les HCFC et 60 pour cent de moins que l’objectif de l’Accord pour cette même année. </w:t>
      </w:r>
      <w:r w:rsidR="00B84576" w:rsidRPr="00B84576">
        <w:t>Les activités liées au secteur de l’entretien, à la formation des douanes et à la mise en application, à l’élaboration du système de certification et à la mise à jour des cursus de formation en réfrigération et climatisation locaux progressent malgré les retards survenus et les difficultés en lien avec la situation politique et les problèmes de sécurité que connaît le pays depuis quelques années</w:t>
      </w:r>
      <w:r>
        <w:t xml:space="preserve">. Les activités prévues au titre de la deuxième tranche permettront de poursuivre la surveillance des importations de HCFC, avec notamment la formation des agents d’exécution de la loi, la modernisation des capacités techniques des techniciennes et techniciens en réfrigération et climatisation et la fourniture d’un soutien aux associations de réfrigération et </w:t>
      </w:r>
      <w:r w:rsidR="009E7518">
        <w:t xml:space="preserve">de </w:t>
      </w:r>
      <w:r>
        <w:t xml:space="preserve">climatisation locales, faciliteront la mise en place d’un programme de récupération et de régénération à l’issue de l’étude </w:t>
      </w:r>
      <w:r w:rsidR="009E7518">
        <w:t xml:space="preserve">de </w:t>
      </w:r>
      <w:r>
        <w:t>faisabilité actuellement en cours et renforceront les capacités des instituts de formation loca</w:t>
      </w:r>
      <w:r w:rsidR="00692152">
        <w:t>ux</w:t>
      </w:r>
      <w:r>
        <w:t xml:space="preserve"> après livraison du matériel de formation. </w:t>
      </w:r>
      <w:r w:rsidR="009E7518" w:rsidRPr="009E7518">
        <w:t>Le PNUE s’est engagé à remettre le rapport de vérification le plus tôt possible d’ici juillet</w:t>
      </w:r>
      <w:r>
        <w:t> 2026 et le PNUD soumettra l’étude de faisabilité au plus tard 10 semaines avant la 99</w:t>
      </w:r>
      <w:r>
        <w:rPr>
          <w:vertAlign w:val="superscript"/>
        </w:rPr>
        <w:t>e</w:t>
      </w:r>
      <w:r>
        <w:t> réunion. Le secrétariat recommande de ne pas transférer les fonds approuvés avant qu’il ait reçu et examiné le rapport de vérification et l’étude de faisabilité.</w:t>
      </w:r>
    </w:p>
    <w:p w14:paraId="57D46429" w14:textId="77777777" w:rsidR="00F72392" w:rsidRPr="00A3051B" w:rsidRDefault="00F72392">
      <w:pPr>
        <w:keepNext/>
        <w:spacing w:before="360" w:after="240"/>
        <w:rPr>
          <w:b/>
        </w:rPr>
      </w:pPr>
      <w:r>
        <w:rPr>
          <w:b/>
        </w:rPr>
        <w:t>RECOMMANDATION</w:t>
      </w:r>
    </w:p>
    <w:p w14:paraId="5621FB5B" w14:textId="76072A0D" w:rsidR="0092310A" w:rsidRPr="00A3051B" w:rsidRDefault="00F72392" w:rsidP="00F32126">
      <w:pPr>
        <w:pStyle w:val="Heading1"/>
      </w:pPr>
      <w:r>
        <w:t>Le Secrétariat du Fonds recommande au Comité exécutif de prendre note du rapport périodique portant sur la mise en œuvre de la première tranche de la phase II du plan de gestion de l’élimination des HCFC (PGEH) pour la République démocratique du Congo ; et recommande en outre l’approbation globale de la deuxième tranche de la phase II du PGEH pour la République démocratique du Congo, et du plan de mise en œuvre de la tranche pour la période 2026-2028 correspondant, au niveau de financement figurant dans le tableau ci-dessous, étant entendu que les fonds ne seront transmis :</w:t>
      </w:r>
    </w:p>
    <w:p w14:paraId="731C7AC4" w14:textId="73E82EE2" w:rsidR="00E03970" w:rsidRPr="00A3051B" w:rsidRDefault="009E7518" w:rsidP="00A818BA">
      <w:pPr>
        <w:pStyle w:val="Heading2"/>
      </w:pPr>
      <w:r w:rsidRPr="009E7518">
        <w:t>au PNUE et au PNUD qu’après l’examen par le secrétariat du rapport de vérification et après confirmation du secrétariat que la République démocratique du Congo respecte le Protocole de Montréal et l’Accord conclu entre le gouvernement et le Comité exécutif</w:t>
      </w:r>
      <w:r w:rsidR="00BB52A1">
        <w:t> ; et</w:t>
      </w:r>
    </w:p>
    <w:p w14:paraId="519271FC" w14:textId="1815100F" w:rsidR="00003EEC" w:rsidRPr="00A3051B" w:rsidRDefault="009E7518" w:rsidP="00DE792F">
      <w:pPr>
        <w:pStyle w:val="Heading2"/>
      </w:pPr>
      <w:r w:rsidRPr="009E7518">
        <w:t>au PNUD qu’après l’examen par le secrétariat du rapport final de l’étude de faisabilité concernant la mise en place d’un système de récupération et de régénération en République démocratique du Congo, qui doit être soumis au moins</w:t>
      </w:r>
      <w:r>
        <w:t xml:space="preserve"> </w:t>
      </w:r>
      <w:r w:rsidR="00FB4A12">
        <w:t>10 semaines avant la 99</w:t>
      </w:r>
      <w:r w:rsidR="00FB4A12" w:rsidRPr="009E7518">
        <w:rPr>
          <w:vertAlign w:val="superscript"/>
        </w:rPr>
        <w:t>e</w:t>
      </w:r>
      <w:r w:rsidR="00FB4A12">
        <w:t> réunion du Comité exécutif.</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04"/>
        <w:gridCol w:w="1557"/>
        <w:gridCol w:w="1451"/>
        <w:gridCol w:w="1588"/>
      </w:tblGrid>
      <w:tr w:rsidR="00F72392" w:rsidRPr="00A3051B" w14:paraId="54856515" w14:textId="77777777">
        <w:trPr>
          <w:tblHeader/>
        </w:trPr>
        <w:tc>
          <w:tcPr>
            <w:tcW w:w="540" w:type="dxa"/>
            <w:vAlign w:val="center"/>
          </w:tcPr>
          <w:p w14:paraId="688BACA9" w14:textId="77777777" w:rsidR="00F72392" w:rsidRPr="00A3051B" w:rsidRDefault="00F72392">
            <w:pPr>
              <w:keepNext/>
              <w:spacing w:before="20" w:after="20"/>
              <w:jc w:val="center"/>
              <w:rPr>
                <w:b/>
                <w:bCs/>
                <w:sz w:val="20"/>
                <w:szCs w:val="20"/>
              </w:rPr>
            </w:pPr>
          </w:p>
        </w:tc>
        <w:tc>
          <w:tcPr>
            <w:tcW w:w="4309" w:type="dxa"/>
            <w:vAlign w:val="center"/>
          </w:tcPr>
          <w:p w14:paraId="516BC1E2" w14:textId="77777777" w:rsidR="00F72392" w:rsidRPr="00A3051B" w:rsidRDefault="00F72392">
            <w:pPr>
              <w:keepNext/>
              <w:spacing w:before="20" w:after="20"/>
              <w:jc w:val="center"/>
              <w:rPr>
                <w:b/>
                <w:bCs/>
                <w:sz w:val="20"/>
                <w:szCs w:val="20"/>
              </w:rPr>
            </w:pPr>
            <w:r>
              <w:rPr>
                <w:b/>
                <w:sz w:val="20"/>
              </w:rPr>
              <w:t>Titre du projet</w:t>
            </w:r>
          </w:p>
        </w:tc>
        <w:tc>
          <w:tcPr>
            <w:tcW w:w="1559" w:type="dxa"/>
            <w:tcMar>
              <w:left w:w="29" w:type="dxa"/>
              <w:right w:w="29" w:type="dxa"/>
            </w:tcMar>
            <w:vAlign w:val="center"/>
          </w:tcPr>
          <w:p w14:paraId="2DF9E9EC" w14:textId="77777777" w:rsidR="00F72392" w:rsidRPr="00A3051B" w:rsidRDefault="00F72392">
            <w:pPr>
              <w:keepNext/>
              <w:spacing w:before="20" w:after="20"/>
              <w:jc w:val="center"/>
              <w:rPr>
                <w:b/>
                <w:bCs/>
                <w:sz w:val="20"/>
                <w:szCs w:val="20"/>
              </w:rPr>
            </w:pPr>
            <w:r>
              <w:rPr>
                <w:b/>
                <w:sz w:val="20"/>
              </w:rPr>
              <w:t>Financement du projet ($US)</w:t>
            </w:r>
          </w:p>
        </w:tc>
        <w:tc>
          <w:tcPr>
            <w:tcW w:w="1452" w:type="dxa"/>
            <w:tcMar>
              <w:left w:w="29" w:type="dxa"/>
              <w:right w:w="29" w:type="dxa"/>
            </w:tcMar>
            <w:vAlign w:val="center"/>
          </w:tcPr>
          <w:p w14:paraId="678FCF02" w14:textId="77777777" w:rsidR="00F72392" w:rsidRPr="00A3051B" w:rsidRDefault="00F72392">
            <w:pPr>
              <w:keepNext/>
              <w:spacing w:before="20" w:after="20"/>
              <w:jc w:val="center"/>
              <w:rPr>
                <w:b/>
                <w:bCs/>
                <w:sz w:val="20"/>
                <w:szCs w:val="20"/>
              </w:rPr>
            </w:pPr>
            <w:r>
              <w:rPr>
                <w:b/>
                <w:sz w:val="20"/>
              </w:rPr>
              <w:t>Coûts d’appui ($US)</w:t>
            </w:r>
          </w:p>
        </w:tc>
        <w:tc>
          <w:tcPr>
            <w:tcW w:w="1590" w:type="dxa"/>
            <w:tcMar>
              <w:left w:w="29" w:type="dxa"/>
              <w:right w:w="29" w:type="dxa"/>
            </w:tcMar>
            <w:vAlign w:val="center"/>
          </w:tcPr>
          <w:p w14:paraId="13057C7C" w14:textId="77777777" w:rsidR="00F72392" w:rsidRPr="00A3051B" w:rsidRDefault="00F72392">
            <w:pPr>
              <w:keepNext/>
              <w:spacing w:before="20" w:after="20"/>
              <w:jc w:val="center"/>
              <w:rPr>
                <w:b/>
                <w:bCs/>
                <w:sz w:val="20"/>
                <w:szCs w:val="20"/>
              </w:rPr>
            </w:pPr>
            <w:r>
              <w:rPr>
                <w:b/>
                <w:sz w:val="20"/>
              </w:rPr>
              <w:t>Agence d’exécution</w:t>
            </w:r>
          </w:p>
        </w:tc>
      </w:tr>
      <w:tr w:rsidR="00F72392" w:rsidRPr="00A3051B" w14:paraId="378263A3" w14:textId="77777777">
        <w:tc>
          <w:tcPr>
            <w:tcW w:w="540" w:type="dxa"/>
          </w:tcPr>
          <w:p w14:paraId="1C83ADC6" w14:textId="77777777" w:rsidR="00F72392" w:rsidRPr="00A3051B" w:rsidRDefault="00F72392">
            <w:pPr>
              <w:keepNext/>
              <w:spacing w:before="20" w:after="20"/>
              <w:jc w:val="left"/>
              <w:rPr>
                <w:sz w:val="20"/>
                <w:szCs w:val="20"/>
              </w:rPr>
            </w:pPr>
            <w:r>
              <w:rPr>
                <w:sz w:val="20"/>
              </w:rPr>
              <w:t>a)</w:t>
            </w:r>
          </w:p>
        </w:tc>
        <w:tc>
          <w:tcPr>
            <w:tcW w:w="4309" w:type="dxa"/>
          </w:tcPr>
          <w:p w14:paraId="02AE41ED" w14:textId="3130276C" w:rsidR="00F72392" w:rsidRPr="00A3051B" w:rsidRDefault="00F72392">
            <w:pPr>
              <w:keepNext/>
              <w:spacing w:before="20" w:after="20"/>
              <w:jc w:val="left"/>
              <w:rPr>
                <w:sz w:val="20"/>
                <w:szCs w:val="20"/>
              </w:rPr>
            </w:pPr>
            <w:r>
              <w:rPr>
                <w:sz w:val="20"/>
              </w:rPr>
              <w:t>Plan de gestion de l’élimination des HCFC (phase II, deuxième tranche)</w:t>
            </w:r>
          </w:p>
        </w:tc>
        <w:tc>
          <w:tcPr>
            <w:tcW w:w="1559" w:type="dxa"/>
            <w:vAlign w:val="center"/>
          </w:tcPr>
          <w:p w14:paraId="7223CF07" w14:textId="583077AA" w:rsidR="00F72392" w:rsidRPr="00A3051B" w:rsidRDefault="00B7396D">
            <w:pPr>
              <w:keepNext/>
              <w:spacing w:before="20" w:after="20"/>
              <w:jc w:val="right"/>
              <w:rPr>
                <w:sz w:val="20"/>
                <w:szCs w:val="20"/>
              </w:rPr>
            </w:pPr>
            <w:r>
              <w:rPr>
                <w:sz w:val="20"/>
              </w:rPr>
              <w:t>160 000</w:t>
            </w:r>
          </w:p>
        </w:tc>
        <w:tc>
          <w:tcPr>
            <w:tcW w:w="1452" w:type="dxa"/>
            <w:vAlign w:val="center"/>
          </w:tcPr>
          <w:p w14:paraId="62CA26A5" w14:textId="06DD50E4" w:rsidR="00F72392" w:rsidRPr="00A3051B" w:rsidRDefault="00B7396D">
            <w:pPr>
              <w:keepNext/>
              <w:spacing w:before="20" w:after="20"/>
              <w:jc w:val="right"/>
            </w:pPr>
            <w:r>
              <w:rPr>
                <w:sz w:val="20"/>
              </w:rPr>
              <w:t>20 267</w:t>
            </w:r>
          </w:p>
        </w:tc>
        <w:tc>
          <w:tcPr>
            <w:tcW w:w="1590" w:type="dxa"/>
            <w:vAlign w:val="center"/>
          </w:tcPr>
          <w:p w14:paraId="00397677" w14:textId="23EDBD40" w:rsidR="00F72392" w:rsidRPr="00A3051B" w:rsidRDefault="00B7396D">
            <w:pPr>
              <w:keepNext/>
              <w:spacing w:before="20" w:after="20"/>
              <w:jc w:val="center"/>
              <w:rPr>
                <w:sz w:val="20"/>
                <w:szCs w:val="20"/>
              </w:rPr>
            </w:pPr>
            <w:r>
              <w:rPr>
                <w:sz w:val="20"/>
              </w:rPr>
              <w:t>PNUE</w:t>
            </w:r>
          </w:p>
        </w:tc>
      </w:tr>
      <w:tr w:rsidR="00F72392" w:rsidRPr="00E9063C" w14:paraId="6559E06F" w14:textId="77777777">
        <w:tc>
          <w:tcPr>
            <w:tcW w:w="540" w:type="dxa"/>
          </w:tcPr>
          <w:p w14:paraId="203524BB" w14:textId="77777777" w:rsidR="00F72392" w:rsidRPr="00A3051B" w:rsidRDefault="00F72392">
            <w:pPr>
              <w:spacing w:before="20" w:after="20"/>
              <w:jc w:val="left"/>
              <w:rPr>
                <w:sz w:val="20"/>
                <w:szCs w:val="20"/>
              </w:rPr>
            </w:pPr>
            <w:r>
              <w:rPr>
                <w:sz w:val="20"/>
              </w:rPr>
              <w:t>b)</w:t>
            </w:r>
          </w:p>
        </w:tc>
        <w:tc>
          <w:tcPr>
            <w:tcW w:w="4309" w:type="dxa"/>
          </w:tcPr>
          <w:p w14:paraId="31CEEADB" w14:textId="059F6C6D" w:rsidR="00F72392" w:rsidRPr="00A3051B" w:rsidRDefault="00F72392">
            <w:pPr>
              <w:spacing w:before="20" w:after="20"/>
              <w:jc w:val="left"/>
              <w:rPr>
                <w:sz w:val="20"/>
                <w:szCs w:val="20"/>
              </w:rPr>
            </w:pPr>
            <w:r>
              <w:rPr>
                <w:sz w:val="20"/>
              </w:rPr>
              <w:t>Plan de gestion de l’élimination des HCFC (phase II, deuxième tranche)</w:t>
            </w:r>
          </w:p>
        </w:tc>
        <w:tc>
          <w:tcPr>
            <w:tcW w:w="1559" w:type="dxa"/>
            <w:vAlign w:val="center"/>
          </w:tcPr>
          <w:p w14:paraId="6A14B3FD" w14:textId="251E17C6" w:rsidR="00F72392" w:rsidRPr="00A3051B" w:rsidRDefault="00B7396D">
            <w:pPr>
              <w:spacing w:before="20" w:after="20"/>
              <w:jc w:val="right"/>
              <w:rPr>
                <w:sz w:val="20"/>
                <w:szCs w:val="20"/>
              </w:rPr>
            </w:pPr>
            <w:r>
              <w:rPr>
                <w:sz w:val="20"/>
              </w:rPr>
              <w:t>210 500</w:t>
            </w:r>
          </w:p>
        </w:tc>
        <w:tc>
          <w:tcPr>
            <w:tcW w:w="1452" w:type="dxa"/>
            <w:vAlign w:val="center"/>
          </w:tcPr>
          <w:p w14:paraId="3749E859" w14:textId="343F7530" w:rsidR="00F72392" w:rsidRPr="00A3051B" w:rsidRDefault="00E27DA6">
            <w:pPr>
              <w:spacing w:before="20" w:after="20"/>
              <w:jc w:val="right"/>
            </w:pPr>
            <w:r>
              <w:rPr>
                <w:sz w:val="20"/>
              </w:rPr>
              <w:t>14 735</w:t>
            </w:r>
          </w:p>
        </w:tc>
        <w:tc>
          <w:tcPr>
            <w:tcW w:w="1590" w:type="dxa"/>
            <w:vAlign w:val="center"/>
          </w:tcPr>
          <w:p w14:paraId="29636657" w14:textId="091BBCCA" w:rsidR="00F72392" w:rsidRPr="00E27DA6" w:rsidRDefault="00E27DA6">
            <w:pPr>
              <w:spacing w:before="20" w:after="20"/>
              <w:jc w:val="center"/>
              <w:rPr>
                <w:sz w:val="20"/>
                <w:szCs w:val="20"/>
              </w:rPr>
            </w:pPr>
            <w:r>
              <w:rPr>
                <w:sz w:val="20"/>
              </w:rPr>
              <w:t>PNUD</w:t>
            </w:r>
          </w:p>
        </w:tc>
      </w:tr>
    </w:tbl>
    <w:p w14:paraId="72198840" w14:textId="7106772C" w:rsidR="00DE20E8" w:rsidRDefault="00DE20E8" w:rsidP="00DE20E8">
      <w:pPr>
        <w:tabs>
          <w:tab w:val="left" w:pos="7855"/>
        </w:tabs>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8"/>
        <w:gridCol w:w="1890"/>
        <w:gridCol w:w="1890"/>
        <w:gridCol w:w="1890"/>
        <w:gridCol w:w="1892"/>
      </w:tblGrid>
      <w:tr w:rsidR="001649E9" w:rsidRPr="009B0D30" w14:paraId="025190E0" w14:textId="77777777" w:rsidTr="00A36090">
        <w:tc>
          <w:tcPr>
            <w:tcW w:w="999" w:type="pct"/>
          </w:tcPr>
          <w:p w14:paraId="359654E5" w14:textId="77777777" w:rsidR="001649E9" w:rsidRPr="009B0D30" w:rsidRDefault="001649E9" w:rsidP="00A36090"/>
        </w:tc>
        <w:tc>
          <w:tcPr>
            <w:tcW w:w="1000" w:type="pct"/>
          </w:tcPr>
          <w:p w14:paraId="6343B061" w14:textId="77777777" w:rsidR="001649E9" w:rsidRPr="009B0D30" w:rsidRDefault="001649E9" w:rsidP="00A36090"/>
        </w:tc>
        <w:tc>
          <w:tcPr>
            <w:tcW w:w="1000" w:type="pct"/>
            <w:tcBorders>
              <w:bottom w:val="single" w:sz="4" w:space="0" w:color="auto"/>
            </w:tcBorders>
          </w:tcPr>
          <w:p w14:paraId="36D25540" w14:textId="77777777" w:rsidR="001649E9" w:rsidRPr="009B0D30" w:rsidRDefault="001649E9" w:rsidP="00A36090"/>
        </w:tc>
        <w:tc>
          <w:tcPr>
            <w:tcW w:w="1000" w:type="pct"/>
          </w:tcPr>
          <w:p w14:paraId="3E1D5430" w14:textId="77777777" w:rsidR="001649E9" w:rsidRPr="009B0D30" w:rsidRDefault="001649E9" w:rsidP="00A36090"/>
        </w:tc>
        <w:tc>
          <w:tcPr>
            <w:tcW w:w="1001" w:type="pct"/>
          </w:tcPr>
          <w:p w14:paraId="06338A69" w14:textId="77777777" w:rsidR="001649E9" w:rsidRPr="009B0D30" w:rsidRDefault="001649E9" w:rsidP="00A36090"/>
        </w:tc>
      </w:tr>
    </w:tbl>
    <w:p w14:paraId="0E2F93BB" w14:textId="77777777" w:rsidR="001649E9" w:rsidRPr="00FB73CA" w:rsidRDefault="001649E9" w:rsidP="001649E9">
      <w:pPr>
        <w:jc w:val="center"/>
        <w:rPr>
          <w:sz w:val="16"/>
        </w:rPr>
      </w:pPr>
    </w:p>
    <w:p w14:paraId="1AB30E9C" w14:textId="77777777" w:rsidR="00560EF0" w:rsidRPr="00DE20E8" w:rsidRDefault="00560EF0" w:rsidP="00DE20E8">
      <w:pPr>
        <w:tabs>
          <w:tab w:val="left" w:pos="7855"/>
        </w:tabs>
      </w:pPr>
    </w:p>
    <w:sectPr w:rsidR="00560EF0" w:rsidRPr="00DE20E8" w:rsidSect="004A6A59">
      <w:headerReference w:type="even" r:id="rId13"/>
      <w:headerReference w:type="default" r:id="rId14"/>
      <w:footerReference w:type="even" r:id="rId15"/>
      <w:footerReference w:type="default" r:id="rId16"/>
      <w:footerReference w:type="first" r:id="rId17"/>
      <w:pgSz w:w="12240" w:h="15840" w:code="1"/>
      <w:pgMar w:top="720" w:right="135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7C7248" w14:textId="77777777" w:rsidR="00844B1B" w:rsidRDefault="00844B1B" w:rsidP="004A504B">
      <w:r>
        <w:separator/>
      </w:r>
    </w:p>
  </w:endnote>
  <w:endnote w:type="continuationSeparator" w:id="0">
    <w:p w14:paraId="15A8BE8E" w14:textId="77777777" w:rsidR="00844B1B" w:rsidRDefault="00844B1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639707"/>
      <w:docPartObj>
        <w:docPartGallery w:val="Page Numbers (Bottom of Page)"/>
        <w:docPartUnique/>
      </w:docPartObj>
    </w:sdtPr>
    <w:sdtEndPr>
      <w:rPr>
        <w:noProof/>
      </w:rPr>
    </w:sdtEndPr>
    <w:sdtContent>
      <w:p w14:paraId="192D383E" w14:textId="2FDC9A89" w:rsidR="00DC5245" w:rsidRDefault="00DC5245" w:rsidP="00DC5245">
        <w:pPr>
          <w:pStyle w:val="Footer"/>
          <w:jc w:val="center"/>
        </w:pPr>
        <w:r>
          <w:fldChar w:fldCharType="begin"/>
        </w:r>
        <w:r>
          <w:instrText xml:space="preserve"> PAGE   \* MERGEFORMAT </w:instrText>
        </w:r>
        <w:r>
          <w:fldChar w:fldCharType="separate"/>
        </w:r>
        <w: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6483815"/>
      <w:docPartObj>
        <w:docPartGallery w:val="Page Numbers (Bottom of Page)"/>
        <w:docPartUnique/>
      </w:docPartObj>
    </w:sdtPr>
    <w:sdtEndPr>
      <w:rPr>
        <w:noProof/>
      </w:rPr>
    </w:sdtEndPr>
    <w:sdtContent>
      <w:p w14:paraId="23EA976F" w14:textId="7B2134E5" w:rsidR="00DC5245" w:rsidRDefault="00DC5245" w:rsidP="00DC5245">
        <w:pPr>
          <w:pStyle w:val="Footer"/>
          <w:jc w:val="center"/>
        </w:pPr>
        <w:r>
          <w:fldChar w:fldCharType="begin"/>
        </w:r>
        <w:r>
          <w:instrText xml:space="preserve"> PAGE   \* MERGEFORMAT </w:instrText>
        </w:r>
        <w:r>
          <w:fldChar w:fldCharType="separate"/>
        </w:r>
        <w: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64D7C" w14:textId="77777777" w:rsidR="00500865" w:rsidRDefault="00500865" w:rsidP="00500865">
    <w:pPr>
      <w:pBdr>
        <w:top w:val="single" w:sz="4" w:space="4" w:color="auto"/>
        <w:left w:val="single" w:sz="4" w:space="4" w:color="auto"/>
        <w:bottom w:val="single" w:sz="4" w:space="9" w:color="auto"/>
        <w:right w:val="single" w:sz="4" w:space="4" w:color="auto"/>
      </w:pBdr>
      <w:jc w:val="center"/>
      <w:textAlignment w:val="top"/>
      <w:rPr>
        <w:rFonts w:cs="MS Serif"/>
        <w:sz w:val="18"/>
        <w:szCs w:val="18"/>
      </w:rPr>
    </w:pPr>
    <w:r w:rsidRPr="00C72ACD">
      <w:rPr>
        <w:rFonts w:cs="MS Serif"/>
        <w:sz w:val="18"/>
        <w:szCs w:val="18"/>
      </w:rPr>
      <w:t>Les documents de présession du Comité exécutif du Fonds multilatéral aux fins d’application du Protocole de Montréal</w:t>
    </w:r>
  </w:p>
  <w:p w14:paraId="1D67482B" w14:textId="568DC6F5" w:rsidR="003E7978" w:rsidRPr="00500865" w:rsidRDefault="00500865" w:rsidP="00500865">
    <w:pPr>
      <w:pBdr>
        <w:top w:val="single" w:sz="4" w:space="4" w:color="auto"/>
        <w:left w:val="single" w:sz="4" w:space="4" w:color="auto"/>
        <w:bottom w:val="single" w:sz="4" w:space="9" w:color="auto"/>
        <w:right w:val="single" w:sz="4" w:space="4" w:color="auto"/>
      </w:pBdr>
      <w:jc w:val="center"/>
      <w:textAlignment w:val="center"/>
      <w:rPr>
        <w:sz w:val="18"/>
        <w:szCs w:val="18"/>
      </w:rPr>
    </w:pPr>
    <w:r w:rsidRPr="00C72ACD">
      <w:rPr>
        <w:rFonts w:cs="MS Serif"/>
        <w:sz w:val="18"/>
        <w:szCs w:val="18"/>
      </w:rPr>
      <w:t>sont présentés sous réserve des décisions pouvant être prises par le Comité exécutif après leur publication.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F97989" w14:textId="77777777" w:rsidR="00844B1B" w:rsidRDefault="00844B1B" w:rsidP="004A504B">
      <w:r>
        <w:separator/>
      </w:r>
    </w:p>
  </w:footnote>
  <w:footnote w:type="continuationSeparator" w:id="0">
    <w:p w14:paraId="3F56D2A2" w14:textId="77777777" w:rsidR="00844B1B" w:rsidRDefault="00844B1B" w:rsidP="004A504B">
      <w:r>
        <w:continuationSeparator/>
      </w:r>
    </w:p>
  </w:footnote>
  <w:footnote w:id="1">
    <w:p w14:paraId="189A1478" w14:textId="2681506C" w:rsidR="00F72392" w:rsidRPr="001E1147" w:rsidRDefault="00F72392">
      <w:pPr>
        <w:pStyle w:val="FootnoteText"/>
        <w:spacing w:after="120"/>
      </w:pPr>
      <w:r>
        <w:rPr>
          <w:rStyle w:val="FootnoteReference"/>
        </w:rPr>
        <w:footnoteRef/>
      </w:r>
      <w:r>
        <w:t> UNEP/OzL.Pro/ExCom/98/1</w:t>
      </w:r>
    </w:p>
  </w:footnote>
  <w:footnote w:id="2">
    <w:p w14:paraId="691194A9" w14:textId="7A58AD61" w:rsidR="006F3DB2" w:rsidRPr="002B7564" w:rsidRDefault="006F3DB2">
      <w:pPr>
        <w:pStyle w:val="FootnoteText"/>
      </w:pPr>
      <w:r>
        <w:rPr>
          <w:rStyle w:val="FootnoteReference"/>
        </w:rPr>
        <w:footnoteRef/>
      </w:r>
      <w:r>
        <w:t xml:space="preserve"> L’achat </w:t>
      </w:r>
      <w:r w:rsidR="007B1ACE">
        <w:t>porte sur</w:t>
      </w:r>
      <w:r>
        <w:t xml:space="preserve"> des unités de récupération, des bouteilles de récupération, des manomètres de collecteur électroniques, des pompes à vide, des jauges à vide, des balances électroniques, des détecteurs de fuites, des outils pour tuyaux, des kits pour l’azote, des stations de rinçage, des détecteurs de fuites de gaz combustibles, des pompe</w:t>
      </w:r>
      <w:r w:rsidR="007B1ACE">
        <w:t>s</w:t>
      </w:r>
      <w:r>
        <w:t xml:space="preserve"> à vide à haut débit et </w:t>
      </w:r>
      <w:r w:rsidR="007B1ACE" w:rsidRPr="007B1ACE">
        <w:t xml:space="preserve">divers </w:t>
      </w:r>
      <w:r>
        <w:t>outils d’entretien.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B281D" w14:textId="44EB619F" w:rsidR="00127944" w:rsidRPr="0033525D" w:rsidRDefault="00500865">
    <w:fldSimple w:instr=" DOCPROPERTY &quot;Document number&quot;  \* MERGEFORMAT ">
      <w:r>
        <w:t>UNEP/OzL.Pro/ExCom/98/32</w:t>
      </w:r>
    </w:fldSimple>
  </w:p>
  <w:p w14:paraId="5D2EBFC5" w14:textId="74F721F8" w:rsidR="00127944" w:rsidRDefault="00127944"/>
  <w:p w14:paraId="00B143B8" w14:textId="77777777" w:rsidR="00127944" w:rsidRPr="0033525D" w:rsidRDefault="0012794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36AD1" w14:textId="28E1F1FE" w:rsidR="00353B65" w:rsidRPr="0033525D" w:rsidRDefault="00500865">
    <w:pPr>
      <w:jc w:val="right"/>
    </w:pPr>
    <w:fldSimple w:instr=" DOCPROPERTY &quot;Document number&quot;  \* MERGEFORMAT ">
      <w:r>
        <w:t>UNEP/OzL.Pro/ExCom/98/32</w:t>
      </w:r>
    </w:fldSimple>
  </w:p>
  <w:p w14:paraId="463BFBCF" w14:textId="77777777" w:rsidR="00DE20E8" w:rsidRPr="0033525D" w:rsidRDefault="00DE20E8" w:rsidP="00353B65">
    <w:pPr>
      <w:jc w:val="right"/>
    </w:pPr>
  </w:p>
  <w:p w14:paraId="26E3CEC6" w14:textId="77777777" w:rsidR="00127944" w:rsidRPr="0033525D" w:rsidRDefault="00127944" w:rsidP="00DE20E8">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337A4B96"/>
    <w:lvl w:ilvl="0">
      <w:start w:val="1"/>
      <w:numFmt w:val="decimal"/>
      <w:pStyle w:val="Heading1"/>
      <w:lvlText w:val="%1."/>
      <w:lvlJc w:val="left"/>
      <w:pPr>
        <w:tabs>
          <w:tab w:val="num" w:pos="0"/>
        </w:tabs>
        <w:ind w:left="0" w:firstLine="0"/>
      </w:pPr>
      <w:rPr>
        <w:rFonts w:hint="default"/>
        <w:color w:val="auto"/>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3FF6A47"/>
    <w:multiLevelType w:val="hybridMultilevel"/>
    <w:tmpl w:val="052EEFA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29FA0C46"/>
    <w:multiLevelType w:val="hybridMultilevel"/>
    <w:tmpl w:val="AE14DFDA"/>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B993C64"/>
    <w:multiLevelType w:val="hybridMultilevel"/>
    <w:tmpl w:val="0F36D74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4063A7B7"/>
    <w:multiLevelType w:val="hybridMultilevel"/>
    <w:tmpl w:val="11901A7A"/>
    <w:styleLink w:val="1ai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6" w15:restartNumberingAfterBreak="0">
    <w:nsid w:val="4B6F1DF6"/>
    <w:multiLevelType w:val="hybridMultilevel"/>
    <w:tmpl w:val="5538D3C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 w15:restartNumberingAfterBreak="0">
    <w:nsid w:val="5711CE02"/>
    <w:multiLevelType w:val="multilevel"/>
    <w:tmpl w:val="00F4CC7A"/>
    <w:styleLink w:val="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6899D02A"/>
    <w:multiLevelType w:val="hybridMultilevel"/>
    <w:tmpl w:val="EBEE8874"/>
    <w:styleLink w:val="ArticleSection1"/>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12" w15:restartNumberingAfterBreak="0">
    <w:nsid w:val="77EC70F9"/>
    <w:multiLevelType w:val="hybridMultilevel"/>
    <w:tmpl w:val="B894A22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0"/>
  </w:num>
  <w:num w:numId="2" w16cid:durableId="1793548327">
    <w:abstractNumId w:val="4"/>
  </w:num>
  <w:num w:numId="3" w16cid:durableId="1137381005">
    <w:abstractNumId w:val="7"/>
  </w:num>
  <w:num w:numId="4" w16cid:durableId="671107749">
    <w:abstractNumId w:val="8"/>
  </w:num>
  <w:num w:numId="5" w16cid:durableId="1526870837">
    <w:abstractNumId w:val="13"/>
  </w:num>
  <w:num w:numId="6" w16cid:durableId="1051735893">
    <w:abstractNumId w:val="10"/>
  </w:num>
  <w:num w:numId="7" w16cid:durableId="1074813681">
    <w:abstractNumId w:val="9"/>
  </w:num>
  <w:num w:numId="8" w16cid:durableId="1725564835">
    <w:abstractNumId w:val="5"/>
  </w:num>
  <w:num w:numId="9" w16cid:durableId="1269001707">
    <w:abstractNumId w:val="11"/>
  </w:num>
  <w:num w:numId="10" w16cid:durableId="681517897">
    <w:abstractNumId w:val="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72725366">
    <w:abstractNumId w:val="2"/>
  </w:num>
  <w:num w:numId="12" w16cid:durableId="2103840968">
    <w:abstractNumId w:val="1"/>
  </w:num>
  <w:num w:numId="13" w16cid:durableId="722101850">
    <w:abstractNumId w:val="6"/>
  </w:num>
  <w:num w:numId="14" w16cid:durableId="1886797166">
    <w:abstractNumId w:val="12"/>
  </w:num>
  <w:num w:numId="15" w16cid:durableId="369766737">
    <w:abstractNumId w:val="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1E1C83"/>
    <w:rsid w:val="00000042"/>
    <w:rsid w:val="00000876"/>
    <w:rsid w:val="00000A2E"/>
    <w:rsid w:val="00000FED"/>
    <w:rsid w:val="0000125E"/>
    <w:rsid w:val="0000284D"/>
    <w:rsid w:val="00003D27"/>
    <w:rsid w:val="00003EEC"/>
    <w:rsid w:val="0000434E"/>
    <w:rsid w:val="000059A2"/>
    <w:rsid w:val="00006044"/>
    <w:rsid w:val="00007F2B"/>
    <w:rsid w:val="00013B54"/>
    <w:rsid w:val="00013C18"/>
    <w:rsid w:val="00013D40"/>
    <w:rsid w:val="0001485A"/>
    <w:rsid w:val="000157FF"/>
    <w:rsid w:val="00016E56"/>
    <w:rsid w:val="00016FBD"/>
    <w:rsid w:val="000175D7"/>
    <w:rsid w:val="00021007"/>
    <w:rsid w:val="000219FC"/>
    <w:rsid w:val="00021A4C"/>
    <w:rsid w:val="00022BDD"/>
    <w:rsid w:val="00023BB5"/>
    <w:rsid w:val="000244A3"/>
    <w:rsid w:val="00026260"/>
    <w:rsid w:val="00027178"/>
    <w:rsid w:val="00031260"/>
    <w:rsid w:val="000327D0"/>
    <w:rsid w:val="00033B68"/>
    <w:rsid w:val="00033E3E"/>
    <w:rsid w:val="0003498D"/>
    <w:rsid w:val="00034D5D"/>
    <w:rsid w:val="00035B94"/>
    <w:rsid w:val="00036482"/>
    <w:rsid w:val="00036522"/>
    <w:rsid w:val="000365FD"/>
    <w:rsid w:val="0003681A"/>
    <w:rsid w:val="000421F1"/>
    <w:rsid w:val="000429C6"/>
    <w:rsid w:val="00042BA4"/>
    <w:rsid w:val="0004366A"/>
    <w:rsid w:val="000450CA"/>
    <w:rsid w:val="00045543"/>
    <w:rsid w:val="00045EFD"/>
    <w:rsid w:val="0004742D"/>
    <w:rsid w:val="00047518"/>
    <w:rsid w:val="000478C5"/>
    <w:rsid w:val="0005080B"/>
    <w:rsid w:val="000534C2"/>
    <w:rsid w:val="000554FD"/>
    <w:rsid w:val="00055673"/>
    <w:rsid w:val="00055D21"/>
    <w:rsid w:val="000564A3"/>
    <w:rsid w:val="000565EB"/>
    <w:rsid w:val="00056D6E"/>
    <w:rsid w:val="00057D3C"/>
    <w:rsid w:val="00060273"/>
    <w:rsid w:val="00063935"/>
    <w:rsid w:val="00065035"/>
    <w:rsid w:val="00065D34"/>
    <w:rsid w:val="00065F8D"/>
    <w:rsid w:val="00065FAD"/>
    <w:rsid w:val="000661E9"/>
    <w:rsid w:val="000662A7"/>
    <w:rsid w:val="00067F23"/>
    <w:rsid w:val="00070584"/>
    <w:rsid w:val="00071308"/>
    <w:rsid w:val="00071EE2"/>
    <w:rsid w:val="000723F6"/>
    <w:rsid w:val="00072B13"/>
    <w:rsid w:val="00073A74"/>
    <w:rsid w:val="00075A18"/>
    <w:rsid w:val="00076CEE"/>
    <w:rsid w:val="00077325"/>
    <w:rsid w:val="00077743"/>
    <w:rsid w:val="00080ED0"/>
    <w:rsid w:val="00081D67"/>
    <w:rsid w:val="0008299F"/>
    <w:rsid w:val="00083C63"/>
    <w:rsid w:val="00084B30"/>
    <w:rsid w:val="00085B8F"/>
    <w:rsid w:val="000861CC"/>
    <w:rsid w:val="00087AFC"/>
    <w:rsid w:val="00090481"/>
    <w:rsid w:val="000909B2"/>
    <w:rsid w:val="0009122D"/>
    <w:rsid w:val="000912DD"/>
    <w:rsid w:val="00091A22"/>
    <w:rsid w:val="00092000"/>
    <w:rsid w:val="00092DFB"/>
    <w:rsid w:val="00092E68"/>
    <w:rsid w:val="0009431F"/>
    <w:rsid w:val="00095D68"/>
    <w:rsid w:val="000974A8"/>
    <w:rsid w:val="000A134A"/>
    <w:rsid w:val="000A23AB"/>
    <w:rsid w:val="000A23C0"/>
    <w:rsid w:val="000A258A"/>
    <w:rsid w:val="000A38FC"/>
    <w:rsid w:val="000A50E1"/>
    <w:rsid w:val="000A6BD3"/>
    <w:rsid w:val="000A6DE1"/>
    <w:rsid w:val="000A78CC"/>
    <w:rsid w:val="000B1CE5"/>
    <w:rsid w:val="000B1FC3"/>
    <w:rsid w:val="000B324E"/>
    <w:rsid w:val="000B3375"/>
    <w:rsid w:val="000B4AE1"/>
    <w:rsid w:val="000C2572"/>
    <w:rsid w:val="000C25AE"/>
    <w:rsid w:val="000C586E"/>
    <w:rsid w:val="000C69DA"/>
    <w:rsid w:val="000C6EF4"/>
    <w:rsid w:val="000C7EF8"/>
    <w:rsid w:val="000D023B"/>
    <w:rsid w:val="000D115E"/>
    <w:rsid w:val="000D3111"/>
    <w:rsid w:val="000D373E"/>
    <w:rsid w:val="000D5D35"/>
    <w:rsid w:val="000D65A6"/>
    <w:rsid w:val="000D6F18"/>
    <w:rsid w:val="000E0023"/>
    <w:rsid w:val="000E07BC"/>
    <w:rsid w:val="000E0B5F"/>
    <w:rsid w:val="000E0CEC"/>
    <w:rsid w:val="000E1630"/>
    <w:rsid w:val="000E19D5"/>
    <w:rsid w:val="000E1C03"/>
    <w:rsid w:val="000E1DE9"/>
    <w:rsid w:val="000E2313"/>
    <w:rsid w:val="000E3086"/>
    <w:rsid w:val="000E45E1"/>
    <w:rsid w:val="000E5D66"/>
    <w:rsid w:val="000F0C71"/>
    <w:rsid w:val="000F1CD4"/>
    <w:rsid w:val="000F3359"/>
    <w:rsid w:val="000F3BE8"/>
    <w:rsid w:val="000F4103"/>
    <w:rsid w:val="000F5C00"/>
    <w:rsid w:val="000F70A7"/>
    <w:rsid w:val="001007D5"/>
    <w:rsid w:val="00100F10"/>
    <w:rsid w:val="00102E11"/>
    <w:rsid w:val="00103AF4"/>
    <w:rsid w:val="001043D3"/>
    <w:rsid w:val="00104568"/>
    <w:rsid w:val="001049B8"/>
    <w:rsid w:val="00104F5A"/>
    <w:rsid w:val="00105B89"/>
    <w:rsid w:val="00106877"/>
    <w:rsid w:val="00106BDD"/>
    <w:rsid w:val="0011062E"/>
    <w:rsid w:val="00110B96"/>
    <w:rsid w:val="00110FE4"/>
    <w:rsid w:val="00111266"/>
    <w:rsid w:val="001139D2"/>
    <w:rsid w:val="00113E82"/>
    <w:rsid w:val="00115D1A"/>
    <w:rsid w:val="0011771A"/>
    <w:rsid w:val="0012036B"/>
    <w:rsid w:val="001225A7"/>
    <w:rsid w:val="0012347E"/>
    <w:rsid w:val="0012360A"/>
    <w:rsid w:val="00123DA6"/>
    <w:rsid w:val="00123EA2"/>
    <w:rsid w:val="00124F86"/>
    <w:rsid w:val="00127944"/>
    <w:rsid w:val="0013039C"/>
    <w:rsid w:val="001316C2"/>
    <w:rsid w:val="00135980"/>
    <w:rsid w:val="001362B5"/>
    <w:rsid w:val="001363FB"/>
    <w:rsid w:val="001405A1"/>
    <w:rsid w:val="001413D2"/>
    <w:rsid w:val="001424E3"/>
    <w:rsid w:val="00142FB8"/>
    <w:rsid w:val="00143CE9"/>
    <w:rsid w:val="00144CA5"/>
    <w:rsid w:val="00145095"/>
    <w:rsid w:val="001464E9"/>
    <w:rsid w:val="0014691A"/>
    <w:rsid w:val="00147C4B"/>
    <w:rsid w:val="00152A14"/>
    <w:rsid w:val="0015376B"/>
    <w:rsid w:val="0015402D"/>
    <w:rsid w:val="00154357"/>
    <w:rsid w:val="001563D0"/>
    <w:rsid w:val="00157E86"/>
    <w:rsid w:val="00160D0D"/>
    <w:rsid w:val="00160D30"/>
    <w:rsid w:val="001615C0"/>
    <w:rsid w:val="0016394D"/>
    <w:rsid w:val="00164719"/>
    <w:rsid w:val="0016491C"/>
    <w:rsid w:val="001649E9"/>
    <w:rsid w:val="00166A51"/>
    <w:rsid w:val="00166A5E"/>
    <w:rsid w:val="00166FC4"/>
    <w:rsid w:val="001677AC"/>
    <w:rsid w:val="0017179F"/>
    <w:rsid w:val="00171BD4"/>
    <w:rsid w:val="0017207A"/>
    <w:rsid w:val="0017528F"/>
    <w:rsid w:val="00175C56"/>
    <w:rsid w:val="001765CA"/>
    <w:rsid w:val="001806A6"/>
    <w:rsid w:val="00180999"/>
    <w:rsid w:val="00180A13"/>
    <w:rsid w:val="0018143F"/>
    <w:rsid w:val="00181762"/>
    <w:rsid w:val="00182320"/>
    <w:rsid w:val="00182A15"/>
    <w:rsid w:val="0018680F"/>
    <w:rsid w:val="00187329"/>
    <w:rsid w:val="00187C0E"/>
    <w:rsid w:val="00187DB2"/>
    <w:rsid w:val="00187DC3"/>
    <w:rsid w:val="001908E2"/>
    <w:rsid w:val="00190A61"/>
    <w:rsid w:val="001913CB"/>
    <w:rsid w:val="00191A51"/>
    <w:rsid w:val="0019266B"/>
    <w:rsid w:val="00192AA0"/>
    <w:rsid w:val="0019533D"/>
    <w:rsid w:val="00196136"/>
    <w:rsid w:val="00196357"/>
    <w:rsid w:val="001A04E9"/>
    <w:rsid w:val="001A113A"/>
    <w:rsid w:val="001A13FA"/>
    <w:rsid w:val="001A298A"/>
    <w:rsid w:val="001A3342"/>
    <w:rsid w:val="001A3E3D"/>
    <w:rsid w:val="001A4DEB"/>
    <w:rsid w:val="001A6F99"/>
    <w:rsid w:val="001B1E40"/>
    <w:rsid w:val="001B33BC"/>
    <w:rsid w:val="001B6F50"/>
    <w:rsid w:val="001B7107"/>
    <w:rsid w:val="001B7D5C"/>
    <w:rsid w:val="001C040C"/>
    <w:rsid w:val="001C1BB9"/>
    <w:rsid w:val="001C30F6"/>
    <w:rsid w:val="001C5388"/>
    <w:rsid w:val="001C6355"/>
    <w:rsid w:val="001C6DEA"/>
    <w:rsid w:val="001C764E"/>
    <w:rsid w:val="001C7720"/>
    <w:rsid w:val="001C7B9B"/>
    <w:rsid w:val="001D01F4"/>
    <w:rsid w:val="001D0522"/>
    <w:rsid w:val="001D1BCD"/>
    <w:rsid w:val="001D4172"/>
    <w:rsid w:val="001D43CE"/>
    <w:rsid w:val="001D4ADA"/>
    <w:rsid w:val="001D642B"/>
    <w:rsid w:val="001D68CA"/>
    <w:rsid w:val="001D7A2E"/>
    <w:rsid w:val="001E00D6"/>
    <w:rsid w:val="001E1052"/>
    <w:rsid w:val="001E1675"/>
    <w:rsid w:val="001E1C83"/>
    <w:rsid w:val="001E212B"/>
    <w:rsid w:val="001E21B1"/>
    <w:rsid w:val="001E2319"/>
    <w:rsid w:val="001E2592"/>
    <w:rsid w:val="001E2A2D"/>
    <w:rsid w:val="001E2CEB"/>
    <w:rsid w:val="001E2D91"/>
    <w:rsid w:val="001E2F93"/>
    <w:rsid w:val="001E33A3"/>
    <w:rsid w:val="001E61E5"/>
    <w:rsid w:val="001E6675"/>
    <w:rsid w:val="001F13AD"/>
    <w:rsid w:val="001F2159"/>
    <w:rsid w:val="001F24A3"/>
    <w:rsid w:val="001F2C86"/>
    <w:rsid w:val="001F5591"/>
    <w:rsid w:val="001F5CC9"/>
    <w:rsid w:val="001F5D33"/>
    <w:rsid w:val="001F75AA"/>
    <w:rsid w:val="001F764F"/>
    <w:rsid w:val="0020051D"/>
    <w:rsid w:val="00201FCC"/>
    <w:rsid w:val="00202EAE"/>
    <w:rsid w:val="00203658"/>
    <w:rsid w:val="002036D6"/>
    <w:rsid w:val="00203CA8"/>
    <w:rsid w:val="002051A8"/>
    <w:rsid w:val="00205310"/>
    <w:rsid w:val="00205D32"/>
    <w:rsid w:val="00205D60"/>
    <w:rsid w:val="00205FFE"/>
    <w:rsid w:val="0020601D"/>
    <w:rsid w:val="002062C0"/>
    <w:rsid w:val="0020702D"/>
    <w:rsid w:val="0021133E"/>
    <w:rsid w:val="002116E7"/>
    <w:rsid w:val="00212E87"/>
    <w:rsid w:val="00213C2C"/>
    <w:rsid w:val="00213E93"/>
    <w:rsid w:val="002151B0"/>
    <w:rsid w:val="00217EA3"/>
    <w:rsid w:val="002206E0"/>
    <w:rsid w:val="00222432"/>
    <w:rsid w:val="00222C8E"/>
    <w:rsid w:val="00223F00"/>
    <w:rsid w:val="002272F1"/>
    <w:rsid w:val="00227F4F"/>
    <w:rsid w:val="002303B5"/>
    <w:rsid w:val="002310E7"/>
    <w:rsid w:val="00231CC7"/>
    <w:rsid w:val="002338A1"/>
    <w:rsid w:val="00235EC6"/>
    <w:rsid w:val="00236106"/>
    <w:rsid w:val="002365BB"/>
    <w:rsid w:val="00236B1C"/>
    <w:rsid w:val="00237199"/>
    <w:rsid w:val="002375CF"/>
    <w:rsid w:val="002376F3"/>
    <w:rsid w:val="0024191C"/>
    <w:rsid w:val="00241BC5"/>
    <w:rsid w:val="002468B8"/>
    <w:rsid w:val="00246903"/>
    <w:rsid w:val="002514DA"/>
    <w:rsid w:val="00251DFF"/>
    <w:rsid w:val="0025289F"/>
    <w:rsid w:val="00253222"/>
    <w:rsid w:val="00255FC4"/>
    <w:rsid w:val="002563BF"/>
    <w:rsid w:val="00256924"/>
    <w:rsid w:val="002573A2"/>
    <w:rsid w:val="002601D7"/>
    <w:rsid w:val="00260FD7"/>
    <w:rsid w:val="002625D9"/>
    <w:rsid w:val="00262E06"/>
    <w:rsid w:val="00263823"/>
    <w:rsid w:val="002654E3"/>
    <w:rsid w:val="00266B9A"/>
    <w:rsid w:val="00266BBD"/>
    <w:rsid w:val="002709B2"/>
    <w:rsid w:val="00271492"/>
    <w:rsid w:val="00274606"/>
    <w:rsid w:val="00274DB0"/>
    <w:rsid w:val="0027519A"/>
    <w:rsid w:val="0027567B"/>
    <w:rsid w:val="0027691E"/>
    <w:rsid w:val="00276A1A"/>
    <w:rsid w:val="00276DFB"/>
    <w:rsid w:val="00277D75"/>
    <w:rsid w:val="00280CFE"/>
    <w:rsid w:val="00282AA4"/>
    <w:rsid w:val="00283077"/>
    <w:rsid w:val="00284C69"/>
    <w:rsid w:val="00286594"/>
    <w:rsid w:val="00286F76"/>
    <w:rsid w:val="002875C5"/>
    <w:rsid w:val="002904A9"/>
    <w:rsid w:val="00291880"/>
    <w:rsid w:val="00293E5A"/>
    <w:rsid w:val="00293F21"/>
    <w:rsid w:val="002957D9"/>
    <w:rsid w:val="00295802"/>
    <w:rsid w:val="00297714"/>
    <w:rsid w:val="002A0368"/>
    <w:rsid w:val="002A0A37"/>
    <w:rsid w:val="002A0B00"/>
    <w:rsid w:val="002A2001"/>
    <w:rsid w:val="002A27DE"/>
    <w:rsid w:val="002A3541"/>
    <w:rsid w:val="002A3FCA"/>
    <w:rsid w:val="002A4ABE"/>
    <w:rsid w:val="002A4CDD"/>
    <w:rsid w:val="002A58C6"/>
    <w:rsid w:val="002A5C99"/>
    <w:rsid w:val="002A610D"/>
    <w:rsid w:val="002A6BCC"/>
    <w:rsid w:val="002A773C"/>
    <w:rsid w:val="002B061B"/>
    <w:rsid w:val="002B14A1"/>
    <w:rsid w:val="002B360D"/>
    <w:rsid w:val="002B3B9B"/>
    <w:rsid w:val="002B4FA1"/>
    <w:rsid w:val="002B5BDE"/>
    <w:rsid w:val="002B6155"/>
    <w:rsid w:val="002B6D07"/>
    <w:rsid w:val="002B72E9"/>
    <w:rsid w:val="002B7564"/>
    <w:rsid w:val="002B7C25"/>
    <w:rsid w:val="002C0293"/>
    <w:rsid w:val="002C1443"/>
    <w:rsid w:val="002C3A12"/>
    <w:rsid w:val="002C50FB"/>
    <w:rsid w:val="002C570B"/>
    <w:rsid w:val="002C65DC"/>
    <w:rsid w:val="002C7354"/>
    <w:rsid w:val="002C7506"/>
    <w:rsid w:val="002C7611"/>
    <w:rsid w:val="002C778B"/>
    <w:rsid w:val="002C7A81"/>
    <w:rsid w:val="002C7B89"/>
    <w:rsid w:val="002C7BCF"/>
    <w:rsid w:val="002D199F"/>
    <w:rsid w:val="002D5F34"/>
    <w:rsid w:val="002D6A27"/>
    <w:rsid w:val="002D7B43"/>
    <w:rsid w:val="002E0E18"/>
    <w:rsid w:val="002E0F66"/>
    <w:rsid w:val="002E1248"/>
    <w:rsid w:val="002E1D44"/>
    <w:rsid w:val="002E1ED1"/>
    <w:rsid w:val="002E2ACE"/>
    <w:rsid w:val="002E36BE"/>
    <w:rsid w:val="002E3797"/>
    <w:rsid w:val="002E3935"/>
    <w:rsid w:val="002E4639"/>
    <w:rsid w:val="002E46E3"/>
    <w:rsid w:val="002E4BCA"/>
    <w:rsid w:val="002E527C"/>
    <w:rsid w:val="002E5B06"/>
    <w:rsid w:val="002F0E5D"/>
    <w:rsid w:val="002F54F7"/>
    <w:rsid w:val="002F5F32"/>
    <w:rsid w:val="002F6E3D"/>
    <w:rsid w:val="002F74D5"/>
    <w:rsid w:val="003000AE"/>
    <w:rsid w:val="0030065C"/>
    <w:rsid w:val="0030109F"/>
    <w:rsid w:val="00302AEE"/>
    <w:rsid w:val="00303EB0"/>
    <w:rsid w:val="00304C03"/>
    <w:rsid w:val="00310054"/>
    <w:rsid w:val="003106F0"/>
    <w:rsid w:val="00311465"/>
    <w:rsid w:val="00313B99"/>
    <w:rsid w:val="00314655"/>
    <w:rsid w:val="00315B79"/>
    <w:rsid w:val="003173F3"/>
    <w:rsid w:val="00324EEF"/>
    <w:rsid w:val="00327B75"/>
    <w:rsid w:val="003306E1"/>
    <w:rsid w:val="003307BB"/>
    <w:rsid w:val="003320E4"/>
    <w:rsid w:val="003326A1"/>
    <w:rsid w:val="0033525D"/>
    <w:rsid w:val="00335E02"/>
    <w:rsid w:val="0033778E"/>
    <w:rsid w:val="003378DC"/>
    <w:rsid w:val="00340222"/>
    <w:rsid w:val="00340640"/>
    <w:rsid w:val="003414F3"/>
    <w:rsid w:val="00341CCE"/>
    <w:rsid w:val="0034267B"/>
    <w:rsid w:val="003437E7"/>
    <w:rsid w:val="00344810"/>
    <w:rsid w:val="00344A55"/>
    <w:rsid w:val="00344B52"/>
    <w:rsid w:val="00345A42"/>
    <w:rsid w:val="00346001"/>
    <w:rsid w:val="003471A6"/>
    <w:rsid w:val="00347DE2"/>
    <w:rsid w:val="00350FDF"/>
    <w:rsid w:val="00352531"/>
    <w:rsid w:val="00352FDC"/>
    <w:rsid w:val="00353B65"/>
    <w:rsid w:val="003545E8"/>
    <w:rsid w:val="0035553A"/>
    <w:rsid w:val="00355849"/>
    <w:rsid w:val="0035613E"/>
    <w:rsid w:val="0035780C"/>
    <w:rsid w:val="003619D7"/>
    <w:rsid w:val="00361D4C"/>
    <w:rsid w:val="003635DD"/>
    <w:rsid w:val="00363EE9"/>
    <w:rsid w:val="003654E9"/>
    <w:rsid w:val="0036556E"/>
    <w:rsid w:val="00372F19"/>
    <w:rsid w:val="00372FFB"/>
    <w:rsid w:val="00376128"/>
    <w:rsid w:val="003772A8"/>
    <w:rsid w:val="0037742E"/>
    <w:rsid w:val="00381AE5"/>
    <w:rsid w:val="0038245A"/>
    <w:rsid w:val="0038378F"/>
    <w:rsid w:val="003837A1"/>
    <w:rsid w:val="00385788"/>
    <w:rsid w:val="0038687E"/>
    <w:rsid w:val="00387C8E"/>
    <w:rsid w:val="00387DE0"/>
    <w:rsid w:val="0039337A"/>
    <w:rsid w:val="00393568"/>
    <w:rsid w:val="00395107"/>
    <w:rsid w:val="00396605"/>
    <w:rsid w:val="003A0668"/>
    <w:rsid w:val="003A3189"/>
    <w:rsid w:val="003A3F95"/>
    <w:rsid w:val="003A46D5"/>
    <w:rsid w:val="003A49FD"/>
    <w:rsid w:val="003A550C"/>
    <w:rsid w:val="003A5BEA"/>
    <w:rsid w:val="003A618A"/>
    <w:rsid w:val="003A721F"/>
    <w:rsid w:val="003A7854"/>
    <w:rsid w:val="003B2DB5"/>
    <w:rsid w:val="003B3973"/>
    <w:rsid w:val="003B3AB8"/>
    <w:rsid w:val="003B546D"/>
    <w:rsid w:val="003B569D"/>
    <w:rsid w:val="003B58FD"/>
    <w:rsid w:val="003B5D8B"/>
    <w:rsid w:val="003C01EE"/>
    <w:rsid w:val="003C0881"/>
    <w:rsid w:val="003C3C0E"/>
    <w:rsid w:val="003C5850"/>
    <w:rsid w:val="003C736C"/>
    <w:rsid w:val="003D0C07"/>
    <w:rsid w:val="003D0C20"/>
    <w:rsid w:val="003D1849"/>
    <w:rsid w:val="003D188F"/>
    <w:rsid w:val="003D2101"/>
    <w:rsid w:val="003D41F8"/>
    <w:rsid w:val="003D4436"/>
    <w:rsid w:val="003D4FAC"/>
    <w:rsid w:val="003D571F"/>
    <w:rsid w:val="003D6F6F"/>
    <w:rsid w:val="003E0C14"/>
    <w:rsid w:val="003E2C6B"/>
    <w:rsid w:val="003E4534"/>
    <w:rsid w:val="003E45C9"/>
    <w:rsid w:val="003E7906"/>
    <w:rsid w:val="003E7978"/>
    <w:rsid w:val="003F0470"/>
    <w:rsid w:val="003F055D"/>
    <w:rsid w:val="003F3C50"/>
    <w:rsid w:val="003F3F1B"/>
    <w:rsid w:val="003F3F75"/>
    <w:rsid w:val="003F5ED4"/>
    <w:rsid w:val="003F6543"/>
    <w:rsid w:val="0040042A"/>
    <w:rsid w:val="00400626"/>
    <w:rsid w:val="004034BC"/>
    <w:rsid w:val="0040556B"/>
    <w:rsid w:val="00406A6A"/>
    <w:rsid w:val="00406B22"/>
    <w:rsid w:val="00406C66"/>
    <w:rsid w:val="00406D53"/>
    <w:rsid w:val="00407064"/>
    <w:rsid w:val="004103C2"/>
    <w:rsid w:val="004107EE"/>
    <w:rsid w:val="00410E81"/>
    <w:rsid w:val="00411B56"/>
    <w:rsid w:val="00412D4F"/>
    <w:rsid w:val="00413682"/>
    <w:rsid w:val="00413B85"/>
    <w:rsid w:val="00414449"/>
    <w:rsid w:val="00414FDE"/>
    <w:rsid w:val="00415660"/>
    <w:rsid w:val="004170B0"/>
    <w:rsid w:val="004201AC"/>
    <w:rsid w:val="0042249E"/>
    <w:rsid w:val="0042285F"/>
    <w:rsid w:val="00424ACD"/>
    <w:rsid w:val="00425168"/>
    <w:rsid w:val="0042576A"/>
    <w:rsid w:val="00425EFB"/>
    <w:rsid w:val="004302CD"/>
    <w:rsid w:val="00431201"/>
    <w:rsid w:val="00431997"/>
    <w:rsid w:val="00431B1D"/>
    <w:rsid w:val="00431CEC"/>
    <w:rsid w:val="004320B0"/>
    <w:rsid w:val="00432279"/>
    <w:rsid w:val="004328A7"/>
    <w:rsid w:val="00433441"/>
    <w:rsid w:val="00434C74"/>
    <w:rsid w:val="00435463"/>
    <w:rsid w:val="004412BA"/>
    <w:rsid w:val="00441468"/>
    <w:rsid w:val="00442A1B"/>
    <w:rsid w:val="00442CBE"/>
    <w:rsid w:val="00444D0E"/>
    <w:rsid w:val="00444D38"/>
    <w:rsid w:val="00444E43"/>
    <w:rsid w:val="00445E5C"/>
    <w:rsid w:val="00450AA6"/>
    <w:rsid w:val="00452061"/>
    <w:rsid w:val="00452A7F"/>
    <w:rsid w:val="0045381F"/>
    <w:rsid w:val="00454809"/>
    <w:rsid w:val="00454918"/>
    <w:rsid w:val="004553F8"/>
    <w:rsid w:val="0045540B"/>
    <w:rsid w:val="00455C99"/>
    <w:rsid w:val="0045623A"/>
    <w:rsid w:val="00456915"/>
    <w:rsid w:val="00456EB4"/>
    <w:rsid w:val="0045723B"/>
    <w:rsid w:val="00457876"/>
    <w:rsid w:val="00460390"/>
    <w:rsid w:val="004622D0"/>
    <w:rsid w:val="004654C4"/>
    <w:rsid w:val="00465BD9"/>
    <w:rsid w:val="004666B8"/>
    <w:rsid w:val="004669D1"/>
    <w:rsid w:val="0046712E"/>
    <w:rsid w:val="00467E41"/>
    <w:rsid w:val="00470584"/>
    <w:rsid w:val="004718F3"/>
    <w:rsid w:val="004727E4"/>
    <w:rsid w:val="00472C33"/>
    <w:rsid w:val="00473BD4"/>
    <w:rsid w:val="004749E1"/>
    <w:rsid w:val="00475040"/>
    <w:rsid w:val="004758BE"/>
    <w:rsid w:val="00476089"/>
    <w:rsid w:val="004777CC"/>
    <w:rsid w:val="00481C7D"/>
    <w:rsid w:val="00483F67"/>
    <w:rsid w:val="00483F73"/>
    <w:rsid w:val="004843D9"/>
    <w:rsid w:val="00484E53"/>
    <w:rsid w:val="00485E0D"/>
    <w:rsid w:val="004867A5"/>
    <w:rsid w:val="0048686F"/>
    <w:rsid w:val="0048723A"/>
    <w:rsid w:val="004903AC"/>
    <w:rsid w:val="00491DA2"/>
    <w:rsid w:val="00491DA8"/>
    <w:rsid w:val="00491F74"/>
    <w:rsid w:val="00493113"/>
    <w:rsid w:val="00493D40"/>
    <w:rsid w:val="00497217"/>
    <w:rsid w:val="00497B6E"/>
    <w:rsid w:val="004A0A07"/>
    <w:rsid w:val="004A1B69"/>
    <w:rsid w:val="004A465C"/>
    <w:rsid w:val="004A47CA"/>
    <w:rsid w:val="004A504B"/>
    <w:rsid w:val="004A5787"/>
    <w:rsid w:val="004A6911"/>
    <w:rsid w:val="004A6A00"/>
    <w:rsid w:val="004A6A59"/>
    <w:rsid w:val="004A70F7"/>
    <w:rsid w:val="004B0550"/>
    <w:rsid w:val="004B1B09"/>
    <w:rsid w:val="004B2DE6"/>
    <w:rsid w:val="004B4985"/>
    <w:rsid w:val="004B54E0"/>
    <w:rsid w:val="004B62ED"/>
    <w:rsid w:val="004B676E"/>
    <w:rsid w:val="004B7384"/>
    <w:rsid w:val="004C03F3"/>
    <w:rsid w:val="004C04C5"/>
    <w:rsid w:val="004C0FB1"/>
    <w:rsid w:val="004C15C7"/>
    <w:rsid w:val="004C18D8"/>
    <w:rsid w:val="004C20F9"/>
    <w:rsid w:val="004C2919"/>
    <w:rsid w:val="004C30E7"/>
    <w:rsid w:val="004C4269"/>
    <w:rsid w:val="004C4B3F"/>
    <w:rsid w:val="004C548F"/>
    <w:rsid w:val="004D0FB5"/>
    <w:rsid w:val="004D432D"/>
    <w:rsid w:val="004D447C"/>
    <w:rsid w:val="004D4D70"/>
    <w:rsid w:val="004D6236"/>
    <w:rsid w:val="004D6A45"/>
    <w:rsid w:val="004D7C74"/>
    <w:rsid w:val="004E1758"/>
    <w:rsid w:val="004E22BA"/>
    <w:rsid w:val="004E2F62"/>
    <w:rsid w:val="004E4C07"/>
    <w:rsid w:val="004E4DBB"/>
    <w:rsid w:val="004E602B"/>
    <w:rsid w:val="004E6B6C"/>
    <w:rsid w:val="004E6C49"/>
    <w:rsid w:val="004E78F2"/>
    <w:rsid w:val="004E7F9C"/>
    <w:rsid w:val="004F0FC7"/>
    <w:rsid w:val="004F18BE"/>
    <w:rsid w:val="004F3493"/>
    <w:rsid w:val="004F37D7"/>
    <w:rsid w:val="004F49B9"/>
    <w:rsid w:val="004F4AE6"/>
    <w:rsid w:val="004F64C8"/>
    <w:rsid w:val="00500865"/>
    <w:rsid w:val="00500A7C"/>
    <w:rsid w:val="00500A87"/>
    <w:rsid w:val="00503BE3"/>
    <w:rsid w:val="00504518"/>
    <w:rsid w:val="00504AE0"/>
    <w:rsid w:val="00504E58"/>
    <w:rsid w:val="00505F7B"/>
    <w:rsid w:val="00506500"/>
    <w:rsid w:val="005078D0"/>
    <w:rsid w:val="00507D71"/>
    <w:rsid w:val="005108E7"/>
    <w:rsid w:val="00511358"/>
    <w:rsid w:val="00512B09"/>
    <w:rsid w:val="00512C3E"/>
    <w:rsid w:val="00513B0E"/>
    <w:rsid w:val="00513FD5"/>
    <w:rsid w:val="00514C31"/>
    <w:rsid w:val="00515080"/>
    <w:rsid w:val="00515631"/>
    <w:rsid w:val="0051710D"/>
    <w:rsid w:val="00517C6B"/>
    <w:rsid w:val="0052184C"/>
    <w:rsid w:val="00521A49"/>
    <w:rsid w:val="00522C75"/>
    <w:rsid w:val="005236C0"/>
    <w:rsid w:val="00523E38"/>
    <w:rsid w:val="00524102"/>
    <w:rsid w:val="005251A0"/>
    <w:rsid w:val="005251C0"/>
    <w:rsid w:val="00527D4D"/>
    <w:rsid w:val="00531423"/>
    <w:rsid w:val="00534B9C"/>
    <w:rsid w:val="00535C5E"/>
    <w:rsid w:val="005360DB"/>
    <w:rsid w:val="005361DF"/>
    <w:rsid w:val="00536723"/>
    <w:rsid w:val="00540E14"/>
    <w:rsid w:val="00541102"/>
    <w:rsid w:val="0054110E"/>
    <w:rsid w:val="00541983"/>
    <w:rsid w:val="00543520"/>
    <w:rsid w:val="00543B0C"/>
    <w:rsid w:val="005467FC"/>
    <w:rsid w:val="00553EEA"/>
    <w:rsid w:val="005544DF"/>
    <w:rsid w:val="00554EB6"/>
    <w:rsid w:val="005550B9"/>
    <w:rsid w:val="00555D75"/>
    <w:rsid w:val="0055606F"/>
    <w:rsid w:val="005571E9"/>
    <w:rsid w:val="00557511"/>
    <w:rsid w:val="005577A4"/>
    <w:rsid w:val="00560DF0"/>
    <w:rsid w:val="00560EF0"/>
    <w:rsid w:val="00562249"/>
    <w:rsid w:val="00563B29"/>
    <w:rsid w:val="00565EE9"/>
    <w:rsid w:val="00566217"/>
    <w:rsid w:val="00566263"/>
    <w:rsid w:val="00566C57"/>
    <w:rsid w:val="005672CE"/>
    <w:rsid w:val="00570A94"/>
    <w:rsid w:val="00572163"/>
    <w:rsid w:val="00573705"/>
    <w:rsid w:val="00573CB5"/>
    <w:rsid w:val="00574427"/>
    <w:rsid w:val="00574C02"/>
    <w:rsid w:val="00574DF6"/>
    <w:rsid w:val="005756AC"/>
    <w:rsid w:val="005777C8"/>
    <w:rsid w:val="00577D7F"/>
    <w:rsid w:val="00580223"/>
    <w:rsid w:val="00580FAB"/>
    <w:rsid w:val="00581432"/>
    <w:rsid w:val="005814EB"/>
    <w:rsid w:val="00581838"/>
    <w:rsid w:val="00582EBC"/>
    <w:rsid w:val="005830D3"/>
    <w:rsid w:val="00583B4F"/>
    <w:rsid w:val="00583D93"/>
    <w:rsid w:val="005858DA"/>
    <w:rsid w:val="00585BB0"/>
    <w:rsid w:val="00585BDA"/>
    <w:rsid w:val="005865B5"/>
    <w:rsid w:val="00586BCE"/>
    <w:rsid w:val="00587462"/>
    <w:rsid w:val="00587FA4"/>
    <w:rsid w:val="0059006A"/>
    <w:rsid w:val="00590774"/>
    <w:rsid w:val="005913AE"/>
    <w:rsid w:val="00591AF8"/>
    <w:rsid w:val="005947FE"/>
    <w:rsid w:val="005963F2"/>
    <w:rsid w:val="005972EA"/>
    <w:rsid w:val="00597523"/>
    <w:rsid w:val="0059754D"/>
    <w:rsid w:val="00597E0D"/>
    <w:rsid w:val="005A3209"/>
    <w:rsid w:val="005A34DB"/>
    <w:rsid w:val="005A623F"/>
    <w:rsid w:val="005A6635"/>
    <w:rsid w:val="005A68C5"/>
    <w:rsid w:val="005A6CA2"/>
    <w:rsid w:val="005A749E"/>
    <w:rsid w:val="005B0EA2"/>
    <w:rsid w:val="005B17B5"/>
    <w:rsid w:val="005B29B7"/>
    <w:rsid w:val="005B48FF"/>
    <w:rsid w:val="005B4AEF"/>
    <w:rsid w:val="005B5601"/>
    <w:rsid w:val="005B594D"/>
    <w:rsid w:val="005B5D3D"/>
    <w:rsid w:val="005B63C9"/>
    <w:rsid w:val="005C0213"/>
    <w:rsid w:val="005C0B08"/>
    <w:rsid w:val="005C1E49"/>
    <w:rsid w:val="005C23B9"/>
    <w:rsid w:val="005C2CEA"/>
    <w:rsid w:val="005C35C1"/>
    <w:rsid w:val="005C4A8B"/>
    <w:rsid w:val="005C4EBF"/>
    <w:rsid w:val="005C5589"/>
    <w:rsid w:val="005C5C70"/>
    <w:rsid w:val="005C7764"/>
    <w:rsid w:val="005C7A40"/>
    <w:rsid w:val="005D0428"/>
    <w:rsid w:val="005D1279"/>
    <w:rsid w:val="005D1775"/>
    <w:rsid w:val="005D1A3F"/>
    <w:rsid w:val="005D1E4E"/>
    <w:rsid w:val="005D3A79"/>
    <w:rsid w:val="005D4072"/>
    <w:rsid w:val="005D5594"/>
    <w:rsid w:val="005D5BD8"/>
    <w:rsid w:val="005D6801"/>
    <w:rsid w:val="005E1424"/>
    <w:rsid w:val="005E4438"/>
    <w:rsid w:val="005E5E80"/>
    <w:rsid w:val="005E6041"/>
    <w:rsid w:val="005E65E5"/>
    <w:rsid w:val="005F0547"/>
    <w:rsid w:val="005F0CC0"/>
    <w:rsid w:val="005F1B74"/>
    <w:rsid w:val="005F49F2"/>
    <w:rsid w:val="005F55F9"/>
    <w:rsid w:val="005F5D62"/>
    <w:rsid w:val="005F7A1B"/>
    <w:rsid w:val="00600340"/>
    <w:rsid w:val="006008C6"/>
    <w:rsid w:val="00600A67"/>
    <w:rsid w:val="00600DB9"/>
    <w:rsid w:val="006012A7"/>
    <w:rsid w:val="00601BFD"/>
    <w:rsid w:val="00603375"/>
    <w:rsid w:val="00603714"/>
    <w:rsid w:val="0060504E"/>
    <w:rsid w:val="00605A07"/>
    <w:rsid w:val="00605AA4"/>
    <w:rsid w:val="0060664F"/>
    <w:rsid w:val="00606729"/>
    <w:rsid w:val="00610814"/>
    <w:rsid w:val="006109DA"/>
    <w:rsid w:val="0061190C"/>
    <w:rsid w:val="00611F63"/>
    <w:rsid w:val="00613398"/>
    <w:rsid w:val="006141C1"/>
    <w:rsid w:val="0061522F"/>
    <w:rsid w:val="00615791"/>
    <w:rsid w:val="006158D5"/>
    <w:rsid w:val="00615FFD"/>
    <w:rsid w:val="0061650C"/>
    <w:rsid w:val="006169B3"/>
    <w:rsid w:val="00617627"/>
    <w:rsid w:val="006177A4"/>
    <w:rsid w:val="006177BF"/>
    <w:rsid w:val="00620089"/>
    <w:rsid w:val="00621914"/>
    <w:rsid w:val="00622CD8"/>
    <w:rsid w:val="006243E0"/>
    <w:rsid w:val="0062443B"/>
    <w:rsid w:val="006256F1"/>
    <w:rsid w:val="00625D83"/>
    <w:rsid w:val="00626125"/>
    <w:rsid w:val="00626AF8"/>
    <w:rsid w:val="00630615"/>
    <w:rsid w:val="0063431D"/>
    <w:rsid w:val="0063478B"/>
    <w:rsid w:val="00634A68"/>
    <w:rsid w:val="00635495"/>
    <w:rsid w:val="00635DA3"/>
    <w:rsid w:val="006367ED"/>
    <w:rsid w:val="0064042C"/>
    <w:rsid w:val="00642976"/>
    <w:rsid w:val="00643292"/>
    <w:rsid w:val="00643857"/>
    <w:rsid w:val="00644E38"/>
    <w:rsid w:val="00645A60"/>
    <w:rsid w:val="00645D3D"/>
    <w:rsid w:val="006465B1"/>
    <w:rsid w:val="0064700A"/>
    <w:rsid w:val="00650026"/>
    <w:rsid w:val="006504BA"/>
    <w:rsid w:val="006505E2"/>
    <w:rsid w:val="00650E13"/>
    <w:rsid w:val="00652DB6"/>
    <w:rsid w:val="00654290"/>
    <w:rsid w:val="00654D17"/>
    <w:rsid w:val="00657D95"/>
    <w:rsid w:val="006612BA"/>
    <w:rsid w:val="006616AF"/>
    <w:rsid w:val="00661E9B"/>
    <w:rsid w:val="006623E7"/>
    <w:rsid w:val="00662B80"/>
    <w:rsid w:val="006639B4"/>
    <w:rsid w:val="0066477C"/>
    <w:rsid w:val="00664E63"/>
    <w:rsid w:val="00670300"/>
    <w:rsid w:val="00670FF9"/>
    <w:rsid w:val="00671D5D"/>
    <w:rsid w:val="0067263E"/>
    <w:rsid w:val="00672786"/>
    <w:rsid w:val="00672946"/>
    <w:rsid w:val="00672C52"/>
    <w:rsid w:val="006733E2"/>
    <w:rsid w:val="00673BB0"/>
    <w:rsid w:val="00674CC8"/>
    <w:rsid w:val="006774E1"/>
    <w:rsid w:val="00677E03"/>
    <w:rsid w:val="00680D5A"/>
    <w:rsid w:val="00682720"/>
    <w:rsid w:val="006833F6"/>
    <w:rsid w:val="006852C7"/>
    <w:rsid w:val="00685535"/>
    <w:rsid w:val="006859D7"/>
    <w:rsid w:val="00687328"/>
    <w:rsid w:val="0069127E"/>
    <w:rsid w:val="00692152"/>
    <w:rsid w:val="00693407"/>
    <w:rsid w:val="00694468"/>
    <w:rsid w:val="00695190"/>
    <w:rsid w:val="00695A4B"/>
    <w:rsid w:val="00697DC0"/>
    <w:rsid w:val="00697F36"/>
    <w:rsid w:val="006A0347"/>
    <w:rsid w:val="006A1784"/>
    <w:rsid w:val="006A1B73"/>
    <w:rsid w:val="006A3C12"/>
    <w:rsid w:val="006A51E9"/>
    <w:rsid w:val="006A6BEB"/>
    <w:rsid w:val="006A7353"/>
    <w:rsid w:val="006A7948"/>
    <w:rsid w:val="006B15FA"/>
    <w:rsid w:val="006B22E8"/>
    <w:rsid w:val="006B2D9E"/>
    <w:rsid w:val="006B38D2"/>
    <w:rsid w:val="006B3943"/>
    <w:rsid w:val="006B57F4"/>
    <w:rsid w:val="006B5E82"/>
    <w:rsid w:val="006B664D"/>
    <w:rsid w:val="006B733E"/>
    <w:rsid w:val="006C062B"/>
    <w:rsid w:val="006C095D"/>
    <w:rsid w:val="006C1727"/>
    <w:rsid w:val="006C24AE"/>
    <w:rsid w:val="006C297F"/>
    <w:rsid w:val="006C32FD"/>
    <w:rsid w:val="006C48B7"/>
    <w:rsid w:val="006C54BC"/>
    <w:rsid w:val="006C79C5"/>
    <w:rsid w:val="006D0878"/>
    <w:rsid w:val="006D0C7E"/>
    <w:rsid w:val="006D0FCC"/>
    <w:rsid w:val="006D271E"/>
    <w:rsid w:val="006D4754"/>
    <w:rsid w:val="006D4790"/>
    <w:rsid w:val="006D50AF"/>
    <w:rsid w:val="006D5289"/>
    <w:rsid w:val="006D5489"/>
    <w:rsid w:val="006D5A99"/>
    <w:rsid w:val="006E0D57"/>
    <w:rsid w:val="006E16AE"/>
    <w:rsid w:val="006E2FED"/>
    <w:rsid w:val="006E43A6"/>
    <w:rsid w:val="006E4516"/>
    <w:rsid w:val="006E53AB"/>
    <w:rsid w:val="006E5B94"/>
    <w:rsid w:val="006E6C1E"/>
    <w:rsid w:val="006E71E5"/>
    <w:rsid w:val="006F1A52"/>
    <w:rsid w:val="006F2D45"/>
    <w:rsid w:val="006F324F"/>
    <w:rsid w:val="006F39D2"/>
    <w:rsid w:val="006F3DB2"/>
    <w:rsid w:val="006F4266"/>
    <w:rsid w:val="006F45A4"/>
    <w:rsid w:val="006F461A"/>
    <w:rsid w:val="006F500F"/>
    <w:rsid w:val="006F573E"/>
    <w:rsid w:val="006F5778"/>
    <w:rsid w:val="006F5A3D"/>
    <w:rsid w:val="006F6061"/>
    <w:rsid w:val="006F6716"/>
    <w:rsid w:val="006F69AE"/>
    <w:rsid w:val="006F6B40"/>
    <w:rsid w:val="006F70BC"/>
    <w:rsid w:val="006F7E21"/>
    <w:rsid w:val="00701081"/>
    <w:rsid w:val="00701C1A"/>
    <w:rsid w:val="007037C4"/>
    <w:rsid w:val="0070472E"/>
    <w:rsid w:val="00704796"/>
    <w:rsid w:val="007048E2"/>
    <w:rsid w:val="0070514C"/>
    <w:rsid w:val="007057A6"/>
    <w:rsid w:val="00705DDA"/>
    <w:rsid w:val="0070616B"/>
    <w:rsid w:val="00706CD0"/>
    <w:rsid w:val="00706FDA"/>
    <w:rsid w:val="00710AF0"/>
    <w:rsid w:val="00711F9A"/>
    <w:rsid w:val="00713810"/>
    <w:rsid w:val="00715298"/>
    <w:rsid w:val="00716A17"/>
    <w:rsid w:val="0071746D"/>
    <w:rsid w:val="0072058D"/>
    <w:rsid w:val="00720E26"/>
    <w:rsid w:val="00720EE7"/>
    <w:rsid w:val="00723D05"/>
    <w:rsid w:val="00723E5B"/>
    <w:rsid w:val="00724377"/>
    <w:rsid w:val="00725003"/>
    <w:rsid w:val="007250A8"/>
    <w:rsid w:val="0072610C"/>
    <w:rsid w:val="00726743"/>
    <w:rsid w:val="00727682"/>
    <w:rsid w:val="007279D3"/>
    <w:rsid w:val="007303A5"/>
    <w:rsid w:val="00730B3E"/>
    <w:rsid w:val="0073271C"/>
    <w:rsid w:val="00734070"/>
    <w:rsid w:val="0073420B"/>
    <w:rsid w:val="00734899"/>
    <w:rsid w:val="007348BE"/>
    <w:rsid w:val="007355D0"/>
    <w:rsid w:val="007357BE"/>
    <w:rsid w:val="007359B4"/>
    <w:rsid w:val="00735F7B"/>
    <w:rsid w:val="00737C8B"/>
    <w:rsid w:val="0074017E"/>
    <w:rsid w:val="00741123"/>
    <w:rsid w:val="007416DA"/>
    <w:rsid w:val="00741B70"/>
    <w:rsid w:val="007433D8"/>
    <w:rsid w:val="0074354B"/>
    <w:rsid w:val="00743D39"/>
    <w:rsid w:val="0074402F"/>
    <w:rsid w:val="007440CC"/>
    <w:rsid w:val="007459E7"/>
    <w:rsid w:val="00746B3E"/>
    <w:rsid w:val="00746C01"/>
    <w:rsid w:val="0074760E"/>
    <w:rsid w:val="0074768D"/>
    <w:rsid w:val="0075123A"/>
    <w:rsid w:val="00752AA1"/>
    <w:rsid w:val="00754ABA"/>
    <w:rsid w:val="00755690"/>
    <w:rsid w:val="007556F9"/>
    <w:rsid w:val="00755D21"/>
    <w:rsid w:val="00757CD7"/>
    <w:rsid w:val="00760F9F"/>
    <w:rsid w:val="00762BD4"/>
    <w:rsid w:val="00762D34"/>
    <w:rsid w:val="007648EA"/>
    <w:rsid w:val="00765B4A"/>
    <w:rsid w:val="0076619C"/>
    <w:rsid w:val="00766D2B"/>
    <w:rsid w:val="00767726"/>
    <w:rsid w:val="00770B71"/>
    <w:rsid w:val="007715DA"/>
    <w:rsid w:val="00772373"/>
    <w:rsid w:val="00772C82"/>
    <w:rsid w:val="00772F19"/>
    <w:rsid w:val="007734A1"/>
    <w:rsid w:val="00774C8B"/>
    <w:rsid w:val="007754F8"/>
    <w:rsid w:val="007759F6"/>
    <w:rsid w:val="00782CFD"/>
    <w:rsid w:val="00783B5C"/>
    <w:rsid w:val="00786518"/>
    <w:rsid w:val="00786DCB"/>
    <w:rsid w:val="00787117"/>
    <w:rsid w:val="00787B6D"/>
    <w:rsid w:val="00790251"/>
    <w:rsid w:val="00790317"/>
    <w:rsid w:val="00790C50"/>
    <w:rsid w:val="00790DA6"/>
    <w:rsid w:val="00791C07"/>
    <w:rsid w:val="00791C13"/>
    <w:rsid w:val="0079302B"/>
    <w:rsid w:val="00795131"/>
    <w:rsid w:val="00795354"/>
    <w:rsid w:val="00795F34"/>
    <w:rsid w:val="00796C5B"/>
    <w:rsid w:val="007972E7"/>
    <w:rsid w:val="007A0024"/>
    <w:rsid w:val="007A1546"/>
    <w:rsid w:val="007A228C"/>
    <w:rsid w:val="007A2309"/>
    <w:rsid w:val="007A2CFB"/>
    <w:rsid w:val="007A368E"/>
    <w:rsid w:val="007A4D96"/>
    <w:rsid w:val="007A5868"/>
    <w:rsid w:val="007A590C"/>
    <w:rsid w:val="007A5DBC"/>
    <w:rsid w:val="007A60F4"/>
    <w:rsid w:val="007A7257"/>
    <w:rsid w:val="007A7C0D"/>
    <w:rsid w:val="007B04CE"/>
    <w:rsid w:val="007B1ACE"/>
    <w:rsid w:val="007B1CF3"/>
    <w:rsid w:val="007B3D87"/>
    <w:rsid w:val="007B4C47"/>
    <w:rsid w:val="007B598C"/>
    <w:rsid w:val="007B5EF2"/>
    <w:rsid w:val="007B6871"/>
    <w:rsid w:val="007B6897"/>
    <w:rsid w:val="007B7086"/>
    <w:rsid w:val="007B78C7"/>
    <w:rsid w:val="007C0031"/>
    <w:rsid w:val="007C07D4"/>
    <w:rsid w:val="007C0B3E"/>
    <w:rsid w:val="007C1C13"/>
    <w:rsid w:val="007C3D33"/>
    <w:rsid w:val="007C4332"/>
    <w:rsid w:val="007C5E52"/>
    <w:rsid w:val="007C6842"/>
    <w:rsid w:val="007C7404"/>
    <w:rsid w:val="007C7877"/>
    <w:rsid w:val="007C7DE2"/>
    <w:rsid w:val="007D294A"/>
    <w:rsid w:val="007D29E1"/>
    <w:rsid w:val="007D38A0"/>
    <w:rsid w:val="007D3D13"/>
    <w:rsid w:val="007D47D2"/>
    <w:rsid w:val="007D52B8"/>
    <w:rsid w:val="007D53DC"/>
    <w:rsid w:val="007D5C45"/>
    <w:rsid w:val="007D6EC0"/>
    <w:rsid w:val="007D7E1D"/>
    <w:rsid w:val="007D7EE7"/>
    <w:rsid w:val="007E0687"/>
    <w:rsid w:val="007E1720"/>
    <w:rsid w:val="007E19C5"/>
    <w:rsid w:val="007E2B34"/>
    <w:rsid w:val="007E4838"/>
    <w:rsid w:val="007E4AD1"/>
    <w:rsid w:val="007E4AF2"/>
    <w:rsid w:val="007E51B8"/>
    <w:rsid w:val="007E5BF0"/>
    <w:rsid w:val="007E6417"/>
    <w:rsid w:val="007E75D0"/>
    <w:rsid w:val="007E7833"/>
    <w:rsid w:val="007E7D5D"/>
    <w:rsid w:val="007E7E14"/>
    <w:rsid w:val="007F04A8"/>
    <w:rsid w:val="007F0CCD"/>
    <w:rsid w:val="007F0DB8"/>
    <w:rsid w:val="007F2069"/>
    <w:rsid w:val="007F2C90"/>
    <w:rsid w:val="007F3D26"/>
    <w:rsid w:val="007F56DC"/>
    <w:rsid w:val="007F616E"/>
    <w:rsid w:val="00802196"/>
    <w:rsid w:val="00806097"/>
    <w:rsid w:val="008063BA"/>
    <w:rsid w:val="0081133E"/>
    <w:rsid w:val="00812A7B"/>
    <w:rsid w:val="00813661"/>
    <w:rsid w:val="00813B1D"/>
    <w:rsid w:val="00813E14"/>
    <w:rsid w:val="008147EA"/>
    <w:rsid w:val="00815D3C"/>
    <w:rsid w:val="00816F2C"/>
    <w:rsid w:val="0081728E"/>
    <w:rsid w:val="008176EF"/>
    <w:rsid w:val="00821DFA"/>
    <w:rsid w:val="00823A93"/>
    <w:rsid w:val="00823FCA"/>
    <w:rsid w:val="008260B5"/>
    <w:rsid w:val="00826CEE"/>
    <w:rsid w:val="00827339"/>
    <w:rsid w:val="00831EF1"/>
    <w:rsid w:val="008327D7"/>
    <w:rsid w:val="00832E9C"/>
    <w:rsid w:val="00834D24"/>
    <w:rsid w:val="00835518"/>
    <w:rsid w:val="008356D5"/>
    <w:rsid w:val="00840D2E"/>
    <w:rsid w:val="00842187"/>
    <w:rsid w:val="00842980"/>
    <w:rsid w:val="008429CE"/>
    <w:rsid w:val="00842AD9"/>
    <w:rsid w:val="00843664"/>
    <w:rsid w:val="00843736"/>
    <w:rsid w:val="00844B1B"/>
    <w:rsid w:val="00846DD2"/>
    <w:rsid w:val="008473A5"/>
    <w:rsid w:val="008502E6"/>
    <w:rsid w:val="00850475"/>
    <w:rsid w:val="008509EA"/>
    <w:rsid w:val="0085137E"/>
    <w:rsid w:val="00852E67"/>
    <w:rsid w:val="00856227"/>
    <w:rsid w:val="00860FB4"/>
    <w:rsid w:val="0086191D"/>
    <w:rsid w:val="008630C8"/>
    <w:rsid w:val="00863230"/>
    <w:rsid w:val="00864195"/>
    <w:rsid w:val="00865902"/>
    <w:rsid w:val="00866772"/>
    <w:rsid w:val="008671E1"/>
    <w:rsid w:val="008717D8"/>
    <w:rsid w:val="0087188D"/>
    <w:rsid w:val="0087215C"/>
    <w:rsid w:val="008735BC"/>
    <w:rsid w:val="00874103"/>
    <w:rsid w:val="008742C1"/>
    <w:rsid w:val="00874319"/>
    <w:rsid w:val="00874F0D"/>
    <w:rsid w:val="00874F2C"/>
    <w:rsid w:val="00875611"/>
    <w:rsid w:val="0087787C"/>
    <w:rsid w:val="0088380E"/>
    <w:rsid w:val="00884410"/>
    <w:rsid w:val="00884A4D"/>
    <w:rsid w:val="008857A7"/>
    <w:rsid w:val="008875FE"/>
    <w:rsid w:val="0088795C"/>
    <w:rsid w:val="00887F8E"/>
    <w:rsid w:val="00890195"/>
    <w:rsid w:val="008905BE"/>
    <w:rsid w:val="00890B4F"/>
    <w:rsid w:val="0089310E"/>
    <w:rsid w:val="00893193"/>
    <w:rsid w:val="008948C8"/>
    <w:rsid w:val="00894EE2"/>
    <w:rsid w:val="008950DD"/>
    <w:rsid w:val="00896234"/>
    <w:rsid w:val="00896AA2"/>
    <w:rsid w:val="00896D9E"/>
    <w:rsid w:val="0089727E"/>
    <w:rsid w:val="00897E43"/>
    <w:rsid w:val="008A089A"/>
    <w:rsid w:val="008A2D0F"/>
    <w:rsid w:val="008A3367"/>
    <w:rsid w:val="008A3855"/>
    <w:rsid w:val="008A5CBD"/>
    <w:rsid w:val="008B0A86"/>
    <w:rsid w:val="008B1C8E"/>
    <w:rsid w:val="008B2ED4"/>
    <w:rsid w:val="008B4CFB"/>
    <w:rsid w:val="008B59E1"/>
    <w:rsid w:val="008B7752"/>
    <w:rsid w:val="008C03B0"/>
    <w:rsid w:val="008C1946"/>
    <w:rsid w:val="008C2181"/>
    <w:rsid w:val="008C2559"/>
    <w:rsid w:val="008C3782"/>
    <w:rsid w:val="008C4731"/>
    <w:rsid w:val="008C490B"/>
    <w:rsid w:val="008C4B87"/>
    <w:rsid w:val="008C4E2F"/>
    <w:rsid w:val="008C5738"/>
    <w:rsid w:val="008C60F9"/>
    <w:rsid w:val="008C65DE"/>
    <w:rsid w:val="008C6B9B"/>
    <w:rsid w:val="008C6C66"/>
    <w:rsid w:val="008C736A"/>
    <w:rsid w:val="008C7852"/>
    <w:rsid w:val="008C7EAD"/>
    <w:rsid w:val="008D200A"/>
    <w:rsid w:val="008D2EC7"/>
    <w:rsid w:val="008D353B"/>
    <w:rsid w:val="008D5158"/>
    <w:rsid w:val="008D5C2E"/>
    <w:rsid w:val="008D5E11"/>
    <w:rsid w:val="008D6152"/>
    <w:rsid w:val="008E2491"/>
    <w:rsid w:val="008E24AF"/>
    <w:rsid w:val="008E3394"/>
    <w:rsid w:val="008E4436"/>
    <w:rsid w:val="008E4A4C"/>
    <w:rsid w:val="008E565A"/>
    <w:rsid w:val="008E5E26"/>
    <w:rsid w:val="008E66BF"/>
    <w:rsid w:val="008E6E89"/>
    <w:rsid w:val="008E778A"/>
    <w:rsid w:val="008F0F81"/>
    <w:rsid w:val="008F443B"/>
    <w:rsid w:val="008F554D"/>
    <w:rsid w:val="008F6D20"/>
    <w:rsid w:val="008F7040"/>
    <w:rsid w:val="009016D7"/>
    <w:rsid w:val="00901A6F"/>
    <w:rsid w:val="00904A7A"/>
    <w:rsid w:val="009063E3"/>
    <w:rsid w:val="00907AC0"/>
    <w:rsid w:val="00907DCD"/>
    <w:rsid w:val="0091018B"/>
    <w:rsid w:val="00912276"/>
    <w:rsid w:val="009129DC"/>
    <w:rsid w:val="00912AA5"/>
    <w:rsid w:val="00913F7E"/>
    <w:rsid w:val="009149A2"/>
    <w:rsid w:val="009153F1"/>
    <w:rsid w:val="00915677"/>
    <w:rsid w:val="00915D01"/>
    <w:rsid w:val="00917EC2"/>
    <w:rsid w:val="009207A5"/>
    <w:rsid w:val="00920F1D"/>
    <w:rsid w:val="00921966"/>
    <w:rsid w:val="0092310A"/>
    <w:rsid w:val="00923540"/>
    <w:rsid w:val="0092633F"/>
    <w:rsid w:val="00926767"/>
    <w:rsid w:val="00927DDD"/>
    <w:rsid w:val="00930F02"/>
    <w:rsid w:val="00930F7A"/>
    <w:rsid w:val="00931D86"/>
    <w:rsid w:val="00934412"/>
    <w:rsid w:val="00934430"/>
    <w:rsid w:val="00935D0A"/>
    <w:rsid w:val="00935FC4"/>
    <w:rsid w:val="009361D5"/>
    <w:rsid w:val="009363CE"/>
    <w:rsid w:val="009405D5"/>
    <w:rsid w:val="00940E41"/>
    <w:rsid w:val="009413DA"/>
    <w:rsid w:val="00941CB7"/>
    <w:rsid w:val="00942764"/>
    <w:rsid w:val="00943014"/>
    <w:rsid w:val="0094344E"/>
    <w:rsid w:val="0094377F"/>
    <w:rsid w:val="00944D30"/>
    <w:rsid w:val="00945736"/>
    <w:rsid w:val="00945AEA"/>
    <w:rsid w:val="009511F1"/>
    <w:rsid w:val="00951B32"/>
    <w:rsid w:val="00951D51"/>
    <w:rsid w:val="0095262C"/>
    <w:rsid w:val="00952A41"/>
    <w:rsid w:val="00953B46"/>
    <w:rsid w:val="00956924"/>
    <w:rsid w:val="00957266"/>
    <w:rsid w:val="00957606"/>
    <w:rsid w:val="009601C1"/>
    <w:rsid w:val="009621BE"/>
    <w:rsid w:val="00962D04"/>
    <w:rsid w:val="00963668"/>
    <w:rsid w:val="00964448"/>
    <w:rsid w:val="009645B9"/>
    <w:rsid w:val="009646DA"/>
    <w:rsid w:val="009654A9"/>
    <w:rsid w:val="00965623"/>
    <w:rsid w:val="009659F4"/>
    <w:rsid w:val="00967514"/>
    <w:rsid w:val="00970D60"/>
    <w:rsid w:val="009711DA"/>
    <w:rsid w:val="00972C7A"/>
    <w:rsid w:val="00976682"/>
    <w:rsid w:val="00976D8B"/>
    <w:rsid w:val="00980017"/>
    <w:rsid w:val="00980304"/>
    <w:rsid w:val="009828BA"/>
    <w:rsid w:val="00984042"/>
    <w:rsid w:val="00984F36"/>
    <w:rsid w:val="00985280"/>
    <w:rsid w:val="00985508"/>
    <w:rsid w:val="00985819"/>
    <w:rsid w:val="0098608C"/>
    <w:rsid w:val="00991408"/>
    <w:rsid w:val="00991B21"/>
    <w:rsid w:val="00992DF8"/>
    <w:rsid w:val="009948B5"/>
    <w:rsid w:val="00995C28"/>
    <w:rsid w:val="00996BE7"/>
    <w:rsid w:val="0099770D"/>
    <w:rsid w:val="009A005F"/>
    <w:rsid w:val="009A12EB"/>
    <w:rsid w:val="009A396D"/>
    <w:rsid w:val="009A4541"/>
    <w:rsid w:val="009A546B"/>
    <w:rsid w:val="009A569B"/>
    <w:rsid w:val="009A7989"/>
    <w:rsid w:val="009A7ADC"/>
    <w:rsid w:val="009B0B55"/>
    <w:rsid w:val="009B135D"/>
    <w:rsid w:val="009B1CB9"/>
    <w:rsid w:val="009B27BA"/>
    <w:rsid w:val="009B36E0"/>
    <w:rsid w:val="009B38D5"/>
    <w:rsid w:val="009B4EB4"/>
    <w:rsid w:val="009B5319"/>
    <w:rsid w:val="009B5F4E"/>
    <w:rsid w:val="009B611D"/>
    <w:rsid w:val="009B639E"/>
    <w:rsid w:val="009B6B52"/>
    <w:rsid w:val="009B6F47"/>
    <w:rsid w:val="009B76F2"/>
    <w:rsid w:val="009C19B7"/>
    <w:rsid w:val="009C1F7D"/>
    <w:rsid w:val="009C2D55"/>
    <w:rsid w:val="009C3AF7"/>
    <w:rsid w:val="009C401F"/>
    <w:rsid w:val="009C4EA4"/>
    <w:rsid w:val="009C512E"/>
    <w:rsid w:val="009C54A3"/>
    <w:rsid w:val="009C6967"/>
    <w:rsid w:val="009D1CAD"/>
    <w:rsid w:val="009D1D3E"/>
    <w:rsid w:val="009D34D1"/>
    <w:rsid w:val="009D37F6"/>
    <w:rsid w:val="009D39AE"/>
    <w:rsid w:val="009D3CF8"/>
    <w:rsid w:val="009D53F2"/>
    <w:rsid w:val="009D5A4A"/>
    <w:rsid w:val="009D775F"/>
    <w:rsid w:val="009D7C51"/>
    <w:rsid w:val="009D7E43"/>
    <w:rsid w:val="009E0622"/>
    <w:rsid w:val="009E0FC1"/>
    <w:rsid w:val="009E1084"/>
    <w:rsid w:val="009E10A9"/>
    <w:rsid w:val="009E1315"/>
    <w:rsid w:val="009E1A0E"/>
    <w:rsid w:val="009E2EB0"/>
    <w:rsid w:val="009E3F46"/>
    <w:rsid w:val="009E7518"/>
    <w:rsid w:val="009E7DFD"/>
    <w:rsid w:val="009F0C76"/>
    <w:rsid w:val="009F0CB5"/>
    <w:rsid w:val="009F2553"/>
    <w:rsid w:val="009F33C5"/>
    <w:rsid w:val="009F36BF"/>
    <w:rsid w:val="009F3980"/>
    <w:rsid w:val="009F5C4A"/>
    <w:rsid w:val="009F7D10"/>
    <w:rsid w:val="009F7F54"/>
    <w:rsid w:val="00A01136"/>
    <w:rsid w:val="00A01DD2"/>
    <w:rsid w:val="00A0320A"/>
    <w:rsid w:val="00A03C9E"/>
    <w:rsid w:val="00A05FE0"/>
    <w:rsid w:val="00A10243"/>
    <w:rsid w:val="00A106D6"/>
    <w:rsid w:val="00A111B6"/>
    <w:rsid w:val="00A121DC"/>
    <w:rsid w:val="00A1533F"/>
    <w:rsid w:val="00A16D1B"/>
    <w:rsid w:val="00A17E95"/>
    <w:rsid w:val="00A2094D"/>
    <w:rsid w:val="00A21580"/>
    <w:rsid w:val="00A23A55"/>
    <w:rsid w:val="00A23AC6"/>
    <w:rsid w:val="00A23F90"/>
    <w:rsid w:val="00A30471"/>
    <w:rsid w:val="00A3051B"/>
    <w:rsid w:val="00A31489"/>
    <w:rsid w:val="00A31530"/>
    <w:rsid w:val="00A318B6"/>
    <w:rsid w:val="00A33285"/>
    <w:rsid w:val="00A3346A"/>
    <w:rsid w:val="00A3383D"/>
    <w:rsid w:val="00A34178"/>
    <w:rsid w:val="00A377D2"/>
    <w:rsid w:val="00A37C53"/>
    <w:rsid w:val="00A418A4"/>
    <w:rsid w:val="00A41F8E"/>
    <w:rsid w:val="00A42A99"/>
    <w:rsid w:val="00A43694"/>
    <w:rsid w:val="00A44605"/>
    <w:rsid w:val="00A4489A"/>
    <w:rsid w:val="00A4494B"/>
    <w:rsid w:val="00A4552D"/>
    <w:rsid w:val="00A46B5D"/>
    <w:rsid w:val="00A47530"/>
    <w:rsid w:val="00A47602"/>
    <w:rsid w:val="00A47DDE"/>
    <w:rsid w:val="00A47E66"/>
    <w:rsid w:val="00A505EA"/>
    <w:rsid w:val="00A50BA6"/>
    <w:rsid w:val="00A5151A"/>
    <w:rsid w:val="00A51F4C"/>
    <w:rsid w:val="00A52B9F"/>
    <w:rsid w:val="00A530C7"/>
    <w:rsid w:val="00A53DA5"/>
    <w:rsid w:val="00A54CC0"/>
    <w:rsid w:val="00A55C26"/>
    <w:rsid w:val="00A55D54"/>
    <w:rsid w:val="00A5634D"/>
    <w:rsid w:val="00A56FF1"/>
    <w:rsid w:val="00A613A8"/>
    <w:rsid w:val="00A619A9"/>
    <w:rsid w:val="00A623AA"/>
    <w:rsid w:val="00A62CE2"/>
    <w:rsid w:val="00A6422C"/>
    <w:rsid w:val="00A6482F"/>
    <w:rsid w:val="00A64BFF"/>
    <w:rsid w:val="00A6632B"/>
    <w:rsid w:val="00A67FE0"/>
    <w:rsid w:val="00A70575"/>
    <w:rsid w:val="00A70F8B"/>
    <w:rsid w:val="00A712E6"/>
    <w:rsid w:val="00A71E7B"/>
    <w:rsid w:val="00A71F8C"/>
    <w:rsid w:val="00A72D4F"/>
    <w:rsid w:val="00A73629"/>
    <w:rsid w:val="00A73A67"/>
    <w:rsid w:val="00A7523A"/>
    <w:rsid w:val="00A80DF0"/>
    <w:rsid w:val="00A818BA"/>
    <w:rsid w:val="00A82184"/>
    <w:rsid w:val="00A821AE"/>
    <w:rsid w:val="00A821E3"/>
    <w:rsid w:val="00A823F6"/>
    <w:rsid w:val="00A832B9"/>
    <w:rsid w:val="00A84B41"/>
    <w:rsid w:val="00A852F9"/>
    <w:rsid w:val="00A87BA5"/>
    <w:rsid w:val="00A905E1"/>
    <w:rsid w:val="00A91A3E"/>
    <w:rsid w:val="00A91DF7"/>
    <w:rsid w:val="00A91F2B"/>
    <w:rsid w:val="00A924D8"/>
    <w:rsid w:val="00A92663"/>
    <w:rsid w:val="00A97459"/>
    <w:rsid w:val="00AA0A89"/>
    <w:rsid w:val="00AA0D60"/>
    <w:rsid w:val="00AA2DC3"/>
    <w:rsid w:val="00AA579A"/>
    <w:rsid w:val="00AA74D7"/>
    <w:rsid w:val="00AA75DE"/>
    <w:rsid w:val="00AB05C6"/>
    <w:rsid w:val="00AB2754"/>
    <w:rsid w:val="00AB3C67"/>
    <w:rsid w:val="00AB4991"/>
    <w:rsid w:val="00AB4FEC"/>
    <w:rsid w:val="00AB66F0"/>
    <w:rsid w:val="00AB7364"/>
    <w:rsid w:val="00AC01AA"/>
    <w:rsid w:val="00AC1142"/>
    <w:rsid w:val="00AC14F8"/>
    <w:rsid w:val="00AC1B6C"/>
    <w:rsid w:val="00AC24DD"/>
    <w:rsid w:val="00AC3935"/>
    <w:rsid w:val="00AC42BC"/>
    <w:rsid w:val="00AC4BF4"/>
    <w:rsid w:val="00AC4F72"/>
    <w:rsid w:val="00AC5C12"/>
    <w:rsid w:val="00AD0EA8"/>
    <w:rsid w:val="00AD2FA5"/>
    <w:rsid w:val="00AD4D0D"/>
    <w:rsid w:val="00AD50AA"/>
    <w:rsid w:val="00AD56BF"/>
    <w:rsid w:val="00AD7296"/>
    <w:rsid w:val="00AD74D4"/>
    <w:rsid w:val="00AE0B5F"/>
    <w:rsid w:val="00AE0F24"/>
    <w:rsid w:val="00AE10ED"/>
    <w:rsid w:val="00AE17F6"/>
    <w:rsid w:val="00AE2033"/>
    <w:rsid w:val="00AE2F5A"/>
    <w:rsid w:val="00AE5144"/>
    <w:rsid w:val="00AE58E6"/>
    <w:rsid w:val="00AE655C"/>
    <w:rsid w:val="00AE75EC"/>
    <w:rsid w:val="00AE7683"/>
    <w:rsid w:val="00AF09A3"/>
    <w:rsid w:val="00AF1F54"/>
    <w:rsid w:val="00AF2648"/>
    <w:rsid w:val="00AF2EF7"/>
    <w:rsid w:val="00AF3778"/>
    <w:rsid w:val="00AF5905"/>
    <w:rsid w:val="00AF62CC"/>
    <w:rsid w:val="00AF6BA3"/>
    <w:rsid w:val="00AF741A"/>
    <w:rsid w:val="00AF76BF"/>
    <w:rsid w:val="00B01742"/>
    <w:rsid w:val="00B0186C"/>
    <w:rsid w:val="00B021A4"/>
    <w:rsid w:val="00B02351"/>
    <w:rsid w:val="00B02BDC"/>
    <w:rsid w:val="00B030D0"/>
    <w:rsid w:val="00B03603"/>
    <w:rsid w:val="00B04161"/>
    <w:rsid w:val="00B05456"/>
    <w:rsid w:val="00B056F9"/>
    <w:rsid w:val="00B05B4A"/>
    <w:rsid w:val="00B07707"/>
    <w:rsid w:val="00B07F1A"/>
    <w:rsid w:val="00B102E3"/>
    <w:rsid w:val="00B10BA2"/>
    <w:rsid w:val="00B1143B"/>
    <w:rsid w:val="00B11E3D"/>
    <w:rsid w:val="00B1305F"/>
    <w:rsid w:val="00B13355"/>
    <w:rsid w:val="00B13B4D"/>
    <w:rsid w:val="00B13D67"/>
    <w:rsid w:val="00B14137"/>
    <w:rsid w:val="00B15445"/>
    <w:rsid w:val="00B162C2"/>
    <w:rsid w:val="00B1647A"/>
    <w:rsid w:val="00B16F4C"/>
    <w:rsid w:val="00B17E82"/>
    <w:rsid w:val="00B20314"/>
    <w:rsid w:val="00B20372"/>
    <w:rsid w:val="00B2064C"/>
    <w:rsid w:val="00B20997"/>
    <w:rsid w:val="00B238BA"/>
    <w:rsid w:val="00B246DD"/>
    <w:rsid w:val="00B25221"/>
    <w:rsid w:val="00B25AF3"/>
    <w:rsid w:val="00B260E8"/>
    <w:rsid w:val="00B26C7D"/>
    <w:rsid w:val="00B30F36"/>
    <w:rsid w:val="00B3195E"/>
    <w:rsid w:val="00B31B93"/>
    <w:rsid w:val="00B329BC"/>
    <w:rsid w:val="00B33248"/>
    <w:rsid w:val="00B33B05"/>
    <w:rsid w:val="00B360A6"/>
    <w:rsid w:val="00B3705A"/>
    <w:rsid w:val="00B371C7"/>
    <w:rsid w:val="00B37D09"/>
    <w:rsid w:val="00B40021"/>
    <w:rsid w:val="00B44406"/>
    <w:rsid w:val="00B4483A"/>
    <w:rsid w:val="00B454C4"/>
    <w:rsid w:val="00B478C0"/>
    <w:rsid w:val="00B479D1"/>
    <w:rsid w:val="00B47CB5"/>
    <w:rsid w:val="00B51F73"/>
    <w:rsid w:val="00B5276D"/>
    <w:rsid w:val="00B52E73"/>
    <w:rsid w:val="00B531BD"/>
    <w:rsid w:val="00B55263"/>
    <w:rsid w:val="00B55E20"/>
    <w:rsid w:val="00B575BA"/>
    <w:rsid w:val="00B60320"/>
    <w:rsid w:val="00B610E3"/>
    <w:rsid w:val="00B61432"/>
    <w:rsid w:val="00B6147C"/>
    <w:rsid w:val="00B61D91"/>
    <w:rsid w:val="00B62A9F"/>
    <w:rsid w:val="00B6496A"/>
    <w:rsid w:val="00B64E36"/>
    <w:rsid w:val="00B6510A"/>
    <w:rsid w:val="00B652F1"/>
    <w:rsid w:val="00B6765A"/>
    <w:rsid w:val="00B67711"/>
    <w:rsid w:val="00B713D1"/>
    <w:rsid w:val="00B72B81"/>
    <w:rsid w:val="00B737B6"/>
    <w:rsid w:val="00B7396D"/>
    <w:rsid w:val="00B744A2"/>
    <w:rsid w:val="00B7502B"/>
    <w:rsid w:val="00B758AB"/>
    <w:rsid w:val="00B76429"/>
    <w:rsid w:val="00B80DA5"/>
    <w:rsid w:val="00B8276E"/>
    <w:rsid w:val="00B83289"/>
    <w:rsid w:val="00B84576"/>
    <w:rsid w:val="00B84E8E"/>
    <w:rsid w:val="00B84F68"/>
    <w:rsid w:val="00B86702"/>
    <w:rsid w:val="00B87200"/>
    <w:rsid w:val="00B87CF6"/>
    <w:rsid w:val="00B87F83"/>
    <w:rsid w:val="00B87FD8"/>
    <w:rsid w:val="00B90D7A"/>
    <w:rsid w:val="00B91FC1"/>
    <w:rsid w:val="00B92246"/>
    <w:rsid w:val="00B932A2"/>
    <w:rsid w:val="00B94EB2"/>
    <w:rsid w:val="00B956D4"/>
    <w:rsid w:val="00B96E8B"/>
    <w:rsid w:val="00B978CC"/>
    <w:rsid w:val="00BA0D38"/>
    <w:rsid w:val="00BA28D9"/>
    <w:rsid w:val="00BA2BDC"/>
    <w:rsid w:val="00BA3E73"/>
    <w:rsid w:val="00BA453B"/>
    <w:rsid w:val="00BA4B9D"/>
    <w:rsid w:val="00BA4D8E"/>
    <w:rsid w:val="00BA65E7"/>
    <w:rsid w:val="00BA738D"/>
    <w:rsid w:val="00BA7432"/>
    <w:rsid w:val="00BA7BEF"/>
    <w:rsid w:val="00BB03E6"/>
    <w:rsid w:val="00BB16C9"/>
    <w:rsid w:val="00BB2710"/>
    <w:rsid w:val="00BB29A8"/>
    <w:rsid w:val="00BB3E7D"/>
    <w:rsid w:val="00BB522E"/>
    <w:rsid w:val="00BB52A1"/>
    <w:rsid w:val="00BB610F"/>
    <w:rsid w:val="00BB65D7"/>
    <w:rsid w:val="00BB749E"/>
    <w:rsid w:val="00BB752F"/>
    <w:rsid w:val="00BB7C1F"/>
    <w:rsid w:val="00BC015C"/>
    <w:rsid w:val="00BC1AA0"/>
    <w:rsid w:val="00BC30DF"/>
    <w:rsid w:val="00BC3835"/>
    <w:rsid w:val="00BC6D5D"/>
    <w:rsid w:val="00BC7EB9"/>
    <w:rsid w:val="00BD2643"/>
    <w:rsid w:val="00BD2CA1"/>
    <w:rsid w:val="00BD3AE3"/>
    <w:rsid w:val="00BD42C2"/>
    <w:rsid w:val="00BD43CD"/>
    <w:rsid w:val="00BD6464"/>
    <w:rsid w:val="00BD6558"/>
    <w:rsid w:val="00BD7287"/>
    <w:rsid w:val="00BD7B60"/>
    <w:rsid w:val="00BE02FD"/>
    <w:rsid w:val="00BE08BF"/>
    <w:rsid w:val="00BE1A4C"/>
    <w:rsid w:val="00BE1FE9"/>
    <w:rsid w:val="00BE2209"/>
    <w:rsid w:val="00BE30AC"/>
    <w:rsid w:val="00BE3C0E"/>
    <w:rsid w:val="00BE435A"/>
    <w:rsid w:val="00BE6742"/>
    <w:rsid w:val="00BE7860"/>
    <w:rsid w:val="00BF1996"/>
    <w:rsid w:val="00BF19AF"/>
    <w:rsid w:val="00BF1F7C"/>
    <w:rsid w:val="00BF2159"/>
    <w:rsid w:val="00BF2B65"/>
    <w:rsid w:val="00BF3214"/>
    <w:rsid w:val="00BF3AC5"/>
    <w:rsid w:val="00BF3B25"/>
    <w:rsid w:val="00BF59FB"/>
    <w:rsid w:val="00BF71DE"/>
    <w:rsid w:val="00BF7E5F"/>
    <w:rsid w:val="00C00379"/>
    <w:rsid w:val="00C00DB1"/>
    <w:rsid w:val="00C013C1"/>
    <w:rsid w:val="00C01C48"/>
    <w:rsid w:val="00C026DA"/>
    <w:rsid w:val="00C03AE4"/>
    <w:rsid w:val="00C04648"/>
    <w:rsid w:val="00C05ACE"/>
    <w:rsid w:val="00C06FED"/>
    <w:rsid w:val="00C10F0E"/>
    <w:rsid w:val="00C11C47"/>
    <w:rsid w:val="00C11D64"/>
    <w:rsid w:val="00C1225D"/>
    <w:rsid w:val="00C12D62"/>
    <w:rsid w:val="00C15867"/>
    <w:rsid w:val="00C16D17"/>
    <w:rsid w:val="00C17298"/>
    <w:rsid w:val="00C2296D"/>
    <w:rsid w:val="00C23155"/>
    <w:rsid w:val="00C2435F"/>
    <w:rsid w:val="00C2449B"/>
    <w:rsid w:val="00C27833"/>
    <w:rsid w:val="00C307A1"/>
    <w:rsid w:val="00C33206"/>
    <w:rsid w:val="00C332ED"/>
    <w:rsid w:val="00C334CC"/>
    <w:rsid w:val="00C3469A"/>
    <w:rsid w:val="00C360C6"/>
    <w:rsid w:val="00C37DA4"/>
    <w:rsid w:val="00C40A15"/>
    <w:rsid w:val="00C40C41"/>
    <w:rsid w:val="00C41F63"/>
    <w:rsid w:val="00C43175"/>
    <w:rsid w:val="00C44149"/>
    <w:rsid w:val="00C447EC"/>
    <w:rsid w:val="00C45885"/>
    <w:rsid w:val="00C459F1"/>
    <w:rsid w:val="00C4641F"/>
    <w:rsid w:val="00C466DB"/>
    <w:rsid w:val="00C467DB"/>
    <w:rsid w:val="00C475AD"/>
    <w:rsid w:val="00C5085E"/>
    <w:rsid w:val="00C50F22"/>
    <w:rsid w:val="00C53261"/>
    <w:rsid w:val="00C53978"/>
    <w:rsid w:val="00C54E57"/>
    <w:rsid w:val="00C56C73"/>
    <w:rsid w:val="00C57971"/>
    <w:rsid w:val="00C60A5A"/>
    <w:rsid w:val="00C6164C"/>
    <w:rsid w:val="00C6351D"/>
    <w:rsid w:val="00C63840"/>
    <w:rsid w:val="00C63A53"/>
    <w:rsid w:val="00C67A87"/>
    <w:rsid w:val="00C70ED8"/>
    <w:rsid w:val="00C71BC0"/>
    <w:rsid w:val="00C71DE8"/>
    <w:rsid w:val="00C720BD"/>
    <w:rsid w:val="00C730F9"/>
    <w:rsid w:val="00C73C42"/>
    <w:rsid w:val="00C73EFF"/>
    <w:rsid w:val="00C76BA4"/>
    <w:rsid w:val="00C804BE"/>
    <w:rsid w:val="00C82135"/>
    <w:rsid w:val="00C82440"/>
    <w:rsid w:val="00C8322B"/>
    <w:rsid w:val="00C839D2"/>
    <w:rsid w:val="00C83A48"/>
    <w:rsid w:val="00C848EA"/>
    <w:rsid w:val="00C85865"/>
    <w:rsid w:val="00C85E85"/>
    <w:rsid w:val="00C8718F"/>
    <w:rsid w:val="00C92AA3"/>
    <w:rsid w:val="00C92C8C"/>
    <w:rsid w:val="00C957D6"/>
    <w:rsid w:val="00C97F35"/>
    <w:rsid w:val="00CA0481"/>
    <w:rsid w:val="00CA05FC"/>
    <w:rsid w:val="00CA131E"/>
    <w:rsid w:val="00CA2EAE"/>
    <w:rsid w:val="00CA34D4"/>
    <w:rsid w:val="00CA3A9B"/>
    <w:rsid w:val="00CA4AC1"/>
    <w:rsid w:val="00CA6F72"/>
    <w:rsid w:val="00CB0316"/>
    <w:rsid w:val="00CB0317"/>
    <w:rsid w:val="00CB0B11"/>
    <w:rsid w:val="00CB1771"/>
    <w:rsid w:val="00CB2DF3"/>
    <w:rsid w:val="00CB442C"/>
    <w:rsid w:val="00CB5354"/>
    <w:rsid w:val="00CB6C9F"/>
    <w:rsid w:val="00CC14A1"/>
    <w:rsid w:val="00CC174F"/>
    <w:rsid w:val="00CC235E"/>
    <w:rsid w:val="00CC2B76"/>
    <w:rsid w:val="00CC46C2"/>
    <w:rsid w:val="00CC4AE5"/>
    <w:rsid w:val="00CC5CAD"/>
    <w:rsid w:val="00CC6A14"/>
    <w:rsid w:val="00CC6E10"/>
    <w:rsid w:val="00CC70A3"/>
    <w:rsid w:val="00CC71AA"/>
    <w:rsid w:val="00CC7F83"/>
    <w:rsid w:val="00CD2037"/>
    <w:rsid w:val="00CD2AD3"/>
    <w:rsid w:val="00CD40CB"/>
    <w:rsid w:val="00CD43F1"/>
    <w:rsid w:val="00CD53C3"/>
    <w:rsid w:val="00CD55DA"/>
    <w:rsid w:val="00CD574E"/>
    <w:rsid w:val="00CD6DF1"/>
    <w:rsid w:val="00CD743B"/>
    <w:rsid w:val="00CE0BE0"/>
    <w:rsid w:val="00CE4382"/>
    <w:rsid w:val="00CE4C22"/>
    <w:rsid w:val="00CE55FA"/>
    <w:rsid w:val="00CE5A46"/>
    <w:rsid w:val="00CE5CAA"/>
    <w:rsid w:val="00CE6033"/>
    <w:rsid w:val="00CE63CC"/>
    <w:rsid w:val="00CE6710"/>
    <w:rsid w:val="00CE6FCB"/>
    <w:rsid w:val="00CE756E"/>
    <w:rsid w:val="00CF0B0E"/>
    <w:rsid w:val="00CF2563"/>
    <w:rsid w:val="00CF26BA"/>
    <w:rsid w:val="00CF2F29"/>
    <w:rsid w:val="00CF3911"/>
    <w:rsid w:val="00CF41EC"/>
    <w:rsid w:val="00CF4340"/>
    <w:rsid w:val="00CF58EC"/>
    <w:rsid w:val="00CF5D04"/>
    <w:rsid w:val="00CF613E"/>
    <w:rsid w:val="00CF7615"/>
    <w:rsid w:val="00D00C68"/>
    <w:rsid w:val="00D029A3"/>
    <w:rsid w:val="00D0325F"/>
    <w:rsid w:val="00D035BD"/>
    <w:rsid w:val="00D039B1"/>
    <w:rsid w:val="00D048A5"/>
    <w:rsid w:val="00D04DE4"/>
    <w:rsid w:val="00D04ECA"/>
    <w:rsid w:val="00D063F1"/>
    <w:rsid w:val="00D06A35"/>
    <w:rsid w:val="00D06F76"/>
    <w:rsid w:val="00D0746B"/>
    <w:rsid w:val="00D07D9E"/>
    <w:rsid w:val="00D11DF0"/>
    <w:rsid w:val="00D12089"/>
    <w:rsid w:val="00D14F22"/>
    <w:rsid w:val="00D15FA2"/>
    <w:rsid w:val="00D21677"/>
    <w:rsid w:val="00D23BF2"/>
    <w:rsid w:val="00D2412F"/>
    <w:rsid w:val="00D24723"/>
    <w:rsid w:val="00D249C4"/>
    <w:rsid w:val="00D250C7"/>
    <w:rsid w:val="00D25619"/>
    <w:rsid w:val="00D26F74"/>
    <w:rsid w:val="00D27369"/>
    <w:rsid w:val="00D27768"/>
    <w:rsid w:val="00D27E35"/>
    <w:rsid w:val="00D302A7"/>
    <w:rsid w:val="00D30671"/>
    <w:rsid w:val="00D31777"/>
    <w:rsid w:val="00D33E67"/>
    <w:rsid w:val="00D400C6"/>
    <w:rsid w:val="00D41FF4"/>
    <w:rsid w:val="00D42237"/>
    <w:rsid w:val="00D42514"/>
    <w:rsid w:val="00D42AD0"/>
    <w:rsid w:val="00D44913"/>
    <w:rsid w:val="00D45295"/>
    <w:rsid w:val="00D46708"/>
    <w:rsid w:val="00D4718A"/>
    <w:rsid w:val="00D50D20"/>
    <w:rsid w:val="00D50D31"/>
    <w:rsid w:val="00D5230E"/>
    <w:rsid w:val="00D52D02"/>
    <w:rsid w:val="00D532E8"/>
    <w:rsid w:val="00D5389F"/>
    <w:rsid w:val="00D5447A"/>
    <w:rsid w:val="00D54C82"/>
    <w:rsid w:val="00D57918"/>
    <w:rsid w:val="00D61380"/>
    <w:rsid w:val="00D620FF"/>
    <w:rsid w:val="00D628B4"/>
    <w:rsid w:val="00D644A6"/>
    <w:rsid w:val="00D64DCC"/>
    <w:rsid w:val="00D64F5C"/>
    <w:rsid w:val="00D665D7"/>
    <w:rsid w:val="00D6691E"/>
    <w:rsid w:val="00D67CFD"/>
    <w:rsid w:val="00D70C3C"/>
    <w:rsid w:val="00D716B5"/>
    <w:rsid w:val="00D719C3"/>
    <w:rsid w:val="00D72087"/>
    <w:rsid w:val="00D731B5"/>
    <w:rsid w:val="00D73DC6"/>
    <w:rsid w:val="00D7430E"/>
    <w:rsid w:val="00D74C1A"/>
    <w:rsid w:val="00D75205"/>
    <w:rsid w:val="00D75326"/>
    <w:rsid w:val="00D754C1"/>
    <w:rsid w:val="00D76487"/>
    <w:rsid w:val="00D767F1"/>
    <w:rsid w:val="00D77A35"/>
    <w:rsid w:val="00D800D5"/>
    <w:rsid w:val="00D80AD1"/>
    <w:rsid w:val="00D80B52"/>
    <w:rsid w:val="00D81494"/>
    <w:rsid w:val="00D81510"/>
    <w:rsid w:val="00D81B3E"/>
    <w:rsid w:val="00D81E82"/>
    <w:rsid w:val="00D82036"/>
    <w:rsid w:val="00D82748"/>
    <w:rsid w:val="00D84029"/>
    <w:rsid w:val="00D84488"/>
    <w:rsid w:val="00D85C39"/>
    <w:rsid w:val="00D8734E"/>
    <w:rsid w:val="00D90088"/>
    <w:rsid w:val="00D90C70"/>
    <w:rsid w:val="00D90E49"/>
    <w:rsid w:val="00D91572"/>
    <w:rsid w:val="00D92673"/>
    <w:rsid w:val="00D92AF9"/>
    <w:rsid w:val="00D935B0"/>
    <w:rsid w:val="00D93E5A"/>
    <w:rsid w:val="00D954D4"/>
    <w:rsid w:val="00D960B1"/>
    <w:rsid w:val="00DA11A5"/>
    <w:rsid w:val="00DA166F"/>
    <w:rsid w:val="00DA23AE"/>
    <w:rsid w:val="00DA32D5"/>
    <w:rsid w:val="00DA53FF"/>
    <w:rsid w:val="00DA5D71"/>
    <w:rsid w:val="00DA5E11"/>
    <w:rsid w:val="00DA6A5E"/>
    <w:rsid w:val="00DA7718"/>
    <w:rsid w:val="00DB1E1C"/>
    <w:rsid w:val="00DB3A05"/>
    <w:rsid w:val="00DB405F"/>
    <w:rsid w:val="00DB522C"/>
    <w:rsid w:val="00DB6539"/>
    <w:rsid w:val="00DB7EEB"/>
    <w:rsid w:val="00DB7F4F"/>
    <w:rsid w:val="00DC0454"/>
    <w:rsid w:val="00DC0D72"/>
    <w:rsid w:val="00DC0FB8"/>
    <w:rsid w:val="00DC1B3D"/>
    <w:rsid w:val="00DC2A72"/>
    <w:rsid w:val="00DC2BB3"/>
    <w:rsid w:val="00DC2F87"/>
    <w:rsid w:val="00DC5245"/>
    <w:rsid w:val="00DC5CAF"/>
    <w:rsid w:val="00DC692A"/>
    <w:rsid w:val="00DC6A10"/>
    <w:rsid w:val="00DC6D65"/>
    <w:rsid w:val="00DD20FE"/>
    <w:rsid w:val="00DD26BE"/>
    <w:rsid w:val="00DD502B"/>
    <w:rsid w:val="00DD6B05"/>
    <w:rsid w:val="00DD6CDE"/>
    <w:rsid w:val="00DD712C"/>
    <w:rsid w:val="00DD7824"/>
    <w:rsid w:val="00DE13F5"/>
    <w:rsid w:val="00DE19ED"/>
    <w:rsid w:val="00DE1D5E"/>
    <w:rsid w:val="00DE1F6A"/>
    <w:rsid w:val="00DE20E8"/>
    <w:rsid w:val="00DE258C"/>
    <w:rsid w:val="00DE2979"/>
    <w:rsid w:val="00DE2CC3"/>
    <w:rsid w:val="00DE2EB8"/>
    <w:rsid w:val="00DE3186"/>
    <w:rsid w:val="00DE3804"/>
    <w:rsid w:val="00DE3835"/>
    <w:rsid w:val="00DE3B26"/>
    <w:rsid w:val="00DE3F39"/>
    <w:rsid w:val="00DE3FDD"/>
    <w:rsid w:val="00DE4AE0"/>
    <w:rsid w:val="00DE53D4"/>
    <w:rsid w:val="00DE5962"/>
    <w:rsid w:val="00DE639C"/>
    <w:rsid w:val="00DE657E"/>
    <w:rsid w:val="00DE7307"/>
    <w:rsid w:val="00DF1558"/>
    <w:rsid w:val="00DF1D98"/>
    <w:rsid w:val="00DF2B61"/>
    <w:rsid w:val="00DF4704"/>
    <w:rsid w:val="00DF4827"/>
    <w:rsid w:val="00DF4B6F"/>
    <w:rsid w:val="00DF6528"/>
    <w:rsid w:val="00E013D5"/>
    <w:rsid w:val="00E024AA"/>
    <w:rsid w:val="00E02A56"/>
    <w:rsid w:val="00E02FA1"/>
    <w:rsid w:val="00E03970"/>
    <w:rsid w:val="00E0419C"/>
    <w:rsid w:val="00E06220"/>
    <w:rsid w:val="00E06673"/>
    <w:rsid w:val="00E07AB2"/>
    <w:rsid w:val="00E10975"/>
    <w:rsid w:val="00E10D1B"/>
    <w:rsid w:val="00E113EB"/>
    <w:rsid w:val="00E11887"/>
    <w:rsid w:val="00E11D86"/>
    <w:rsid w:val="00E12310"/>
    <w:rsid w:val="00E125FB"/>
    <w:rsid w:val="00E12B3D"/>
    <w:rsid w:val="00E14740"/>
    <w:rsid w:val="00E14D1D"/>
    <w:rsid w:val="00E165F9"/>
    <w:rsid w:val="00E1693E"/>
    <w:rsid w:val="00E16D12"/>
    <w:rsid w:val="00E17BE3"/>
    <w:rsid w:val="00E17E49"/>
    <w:rsid w:val="00E20584"/>
    <w:rsid w:val="00E217AA"/>
    <w:rsid w:val="00E21E8E"/>
    <w:rsid w:val="00E2202E"/>
    <w:rsid w:val="00E24655"/>
    <w:rsid w:val="00E250F1"/>
    <w:rsid w:val="00E252CE"/>
    <w:rsid w:val="00E25408"/>
    <w:rsid w:val="00E25DAC"/>
    <w:rsid w:val="00E262E9"/>
    <w:rsid w:val="00E26B1A"/>
    <w:rsid w:val="00E27119"/>
    <w:rsid w:val="00E27DA6"/>
    <w:rsid w:val="00E32E6B"/>
    <w:rsid w:val="00E33106"/>
    <w:rsid w:val="00E33BA0"/>
    <w:rsid w:val="00E3550D"/>
    <w:rsid w:val="00E36A95"/>
    <w:rsid w:val="00E37EBA"/>
    <w:rsid w:val="00E42B3C"/>
    <w:rsid w:val="00E42F7C"/>
    <w:rsid w:val="00E43BFB"/>
    <w:rsid w:val="00E446C6"/>
    <w:rsid w:val="00E455DF"/>
    <w:rsid w:val="00E46BDE"/>
    <w:rsid w:val="00E50035"/>
    <w:rsid w:val="00E517B4"/>
    <w:rsid w:val="00E53175"/>
    <w:rsid w:val="00E57893"/>
    <w:rsid w:val="00E57DF0"/>
    <w:rsid w:val="00E601A9"/>
    <w:rsid w:val="00E614E0"/>
    <w:rsid w:val="00E616AA"/>
    <w:rsid w:val="00E62EBF"/>
    <w:rsid w:val="00E64D30"/>
    <w:rsid w:val="00E65751"/>
    <w:rsid w:val="00E71328"/>
    <w:rsid w:val="00E7142E"/>
    <w:rsid w:val="00E717F9"/>
    <w:rsid w:val="00E72307"/>
    <w:rsid w:val="00E729DA"/>
    <w:rsid w:val="00E72DD6"/>
    <w:rsid w:val="00E7342E"/>
    <w:rsid w:val="00E735ED"/>
    <w:rsid w:val="00E73F7F"/>
    <w:rsid w:val="00E746D5"/>
    <w:rsid w:val="00E747C4"/>
    <w:rsid w:val="00E76D4F"/>
    <w:rsid w:val="00E80B7B"/>
    <w:rsid w:val="00E812BB"/>
    <w:rsid w:val="00E8178A"/>
    <w:rsid w:val="00E85980"/>
    <w:rsid w:val="00E9244B"/>
    <w:rsid w:val="00E927F2"/>
    <w:rsid w:val="00E93138"/>
    <w:rsid w:val="00E94A5D"/>
    <w:rsid w:val="00E965E3"/>
    <w:rsid w:val="00EA0F24"/>
    <w:rsid w:val="00EA2887"/>
    <w:rsid w:val="00EA3916"/>
    <w:rsid w:val="00EA3A24"/>
    <w:rsid w:val="00EA429F"/>
    <w:rsid w:val="00EA4F9E"/>
    <w:rsid w:val="00EA5458"/>
    <w:rsid w:val="00EA5557"/>
    <w:rsid w:val="00EA6D3B"/>
    <w:rsid w:val="00EA719F"/>
    <w:rsid w:val="00EB00AD"/>
    <w:rsid w:val="00EB03E7"/>
    <w:rsid w:val="00EB0605"/>
    <w:rsid w:val="00EB136C"/>
    <w:rsid w:val="00EB1E1D"/>
    <w:rsid w:val="00EB3D59"/>
    <w:rsid w:val="00EB459F"/>
    <w:rsid w:val="00EB480E"/>
    <w:rsid w:val="00EB4891"/>
    <w:rsid w:val="00EB5EC6"/>
    <w:rsid w:val="00EB624A"/>
    <w:rsid w:val="00EB70F1"/>
    <w:rsid w:val="00EB7E47"/>
    <w:rsid w:val="00EB7FC9"/>
    <w:rsid w:val="00EC0327"/>
    <w:rsid w:val="00EC0CBD"/>
    <w:rsid w:val="00EC4DA5"/>
    <w:rsid w:val="00EC5AA0"/>
    <w:rsid w:val="00EC7746"/>
    <w:rsid w:val="00ED025A"/>
    <w:rsid w:val="00ED0AEF"/>
    <w:rsid w:val="00ED17D8"/>
    <w:rsid w:val="00ED2BF1"/>
    <w:rsid w:val="00ED408D"/>
    <w:rsid w:val="00ED45F1"/>
    <w:rsid w:val="00ED5ABC"/>
    <w:rsid w:val="00ED7137"/>
    <w:rsid w:val="00ED7980"/>
    <w:rsid w:val="00ED7A2B"/>
    <w:rsid w:val="00EE0DB8"/>
    <w:rsid w:val="00EE191C"/>
    <w:rsid w:val="00EE2119"/>
    <w:rsid w:val="00EE2ECD"/>
    <w:rsid w:val="00EE42CA"/>
    <w:rsid w:val="00EE44E1"/>
    <w:rsid w:val="00EE7380"/>
    <w:rsid w:val="00EE78D8"/>
    <w:rsid w:val="00EE7CF6"/>
    <w:rsid w:val="00EF1BAB"/>
    <w:rsid w:val="00EF3175"/>
    <w:rsid w:val="00EF5684"/>
    <w:rsid w:val="00EF65CE"/>
    <w:rsid w:val="00EF66EE"/>
    <w:rsid w:val="00EF705B"/>
    <w:rsid w:val="00F0060C"/>
    <w:rsid w:val="00F00B1F"/>
    <w:rsid w:val="00F01CE5"/>
    <w:rsid w:val="00F02683"/>
    <w:rsid w:val="00F02756"/>
    <w:rsid w:val="00F036EB"/>
    <w:rsid w:val="00F036FF"/>
    <w:rsid w:val="00F03BD5"/>
    <w:rsid w:val="00F0459E"/>
    <w:rsid w:val="00F04EEC"/>
    <w:rsid w:val="00F06437"/>
    <w:rsid w:val="00F064EF"/>
    <w:rsid w:val="00F07236"/>
    <w:rsid w:val="00F105A4"/>
    <w:rsid w:val="00F108E2"/>
    <w:rsid w:val="00F1218E"/>
    <w:rsid w:val="00F122A5"/>
    <w:rsid w:val="00F1248E"/>
    <w:rsid w:val="00F12CA2"/>
    <w:rsid w:val="00F12DA9"/>
    <w:rsid w:val="00F14041"/>
    <w:rsid w:val="00F14911"/>
    <w:rsid w:val="00F14B7D"/>
    <w:rsid w:val="00F1531E"/>
    <w:rsid w:val="00F16A75"/>
    <w:rsid w:val="00F20954"/>
    <w:rsid w:val="00F20BFC"/>
    <w:rsid w:val="00F21088"/>
    <w:rsid w:val="00F22AD4"/>
    <w:rsid w:val="00F233FA"/>
    <w:rsid w:val="00F2351E"/>
    <w:rsid w:val="00F23C71"/>
    <w:rsid w:val="00F23CEE"/>
    <w:rsid w:val="00F26888"/>
    <w:rsid w:val="00F271DE"/>
    <w:rsid w:val="00F320F2"/>
    <w:rsid w:val="00F32126"/>
    <w:rsid w:val="00F32290"/>
    <w:rsid w:val="00F327E7"/>
    <w:rsid w:val="00F32A5F"/>
    <w:rsid w:val="00F32F09"/>
    <w:rsid w:val="00F34966"/>
    <w:rsid w:val="00F34B87"/>
    <w:rsid w:val="00F35284"/>
    <w:rsid w:val="00F354EF"/>
    <w:rsid w:val="00F35746"/>
    <w:rsid w:val="00F36371"/>
    <w:rsid w:val="00F36C78"/>
    <w:rsid w:val="00F37C6F"/>
    <w:rsid w:val="00F41701"/>
    <w:rsid w:val="00F4255B"/>
    <w:rsid w:val="00F435B3"/>
    <w:rsid w:val="00F447C7"/>
    <w:rsid w:val="00F448AA"/>
    <w:rsid w:val="00F44F24"/>
    <w:rsid w:val="00F46028"/>
    <w:rsid w:val="00F46487"/>
    <w:rsid w:val="00F46E26"/>
    <w:rsid w:val="00F471D1"/>
    <w:rsid w:val="00F50CFE"/>
    <w:rsid w:val="00F53E95"/>
    <w:rsid w:val="00F5440D"/>
    <w:rsid w:val="00F554A9"/>
    <w:rsid w:val="00F60CC4"/>
    <w:rsid w:val="00F6474F"/>
    <w:rsid w:val="00F6493E"/>
    <w:rsid w:val="00F64F4E"/>
    <w:rsid w:val="00F66899"/>
    <w:rsid w:val="00F70C2D"/>
    <w:rsid w:val="00F70DCB"/>
    <w:rsid w:val="00F716FD"/>
    <w:rsid w:val="00F721B6"/>
    <w:rsid w:val="00F72392"/>
    <w:rsid w:val="00F7382E"/>
    <w:rsid w:val="00F75C5F"/>
    <w:rsid w:val="00F77020"/>
    <w:rsid w:val="00F77875"/>
    <w:rsid w:val="00F77B01"/>
    <w:rsid w:val="00F80355"/>
    <w:rsid w:val="00F80496"/>
    <w:rsid w:val="00F81698"/>
    <w:rsid w:val="00F81938"/>
    <w:rsid w:val="00F81E24"/>
    <w:rsid w:val="00F82A5A"/>
    <w:rsid w:val="00F837EC"/>
    <w:rsid w:val="00F90401"/>
    <w:rsid w:val="00F90528"/>
    <w:rsid w:val="00F9059D"/>
    <w:rsid w:val="00F91845"/>
    <w:rsid w:val="00F91A78"/>
    <w:rsid w:val="00F924A5"/>
    <w:rsid w:val="00F929BD"/>
    <w:rsid w:val="00F9314E"/>
    <w:rsid w:val="00F94665"/>
    <w:rsid w:val="00F9519C"/>
    <w:rsid w:val="00F96006"/>
    <w:rsid w:val="00F966C8"/>
    <w:rsid w:val="00F96767"/>
    <w:rsid w:val="00FA03C8"/>
    <w:rsid w:val="00FA1805"/>
    <w:rsid w:val="00FA2652"/>
    <w:rsid w:val="00FA29EE"/>
    <w:rsid w:val="00FA31C1"/>
    <w:rsid w:val="00FA54D3"/>
    <w:rsid w:val="00FA5D75"/>
    <w:rsid w:val="00FA60B6"/>
    <w:rsid w:val="00FA6349"/>
    <w:rsid w:val="00FA7B4C"/>
    <w:rsid w:val="00FB0C81"/>
    <w:rsid w:val="00FB1E0C"/>
    <w:rsid w:val="00FB227B"/>
    <w:rsid w:val="00FB4A12"/>
    <w:rsid w:val="00FB6DC0"/>
    <w:rsid w:val="00FC2200"/>
    <w:rsid w:val="00FC2540"/>
    <w:rsid w:val="00FC32FC"/>
    <w:rsid w:val="00FC3EF2"/>
    <w:rsid w:val="00FC4605"/>
    <w:rsid w:val="00FC496A"/>
    <w:rsid w:val="00FC6952"/>
    <w:rsid w:val="00FD1BF9"/>
    <w:rsid w:val="00FD2F05"/>
    <w:rsid w:val="00FD3B2A"/>
    <w:rsid w:val="00FD3DCC"/>
    <w:rsid w:val="00FD3ECC"/>
    <w:rsid w:val="00FD4012"/>
    <w:rsid w:val="00FD5461"/>
    <w:rsid w:val="00FD55FE"/>
    <w:rsid w:val="00FD7F76"/>
    <w:rsid w:val="00FE09A1"/>
    <w:rsid w:val="00FE09E0"/>
    <w:rsid w:val="00FE261E"/>
    <w:rsid w:val="00FE3364"/>
    <w:rsid w:val="00FE4AE0"/>
    <w:rsid w:val="00FE4FD0"/>
    <w:rsid w:val="00FE5CB5"/>
    <w:rsid w:val="00FF0149"/>
    <w:rsid w:val="00FF0204"/>
    <w:rsid w:val="00FF0B73"/>
    <w:rsid w:val="00FF1008"/>
    <w:rsid w:val="00FF14AB"/>
    <w:rsid w:val="00FF1B8E"/>
    <w:rsid w:val="00FF3108"/>
    <w:rsid w:val="00FF3AED"/>
    <w:rsid w:val="00FF46CC"/>
    <w:rsid w:val="00FF4F27"/>
    <w:rsid w:val="00FF52CB"/>
    <w:rsid w:val="00FF5867"/>
    <w:rsid w:val="00FF77A8"/>
    <w:rsid w:val="00FF7BA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00E14C"/>
  <w15:chartTrackingRefBased/>
  <w15:docId w15:val="{79DDC2D8-3301-43FD-853F-D0F71E27C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fr-FR"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uiPriority w:val="9"/>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uiPriority w:val="9"/>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FR"/>
    </w:rPr>
  </w:style>
  <w:style w:type="paragraph" w:customStyle="1" w:styleId="Header4">
    <w:name w:val="Header4"/>
    <w:aliases w:val="Para 4"/>
    <w:basedOn w:val="Heading4"/>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FR"/>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FR"/>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FR"/>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qFormat/>
    <w:rsid w:val="006F6061"/>
    <w:rPr>
      <w:lang w:val="fr-FR"/>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fr-FR"/>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fr-FR"/>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fr-FR"/>
    </w:rPr>
  </w:style>
  <w:style w:type="character" w:customStyle="1" w:styleId="Heading5Char">
    <w:name w:val="Heading 5 Char"/>
    <w:basedOn w:val="DefaultParagraphFont"/>
    <w:link w:val="Heading5"/>
    <w:rsid w:val="00821DFA"/>
    <w:rPr>
      <w:sz w:val="22"/>
      <w:szCs w:val="22"/>
      <w:lang w:val="fr-FR"/>
    </w:rPr>
  </w:style>
  <w:style w:type="character" w:customStyle="1" w:styleId="Heading6Char">
    <w:name w:val="Heading 6 Char"/>
    <w:basedOn w:val="DefaultParagraphFont"/>
    <w:link w:val="Heading6"/>
    <w:rsid w:val="00720EE7"/>
    <w:rPr>
      <w:rFonts w:ascii="Arial" w:hAnsi="Arial"/>
      <w:i/>
      <w:sz w:val="22"/>
      <w:szCs w:val="22"/>
      <w:lang w:val="fr-FR"/>
    </w:rPr>
  </w:style>
  <w:style w:type="character" w:customStyle="1" w:styleId="Heading7Char">
    <w:name w:val="Heading 7 Char"/>
    <w:basedOn w:val="DefaultParagraphFont"/>
    <w:link w:val="Heading7"/>
    <w:rsid w:val="00720EE7"/>
    <w:rPr>
      <w:rFonts w:ascii="Arial" w:hAnsi="Arial"/>
      <w:sz w:val="22"/>
      <w:szCs w:val="22"/>
      <w:lang w:val="fr-FR"/>
    </w:rPr>
  </w:style>
  <w:style w:type="character" w:customStyle="1" w:styleId="Heading8Char">
    <w:name w:val="Heading 8 Char"/>
    <w:basedOn w:val="DefaultParagraphFont"/>
    <w:link w:val="Heading8"/>
    <w:rsid w:val="00720EE7"/>
    <w:rPr>
      <w:b/>
      <w:sz w:val="22"/>
      <w:szCs w:val="22"/>
      <w:lang w:val="fr-FR"/>
    </w:rPr>
  </w:style>
  <w:style w:type="character" w:customStyle="1" w:styleId="Heading9Char">
    <w:name w:val="Heading 9 Char"/>
    <w:basedOn w:val="DefaultParagraphFont"/>
    <w:link w:val="Heading9"/>
    <w:rsid w:val="00720EE7"/>
    <w:rPr>
      <w:rFonts w:ascii="Arial" w:hAnsi="Arial"/>
      <w:i/>
      <w:sz w:val="18"/>
      <w:szCs w:val="22"/>
      <w:lang w:val="fr-FR"/>
    </w:rPr>
  </w:style>
  <w:style w:type="numbering" w:customStyle="1" w:styleId="1111111">
    <w:name w:val="1 / 1.1 / 1.1.11"/>
    <w:basedOn w:val="NoList"/>
    <w:next w:val="111111"/>
    <w:semiHidden/>
    <w:rsid w:val="00720EE7"/>
    <w:pPr>
      <w:numPr>
        <w:numId w:val="7"/>
      </w:numPr>
    </w:pPr>
  </w:style>
  <w:style w:type="character" w:customStyle="1" w:styleId="HeaderChar">
    <w:name w:val="Header Char"/>
    <w:basedOn w:val="DefaultParagraphFont"/>
    <w:link w:val="Header"/>
    <w:rsid w:val="00720EE7"/>
    <w:rPr>
      <w:sz w:val="22"/>
      <w:szCs w:val="22"/>
      <w:lang w:val="fr-FR"/>
    </w:rPr>
  </w:style>
  <w:style w:type="character" w:customStyle="1" w:styleId="FooterChar">
    <w:name w:val="Footer Char"/>
    <w:basedOn w:val="DefaultParagraphFont"/>
    <w:link w:val="Footer"/>
    <w:uiPriority w:val="99"/>
    <w:rsid w:val="00720EE7"/>
    <w:rPr>
      <w:sz w:val="22"/>
      <w:szCs w:val="22"/>
      <w:lang w:val="fr-FR"/>
    </w:rPr>
  </w:style>
  <w:style w:type="numbering" w:customStyle="1" w:styleId="1ai1">
    <w:name w:val="1 / a / i1"/>
    <w:basedOn w:val="NoList"/>
    <w:next w:val="1ai"/>
    <w:semiHidden/>
    <w:rsid w:val="00720EE7"/>
    <w:pPr>
      <w:numPr>
        <w:numId w:val="8"/>
      </w:numPr>
    </w:pPr>
  </w:style>
  <w:style w:type="numbering" w:customStyle="1" w:styleId="ArticleSection1">
    <w:name w:val="Article / Section1"/>
    <w:basedOn w:val="NoList"/>
    <w:next w:val="ArticleSection"/>
    <w:semiHidden/>
    <w:rsid w:val="00720EE7"/>
    <w:pPr>
      <w:numPr>
        <w:numId w:val="9"/>
      </w:numPr>
    </w:pPr>
  </w:style>
  <w:style w:type="character" w:customStyle="1" w:styleId="BodyText3Char">
    <w:name w:val="Body Text 3 Char"/>
    <w:basedOn w:val="DefaultParagraphFont"/>
    <w:link w:val="BodyText3"/>
    <w:semiHidden/>
    <w:rsid w:val="00720EE7"/>
    <w:rPr>
      <w:sz w:val="16"/>
      <w:szCs w:val="16"/>
      <w:lang w:val="fr-FR"/>
    </w:rPr>
  </w:style>
  <w:style w:type="character" w:customStyle="1" w:styleId="BodyTextIndent3Char">
    <w:name w:val="Body Text Indent 3 Char"/>
    <w:basedOn w:val="DefaultParagraphFont"/>
    <w:link w:val="BodyTextIndent3"/>
    <w:semiHidden/>
    <w:rsid w:val="00720EE7"/>
    <w:rPr>
      <w:sz w:val="16"/>
      <w:szCs w:val="16"/>
      <w:lang w:val="fr-FR"/>
    </w:rPr>
  </w:style>
  <w:style w:type="character" w:customStyle="1" w:styleId="PlainTextChar">
    <w:name w:val="Plain Text Char"/>
    <w:basedOn w:val="DefaultParagraphFont"/>
    <w:link w:val="PlainText"/>
    <w:semiHidden/>
    <w:rsid w:val="00720EE7"/>
    <w:rPr>
      <w:rFonts w:ascii="Courier New" w:hAnsi="Courier New" w:cs="Courier New"/>
      <w:szCs w:val="22"/>
      <w:lang w:val="fr-FR"/>
    </w:rPr>
  </w:style>
  <w:style w:type="character" w:customStyle="1" w:styleId="SubtitleChar">
    <w:name w:val="Subtitle Char"/>
    <w:basedOn w:val="DefaultParagraphFont"/>
    <w:link w:val="Subtitle"/>
    <w:rsid w:val="00720EE7"/>
    <w:rPr>
      <w:rFonts w:ascii="Arial" w:hAnsi="Arial" w:cs="Arial"/>
      <w:sz w:val="22"/>
      <w:szCs w:val="22"/>
      <w:lang w:val="fr-FR"/>
    </w:rPr>
  </w:style>
  <w:style w:type="character" w:customStyle="1" w:styleId="TitleChar">
    <w:name w:val="Title Char"/>
    <w:basedOn w:val="DefaultParagraphFont"/>
    <w:link w:val="Title"/>
    <w:rsid w:val="00720EE7"/>
    <w:rPr>
      <w:rFonts w:ascii="Arial" w:hAnsi="Arial" w:cs="Arial"/>
      <w:b/>
      <w:bCs/>
      <w:kern w:val="28"/>
      <w:sz w:val="22"/>
      <w:szCs w:val="22"/>
      <w:lang w:val="fr-FR"/>
    </w:rPr>
  </w:style>
  <w:style w:type="character" w:customStyle="1" w:styleId="DateChar">
    <w:name w:val="Date Char"/>
    <w:basedOn w:val="DefaultParagraphFont"/>
    <w:link w:val="Date"/>
    <w:rsid w:val="00720EE7"/>
    <w:rPr>
      <w:sz w:val="22"/>
      <w:szCs w:val="22"/>
      <w:lang w:val="fr-FR"/>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1"/>
    <w:qFormat/>
    <w:rsid w:val="00720EE7"/>
    <w:pPr>
      <w:ind w:left="720"/>
      <w:contextualSpacing/>
    </w:pPr>
    <w:rPr>
      <w:rFonts w:eastAsia="Times New Roman"/>
      <w:lang w:eastAsia="en-US"/>
    </w:rPr>
  </w:style>
  <w:style w:type="paragraph" w:styleId="Revision">
    <w:name w:val="Revision"/>
    <w:hidden/>
    <w:uiPriority w:val="99"/>
    <w:semiHidden/>
    <w:rsid w:val="00720EE7"/>
    <w:rPr>
      <w:rFonts w:eastAsia="Times New Roman"/>
      <w:sz w:val="22"/>
      <w:szCs w:val="22"/>
      <w:lang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20EE7"/>
    <w:pPr>
      <w:spacing w:after="160" w:line="240" w:lineRule="exact"/>
    </w:pPr>
    <w:rPr>
      <w:sz w:val="20"/>
      <w:szCs w:val="20"/>
      <w:vertAlign w:val="superscript"/>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fr-FR"/>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1"/>
    <w:qFormat/>
    <w:locked/>
    <w:rsid w:val="00E10975"/>
    <w:rPr>
      <w:rFonts w:eastAsia="Times New Roman"/>
      <w:sz w:val="22"/>
      <w:szCs w:val="22"/>
      <w:lang w:val="fr-FR" w:eastAsia="en-US"/>
    </w:rPr>
  </w:style>
  <w:style w:type="character" w:customStyle="1" w:styleId="normaltextrun">
    <w:name w:val="normaltextrun"/>
    <w:basedOn w:val="DefaultParagraphFont"/>
    <w:rsid w:val="00E10975"/>
  </w:style>
  <w:style w:type="paragraph" w:styleId="NoSpacing">
    <w:name w:val="No Spacing"/>
    <w:uiPriority w:val="1"/>
    <w:qFormat/>
    <w:rsid w:val="00E10975"/>
    <w:pPr>
      <w:jc w:val="left"/>
    </w:pPr>
    <w:rPr>
      <w:rFonts w:eastAsia="Times New Roman"/>
      <w:lang w:eastAsia="en-US"/>
    </w:rPr>
  </w:style>
  <w:style w:type="paragraph" w:customStyle="1" w:styleId="paragraph">
    <w:name w:val="paragraph"/>
    <w:basedOn w:val="Normal"/>
    <w:rsid w:val="00E10975"/>
    <w:pPr>
      <w:spacing w:before="100" w:beforeAutospacing="1" w:after="100" w:afterAutospacing="1"/>
      <w:jc w:val="left"/>
    </w:pPr>
    <w:rPr>
      <w:rFonts w:eastAsia="Times New Roman"/>
      <w:sz w:val="24"/>
      <w:szCs w:val="24"/>
      <w:lang w:eastAsia="en-CA"/>
    </w:rPr>
  </w:style>
  <w:style w:type="character" w:customStyle="1" w:styleId="eop">
    <w:name w:val="eop"/>
    <w:basedOn w:val="DefaultParagraphFont"/>
    <w:rsid w:val="00E10975"/>
  </w:style>
  <w:style w:type="character" w:customStyle="1" w:styleId="cf01">
    <w:name w:val="cf01"/>
    <w:basedOn w:val="DefaultParagraphFont"/>
    <w:rsid w:val="005236C0"/>
    <w:rPr>
      <w:rFonts w:ascii="Segoe UI" w:hAnsi="Segoe UI" w:cs="Segoe UI" w:hint="default"/>
      <w:sz w:val="18"/>
      <w:szCs w:val="18"/>
    </w:rPr>
  </w:style>
  <w:style w:type="paragraph" w:customStyle="1" w:styleId="pf0">
    <w:name w:val="pf0"/>
    <w:basedOn w:val="Normal"/>
    <w:rsid w:val="002365BB"/>
    <w:pPr>
      <w:spacing w:before="100" w:beforeAutospacing="1" w:after="100" w:afterAutospacing="1"/>
      <w:jc w:val="left"/>
    </w:pPr>
    <w:rPr>
      <w:rFonts w:eastAsia="Times New Roman"/>
      <w:sz w:val="24"/>
      <w:szCs w:val="24"/>
      <w:lang w:eastAsia="en-CA"/>
    </w:rPr>
  </w:style>
  <w:style w:type="paragraph" w:customStyle="1" w:styleId="Default">
    <w:name w:val="Default"/>
    <w:rsid w:val="00DB7EEB"/>
    <w:pPr>
      <w:widowControl w:val="0"/>
      <w:autoSpaceDE w:val="0"/>
      <w:autoSpaceDN w:val="0"/>
      <w:adjustRightInd w:val="0"/>
      <w:jc w:val="left"/>
    </w:pPr>
    <w:rPr>
      <w:rFonts w:eastAsia="Times New Roman"/>
      <w:color w:val="000000"/>
      <w:sz w:val="24"/>
      <w:szCs w:val="24"/>
      <w:lang w:eastAsia="en-US"/>
    </w:rPr>
  </w:style>
  <w:style w:type="character" w:customStyle="1" w:styleId="Style1">
    <w:name w:val="Style1"/>
    <w:basedOn w:val="DefaultParagraphFont"/>
    <w:uiPriority w:val="1"/>
    <w:qFormat/>
    <w:rsid w:val="00CC71AA"/>
    <w:rPr>
      <w:rFonts w:ascii="Times New Roman" w:hAnsi="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2.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3.xml><?xml version="1.0" encoding="utf-8"?>
<ds:datastoreItem xmlns:ds="http://schemas.openxmlformats.org/officeDocument/2006/customXml" ds:itemID="{56A4F469-A1ED-450C-8B89-EC9CEBA975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79</TotalTime>
  <Pages>9</Pages>
  <Words>4251</Words>
  <Characters>24234</Characters>
  <Application>Microsoft Office Word</Application>
  <DocSecurity>0</DocSecurity>
  <Lines>201</Lines>
  <Paragraphs>56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Project proposal: Congo DR</vt:lpstr>
      <vt:lpstr>Project proposal: Congo DR</vt:lpstr>
    </vt:vector>
  </TitlesOfParts>
  <Company>UNMFS</Company>
  <LinksUpToDate>false</LinksUpToDate>
  <CharactersWithSpaces>28429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Congo DR</dc:title>
  <dc:subject/>
  <dc:creator>Rhona - Maire Conway-Kenny</dc:creator>
  <cp:keywords>98th ExCom</cp:keywords>
  <dc:description>HPMP tranche request</dc:description>
  <cp:lastModifiedBy>Angela Xue He Yan</cp:lastModifiedBy>
  <cp:revision>29</cp:revision>
  <cp:lastPrinted>2001-05-26T19:40:00Z</cp:lastPrinted>
  <dcterms:created xsi:type="dcterms:W3CDTF">2026-06-01T14:27:00Z</dcterms:created>
  <dcterms:modified xsi:type="dcterms:W3CDTF">2026-06-05T14:28:00Z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UNEP/OzL.Pro/ExCom/98/32</vt:lpwstr>
  </property>
  <property fmtid="{D5CDD505-2E9C-101B-9397-08002B2CF9AE}" pid="3" name="Revision date">
    <vt:lpwstr>5/31/2026</vt:lpwstr>
  </property>
  <property fmtid="{D5CDD505-2E9C-101B-9397-08002B2CF9AE}" pid="4" name="ContentTypeId">
    <vt:lpwstr>0x010100C5F60F8E60516143877F7AC30EFBB2F3</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ies>
</file>