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98D8DE0" w14:textId="77777777">
        <w:trPr>
          <w:trHeight w:val="720"/>
        </w:trPr>
        <w:tc>
          <w:tcPr>
            <w:tcW w:w="4410" w:type="dxa"/>
            <w:gridSpan w:val="2"/>
            <w:tcBorders>
              <w:bottom w:val="single" w:sz="18" w:space="0" w:color="auto"/>
            </w:tcBorders>
          </w:tcPr>
          <w:p w14:paraId="4F3F6506"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E13681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C7A5E0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88C1D0" w14:textId="77777777" w:rsidR="007E5D09" w:rsidRDefault="00E1360E" w:rsidP="0084173D">
            <w:pPr>
              <w:jc w:val="left"/>
              <w:rPr>
                <w:lang w:val="en-US"/>
              </w:rPr>
            </w:pPr>
            <w:r>
              <w:rPr>
                <w:lang w:val="en-US"/>
              </w:rPr>
              <w:t>Distr.</w:t>
            </w:r>
          </w:p>
          <w:p w14:paraId="67801091" w14:textId="77777777" w:rsidR="007E5D09" w:rsidRDefault="00E1360E" w:rsidP="0084173D">
            <w:pPr>
              <w:jc w:val="left"/>
              <w:rPr>
                <w:lang w:val="en-US"/>
              </w:rPr>
            </w:pPr>
            <w:r>
              <w:rPr>
                <w:lang w:val="en-US"/>
              </w:rPr>
              <w:t>GENERAL</w:t>
            </w:r>
          </w:p>
          <w:p w14:paraId="370879DF" w14:textId="77777777" w:rsidR="007E5D09" w:rsidRDefault="007E5D09" w:rsidP="0084173D">
            <w:pPr>
              <w:jc w:val="left"/>
              <w:rPr>
                <w:lang w:val="en-US"/>
              </w:rPr>
            </w:pPr>
          </w:p>
          <w:p w14:paraId="5B3828C4" w14:textId="7C84E5AC"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F6B55">
              <w:rPr>
                <w:rFonts w:asciiTheme="majorBidi" w:hAnsiTheme="majorBidi" w:cstheme="majorBidi"/>
                <w:szCs w:val="24"/>
              </w:rPr>
              <w:t>UNEP/</w:t>
            </w:r>
            <w:proofErr w:type="spellStart"/>
            <w:r w:rsidR="00DF6B55">
              <w:rPr>
                <w:rFonts w:asciiTheme="majorBidi" w:hAnsiTheme="majorBidi" w:cstheme="majorBidi"/>
                <w:szCs w:val="24"/>
              </w:rPr>
              <w:t>OzL.Pro</w:t>
            </w:r>
            <w:proofErr w:type="spellEnd"/>
            <w:r w:rsidR="00DF6B55">
              <w:rPr>
                <w:rFonts w:asciiTheme="majorBidi" w:hAnsiTheme="majorBidi" w:cstheme="majorBidi"/>
                <w:szCs w:val="24"/>
              </w:rPr>
              <w:t>/ExCom/98/9</w:t>
            </w:r>
            <w:r w:rsidRPr="004E181B">
              <w:rPr>
                <w:rFonts w:asciiTheme="majorBidi" w:hAnsiTheme="majorBidi" w:cstheme="majorBidi"/>
                <w:szCs w:val="24"/>
              </w:rPr>
              <w:fldChar w:fldCharType="end"/>
            </w:r>
          </w:p>
          <w:p w14:paraId="1480CF5B" w14:textId="3FA462C1"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DF6B55">
              <w:rPr>
                <w:szCs w:val="24"/>
                <w:lang w:val="en-CA" w:bidi="ar-SA"/>
              </w:rPr>
              <w:t>30 May 2026</w:t>
            </w:r>
            <w:r w:rsidRPr="008B7BCA">
              <w:rPr>
                <w:szCs w:val="24"/>
                <w:lang w:val="en-CA" w:bidi="ar-SA"/>
              </w:rPr>
              <w:fldChar w:fldCharType="end"/>
            </w:r>
          </w:p>
          <w:p w14:paraId="2C9F9BF8" w14:textId="77777777" w:rsidR="008B7BCA" w:rsidRDefault="008B7BCA" w:rsidP="0084173D">
            <w:pPr>
              <w:jc w:val="left"/>
              <w:rPr>
                <w:rtl/>
                <w:lang w:val="en-US"/>
              </w:rPr>
            </w:pPr>
          </w:p>
          <w:p w14:paraId="022F3EA2" w14:textId="77777777" w:rsidR="007E5D09" w:rsidRDefault="00E1360E" w:rsidP="0084173D">
            <w:pPr>
              <w:jc w:val="left"/>
              <w:rPr>
                <w:lang w:val="en-US"/>
              </w:rPr>
            </w:pPr>
            <w:r>
              <w:rPr>
                <w:lang w:val="en-US"/>
              </w:rPr>
              <w:t>ARABIC</w:t>
            </w:r>
          </w:p>
          <w:p w14:paraId="69826F8B"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BFE0529" w14:textId="77777777" w:rsidR="007E5D09" w:rsidRDefault="00E1360E" w:rsidP="00C5430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B18C252" w14:textId="77777777" w:rsidR="007E5D09" w:rsidRDefault="00E1360E" w:rsidP="00C5430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FE3A81F" w14:textId="77777777" w:rsidR="007E5D09" w:rsidRDefault="00E1360E" w:rsidP="000A2F85">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BB56921"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8A246B7" wp14:editId="647FBE2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EF5DA"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13AE0E86" wp14:editId="176FDAF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D75DE01" w14:textId="77777777" w:rsidR="007E5D09" w:rsidRDefault="007E5D09">
      <w:pPr>
        <w:pStyle w:val="Caption"/>
        <w:spacing w:line="200" w:lineRule="exact"/>
        <w:ind w:left="187" w:right="187" w:hanging="187"/>
        <w:jc w:val="both"/>
        <w:rPr>
          <w:rFonts w:cs="Akhbar MT"/>
          <w:b/>
          <w:bCs/>
          <w:sz w:val="28"/>
          <w:szCs w:val="28"/>
          <w:rtl/>
        </w:rPr>
      </w:pPr>
    </w:p>
    <w:p w14:paraId="7DD28D5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1849580"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26681C27"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30CD70B"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58BFDE9D" w14:textId="4D640478" w:rsidR="007E5D09" w:rsidRPr="00393115" w:rsidRDefault="00393115" w:rsidP="00E74902">
      <w:pPr>
        <w:bidi/>
        <w:jc w:val="left"/>
        <w:rPr>
          <w:lang w:val="en-US" w:bidi="ar-EG"/>
        </w:rPr>
      </w:pPr>
      <w:proofErr w:type="spellStart"/>
      <w:r w:rsidRPr="006106BD">
        <w:rPr>
          <w:sz w:val="28"/>
          <w:szCs w:val="28"/>
        </w:rPr>
        <w:t>البند</w:t>
      </w:r>
      <w:proofErr w:type="spellEnd"/>
      <w:r w:rsidR="009662D9">
        <w:rPr>
          <w:rFonts w:hint="cs"/>
          <w:sz w:val="28"/>
          <w:szCs w:val="28"/>
          <w:rtl/>
        </w:rPr>
        <w:t>7(</w:t>
      </w:r>
      <w:proofErr w:type="gramStart"/>
      <w:r w:rsidR="009662D9">
        <w:rPr>
          <w:rFonts w:hint="cs"/>
          <w:sz w:val="28"/>
          <w:szCs w:val="28"/>
          <w:rtl/>
        </w:rPr>
        <w:t xml:space="preserve">ب) </w:t>
      </w:r>
      <w:r w:rsidRPr="006106BD">
        <w:rPr>
          <w:sz w:val="28"/>
          <w:szCs w:val="28"/>
        </w:rPr>
        <w:t xml:space="preserve"> </w:t>
      </w:r>
      <w:proofErr w:type="spellStart"/>
      <w:r w:rsidRPr="006106BD">
        <w:rPr>
          <w:sz w:val="28"/>
          <w:szCs w:val="28"/>
        </w:rPr>
        <w:t>من</w:t>
      </w:r>
      <w:proofErr w:type="spellEnd"/>
      <w:proofErr w:type="gram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00E74902">
        <w:rPr>
          <w:rStyle w:val="FootnoteReference"/>
          <w:sz w:val="28"/>
          <w:szCs w:val="28"/>
        </w:rPr>
        <w:footnoteReference w:id="1"/>
      </w:r>
    </w:p>
    <w:p w14:paraId="7AB0A207" w14:textId="77777777" w:rsidR="0056291C" w:rsidRDefault="0056291C" w:rsidP="00D55483">
      <w:pPr>
        <w:pStyle w:val="Title1"/>
        <w:bidi/>
        <w:spacing w:before="240" w:after="240" w:line="360" w:lineRule="exact"/>
        <w:rPr>
          <w:b w:val="0"/>
          <w:bCs/>
          <w:sz w:val="28"/>
          <w:szCs w:val="28"/>
          <w:lang w:val="en-CA" w:bidi="ar-LB"/>
        </w:rPr>
      </w:pPr>
    </w:p>
    <w:p w14:paraId="4F543916" w14:textId="039EB5C9" w:rsidR="00300FDC" w:rsidRPr="00732EDE" w:rsidRDefault="00300FDC" w:rsidP="0056291C">
      <w:pPr>
        <w:pStyle w:val="Title1"/>
        <w:bidi/>
        <w:spacing w:before="240" w:after="240" w:line="360" w:lineRule="exact"/>
        <w:rPr>
          <w:b w:val="0"/>
          <w:bCs/>
          <w:sz w:val="28"/>
          <w:szCs w:val="28"/>
          <w:rtl/>
          <w:lang w:val="en-US" w:bidi="ar-LB"/>
        </w:rPr>
      </w:pPr>
      <w:r w:rsidRPr="00732EDE">
        <w:rPr>
          <w:b w:val="0"/>
          <w:bCs/>
          <w:sz w:val="28"/>
          <w:szCs w:val="28"/>
          <w:rtl/>
          <w:lang w:val="en-CA" w:bidi="ar-LB"/>
        </w:rPr>
        <w:t>تأخيرات</w:t>
      </w:r>
      <w:r>
        <w:rPr>
          <w:b w:val="0"/>
          <w:bCs/>
          <w:sz w:val="28"/>
          <w:szCs w:val="28"/>
          <w:rtl/>
          <w:lang w:val="en-CA" w:bidi="ar-LB"/>
        </w:rPr>
        <w:t xml:space="preserve"> </w:t>
      </w:r>
      <w:r w:rsidRPr="00732EDE">
        <w:rPr>
          <w:b w:val="0"/>
          <w:bCs/>
          <w:sz w:val="28"/>
          <w:szCs w:val="28"/>
          <w:rtl/>
          <w:lang w:val="en-CA" w:bidi="ar-LB"/>
        </w:rPr>
        <w:t>تقديم</w:t>
      </w:r>
      <w:r>
        <w:rPr>
          <w:b w:val="0"/>
          <w:bCs/>
          <w:sz w:val="28"/>
          <w:szCs w:val="28"/>
          <w:rtl/>
          <w:lang w:val="en-CA" w:bidi="ar-LB"/>
        </w:rPr>
        <w:t xml:space="preserve"> </w:t>
      </w:r>
      <w:r w:rsidRPr="00732EDE">
        <w:rPr>
          <w:b w:val="0"/>
          <w:bCs/>
          <w:sz w:val="28"/>
          <w:szCs w:val="28"/>
          <w:rtl/>
          <w:lang w:val="en-CA" w:bidi="ar-LB"/>
        </w:rPr>
        <w:t>الشرائح</w:t>
      </w:r>
    </w:p>
    <w:p w14:paraId="6D1EE0F9" w14:textId="77777777" w:rsidR="00300FDC" w:rsidRDefault="00300FDC" w:rsidP="00D55483">
      <w:pPr>
        <w:bidi/>
        <w:spacing w:before="240" w:after="240" w:line="360" w:lineRule="exact"/>
        <w:rPr>
          <w:b/>
          <w:bCs/>
          <w:sz w:val="28"/>
          <w:szCs w:val="28"/>
          <w:lang w:bidi="ar-LB"/>
        </w:rPr>
      </w:pPr>
      <w:r>
        <w:rPr>
          <w:b/>
          <w:bCs/>
          <w:sz w:val="28"/>
          <w:szCs w:val="28"/>
          <w:rtl/>
          <w:lang w:bidi="ar-LB"/>
        </w:rPr>
        <w:t>مقدمة</w:t>
      </w:r>
    </w:p>
    <w:p w14:paraId="54A9A472" w14:textId="08EB5D72" w:rsidR="00300FDC" w:rsidRDefault="00D55483" w:rsidP="00D55483">
      <w:pPr>
        <w:pStyle w:val="Heading1"/>
        <w:numPr>
          <w:ilvl w:val="0"/>
          <w:numId w:val="24"/>
        </w:numPr>
        <w:bidi/>
        <w:spacing w:before="240" w:line="360" w:lineRule="exact"/>
        <w:ind w:left="4" w:firstLine="0"/>
        <w:rPr>
          <w:sz w:val="26"/>
          <w:szCs w:val="26"/>
          <w:rtl/>
          <w:lang w:bidi="ar-EG"/>
        </w:rPr>
      </w:pPr>
      <w:r w:rsidRPr="00D55483">
        <w:rPr>
          <w:sz w:val="26"/>
          <w:szCs w:val="26"/>
          <w:rtl/>
          <w:lang w:bidi="ar-EG"/>
        </w:rPr>
        <w:t>عملاً بالمقرر 47/50(د)،</w:t>
      </w:r>
      <w:r w:rsidR="00ED4BF2">
        <w:rPr>
          <w:rStyle w:val="FootnoteReference"/>
          <w:sz w:val="26"/>
          <w:szCs w:val="26"/>
          <w:rtl/>
          <w:lang w:bidi="ar-EG"/>
        </w:rPr>
        <w:footnoteReference w:id="2"/>
      </w:r>
      <w:r w:rsidRPr="00D55483">
        <w:rPr>
          <w:sz w:val="26"/>
          <w:szCs w:val="26"/>
          <w:rtl/>
          <w:lang w:bidi="ar-EG"/>
        </w:rPr>
        <w:t xml:space="preserve"> أعدّت الأمانة هذه الوثيقة</w:t>
      </w:r>
      <w:r w:rsidR="00ED4BF2">
        <w:rPr>
          <w:rFonts w:hint="cs"/>
          <w:sz w:val="26"/>
          <w:szCs w:val="26"/>
          <w:rtl/>
          <w:lang w:bidi="ar-SY"/>
        </w:rPr>
        <w:t>.</w:t>
      </w:r>
      <w:r w:rsidRPr="00D55483">
        <w:rPr>
          <w:sz w:val="26"/>
          <w:szCs w:val="26"/>
          <w:rtl/>
          <w:lang w:bidi="ar-EG"/>
        </w:rPr>
        <w:t xml:space="preserve"> وهي تعرض الإجراءات المتخذة استجابةً لحالة التقديمات المتعلقة بالتأخر في تقديم الشرائح في إطار الاتفاقات المتعددة السنوات في الاجتماع السابع والتسعين،</w:t>
      </w:r>
      <w:r w:rsidR="0064317F">
        <w:rPr>
          <w:rStyle w:val="FootnoteReference"/>
          <w:sz w:val="26"/>
          <w:szCs w:val="26"/>
          <w:rtl/>
          <w:lang w:bidi="ar-EG"/>
        </w:rPr>
        <w:footnoteReference w:id="3"/>
      </w:r>
      <w:r w:rsidRPr="00D55483">
        <w:rPr>
          <w:sz w:val="26"/>
          <w:szCs w:val="26"/>
          <w:rtl/>
          <w:lang w:bidi="ar-EG"/>
        </w:rPr>
        <w:t xml:space="preserve"> كما تتضمن تحليلاً لكل شريحة من شرائح الاتفاقات المتعددة السنوات التي كان من المقرر </w:t>
      </w:r>
      <w:r w:rsidRPr="00D55483">
        <w:rPr>
          <w:rFonts w:hint="cs"/>
          <w:sz w:val="26"/>
          <w:szCs w:val="26"/>
          <w:rtl/>
          <w:lang w:bidi="ar-EG"/>
        </w:rPr>
        <w:t>تقديمها</w:t>
      </w:r>
      <w:r w:rsidRPr="00D55483">
        <w:rPr>
          <w:rFonts w:hint="eastAsia"/>
          <w:sz w:val="26"/>
          <w:szCs w:val="26"/>
          <w:rtl/>
          <w:lang w:bidi="ar-EG"/>
        </w:rPr>
        <w:t>،</w:t>
      </w:r>
      <w:r w:rsidRPr="00D55483">
        <w:rPr>
          <w:sz w:val="26"/>
          <w:szCs w:val="26"/>
          <w:rtl/>
          <w:lang w:bidi="ar-EG"/>
        </w:rPr>
        <w:t xml:space="preserve"> ولكن لم تُقدَّم إلى الاجتماع الثامن والتسعين. وتوفر الوثيقة أيضاً لمحة عامة عن أسباب التأخير وأثره على امتثال البلدان لالتزاماتها بموجب بروتوكول مونتريال، فضلاً عن توصية الأمانة. ووفقاً للمقرر 95/91(ج)،</w:t>
      </w:r>
      <w:r w:rsidR="0064317F">
        <w:rPr>
          <w:rStyle w:val="FootnoteReference"/>
          <w:sz w:val="26"/>
          <w:szCs w:val="26"/>
          <w:rtl/>
          <w:lang w:bidi="ar-EG"/>
        </w:rPr>
        <w:footnoteReference w:id="4"/>
      </w:r>
      <w:r w:rsidRPr="00D55483">
        <w:rPr>
          <w:sz w:val="26"/>
          <w:szCs w:val="26"/>
          <w:rtl/>
          <w:lang w:bidi="ar-EG"/>
        </w:rPr>
        <w:t xml:space="preserve"> تُعد هذه الوثيقة أول وثيقة سنوية بشأن التأخر في تقديم الشرائح تُعرض في الاجتماع الأول لعام 2026.</w:t>
      </w:r>
    </w:p>
    <w:p w14:paraId="70D4A94B" w14:textId="77777777" w:rsidR="00D55483" w:rsidRDefault="00D55483" w:rsidP="00D55483">
      <w:pPr>
        <w:bidi/>
        <w:spacing w:before="240" w:after="240" w:line="360" w:lineRule="exact"/>
        <w:rPr>
          <w:b/>
          <w:bCs/>
          <w:sz w:val="28"/>
          <w:szCs w:val="28"/>
          <w:rtl/>
          <w:lang w:bidi="ar-LB"/>
        </w:rPr>
      </w:pPr>
      <w:r w:rsidRPr="00D55483">
        <w:rPr>
          <w:b/>
          <w:bCs/>
          <w:sz w:val="28"/>
          <w:szCs w:val="28"/>
          <w:rtl/>
          <w:lang w:bidi="ar-LB"/>
        </w:rPr>
        <w:t>أولاً - التأخر في تقديم الشرائح في الاجتماع السابع والتسعين</w:t>
      </w:r>
    </w:p>
    <w:p w14:paraId="13FB5F77" w14:textId="77FEC8BE" w:rsidR="00D55483" w:rsidRDefault="00D55483" w:rsidP="00D55483">
      <w:pPr>
        <w:pStyle w:val="Heading1"/>
        <w:numPr>
          <w:ilvl w:val="0"/>
          <w:numId w:val="24"/>
        </w:numPr>
        <w:bidi/>
        <w:spacing w:before="240" w:line="360" w:lineRule="exact"/>
        <w:ind w:left="4" w:firstLine="0"/>
        <w:rPr>
          <w:sz w:val="26"/>
          <w:szCs w:val="26"/>
          <w:rtl/>
          <w:lang w:bidi="ar-EG"/>
        </w:rPr>
      </w:pPr>
      <w:r w:rsidRPr="00D55483">
        <w:rPr>
          <w:sz w:val="26"/>
          <w:szCs w:val="26"/>
          <w:rtl/>
          <w:lang w:bidi="ar-EG"/>
        </w:rPr>
        <w:t>في الاجتماع السابع والتسعين</w:t>
      </w:r>
      <w:r w:rsidR="00ED4BF2">
        <w:rPr>
          <w:rFonts w:hint="cs"/>
          <w:sz w:val="26"/>
          <w:szCs w:val="26"/>
          <w:rtl/>
          <w:lang w:bidi="ar-EG"/>
        </w:rPr>
        <w:t>، كان هناك</w:t>
      </w:r>
      <w:r w:rsidRPr="00D55483">
        <w:rPr>
          <w:sz w:val="26"/>
          <w:szCs w:val="26"/>
          <w:rtl/>
          <w:lang w:bidi="ar-EG"/>
        </w:rPr>
        <w:t xml:space="preserve"> 21 </w:t>
      </w:r>
      <w:r w:rsidR="0064317F">
        <w:rPr>
          <w:rFonts w:hint="cs"/>
          <w:sz w:val="26"/>
          <w:szCs w:val="26"/>
          <w:rtl/>
          <w:lang w:bidi="ar-EG"/>
        </w:rPr>
        <w:t>بلدا</w:t>
      </w:r>
      <w:r w:rsidRPr="00D55483">
        <w:rPr>
          <w:sz w:val="26"/>
          <w:szCs w:val="26"/>
          <w:rtl/>
          <w:lang w:bidi="ar-EG"/>
        </w:rPr>
        <w:t xml:space="preserve"> من أصل 41 </w:t>
      </w:r>
      <w:r w:rsidR="0064317F">
        <w:rPr>
          <w:rFonts w:hint="cs"/>
          <w:sz w:val="26"/>
          <w:szCs w:val="26"/>
          <w:rtl/>
          <w:lang w:bidi="ar-EG"/>
        </w:rPr>
        <w:t>بلدا</w:t>
      </w:r>
      <w:r w:rsidR="0064317F">
        <w:rPr>
          <w:rStyle w:val="FootnoteReference"/>
          <w:sz w:val="26"/>
          <w:szCs w:val="26"/>
          <w:rtl/>
          <w:lang w:bidi="ar-EG"/>
        </w:rPr>
        <w:footnoteReference w:id="5"/>
      </w:r>
      <w:r w:rsidRPr="00D55483">
        <w:rPr>
          <w:sz w:val="26"/>
          <w:szCs w:val="26"/>
          <w:rtl/>
          <w:lang w:bidi="ar-EG"/>
        </w:rPr>
        <w:t xml:space="preserve"> (33 نشاطاً من أصل 69 نشاطاً) كان من المقرر أن تقدم طلبات شرائح في إطار الاتفاقات المتعددة السنوات</w:t>
      </w:r>
      <w:r w:rsidR="00C64556">
        <w:rPr>
          <w:rFonts w:hint="cs"/>
          <w:sz w:val="26"/>
          <w:szCs w:val="26"/>
          <w:rtl/>
          <w:lang w:bidi="ar-EG"/>
        </w:rPr>
        <w:t>،</w:t>
      </w:r>
      <w:r w:rsidRPr="00D55483">
        <w:rPr>
          <w:sz w:val="26"/>
          <w:szCs w:val="26"/>
          <w:rtl/>
          <w:lang w:bidi="ar-EG"/>
        </w:rPr>
        <w:t xml:space="preserve"> </w:t>
      </w:r>
      <w:r w:rsidR="00ED4BF2">
        <w:rPr>
          <w:rFonts w:hint="cs"/>
          <w:sz w:val="26"/>
          <w:szCs w:val="26"/>
          <w:rtl/>
          <w:lang w:bidi="ar-EG"/>
        </w:rPr>
        <w:t xml:space="preserve">ولكنها لم تقم بذلك </w:t>
      </w:r>
      <w:r w:rsidRPr="00D55483">
        <w:rPr>
          <w:sz w:val="26"/>
          <w:szCs w:val="26"/>
          <w:rtl/>
          <w:lang w:bidi="ar-EG"/>
        </w:rPr>
        <w:t xml:space="preserve">في الموعد المحدد، وهو ما يمثل معدل عدم تقديم قدره 51 في المائة. </w:t>
      </w:r>
      <w:r w:rsidR="00C64556">
        <w:rPr>
          <w:rFonts w:hint="cs"/>
          <w:sz w:val="26"/>
          <w:szCs w:val="26"/>
          <w:rtl/>
          <w:lang w:bidi="ar-EG"/>
        </w:rPr>
        <w:t>وقد تمت إعادة</w:t>
      </w:r>
      <w:r w:rsidRPr="00D55483">
        <w:rPr>
          <w:sz w:val="26"/>
          <w:szCs w:val="26"/>
          <w:rtl/>
          <w:lang w:bidi="ar-EG"/>
        </w:rPr>
        <w:t xml:space="preserve"> جدولة تقديم هذه الشرائح إلى الاجتماع الثامن والتسعين</w:t>
      </w:r>
      <w:r w:rsidRPr="00D55483">
        <w:rPr>
          <w:sz w:val="26"/>
          <w:szCs w:val="26"/>
          <w:lang w:bidi="ar-EG"/>
        </w:rPr>
        <w:t>.</w:t>
      </w:r>
    </w:p>
    <w:p w14:paraId="733F29B4" w14:textId="77777777" w:rsidR="000C5CEA" w:rsidRPr="000C5CEA" w:rsidRDefault="000C5CEA" w:rsidP="00A377C9">
      <w:pPr>
        <w:keepNext/>
        <w:keepLines/>
        <w:bidi/>
        <w:spacing w:before="240" w:after="240" w:line="360" w:lineRule="exact"/>
        <w:rPr>
          <w:b/>
          <w:bCs/>
          <w:sz w:val="28"/>
          <w:szCs w:val="28"/>
          <w:lang w:bidi="ar-LB"/>
        </w:rPr>
      </w:pPr>
      <w:r w:rsidRPr="000C5CEA">
        <w:rPr>
          <w:b/>
          <w:bCs/>
          <w:sz w:val="28"/>
          <w:szCs w:val="28"/>
          <w:rtl/>
          <w:lang w:bidi="ar-LB"/>
        </w:rPr>
        <w:lastRenderedPageBreak/>
        <w:t>ثانياً - تحليل الشرائح التي لم تُقدَّم إلى الاجتماع الثامن والتسعين</w:t>
      </w:r>
      <w:r w:rsidRPr="000C5CEA">
        <w:rPr>
          <w:b/>
          <w:bCs/>
          <w:sz w:val="28"/>
          <w:szCs w:val="28"/>
          <w:lang w:bidi="ar-LB"/>
        </w:rPr>
        <w:t>.</w:t>
      </w:r>
    </w:p>
    <w:p w14:paraId="1D5EA109" w14:textId="4404593D" w:rsidR="00D55483" w:rsidRDefault="000C5CEA" w:rsidP="00A377C9">
      <w:pPr>
        <w:pStyle w:val="Heading1"/>
        <w:keepNext/>
        <w:keepLines/>
        <w:numPr>
          <w:ilvl w:val="0"/>
          <w:numId w:val="24"/>
        </w:numPr>
        <w:bidi/>
        <w:spacing w:before="240" w:line="360" w:lineRule="exact"/>
        <w:ind w:left="4" w:firstLine="0"/>
        <w:rPr>
          <w:sz w:val="26"/>
          <w:szCs w:val="26"/>
          <w:rtl/>
          <w:lang w:bidi="ar-EG"/>
        </w:rPr>
      </w:pPr>
      <w:r w:rsidRPr="000C5CEA">
        <w:rPr>
          <w:sz w:val="26"/>
          <w:szCs w:val="26"/>
          <w:rtl/>
          <w:lang w:bidi="ar-EG"/>
        </w:rPr>
        <w:t xml:space="preserve">لم </w:t>
      </w:r>
      <w:r w:rsidR="0052585C">
        <w:rPr>
          <w:rFonts w:hint="cs"/>
          <w:sz w:val="26"/>
          <w:szCs w:val="26"/>
          <w:rtl/>
          <w:lang w:bidi="ar-EG"/>
        </w:rPr>
        <w:t>يُ</w:t>
      </w:r>
      <w:r w:rsidRPr="000C5CEA">
        <w:rPr>
          <w:sz w:val="26"/>
          <w:szCs w:val="26"/>
          <w:rtl/>
          <w:lang w:bidi="ar-EG"/>
        </w:rPr>
        <w:t xml:space="preserve">قدَّم إلى </w:t>
      </w:r>
      <w:r w:rsidRPr="00981231">
        <w:rPr>
          <w:sz w:val="26"/>
          <w:szCs w:val="26"/>
          <w:rtl/>
          <w:lang w:bidi="ar-EG"/>
        </w:rPr>
        <w:t xml:space="preserve">الاجتماع الثامن والتسعين 41 نشاطاً مرتبطاً بشرائح خطط إدارة إزالة </w:t>
      </w:r>
      <w:bookmarkStart w:id="0" w:name="_Hlk231141295"/>
      <w:r w:rsidRPr="00981231">
        <w:rPr>
          <w:sz w:val="26"/>
          <w:szCs w:val="26"/>
          <w:rtl/>
          <w:lang w:bidi="ar-EG"/>
        </w:rPr>
        <w:t>المواد الهيدروكلوروفلوروكربونية</w:t>
      </w:r>
      <w:bookmarkEnd w:id="0"/>
      <w:r w:rsidRPr="00981231">
        <w:rPr>
          <w:sz w:val="26"/>
          <w:szCs w:val="26"/>
          <w:rtl/>
          <w:lang w:bidi="ar-EG"/>
        </w:rPr>
        <w:t xml:space="preserve"> أو خطط </w:t>
      </w:r>
      <w:r w:rsidR="00981231" w:rsidRPr="00981231">
        <w:rPr>
          <w:sz w:val="26"/>
          <w:szCs w:val="26"/>
          <w:rtl/>
          <w:lang w:bidi="ar-SA"/>
        </w:rPr>
        <w:t xml:space="preserve">تنفيذ تعديل كيغالي للمواد الهيدروفلوروكربونية </w:t>
      </w:r>
      <w:r w:rsidR="00C64556">
        <w:rPr>
          <w:rFonts w:hint="cs"/>
          <w:sz w:val="26"/>
          <w:szCs w:val="26"/>
          <w:rtl/>
          <w:lang w:bidi="ar-EG"/>
        </w:rPr>
        <w:t>لـِ</w:t>
      </w:r>
      <w:r w:rsidRPr="000C5CEA">
        <w:rPr>
          <w:sz w:val="26"/>
          <w:szCs w:val="26"/>
          <w:rtl/>
          <w:lang w:bidi="ar-EG"/>
        </w:rPr>
        <w:t xml:space="preserve"> 25 بلداً، بقيمة إجمالية قدرها 23,855,238 دولاراً أمريكياً (بما في ذلك تكاليف دعم الوكالات)، رغم استحقاق تقديمها، وذلك على النحو المبين في المرفق الأول لهذه الوثيقة.</w:t>
      </w:r>
    </w:p>
    <w:p w14:paraId="2869248C" w14:textId="4B8E28B7" w:rsidR="000C5CEA" w:rsidRPr="000C5CEA" w:rsidRDefault="000C5CEA" w:rsidP="000C5CEA">
      <w:pPr>
        <w:pStyle w:val="Heading1"/>
        <w:numPr>
          <w:ilvl w:val="0"/>
          <w:numId w:val="24"/>
        </w:numPr>
        <w:bidi/>
        <w:spacing w:before="240" w:line="360" w:lineRule="exact"/>
        <w:ind w:left="4" w:firstLine="0"/>
        <w:rPr>
          <w:sz w:val="26"/>
          <w:szCs w:val="26"/>
          <w:rtl/>
          <w:lang w:bidi="ar-EG"/>
        </w:rPr>
      </w:pPr>
      <w:r w:rsidRPr="000C5CEA">
        <w:rPr>
          <w:sz w:val="26"/>
          <w:szCs w:val="26"/>
          <w:rtl/>
          <w:lang w:bidi="ar-EG"/>
        </w:rPr>
        <w:t>وبالإضافة إلى ذلك، قُدِّمت الشريحة الثالثة من المرحلة الثانية من خطة إدارة إزالة المواد الهيدروكلوروفلوروكربونية لقطر، البالغة قيمتها 142,170 دولاراً أمريكياً (بما في ذلك تكاليف دعم الوكالة)، إلى الاجتماع الثامن والتسعين، إلا أن الوكالات المنفذة المعنية سحبتها لاحقاً أثناء عملية استعراض المشروع. كما أُدرجت هذه الشريحة في المرفق الأول.</w:t>
      </w:r>
    </w:p>
    <w:p w14:paraId="75FA1D96" w14:textId="01DAB778" w:rsidR="000C5CEA" w:rsidRPr="000C5CEA" w:rsidRDefault="000C5CEA" w:rsidP="000C5CEA">
      <w:pPr>
        <w:bidi/>
        <w:spacing w:before="240" w:after="240" w:line="360" w:lineRule="exact"/>
        <w:rPr>
          <w:b/>
          <w:bCs/>
          <w:sz w:val="28"/>
          <w:szCs w:val="28"/>
          <w:lang w:bidi="ar-LB"/>
        </w:rPr>
      </w:pPr>
      <w:r w:rsidRPr="000C5CEA">
        <w:rPr>
          <w:b/>
          <w:bCs/>
          <w:sz w:val="28"/>
          <w:szCs w:val="28"/>
          <w:rtl/>
          <w:lang w:bidi="ar-LB"/>
        </w:rPr>
        <w:t>ثالثاً - أسباب التأخير وأثره على الامتثال.</w:t>
      </w:r>
    </w:p>
    <w:p w14:paraId="7315536A" w14:textId="77777777" w:rsidR="009932B5" w:rsidRDefault="009932B5" w:rsidP="009932B5">
      <w:pPr>
        <w:pStyle w:val="Heading1"/>
        <w:numPr>
          <w:ilvl w:val="0"/>
          <w:numId w:val="24"/>
        </w:numPr>
        <w:bidi/>
        <w:spacing w:before="240" w:line="360" w:lineRule="exact"/>
        <w:ind w:left="4" w:firstLine="0"/>
        <w:rPr>
          <w:sz w:val="26"/>
          <w:szCs w:val="26"/>
          <w:rtl/>
          <w:lang w:bidi="ar-EG"/>
        </w:rPr>
      </w:pPr>
      <w:r w:rsidRPr="009932B5">
        <w:rPr>
          <w:sz w:val="26"/>
          <w:szCs w:val="26"/>
          <w:rtl/>
          <w:lang w:bidi="ar-EG"/>
        </w:rPr>
        <w:t>تشمل أسباب التأخير في تقديم شرائح الاتفاقات المتعددة السنوات ما يلي: القرارات الحكومية و/أو الموافقات الحكومية و/أو التغييرات في وحدة الأوزون الوطنية و/أو التغييرات الهيكلية (21 حالة)؛ وانخفاض مستوى الصرف إلى ما دون عتبة 20 في المائة من الأموال المعتمدة للشريحة السابقة (16 حالة)؛ وتوافر أموال كافية من الشريحة السابقة المعتمدة (4 حالات)؛ والصعوبات الداخلية أو الخارجية (4 حالات)؛ وتقديم التقارير المرحلية والمالية (3 حالات)؛ وعدم توافر تقرير التحقق (حالتان)؛ وشروط موافقة اللجنة التنفيذية (حالتان)؛ وتأخر المؤسسات (حالة واحدة)؛ وتوقيع الاتفاق أو وثيقة المشروع (حالة واحدة)؛ والمكوّن الاستثماري (حالة واحدة)؛ وعدم جاهزية الوكالة الرئيسية أو الوكالة المتعاونة لتقديم الطلب (حالة واحدة)؛ والتأخيرات التشغيلية (حالة واحدة)؛ وتأخيرات المشتريات (حالة واحدة). وبالنسبة لحالات التأخير في التقديم، قد ينطبق أكثر من سبب واحد</w:t>
      </w:r>
      <w:r w:rsidRPr="009932B5">
        <w:rPr>
          <w:sz w:val="26"/>
          <w:szCs w:val="26"/>
          <w:lang w:bidi="ar-EG"/>
        </w:rPr>
        <w:t>.</w:t>
      </w:r>
    </w:p>
    <w:p w14:paraId="0C63ADD5" w14:textId="71936A5B" w:rsidR="009932B5" w:rsidRPr="009932B5" w:rsidRDefault="006D0263" w:rsidP="009932B5">
      <w:pPr>
        <w:pStyle w:val="Heading1"/>
        <w:numPr>
          <w:ilvl w:val="0"/>
          <w:numId w:val="24"/>
        </w:numPr>
        <w:bidi/>
        <w:spacing w:before="240" w:line="360" w:lineRule="exact"/>
        <w:ind w:left="4" w:firstLine="0"/>
        <w:rPr>
          <w:sz w:val="26"/>
          <w:szCs w:val="26"/>
          <w:lang w:bidi="ar-EG"/>
        </w:rPr>
      </w:pPr>
      <w:r>
        <w:rPr>
          <w:rFonts w:hint="cs"/>
          <w:sz w:val="26"/>
          <w:szCs w:val="26"/>
          <w:rtl/>
          <w:lang w:bidi="ar-SY"/>
        </w:rPr>
        <w:t>و</w:t>
      </w:r>
      <w:r w:rsidR="009932B5" w:rsidRPr="009932B5">
        <w:rPr>
          <w:sz w:val="26"/>
          <w:szCs w:val="26"/>
          <w:rtl/>
          <w:lang w:bidi="ar-EG"/>
        </w:rPr>
        <w:t>وفقاً لما أفادت به الوكالات الثنائية والوكالات المنفذة المعنية، فإن التأخير في تقديم شرائح الاتفاقات المتعددة السنوات التي تجاوز موعد استحقاقها لن يكون له أي أثر على امتثال البلدان لالتزاماتها بموجب بروتوكول مونتريال. غير أن أحد البلدان أبلغ</w:t>
      </w:r>
      <w:r>
        <w:rPr>
          <w:rFonts w:hint="cs"/>
          <w:sz w:val="26"/>
          <w:szCs w:val="26"/>
          <w:rtl/>
          <w:lang w:bidi="ar-EG"/>
        </w:rPr>
        <w:t>ت</w:t>
      </w:r>
      <w:r w:rsidR="009932B5" w:rsidRPr="009932B5">
        <w:rPr>
          <w:sz w:val="26"/>
          <w:szCs w:val="26"/>
          <w:rtl/>
          <w:lang w:bidi="ar-EG"/>
        </w:rPr>
        <w:t>، بموجب المادة 7، عن بيانات استهلاك المواد الهيدروكلوروفلوروكربونية لعام 2025 تجاوزت مستوى الخفض البالغ 67.5 في المائة المطلوب لذلك العام. وتُعالَج هذه المسألة في وثيقة بيانات البرنامج القطري وآفاق الامتثال.</w:t>
      </w:r>
      <w:r w:rsidR="00D53CF4">
        <w:rPr>
          <w:rStyle w:val="FootnoteReference"/>
          <w:sz w:val="26"/>
          <w:szCs w:val="26"/>
          <w:rtl/>
          <w:lang w:bidi="ar-EG"/>
        </w:rPr>
        <w:footnoteReference w:id="6"/>
      </w:r>
    </w:p>
    <w:p w14:paraId="6826E666" w14:textId="77777777" w:rsidR="009932B5" w:rsidRDefault="009932B5" w:rsidP="009932B5">
      <w:pPr>
        <w:pStyle w:val="Heading1"/>
        <w:numPr>
          <w:ilvl w:val="0"/>
          <w:numId w:val="24"/>
        </w:numPr>
        <w:bidi/>
        <w:spacing w:before="240" w:line="360" w:lineRule="exact"/>
        <w:ind w:left="4" w:firstLine="0"/>
        <w:rPr>
          <w:lang w:bidi="ar-SA"/>
        </w:rPr>
      </w:pPr>
      <w:r w:rsidRPr="009932B5">
        <w:rPr>
          <w:sz w:val="26"/>
          <w:szCs w:val="26"/>
          <w:rtl/>
          <w:lang w:bidi="ar-EG"/>
        </w:rPr>
        <w:t>ومن المتوقع تقديم جميع الشرائح المتأخرة إلى الاجتماع التاسع والتسعين، باستثناء أفغانستان وتايلند، حيث لن تُقدَّم/يُطلب ما تبقى من شرائح المرحلة الثانية من خطتيهما لإدارة إزالة المواد الهيدروكلوروفلوروكربونية، وكذلك السودان وفييت نام، حيث يُتوقع تقديم الشرائح المتأخرة الخاصة بهما إلى الاجتماع المائة</w:t>
      </w:r>
      <w:r>
        <w:t>.</w:t>
      </w:r>
    </w:p>
    <w:p w14:paraId="71771035" w14:textId="77777777" w:rsidR="00416590" w:rsidRDefault="00416590">
      <w:pPr>
        <w:jc w:val="left"/>
        <w:rPr>
          <w:b/>
          <w:bCs/>
          <w:sz w:val="28"/>
          <w:szCs w:val="28"/>
          <w:rtl/>
          <w:lang w:bidi="ar-LB"/>
        </w:rPr>
      </w:pPr>
      <w:r>
        <w:rPr>
          <w:b/>
          <w:bCs/>
          <w:sz w:val="28"/>
          <w:szCs w:val="28"/>
          <w:rtl/>
          <w:lang w:bidi="ar-LB"/>
        </w:rPr>
        <w:br w:type="page"/>
      </w:r>
    </w:p>
    <w:p w14:paraId="576C974F" w14:textId="1FE00D9D" w:rsidR="007E5D09" w:rsidRPr="009932B5" w:rsidRDefault="009932B5" w:rsidP="009932B5">
      <w:pPr>
        <w:bidi/>
        <w:spacing w:before="240" w:after="240" w:line="360" w:lineRule="exact"/>
        <w:rPr>
          <w:b/>
          <w:bCs/>
          <w:sz w:val="28"/>
          <w:szCs w:val="28"/>
          <w:lang w:bidi="ar-LB"/>
        </w:rPr>
      </w:pPr>
      <w:r w:rsidRPr="009932B5">
        <w:rPr>
          <w:b/>
          <w:bCs/>
          <w:sz w:val="28"/>
          <w:szCs w:val="28"/>
          <w:rtl/>
          <w:lang w:bidi="ar-LB"/>
        </w:rPr>
        <w:lastRenderedPageBreak/>
        <w:t>رابعاً - التوصية</w:t>
      </w:r>
    </w:p>
    <w:p w14:paraId="0139B29D" w14:textId="77777777" w:rsidR="00F1543D" w:rsidRDefault="00F1543D" w:rsidP="00F1543D">
      <w:pPr>
        <w:pStyle w:val="Heading1"/>
        <w:numPr>
          <w:ilvl w:val="0"/>
          <w:numId w:val="24"/>
        </w:numPr>
        <w:bidi/>
        <w:spacing w:before="240" w:line="360" w:lineRule="exact"/>
        <w:ind w:left="4" w:firstLine="0"/>
        <w:rPr>
          <w:sz w:val="26"/>
          <w:szCs w:val="26"/>
          <w:lang w:bidi="ar-EG"/>
        </w:rPr>
      </w:pPr>
      <w:r w:rsidRPr="00F1543D">
        <w:rPr>
          <w:sz w:val="26"/>
          <w:szCs w:val="26"/>
          <w:rtl/>
          <w:lang w:bidi="ar-SA"/>
        </w:rPr>
        <w:t>قد ترغب اللجنة التنفيذية في</w:t>
      </w:r>
      <w:r w:rsidRPr="00F1543D">
        <w:rPr>
          <w:sz w:val="26"/>
          <w:szCs w:val="26"/>
          <w:lang w:bidi="ar-EG"/>
        </w:rPr>
        <w:t>:</w:t>
      </w:r>
    </w:p>
    <w:p w14:paraId="7BF5A2FD" w14:textId="504CFA4A" w:rsidR="007E5D09" w:rsidRDefault="00F1543D" w:rsidP="00F1543D">
      <w:pPr>
        <w:pStyle w:val="Heading1"/>
        <w:numPr>
          <w:ilvl w:val="0"/>
          <w:numId w:val="38"/>
        </w:numPr>
        <w:bidi/>
        <w:spacing w:before="240" w:line="360" w:lineRule="exact"/>
        <w:ind w:left="1705" w:hanging="992"/>
        <w:rPr>
          <w:sz w:val="26"/>
          <w:szCs w:val="26"/>
          <w:rtl/>
          <w:lang w:bidi="ar-SY"/>
        </w:rPr>
      </w:pPr>
      <w:r>
        <w:rPr>
          <w:rFonts w:hint="cs"/>
          <w:sz w:val="26"/>
          <w:szCs w:val="26"/>
          <w:rtl/>
          <w:lang w:bidi="ar-SY"/>
        </w:rPr>
        <w:t>أن تحيط علمًا بما يلي:</w:t>
      </w:r>
    </w:p>
    <w:p w14:paraId="1B351110" w14:textId="058ECFE2" w:rsidR="009662D9" w:rsidRDefault="00F1543D" w:rsidP="00F1543D">
      <w:pPr>
        <w:pStyle w:val="ListParagraph"/>
        <w:numPr>
          <w:ilvl w:val="0"/>
          <w:numId w:val="39"/>
        </w:numPr>
        <w:bidi/>
        <w:spacing w:before="240" w:after="240" w:line="360" w:lineRule="exact"/>
        <w:ind w:left="2556" w:hanging="851"/>
        <w:contextualSpacing w:val="0"/>
        <w:rPr>
          <w:sz w:val="26"/>
          <w:szCs w:val="26"/>
        </w:rPr>
      </w:pPr>
      <w:r w:rsidRPr="00F1543D">
        <w:rPr>
          <w:sz w:val="26"/>
          <w:szCs w:val="26"/>
          <w:rtl/>
        </w:rPr>
        <w:t>التقرير المتعلق بالتأخ</w:t>
      </w:r>
      <w:r w:rsidR="006D0263">
        <w:rPr>
          <w:rFonts w:hint="cs"/>
          <w:sz w:val="26"/>
          <w:szCs w:val="26"/>
          <w:rtl/>
        </w:rPr>
        <w:t>ي</w:t>
      </w:r>
      <w:r w:rsidRPr="00F1543D">
        <w:rPr>
          <w:sz w:val="26"/>
          <w:szCs w:val="26"/>
          <w:rtl/>
        </w:rPr>
        <w:t>ر في تقديم الشرائح الوارد في الوثيقة</w:t>
      </w:r>
      <w:r w:rsidRPr="00F1543D">
        <w:rPr>
          <w:sz w:val="26"/>
          <w:szCs w:val="26"/>
        </w:rPr>
        <w:t xml:space="preserve"> UNEP/</w:t>
      </w:r>
      <w:proofErr w:type="spellStart"/>
      <w:r w:rsidRPr="00F1543D">
        <w:rPr>
          <w:sz w:val="26"/>
          <w:szCs w:val="26"/>
        </w:rPr>
        <w:t>OzL.Pro</w:t>
      </w:r>
      <w:proofErr w:type="spellEnd"/>
      <w:r w:rsidRPr="00F1543D">
        <w:rPr>
          <w:sz w:val="26"/>
          <w:szCs w:val="26"/>
        </w:rPr>
        <w:t>/ExCom/98/9</w:t>
      </w:r>
      <w:r w:rsidRPr="00F1543D">
        <w:rPr>
          <w:sz w:val="26"/>
          <w:szCs w:val="26"/>
          <w:rtl/>
        </w:rPr>
        <w:t>؛</w:t>
      </w:r>
    </w:p>
    <w:p w14:paraId="7C8CE872" w14:textId="18BA82B3" w:rsidR="009662D9" w:rsidRDefault="009662D9" w:rsidP="009662D9">
      <w:pPr>
        <w:pStyle w:val="ListParagraph"/>
        <w:numPr>
          <w:ilvl w:val="0"/>
          <w:numId w:val="39"/>
        </w:numPr>
        <w:bidi/>
        <w:spacing w:before="240" w:after="240" w:line="360" w:lineRule="exact"/>
        <w:ind w:left="2556" w:hanging="851"/>
        <w:contextualSpacing w:val="0"/>
        <w:rPr>
          <w:sz w:val="26"/>
          <w:szCs w:val="26"/>
        </w:rPr>
      </w:pPr>
      <w:r w:rsidRPr="00F1543D">
        <w:rPr>
          <w:sz w:val="26"/>
          <w:szCs w:val="26"/>
          <w:rtl/>
        </w:rPr>
        <w:t>المعلومات المتعلقة بالتأخ</w:t>
      </w:r>
      <w:r w:rsidR="006D0263">
        <w:rPr>
          <w:rFonts w:hint="cs"/>
          <w:sz w:val="26"/>
          <w:szCs w:val="26"/>
          <w:rtl/>
        </w:rPr>
        <w:t>ي</w:t>
      </w:r>
      <w:r w:rsidRPr="00F1543D">
        <w:rPr>
          <w:sz w:val="26"/>
          <w:szCs w:val="26"/>
          <w:rtl/>
        </w:rPr>
        <w:t>ر في تقديم شرائح الاتفاقات المتعددة السنوات</w:t>
      </w:r>
      <w:r w:rsidRPr="00F1543D">
        <w:rPr>
          <w:sz w:val="26"/>
          <w:szCs w:val="26"/>
        </w:rPr>
        <w:t xml:space="preserve"> </w:t>
      </w:r>
      <w:r w:rsidRPr="00F1543D">
        <w:rPr>
          <w:sz w:val="26"/>
          <w:szCs w:val="26"/>
          <w:rtl/>
        </w:rPr>
        <w:t>المقدمة من حكوم</w:t>
      </w:r>
      <w:r w:rsidR="006D0263">
        <w:rPr>
          <w:rFonts w:hint="cs"/>
          <w:sz w:val="26"/>
          <w:szCs w:val="26"/>
          <w:rtl/>
        </w:rPr>
        <w:t>تي</w:t>
      </w:r>
      <w:r w:rsidRPr="00F1543D">
        <w:rPr>
          <w:sz w:val="26"/>
          <w:szCs w:val="26"/>
          <w:rtl/>
        </w:rPr>
        <w:t xml:space="preserve"> فرنسا وألمانيا وبرنامج الأمم المتحدة الإنمائي</w:t>
      </w:r>
      <w:r w:rsidR="004C58F2">
        <w:rPr>
          <w:rFonts w:hint="cs"/>
          <w:sz w:val="26"/>
          <w:szCs w:val="26"/>
          <w:rtl/>
        </w:rPr>
        <w:t xml:space="preserve"> (اليوئنديبي)</w:t>
      </w:r>
      <w:r w:rsidRPr="00F1543D">
        <w:rPr>
          <w:sz w:val="26"/>
          <w:szCs w:val="26"/>
          <w:rtl/>
        </w:rPr>
        <w:t xml:space="preserve"> وبرنامج الأمم المتحدة للبيئة </w:t>
      </w:r>
      <w:r w:rsidR="004C58F2">
        <w:rPr>
          <w:rFonts w:hint="cs"/>
          <w:sz w:val="26"/>
          <w:szCs w:val="26"/>
          <w:rtl/>
        </w:rPr>
        <w:t xml:space="preserve">(اليونيب) </w:t>
      </w:r>
      <w:r w:rsidRPr="00F1543D">
        <w:rPr>
          <w:sz w:val="26"/>
          <w:szCs w:val="26"/>
          <w:rtl/>
        </w:rPr>
        <w:t>ومنظمة الأمم المتحدة للتنمية الصناعية</w:t>
      </w:r>
      <w:r w:rsidR="004C58F2">
        <w:rPr>
          <w:rFonts w:hint="cs"/>
          <w:sz w:val="26"/>
          <w:szCs w:val="26"/>
          <w:rtl/>
        </w:rPr>
        <w:t xml:space="preserve"> (اليونيدو)</w:t>
      </w:r>
      <w:r w:rsidRPr="00F1543D">
        <w:rPr>
          <w:sz w:val="26"/>
          <w:szCs w:val="26"/>
          <w:rtl/>
        </w:rPr>
        <w:t xml:space="preserve"> والبنك الدولي؛</w:t>
      </w:r>
    </w:p>
    <w:p w14:paraId="3043E0AB" w14:textId="77777777" w:rsidR="009662D9" w:rsidRDefault="009662D9" w:rsidP="009662D9">
      <w:pPr>
        <w:pStyle w:val="ListParagraph"/>
        <w:numPr>
          <w:ilvl w:val="0"/>
          <w:numId w:val="39"/>
        </w:numPr>
        <w:bidi/>
        <w:spacing w:before="240" w:after="240" w:line="360" w:lineRule="exact"/>
        <w:ind w:left="2556" w:hanging="851"/>
        <w:contextualSpacing w:val="0"/>
        <w:rPr>
          <w:sz w:val="26"/>
          <w:szCs w:val="26"/>
        </w:rPr>
      </w:pPr>
      <w:r w:rsidRPr="00F1543D">
        <w:rPr>
          <w:sz w:val="26"/>
          <w:szCs w:val="26"/>
          <w:rtl/>
        </w:rPr>
        <w:t>أن 31 نشاطاً من أصل 72 نشاطاً (18 بلداً من أصل 43 بلداً) تتعلق بشرائح الاتفاقات المتعددة السنوات المستحقة التقديم إلى الاجتماع الثامن والتسعين قد قُدِّمت في موعدها؛</w:t>
      </w:r>
    </w:p>
    <w:p w14:paraId="332EA98B" w14:textId="700CB4F8" w:rsidR="009662D9" w:rsidRDefault="009662D9" w:rsidP="009662D9">
      <w:pPr>
        <w:pStyle w:val="ListParagraph"/>
        <w:numPr>
          <w:ilvl w:val="0"/>
          <w:numId w:val="39"/>
        </w:numPr>
        <w:bidi/>
        <w:spacing w:before="240" w:after="240" w:line="360" w:lineRule="exact"/>
        <w:ind w:left="2556" w:hanging="851"/>
        <w:contextualSpacing w:val="0"/>
        <w:rPr>
          <w:sz w:val="26"/>
          <w:szCs w:val="26"/>
        </w:rPr>
      </w:pPr>
      <w:r w:rsidRPr="00F1543D">
        <w:rPr>
          <w:sz w:val="26"/>
          <w:szCs w:val="26"/>
          <w:rtl/>
        </w:rPr>
        <w:t>أن الوكالات الثنائية والمنفذة المعنية أشارت إلى أن التأخير في تقديم الشرائح المستحقة لخطط إدارة إزالة المواد الهيدروكلوروفلوروكربونية وخطط تنفيذ تعديل كيغالي للمواد الهيدروفلوروكربونية والمقرر تقديمها إلى الاجتماع الأول لعام 2026 لن يكون له أثر على امتثال البلدان لبروتوكول مونتريال، وأنه لا توجد مؤشرات على عدم امتثال أي من البلدان لتدابير الرقابة</w:t>
      </w:r>
      <w:r w:rsidR="004C58F2">
        <w:rPr>
          <w:rFonts w:hint="cs"/>
          <w:sz w:val="26"/>
          <w:szCs w:val="26"/>
          <w:rtl/>
        </w:rPr>
        <w:t xml:space="preserve"> المدرجة في بروتوكول مونتريال</w:t>
      </w:r>
      <w:r w:rsidRPr="00F1543D">
        <w:rPr>
          <w:sz w:val="26"/>
          <w:szCs w:val="26"/>
          <w:rtl/>
        </w:rPr>
        <w:t>، باستثناء بلد واحد؛</w:t>
      </w:r>
    </w:p>
    <w:p w14:paraId="687159E2" w14:textId="0E0F8095" w:rsidR="00F1543D" w:rsidRPr="00F1543D" w:rsidRDefault="009662D9" w:rsidP="009662D9">
      <w:pPr>
        <w:pStyle w:val="Heading1"/>
        <w:numPr>
          <w:ilvl w:val="0"/>
          <w:numId w:val="38"/>
        </w:numPr>
        <w:bidi/>
        <w:spacing w:before="240" w:line="360" w:lineRule="exact"/>
        <w:ind w:left="1705" w:hanging="992"/>
        <w:rPr>
          <w:sz w:val="26"/>
          <w:szCs w:val="26"/>
        </w:rPr>
      </w:pPr>
      <w:r w:rsidRPr="009662D9">
        <w:rPr>
          <w:sz w:val="26"/>
          <w:szCs w:val="26"/>
          <w:rtl/>
        </w:rPr>
        <w:t>أن تطلب من الأمانة توجيه رسائل إلى الحكومات المعنية بشأن القرارات المتعلقة بالتأخ</w:t>
      </w:r>
      <w:r w:rsidR="004C58F2">
        <w:rPr>
          <w:rFonts w:hint="cs"/>
          <w:sz w:val="26"/>
          <w:szCs w:val="26"/>
          <w:rtl/>
        </w:rPr>
        <w:t>ي</w:t>
      </w:r>
      <w:r w:rsidRPr="009662D9">
        <w:rPr>
          <w:sz w:val="26"/>
          <w:szCs w:val="26"/>
          <w:rtl/>
        </w:rPr>
        <w:t>ر</w:t>
      </w:r>
      <w:r w:rsidR="004C58F2">
        <w:rPr>
          <w:rFonts w:hint="cs"/>
          <w:sz w:val="26"/>
          <w:szCs w:val="26"/>
          <w:rtl/>
        </w:rPr>
        <w:t>ات</w:t>
      </w:r>
      <w:r w:rsidRPr="009662D9">
        <w:rPr>
          <w:sz w:val="26"/>
          <w:szCs w:val="26"/>
          <w:rtl/>
        </w:rPr>
        <w:t xml:space="preserve"> في تقديم الشرائح الواردة في المرفق الأول لهذا التقرير</w:t>
      </w:r>
      <w:r>
        <w:rPr>
          <w:rFonts w:hint="cs"/>
          <w:sz w:val="26"/>
          <w:szCs w:val="26"/>
          <w:rtl/>
        </w:rPr>
        <w:t>.</w:t>
      </w:r>
    </w:p>
    <w:p w14:paraId="197AB654" w14:textId="77777777" w:rsidR="007E5D09" w:rsidRPr="000C5CEA" w:rsidRDefault="00E1360E" w:rsidP="000C5CEA">
      <w:pPr>
        <w:pStyle w:val="Heading1"/>
        <w:numPr>
          <w:ilvl w:val="0"/>
          <w:numId w:val="24"/>
        </w:numPr>
        <w:bidi/>
        <w:spacing w:before="240" w:line="360" w:lineRule="exact"/>
        <w:ind w:left="4" w:firstLine="0"/>
        <w:rPr>
          <w:sz w:val="26"/>
          <w:szCs w:val="26"/>
          <w:lang w:bidi="ar-EG"/>
        </w:rPr>
      </w:pPr>
      <w:r w:rsidRPr="000C5CEA">
        <w:rPr>
          <w:sz w:val="26"/>
          <w:szCs w:val="26"/>
          <w:lang w:bidi="ar-EG"/>
        </w:rPr>
        <w:br w:type="page"/>
      </w:r>
    </w:p>
    <w:p w14:paraId="13B17615"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4E1D7CBF" w14:textId="21A31F64" w:rsidR="007E5D09" w:rsidRPr="00C54305" w:rsidRDefault="00E1360E" w:rsidP="00C54305">
      <w:pPr>
        <w:tabs>
          <w:tab w:val="left" w:pos="4095"/>
          <w:tab w:val="center" w:pos="4680"/>
        </w:tabs>
        <w:bidi/>
        <w:spacing w:before="240" w:after="240" w:line="360" w:lineRule="exact"/>
        <w:jc w:val="center"/>
        <w:rPr>
          <w:b/>
          <w:bCs/>
          <w:sz w:val="26"/>
          <w:szCs w:val="26"/>
          <w:lang w:val="en-CA" w:bidi="ar-EG"/>
        </w:rPr>
      </w:pPr>
      <w:r w:rsidRPr="00C54305">
        <w:rPr>
          <w:b/>
          <w:bCs/>
          <w:sz w:val="26"/>
          <w:szCs w:val="26"/>
          <w:rtl/>
        </w:rPr>
        <w:lastRenderedPageBreak/>
        <w:t>المرفق</w:t>
      </w:r>
      <w:r w:rsidRPr="00C54305">
        <w:rPr>
          <w:b/>
          <w:bCs/>
          <w:sz w:val="26"/>
          <w:szCs w:val="26"/>
          <w:rtl/>
          <w:lang w:bidi="ar-EG"/>
        </w:rPr>
        <w:t xml:space="preserve"> الأول</w:t>
      </w:r>
    </w:p>
    <w:p w14:paraId="5C4799AE" w14:textId="46E6027C" w:rsidR="007E5D09" w:rsidRDefault="00C54305" w:rsidP="00C54305">
      <w:pPr>
        <w:bidi/>
        <w:spacing w:before="240" w:after="240" w:line="360" w:lineRule="exact"/>
        <w:jc w:val="center"/>
        <w:rPr>
          <w:rFonts w:cs="Arabic Transparent"/>
          <w:b/>
          <w:bCs/>
          <w:sz w:val="26"/>
          <w:szCs w:val="26"/>
          <w:lang w:val="en-CA" w:bidi="ar-EG"/>
        </w:rPr>
      </w:pPr>
      <w:r w:rsidRPr="00C54305">
        <w:rPr>
          <w:rFonts w:cs="Arabic Transparent"/>
          <w:b/>
          <w:bCs/>
          <w:sz w:val="26"/>
          <w:szCs w:val="26"/>
          <w:rtl/>
          <w:lang w:val="en-CA" w:bidi="ar-EG"/>
        </w:rPr>
        <w:t>الشرائح التي لم تُقدَّم إلى الاجتماع الثامن والتسعين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850"/>
        <w:gridCol w:w="1032"/>
        <w:gridCol w:w="2070"/>
        <w:gridCol w:w="2340"/>
        <w:gridCol w:w="5748"/>
      </w:tblGrid>
      <w:tr w:rsidR="00093133" w:rsidRPr="00806A4F" w14:paraId="6E660E66" w14:textId="77777777" w:rsidTr="00AB56DF">
        <w:trPr>
          <w:trHeight w:val="557"/>
          <w:tblHeader/>
        </w:trPr>
        <w:tc>
          <w:tcPr>
            <w:tcW w:w="2206" w:type="dxa"/>
            <w:tcMar>
              <w:left w:w="72" w:type="dxa"/>
              <w:right w:w="72" w:type="dxa"/>
            </w:tcMar>
            <w:hideMark/>
          </w:tcPr>
          <w:p w14:paraId="0BFE97A5" w14:textId="3DB5CDB5" w:rsidR="00302A19" w:rsidRPr="00806A4F" w:rsidRDefault="009D0738" w:rsidP="00302A19">
            <w:pPr>
              <w:bidi/>
              <w:ind w:left="-108" w:firstLine="108"/>
              <w:jc w:val="left"/>
              <w:rPr>
                <w:rFonts w:eastAsiaTheme="minorEastAsia"/>
                <w:b/>
                <w:bCs/>
                <w:sz w:val="20"/>
                <w:rtl/>
                <w:lang w:val="en-CA" w:eastAsia="en-CA" w:bidi="ar-SY"/>
              </w:rPr>
            </w:pPr>
            <w:r w:rsidRPr="00806A4F">
              <w:rPr>
                <w:rFonts w:eastAsiaTheme="minorEastAsia"/>
                <w:b/>
                <w:bCs/>
                <w:sz w:val="20"/>
                <w:rtl/>
                <w:lang w:val="en-CA" w:eastAsia="en-CA" w:bidi="ar-SY"/>
              </w:rPr>
              <w:t>البلد</w:t>
            </w:r>
          </w:p>
        </w:tc>
        <w:tc>
          <w:tcPr>
            <w:tcW w:w="850" w:type="dxa"/>
            <w:tcMar>
              <w:left w:w="72" w:type="dxa"/>
              <w:right w:w="72" w:type="dxa"/>
            </w:tcMar>
            <w:hideMark/>
          </w:tcPr>
          <w:p w14:paraId="410C4A37" w14:textId="36EF68B6" w:rsidR="00302A19" w:rsidRPr="00806A4F" w:rsidRDefault="009D0738" w:rsidP="00302A19">
            <w:pPr>
              <w:bidi/>
              <w:jc w:val="center"/>
              <w:rPr>
                <w:rFonts w:eastAsiaTheme="minorEastAsia"/>
                <w:b/>
                <w:bCs/>
                <w:sz w:val="20"/>
                <w:lang w:val="en-CA" w:eastAsia="en-CA" w:bidi="ar-SA"/>
              </w:rPr>
            </w:pPr>
            <w:r w:rsidRPr="00806A4F">
              <w:rPr>
                <w:rFonts w:eastAsiaTheme="minorEastAsia"/>
                <w:b/>
                <w:bCs/>
                <w:sz w:val="20"/>
                <w:rtl/>
                <w:lang w:val="en-CA" w:eastAsia="en-CA" w:bidi="ar-SA"/>
              </w:rPr>
              <w:t>الوكالة</w:t>
            </w:r>
          </w:p>
        </w:tc>
        <w:tc>
          <w:tcPr>
            <w:tcW w:w="1032" w:type="dxa"/>
            <w:tcMar>
              <w:left w:w="72" w:type="dxa"/>
              <w:right w:w="72" w:type="dxa"/>
            </w:tcMar>
            <w:hideMark/>
          </w:tcPr>
          <w:p w14:paraId="0F87FF71" w14:textId="13C697B6" w:rsidR="00302A19" w:rsidRPr="00806A4F" w:rsidRDefault="009D0738" w:rsidP="00302A19">
            <w:pPr>
              <w:bidi/>
              <w:ind w:left="-108" w:right="-128"/>
              <w:jc w:val="center"/>
              <w:rPr>
                <w:rFonts w:eastAsiaTheme="minorEastAsia"/>
                <w:b/>
                <w:bCs/>
                <w:sz w:val="20"/>
                <w:lang w:val="en-CA" w:eastAsia="en-CA" w:bidi="ar-SA"/>
              </w:rPr>
            </w:pPr>
            <w:r w:rsidRPr="00806A4F">
              <w:rPr>
                <w:rFonts w:eastAsiaTheme="minorEastAsia"/>
                <w:b/>
                <w:bCs/>
                <w:sz w:val="20"/>
                <w:rtl/>
                <w:lang w:val="en-CA" w:eastAsia="en-CA" w:bidi="ar-SA"/>
              </w:rPr>
              <w:t>الشريحة</w:t>
            </w:r>
          </w:p>
        </w:tc>
        <w:tc>
          <w:tcPr>
            <w:tcW w:w="2070" w:type="dxa"/>
            <w:tcMar>
              <w:left w:w="72" w:type="dxa"/>
              <w:right w:w="72" w:type="dxa"/>
            </w:tcMar>
            <w:hideMark/>
          </w:tcPr>
          <w:p w14:paraId="3756C28F" w14:textId="220FE76C" w:rsidR="00302A19" w:rsidRPr="00806A4F" w:rsidRDefault="009D0738" w:rsidP="00501366">
            <w:pPr>
              <w:bidi/>
              <w:ind w:right="-108"/>
              <w:jc w:val="center"/>
              <w:rPr>
                <w:rFonts w:eastAsiaTheme="minorEastAsia"/>
                <w:b/>
                <w:bCs/>
                <w:sz w:val="20"/>
                <w:lang w:eastAsia="en-CA" w:bidi="ar-SA"/>
              </w:rPr>
            </w:pPr>
            <w:r w:rsidRPr="00806A4F">
              <w:rPr>
                <w:rFonts w:eastAsiaTheme="minorEastAsia"/>
                <w:b/>
                <w:bCs/>
                <w:sz w:val="20"/>
                <w:rtl/>
                <w:lang w:val="en-CA" w:eastAsia="en-CA" w:bidi="ar-SA"/>
              </w:rPr>
              <w:t>المبلغ (بما في ذلك تكاليف الدعم)</w:t>
            </w:r>
            <w:r w:rsidRPr="00806A4F">
              <w:rPr>
                <w:rFonts w:eastAsiaTheme="minorEastAsia"/>
                <w:b/>
                <w:bCs/>
                <w:sz w:val="20"/>
                <w:lang w:eastAsia="en-CA" w:bidi="ar-SA"/>
              </w:rPr>
              <w:t xml:space="preserve"> </w:t>
            </w:r>
            <w:r w:rsidRPr="00806A4F">
              <w:rPr>
                <w:rFonts w:eastAsiaTheme="minorEastAsia"/>
                <w:b/>
                <w:bCs/>
                <w:sz w:val="20"/>
                <w:rtl/>
                <w:lang w:eastAsia="en-CA" w:bidi="ar-SA"/>
              </w:rPr>
              <w:t>(</w:t>
            </w:r>
            <w:r w:rsidRPr="00806A4F">
              <w:rPr>
                <w:rFonts w:eastAsiaTheme="minorEastAsia"/>
                <w:b/>
                <w:bCs/>
                <w:sz w:val="20"/>
                <w:rtl/>
                <w:lang w:val="en-CA" w:eastAsia="en-CA" w:bidi="ar-SA"/>
              </w:rPr>
              <w:t>بالدولار الأمريكي</w:t>
            </w:r>
            <w:r w:rsidRPr="00806A4F">
              <w:rPr>
                <w:rFonts w:eastAsiaTheme="minorEastAsia"/>
                <w:b/>
                <w:bCs/>
                <w:sz w:val="20"/>
                <w:rtl/>
                <w:lang w:eastAsia="en-CA" w:bidi="ar-SA"/>
              </w:rPr>
              <w:t>)</w:t>
            </w:r>
          </w:p>
        </w:tc>
        <w:tc>
          <w:tcPr>
            <w:tcW w:w="2340" w:type="dxa"/>
            <w:tcMar>
              <w:left w:w="72" w:type="dxa"/>
              <w:right w:w="72" w:type="dxa"/>
            </w:tcMar>
            <w:hideMark/>
          </w:tcPr>
          <w:p w14:paraId="1672ABE9" w14:textId="2D602628" w:rsidR="00302A19" w:rsidRPr="00806A4F" w:rsidRDefault="00171E60" w:rsidP="00171E60">
            <w:pPr>
              <w:bidi/>
              <w:ind w:left="360"/>
              <w:rPr>
                <w:rFonts w:eastAsiaTheme="minorEastAsia"/>
                <w:b/>
                <w:bCs/>
                <w:sz w:val="20"/>
                <w:lang w:val="en-CA" w:eastAsia="en-CA" w:bidi="ar-SA"/>
              </w:rPr>
            </w:pPr>
            <w:r w:rsidRPr="00806A4F">
              <w:rPr>
                <w:rFonts w:eastAsiaTheme="minorEastAsia"/>
                <w:b/>
                <w:bCs/>
                <w:sz w:val="20"/>
                <w:rtl/>
                <w:lang w:val="en-CA" w:eastAsia="en-CA" w:bidi="ar-SA"/>
              </w:rPr>
              <w:t>سبب التأخير/السحب</w:t>
            </w:r>
          </w:p>
        </w:tc>
        <w:tc>
          <w:tcPr>
            <w:tcW w:w="5748" w:type="dxa"/>
            <w:tcMar>
              <w:left w:w="72" w:type="dxa"/>
              <w:right w:w="72" w:type="dxa"/>
            </w:tcMar>
          </w:tcPr>
          <w:p w14:paraId="4839D9D1" w14:textId="78E73B2C" w:rsidR="00302A19" w:rsidRPr="00806A4F" w:rsidRDefault="00171E60" w:rsidP="00171E60">
            <w:pPr>
              <w:bidi/>
              <w:ind w:left="360"/>
              <w:jc w:val="center"/>
              <w:rPr>
                <w:rFonts w:eastAsiaTheme="minorEastAsia"/>
                <w:b/>
                <w:bCs/>
                <w:sz w:val="20"/>
                <w:lang w:val="en-CA" w:eastAsia="en-CA" w:bidi="ar-SA"/>
              </w:rPr>
            </w:pPr>
            <w:r w:rsidRPr="00806A4F">
              <w:rPr>
                <w:rFonts w:eastAsiaTheme="minorEastAsia"/>
                <w:bCs/>
                <w:sz w:val="20"/>
                <w:rtl/>
                <w:lang w:val="en-CA" w:eastAsia="zh-CN" w:bidi="ar-SA"/>
              </w:rPr>
              <w:t>التوصيات</w:t>
            </w:r>
          </w:p>
        </w:tc>
      </w:tr>
      <w:tr w:rsidR="00093133" w:rsidRPr="00806A4F" w14:paraId="3F05FF0C" w14:textId="77777777" w:rsidTr="00501366">
        <w:tc>
          <w:tcPr>
            <w:tcW w:w="2206" w:type="dxa"/>
            <w:tcMar>
              <w:left w:w="72" w:type="dxa"/>
              <w:right w:w="72" w:type="dxa"/>
            </w:tcMar>
          </w:tcPr>
          <w:p w14:paraId="1EC722DE" w14:textId="099D3D7B" w:rsidR="00302A19" w:rsidRPr="00806A4F" w:rsidRDefault="00093133" w:rsidP="00093133">
            <w:pPr>
              <w:pStyle w:val="NormalWeb"/>
              <w:bidi/>
              <w:rPr>
                <w:rFonts w:eastAsiaTheme="minorEastAsia"/>
                <w:sz w:val="20"/>
                <w:szCs w:val="20"/>
                <w:lang w:eastAsia="en-CA"/>
              </w:rPr>
            </w:pPr>
            <w:r w:rsidRPr="00806A4F">
              <w:rPr>
                <w:sz w:val="20"/>
                <w:szCs w:val="20"/>
                <w:rtl/>
              </w:rPr>
              <w:t>أفغانستان</w:t>
            </w:r>
            <w:r w:rsidRPr="00806A4F">
              <w:rPr>
                <w:sz w:val="20"/>
                <w:szCs w:val="20"/>
              </w:rPr>
              <w:br/>
            </w:r>
            <w:r w:rsidRPr="00806A4F">
              <w:rPr>
                <w:sz w:val="20"/>
                <w:szCs w:val="20"/>
                <w:rtl/>
              </w:rPr>
              <w:t>(المرحلة الثانية من خطة إدارة إزالة المواد الهيدروكلوروفلوروكربونية)</w:t>
            </w:r>
          </w:p>
        </w:tc>
        <w:tc>
          <w:tcPr>
            <w:tcW w:w="850" w:type="dxa"/>
            <w:tcMar>
              <w:left w:w="72" w:type="dxa"/>
              <w:right w:w="72" w:type="dxa"/>
            </w:tcMar>
          </w:tcPr>
          <w:p w14:paraId="58916455" w14:textId="6DD89460"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5CC2E7DF" w14:textId="77777777" w:rsidR="00302A19" w:rsidRPr="00806A4F" w:rsidRDefault="00302A19" w:rsidP="00302A19">
            <w:pPr>
              <w:bidi/>
              <w:ind w:left="-83" w:right="-108"/>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3C462B6E"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300,135</w:t>
            </w:r>
          </w:p>
        </w:tc>
        <w:tc>
          <w:tcPr>
            <w:tcW w:w="2340" w:type="dxa"/>
            <w:tcMar>
              <w:left w:w="72" w:type="dxa"/>
              <w:right w:w="72" w:type="dxa"/>
            </w:tcMar>
          </w:tcPr>
          <w:p w14:paraId="6AFCF77F" w14:textId="0FAD6579" w:rsidR="00302A19" w:rsidRPr="00806A4F" w:rsidRDefault="00171E60" w:rsidP="00171E60">
            <w:pPr>
              <w:bidi/>
              <w:ind w:left="360" w:right="-47"/>
              <w:jc w:val="left"/>
              <w:rPr>
                <w:rFonts w:eastAsiaTheme="minorEastAsia"/>
                <w:sz w:val="20"/>
                <w:lang w:val="en-CA" w:eastAsia="en-CA" w:bidi="ar-SA"/>
              </w:rPr>
            </w:pPr>
            <w:r w:rsidRPr="00806A4F">
              <w:rPr>
                <w:rFonts w:eastAsiaTheme="minorEastAsia"/>
                <w:sz w:val="20"/>
                <w:rtl/>
                <w:lang w:val="en-CA" w:eastAsia="en-CA" w:bidi="ar-SA"/>
              </w:rPr>
              <w:t>صعوبات داخلية أو خارجية</w:t>
            </w:r>
          </w:p>
        </w:tc>
        <w:tc>
          <w:tcPr>
            <w:tcW w:w="5748" w:type="dxa"/>
          </w:tcPr>
          <w:p w14:paraId="05AFA97E" w14:textId="171D5FBC" w:rsidR="00302A19" w:rsidRPr="00806A4F" w:rsidRDefault="00F83B9E" w:rsidP="00302A19">
            <w:pPr>
              <w:bidi/>
              <w:jc w:val="left"/>
              <w:rPr>
                <w:rFonts w:eastAsiaTheme="minorEastAsia"/>
                <w:sz w:val="20"/>
                <w:lang w:val="en-CA" w:eastAsia="en-CA" w:bidi="ar-SA"/>
              </w:rPr>
            </w:pPr>
            <w:r w:rsidRPr="00806A4F">
              <w:rPr>
                <w:rFonts w:eastAsiaTheme="minorEastAsia"/>
                <w:sz w:val="20"/>
                <w:rtl/>
                <w:lang w:val="en-CA" w:eastAsia="en-CA" w:bidi="ar-SA"/>
              </w:rPr>
              <w:t>يُطلب في هذا الاجتماع إلغاء المرحلة الثانية من خطة إدارة إزالة المواد الهيدروكلوروفلوروكربونية لأفغانستان.</w:t>
            </w:r>
            <w:r w:rsidR="00D53CF4">
              <w:rPr>
                <w:rStyle w:val="FootnoteReference"/>
                <w:rFonts w:eastAsiaTheme="minorEastAsia"/>
                <w:sz w:val="20"/>
                <w:rtl/>
                <w:lang w:val="en-CA" w:eastAsia="en-CA" w:bidi="ar-SA"/>
              </w:rPr>
              <w:footnoteReference w:id="7"/>
            </w:r>
          </w:p>
        </w:tc>
      </w:tr>
      <w:tr w:rsidR="00093133" w:rsidRPr="00806A4F" w14:paraId="736C99BC" w14:textId="77777777" w:rsidTr="00501366">
        <w:trPr>
          <w:trHeight w:val="878"/>
        </w:trPr>
        <w:tc>
          <w:tcPr>
            <w:tcW w:w="2206" w:type="dxa"/>
            <w:vMerge w:val="restart"/>
            <w:tcMar>
              <w:left w:w="72" w:type="dxa"/>
              <w:right w:w="72" w:type="dxa"/>
            </w:tcMar>
          </w:tcPr>
          <w:p w14:paraId="42A1C220" w14:textId="30976B5C" w:rsidR="00302A19" w:rsidRPr="00806A4F" w:rsidRDefault="00756DB6" w:rsidP="00E658E0">
            <w:pPr>
              <w:pStyle w:val="NormalWeb"/>
              <w:bidi/>
              <w:rPr>
                <w:rFonts w:eastAsiaTheme="minorEastAsia"/>
                <w:sz w:val="20"/>
                <w:szCs w:val="20"/>
                <w:lang w:eastAsia="en-CA"/>
              </w:rPr>
            </w:pPr>
            <w:r w:rsidRPr="00806A4F">
              <w:rPr>
                <w:sz w:val="20"/>
                <w:szCs w:val="20"/>
                <w:rtl/>
              </w:rPr>
              <w:t>بربادوس</w:t>
            </w:r>
            <w:r w:rsidR="00E658E0" w:rsidRPr="00806A4F">
              <w:rPr>
                <w:sz w:val="20"/>
                <w:szCs w:val="20"/>
                <w:rtl/>
              </w:rPr>
              <w:br/>
              <w:t>(</w:t>
            </w:r>
            <w:r w:rsidRPr="00806A4F">
              <w:rPr>
                <w:sz w:val="20"/>
                <w:szCs w:val="20"/>
                <w:rtl/>
              </w:rPr>
              <w:t>المرحلة الثانية من خطة إدارة إزالة المواد الهيدروكلوروفلوروكربونية</w:t>
            </w:r>
            <w:r w:rsidR="00E658E0" w:rsidRPr="00806A4F">
              <w:rPr>
                <w:sz w:val="20"/>
                <w:szCs w:val="20"/>
                <w:rtl/>
              </w:rPr>
              <w:t>)</w:t>
            </w:r>
            <w:r w:rsidR="00E658E0" w:rsidRPr="00806A4F">
              <w:rPr>
                <w:rFonts w:eastAsiaTheme="minorEastAsia"/>
                <w:sz w:val="20"/>
                <w:szCs w:val="20"/>
                <w:rtl/>
                <w:lang w:eastAsia="en-CA"/>
              </w:rPr>
              <w:t xml:space="preserve"> </w:t>
            </w:r>
          </w:p>
        </w:tc>
        <w:tc>
          <w:tcPr>
            <w:tcW w:w="850" w:type="dxa"/>
            <w:tcMar>
              <w:left w:w="72" w:type="dxa"/>
              <w:right w:w="72" w:type="dxa"/>
            </w:tcMar>
          </w:tcPr>
          <w:p w14:paraId="52A12BD4" w14:textId="0DFD5EE5"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0C1B3491" w14:textId="77777777" w:rsidR="00302A19" w:rsidRPr="00806A4F" w:rsidRDefault="00302A19" w:rsidP="00302A19">
            <w:pPr>
              <w:bidi/>
              <w:ind w:left="-83" w:right="-108"/>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0ABC5C45"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102,559</w:t>
            </w:r>
          </w:p>
        </w:tc>
        <w:tc>
          <w:tcPr>
            <w:tcW w:w="2340" w:type="dxa"/>
            <w:tcMar>
              <w:left w:w="72" w:type="dxa"/>
              <w:right w:w="72" w:type="dxa"/>
            </w:tcMar>
          </w:tcPr>
          <w:p w14:paraId="772C8261" w14:textId="79540BC2" w:rsidR="00302A19" w:rsidRPr="00806A4F" w:rsidRDefault="00171E60" w:rsidP="00302A19">
            <w:pPr>
              <w:bidi/>
              <w:ind w:right="-47"/>
              <w:jc w:val="left"/>
              <w:rPr>
                <w:rFonts w:eastAsiaTheme="minorEastAsia"/>
                <w:sz w:val="20"/>
                <w:lang w:val="en-CA" w:eastAsia="en-CA" w:bidi="ar-SA"/>
              </w:rPr>
            </w:pPr>
            <w:r w:rsidRPr="00806A4F">
              <w:rPr>
                <w:rFonts w:eastAsiaTheme="minorEastAsia"/>
                <w:sz w:val="20"/>
                <w:rtl/>
                <w:lang w:val="en-CA" w:eastAsia="en-CA" w:bidi="ar-SA"/>
              </w:rPr>
              <w:t>عتبة الصرف البالغة 20 في المائة</w:t>
            </w:r>
          </w:p>
        </w:tc>
        <w:tc>
          <w:tcPr>
            <w:tcW w:w="5748" w:type="dxa"/>
            <w:vMerge w:val="restart"/>
            <w:vAlign w:val="center"/>
          </w:tcPr>
          <w:p w14:paraId="0192AFBD" w14:textId="558877F8" w:rsidR="00302A19" w:rsidRPr="00806A4F" w:rsidRDefault="00F83B9E" w:rsidP="00D03E93">
            <w:pPr>
              <w:bidi/>
              <w:ind w:right="-84"/>
              <w:jc w:val="left"/>
              <w:rPr>
                <w:rFonts w:eastAsiaTheme="minorEastAsia"/>
                <w:sz w:val="20"/>
                <w:lang w:val="en-CA" w:eastAsia="zh-CN" w:bidi="ar-SA"/>
              </w:rPr>
            </w:pPr>
            <w:r w:rsidRPr="00806A4F">
              <w:rPr>
                <w:rFonts w:eastAsiaTheme="minorEastAsia"/>
                <w:sz w:val="20"/>
                <w:rtl/>
                <w:lang w:val="en-CA" w:eastAsia="zh-CN" w:bidi="ar-SA"/>
              </w:rPr>
              <w:t xml:space="preserve">إذ تُحيط علماً بأن معدل الصرف الإجمالي للشريحة الأولى (2022) من المرحلة الثانية من خطة إدارة إزالة المواد الهيدروكلوروفلوروكربونية كان أقل من عتبة الصرف البالغة 20 في المائة، وأن التحقق الإلزامي من أهداف استهلاك المواد الهيدروكلوروفلوروكربونية لم يُستكمل، وتحث حكومة بربادوس على العمل مع </w:t>
            </w:r>
            <w:r w:rsidR="00D03E93">
              <w:rPr>
                <w:rFonts w:eastAsiaTheme="minorEastAsia" w:hint="cs"/>
                <w:sz w:val="20"/>
                <w:rtl/>
                <w:lang w:val="en-CA" w:eastAsia="zh-CN" w:bidi="ar-SA"/>
              </w:rPr>
              <w:t>اليونيب</w:t>
            </w:r>
            <w:r w:rsidRPr="00806A4F">
              <w:rPr>
                <w:rFonts w:eastAsiaTheme="minorEastAsia"/>
                <w:sz w:val="20"/>
                <w:rtl/>
                <w:lang w:val="en-CA" w:eastAsia="zh-CN" w:bidi="ar-SA"/>
              </w:rPr>
              <w:t xml:space="preserve"> لاستكمال التحقق، ومع </w:t>
            </w:r>
            <w:r w:rsidR="00D03E93">
              <w:rPr>
                <w:rFonts w:eastAsiaTheme="minorEastAsia" w:hint="cs"/>
                <w:sz w:val="20"/>
                <w:rtl/>
                <w:lang w:val="en-CA" w:eastAsia="zh-CN" w:bidi="ar-SA"/>
              </w:rPr>
              <w:t>اليونيب</w:t>
            </w:r>
            <w:r w:rsidRPr="00806A4F">
              <w:rPr>
                <w:rFonts w:eastAsiaTheme="minorEastAsia"/>
                <w:sz w:val="20"/>
                <w:rtl/>
                <w:lang w:val="en-CA" w:eastAsia="zh-CN" w:bidi="ar-SA"/>
              </w:rPr>
              <w:t xml:space="preserve"> و</w:t>
            </w:r>
            <w:r w:rsidR="00D03E93" w:rsidRPr="00D03E93">
              <w:rPr>
                <w:rFonts w:hint="cs"/>
                <w:sz w:val="26"/>
                <w:szCs w:val="26"/>
                <w:rtl/>
              </w:rPr>
              <w:t xml:space="preserve"> </w:t>
            </w:r>
            <w:r w:rsidR="00D03E93" w:rsidRPr="00D03E93">
              <w:rPr>
                <w:rFonts w:eastAsiaTheme="minorEastAsia" w:hint="cs"/>
                <w:sz w:val="20"/>
                <w:rtl/>
                <w:lang w:val="en-CA" w:eastAsia="zh-CN"/>
              </w:rPr>
              <w:t>اليوئنديبي</w:t>
            </w:r>
            <w:r w:rsidRPr="00806A4F">
              <w:rPr>
                <w:rFonts w:eastAsiaTheme="minorEastAsia"/>
                <w:sz w:val="20"/>
                <w:rtl/>
                <w:lang w:val="en-CA" w:eastAsia="zh-CN" w:bidi="ar-SA"/>
              </w:rPr>
              <w:t>، بحيث يمكن تقديم الشريحة الثانية (2026) من المرحلة الثانية من خطة إدارة إزالة المواد الهيدروكلوروفلوروكربونية إلى الاجتماع التاسع والتسعين، على أساس أن عتبة الصرف البالغة 20 في المائة لتمويل الشريحة السابقة قد تم تحقيقها.</w:t>
            </w:r>
          </w:p>
        </w:tc>
      </w:tr>
      <w:tr w:rsidR="00093133" w:rsidRPr="00806A4F" w14:paraId="679C3140" w14:textId="77777777" w:rsidTr="00501366">
        <w:trPr>
          <w:trHeight w:val="541"/>
        </w:trPr>
        <w:tc>
          <w:tcPr>
            <w:tcW w:w="2206" w:type="dxa"/>
            <w:vMerge/>
            <w:tcMar>
              <w:left w:w="72" w:type="dxa"/>
              <w:right w:w="72" w:type="dxa"/>
            </w:tcMar>
          </w:tcPr>
          <w:p w14:paraId="2852A45B" w14:textId="77777777" w:rsidR="00302A19" w:rsidRPr="00806A4F" w:rsidRDefault="00302A19" w:rsidP="00302A19">
            <w:pPr>
              <w:bidi/>
              <w:ind w:right="-131"/>
              <w:jc w:val="left"/>
              <w:rPr>
                <w:rFonts w:eastAsiaTheme="minorEastAsia"/>
                <w:sz w:val="20"/>
                <w:lang w:val="en-CA" w:eastAsia="en-CA" w:bidi="ar-SA"/>
              </w:rPr>
            </w:pPr>
          </w:p>
        </w:tc>
        <w:tc>
          <w:tcPr>
            <w:tcW w:w="850" w:type="dxa"/>
            <w:tcMar>
              <w:left w:w="72" w:type="dxa"/>
              <w:right w:w="72" w:type="dxa"/>
            </w:tcMar>
          </w:tcPr>
          <w:p w14:paraId="0577FB06" w14:textId="49A115CA"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66E5BEFD" w14:textId="77777777" w:rsidR="00302A19" w:rsidRPr="00806A4F" w:rsidRDefault="00302A19" w:rsidP="00302A19">
            <w:pPr>
              <w:bidi/>
              <w:ind w:left="-83" w:right="-108"/>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16DCD764"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59,325</w:t>
            </w:r>
          </w:p>
        </w:tc>
        <w:tc>
          <w:tcPr>
            <w:tcW w:w="2340" w:type="dxa"/>
            <w:tcMar>
              <w:left w:w="72" w:type="dxa"/>
              <w:right w:w="72" w:type="dxa"/>
            </w:tcMar>
          </w:tcPr>
          <w:p w14:paraId="313FC4E3" w14:textId="6F27B7E8" w:rsidR="00302A19" w:rsidRPr="00806A4F" w:rsidRDefault="00171E60" w:rsidP="00302A19">
            <w:pPr>
              <w:bidi/>
              <w:ind w:right="-47"/>
              <w:jc w:val="left"/>
              <w:rPr>
                <w:rFonts w:eastAsiaTheme="minorEastAsia"/>
                <w:sz w:val="20"/>
                <w:lang w:val="en-CA" w:eastAsia="en-CA" w:bidi="ar-SA"/>
              </w:rPr>
            </w:pPr>
            <w:r w:rsidRPr="00806A4F">
              <w:rPr>
                <w:rFonts w:eastAsiaTheme="minorEastAsia"/>
                <w:sz w:val="20"/>
                <w:rtl/>
                <w:lang w:val="en-CA" w:eastAsia="en-CA" w:bidi="ar-SA"/>
              </w:rPr>
              <w:t>عدم توفر تقرير التحقق</w:t>
            </w:r>
          </w:p>
        </w:tc>
        <w:tc>
          <w:tcPr>
            <w:tcW w:w="5748" w:type="dxa"/>
            <w:vMerge/>
          </w:tcPr>
          <w:p w14:paraId="7670FCB9" w14:textId="77777777" w:rsidR="00302A19" w:rsidRPr="00806A4F" w:rsidRDefault="00302A19" w:rsidP="00302A19">
            <w:pPr>
              <w:bidi/>
              <w:ind w:right="-84"/>
              <w:jc w:val="left"/>
              <w:rPr>
                <w:rFonts w:eastAsiaTheme="minorEastAsia"/>
                <w:sz w:val="20"/>
                <w:lang w:val="en-CA" w:eastAsia="zh-CN" w:bidi="ar-SA"/>
              </w:rPr>
            </w:pPr>
          </w:p>
        </w:tc>
      </w:tr>
      <w:tr w:rsidR="00093133" w:rsidRPr="00806A4F" w14:paraId="5E4B0BE8" w14:textId="77777777" w:rsidTr="00501366">
        <w:trPr>
          <w:trHeight w:val="284"/>
        </w:trPr>
        <w:tc>
          <w:tcPr>
            <w:tcW w:w="2206" w:type="dxa"/>
            <w:tcMar>
              <w:left w:w="72" w:type="dxa"/>
              <w:right w:w="72" w:type="dxa"/>
            </w:tcMar>
          </w:tcPr>
          <w:p w14:paraId="05250C79" w14:textId="28F6FD8E" w:rsidR="00302A19" w:rsidRPr="00806A4F" w:rsidRDefault="00E658E0" w:rsidP="00E658E0">
            <w:pPr>
              <w:pStyle w:val="NormalWeb"/>
              <w:bidi/>
              <w:rPr>
                <w:rFonts w:eastAsiaTheme="minorEastAsia"/>
                <w:sz w:val="20"/>
                <w:szCs w:val="20"/>
                <w:lang w:eastAsia="en-CA"/>
              </w:rPr>
            </w:pPr>
            <w:r w:rsidRPr="00806A4F">
              <w:rPr>
                <w:sz w:val="20"/>
                <w:szCs w:val="20"/>
                <w:rtl/>
              </w:rPr>
              <w:t>الكاميرون</w:t>
            </w:r>
            <w:r w:rsidRPr="00806A4F">
              <w:rPr>
                <w:sz w:val="20"/>
                <w:szCs w:val="20"/>
              </w:rPr>
              <w:br/>
            </w:r>
            <w:r w:rsidRPr="00806A4F">
              <w:rPr>
                <w:sz w:val="20"/>
                <w:szCs w:val="20"/>
                <w:rtl/>
              </w:rPr>
              <w:t>(المرحلة الأولى من خطة تنفيذ تعديل كيغالي للمواد الهيدروفلوروكربونية)</w:t>
            </w:r>
          </w:p>
        </w:tc>
        <w:tc>
          <w:tcPr>
            <w:tcW w:w="850" w:type="dxa"/>
            <w:tcMar>
              <w:left w:w="72" w:type="dxa"/>
              <w:right w:w="72" w:type="dxa"/>
            </w:tcMar>
          </w:tcPr>
          <w:p w14:paraId="795C2C09" w14:textId="7DC579F2"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60124A4E"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38B9880D"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434,420</w:t>
            </w:r>
          </w:p>
        </w:tc>
        <w:tc>
          <w:tcPr>
            <w:tcW w:w="2340" w:type="dxa"/>
            <w:tcMar>
              <w:left w:w="72" w:type="dxa"/>
              <w:right w:w="72" w:type="dxa"/>
            </w:tcMar>
          </w:tcPr>
          <w:p w14:paraId="40A51BE9" w14:textId="07C524A7" w:rsidR="00302A19" w:rsidRPr="00806A4F" w:rsidRDefault="00206C33" w:rsidP="000839C2">
            <w:pPr>
              <w:widowControl w:val="0"/>
              <w:bidi/>
              <w:jc w:val="left"/>
              <w:rPr>
                <w:rFonts w:eastAsiaTheme="minorEastAsia"/>
                <w:sz w:val="20"/>
                <w:lang w:val="en-CA" w:eastAsia="zh-CN" w:bidi="ar-SA"/>
              </w:rPr>
            </w:pPr>
            <w:r w:rsidRPr="00806A4F">
              <w:rPr>
                <w:rFonts w:eastAsiaTheme="minorEastAsia"/>
                <w:sz w:val="20"/>
                <w:rtl/>
                <w:lang w:val="en-CA" w:eastAsia="zh-CN" w:bidi="ar-SA"/>
              </w:rPr>
              <w:t>قرارات حكومية/</w:t>
            </w:r>
            <w:r w:rsidR="000839C2" w:rsidRPr="000839C2">
              <w:rPr>
                <w:rFonts w:eastAsiaTheme="minorEastAsia"/>
                <w:sz w:val="20"/>
                <w:rtl/>
                <w:lang w:val="en-CA" w:eastAsia="zh-CN" w:bidi="ar-SA"/>
              </w:rPr>
              <w:t xml:space="preserve">موافقات </w:t>
            </w:r>
            <w:r w:rsidRPr="00806A4F">
              <w:rPr>
                <w:rFonts w:eastAsiaTheme="minorEastAsia"/>
                <w:sz w:val="20"/>
                <w:rtl/>
                <w:lang w:val="en-CA" w:eastAsia="zh-CN" w:bidi="ar-SA"/>
              </w:rPr>
              <w:t xml:space="preserve">حكومية/تغييرات في وحدة الأوزون الوطنية </w:t>
            </w:r>
          </w:p>
        </w:tc>
        <w:tc>
          <w:tcPr>
            <w:tcW w:w="5748" w:type="dxa"/>
          </w:tcPr>
          <w:p w14:paraId="192C9489" w14:textId="5A05104F" w:rsidR="00302A19" w:rsidRPr="00806A4F" w:rsidRDefault="000F7476" w:rsidP="00302A19">
            <w:pPr>
              <w:bidi/>
              <w:ind w:right="-84"/>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التأخيرات الناتجة عن الإجراءات الإدارية الوطنية الثقيلة، وحثّ حكومة الكاميرون على العمل مع اليونيدو حتى يتسنى تقديم الشريحة الثانية (2026) من المرحلة الأولى من </w:t>
            </w:r>
            <w:bookmarkStart w:id="1" w:name="_Hlk231143326"/>
            <w:r w:rsidRPr="00806A4F">
              <w:rPr>
                <w:rFonts w:eastAsiaTheme="minorEastAsia"/>
                <w:sz w:val="20"/>
                <w:rtl/>
                <w:lang w:val="en-CA" w:eastAsia="zh-CN" w:bidi="ar-SA"/>
              </w:rPr>
              <w:t xml:space="preserve">خطة تنفيذ تعديل كيغالي للمواد الهيدروفلوروكربونية </w:t>
            </w:r>
            <w:bookmarkEnd w:id="1"/>
            <w:r w:rsidRPr="00806A4F">
              <w:rPr>
                <w:rFonts w:eastAsiaTheme="minorEastAsia"/>
                <w:sz w:val="20"/>
                <w:rtl/>
                <w:lang w:val="en-CA" w:eastAsia="zh-CN" w:bidi="ar-SA"/>
              </w:rPr>
              <w:t>إلى الاجتماع التاسع والتسعين.</w:t>
            </w:r>
          </w:p>
        </w:tc>
      </w:tr>
      <w:tr w:rsidR="00093133" w:rsidRPr="00806A4F" w14:paraId="2C26440A" w14:textId="77777777" w:rsidTr="00501366">
        <w:trPr>
          <w:trHeight w:val="44"/>
        </w:trPr>
        <w:tc>
          <w:tcPr>
            <w:tcW w:w="2206" w:type="dxa"/>
            <w:tcMar>
              <w:left w:w="72" w:type="dxa"/>
              <w:right w:w="72" w:type="dxa"/>
            </w:tcMar>
          </w:tcPr>
          <w:p w14:paraId="34A55FDD" w14:textId="07EFE934" w:rsidR="00302A19" w:rsidRPr="00806A4F" w:rsidRDefault="00171E60" w:rsidP="00171E60">
            <w:pPr>
              <w:keepNext/>
              <w:bidi/>
              <w:jc w:val="left"/>
              <w:rPr>
                <w:rFonts w:eastAsiaTheme="minorEastAsia"/>
                <w:sz w:val="20"/>
                <w:lang w:val="en-CA" w:eastAsia="en-CA" w:bidi="ar-SA"/>
              </w:rPr>
            </w:pPr>
            <w:r w:rsidRPr="00806A4F">
              <w:rPr>
                <w:rFonts w:eastAsiaTheme="minorEastAsia"/>
                <w:sz w:val="20"/>
                <w:rtl/>
                <w:lang w:val="en-CA" w:eastAsia="en-CA" w:bidi="ar-SA"/>
              </w:rPr>
              <w:t>جزر القمر</w:t>
            </w:r>
            <w:r w:rsidRPr="00806A4F">
              <w:rPr>
                <w:rFonts w:eastAsiaTheme="minorEastAsia"/>
                <w:sz w:val="20"/>
                <w:rtl/>
                <w:lang w:val="en-CA" w:eastAsia="en-CA" w:bidi="ar-SA"/>
              </w:rPr>
              <w:br/>
              <w:t>(المرحلة الثانية من خطة إدارة إزالة المواد الهيدروكلوروفلوروكربونية)</w:t>
            </w:r>
          </w:p>
        </w:tc>
        <w:tc>
          <w:tcPr>
            <w:tcW w:w="850" w:type="dxa"/>
            <w:tcMar>
              <w:left w:w="72" w:type="dxa"/>
              <w:right w:w="72" w:type="dxa"/>
            </w:tcMar>
          </w:tcPr>
          <w:p w14:paraId="475B6219" w14:textId="129F9A4D"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17CF4522"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059BD9FC"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266,115</w:t>
            </w:r>
          </w:p>
        </w:tc>
        <w:tc>
          <w:tcPr>
            <w:tcW w:w="2340" w:type="dxa"/>
            <w:tcMar>
              <w:left w:w="72" w:type="dxa"/>
              <w:right w:w="72" w:type="dxa"/>
            </w:tcMar>
          </w:tcPr>
          <w:p w14:paraId="4706479A" w14:textId="2D5E6DF6" w:rsidR="00302A19" w:rsidRPr="00806A4F" w:rsidRDefault="00206C33" w:rsidP="000839C2">
            <w:pPr>
              <w:bidi/>
              <w:jc w:val="left"/>
              <w:rPr>
                <w:rFonts w:eastAsiaTheme="minorEastAsia"/>
                <w:sz w:val="20"/>
                <w:lang w:val="en-CA" w:eastAsia="zh-CN" w:bidi="ar-SA"/>
              </w:rPr>
            </w:pPr>
            <w:r w:rsidRPr="00806A4F">
              <w:rPr>
                <w:rFonts w:eastAsiaTheme="minorEastAsia"/>
                <w:sz w:val="20"/>
                <w:rtl/>
                <w:lang w:val="en-CA" w:eastAsia="zh-CN" w:bidi="ar-SA"/>
              </w:rPr>
              <w:t>قرارات حكومية/</w:t>
            </w:r>
            <w:r w:rsidR="000839C2" w:rsidRPr="000839C2">
              <w:rPr>
                <w:rFonts w:eastAsiaTheme="minorEastAsia"/>
                <w:sz w:val="20"/>
                <w:rtl/>
                <w:lang w:val="en-CA" w:eastAsia="zh-CN" w:bidi="ar-SA"/>
              </w:rPr>
              <w:t xml:space="preserve"> موافقات </w:t>
            </w:r>
            <w:r w:rsidRPr="00806A4F">
              <w:rPr>
                <w:rFonts w:eastAsiaTheme="minorEastAsia"/>
                <w:sz w:val="20"/>
                <w:rtl/>
                <w:lang w:val="en-CA" w:eastAsia="zh-CN" w:bidi="ar-SA"/>
              </w:rPr>
              <w:t xml:space="preserve">حكومية/تغييرات في وحدة الأوزون الوطنية </w:t>
            </w:r>
          </w:p>
        </w:tc>
        <w:tc>
          <w:tcPr>
            <w:tcW w:w="5748" w:type="dxa"/>
          </w:tcPr>
          <w:p w14:paraId="56F5BB7B" w14:textId="0798C90A" w:rsidR="00302A19" w:rsidRPr="00806A4F" w:rsidRDefault="000F7476" w:rsidP="00302A19">
            <w:pPr>
              <w:keepNext/>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التغييرات الهيكلية داخل الحكومة، وحثّ حكومة جزر القمر على العمل مع اليونيب حتى يتسنى تقديم الشريحة الثانية (2026) من المرحلة الثانية من خطة إدارة إزالة المواد الهيدروكلوروفلوروكربونية إلى الاجتماع التاسع والتسعين.</w:t>
            </w:r>
          </w:p>
        </w:tc>
      </w:tr>
      <w:tr w:rsidR="00093133" w:rsidRPr="00806A4F" w14:paraId="5D1CA802" w14:textId="77777777" w:rsidTr="00501366">
        <w:trPr>
          <w:trHeight w:val="655"/>
        </w:trPr>
        <w:tc>
          <w:tcPr>
            <w:tcW w:w="2206" w:type="dxa"/>
            <w:vMerge w:val="restart"/>
            <w:tcMar>
              <w:left w:w="72" w:type="dxa"/>
              <w:right w:w="72" w:type="dxa"/>
            </w:tcMar>
          </w:tcPr>
          <w:p w14:paraId="31BD26D4" w14:textId="38CDF4EA" w:rsidR="00302A19" w:rsidRPr="00806A4F" w:rsidRDefault="00171E60" w:rsidP="00171E60">
            <w:pPr>
              <w:bidi/>
              <w:jc w:val="left"/>
              <w:rPr>
                <w:rFonts w:eastAsiaTheme="minorEastAsia"/>
                <w:sz w:val="20"/>
                <w:lang w:val="en-CA" w:eastAsia="en-CA" w:bidi="ar-SA"/>
              </w:rPr>
            </w:pPr>
            <w:r w:rsidRPr="00806A4F">
              <w:rPr>
                <w:rFonts w:eastAsiaTheme="minorEastAsia"/>
                <w:sz w:val="20"/>
                <w:rtl/>
                <w:lang w:val="en-CA" w:eastAsia="en-CA" w:bidi="ar-SA"/>
              </w:rPr>
              <w:t>إثيوبيا</w:t>
            </w:r>
            <w:r w:rsidRPr="00806A4F">
              <w:rPr>
                <w:rFonts w:eastAsiaTheme="minorEastAsia"/>
                <w:sz w:val="20"/>
                <w:rtl/>
                <w:lang w:val="en-CA" w:eastAsia="en-CA" w:bidi="ar-SA"/>
              </w:rPr>
              <w:br/>
              <w:t>(المرحلة الثانية من خطة إدارة إزالة المواد الهيدروكلوروفلوروكربونية)</w:t>
            </w:r>
          </w:p>
        </w:tc>
        <w:tc>
          <w:tcPr>
            <w:tcW w:w="850" w:type="dxa"/>
            <w:tcMar>
              <w:left w:w="72" w:type="dxa"/>
              <w:right w:w="72" w:type="dxa"/>
            </w:tcMar>
          </w:tcPr>
          <w:p w14:paraId="40875314" w14:textId="131233C6"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228B0BB8"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4B4D696F"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110,740</w:t>
            </w:r>
          </w:p>
        </w:tc>
        <w:tc>
          <w:tcPr>
            <w:tcW w:w="2340" w:type="dxa"/>
            <w:tcMar>
              <w:left w:w="72" w:type="dxa"/>
              <w:right w:w="72" w:type="dxa"/>
            </w:tcMar>
          </w:tcPr>
          <w:p w14:paraId="73D2AE1F" w14:textId="0A965957" w:rsidR="00302A19" w:rsidRPr="00806A4F" w:rsidRDefault="00206C33" w:rsidP="000839C2">
            <w:pPr>
              <w:bidi/>
              <w:jc w:val="left"/>
              <w:rPr>
                <w:rFonts w:eastAsiaTheme="minorEastAsia"/>
                <w:sz w:val="20"/>
                <w:lang w:eastAsia="zh-CN" w:bidi="ar-SA"/>
              </w:rPr>
            </w:pPr>
            <w:r w:rsidRPr="00806A4F">
              <w:rPr>
                <w:rFonts w:eastAsiaTheme="minorEastAsia"/>
                <w:sz w:val="20"/>
                <w:rtl/>
                <w:lang w:val="en-CA" w:eastAsia="zh-CN" w:bidi="ar-SA"/>
              </w:rPr>
              <w:t>قرارات حكومية/</w:t>
            </w:r>
            <w:r w:rsidR="000839C2" w:rsidRPr="000839C2">
              <w:rPr>
                <w:rFonts w:eastAsiaTheme="minorEastAsia"/>
                <w:sz w:val="20"/>
                <w:rtl/>
                <w:lang w:val="en-CA" w:eastAsia="zh-CN" w:bidi="ar-SA"/>
              </w:rPr>
              <w:t xml:space="preserve"> موافقات </w:t>
            </w:r>
            <w:r w:rsidRPr="00806A4F">
              <w:rPr>
                <w:rFonts w:eastAsiaTheme="minorEastAsia"/>
                <w:sz w:val="20"/>
                <w:rtl/>
                <w:lang w:val="en-CA" w:eastAsia="zh-CN" w:bidi="ar-SA"/>
              </w:rPr>
              <w:t xml:space="preserve">حكومية/تغييرات في وحدة الأوزون الوطنية </w:t>
            </w:r>
          </w:p>
        </w:tc>
        <w:tc>
          <w:tcPr>
            <w:tcW w:w="5748" w:type="dxa"/>
            <w:vMerge w:val="restart"/>
          </w:tcPr>
          <w:p w14:paraId="746EE38E" w14:textId="2F4816FB" w:rsidR="00302A19" w:rsidRPr="00806A4F" w:rsidRDefault="000F7476"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التأخيرات الناتجة عن تغيير وحدة الأوزون الوطنية، وحثّ حكومة إثيوبيا على العمل مع اليونيب واليونيدو حتى يتسنى تقديم الشريحة الثالثة (2026) من المرحلة الثانية من خطة إدارة إزالة المواد </w:t>
            </w:r>
            <w:r w:rsidR="00752EF0" w:rsidRPr="00806A4F">
              <w:rPr>
                <w:rFonts w:eastAsiaTheme="minorEastAsia"/>
                <w:sz w:val="20"/>
                <w:rtl/>
                <w:lang w:val="en-CA" w:eastAsia="zh-CN" w:bidi="ar-SA"/>
              </w:rPr>
              <w:t>الهيدروكلوروفلوروكربونية إلى</w:t>
            </w:r>
            <w:r w:rsidRPr="00806A4F">
              <w:rPr>
                <w:rFonts w:eastAsiaTheme="minorEastAsia"/>
                <w:sz w:val="20"/>
                <w:rtl/>
                <w:lang w:val="en-CA" w:eastAsia="zh-CN" w:bidi="ar-SA"/>
              </w:rPr>
              <w:t xml:space="preserve"> الاجتماع التاسع والتسعين.</w:t>
            </w:r>
          </w:p>
        </w:tc>
      </w:tr>
      <w:tr w:rsidR="00093133" w:rsidRPr="00806A4F" w14:paraId="5BB8DAC7" w14:textId="77777777" w:rsidTr="00501366">
        <w:trPr>
          <w:trHeight w:val="655"/>
        </w:trPr>
        <w:tc>
          <w:tcPr>
            <w:tcW w:w="2206" w:type="dxa"/>
            <w:vMerge/>
            <w:tcMar>
              <w:left w:w="72" w:type="dxa"/>
              <w:right w:w="72" w:type="dxa"/>
            </w:tcMar>
          </w:tcPr>
          <w:p w14:paraId="2F664472"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015C9C97" w14:textId="7D286028"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58EFF1CB"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081BE7A5"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40,330</w:t>
            </w:r>
          </w:p>
        </w:tc>
        <w:tc>
          <w:tcPr>
            <w:tcW w:w="2340" w:type="dxa"/>
            <w:tcMar>
              <w:left w:w="72" w:type="dxa"/>
              <w:right w:w="72" w:type="dxa"/>
            </w:tcMar>
          </w:tcPr>
          <w:p w14:paraId="31925D4A" w14:textId="021D93EB" w:rsidR="00302A19" w:rsidRPr="00806A4F" w:rsidRDefault="00206C33" w:rsidP="000839C2">
            <w:pPr>
              <w:bidi/>
              <w:jc w:val="left"/>
              <w:rPr>
                <w:rFonts w:eastAsiaTheme="minorEastAsia"/>
                <w:sz w:val="20"/>
                <w:lang w:val="en-CA" w:eastAsia="zh-CN" w:bidi="ar-SA"/>
              </w:rPr>
            </w:pPr>
            <w:r w:rsidRPr="00806A4F">
              <w:rPr>
                <w:rFonts w:eastAsiaTheme="minorEastAsia"/>
                <w:sz w:val="20"/>
                <w:rtl/>
                <w:lang w:val="en-CA" w:eastAsia="zh-CN" w:bidi="ar-SA"/>
              </w:rPr>
              <w:t>قرارات حكومية/</w:t>
            </w:r>
            <w:r w:rsidR="000839C2" w:rsidRPr="000839C2">
              <w:rPr>
                <w:rFonts w:eastAsiaTheme="minorEastAsia"/>
                <w:sz w:val="20"/>
                <w:rtl/>
                <w:lang w:val="en-CA" w:eastAsia="zh-CN" w:bidi="ar-SA"/>
              </w:rPr>
              <w:t xml:space="preserve"> موافقات </w:t>
            </w:r>
            <w:r w:rsidRPr="00806A4F">
              <w:rPr>
                <w:rFonts w:eastAsiaTheme="minorEastAsia"/>
                <w:sz w:val="20"/>
                <w:rtl/>
                <w:lang w:val="en-CA" w:eastAsia="zh-CN" w:bidi="ar-SA"/>
              </w:rPr>
              <w:t>حكومية/تغييرات في وحدة الأوزون الوطنية /عتبة الصرف البالغة 20 في المائة</w:t>
            </w:r>
          </w:p>
        </w:tc>
        <w:tc>
          <w:tcPr>
            <w:tcW w:w="5748" w:type="dxa"/>
            <w:vMerge/>
          </w:tcPr>
          <w:p w14:paraId="5711AA23" w14:textId="77777777" w:rsidR="00302A19" w:rsidRPr="00806A4F" w:rsidRDefault="00302A19" w:rsidP="00302A19">
            <w:pPr>
              <w:bidi/>
              <w:jc w:val="left"/>
              <w:rPr>
                <w:rFonts w:eastAsiaTheme="minorEastAsia"/>
                <w:sz w:val="20"/>
                <w:lang w:val="en-CA" w:eastAsia="zh-CN" w:bidi="ar-SA"/>
              </w:rPr>
            </w:pPr>
          </w:p>
        </w:tc>
      </w:tr>
      <w:tr w:rsidR="00093133" w:rsidRPr="00806A4F" w14:paraId="12CC705D" w14:textId="77777777" w:rsidTr="00501366">
        <w:trPr>
          <w:trHeight w:val="567"/>
        </w:trPr>
        <w:tc>
          <w:tcPr>
            <w:tcW w:w="2206" w:type="dxa"/>
            <w:vMerge w:val="restart"/>
            <w:tcMar>
              <w:left w:w="72" w:type="dxa"/>
              <w:right w:w="72" w:type="dxa"/>
            </w:tcMar>
          </w:tcPr>
          <w:p w14:paraId="74183A09" w14:textId="5B0F8893" w:rsidR="00302A19" w:rsidRPr="00806A4F" w:rsidRDefault="00B850D2" w:rsidP="00D03E93">
            <w:pPr>
              <w:bidi/>
              <w:jc w:val="left"/>
              <w:rPr>
                <w:rFonts w:eastAsiaTheme="minorEastAsia"/>
                <w:sz w:val="20"/>
                <w:lang w:val="en-CA" w:eastAsia="en-CA" w:bidi="ar-SA"/>
              </w:rPr>
            </w:pPr>
            <w:r w:rsidRPr="00806A4F">
              <w:rPr>
                <w:rFonts w:eastAsiaTheme="minorEastAsia"/>
                <w:sz w:val="20"/>
                <w:rtl/>
                <w:lang w:val="en-CA" w:eastAsia="en-CA" w:bidi="ar-SA"/>
              </w:rPr>
              <w:t>الغابون</w:t>
            </w:r>
            <w:r w:rsidR="00D03E93">
              <w:rPr>
                <w:rFonts w:eastAsiaTheme="minorEastAsia" w:hint="cs"/>
                <w:sz w:val="20"/>
                <w:rtl/>
                <w:lang w:val="en-CA" w:eastAsia="en-CA" w:bidi="ar-SA"/>
              </w:rPr>
              <w:t xml:space="preserve"> </w:t>
            </w:r>
            <w:r w:rsidR="00D03E93">
              <w:rPr>
                <w:rFonts w:eastAsiaTheme="minorEastAsia"/>
                <w:sz w:val="20"/>
                <w:rtl/>
                <w:lang w:val="en-CA" w:eastAsia="en-CA" w:bidi="ar-SA"/>
              </w:rPr>
              <w:br/>
            </w:r>
            <w:r w:rsidRPr="00806A4F">
              <w:rPr>
                <w:rFonts w:eastAsiaTheme="minorEastAsia"/>
                <w:sz w:val="20"/>
                <w:rtl/>
                <w:lang w:val="en-CA" w:eastAsia="en-CA" w:bidi="ar-SA"/>
              </w:rPr>
              <w:t xml:space="preserve">(المرحلة الثانية من خطة إدارة </w:t>
            </w:r>
            <w:r w:rsidRPr="00806A4F">
              <w:rPr>
                <w:rFonts w:eastAsiaTheme="minorEastAsia"/>
                <w:sz w:val="20"/>
                <w:rtl/>
                <w:lang w:val="en-CA" w:eastAsia="en-CA" w:bidi="ar-SA"/>
              </w:rPr>
              <w:lastRenderedPageBreak/>
              <w:t>إزالة المواد الهيدروكلوروفلوروكربونية)</w:t>
            </w:r>
          </w:p>
        </w:tc>
        <w:tc>
          <w:tcPr>
            <w:tcW w:w="850" w:type="dxa"/>
            <w:tcMar>
              <w:left w:w="72" w:type="dxa"/>
              <w:right w:w="72" w:type="dxa"/>
            </w:tcMar>
          </w:tcPr>
          <w:p w14:paraId="607760FB" w14:textId="5F589C56" w:rsidR="00302A19" w:rsidRPr="00806A4F" w:rsidRDefault="00093133" w:rsidP="00302A19">
            <w:pPr>
              <w:bidi/>
              <w:jc w:val="left"/>
              <w:rPr>
                <w:rFonts w:eastAsiaTheme="minorEastAsia"/>
                <w:sz w:val="20"/>
                <w:lang w:val="en-CA" w:eastAsia="en-CA" w:bidi="ar-SA"/>
              </w:rPr>
            </w:pPr>
            <w:r w:rsidRPr="00806A4F">
              <w:rPr>
                <w:rFonts w:eastAsiaTheme="minorEastAsia"/>
                <w:sz w:val="20"/>
                <w:rtl/>
                <w:lang w:val="en-CA" w:eastAsia="en-CA" w:bidi="ar-SA"/>
              </w:rPr>
              <w:lastRenderedPageBreak/>
              <w:t>اليونيب</w:t>
            </w:r>
          </w:p>
        </w:tc>
        <w:tc>
          <w:tcPr>
            <w:tcW w:w="1032" w:type="dxa"/>
            <w:tcMar>
              <w:left w:w="72" w:type="dxa"/>
              <w:right w:w="72" w:type="dxa"/>
            </w:tcMar>
          </w:tcPr>
          <w:p w14:paraId="5ED064CF"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7BB83B0D"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357,910</w:t>
            </w:r>
          </w:p>
        </w:tc>
        <w:tc>
          <w:tcPr>
            <w:tcW w:w="2340" w:type="dxa"/>
            <w:tcMar>
              <w:left w:w="72" w:type="dxa"/>
              <w:right w:w="72" w:type="dxa"/>
            </w:tcMar>
          </w:tcPr>
          <w:p w14:paraId="65BE6A77" w14:textId="2B7931CC" w:rsidR="00302A19" w:rsidRPr="00806A4F" w:rsidRDefault="00206C33" w:rsidP="000839C2">
            <w:pPr>
              <w:bidi/>
              <w:jc w:val="left"/>
              <w:rPr>
                <w:rFonts w:eastAsiaTheme="minorEastAsia"/>
                <w:sz w:val="20"/>
                <w:lang w:val="en-CA" w:eastAsia="zh-CN" w:bidi="ar-SA"/>
              </w:rPr>
            </w:pPr>
            <w:r w:rsidRPr="00806A4F">
              <w:rPr>
                <w:rFonts w:eastAsiaTheme="minorEastAsia"/>
                <w:sz w:val="20"/>
                <w:rtl/>
                <w:lang w:val="en-CA" w:eastAsia="zh-CN" w:bidi="ar-SA"/>
              </w:rPr>
              <w:t>قرارات حكومية/</w:t>
            </w:r>
            <w:r w:rsidR="000839C2" w:rsidRPr="000839C2">
              <w:rPr>
                <w:rFonts w:eastAsiaTheme="minorEastAsia"/>
                <w:sz w:val="20"/>
                <w:rtl/>
                <w:lang w:val="en-CA" w:eastAsia="zh-CN" w:bidi="ar-SA"/>
              </w:rPr>
              <w:t xml:space="preserve"> موافقات </w:t>
            </w:r>
            <w:r w:rsidRPr="00806A4F">
              <w:rPr>
                <w:rFonts w:eastAsiaTheme="minorEastAsia"/>
                <w:sz w:val="20"/>
                <w:rtl/>
                <w:lang w:val="en-CA" w:eastAsia="zh-CN" w:bidi="ar-SA"/>
              </w:rPr>
              <w:t xml:space="preserve">حكومية/تغييرات في وحدة </w:t>
            </w:r>
            <w:r w:rsidRPr="00806A4F">
              <w:rPr>
                <w:rFonts w:eastAsiaTheme="minorEastAsia"/>
                <w:sz w:val="20"/>
                <w:rtl/>
                <w:lang w:val="en-CA" w:eastAsia="zh-CN" w:bidi="ar-SA"/>
              </w:rPr>
              <w:lastRenderedPageBreak/>
              <w:t>الأوزون الوطنية /تقديم التقارير المرحلية والمالية</w:t>
            </w:r>
          </w:p>
        </w:tc>
        <w:tc>
          <w:tcPr>
            <w:tcW w:w="5748" w:type="dxa"/>
            <w:vMerge w:val="restart"/>
          </w:tcPr>
          <w:p w14:paraId="5507441A" w14:textId="62966D62" w:rsidR="00302A19" w:rsidRPr="00806A4F" w:rsidRDefault="00F83B9E" w:rsidP="00302A19">
            <w:pPr>
              <w:bidi/>
              <w:jc w:val="left"/>
              <w:rPr>
                <w:rFonts w:eastAsiaTheme="minorEastAsia"/>
                <w:sz w:val="20"/>
                <w:lang w:val="en-CA" w:eastAsia="zh-CN" w:bidi="ar-SA"/>
              </w:rPr>
            </w:pPr>
            <w:r w:rsidRPr="00806A4F">
              <w:rPr>
                <w:rFonts w:eastAsiaTheme="minorEastAsia"/>
                <w:sz w:val="20"/>
                <w:rtl/>
                <w:lang w:val="en-CA" w:eastAsia="zh-CN" w:bidi="ar-SA"/>
              </w:rPr>
              <w:lastRenderedPageBreak/>
              <w:t xml:space="preserve">إذ تُحيط علماً بعدم تقديم التقارير المرحلية والمالية، وتحث حكومة الغابون على العمل مع </w:t>
            </w:r>
            <w:r w:rsidR="00D03E93">
              <w:rPr>
                <w:rFonts w:eastAsiaTheme="minorEastAsia" w:hint="cs"/>
                <w:sz w:val="20"/>
                <w:rtl/>
                <w:lang w:val="en-CA" w:eastAsia="zh-CN" w:bidi="ar-SA"/>
              </w:rPr>
              <w:t>اليونيب</w:t>
            </w:r>
            <w:r w:rsidRPr="00806A4F">
              <w:rPr>
                <w:rFonts w:eastAsiaTheme="minorEastAsia"/>
                <w:sz w:val="20"/>
                <w:rtl/>
                <w:lang w:val="en-CA" w:eastAsia="zh-CN" w:bidi="ar-SA"/>
              </w:rPr>
              <w:t xml:space="preserve"> لتقديم التقارير المرحلية والمالية المطلوبة، ومع </w:t>
            </w:r>
            <w:r w:rsidR="00D03E93">
              <w:rPr>
                <w:rFonts w:eastAsiaTheme="minorEastAsia" w:hint="cs"/>
                <w:sz w:val="20"/>
                <w:rtl/>
                <w:lang w:val="en-CA" w:eastAsia="zh-CN" w:bidi="ar-SA"/>
              </w:rPr>
              <w:t>اليونيب</w:t>
            </w:r>
            <w:r w:rsidRPr="00806A4F">
              <w:rPr>
                <w:rFonts w:eastAsiaTheme="minorEastAsia"/>
                <w:sz w:val="20"/>
                <w:rtl/>
                <w:lang w:val="en-CA" w:eastAsia="zh-CN" w:bidi="ar-SA"/>
              </w:rPr>
              <w:t xml:space="preserve"> و</w:t>
            </w:r>
            <w:r w:rsidR="00D03E93">
              <w:rPr>
                <w:rFonts w:eastAsiaTheme="minorEastAsia" w:hint="cs"/>
                <w:sz w:val="20"/>
                <w:rtl/>
                <w:lang w:val="en-CA" w:eastAsia="zh-CN" w:bidi="ar-SA"/>
              </w:rPr>
              <w:t>اليونيدو</w:t>
            </w:r>
            <w:r w:rsidRPr="00806A4F">
              <w:rPr>
                <w:rFonts w:eastAsiaTheme="minorEastAsia"/>
                <w:sz w:val="20"/>
                <w:rtl/>
                <w:lang w:val="en-CA" w:eastAsia="zh-CN" w:bidi="ar-SA"/>
              </w:rPr>
              <w:t xml:space="preserve">، بحيث يمكن </w:t>
            </w:r>
            <w:r w:rsidRPr="00806A4F">
              <w:rPr>
                <w:rFonts w:eastAsiaTheme="minorEastAsia"/>
                <w:sz w:val="20"/>
                <w:rtl/>
                <w:lang w:val="en-CA" w:eastAsia="zh-CN" w:bidi="ar-SA"/>
              </w:rPr>
              <w:lastRenderedPageBreak/>
              <w:t>تقديم الشريحة الثانية (2026) من المرحلة الثانية من خطة إدارة إزالة المواد الهيدروكلوروفلوروكربونية إلى الاجتماع التاسع والتسعين.</w:t>
            </w:r>
          </w:p>
        </w:tc>
      </w:tr>
      <w:tr w:rsidR="00093133" w:rsidRPr="00806A4F" w14:paraId="6265D164" w14:textId="77777777" w:rsidTr="008E1518">
        <w:trPr>
          <w:trHeight w:val="458"/>
        </w:trPr>
        <w:tc>
          <w:tcPr>
            <w:tcW w:w="2206" w:type="dxa"/>
            <w:vMerge/>
            <w:tcMar>
              <w:left w:w="72" w:type="dxa"/>
              <w:right w:w="72" w:type="dxa"/>
            </w:tcMar>
          </w:tcPr>
          <w:p w14:paraId="47FF6E3C"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2D34D475" w14:textId="0DA37A35" w:rsidR="00302A19" w:rsidRPr="00806A4F" w:rsidRDefault="00756DB6"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5EC74C1E"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1EBFFCE8"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123,050</w:t>
            </w:r>
          </w:p>
        </w:tc>
        <w:tc>
          <w:tcPr>
            <w:tcW w:w="2340" w:type="dxa"/>
            <w:tcMar>
              <w:left w:w="72" w:type="dxa"/>
              <w:right w:w="72" w:type="dxa"/>
            </w:tcMar>
          </w:tcPr>
          <w:p w14:paraId="46561A3C" w14:textId="49E5FF35" w:rsidR="00302A19" w:rsidRPr="00806A4F" w:rsidRDefault="00F83B9E" w:rsidP="00302A19">
            <w:pPr>
              <w:bidi/>
              <w:jc w:val="left"/>
              <w:rPr>
                <w:rFonts w:eastAsiaTheme="minorEastAsia"/>
                <w:sz w:val="20"/>
                <w:lang w:val="en-CA" w:eastAsia="zh-CN" w:bidi="ar-SA"/>
              </w:rPr>
            </w:pPr>
            <w:r w:rsidRPr="00806A4F">
              <w:rPr>
                <w:rFonts w:eastAsiaTheme="minorEastAsia"/>
                <w:sz w:val="20"/>
                <w:rtl/>
                <w:lang w:val="en-CA" w:eastAsia="zh-CN" w:bidi="ar-SA"/>
              </w:rPr>
              <w:t>عتبة الصرف البالغة 20 في المائة</w:t>
            </w:r>
          </w:p>
        </w:tc>
        <w:tc>
          <w:tcPr>
            <w:tcW w:w="5748" w:type="dxa"/>
            <w:vMerge/>
          </w:tcPr>
          <w:p w14:paraId="70395459" w14:textId="77777777" w:rsidR="00302A19" w:rsidRPr="00806A4F" w:rsidRDefault="00302A19" w:rsidP="00302A19">
            <w:pPr>
              <w:bidi/>
              <w:jc w:val="left"/>
              <w:rPr>
                <w:rFonts w:eastAsiaTheme="minorEastAsia"/>
                <w:sz w:val="20"/>
                <w:lang w:val="en-CA" w:eastAsia="zh-CN" w:bidi="ar-SA"/>
              </w:rPr>
            </w:pPr>
          </w:p>
        </w:tc>
      </w:tr>
      <w:tr w:rsidR="00093133" w:rsidRPr="00806A4F" w14:paraId="0688CD8C" w14:textId="77777777" w:rsidTr="00501366">
        <w:trPr>
          <w:trHeight w:val="582"/>
        </w:trPr>
        <w:tc>
          <w:tcPr>
            <w:tcW w:w="2206" w:type="dxa"/>
            <w:vMerge w:val="restart"/>
            <w:tcMar>
              <w:left w:w="72" w:type="dxa"/>
              <w:right w:w="72" w:type="dxa"/>
            </w:tcMar>
          </w:tcPr>
          <w:p w14:paraId="75CFB0A6" w14:textId="2F959084" w:rsidR="00302A19" w:rsidRPr="00806A4F" w:rsidRDefault="00752EF0" w:rsidP="00302A19">
            <w:pPr>
              <w:keepNext/>
              <w:bidi/>
              <w:jc w:val="left"/>
              <w:rPr>
                <w:rFonts w:eastAsiaTheme="minorEastAsia"/>
                <w:sz w:val="20"/>
                <w:lang w:val="en-CA" w:eastAsia="en-CA" w:bidi="ar-SA"/>
              </w:rPr>
            </w:pPr>
            <w:r w:rsidRPr="00806A4F">
              <w:rPr>
                <w:rFonts w:eastAsiaTheme="minorEastAsia"/>
                <w:sz w:val="20"/>
                <w:rtl/>
                <w:lang w:val="en-CA" w:eastAsia="en-CA" w:bidi="ar-SA"/>
              </w:rPr>
              <w:t>غرينادا (المرحلة الثانية من خطة إدارة إزالة المواد الهيدروكلوروفلوروكربونية)</w:t>
            </w:r>
          </w:p>
        </w:tc>
        <w:tc>
          <w:tcPr>
            <w:tcW w:w="850" w:type="dxa"/>
            <w:tcMar>
              <w:left w:w="72" w:type="dxa"/>
              <w:right w:w="72" w:type="dxa"/>
            </w:tcMar>
          </w:tcPr>
          <w:p w14:paraId="3BB8B96E" w14:textId="58EF130B"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38AE84CE"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1A29B67E"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44,861</w:t>
            </w:r>
          </w:p>
        </w:tc>
        <w:tc>
          <w:tcPr>
            <w:tcW w:w="2340" w:type="dxa"/>
            <w:tcMar>
              <w:left w:w="72" w:type="dxa"/>
              <w:right w:w="72" w:type="dxa"/>
            </w:tcMar>
          </w:tcPr>
          <w:p w14:paraId="4D4AC994" w14:textId="645FB402" w:rsidR="00302A19" w:rsidRPr="00806A4F" w:rsidRDefault="00752EF0" w:rsidP="00302A19">
            <w:pPr>
              <w:keepNext/>
              <w:bidi/>
              <w:jc w:val="left"/>
              <w:rPr>
                <w:rFonts w:eastAsiaTheme="minorEastAsia"/>
                <w:sz w:val="20"/>
                <w:lang w:val="en-CA" w:eastAsia="zh-CN" w:bidi="ar-SA"/>
              </w:rPr>
            </w:pPr>
            <w:r w:rsidRPr="00806A4F">
              <w:rPr>
                <w:rFonts w:eastAsiaTheme="minorEastAsia"/>
                <w:sz w:val="20"/>
                <w:rtl/>
                <w:lang w:val="en-CA" w:eastAsia="zh-CN" w:bidi="ar-SA"/>
              </w:rPr>
              <w:t>عدم وجود تقرير التحقق</w:t>
            </w:r>
          </w:p>
        </w:tc>
        <w:tc>
          <w:tcPr>
            <w:tcW w:w="5748" w:type="dxa"/>
            <w:vMerge w:val="restart"/>
          </w:tcPr>
          <w:p w14:paraId="49240962" w14:textId="309FCD0C" w:rsidR="00302A19" w:rsidRPr="00806A4F" w:rsidRDefault="003F7BD5" w:rsidP="00302A19">
            <w:pPr>
              <w:keepNext/>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أن التحقق الإلزامي من أهداف استهلاك المواد الهيدروكلوروفلوروكربونية لم يكتمل بعد، وحثّ حكومة غرينادا على العمل مع اليونيب لاستكمال هذا التحقق، ومع اليونيب واليونيدو حتى يتسنى تقديم الشريحة الثانية (2025) من المرحلة الثانية من خطة إدارة إزالة المواد الهيدروكلوروفلوروكربونية إلى الاجتماع التاسع والتسعين مع خطة عمل منقحة تأخذ في الاعتبار إعادة تخصيص شريحة 2025 وما يليها من شرائح عند الضرورة.</w:t>
            </w:r>
          </w:p>
        </w:tc>
      </w:tr>
      <w:tr w:rsidR="00093133" w:rsidRPr="00806A4F" w14:paraId="67A1E0AC" w14:textId="77777777" w:rsidTr="00501366">
        <w:trPr>
          <w:trHeight w:val="650"/>
        </w:trPr>
        <w:tc>
          <w:tcPr>
            <w:tcW w:w="2206" w:type="dxa"/>
            <w:vMerge/>
            <w:tcMar>
              <w:left w:w="72" w:type="dxa"/>
              <w:right w:w="72" w:type="dxa"/>
            </w:tcMar>
          </w:tcPr>
          <w:p w14:paraId="49421846"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07AA19EA" w14:textId="6FF6BA4A" w:rsidR="00302A19" w:rsidRPr="00806A4F" w:rsidRDefault="00756DB6"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23B0C960"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502A3786"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13,161</w:t>
            </w:r>
          </w:p>
        </w:tc>
        <w:tc>
          <w:tcPr>
            <w:tcW w:w="2340" w:type="dxa"/>
            <w:tcMar>
              <w:left w:w="72" w:type="dxa"/>
              <w:right w:w="72" w:type="dxa"/>
            </w:tcMar>
          </w:tcPr>
          <w:p w14:paraId="7EA0ECBD" w14:textId="1CEDC049" w:rsidR="00302A19" w:rsidRPr="00806A4F" w:rsidRDefault="004F7AD4" w:rsidP="004F7AD4">
            <w:pPr>
              <w:bidi/>
              <w:jc w:val="left"/>
              <w:rPr>
                <w:rFonts w:eastAsiaTheme="minorEastAsia"/>
                <w:sz w:val="20"/>
                <w:lang w:eastAsia="zh-CN" w:bidi="ar-SA"/>
              </w:rPr>
            </w:pPr>
            <w:r w:rsidRPr="004F7AD4">
              <w:rPr>
                <w:rFonts w:eastAsiaTheme="minorEastAsia"/>
                <w:sz w:val="20"/>
                <w:rtl/>
                <w:lang w:val="en-CA" w:eastAsia="zh-CN" w:bidi="ar-SA"/>
              </w:rPr>
              <w:t xml:space="preserve">قرارات حكومية </w:t>
            </w:r>
            <w:r w:rsidR="00752EF0" w:rsidRPr="00806A4F">
              <w:rPr>
                <w:rFonts w:eastAsiaTheme="minorEastAsia"/>
                <w:sz w:val="20"/>
                <w:rtl/>
                <w:lang w:val="en-CA" w:eastAsia="zh-CN" w:bidi="ar-SA"/>
              </w:rPr>
              <w:t>/</w:t>
            </w:r>
            <w:r w:rsidR="000839C2" w:rsidRPr="000839C2">
              <w:rPr>
                <w:rFonts w:eastAsiaTheme="minorEastAsia"/>
                <w:sz w:val="20"/>
                <w:rtl/>
                <w:lang w:val="en-CA" w:eastAsia="zh-CN" w:bidi="ar-SA"/>
              </w:rPr>
              <w:t xml:space="preserve"> موافقات </w:t>
            </w:r>
            <w:r w:rsidR="000839C2">
              <w:rPr>
                <w:rFonts w:eastAsiaTheme="minorEastAsia" w:hint="cs"/>
                <w:sz w:val="20"/>
                <w:rtl/>
                <w:lang w:val="en-CA" w:eastAsia="zh-CN" w:bidi="ar-SA"/>
              </w:rPr>
              <w:t>حكومية</w:t>
            </w:r>
            <w:r w:rsidR="00752EF0" w:rsidRPr="00806A4F">
              <w:rPr>
                <w:rFonts w:eastAsiaTheme="minorEastAsia"/>
                <w:sz w:val="20"/>
                <w:rtl/>
                <w:lang w:val="en-CA" w:eastAsia="zh-CN" w:bidi="ar-SA"/>
              </w:rPr>
              <w:t>/تغييرات في وحدة الأوزون الوطنية</w:t>
            </w:r>
          </w:p>
        </w:tc>
        <w:tc>
          <w:tcPr>
            <w:tcW w:w="5748" w:type="dxa"/>
            <w:vMerge/>
          </w:tcPr>
          <w:p w14:paraId="7EA6FF6C" w14:textId="77777777" w:rsidR="00302A19" w:rsidRPr="00806A4F" w:rsidRDefault="00302A19" w:rsidP="00302A19">
            <w:pPr>
              <w:bidi/>
              <w:jc w:val="left"/>
              <w:rPr>
                <w:rFonts w:eastAsiaTheme="minorEastAsia"/>
                <w:sz w:val="20"/>
                <w:lang w:val="en-CA" w:eastAsia="zh-CN" w:bidi="ar-SA"/>
              </w:rPr>
            </w:pPr>
          </w:p>
        </w:tc>
      </w:tr>
      <w:tr w:rsidR="00093133" w:rsidRPr="00806A4F" w14:paraId="3D50D773" w14:textId="77777777" w:rsidTr="00501366">
        <w:trPr>
          <w:trHeight w:val="650"/>
        </w:trPr>
        <w:tc>
          <w:tcPr>
            <w:tcW w:w="2206" w:type="dxa"/>
            <w:vMerge w:val="restart"/>
            <w:tcMar>
              <w:left w:w="72" w:type="dxa"/>
              <w:right w:w="72" w:type="dxa"/>
            </w:tcMar>
          </w:tcPr>
          <w:p w14:paraId="3614EDE9" w14:textId="154F903E" w:rsidR="00302A19" w:rsidRPr="00806A4F" w:rsidRDefault="00396F16" w:rsidP="00302A19">
            <w:pPr>
              <w:bidi/>
              <w:jc w:val="left"/>
              <w:rPr>
                <w:rFonts w:eastAsiaTheme="minorEastAsia"/>
                <w:sz w:val="20"/>
                <w:lang w:val="en-CA" w:eastAsia="en-CA" w:bidi="ar-SA"/>
              </w:rPr>
            </w:pPr>
            <w:r w:rsidRPr="00806A4F">
              <w:rPr>
                <w:rFonts w:eastAsiaTheme="minorEastAsia"/>
                <w:sz w:val="20"/>
                <w:rtl/>
                <w:lang w:val="en-CA" w:eastAsia="en-CA" w:bidi="ar-SA"/>
              </w:rPr>
              <w:t>غينيا (المرحلة الثانية من خطة إدارة إزالة المواد الهيدروكلوروفلوروكربونية)</w:t>
            </w:r>
          </w:p>
        </w:tc>
        <w:tc>
          <w:tcPr>
            <w:tcW w:w="850" w:type="dxa"/>
            <w:tcMar>
              <w:left w:w="72" w:type="dxa"/>
              <w:right w:w="72" w:type="dxa"/>
            </w:tcMar>
          </w:tcPr>
          <w:p w14:paraId="5BF7C834" w14:textId="5F6DD1C8" w:rsidR="00302A19" w:rsidRPr="00806A4F" w:rsidRDefault="00756DB6" w:rsidP="00302A19">
            <w:pPr>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4BC85472"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5F5C8649"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134,470</w:t>
            </w:r>
          </w:p>
        </w:tc>
        <w:tc>
          <w:tcPr>
            <w:tcW w:w="2340" w:type="dxa"/>
            <w:tcMar>
              <w:left w:w="72" w:type="dxa"/>
              <w:right w:w="72" w:type="dxa"/>
            </w:tcMar>
          </w:tcPr>
          <w:p w14:paraId="7B98756F" w14:textId="7757C667" w:rsidR="00302A19" w:rsidRPr="00806A4F" w:rsidRDefault="004F7AD4" w:rsidP="004F7AD4">
            <w:pPr>
              <w:bidi/>
              <w:jc w:val="left"/>
              <w:rPr>
                <w:rFonts w:eastAsiaTheme="minorEastAsia"/>
                <w:sz w:val="20"/>
                <w:lang w:eastAsia="zh-CN" w:bidi="ar-SA"/>
              </w:rPr>
            </w:pPr>
            <w:r w:rsidRPr="004F7AD4">
              <w:rPr>
                <w:rFonts w:eastAsiaTheme="minorEastAsia"/>
                <w:sz w:val="20"/>
                <w:rtl/>
                <w:lang w:val="en-CA" w:eastAsia="zh-CN" w:bidi="ar-SA"/>
              </w:rPr>
              <w:t xml:space="preserve">قرارات حكومية </w:t>
            </w:r>
            <w:r w:rsidR="00752EF0" w:rsidRPr="00806A4F">
              <w:rPr>
                <w:rFonts w:eastAsiaTheme="minorEastAsia"/>
                <w:sz w:val="20"/>
                <w:rtl/>
                <w:lang w:val="en-CA" w:eastAsia="zh-CN" w:bidi="ar-SA"/>
              </w:rPr>
              <w:t>/</w:t>
            </w:r>
            <w:r w:rsidR="000839C2" w:rsidRPr="000839C2">
              <w:rPr>
                <w:rFonts w:eastAsiaTheme="minorEastAsia"/>
                <w:sz w:val="20"/>
                <w:rtl/>
                <w:lang w:val="en-CA" w:eastAsia="zh-CN" w:bidi="ar-SA"/>
              </w:rPr>
              <w:t xml:space="preserve"> موافقات </w:t>
            </w:r>
            <w:r w:rsidR="000839C2" w:rsidRPr="000839C2">
              <w:rPr>
                <w:rFonts w:eastAsiaTheme="minorEastAsia" w:hint="cs"/>
                <w:sz w:val="20"/>
                <w:rtl/>
                <w:lang w:val="en-CA" w:eastAsia="zh-CN" w:bidi="ar-SA"/>
              </w:rPr>
              <w:t>حكومية</w:t>
            </w:r>
            <w:r w:rsidR="000839C2" w:rsidRPr="000839C2">
              <w:rPr>
                <w:rFonts w:eastAsiaTheme="minorEastAsia"/>
                <w:sz w:val="20"/>
                <w:rtl/>
                <w:lang w:val="en-CA" w:eastAsia="zh-CN" w:bidi="ar-SA"/>
              </w:rPr>
              <w:t xml:space="preserve"> </w:t>
            </w:r>
            <w:r w:rsidR="00752EF0" w:rsidRPr="00806A4F">
              <w:rPr>
                <w:rFonts w:eastAsiaTheme="minorEastAsia"/>
                <w:sz w:val="20"/>
                <w:rtl/>
                <w:lang w:val="en-CA" w:eastAsia="zh-CN" w:bidi="ar-SA"/>
              </w:rPr>
              <w:t>/تغييرات في وحدة الأوزون الوطنية/تقديم التقارير المرحلية والتقارير المالية</w:t>
            </w:r>
          </w:p>
        </w:tc>
        <w:tc>
          <w:tcPr>
            <w:tcW w:w="5748" w:type="dxa"/>
            <w:vMerge w:val="restart"/>
          </w:tcPr>
          <w:p w14:paraId="22DE1824" w14:textId="1C8D05EF" w:rsidR="00302A19" w:rsidRPr="00806A4F" w:rsidRDefault="003F7BD5" w:rsidP="00302A19">
            <w:pPr>
              <w:keepNext/>
              <w:bidi/>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عدم تقديم </w:t>
            </w:r>
            <w:r w:rsidR="004F7AD4">
              <w:rPr>
                <w:rFonts w:eastAsiaTheme="minorEastAsia" w:hint="cs"/>
                <w:sz w:val="20"/>
                <w:rtl/>
                <w:lang w:val="en-CA" w:eastAsia="zh-CN" w:bidi="ar-SA"/>
              </w:rPr>
              <w:t>ال</w:t>
            </w:r>
            <w:r w:rsidRPr="00806A4F">
              <w:rPr>
                <w:rFonts w:eastAsiaTheme="minorEastAsia"/>
                <w:sz w:val="20"/>
                <w:rtl/>
                <w:lang w:val="en-CA" w:eastAsia="zh-CN" w:bidi="ar-SA"/>
              </w:rPr>
              <w:t xml:space="preserve">تقارير </w:t>
            </w:r>
            <w:r w:rsidR="004F7AD4">
              <w:rPr>
                <w:rFonts w:eastAsiaTheme="minorEastAsia" w:hint="cs"/>
                <w:sz w:val="20"/>
                <w:rtl/>
                <w:lang w:val="en-CA" w:eastAsia="zh-CN" w:bidi="ar-SA"/>
              </w:rPr>
              <w:t>المرحلية</w:t>
            </w:r>
            <w:r w:rsidRPr="00806A4F">
              <w:rPr>
                <w:rFonts w:eastAsiaTheme="minorEastAsia"/>
                <w:sz w:val="20"/>
                <w:rtl/>
                <w:lang w:val="en-CA" w:eastAsia="zh-CN" w:bidi="ar-SA"/>
              </w:rPr>
              <w:t xml:space="preserve"> والتقارير المالية، وحثّ حكومة غينيا على العمل مع اليونيب لتقديم </w:t>
            </w:r>
            <w:r w:rsidR="004F7AD4">
              <w:rPr>
                <w:rFonts w:eastAsiaTheme="minorEastAsia" w:hint="cs"/>
                <w:sz w:val="20"/>
                <w:rtl/>
                <w:lang w:val="en-CA" w:eastAsia="zh-CN" w:bidi="ar-SA"/>
              </w:rPr>
              <w:t>ال</w:t>
            </w:r>
            <w:r w:rsidRPr="00806A4F">
              <w:rPr>
                <w:rFonts w:eastAsiaTheme="minorEastAsia"/>
                <w:sz w:val="20"/>
                <w:rtl/>
                <w:lang w:val="en-CA" w:eastAsia="zh-CN" w:bidi="ar-SA"/>
              </w:rPr>
              <w:t xml:space="preserve">تقارير </w:t>
            </w:r>
            <w:r w:rsidR="004F7AD4">
              <w:rPr>
                <w:rFonts w:eastAsiaTheme="minorEastAsia" w:hint="cs"/>
                <w:sz w:val="20"/>
                <w:rtl/>
                <w:lang w:val="en-CA" w:eastAsia="zh-CN" w:bidi="ar-SA"/>
              </w:rPr>
              <w:t>المرحلية</w:t>
            </w:r>
            <w:r w:rsidRPr="00806A4F">
              <w:rPr>
                <w:rFonts w:eastAsiaTheme="minorEastAsia"/>
                <w:sz w:val="20"/>
                <w:rtl/>
                <w:lang w:val="en-CA" w:eastAsia="zh-CN" w:bidi="ar-SA"/>
              </w:rPr>
              <w:t xml:space="preserve"> والتقارير المالية المطلوبة، ومع اليونيب واليونيدو حتى يتسنى تقديم الشريحة الثانية (2026) من المرحلة الثانية من خطة إدارة إزالة المواد الهيدروكلوروفلوروكربونية إلى الاجتماع التاسع والتسعين مع اتفاق منقح وفقاً للمقرر 37/9 بشأن تغيير خط الأساس.</w:t>
            </w:r>
          </w:p>
        </w:tc>
      </w:tr>
      <w:tr w:rsidR="00093133" w:rsidRPr="00806A4F" w14:paraId="508F3FFB" w14:textId="77777777" w:rsidTr="008E1518">
        <w:trPr>
          <w:trHeight w:val="458"/>
        </w:trPr>
        <w:tc>
          <w:tcPr>
            <w:tcW w:w="2206" w:type="dxa"/>
            <w:vMerge/>
            <w:tcMar>
              <w:left w:w="72" w:type="dxa"/>
              <w:right w:w="72" w:type="dxa"/>
            </w:tcMar>
          </w:tcPr>
          <w:p w14:paraId="61661D5C" w14:textId="77777777" w:rsidR="00302A19" w:rsidRPr="00806A4F" w:rsidRDefault="00302A19" w:rsidP="00302A19">
            <w:pPr>
              <w:bidi/>
              <w:jc w:val="left"/>
              <w:rPr>
                <w:rFonts w:eastAsiaTheme="minorEastAsia"/>
                <w:sz w:val="20"/>
                <w:lang w:val="en-CA" w:eastAsia="en-CA" w:bidi="ar-SA"/>
              </w:rPr>
            </w:pPr>
          </w:p>
        </w:tc>
        <w:tc>
          <w:tcPr>
            <w:tcW w:w="850" w:type="dxa"/>
            <w:tcBorders>
              <w:bottom w:val="single" w:sz="4" w:space="0" w:color="auto"/>
            </w:tcBorders>
            <w:tcMar>
              <w:left w:w="72" w:type="dxa"/>
              <w:right w:w="72" w:type="dxa"/>
            </w:tcMar>
          </w:tcPr>
          <w:p w14:paraId="2581304F" w14:textId="7317A2BC" w:rsidR="00302A19" w:rsidRPr="00806A4F" w:rsidRDefault="00756DB6" w:rsidP="00302A19">
            <w:pPr>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Borders>
              <w:bottom w:val="single" w:sz="4" w:space="0" w:color="auto"/>
            </w:tcBorders>
            <w:tcMar>
              <w:left w:w="72" w:type="dxa"/>
              <w:right w:w="72" w:type="dxa"/>
            </w:tcMar>
          </w:tcPr>
          <w:p w14:paraId="68271107"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3DC51A93"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112,270</w:t>
            </w:r>
          </w:p>
        </w:tc>
        <w:tc>
          <w:tcPr>
            <w:tcW w:w="2340" w:type="dxa"/>
            <w:tcMar>
              <w:left w:w="72" w:type="dxa"/>
              <w:right w:w="72" w:type="dxa"/>
            </w:tcMar>
          </w:tcPr>
          <w:p w14:paraId="4D995BDC" w14:textId="3750D897" w:rsidR="00302A19" w:rsidRPr="00806A4F" w:rsidRDefault="00752EF0" w:rsidP="00302A19">
            <w:pPr>
              <w:bidi/>
              <w:jc w:val="left"/>
              <w:rPr>
                <w:rFonts w:eastAsiaTheme="minorEastAsia"/>
                <w:sz w:val="20"/>
                <w:lang w:val="en-CA" w:eastAsia="zh-CN" w:bidi="ar-SA"/>
              </w:rPr>
            </w:pPr>
            <w:r w:rsidRPr="00806A4F">
              <w:rPr>
                <w:rFonts w:eastAsiaTheme="minorEastAsia"/>
                <w:sz w:val="20"/>
                <w:rtl/>
                <w:lang w:val="en-CA" w:eastAsia="zh-CN" w:bidi="ar-SA"/>
              </w:rPr>
              <w:t>عتبة الصرف البالغة 20 في المائة</w:t>
            </w:r>
          </w:p>
        </w:tc>
        <w:tc>
          <w:tcPr>
            <w:tcW w:w="5748" w:type="dxa"/>
            <w:vMerge/>
          </w:tcPr>
          <w:p w14:paraId="0F65D453" w14:textId="77777777" w:rsidR="00302A19" w:rsidRPr="00806A4F" w:rsidRDefault="00302A19" w:rsidP="00302A19">
            <w:pPr>
              <w:bidi/>
              <w:jc w:val="left"/>
              <w:rPr>
                <w:rFonts w:eastAsiaTheme="minorEastAsia"/>
                <w:sz w:val="20"/>
                <w:lang w:val="en-CA" w:eastAsia="zh-CN" w:bidi="ar-SA"/>
              </w:rPr>
            </w:pPr>
          </w:p>
        </w:tc>
      </w:tr>
      <w:tr w:rsidR="00093133" w:rsidRPr="00806A4F" w14:paraId="1C0C1C7E" w14:textId="77777777" w:rsidTr="00501366">
        <w:trPr>
          <w:trHeight w:val="1256"/>
        </w:trPr>
        <w:tc>
          <w:tcPr>
            <w:tcW w:w="2206" w:type="dxa"/>
            <w:vMerge w:val="restart"/>
            <w:tcMar>
              <w:left w:w="72" w:type="dxa"/>
              <w:right w:w="72" w:type="dxa"/>
            </w:tcMar>
          </w:tcPr>
          <w:p w14:paraId="7BFFF5BF" w14:textId="7741C4C2" w:rsidR="00302A19" w:rsidRPr="00806A4F" w:rsidRDefault="00396F16" w:rsidP="00302A19">
            <w:pPr>
              <w:bidi/>
              <w:jc w:val="left"/>
              <w:rPr>
                <w:rFonts w:eastAsiaTheme="minorEastAsia"/>
                <w:sz w:val="20"/>
                <w:lang w:val="en-CA" w:eastAsia="en-CA" w:bidi="ar-SA"/>
              </w:rPr>
            </w:pPr>
            <w:r w:rsidRPr="00806A4F">
              <w:rPr>
                <w:rFonts w:eastAsiaTheme="minorEastAsia"/>
                <w:sz w:val="20"/>
                <w:rtl/>
                <w:lang w:val="en-CA" w:eastAsia="en-CA" w:bidi="ar-SA"/>
              </w:rPr>
              <w:t>العراق (المرحلة الثانية من خطة إدارة إزالة المواد الهيدروكلوروفلوروكربونية)</w:t>
            </w:r>
          </w:p>
        </w:tc>
        <w:tc>
          <w:tcPr>
            <w:tcW w:w="850" w:type="dxa"/>
            <w:tcBorders>
              <w:top w:val="single" w:sz="4" w:space="0" w:color="auto"/>
              <w:left w:val="nil"/>
              <w:bottom w:val="single" w:sz="4" w:space="0" w:color="auto"/>
              <w:right w:val="nil"/>
            </w:tcBorders>
            <w:tcMar>
              <w:left w:w="72" w:type="dxa"/>
              <w:right w:w="72" w:type="dxa"/>
            </w:tcMar>
          </w:tcPr>
          <w:p w14:paraId="25839BA5" w14:textId="7772140A"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zh-CN" w:bidi="ar-SA"/>
              </w:rPr>
              <w:t>اليونيب</w:t>
            </w:r>
          </w:p>
        </w:tc>
        <w:tc>
          <w:tcPr>
            <w:tcW w:w="1032" w:type="dxa"/>
            <w:tcBorders>
              <w:top w:val="single" w:sz="4" w:space="0" w:color="auto"/>
              <w:bottom w:val="single" w:sz="4" w:space="0" w:color="auto"/>
            </w:tcBorders>
            <w:tcMar>
              <w:left w:w="72" w:type="dxa"/>
              <w:right w:w="72" w:type="dxa"/>
            </w:tcMar>
          </w:tcPr>
          <w:p w14:paraId="44F6DB23"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2023</w:t>
            </w:r>
          </w:p>
        </w:tc>
        <w:tc>
          <w:tcPr>
            <w:tcW w:w="2070" w:type="dxa"/>
            <w:tcMar>
              <w:left w:w="72" w:type="dxa"/>
              <w:right w:w="72" w:type="dxa"/>
            </w:tcMar>
          </w:tcPr>
          <w:p w14:paraId="4D41B185"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730,610</w:t>
            </w:r>
          </w:p>
        </w:tc>
        <w:tc>
          <w:tcPr>
            <w:tcW w:w="2340" w:type="dxa"/>
            <w:tcMar>
              <w:left w:w="72" w:type="dxa"/>
              <w:right w:w="72" w:type="dxa"/>
            </w:tcMar>
          </w:tcPr>
          <w:p w14:paraId="6C44130E" w14:textId="667340DF" w:rsidR="00302A19" w:rsidRPr="00806A4F" w:rsidRDefault="004F7AD4" w:rsidP="004F7AD4">
            <w:pPr>
              <w:bidi/>
              <w:jc w:val="left"/>
              <w:rPr>
                <w:rFonts w:eastAsiaTheme="minorEastAsia"/>
                <w:sz w:val="20"/>
                <w:lang w:val="en-CA" w:eastAsia="zh-CN" w:bidi="ar-SA"/>
              </w:rPr>
            </w:pPr>
            <w:r w:rsidRPr="004F7AD4">
              <w:rPr>
                <w:rFonts w:eastAsiaTheme="minorEastAsia"/>
                <w:sz w:val="20"/>
                <w:rtl/>
                <w:lang w:val="en-CA" w:eastAsia="zh-CN" w:bidi="ar-SA"/>
              </w:rPr>
              <w:t xml:space="preserve">قرارات حكومية </w:t>
            </w:r>
            <w:r w:rsidR="00752EF0" w:rsidRPr="00806A4F">
              <w:rPr>
                <w:rFonts w:eastAsiaTheme="minorEastAsia"/>
                <w:sz w:val="20"/>
                <w:rtl/>
                <w:lang w:val="en-CA" w:eastAsia="zh-CN" w:bidi="ar-SA"/>
              </w:rPr>
              <w:t>/</w:t>
            </w:r>
            <w:r w:rsidR="000839C2" w:rsidRPr="000839C2">
              <w:rPr>
                <w:rFonts w:eastAsiaTheme="minorEastAsia"/>
                <w:sz w:val="20"/>
                <w:rtl/>
                <w:lang w:val="en-CA" w:eastAsia="zh-CN" w:bidi="ar-SA"/>
              </w:rPr>
              <w:t xml:space="preserve"> موافقات </w:t>
            </w:r>
            <w:r w:rsidR="000839C2" w:rsidRPr="000839C2">
              <w:rPr>
                <w:rFonts w:eastAsiaTheme="minorEastAsia" w:hint="cs"/>
                <w:sz w:val="20"/>
                <w:rtl/>
                <w:lang w:val="en-CA" w:eastAsia="zh-CN" w:bidi="ar-SA"/>
              </w:rPr>
              <w:t>حكومية</w:t>
            </w:r>
            <w:r w:rsidR="000839C2" w:rsidRPr="000839C2">
              <w:rPr>
                <w:rFonts w:eastAsiaTheme="minorEastAsia"/>
                <w:sz w:val="20"/>
                <w:rtl/>
                <w:lang w:val="en-CA" w:eastAsia="zh-CN" w:bidi="ar-SA"/>
              </w:rPr>
              <w:t xml:space="preserve"> </w:t>
            </w:r>
            <w:r w:rsidR="00752EF0" w:rsidRPr="00806A4F">
              <w:rPr>
                <w:rFonts w:eastAsiaTheme="minorEastAsia"/>
                <w:sz w:val="20"/>
                <w:rtl/>
                <w:lang w:val="en-CA" w:eastAsia="zh-CN" w:bidi="ar-SA"/>
              </w:rPr>
              <w:t>/تغييرات في وحدة الأوزون الوطنية/صعوبات داخلية أو خارجية/مكوّن الاستثمار/عتبة الصرف البالغة 20 في المائة</w:t>
            </w:r>
          </w:p>
        </w:tc>
        <w:tc>
          <w:tcPr>
            <w:tcW w:w="5748" w:type="dxa"/>
            <w:vMerge w:val="restart"/>
          </w:tcPr>
          <w:p w14:paraId="0A9BF4D4" w14:textId="154A7121" w:rsidR="00302A19" w:rsidRPr="00806A4F" w:rsidRDefault="003F7BD5" w:rsidP="001D7A0E">
            <w:pPr>
              <w:bidi/>
              <w:spacing w:line="252" w:lineRule="auto"/>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أن معدل الصرف الإجمالي للشريحة الثانية (2022) من المرحلة الثانية من خطة إدارة إزالة المواد الهيدروكلوروفلوروكربونية (مكوّن اليونيب) كان دون عتبة الصرف البالغة 20 في المائة، والإنجاز الأخير لمشاريع </w:t>
            </w:r>
            <w:r w:rsidR="001D7A0E">
              <w:rPr>
                <w:rFonts w:eastAsiaTheme="minorEastAsia" w:hint="cs"/>
                <w:sz w:val="20"/>
                <w:rtl/>
                <w:lang w:val="en-CA" w:eastAsia="zh-CN" w:bidi="ar-SA"/>
              </w:rPr>
              <w:t>ال</w:t>
            </w:r>
            <w:r w:rsidRPr="00806A4F">
              <w:rPr>
                <w:rFonts w:eastAsiaTheme="minorEastAsia"/>
                <w:sz w:val="20"/>
                <w:rtl/>
                <w:lang w:val="en-CA" w:eastAsia="zh-CN" w:bidi="ar-SA"/>
              </w:rPr>
              <w:t>تحويل الاستثمار</w:t>
            </w:r>
            <w:r w:rsidR="001D7A0E">
              <w:rPr>
                <w:rFonts w:eastAsiaTheme="minorEastAsia" w:hint="cs"/>
                <w:sz w:val="20"/>
                <w:rtl/>
                <w:lang w:val="en-CA" w:eastAsia="zh-CN" w:bidi="ar-SA"/>
              </w:rPr>
              <w:t>ية</w:t>
            </w:r>
            <w:r w:rsidRPr="00806A4F">
              <w:rPr>
                <w:rFonts w:eastAsiaTheme="minorEastAsia"/>
                <w:sz w:val="20"/>
                <w:rtl/>
                <w:lang w:val="en-CA" w:eastAsia="zh-CN" w:bidi="ar-SA"/>
              </w:rPr>
              <w:t xml:space="preserve"> المتأخرة ضمن الخطة الوطنية </w:t>
            </w:r>
            <w:r w:rsidR="001D7A0E">
              <w:rPr>
                <w:rFonts w:eastAsiaTheme="minorEastAsia" w:hint="cs"/>
                <w:sz w:val="20"/>
                <w:rtl/>
                <w:lang w:val="en-CA" w:eastAsia="zh-CN" w:bidi="ar-SA"/>
              </w:rPr>
              <w:t>للتخلص</w:t>
            </w:r>
            <w:r w:rsidRPr="00806A4F">
              <w:rPr>
                <w:rFonts w:eastAsiaTheme="minorEastAsia"/>
                <w:sz w:val="20"/>
                <w:rtl/>
                <w:lang w:val="en-CA" w:eastAsia="zh-CN" w:bidi="ar-SA"/>
              </w:rPr>
              <w:t xml:space="preserve"> التدريجي، وحثّ حكومة العراق على العمل مع اليونيدو لتقديم تقارير </w:t>
            </w:r>
            <w:r w:rsidR="001D7A0E">
              <w:rPr>
                <w:rFonts w:eastAsiaTheme="minorEastAsia" w:hint="cs"/>
                <w:sz w:val="20"/>
                <w:rtl/>
                <w:lang w:val="en-CA" w:eastAsia="zh-CN" w:bidi="ar-SA"/>
              </w:rPr>
              <w:t>إتمام</w:t>
            </w:r>
            <w:r w:rsidRPr="00806A4F">
              <w:rPr>
                <w:rFonts w:eastAsiaTheme="minorEastAsia"/>
                <w:sz w:val="20"/>
                <w:rtl/>
                <w:lang w:val="en-CA" w:eastAsia="zh-CN" w:bidi="ar-SA"/>
              </w:rPr>
              <w:t xml:space="preserve"> </w:t>
            </w:r>
            <w:r w:rsidR="001D7A0E">
              <w:rPr>
                <w:rFonts w:eastAsiaTheme="minorEastAsia" w:hint="cs"/>
                <w:sz w:val="20"/>
                <w:rtl/>
                <w:lang w:val="en-CA" w:eastAsia="zh-CN" w:bidi="ar-SA"/>
              </w:rPr>
              <w:t>ال</w:t>
            </w:r>
            <w:r w:rsidRPr="00806A4F">
              <w:rPr>
                <w:rFonts w:eastAsiaTheme="minorEastAsia"/>
                <w:sz w:val="20"/>
                <w:rtl/>
                <w:lang w:val="en-CA" w:eastAsia="zh-CN" w:bidi="ar-SA"/>
              </w:rPr>
              <w:t>مشاريع</w:t>
            </w:r>
            <w:r w:rsidR="001D7A0E">
              <w:rPr>
                <w:rFonts w:eastAsiaTheme="minorEastAsia" w:hint="cs"/>
                <w:sz w:val="20"/>
                <w:rtl/>
                <w:lang w:val="en-CA" w:eastAsia="zh-CN" w:bidi="ar-SA"/>
              </w:rPr>
              <w:t xml:space="preserve"> لمشاريع</w:t>
            </w:r>
            <w:r w:rsidRPr="00806A4F">
              <w:rPr>
                <w:rFonts w:eastAsiaTheme="minorEastAsia"/>
                <w:sz w:val="20"/>
                <w:rtl/>
                <w:lang w:val="en-CA" w:eastAsia="zh-CN" w:bidi="ar-SA"/>
              </w:rPr>
              <w:t xml:space="preserve"> التحويل الاستثمارية قبل الاجتماع التاسع والتسعين، حتى يتسنى تقديم الشريحة الثالثة (2023) من المرحلة الثانية من خطة إدارة إزالة المواد الهيدروكلوروفلوروكربونية </w:t>
            </w:r>
            <w:r w:rsidR="001C6A5A">
              <w:rPr>
                <w:rFonts w:eastAsiaTheme="minorEastAsia" w:hint="cs"/>
                <w:sz w:val="20"/>
                <w:rtl/>
                <w:lang w:val="en-CA" w:eastAsia="zh-CN" w:bidi="ar-SA"/>
              </w:rPr>
              <w:t>لليونيب</w:t>
            </w:r>
            <w:r w:rsidRPr="00806A4F">
              <w:rPr>
                <w:rFonts w:eastAsiaTheme="minorEastAsia"/>
                <w:sz w:val="20"/>
                <w:rtl/>
                <w:lang w:val="en-CA" w:eastAsia="zh-CN" w:bidi="ar-SA"/>
              </w:rPr>
              <w:t xml:space="preserve">، </w:t>
            </w:r>
            <w:r w:rsidR="001C6A5A">
              <w:rPr>
                <w:rFonts w:eastAsiaTheme="minorEastAsia" w:hint="cs"/>
                <w:sz w:val="20"/>
                <w:rtl/>
                <w:lang w:val="en-CA" w:eastAsia="zh-CN" w:bidi="ar-SA"/>
              </w:rPr>
              <w:t>والشريحتين</w:t>
            </w:r>
            <w:r w:rsidRPr="00806A4F">
              <w:rPr>
                <w:rFonts w:eastAsiaTheme="minorEastAsia"/>
                <w:sz w:val="20"/>
                <w:rtl/>
                <w:lang w:val="en-CA" w:eastAsia="zh-CN" w:bidi="ar-SA"/>
              </w:rPr>
              <w:t xml:space="preserve"> الثانية والثالثة (2022 و2023) من المرحلة الثانية </w:t>
            </w:r>
            <w:r w:rsidR="001D7A0E" w:rsidRPr="001D7A0E">
              <w:rPr>
                <w:rFonts w:eastAsiaTheme="minorEastAsia"/>
                <w:sz w:val="20"/>
                <w:rtl/>
                <w:lang w:val="en-CA" w:eastAsia="zh-CN" w:bidi="ar-SA"/>
              </w:rPr>
              <w:t xml:space="preserve">من خطة إدارة إزالة المواد الهيدروكلوروفلوروكربونية </w:t>
            </w:r>
            <w:r w:rsidR="001C6A5A">
              <w:rPr>
                <w:rFonts w:eastAsiaTheme="minorEastAsia" w:hint="cs"/>
                <w:sz w:val="20"/>
                <w:rtl/>
                <w:lang w:val="en-CA" w:eastAsia="zh-CN" w:bidi="ar-SA"/>
              </w:rPr>
              <w:t>ل</w:t>
            </w:r>
            <w:r w:rsidRPr="00806A4F">
              <w:rPr>
                <w:rFonts w:eastAsiaTheme="minorEastAsia"/>
                <w:sz w:val="20"/>
                <w:rtl/>
                <w:lang w:val="en-CA" w:eastAsia="zh-CN" w:bidi="ar-SA"/>
              </w:rPr>
              <w:t>ليونيدو إلى الاجتماع التاسع والتسعين، مع خطة عمل منقحة تأخذ في الاعتبار إعادة تخصيص شرائح 2022 و2023 وما بعدها عند الضرورة، على أن يُفهم أن عتبة الصرف البالغة 20 في المائة لتمويل الشريحة السابقة قد تم تحقيقها.</w:t>
            </w:r>
            <w:r w:rsidR="00290914">
              <w:rPr>
                <w:rStyle w:val="FootnoteReference"/>
                <w:rFonts w:eastAsiaTheme="minorEastAsia"/>
                <w:sz w:val="20"/>
                <w:rtl/>
                <w:lang w:val="en-CA" w:eastAsia="zh-CN" w:bidi="ar-SA"/>
              </w:rPr>
              <w:footnoteReference w:id="8"/>
            </w:r>
            <w:r w:rsidR="001C6A5A">
              <w:rPr>
                <w:rFonts w:eastAsiaTheme="minorEastAsia" w:hint="cs"/>
                <w:sz w:val="20"/>
                <w:rtl/>
                <w:lang w:val="en-CA" w:eastAsia="zh-CN" w:bidi="ar-SA"/>
              </w:rPr>
              <w:t xml:space="preserve"> </w:t>
            </w:r>
          </w:p>
        </w:tc>
      </w:tr>
      <w:tr w:rsidR="00093133" w:rsidRPr="00806A4F" w14:paraId="50B965BE" w14:textId="77777777" w:rsidTr="00501366">
        <w:trPr>
          <w:trHeight w:val="1257"/>
        </w:trPr>
        <w:tc>
          <w:tcPr>
            <w:tcW w:w="2206" w:type="dxa"/>
            <w:vMerge/>
            <w:tcMar>
              <w:left w:w="72" w:type="dxa"/>
              <w:right w:w="72" w:type="dxa"/>
            </w:tcMar>
          </w:tcPr>
          <w:p w14:paraId="17ADDF73" w14:textId="77777777" w:rsidR="00302A19" w:rsidRPr="00806A4F" w:rsidRDefault="00302A19" w:rsidP="00302A19">
            <w:pPr>
              <w:bidi/>
              <w:jc w:val="left"/>
              <w:rPr>
                <w:rFonts w:eastAsiaTheme="minorEastAsia"/>
                <w:sz w:val="20"/>
                <w:lang w:val="en-CA" w:eastAsia="en-CA" w:bidi="ar-SA"/>
              </w:rPr>
            </w:pPr>
          </w:p>
        </w:tc>
        <w:tc>
          <w:tcPr>
            <w:tcW w:w="850" w:type="dxa"/>
            <w:tcBorders>
              <w:top w:val="single" w:sz="4" w:space="0" w:color="auto"/>
              <w:left w:val="nil"/>
              <w:bottom w:val="single" w:sz="4" w:space="0" w:color="auto"/>
              <w:right w:val="nil"/>
            </w:tcBorders>
            <w:tcMar>
              <w:left w:w="72" w:type="dxa"/>
              <w:right w:w="72" w:type="dxa"/>
            </w:tcMar>
          </w:tcPr>
          <w:p w14:paraId="0461F1CF" w14:textId="03577AED"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zh-CN" w:bidi="ar-SA"/>
              </w:rPr>
              <w:t>اليونيدو</w:t>
            </w:r>
          </w:p>
        </w:tc>
        <w:tc>
          <w:tcPr>
            <w:tcW w:w="1032" w:type="dxa"/>
            <w:tcBorders>
              <w:top w:val="single" w:sz="4" w:space="0" w:color="auto"/>
              <w:bottom w:val="single" w:sz="4" w:space="0" w:color="auto"/>
            </w:tcBorders>
            <w:tcMar>
              <w:left w:w="72" w:type="dxa"/>
              <w:right w:w="72" w:type="dxa"/>
            </w:tcMar>
          </w:tcPr>
          <w:p w14:paraId="3C863A10"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2022 and 2023</w:t>
            </w:r>
          </w:p>
        </w:tc>
        <w:tc>
          <w:tcPr>
            <w:tcW w:w="2070" w:type="dxa"/>
            <w:tcMar>
              <w:left w:w="72" w:type="dxa"/>
              <w:right w:w="72" w:type="dxa"/>
            </w:tcMar>
          </w:tcPr>
          <w:p w14:paraId="046E4392"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722,250</w:t>
            </w:r>
          </w:p>
        </w:tc>
        <w:tc>
          <w:tcPr>
            <w:tcW w:w="2340" w:type="dxa"/>
            <w:tcMar>
              <w:left w:w="72" w:type="dxa"/>
              <w:right w:w="72" w:type="dxa"/>
            </w:tcMar>
          </w:tcPr>
          <w:p w14:paraId="1522DDA8" w14:textId="677ECC1F" w:rsidR="00302A19" w:rsidRPr="00806A4F" w:rsidRDefault="00752EF0" w:rsidP="00302A19">
            <w:pPr>
              <w:bidi/>
              <w:jc w:val="left"/>
              <w:rPr>
                <w:rFonts w:eastAsiaTheme="minorEastAsia"/>
                <w:sz w:val="20"/>
                <w:lang w:val="en-CA" w:eastAsia="zh-CN" w:bidi="ar-SA"/>
              </w:rPr>
            </w:pPr>
            <w:r w:rsidRPr="00806A4F">
              <w:rPr>
                <w:rFonts w:eastAsiaTheme="minorEastAsia"/>
                <w:sz w:val="20"/>
                <w:rtl/>
                <w:lang w:val="en-CA" w:eastAsia="zh-CN" w:bidi="ar-SA"/>
              </w:rPr>
              <w:t>تأخيرات لدى المؤسسات</w:t>
            </w:r>
          </w:p>
        </w:tc>
        <w:tc>
          <w:tcPr>
            <w:tcW w:w="5748" w:type="dxa"/>
            <w:vMerge/>
          </w:tcPr>
          <w:p w14:paraId="759E308C" w14:textId="77777777" w:rsidR="00302A19" w:rsidRPr="00806A4F" w:rsidRDefault="00302A19" w:rsidP="00302A19">
            <w:pPr>
              <w:bidi/>
              <w:spacing w:line="252" w:lineRule="auto"/>
              <w:jc w:val="left"/>
              <w:rPr>
                <w:rFonts w:eastAsiaTheme="minorEastAsia"/>
                <w:sz w:val="20"/>
                <w:lang w:val="en-CA" w:eastAsia="zh-CN" w:bidi="ar-SA"/>
              </w:rPr>
            </w:pPr>
          </w:p>
        </w:tc>
      </w:tr>
      <w:tr w:rsidR="00093133" w:rsidRPr="00806A4F" w14:paraId="1C9563BB" w14:textId="77777777" w:rsidTr="00501366">
        <w:trPr>
          <w:trHeight w:val="683"/>
        </w:trPr>
        <w:tc>
          <w:tcPr>
            <w:tcW w:w="2206" w:type="dxa"/>
            <w:tcMar>
              <w:left w:w="72" w:type="dxa"/>
              <w:right w:w="72" w:type="dxa"/>
            </w:tcMar>
          </w:tcPr>
          <w:p w14:paraId="36DD0E33" w14:textId="2B2A02D4" w:rsidR="00302A19" w:rsidRPr="00806A4F" w:rsidRDefault="00396F16" w:rsidP="00302A19">
            <w:pPr>
              <w:bidi/>
              <w:jc w:val="left"/>
              <w:rPr>
                <w:rFonts w:eastAsiaTheme="minorEastAsia"/>
                <w:sz w:val="20"/>
                <w:lang w:val="en-CA" w:eastAsia="en-CA" w:bidi="ar-SA"/>
              </w:rPr>
            </w:pPr>
            <w:r w:rsidRPr="00806A4F">
              <w:rPr>
                <w:rFonts w:eastAsiaTheme="minorEastAsia"/>
                <w:sz w:val="20"/>
                <w:rtl/>
                <w:lang w:val="en-CA" w:eastAsia="en-CA" w:bidi="ar-SA"/>
              </w:rPr>
              <w:t>كينيا (المرحلة الثانية من خطة إدارة إزالة المواد الهيدروكلوروفلوروكربونية)</w:t>
            </w:r>
          </w:p>
        </w:tc>
        <w:tc>
          <w:tcPr>
            <w:tcW w:w="850" w:type="dxa"/>
            <w:tcBorders>
              <w:top w:val="single" w:sz="4" w:space="0" w:color="auto"/>
            </w:tcBorders>
            <w:tcMar>
              <w:left w:w="72" w:type="dxa"/>
              <w:right w:w="72" w:type="dxa"/>
            </w:tcMar>
          </w:tcPr>
          <w:p w14:paraId="597694AA" w14:textId="4772930E"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فرنسا</w:t>
            </w:r>
          </w:p>
        </w:tc>
        <w:tc>
          <w:tcPr>
            <w:tcW w:w="1032" w:type="dxa"/>
            <w:tcBorders>
              <w:top w:val="single" w:sz="4" w:space="0" w:color="auto"/>
            </w:tcBorders>
            <w:tcMar>
              <w:left w:w="72" w:type="dxa"/>
              <w:right w:w="72" w:type="dxa"/>
            </w:tcMar>
          </w:tcPr>
          <w:p w14:paraId="35322B4E" w14:textId="77777777" w:rsidR="00302A19" w:rsidRPr="00806A4F" w:rsidRDefault="00302A19" w:rsidP="00302A19">
            <w:pPr>
              <w:bidi/>
              <w:jc w:val="center"/>
              <w:rPr>
                <w:rFonts w:eastAsiaTheme="minorEastAsia"/>
                <w:sz w:val="20"/>
                <w:lang w:val="en-CA" w:eastAsia="en-CA" w:bidi="ar-SA"/>
              </w:rPr>
            </w:pPr>
            <w:r w:rsidRPr="00806A4F">
              <w:rPr>
                <w:rFonts w:eastAsiaTheme="minorEastAsia"/>
                <w:sz w:val="20"/>
                <w:lang w:val="en-CA" w:eastAsia="en-CA" w:bidi="ar-SA"/>
              </w:rPr>
              <w:t>2023</w:t>
            </w:r>
          </w:p>
        </w:tc>
        <w:tc>
          <w:tcPr>
            <w:tcW w:w="2070" w:type="dxa"/>
            <w:tcMar>
              <w:left w:w="72" w:type="dxa"/>
              <w:right w:w="72" w:type="dxa"/>
            </w:tcMar>
          </w:tcPr>
          <w:p w14:paraId="60B4183D"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671,075</w:t>
            </w:r>
          </w:p>
        </w:tc>
        <w:tc>
          <w:tcPr>
            <w:tcW w:w="2340" w:type="dxa"/>
            <w:tcMar>
              <w:left w:w="72" w:type="dxa"/>
              <w:right w:w="72" w:type="dxa"/>
            </w:tcMar>
          </w:tcPr>
          <w:p w14:paraId="7812D23E" w14:textId="306AC335" w:rsidR="00302A19" w:rsidRPr="00806A4F" w:rsidRDefault="004F7AD4" w:rsidP="004F7AD4">
            <w:pPr>
              <w:bidi/>
              <w:jc w:val="left"/>
              <w:rPr>
                <w:rFonts w:eastAsiaTheme="minorEastAsia"/>
                <w:sz w:val="20"/>
                <w:lang w:val="en-CA" w:eastAsia="zh-CN" w:bidi="ar-SA"/>
              </w:rPr>
            </w:pPr>
            <w:r w:rsidRPr="004F7AD4">
              <w:rPr>
                <w:rFonts w:eastAsiaTheme="minorEastAsia"/>
                <w:sz w:val="20"/>
                <w:rtl/>
                <w:lang w:val="en-CA" w:eastAsia="zh-CN" w:bidi="ar-SA"/>
              </w:rPr>
              <w:t xml:space="preserve">قرارات حكومية </w:t>
            </w:r>
            <w:r w:rsidR="00F31608" w:rsidRPr="00806A4F">
              <w:rPr>
                <w:rFonts w:eastAsiaTheme="minorEastAsia"/>
                <w:sz w:val="20"/>
                <w:rtl/>
                <w:lang w:val="en-CA" w:eastAsia="zh-CN" w:bidi="ar-SA"/>
              </w:rPr>
              <w:t>/</w:t>
            </w:r>
            <w:r w:rsidR="000839C2" w:rsidRPr="000839C2">
              <w:rPr>
                <w:rFonts w:eastAsiaTheme="minorEastAsia"/>
                <w:sz w:val="20"/>
                <w:rtl/>
                <w:lang w:val="en-CA" w:eastAsia="zh-CN" w:bidi="ar-SA"/>
              </w:rPr>
              <w:t xml:space="preserve"> موافقات </w:t>
            </w:r>
            <w:r w:rsidR="000839C2" w:rsidRPr="000839C2">
              <w:rPr>
                <w:rFonts w:eastAsiaTheme="minorEastAsia" w:hint="cs"/>
                <w:sz w:val="20"/>
                <w:rtl/>
                <w:lang w:val="en-CA" w:eastAsia="zh-CN" w:bidi="ar-SA"/>
              </w:rPr>
              <w:t>حكومية</w:t>
            </w:r>
            <w:r w:rsidR="00F31608" w:rsidRPr="00806A4F">
              <w:rPr>
                <w:rFonts w:eastAsiaTheme="minorEastAsia"/>
                <w:sz w:val="20"/>
                <w:rtl/>
                <w:lang w:val="en-CA" w:eastAsia="zh-CN" w:bidi="ar-SA"/>
              </w:rPr>
              <w:t>/تغييرات في وحدة الأوزون الوطنية</w:t>
            </w:r>
          </w:p>
        </w:tc>
        <w:tc>
          <w:tcPr>
            <w:tcW w:w="5748" w:type="dxa"/>
          </w:tcPr>
          <w:p w14:paraId="05189EEB" w14:textId="7EA8D73F" w:rsidR="00302A19" w:rsidRPr="00806A4F" w:rsidRDefault="003F7BD5" w:rsidP="00302A19">
            <w:pPr>
              <w:bidi/>
              <w:spacing w:line="252" w:lineRule="auto"/>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التغييرات في الإطار التنظيمي الوطني، وحثّ حكومة كينيا على العمل مع حكومة فرنسا حتى يتسنى تقديم الشريحة الثالثة (2023) من المرحلة الثانية من خطة إدارة إزالة المواد الهيدروكلوروفلوروكربونية إلى الاجتماع التاسع والتسعين، مع خطة عمل منقحة تأخذ في الاعتبار إعادة تخصيص شريحة 2023 وما يليها من شرائح عند الضرورة.</w:t>
            </w:r>
          </w:p>
        </w:tc>
      </w:tr>
      <w:tr w:rsidR="00093133" w:rsidRPr="00806A4F" w14:paraId="1E99BDBC" w14:textId="77777777" w:rsidTr="00501366">
        <w:trPr>
          <w:trHeight w:val="683"/>
        </w:trPr>
        <w:tc>
          <w:tcPr>
            <w:tcW w:w="2206" w:type="dxa"/>
            <w:vMerge w:val="restart"/>
            <w:tcMar>
              <w:left w:w="72" w:type="dxa"/>
              <w:right w:w="72" w:type="dxa"/>
            </w:tcMar>
          </w:tcPr>
          <w:p w14:paraId="1FF878B4" w14:textId="28CFC0DE" w:rsidR="00302A19" w:rsidRPr="00806A4F" w:rsidRDefault="00396F16" w:rsidP="00302A19">
            <w:pPr>
              <w:keepNext/>
              <w:bidi/>
              <w:jc w:val="left"/>
              <w:rPr>
                <w:rFonts w:eastAsiaTheme="minorEastAsia"/>
                <w:sz w:val="20"/>
                <w:lang w:val="en-CA" w:eastAsia="en-CA" w:bidi="ar-SA"/>
              </w:rPr>
            </w:pPr>
            <w:r w:rsidRPr="00806A4F">
              <w:rPr>
                <w:rFonts w:eastAsiaTheme="minorEastAsia"/>
                <w:sz w:val="20"/>
                <w:rtl/>
                <w:lang w:val="en-CA" w:eastAsia="en-CA" w:bidi="ar-SA"/>
              </w:rPr>
              <w:lastRenderedPageBreak/>
              <w:t>الكويت (المرحلة الثانية من خطة إدارة إزالة المواد الهيدروكلوروفلوروكربونية)</w:t>
            </w:r>
          </w:p>
        </w:tc>
        <w:tc>
          <w:tcPr>
            <w:tcW w:w="850" w:type="dxa"/>
            <w:tcMar>
              <w:left w:w="72" w:type="dxa"/>
              <w:right w:w="72" w:type="dxa"/>
            </w:tcMar>
          </w:tcPr>
          <w:p w14:paraId="1A3B4AF0" w14:textId="26062AB2"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6FB69FD8"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4C1F0652"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299,298</w:t>
            </w:r>
          </w:p>
        </w:tc>
        <w:tc>
          <w:tcPr>
            <w:tcW w:w="2340" w:type="dxa"/>
            <w:tcMar>
              <w:left w:w="72" w:type="dxa"/>
              <w:right w:w="72" w:type="dxa"/>
            </w:tcMar>
          </w:tcPr>
          <w:p w14:paraId="5D426482" w14:textId="4B2EC376" w:rsidR="00302A19" w:rsidRPr="00806A4F" w:rsidRDefault="001667F5" w:rsidP="00302A19">
            <w:pPr>
              <w:keepNext/>
              <w:bidi/>
              <w:jc w:val="left"/>
              <w:rPr>
                <w:rFonts w:eastAsiaTheme="minorEastAsia"/>
                <w:sz w:val="20"/>
                <w:lang w:val="en-CA" w:eastAsia="zh-CN" w:bidi="ar-SA"/>
              </w:rPr>
            </w:pPr>
            <w:r w:rsidRPr="00806A4F">
              <w:rPr>
                <w:rFonts w:eastAsiaTheme="minorEastAsia"/>
                <w:sz w:val="20"/>
                <w:rtl/>
                <w:lang w:val="en-CA" w:eastAsia="zh-CN" w:bidi="ar-SA"/>
              </w:rPr>
              <w:t>قرارات حكومية / موافقات</w:t>
            </w:r>
            <w:r w:rsidR="000839C2">
              <w:rPr>
                <w:rFonts w:eastAsiaTheme="minorEastAsia" w:hint="cs"/>
                <w:sz w:val="20"/>
                <w:rtl/>
                <w:lang w:val="en-CA" w:eastAsia="zh-CN" w:bidi="ar-SA"/>
              </w:rPr>
              <w:t xml:space="preserve"> حكومية</w:t>
            </w:r>
            <w:r w:rsidRPr="00806A4F">
              <w:rPr>
                <w:rFonts w:eastAsiaTheme="minorEastAsia"/>
                <w:sz w:val="20"/>
                <w:rtl/>
                <w:lang w:val="en-CA" w:eastAsia="zh-CN" w:bidi="ar-SA"/>
              </w:rPr>
              <w:t xml:space="preserve"> / تغييرات في وحدة الأوزون الوطنية / تقديم التقارير المرحلية والتقارير المالية / عتبة صرف 20 في المائة</w:t>
            </w:r>
          </w:p>
        </w:tc>
        <w:tc>
          <w:tcPr>
            <w:tcW w:w="5748" w:type="dxa"/>
            <w:vMerge w:val="restart"/>
          </w:tcPr>
          <w:p w14:paraId="5716BE92" w14:textId="4438AD22" w:rsidR="00302A19" w:rsidRPr="00806A4F" w:rsidRDefault="005F4F8E" w:rsidP="00302A19">
            <w:pPr>
              <w:keepNext/>
              <w:bidi/>
              <w:spacing w:line="252" w:lineRule="auto"/>
              <w:jc w:val="left"/>
              <w:rPr>
                <w:rFonts w:eastAsiaTheme="minorEastAsia"/>
                <w:sz w:val="20"/>
                <w:lang w:val="en-CA" w:eastAsia="zh-CN" w:bidi="ar-SA"/>
              </w:rPr>
            </w:pPr>
            <w:r w:rsidRPr="00806A4F">
              <w:rPr>
                <w:rFonts w:eastAsiaTheme="minorEastAsia"/>
                <w:sz w:val="20"/>
                <w:rtl/>
                <w:lang w:val="en-CA" w:eastAsia="zh-CN" w:bidi="ar-SA"/>
              </w:rPr>
              <w:t>مع الأخذ في الاعتبار أن معدل الصرف الإجمالي للشريحة الثانية (2023) من المرحلة الثانية من خطة إدارة إزالة المواد الهيدروكلوروفلوروكربونية كان دون عتبة الصرف البالغة 20 في المائة، وعدم تقديم تقارير التقدم والتقارير المالية، وحثّ حكومة الكويت على العمل مع اليونيب لتقديم تقارير التقدم والتقارير المالية المطلوبة، ومع اليونيب واليونيدو حتى يتسنى تقديم الشريحة الثالثة (2025) من المرحلة الثانية من خطة إدارة إزالة المواد الهيدروكلوروفلوروكربونية إلى الاجتماع التاسع والتسعين، مع خطة عمل منقحة تأخذ في الاعتبار إعادة تخصيص شريحة 2025 عند الضرورة، على أن يُفهم أن عتبة الصرف البالغة 20 في المائة لتمويل الشريحة السابقة قد تم تحقيقها.</w:t>
            </w:r>
            <w:r w:rsidR="009863FA">
              <w:rPr>
                <w:rStyle w:val="FootnoteReference"/>
                <w:rFonts w:eastAsiaTheme="minorEastAsia"/>
                <w:sz w:val="20"/>
                <w:rtl/>
                <w:lang w:val="en-CA" w:eastAsia="zh-CN" w:bidi="ar-SA"/>
              </w:rPr>
              <w:footnoteReference w:id="9"/>
            </w:r>
          </w:p>
        </w:tc>
      </w:tr>
      <w:tr w:rsidR="00093133" w:rsidRPr="00806A4F" w14:paraId="7800102A" w14:textId="77777777" w:rsidTr="00501366">
        <w:trPr>
          <w:trHeight w:val="683"/>
        </w:trPr>
        <w:tc>
          <w:tcPr>
            <w:tcW w:w="2206" w:type="dxa"/>
            <w:vMerge/>
            <w:tcMar>
              <w:left w:w="72" w:type="dxa"/>
              <w:right w:w="72" w:type="dxa"/>
            </w:tcMar>
          </w:tcPr>
          <w:p w14:paraId="0B108ED8" w14:textId="77777777" w:rsidR="00302A19" w:rsidRPr="00806A4F" w:rsidRDefault="00302A19" w:rsidP="00302A19">
            <w:pPr>
              <w:keepNext/>
              <w:bidi/>
              <w:jc w:val="left"/>
              <w:rPr>
                <w:rFonts w:eastAsiaTheme="minorEastAsia"/>
                <w:sz w:val="20"/>
                <w:lang w:val="en-CA" w:eastAsia="en-CA" w:bidi="ar-SA"/>
              </w:rPr>
            </w:pPr>
          </w:p>
        </w:tc>
        <w:tc>
          <w:tcPr>
            <w:tcW w:w="850" w:type="dxa"/>
            <w:tcMar>
              <w:left w:w="72" w:type="dxa"/>
              <w:right w:w="72" w:type="dxa"/>
            </w:tcMar>
          </w:tcPr>
          <w:p w14:paraId="1544BB21" w14:textId="6709F96A"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08CB9F7B"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06B1F7E5"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64,200</w:t>
            </w:r>
          </w:p>
        </w:tc>
        <w:tc>
          <w:tcPr>
            <w:tcW w:w="2340" w:type="dxa"/>
            <w:tcMar>
              <w:left w:w="72" w:type="dxa"/>
              <w:right w:w="72" w:type="dxa"/>
            </w:tcMar>
          </w:tcPr>
          <w:p w14:paraId="747FC73B" w14:textId="187E6B1B" w:rsidR="00302A19" w:rsidRPr="00806A4F" w:rsidRDefault="001667F5" w:rsidP="00302A19">
            <w:pPr>
              <w:keepNext/>
              <w:bidi/>
              <w:jc w:val="left"/>
              <w:rPr>
                <w:rFonts w:eastAsiaTheme="minorEastAsia"/>
                <w:sz w:val="20"/>
                <w:lang w:val="en-CA" w:eastAsia="zh-CN" w:bidi="ar-SA"/>
              </w:rPr>
            </w:pPr>
            <w:r w:rsidRPr="00806A4F">
              <w:rPr>
                <w:rFonts w:eastAsiaTheme="minorEastAsia"/>
                <w:sz w:val="20"/>
                <w:rtl/>
                <w:lang w:val="en-CA" w:eastAsia="zh-CN" w:bidi="ar-SA"/>
              </w:rPr>
              <w:t>الوكالة الرائدة أو الوكالة المتعاونة غير جاهزة</w:t>
            </w:r>
          </w:p>
        </w:tc>
        <w:tc>
          <w:tcPr>
            <w:tcW w:w="5748" w:type="dxa"/>
            <w:vMerge/>
          </w:tcPr>
          <w:p w14:paraId="650B27BB" w14:textId="77777777" w:rsidR="00302A19" w:rsidRPr="00806A4F" w:rsidRDefault="00302A19" w:rsidP="00302A19">
            <w:pPr>
              <w:keepNext/>
              <w:bidi/>
              <w:spacing w:line="252" w:lineRule="auto"/>
              <w:jc w:val="left"/>
              <w:rPr>
                <w:rFonts w:eastAsiaTheme="minorEastAsia"/>
                <w:sz w:val="20"/>
                <w:lang w:val="en-CA" w:eastAsia="zh-CN" w:bidi="ar-SA"/>
              </w:rPr>
            </w:pPr>
          </w:p>
        </w:tc>
      </w:tr>
      <w:tr w:rsidR="00093133" w:rsidRPr="00806A4F" w14:paraId="0F9F9AC3" w14:textId="77777777" w:rsidTr="00501366">
        <w:tc>
          <w:tcPr>
            <w:tcW w:w="2206" w:type="dxa"/>
            <w:tcMar>
              <w:left w:w="72" w:type="dxa"/>
              <w:right w:w="72" w:type="dxa"/>
            </w:tcMar>
          </w:tcPr>
          <w:p w14:paraId="0158F89E" w14:textId="10896031" w:rsidR="00302A19" w:rsidRPr="00806A4F" w:rsidRDefault="00396F16" w:rsidP="00981231">
            <w:pPr>
              <w:bidi/>
              <w:jc w:val="left"/>
              <w:rPr>
                <w:rFonts w:eastAsiaTheme="minorEastAsia"/>
                <w:sz w:val="20"/>
                <w:lang w:val="en-CA" w:eastAsia="en-CA" w:bidi="ar-SA"/>
              </w:rPr>
            </w:pPr>
            <w:r w:rsidRPr="00806A4F">
              <w:rPr>
                <w:rFonts w:eastAsiaTheme="minorEastAsia"/>
                <w:sz w:val="20"/>
                <w:rtl/>
                <w:lang w:val="en-CA" w:eastAsia="en-CA" w:bidi="ar-SA"/>
              </w:rPr>
              <w:t xml:space="preserve">ماليزيا (المرحلة الأولى من </w:t>
            </w:r>
            <w:r w:rsidR="00981231" w:rsidRPr="00981231">
              <w:rPr>
                <w:rFonts w:eastAsiaTheme="minorEastAsia"/>
                <w:sz w:val="20"/>
                <w:rtl/>
                <w:lang w:val="en-CA" w:eastAsia="en-CA" w:bidi="ar-SA"/>
              </w:rPr>
              <w:t>خطة تنفيذ تعديل كيغالي للمواد الهيدروفلوروكربونية</w:t>
            </w:r>
            <w:r w:rsidRPr="00806A4F">
              <w:rPr>
                <w:rFonts w:eastAsiaTheme="minorEastAsia"/>
                <w:sz w:val="20"/>
                <w:rtl/>
                <w:lang w:val="en-CA" w:eastAsia="en-CA" w:bidi="ar-SA"/>
              </w:rPr>
              <w:t>)</w:t>
            </w:r>
          </w:p>
        </w:tc>
        <w:tc>
          <w:tcPr>
            <w:tcW w:w="850" w:type="dxa"/>
            <w:tcMar>
              <w:left w:w="72" w:type="dxa"/>
              <w:right w:w="72" w:type="dxa"/>
            </w:tcMar>
          </w:tcPr>
          <w:p w14:paraId="4D466FCF" w14:textId="39FF0341"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البنك الدولي</w:t>
            </w:r>
          </w:p>
        </w:tc>
        <w:tc>
          <w:tcPr>
            <w:tcW w:w="1032" w:type="dxa"/>
            <w:tcMar>
              <w:left w:w="72" w:type="dxa"/>
              <w:right w:w="72" w:type="dxa"/>
            </w:tcMar>
          </w:tcPr>
          <w:p w14:paraId="223C2AB3"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793ED370"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3,473,530</w:t>
            </w:r>
          </w:p>
        </w:tc>
        <w:tc>
          <w:tcPr>
            <w:tcW w:w="2340" w:type="dxa"/>
            <w:tcMar>
              <w:left w:w="72" w:type="dxa"/>
              <w:right w:w="72" w:type="dxa"/>
            </w:tcMar>
          </w:tcPr>
          <w:p w14:paraId="7A427BA6" w14:textId="2C88CB99" w:rsidR="00302A19" w:rsidRPr="00806A4F" w:rsidRDefault="001667F5"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عتبة </w:t>
            </w:r>
            <w:r w:rsidR="00166471" w:rsidRPr="00806A4F">
              <w:rPr>
                <w:rFonts w:eastAsiaTheme="minorEastAsia"/>
                <w:sz w:val="20"/>
                <w:rtl/>
                <w:lang w:val="en-CA" w:eastAsia="zh-CN" w:bidi="ar-SA"/>
              </w:rPr>
              <w:t>ال</w:t>
            </w:r>
            <w:r w:rsidRPr="00806A4F">
              <w:rPr>
                <w:rFonts w:eastAsiaTheme="minorEastAsia"/>
                <w:sz w:val="20"/>
                <w:rtl/>
                <w:lang w:val="en-CA" w:eastAsia="zh-CN" w:bidi="ar-SA"/>
              </w:rPr>
              <w:t>صرف 20 في المائة</w:t>
            </w:r>
          </w:p>
        </w:tc>
        <w:tc>
          <w:tcPr>
            <w:tcW w:w="5748" w:type="dxa"/>
          </w:tcPr>
          <w:p w14:paraId="70E4ABCC" w14:textId="73A4981E" w:rsidR="00302A19" w:rsidRPr="00806A4F" w:rsidRDefault="005F4F8E" w:rsidP="00981231">
            <w:pPr>
              <w:bidi/>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أن معدل الصرف الإجمالي للشريحة الأولى (2023) من المرحلة الأولى من </w:t>
            </w:r>
            <w:r w:rsidR="00981231" w:rsidRPr="00981231">
              <w:rPr>
                <w:rFonts w:eastAsiaTheme="minorEastAsia"/>
                <w:sz w:val="20"/>
                <w:rtl/>
                <w:lang w:val="en-CA" w:eastAsia="zh-CN" w:bidi="ar-SA"/>
              </w:rPr>
              <w:t xml:space="preserve">خطة تنفيذ تعديل كيغالي للمواد الهيدروفلوروكربونية </w:t>
            </w:r>
            <w:r w:rsidRPr="00981231">
              <w:rPr>
                <w:rFonts w:eastAsiaTheme="minorEastAsia"/>
                <w:sz w:val="20"/>
                <w:rtl/>
                <w:lang w:val="en-CA" w:eastAsia="zh-CN" w:bidi="ar-SA"/>
              </w:rPr>
              <w:t xml:space="preserve">كان دون عتبة الصرف البالغة 20 في المائة، وحثّ حكومة ماليزيا على العمل مع البنك الدولي حتى يتسنى تقديم الشريحة الثانية (2025) من المرحلة الأولى من </w:t>
            </w:r>
            <w:r w:rsidR="00981231" w:rsidRPr="00981231">
              <w:rPr>
                <w:rFonts w:eastAsiaTheme="minorEastAsia"/>
                <w:sz w:val="20"/>
                <w:rtl/>
                <w:lang w:val="en-CA" w:eastAsia="zh-CN" w:bidi="ar-SA"/>
              </w:rPr>
              <w:t xml:space="preserve">خطة تنفيذ تعديل كيغالي للمواد الهيدروفلوروكربونية </w:t>
            </w:r>
            <w:r w:rsidRPr="00981231">
              <w:rPr>
                <w:rFonts w:eastAsiaTheme="minorEastAsia"/>
                <w:sz w:val="20"/>
                <w:rtl/>
                <w:lang w:val="en-CA" w:eastAsia="zh-CN" w:bidi="ar-SA"/>
              </w:rPr>
              <w:t>إلى الاجتماع التاسع والتسعين، مع خطة عمل منقحة</w:t>
            </w:r>
            <w:r w:rsidRPr="00806A4F">
              <w:rPr>
                <w:rFonts w:eastAsiaTheme="minorEastAsia"/>
                <w:sz w:val="20"/>
                <w:rtl/>
                <w:lang w:val="en-CA" w:eastAsia="zh-CN" w:bidi="ar-SA"/>
              </w:rPr>
              <w:t xml:space="preserve"> تأخذ في الاعتبار إعادة تخصيص شريحة 2025 وما يليها من شرائح عند الضرورة، على أن يُفهم أن عتبة الصرف البالغة 20 في المائة لتمويل الشريحة السابقة قد تم تحقيقها.</w:t>
            </w:r>
          </w:p>
        </w:tc>
      </w:tr>
      <w:tr w:rsidR="00093133" w:rsidRPr="00806A4F" w14:paraId="55967640" w14:textId="77777777" w:rsidTr="00501366">
        <w:trPr>
          <w:trHeight w:val="1655"/>
        </w:trPr>
        <w:tc>
          <w:tcPr>
            <w:tcW w:w="2206" w:type="dxa"/>
            <w:tcMar>
              <w:left w:w="72" w:type="dxa"/>
              <w:right w:w="72" w:type="dxa"/>
            </w:tcMar>
          </w:tcPr>
          <w:p w14:paraId="320A1357" w14:textId="7C4E3305" w:rsidR="00302A19" w:rsidRPr="00806A4F" w:rsidRDefault="00396F16" w:rsidP="00302A19">
            <w:pPr>
              <w:bidi/>
              <w:jc w:val="left"/>
              <w:rPr>
                <w:rFonts w:eastAsiaTheme="minorEastAsia"/>
                <w:sz w:val="20"/>
                <w:lang w:val="en-CA" w:eastAsia="en-CA" w:bidi="ar-SA"/>
              </w:rPr>
            </w:pPr>
            <w:r w:rsidRPr="00806A4F">
              <w:rPr>
                <w:rFonts w:eastAsiaTheme="minorEastAsia"/>
                <w:sz w:val="20"/>
                <w:rtl/>
                <w:lang w:val="en-CA" w:eastAsia="zh-CN" w:bidi="ar-SA"/>
              </w:rPr>
              <w:t>موريشيوس (خطة إدارة إزالة المواد الهيدروكلوروفلوروكربونية)</w:t>
            </w:r>
          </w:p>
        </w:tc>
        <w:tc>
          <w:tcPr>
            <w:tcW w:w="850" w:type="dxa"/>
            <w:tcMar>
              <w:left w:w="72" w:type="dxa"/>
              <w:right w:w="72" w:type="dxa"/>
            </w:tcMar>
          </w:tcPr>
          <w:p w14:paraId="4794B910" w14:textId="5D158EBD"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ألمانيا</w:t>
            </w:r>
          </w:p>
        </w:tc>
        <w:tc>
          <w:tcPr>
            <w:tcW w:w="1032" w:type="dxa"/>
            <w:tcMar>
              <w:left w:w="72" w:type="dxa"/>
              <w:right w:w="72" w:type="dxa"/>
            </w:tcMar>
          </w:tcPr>
          <w:p w14:paraId="2F8C6717"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2023</w:t>
            </w:r>
          </w:p>
        </w:tc>
        <w:tc>
          <w:tcPr>
            <w:tcW w:w="2070" w:type="dxa"/>
            <w:tcMar>
              <w:left w:w="72" w:type="dxa"/>
              <w:right w:w="72" w:type="dxa"/>
            </w:tcMar>
          </w:tcPr>
          <w:p w14:paraId="385BB3C0"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75,343</w:t>
            </w:r>
          </w:p>
        </w:tc>
        <w:tc>
          <w:tcPr>
            <w:tcW w:w="2340" w:type="dxa"/>
            <w:tcMar>
              <w:left w:w="72" w:type="dxa"/>
              <w:right w:w="72" w:type="dxa"/>
            </w:tcMar>
          </w:tcPr>
          <w:p w14:paraId="310B90C9" w14:textId="00056013" w:rsidR="00302A19" w:rsidRPr="00806A4F" w:rsidRDefault="001667F5"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 / عتبة صرف 20 في المائة</w:t>
            </w:r>
          </w:p>
        </w:tc>
        <w:tc>
          <w:tcPr>
            <w:tcW w:w="5748" w:type="dxa"/>
          </w:tcPr>
          <w:p w14:paraId="23BE462A" w14:textId="614F0ED2" w:rsidR="00302A19" w:rsidRPr="00806A4F" w:rsidRDefault="00F01F89"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أن معدل الصرف الإجمالي للشريحة الرابعة (2020) من خطة إدارة إزالة المواد الهيدروكلوروفلوروكربونية كان دون عتبة الصرف البالغة 20 في المائة، وحثّ حكومة موريشيوس على العمل مع حكومة ألمانيا حتى يتسنى تقديم الشريحة الخامسة (2023) من خطة إدارة إزالة المواد الهيدروكلوروفلوروكربونية إلى الاجتماع التاسع والتسعين، مع خطة عمل منقحة تأخذ في الاعتبار إعادة تخصيص شريحة 2023 وما يليها من شرائح عند الضرورة، على أن يُفهم أن عتبة الصرف البالغة 20 في المائة لتمويل الشريحة السابقة قد تم تحقيقها.</w:t>
            </w:r>
          </w:p>
        </w:tc>
      </w:tr>
      <w:tr w:rsidR="00093133" w:rsidRPr="00806A4F" w14:paraId="54D5C6FB" w14:textId="77777777" w:rsidTr="00501366">
        <w:trPr>
          <w:trHeight w:val="437"/>
        </w:trPr>
        <w:tc>
          <w:tcPr>
            <w:tcW w:w="2206" w:type="dxa"/>
            <w:vMerge w:val="restart"/>
            <w:tcMar>
              <w:left w:w="72" w:type="dxa"/>
              <w:right w:w="72" w:type="dxa"/>
            </w:tcMar>
          </w:tcPr>
          <w:p w14:paraId="1869409A" w14:textId="7314D701" w:rsidR="00302A19" w:rsidRPr="00981231" w:rsidRDefault="00396F16" w:rsidP="00302A19">
            <w:pPr>
              <w:bidi/>
              <w:jc w:val="left"/>
              <w:rPr>
                <w:rFonts w:eastAsiaTheme="minorEastAsia"/>
                <w:sz w:val="20"/>
                <w:lang w:val="en-CA" w:eastAsia="zh-CN" w:bidi="ar-SA"/>
              </w:rPr>
            </w:pPr>
            <w:r w:rsidRPr="00981231">
              <w:rPr>
                <w:rFonts w:eastAsiaTheme="minorEastAsia"/>
                <w:sz w:val="20"/>
                <w:rtl/>
                <w:lang w:val="en-CA" w:eastAsia="zh-CN" w:bidi="ar-SA"/>
              </w:rPr>
              <w:t>موزامبيق (المرحلة الثانية من خطة إدارة إزالة المواد الهيدروكلوروفلوروكربونية)</w:t>
            </w:r>
          </w:p>
        </w:tc>
        <w:tc>
          <w:tcPr>
            <w:tcW w:w="850" w:type="dxa"/>
            <w:tcMar>
              <w:left w:w="72" w:type="dxa"/>
              <w:right w:w="72" w:type="dxa"/>
            </w:tcMar>
          </w:tcPr>
          <w:p w14:paraId="18E00507" w14:textId="7D09274C"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652D900B"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1FFBE02C"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110,363</w:t>
            </w:r>
          </w:p>
        </w:tc>
        <w:tc>
          <w:tcPr>
            <w:tcW w:w="2340" w:type="dxa"/>
            <w:tcMar>
              <w:left w:w="72" w:type="dxa"/>
              <w:right w:w="72" w:type="dxa"/>
            </w:tcMar>
          </w:tcPr>
          <w:p w14:paraId="1CD3BA39" w14:textId="7EBA3EA7" w:rsidR="00302A19" w:rsidRPr="00806A4F" w:rsidRDefault="001667F5" w:rsidP="00302A19">
            <w:pPr>
              <w:bidi/>
              <w:jc w:val="left"/>
              <w:rPr>
                <w:rFonts w:eastAsiaTheme="minorEastAsia"/>
                <w:sz w:val="20"/>
                <w:lang w:val="en-CA" w:eastAsia="zh-CN" w:bidi="ar-SA"/>
              </w:rPr>
            </w:pPr>
            <w:r w:rsidRPr="00806A4F">
              <w:rPr>
                <w:rFonts w:eastAsiaTheme="minorEastAsia"/>
                <w:sz w:val="20"/>
                <w:rtl/>
                <w:lang w:val="en-CA" w:eastAsia="zh-CN" w:bidi="ar-SA"/>
              </w:rPr>
              <w:t>عتبة الصرف 20 في المائة</w:t>
            </w:r>
          </w:p>
        </w:tc>
        <w:tc>
          <w:tcPr>
            <w:tcW w:w="5748" w:type="dxa"/>
            <w:vMerge w:val="restart"/>
          </w:tcPr>
          <w:p w14:paraId="019BE611" w14:textId="088B761A" w:rsidR="00302A19" w:rsidRPr="00806A4F" w:rsidRDefault="00F01F89"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الوضع السياسي والتغييرات المتعاقبة في الحكومة، وحثّ حكومة موز</w:t>
            </w:r>
            <w:r w:rsidR="00396F16" w:rsidRPr="00806A4F">
              <w:rPr>
                <w:rFonts w:eastAsiaTheme="minorEastAsia"/>
                <w:sz w:val="20"/>
                <w:rtl/>
                <w:lang w:val="en-CA" w:eastAsia="zh-CN" w:bidi="ar-SA"/>
              </w:rPr>
              <w:t>ا</w:t>
            </w:r>
            <w:r w:rsidRPr="00806A4F">
              <w:rPr>
                <w:rFonts w:eastAsiaTheme="minorEastAsia"/>
                <w:sz w:val="20"/>
                <w:rtl/>
                <w:lang w:val="en-CA" w:eastAsia="zh-CN" w:bidi="ar-SA"/>
              </w:rPr>
              <w:t>مبيق على العمل مع اليوئنديبي واليونيب حتى يتسنى تقديم الشريحة الثانية (2026) من المرحلة الثانية من خطة إدارة إزالة المواد الهيدروكلوروفلوروكربونية إلى الاجتماع التاسع والتسعين.</w:t>
            </w:r>
          </w:p>
        </w:tc>
      </w:tr>
      <w:tr w:rsidR="00093133" w:rsidRPr="00806A4F" w14:paraId="091B73A3" w14:textId="77777777" w:rsidTr="00501366">
        <w:trPr>
          <w:trHeight w:val="437"/>
        </w:trPr>
        <w:tc>
          <w:tcPr>
            <w:tcW w:w="2206" w:type="dxa"/>
            <w:vMerge/>
            <w:tcMar>
              <w:left w:w="72" w:type="dxa"/>
              <w:right w:w="72" w:type="dxa"/>
            </w:tcMar>
          </w:tcPr>
          <w:p w14:paraId="283F7CDA" w14:textId="77777777" w:rsidR="00302A19" w:rsidRPr="00981231" w:rsidRDefault="00302A19" w:rsidP="00302A19">
            <w:pPr>
              <w:bidi/>
              <w:jc w:val="left"/>
              <w:rPr>
                <w:rFonts w:eastAsiaTheme="minorEastAsia"/>
                <w:sz w:val="20"/>
                <w:lang w:val="en-CA" w:eastAsia="zh-CN" w:bidi="ar-SA"/>
              </w:rPr>
            </w:pPr>
          </w:p>
        </w:tc>
        <w:tc>
          <w:tcPr>
            <w:tcW w:w="850" w:type="dxa"/>
            <w:tcMar>
              <w:left w:w="72" w:type="dxa"/>
              <w:right w:w="72" w:type="dxa"/>
            </w:tcMar>
          </w:tcPr>
          <w:p w14:paraId="26A58B31" w14:textId="7DE94E8E"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37D9A208"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3329CE78"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180,353</w:t>
            </w:r>
          </w:p>
        </w:tc>
        <w:tc>
          <w:tcPr>
            <w:tcW w:w="2340" w:type="dxa"/>
            <w:tcMar>
              <w:left w:w="72" w:type="dxa"/>
              <w:right w:w="72" w:type="dxa"/>
            </w:tcMar>
          </w:tcPr>
          <w:p w14:paraId="65E2A8F5" w14:textId="2FB08351" w:rsidR="00302A19" w:rsidRPr="00806A4F" w:rsidRDefault="001667F5"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w:t>
            </w:r>
          </w:p>
        </w:tc>
        <w:tc>
          <w:tcPr>
            <w:tcW w:w="5748" w:type="dxa"/>
            <w:vMerge/>
          </w:tcPr>
          <w:p w14:paraId="4378B744" w14:textId="77777777" w:rsidR="00302A19" w:rsidRPr="00806A4F" w:rsidRDefault="00302A19" w:rsidP="00302A19">
            <w:pPr>
              <w:bidi/>
              <w:jc w:val="left"/>
              <w:rPr>
                <w:rFonts w:eastAsiaTheme="minorEastAsia"/>
                <w:sz w:val="20"/>
                <w:lang w:val="en-CA" w:eastAsia="zh-CN" w:bidi="ar-SA"/>
              </w:rPr>
            </w:pPr>
          </w:p>
        </w:tc>
      </w:tr>
      <w:tr w:rsidR="00093133" w:rsidRPr="00806A4F" w14:paraId="63B26EDD" w14:textId="77777777" w:rsidTr="00501366">
        <w:trPr>
          <w:trHeight w:val="437"/>
        </w:trPr>
        <w:tc>
          <w:tcPr>
            <w:tcW w:w="2206" w:type="dxa"/>
            <w:vMerge w:val="restart"/>
            <w:tcMar>
              <w:left w:w="72" w:type="dxa"/>
              <w:right w:w="72" w:type="dxa"/>
            </w:tcMar>
          </w:tcPr>
          <w:p w14:paraId="34002A25" w14:textId="5DA03909" w:rsidR="00302A19" w:rsidRPr="00981231" w:rsidRDefault="00437D01" w:rsidP="00981231">
            <w:pPr>
              <w:bidi/>
              <w:jc w:val="left"/>
              <w:rPr>
                <w:rFonts w:eastAsiaTheme="minorEastAsia"/>
                <w:sz w:val="20"/>
                <w:lang w:val="en-CA" w:eastAsia="zh-CN" w:bidi="ar-SA"/>
              </w:rPr>
            </w:pPr>
            <w:r w:rsidRPr="00981231">
              <w:rPr>
                <w:rFonts w:eastAsiaTheme="minorEastAsia"/>
                <w:sz w:val="20"/>
                <w:rtl/>
                <w:lang w:val="en-CA" w:eastAsia="zh-CN" w:bidi="ar-SA"/>
              </w:rPr>
              <w:t>موز</w:t>
            </w:r>
            <w:r w:rsidR="00396F16" w:rsidRPr="00981231">
              <w:rPr>
                <w:rFonts w:eastAsiaTheme="minorEastAsia"/>
                <w:sz w:val="20"/>
                <w:rtl/>
                <w:lang w:val="en-CA" w:eastAsia="zh-CN" w:bidi="ar-SA"/>
              </w:rPr>
              <w:t>ا</w:t>
            </w:r>
            <w:r w:rsidRPr="00981231">
              <w:rPr>
                <w:rFonts w:eastAsiaTheme="minorEastAsia"/>
                <w:sz w:val="20"/>
                <w:rtl/>
                <w:lang w:val="en-CA" w:eastAsia="zh-CN" w:bidi="ar-SA"/>
              </w:rPr>
              <w:t xml:space="preserve">مبيق (المرحلة الأولى من </w:t>
            </w:r>
            <w:r w:rsidR="00981231" w:rsidRPr="00981231">
              <w:rPr>
                <w:rFonts w:eastAsiaTheme="minorEastAsia"/>
                <w:sz w:val="20"/>
                <w:rtl/>
                <w:lang w:val="en-CA" w:eastAsia="zh-CN" w:bidi="ar-SA"/>
              </w:rPr>
              <w:t>خطة تنفيذ تعديل كيغالي للمواد الهيدروفلوروكربونية</w:t>
            </w:r>
            <w:r w:rsidRPr="00981231">
              <w:rPr>
                <w:rFonts w:eastAsiaTheme="minorEastAsia"/>
                <w:sz w:val="20"/>
                <w:rtl/>
                <w:lang w:val="en-CA" w:eastAsia="zh-CN" w:bidi="ar-SA"/>
              </w:rPr>
              <w:t>)</w:t>
            </w:r>
          </w:p>
        </w:tc>
        <w:tc>
          <w:tcPr>
            <w:tcW w:w="850" w:type="dxa"/>
            <w:tcMar>
              <w:left w:w="72" w:type="dxa"/>
              <w:right w:w="72" w:type="dxa"/>
            </w:tcMar>
          </w:tcPr>
          <w:p w14:paraId="055D8F02" w14:textId="6ABD34B5" w:rsidR="00302A19" w:rsidRPr="00806A4F" w:rsidRDefault="00756DB6" w:rsidP="00756DB6">
            <w:pPr>
              <w:keepNext/>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7143F0BA"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567707D4"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6,780</w:t>
            </w:r>
          </w:p>
        </w:tc>
        <w:tc>
          <w:tcPr>
            <w:tcW w:w="2340" w:type="dxa"/>
            <w:tcMar>
              <w:left w:w="72" w:type="dxa"/>
              <w:right w:w="72" w:type="dxa"/>
            </w:tcMar>
          </w:tcPr>
          <w:p w14:paraId="2F743E63" w14:textId="02C046DF" w:rsidR="00302A19" w:rsidRPr="00806A4F" w:rsidRDefault="00166471" w:rsidP="00302A19">
            <w:pPr>
              <w:bidi/>
              <w:jc w:val="left"/>
              <w:rPr>
                <w:rFonts w:eastAsiaTheme="minorEastAsia"/>
                <w:sz w:val="20"/>
                <w:lang w:val="en-CA" w:eastAsia="zh-CN" w:bidi="ar-SA"/>
              </w:rPr>
            </w:pPr>
            <w:r w:rsidRPr="00806A4F">
              <w:rPr>
                <w:rFonts w:eastAsiaTheme="minorEastAsia"/>
                <w:sz w:val="20"/>
                <w:rtl/>
                <w:lang w:val="en-CA" w:eastAsia="zh-CN" w:bidi="ar-SA"/>
              </w:rPr>
              <w:t>عتبة الصرف 20 في المائة</w:t>
            </w:r>
          </w:p>
        </w:tc>
        <w:tc>
          <w:tcPr>
            <w:tcW w:w="5748" w:type="dxa"/>
            <w:vMerge w:val="restart"/>
          </w:tcPr>
          <w:p w14:paraId="198A24CC" w14:textId="0F23226B" w:rsidR="00302A19" w:rsidRPr="00806A4F" w:rsidRDefault="00F01F89" w:rsidP="00981231">
            <w:pPr>
              <w:bidi/>
              <w:jc w:val="left"/>
              <w:rPr>
                <w:rFonts w:eastAsiaTheme="minorEastAsia"/>
                <w:sz w:val="20"/>
                <w:lang w:val="en-CA" w:eastAsia="zh-CN" w:bidi="ar-SA"/>
              </w:rPr>
            </w:pPr>
            <w:r w:rsidRPr="00806A4F">
              <w:rPr>
                <w:rFonts w:eastAsiaTheme="minorEastAsia"/>
                <w:sz w:val="20"/>
                <w:rtl/>
                <w:lang w:val="en-CA" w:eastAsia="zh-CN" w:bidi="ar-SA"/>
              </w:rPr>
              <w:t xml:space="preserve">مع الأخذ في الاعتبار التأخيرات </w:t>
            </w:r>
            <w:r w:rsidRPr="00981231">
              <w:rPr>
                <w:rFonts w:eastAsiaTheme="minorEastAsia"/>
                <w:sz w:val="20"/>
                <w:rtl/>
                <w:lang w:val="en-CA" w:eastAsia="zh-CN" w:bidi="ar-SA"/>
              </w:rPr>
              <w:t>الناتجة عن الوضع السياسي والتغييرات المتعاقبة في الحكومة، وحثّ حكومة موز</w:t>
            </w:r>
            <w:r w:rsidR="00396F16" w:rsidRPr="00981231">
              <w:rPr>
                <w:rFonts w:eastAsiaTheme="minorEastAsia"/>
                <w:sz w:val="20"/>
                <w:rtl/>
                <w:lang w:val="en-CA" w:eastAsia="zh-CN" w:bidi="ar-SA"/>
              </w:rPr>
              <w:t>ا</w:t>
            </w:r>
            <w:r w:rsidRPr="00981231">
              <w:rPr>
                <w:rFonts w:eastAsiaTheme="minorEastAsia"/>
                <w:sz w:val="20"/>
                <w:rtl/>
                <w:lang w:val="en-CA" w:eastAsia="zh-CN" w:bidi="ar-SA"/>
              </w:rPr>
              <w:t xml:space="preserve">مبيق على العمل مع اليوئنديبي واليونيب حتى يتسنى تقديم الشريحة الثانية (2026) من المرحلة الأولى من </w:t>
            </w:r>
            <w:r w:rsidR="00981231" w:rsidRPr="00981231">
              <w:rPr>
                <w:rFonts w:eastAsiaTheme="minorEastAsia"/>
                <w:sz w:val="20"/>
                <w:rtl/>
                <w:lang w:val="en-CA" w:eastAsia="zh-CN" w:bidi="ar-SA"/>
              </w:rPr>
              <w:t xml:space="preserve">خطة تنفيذ تعديل كيغالي للمواد الهيدروفلوروكربونية </w:t>
            </w:r>
            <w:r w:rsidRPr="00981231">
              <w:rPr>
                <w:rFonts w:eastAsiaTheme="minorEastAsia"/>
                <w:sz w:val="20"/>
                <w:rtl/>
                <w:lang w:val="en-CA" w:eastAsia="zh-CN" w:bidi="ar-SA"/>
              </w:rPr>
              <w:t>إلى الاجتماع التاسع والتسعين.</w:t>
            </w:r>
          </w:p>
        </w:tc>
      </w:tr>
      <w:tr w:rsidR="00093133" w:rsidRPr="00806A4F" w14:paraId="279AA6F3" w14:textId="77777777" w:rsidTr="00501366">
        <w:trPr>
          <w:trHeight w:val="437"/>
        </w:trPr>
        <w:tc>
          <w:tcPr>
            <w:tcW w:w="2206" w:type="dxa"/>
            <w:vMerge/>
            <w:tcMar>
              <w:left w:w="72" w:type="dxa"/>
              <w:right w:w="72" w:type="dxa"/>
            </w:tcMar>
          </w:tcPr>
          <w:p w14:paraId="4F53FC6F" w14:textId="77777777" w:rsidR="00302A19" w:rsidRPr="00806A4F" w:rsidRDefault="00302A19" w:rsidP="00302A19">
            <w:pPr>
              <w:bidi/>
              <w:jc w:val="left"/>
              <w:rPr>
                <w:rFonts w:eastAsiaTheme="minorEastAsia"/>
                <w:sz w:val="20"/>
                <w:lang w:val="en-CA" w:eastAsia="zh-CN" w:bidi="ar-SA"/>
              </w:rPr>
            </w:pPr>
          </w:p>
        </w:tc>
        <w:tc>
          <w:tcPr>
            <w:tcW w:w="850" w:type="dxa"/>
            <w:tcMar>
              <w:left w:w="72" w:type="dxa"/>
              <w:right w:w="72" w:type="dxa"/>
            </w:tcMar>
          </w:tcPr>
          <w:p w14:paraId="64081A98" w14:textId="7C957423"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25F1251E"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2F29B8F4"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92,095</w:t>
            </w:r>
          </w:p>
        </w:tc>
        <w:tc>
          <w:tcPr>
            <w:tcW w:w="2340" w:type="dxa"/>
            <w:tcMar>
              <w:left w:w="72" w:type="dxa"/>
              <w:right w:w="72" w:type="dxa"/>
            </w:tcMar>
          </w:tcPr>
          <w:p w14:paraId="6EA9464C" w14:textId="7BD69FC2" w:rsidR="00302A19" w:rsidRPr="00806A4F" w:rsidRDefault="00166471"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w:t>
            </w:r>
          </w:p>
        </w:tc>
        <w:tc>
          <w:tcPr>
            <w:tcW w:w="5748" w:type="dxa"/>
            <w:vMerge/>
          </w:tcPr>
          <w:p w14:paraId="6EFAD3C2" w14:textId="77777777" w:rsidR="00302A19" w:rsidRPr="00806A4F" w:rsidRDefault="00302A19" w:rsidP="00302A19">
            <w:pPr>
              <w:bidi/>
              <w:jc w:val="left"/>
              <w:rPr>
                <w:rFonts w:eastAsiaTheme="minorEastAsia"/>
                <w:sz w:val="20"/>
                <w:lang w:val="en-CA" w:eastAsia="zh-CN" w:bidi="ar-SA"/>
              </w:rPr>
            </w:pPr>
          </w:p>
        </w:tc>
      </w:tr>
      <w:tr w:rsidR="00093133" w:rsidRPr="00806A4F" w14:paraId="02D99E66" w14:textId="77777777" w:rsidTr="00501366">
        <w:trPr>
          <w:trHeight w:val="44"/>
        </w:trPr>
        <w:tc>
          <w:tcPr>
            <w:tcW w:w="2206" w:type="dxa"/>
            <w:vMerge w:val="restart"/>
            <w:tcMar>
              <w:left w:w="72" w:type="dxa"/>
              <w:right w:w="72" w:type="dxa"/>
            </w:tcMar>
          </w:tcPr>
          <w:p w14:paraId="677743B2" w14:textId="4170B2A4" w:rsidR="00302A19" w:rsidRPr="00806A4F" w:rsidRDefault="00437D01" w:rsidP="00302A19">
            <w:pPr>
              <w:keepNext/>
              <w:bidi/>
              <w:ind w:right="-131"/>
              <w:jc w:val="left"/>
              <w:rPr>
                <w:rFonts w:eastAsiaTheme="minorEastAsia"/>
                <w:sz w:val="20"/>
                <w:lang w:val="en-CA" w:eastAsia="en-CA" w:bidi="ar-SA"/>
              </w:rPr>
            </w:pPr>
            <w:r w:rsidRPr="00806A4F">
              <w:rPr>
                <w:rFonts w:eastAsiaTheme="minorEastAsia"/>
                <w:sz w:val="20"/>
                <w:rtl/>
                <w:lang w:val="en-CA" w:eastAsia="en-CA" w:bidi="ar-SA"/>
              </w:rPr>
              <w:lastRenderedPageBreak/>
              <w:t>باكستان (المرحلة الثالثة من خطة إدارة إزالة المواد الهيدروكلوروفلوروكربونية)</w:t>
            </w:r>
          </w:p>
        </w:tc>
        <w:tc>
          <w:tcPr>
            <w:tcW w:w="850" w:type="dxa"/>
            <w:tcMar>
              <w:left w:w="72" w:type="dxa"/>
              <w:right w:w="72" w:type="dxa"/>
            </w:tcMar>
          </w:tcPr>
          <w:p w14:paraId="656CE332" w14:textId="28AF69AE"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1D54E5B5"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5CFD23D9"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664,514</w:t>
            </w:r>
          </w:p>
        </w:tc>
        <w:tc>
          <w:tcPr>
            <w:tcW w:w="2340" w:type="dxa"/>
            <w:tcMar>
              <w:left w:w="72" w:type="dxa"/>
              <w:right w:w="72" w:type="dxa"/>
            </w:tcMar>
          </w:tcPr>
          <w:p w14:paraId="76552687" w14:textId="2A585770" w:rsidR="00302A19" w:rsidRPr="00806A4F" w:rsidRDefault="00166471" w:rsidP="000839C2">
            <w:pPr>
              <w:keepNext/>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 / توفر أموال كافية من الشريحة السابقة التي تمت الموافقة عليها / عتبة صرف 20 في المائة</w:t>
            </w:r>
          </w:p>
        </w:tc>
        <w:tc>
          <w:tcPr>
            <w:tcW w:w="5748" w:type="dxa"/>
            <w:vMerge w:val="restart"/>
          </w:tcPr>
          <w:p w14:paraId="3BB3FC0F" w14:textId="694BA48A" w:rsidR="00302A19" w:rsidRPr="00806A4F" w:rsidRDefault="00CD6BC1" w:rsidP="00302A19">
            <w:pPr>
              <w:keepNext/>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التغييرات الهيكلية داخل الحكومة، وحثّ حكومة باكستان على العمل مع اليونيب واليونيدو حتى يتسنى تقديم الشريحة الثالثة (2026) من المرحلة الثالثة من خطة إدارة إزالة المواد الهيدروكلوروفلوروكربونية إلى الاجتماع التاسع والتسعين.</w:t>
            </w:r>
          </w:p>
        </w:tc>
      </w:tr>
      <w:tr w:rsidR="00093133" w:rsidRPr="00806A4F" w14:paraId="1499879E" w14:textId="77777777" w:rsidTr="00501366">
        <w:trPr>
          <w:trHeight w:val="95"/>
        </w:trPr>
        <w:tc>
          <w:tcPr>
            <w:tcW w:w="2206" w:type="dxa"/>
            <w:vMerge/>
            <w:tcMar>
              <w:left w:w="72" w:type="dxa"/>
              <w:right w:w="72" w:type="dxa"/>
            </w:tcMar>
          </w:tcPr>
          <w:p w14:paraId="719E6573" w14:textId="77777777" w:rsidR="00302A19" w:rsidRPr="00806A4F" w:rsidRDefault="00302A19" w:rsidP="00302A19">
            <w:pPr>
              <w:keepNext/>
              <w:bidi/>
              <w:ind w:right="-131"/>
              <w:jc w:val="left"/>
              <w:rPr>
                <w:rFonts w:eastAsiaTheme="minorEastAsia"/>
                <w:sz w:val="20"/>
                <w:lang w:val="en-CA" w:eastAsia="en-CA" w:bidi="ar-SA"/>
              </w:rPr>
            </w:pPr>
          </w:p>
        </w:tc>
        <w:tc>
          <w:tcPr>
            <w:tcW w:w="850" w:type="dxa"/>
            <w:tcMar>
              <w:left w:w="72" w:type="dxa"/>
              <w:right w:w="72" w:type="dxa"/>
            </w:tcMar>
          </w:tcPr>
          <w:p w14:paraId="64A6E809" w14:textId="568DA23F"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72208A64"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656A1876"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928,118</w:t>
            </w:r>
          </w:p>
        </w:tc>
        <w:tc>
          <w:tcPr>
            <w:tcW w:w="2340" w:type="dxa"/>
            <w:tcMar>
              <w:left w:w="72" w:type="dxa"/>
              <w:right w:w="72" w:type="dxa"/>
            </w:tcMar>
          </w:tcPr>
          <w:p w14:paraId="323943B4" w14:textId="64E1E8F7" w:rsidR="00302A19" w:rsidRPr="00806A4F" w:rsidRDefault="00166471" w:rsidP="000839C2">
            <w:pPr>
              <w:keepNext/>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w:t>
            </w:r>
          </w:p>
        </w:tc>
        <w:tc>
          <w:tcPr>
            <w:tcW w:w="5748" w:type="dxa"/>
            <w:vMerge/>
          </w:tcPr>
          <w:p w14:paraId="59E72C40" w14:textId="77777777" w:rsidR="00302A19" w:rsidRPr="00806A4F" w:rsidRDefault="00302A19" w:rsidP="00302A19">
            <w:pPr>
              <w:keepNext/>
              <w:bidi/>
              <w:jc w:val="left"/>
              <w:rPr>
                <w:rFonts w:eastAsiaTheme="minorEastAsia"/>
                <w:sz w:val="20"/>
                <w:lang w:val="en-CA" w:eastAsia="zh-CN" w:bidi="ar-SA"/>
              </w:rPr>
            </w:pPr>
          </w:p>
        </w:tc>
      </w:tr>
      <w:tr w:rsidR="00093133" w:rsidRPr="00806A4F" w14:paraId="3D088C52" w14:textId="77777777" w:rsidTr="00501366">
        <w:trPr>
          <w:trHeight w:val="706"/>
        </w:trPr>
        <w:tc>
          <w:tcPr>
            <w:tcW w:w="2206" w:type="dxa"/>
            <w:vMerge w:val="restart"/>
            <w:tcMar>
              <w:left w:w="72" w:type="dxa"/>
              <w:right w:w="72" w:type="dxa"/>
            </w:tcMar>
          </w:tcPr>
          <w:p w14:paraId="1C5C9C3B" w14:textId="588E03A6"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t>قطر (المرحلة الثانية من خطة إدارة إزالة المواد الهيدروكلوروفلوروكربونية)</w:t>
            </w:r>
          </w:p>
        </w:tc>
        <w:tc>
          <w:tcPr>
            <w:tcW w:w="850" w:type="dxa"/>
            <w:tcMar>
              <w:left w:w="72" w:type="dxa"/>
              <w:right w:w="72" w:type="dxa"/>
            </w:tcMar>
          </w:tcPr>
          <w:p w14:paraId="27E23CD5" w14:textId="2F7F999E"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2D44701A"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358D5C2E"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77,970</w:t>
            </w:r>
          </w:p>
        </w:tc>
        <w:tc>
          <w:tcPr>
            <w:tcW w:w="2340" w:type="dxa"/>
            <w:tcMar>
              <w:left w:w="72" w:type="dxa"/>
              <w:right w:w="72" w:type="dxa"/>
            </w:tcMar>
          </w:tcPr>
          <w:p w14:paraId="0B16162C" w14:textId="63371BC8" w:rsidR="00302A19" w:rsidRPr="00806A4F" w:rsidRDefault="00A834D4"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شروط موافقة اللجنة التنفيذية </w:t>
            </w:r>
          </w:p>
        </w:tc>
        <w:tc>
          <w:tcPr>
            <w:tcW w:w="5748" w:type="dxa"/>
            <w:vMerge w:val="restart"/>
          </w:tcPr>
          <w:p w14:paraId="695D5812" w14:textId="01FDB5E1" w:rsidR="00302A19" w:rsidRPr="00806A4F" w:rsidRDefault="00B72D71"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أنه تم سحب الشريحة الثالثة (2025) من المرحلة الثانية من خطة إدارة إزالة المواد الهيدروكلوروفلوروكربونية التي قُدمت إلى الاجتماع الثامن والتسعين، لعدم استيفاء جميع الشروط المحددة في المقرر 88/54(هـ) (1) و(2) و(3)، وحثّ حكومة قطر على العمل مع اليونيب واليونيدو حتى يتسنى تقديم الشريحة الثالثة (2025) من المرحلة الثانية من خطة إدارة إزالة المواد الهيدروكلوروفلوروكربونية إلى الاجتماع التاسع والتسعين، مع خطة عمل منقحة تأخذ في الاعتبار إعادة تخصيص شريحة 2025 عند الضرورة.</w:t>
            </w:r>
          </w:p>
        </w:tc>
      </w:tr>
      <w:tr w:rsidR="00093133" w:rsidRPr="00806A4F" w14:paraId="4A7A9236" w14:textId="77777777" w:rsidTr="00501366">
        <w:trPr>
          <w:trHeight w:val="350"/>
        </w:trPr>
        <w:tc>
          <w:tcPr>
            <w:tcW w:w="2206" w:type="dxa"/>
            <w:vMerge/>
            <w:tcMar>
              <w:left w:w="72" w:type="dxa"/>
              <w:right w:w="72" w:type="dxa"/>
            </w:tcMar>
          </w:tcPr>
          <w:p w14:paraId="0BFC0135"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5DC6F271" w14:textId="4D6C5CC0"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344FCEFD"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74C49600"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64,200</w:t>
            </w:r>
          </w:p>
        </w:tc>
        <w:tc>
          <w:tcPr>
            <w:tcW w:w="2340" w:type="dxa"/>
            <w:tcMar>
              <w:left w:w="72" w:type="dxa"/>
              <w:right w:w="72" w:type="dxa"/>
            </w:tcMar>
          </w:tcPr>
          <w:p w14:paraId="34BB72E4" w14:textId="553C854E" w:rsidR="00302A19" w:rsidRPr="00806A4F" w:rsidRDefault="00166471"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شروط موافقة اللجنة التنفيذية </w:t>
            </w:r>
          </w:p>
        </w:tc>
        <w:tc>
          <w:tcPr>
            <w:tcW w:w="5748" w:type="dxa"/>
            <w:vMerge/>
          </w:tcPr>
          <w:p w14:paraId="16335618" w14:textId="77777777" w:rsidR="00302A19" w:rsidRPr="00806A4F" w:rsidRDefault="00302A19" w:rsidP="00302A19">
            <w:pPr>
              <w:bidi/>
              <w:jc w:val="left"/>
              <w:rPr>
                <w:rFonts w:eastAsiaTheme="minorEastAsia"/>
                <w:sz w:val="20"/>
                <w:lang w:val="en-CA" w:eastAsia="zh-CN" w:bidi="ar-SA"/>
              </w:rPr>
            </w:pPr>
          </w:p>
        </w:tc>
      </w:tr>
      <w:tr w:rsidR="00093133" w:rsidRPr="00806A4F" w14:paraId="788CC19A" w14:textId="77777777" w:rsidTr="00501366">
        <w:trPr>
          <w:trHeight w:val="738"/>
        </w:trPr>
        <w:tc>
          <w:tcPr>
            <w:tcW w:w="2206" w:type="dxa"/>
            <w:vMerge w:val="restart"/>
            <w:tcMar>
              <w:left w:w="72" w:type="dxa"/>
              <w:right w:w="72" w:type="dxa"/>
            </w:tcMar>
          </w:tcPr>
          <w:p w14:paraId="74CE3A6E" w14:textId="2A850035"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t>المملكة العربية السعودية (المرحلة الثانية من خطة إدارة إزالة المواد الهيدروكلوروفلوروكربونية)</w:t>
            </w:r>
          </w:p>
        </w:tc>
        <w:tc>
          <w:tcPr>
            <w:tcW w:w="850" w:type="dxa"/>
            <w:tcMar>
              <w:left w:w="72" w:type="dxa"/>
              <w:right w:w="72" w:type="dxa"/>
            </w:tcMar>
          </w:tcPr>
          <w:p w14:paraId="26A48446" w14:textId="4B62392D"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10734414"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31077428"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2,044,327</w:t>
            </w:r>
          </w:p>
        </w:tc>
        <w:tc>
          <w:tcPr>
            <w:tcW w:w="2340" w:type="dxa"/>
            <w:tcMar>
              <w:left w:w="72" w:type="dxa"/>
              <w:right w:w="72" w:type="dxa"/>
            </w:tcMar>
          </w:tcPr>
          <w:p w14:paraId="05FFE18D" w14:textId="48E6C50C" w:rsidR="00302A19" w:rsidRPr="00806A4F" w:rsidRDefault="00166471" w:rsidP="00302A19">
            <w:pPr>
              <w:bidi/>
              <w:jc w:val="left"/>
              <w:rPr>
                <w:rFonts w:eastAsiaTheme="minorEastAsia"/>
                <w:sz w:val="20"/>
                <w:lang w:val="en-CA" w:eastAsia="zh-CN" w:bidi="ar-SA"/>
              </w:rPr>
            </w:pPr>
            <w:r w:rsidRPr="00806A4F">
              <w:rPr>
                <w:rFonts w:eastAsiaTheme="minorEastAsia"/>
                <w:sz w:val="20"/>
                <w:rtl/>
                <w:lang w:val="en-CA" w:eastAsia="zh-CN" w:bidi="ar-SA"/>
              </w:rPr>
              <w:t>صعوبات داخلية أو خارجية / توقيع الاتفاق / وثيقة المشروع</w:t>
            </w:r>
          </w:p>
        </w:tc>
        <w:tc>
          <w:tcPr>
            <w:tcW w:w="5748" w:type="dxa"/>
            <w:vMerge w:val="restart"/>
          </w:tcPr>
          <w:p w14:paraId="447C887B" w14:textId="48BFB2E0" w:rsidR="00302A19" w:rsidRPr="00806A4F" w:rsidRDefault="00B72D71"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عدم الامتثال لشروط موافقة اللجنة التنفيذية، وأن معدل الصرف الإجمالي للشريحة الأولى (2024) من المرحلة الثانية من خطة إدارة إزالة المواد الهيدروكلوروفلوروكربونية كان دون عتبة الصرف البالغة 20 في المائة، وحثّ حكومة المملكة العربية السعودية على العمل مع اليونيب واليونيدو حتى يتسنى تقديم الشريحة الثانية (2026) من المرحلة الثانية من خطة إدارة إزالة المواد الهيدروكلوروفلوروكربونية إلى الاجتماع التاسع والتسعين، على أن يُفهم أن عتبة الصرف البالغة 20 في المائة لتمويل الشريحة السابقة قد تم تحقيقها.</w:t>
            </w:r>
          </w:p>
        </w:tc>
      </w:tr>
      <w:tr w:rsidR="00093133" w:rsidRPr="00806A4F" w14:paraId="4BB68AAE" w14:textId="77777777" w:rsidTr="00501366">
        <w:trPr>
          <w:trHeight w:val="291"/>
        </w:trPr>
        <w:tc>
          <w:tcPr>
            <w:tcW w:w="2206" w:type="dxa"/>
            <w:vMerge/>
            <w:tcMar>
              <w:left w:w="72" w:type="dxa"/>
              <w:right w:w="72" w:type="dxa"/>
            </w:tcMar>
          </w:tcPr>
          <w:p w14:paraId="4AEC38DD"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634E634E" w14:textId="5A61D6CF"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51448C30"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4DC2FA02"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3,843,800</w:t>
            </w:r>
          </w:p>
        </w:tc>
        <w:tc>
          <w:tcPr>
            <w:tcW w:w="2340" w:type="dxa"/>
            <w:tcMar>
              <w:left w:w="72" w:type="dxa"/>
              <w:right w:w="72" w:type="dxa"/>
            </w:tcMar>
          </w:tcPr>
          <w:p w14:paraId="4BFE0022" w14:textId="386F05C5" w:rsidR="00302A19" w:rsidRPr="00806A4F" w:rsidRDefault="00A834D4"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عتبة الصرف 20 في المائة / شروط موافقة اللجنة التنفيذية </w:t>
            </w:r>
          </w:p>
        </w:tc>
        <w:tc>
          <w:tcPr>
            <w:tcW w:w="5748" w:type="dxa"/>
            <w:vMerge/>
          </w:tcPr>
          <w:p w14:paraId="6A57F749" w14:textId="77777777" w:rsidR="00302A19" w:rsidRPr="00806A4F" w:rsidRDefault="00302A19" w:rsidP="00302A19">
            <w:pPr>
              <w:bidi/>
              <w:jc w:val="left"/>
              <w:rPr>
                <w:rFonts w:eastAsiaTheme="minorEastAsia"/>
                <w:sz w:val="20"/>
                <w:lang w:val="en-CA" w:eastAsia="zh-CN" w:bidi="ar-SA"/>
              </w:rPr>
            </w:pPr>
          </w:p>
        </w:tc>
      </w:tr>
      <w:tr w:rsidR="00093133" w:rsidRPr="00806A4F" w14:paraId="4F19FEEE" w14:textId="77777777" w:rsidTr="00501366">
        <w:trPr>
          <w:trHeight w:val="541"/>
        </w:trPr>
        <w:tc>
          <w:tcPr>
            <w:tcW w:w="2206" w:type="dxa"/>
            <w:tcMar>
              <w:left w:w="72" w:type="dxa"/>
              <w:right w:w="72" w:type="dxa"/>
            </w:tcMar>
          </w:tcPr>
          <w:p w14:paraId="69C38C58" w14:textId="5638ADAD" w:rsidR="00302A19" w:rsidRPr="00806A4F" w:rsidRDefault="00437D01" w:rsidP="00302A19">
            <w:pPr>
              <w:bidi/>
              <w:jc w:val="left"/>
              <w:rPr>
                <w:rFonts w:eastAsiaTheme="minorEastAsia"/>
                <w:sz w:val="20"/>
                <w:lang w:val="it-IT" w:eastAsia="en-CA" w:bidi="ar-SA"/>
              </w:rPr>
            </w:pPr>
            <w:r w:rsidRPr="00806A4F">
              <w:rPr>
                <w:rFonts w:eastAsiaTheme="minorEastAsia"/>
                <w:sz w:val="20"/>
                <w:rtl/>
                <w:lang w:val="it-IT" w:eastAsia="en-CA" w:bidi="ar-SA"/>
              </w:rPr>
              <w:t>سيراليون (المرحلة الثانية من خطة إدارة إزالة المواد الهيدروكلوروفلوروكربونية)</w:t>
            </w:r>
          </w:p>
        </w:tc>
        <w:tc>
          <w:tcPr>
            <w:tcW w:w="850" w:type="dxa"/>
            <w:tcMar>
              <w:left w:w="72" w:type="dxa"/>
              <w:right w:w="72" w:type="dxa"/>
            </w:tcMar>
          </w:tcPr>
          <w:p w14:paraId="0DEBF4CC" w14:textId="37C4B416"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301AEE02"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14298989"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79,100</w:t>
            </w:r>
          </w:p>
        </w:tc>
        <w:tc>
          <w:tcPr>
            <w:tcW w:w="2340" w:type="dxa"/>
            <w:tcMar>
              <w:left w:w="72" w:type="dxa"/>
              <w:right w:w="72" w:type="dxa"/>
            </w:tcMar>
          </w:tcPr>
          <w:p w14:paraId="188E1933" w14:textId="7C3942A7" w:rsidR="00302A19" w:rsidRPr="00806A4F" w:rsidRDefault="00A834D4"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w:t>
            </w:r>
          </w:p>
        </w:tc>
        <w:tc>
          <w:tcPr>
            <w:tcW w:w="5748" w:type="dxa"/>
          </w:tcPr>
          <w:p w14:paraId="1E69777F" w14:textId="7EA0A7A9" w:rsidR="00302A19" w:rsidRPr="00806A4F" w:rsidRDefault="00B72D71"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التغييرات في الوزراء داخل الحكومة، وحثّ حكومة سيراليون على العمل مع اليونيب حتى يتسنى تقديم الشريحة الثالثة (2026) من المرحلة الثانية من خطة إدارة إزالة المواد الهيدروكلوروفلوروكربونية إلى الاجتماع التاسع والتسعين.</w:t>
            </w:r>
          </w:p>
        </w:tc>
      </w:tr>
      <w:tr w:rsidR="00093133" w:rsidRPr="00806A4F" w14:paraId="6BF0D017" w14:textId="77777777" w:rsidTr="00501366">
        <w:trPr>
          <w:trHeight w:val="58"/>
        </w:trPr>
        <w:tc>
          <w:tcPr>
            <w:tcW w:w="2206" w:type="dxa"/>
            <w:tcMar>
              <w:left w:w="72" w:type="dxa"/>
              <w:right w:w="72" w:type="dxa"/>
            </w:tcMar>
          </w:tcPr>
          <w:p w14:paraId="7CF40101" w14:textId="0CFAF20B"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t>السودان (المرحلة الثالثة من خطة إدارة إزالة المواد الهيدروكلوروفلوروكربونية)</w:t>
            </w:r>
          </w:p>
        </w:tc>
        <w:tc>
          <w:tcPr>
            <w:tcW w:w="850" w:type="dxa"/>
            <w:tcMar>
              <w:left w:w="72" w:type="dxa"/>
              <w:right w:w="72" w:type="dxa"/>
            </w:tcMar>
          </w:tcPr>
          <w:p w14:paraId="37D77B2D" w14:textId="2DF06051"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609D31E8"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099072D7"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120,375</w:t>
            </w:r>
          </w:p>
        </w:tc>
        <w:tc>
          <w:tcPr>
            <w:tcW w:w="2340" w:type="dxa"/>
            <w:tcMar>
              <w:left w:w="72" w:type="dxa"/>
              <w:right w:w="72" w:type="dxa"/>
            </w:tcMar>
          </w:tcPr>
          <w:p w14:paraId="0592689E" w14:textId="1D2C47CA" w:rsidR="00302A19" w:rsidRPr="00806A4F" w:rsidRDefault="00A834D4" w:rsidP="00302A19">
            <w:pPr>
              <w:bidi/>
              <w:jc w:val="left"/>
              <w:rPr>
                <w:rFonts w:eastAsiaTheme="minorEastAsia"/>
                <w:sz w:val="20"/>
                <w:lang w:val="en-CA" w:eastAsia="zh-CN" w:bidi="ar-SA"/>
              </w:rPr>
            </w:pPr>
            <w:r w:rsidRPr="00806A4F">
              <w:rPr>
                <w:rFonts w:eastAsiaTheme="minorEastAsia"/>
                <w:sz w:val="20"/>
                <w:rtl/>
                <w:lang w:val="en-CA" w:eastAsia="zh-CN" w:bidi="ar-SA"/>
              </w:rPr>
              <w:t xml:space="preserve">عتبة الصرف 20 في المائة / شروط موافقة اللجنة التنفيذية </w:t>
            </w:r>
          </w:p>
        </w:tc>
        <w:tc>
          <w:tcPr>
            <w:tcW w:w="5748" w:type="dxa"/>
          </w:tcPr>
          <w:p w14:paraId="5CC425F3" w14:textId="76704E78" w:rsidR="00302A19" w:rsidRPr="00806A4F" w:rsidRDefault="00B72D71"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عدم الامتثال لشروط موافقة اللجنة التنفيذية، وأن معدل الصرف الإجمالي للشريحة الأولى (2021) من المرحلة الثالثة من خطة إدارة إزالة المواد الهيدروكلوروفلوروكربونية كان دون عتبة الصرف البالغة 20 في المائة، وحثّ حكومة السودان على العمل مع اليونيدو حتى يتسنى تقديم الشريحة الثانية (2026) من المرحلة الثالثة من خطة إدارة إزالة المواد الهيدروكلوروفلوروكربونية إلى الاجتماع المائة، مع خطة عمل منقحة تأخذ في الاعتبار إعادة تخصيص شريحة 2026 وما يليها من شرائح، على أن يُفهم أن عتبة الصرف البالغة 20 في المائة لتمويل الشريحة السابقة قد تم تحقيقها.</w:t>
            </w:r>
          </w:p>
        </w:tc>
      </w:tr>
      <w:tr w:rsidR="00093133" w:rsidRPr="00806A4F" w14:paraId="3B78A3F8" w14:textId="77777777" w:rsidTr="00501366">
        <w:trPr>
          <w:trHeight w:val="437"/>
        </w:trPr>
        <w:tc>
          <w:tcPr>
            <w:tcW w:w="2206" w:type="dxa"/>
            <w:vMerge w:val="restart"/>
            <w:tcMar>
              <w:left w:w="72" w:type="dxa"/>
              <w:right w:w="72" w:type="dxa"/>
            </w:tcMar>
          </w:tcPr>
          <w:p w14:paraId="15F0D038" w14:textId="60373D2D"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lastRenderedPageBreak/>
              <w:t>الجمهورية العربية السورية (المرحلة الأولى من خطة إدارة إزالة المواد الهيدروكلوروفلوروكربونية)</w:t>
            </w:r>
          </w:p>
        </w:tc>
        <w:tc>
          <w:tcPr>
            <w:tcW w:w="850" w:type="dxa"/>
            <w:tcMar>
              <w:left w:w="72" w:type="dxa"/>
              <w:right w:w="72" w:type="dxa"/>
            </w:tcMar>
          </w:tcPr>
          <w:p w14:paraId="5270BDEC" w14:textId="06EA9B1A"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4A32EECF"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 xml:space="preserve">2024 </w:t>
            </w:r>
          </w:p>
        </w:tc>
        <w:tc>
          <w:tcPr>
            <w:tcW w:w="2070" w:type="dxa"/>
            <w:tcMar>
              <w:left w:w="72" w:type="dxa"/>
              <w:right w:w="72" w:type="dxa"/>
            </w:tcMar>
          </w:tcPr>
          <w:p w14:paraId="1F006081"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445,295</w:t>
            </w:r>
          </w:p>
        </w:tc>
        <w:tc>
          <w:tcPr>
            <w:tcW w:w="2340" w:type="dxa"/>
            <w:tcMar>
              <w:left w:w="72" w:type="dxa"/>
              <w:right w:w="72" w:type="dxa"/>
            </w:tcMar>
          </w:tcPr>
          <w:p w14:paraId="6C82FE84" w14:textId="2144BE21" w:rsidR="00302A19" w:rsidRPr="00806A4F" w:rsidRDefault="00231DBA"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 / توفر أموال كافية من الشريحة السابقة التي تمت الموافقة عليها / عتبة صرف 20 في المائة</w:t>
            </w:r>
          </w:p>
        </w:tc>
        <w:tc>
          <w:tcPr>
            <w:tcW w:w="5748" w:type="dxa"/>
            <w:vMerge w:val="restart"/>
          </w:tcPr>
          <w:p w14:paraId="786AFCFE" w14:textId="507FB4B0" w:rsidR="00302A19" w:rsidRPr="00806A4F" w:rsidRDefault="00B72D71" w:rsidP="00302A19">
            <w:pPr>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تغيير الوزارة ووحدة الأوزون الوطنية، وأن معدل الصرف الإجمالي للشريحة الثانية (2022) من المرحلة الأولى من خطة إدارة إزالة المواد الهيدروكلوروفلوروكربونية كان دون عتبة الصرف البالغة 20 في المائة، وحثّ حكومة الجمهورية العربية السورية على العمل مع اليونيب واليونيدو حتى يتسنى تقديم الشريحة الثالثة (2024) من المرحلة الأولى من خطة إدارة إزالة المواد الهيدروكلوروفلوروكربونية إلى الاجتماع التاسع والتسعين، مع خطة عمل منقحة تأخذ في الاعتبار إعادة تخصيص شريحة 2024 وما يليها من شرائح عند الضرورة، على أن يُفهم أن عتبة الصرف البالغة 20 في المائة لتمويل الشريحة السابقة قد تم تحقيقها.</w:t>
            </w:r>
          </w:p>
        </w:tc>
      </w:tr>
      <w:tr w:rsidR="00093133" w:rsidRPr="00806A4F" w14:paraId="0752F5E2" w14:textId="77777777" w:rsidTr="00501366">
        <w:trPr>
          <w:trHeight w:val="437"/>
        </w:trPr>
        <w:tc>
          <w:tcPr>
            <w:tcW w:w="2206" w:type="dxa"/>
            <w:vMerge/>
            <w:tcMar>
              <w:left w:w="72" w:type="dxa"/>
              <w:right w:w="72" w:type="dxa"/>
            </w:tcMar>
          </w:tcPr>
          <w:p w14:paraId="1E373923" w14:textId="77777777" w:rsidR="00302A19" w:rsidRPr="00806A4F" w:rsidRDefault="00302A19" w:rsidP="00302A19">
            <w:pPr>
              <w:bidi/>
              <w:jc w:val="left"/>
              <w:rPr>
                <w:rFonts w:eastAsiaTheme="minorEastAsia"/>
                <w:sz w:val="20"/>
                <w:lang w:val="en-CA" w:eastAsia="en-CA" w:bidi="ar-SA"/>
              </w:rPr>
            </w:pPr>
          </w:p>
        </w:tc>
        <w:tc>
          <w:tcPr>
            <w:tcW w:w="850" w:type="dxa"/>
            <w:tcMar>
              <w:left w:w="72" w:type="dxa"/>
              <w:right w:w="72" w:type="dxa"/>
            </w:tcMar>
          </w:tcPr>
          <w:p w14:paraId="4797B79A" w14:textId="7DED4D0F"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226B5827"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2024</w:t>
            </w:r>
          </w:p>
        </w:tc>
        <w:tc>
          <w:tcPr>
            <w:tcW w:w="2070" w:type="dxa"/>
            <w:tcMar>
              <w:left w:w="72" w:type="dxa"/>
              <w:right w:w="72" w:type="dxa"/>
            </w:tcMar>
          </w:tcPr>
          <w:p w14:paraId="0B219568"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924,965</w:t>
            </w:r>
          </w:p>
        </w:tc>
        <w:tc>
          <w:tcPr>
            <w:tcW w:w="2340" w:type="dxa"/>
            <w:tcMar>
              <w:left w:w="72" w:type="dxa"/>
              <w:right w:w="72" w:type="dxa"/>
            </w:tcMar>
          </w:tcPr>
          <w:p w14:paraId="226D63F7" w14:textId="13A8F925" w:rsidR="00302A19" w:rsidRPr="00806A4F" w:rsidRDefault="001667F5" w:rsidP="000839C2">
            <w:pPr>
              <w:bidi/>
              <w:jc w:val="left"/>
              <w:rPr>
                <w:rFonts w:eastAsiaTheme="minorEastAsia"/>
                <w:sz w:val="20"/>
                <w:lang w:val="en-CA" w:eastAsia="zh-CN" w:bidi="ar-SA"/>
              </w:rPr>
            </w:pPr>
            <w:r w:rsidRPr="00806A4F">
              <w:rPr>
                <w:rFonts w:eastAsiaTheme="minorEastAsia"/>
                <w:sz w:val="20"/>
                <w:rtl/>
                <w:lang w:val="en-CA" w:eastAsia="zh-CN" w:bidi="ar-SA"/>
              </w:rPr>
              <w:t xml:space="preserve">قرارات حكومية / موافقات </w:t>
            </w:r>
            <w:r w:rsidR="000839C2" w:rsidRPr="000839C2">
              <w:rPr>
                <w:rFonts w:eastAsiaTheme="minorEastAsia" w:hint="cs"/>
                <w:sz w:val="20"/>
                <w:rtl/>
                <w:lang w:val="en-CA" w:eastAsia="zh-CN" w:bidi="ar-SA"/>
              </w:rPr>
              <w:t>حكومية</w:t>
            </w:r>
            <w:r w:rsidRPr="00806A4F">
              <w:rPr>
                <w:rFonts w:eastAsiaTheme="minorEastAsia"/>
                <w:sz w:val="20"/>
                <w:rtl/>
                <w:lang w:val="en-CA" w:eastAsia="zh-CN" w:bidi="ar-SA"/>
              </w:rPr>
              <w:t>/ تغييرات في وحدة الأوزون الوطنية / عتبة صرف 20 في المائة</w:t>
            </w:r>
          </w:p>
        </w:tc>
        <w:tc>
          <w:tcPr>
            <w:tcW w:w="5748" w:type="dxa"/>
            <w:vMerge/>
          </w:tcPr>
          <w:p w14:paraId="59A0C283" w14:textId="77777777" w:rsidR="00302A19" w:rsidRPr="00806A4F" w:rsidRDefault="00302A19" w:rsidP="00302A19">
            <w:pPr>
              <w:bidi/>
              <w:jc w:val="left"/>
              <w:rPr>
                <w:rFonts w:eastAsiaTheme="minorEastAsia"/>
                <w:sz w:val="20"/>
                <w:lang w:val="en-CA" w:eastAsia="zh-CN" w:bidi="ar-SA"/>
              </w:rPr>
            </w:pPr>
          </w:p>
        </w:tc>
      </w:tr>
      <w:tr w:rsidR="00093133" w:rsidRPr="00806A4F" w14:paraId="3FB76865" w14:textId="77777777" w:rsidTr="00501366">
        <w:trPr>
          <w:trHeight w:val="394"/>
        </w:trPr>
        <w:tc>
          <w:tcPr>
            <w:tcW w:w="2206" w:type="dxa"/>
            <w:tcMar>
              <w:left w:w="72" w:type="dxa"/>
              <w:right w:w="72" w:type="dxa"/>
            </w:tcMar>
          </w:tcPr>
          <w:p w14:paraId="2DE1F196" w14:textId="06787563" w:rsidR="00302A19" w:rsidRPr="00806A4F" w:rsidRDefault="00437D01" w:rsidP="00302A19">
            <w:pPr>
              <w:keepNext/>
              <w:bidi/>
              <w:jc w:val="left"/>
              <w:rPr>
                <w:rFonts w:eastAsiaTheme="minorEastAsia"/>
                <w:b/>
                <w:sz w:val="20"/>
                <w:lang w:val="en-CA" w:eastAsia="en-CA" w:bidi="ar-SA"/>
              </w:rPr>
            </w:pPr>
            <w:r w:rsidRPr="00806A4F">
              <w:rPr>
                <w:rFonts w:eastAsiaTheme="minorEastAsia"/>
                <w:sz w:val="20"/>
                <w:rtl/>
                <w:lang w:val="en-CA" w:eastAsia="en-CA" w:bidi="ar-SA"/>
              </w:rPr>
              <w:t>تايلند (المرحلة الثانية من خطة إدارة إزالة المواد الهيدروكلوروفلوروكربونية)</w:t>
            </w:r>
          </w:p>
        </w:tc>
        <w:tc>
          <w:tcPr>
            <w:tcW w:w="850" w:type="dxa"/>
            <w:tcMar>
              <w:left w:w="72" w:type="dxa"/>
              <w:right w:w="72" w:type="dxa"/>
            </w:tcMar>
          </w:tcPr>
          <w:p w14:paraId="4FFDD7F7" w14:textId="048EFD4B"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البنك الدولي</w:t>
            </w:r>
          </w:p>
        </w:tc>
        <w:tc>
          <w:tcPr>
            <w:tcW w:w="1032" w:type="dxa"/>
            <w:tcMar>
              <w:left w:w="72" w:type="dxa"/>
              <w:right w:w="72" w:type="dxa"/>
            </w:tcMar>
          </w:tcPr>
          <w:p w14:paraId="5852FBB7"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2022</w:t>
            </w:r>
          </w:p>
        </w:tc>
        <w:tc>
          <w:tcPr>
            <w:tcW w:w="2070" w:type="dxa"/>
            <w:tcMar>
              <w:left w:w="72" w:type="dxa"/>
              <w:right w:w="72" w:type="dxa"/>
            </w:tcMar>
          </w:tcPr>
          <w:p w14:paraId="028F8549"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186,763</w:t>
            </w:r>
          </w:p>
        </w:tc>
        <w:tc>
          <w:tcPr>
            <w:tcW w:w="2340" w:type="dxa"/>
            <w:tcMar>
              <w:left w:w="72" w:type="dxa"/>
              <w:right w:w="72" w:type="dxa"/>
            </w:tcMar>
          </w:tcPr>
          <w:p w14:paraId="56F8E0EA" w14:textId="4654527E" w:rsidR="00302A19" w:rsidRPr="00806A4F" w:rsidRDefault="001667F5" w:rsidP="00302A19">
            <w:pPr>
              <w:keepNext/>
              <w:bidi/>
              <w:jc w:val="left"/>
              <w:rPr>
                <w:rFonts w:eastAsiaTheme="minorEastAsia"/>
                <w:sz w:val="20"/>
                <w:lang w:val="en-CA" w:eastAsia="zh-CN" w:bidi="ar-SA"/>
              </w:rPr>
            </w:pPr>
            <w:r w:rsidRPr="00806A4F">
              <w:rPr>
                <w:rFonts w:eastAsiaTheme="minorEastAsia"/>
                <w:sz w:val="20"/>
                <w:rtl/>
                <w:lang w:val="en-CA" w:eastAsia="zh-CN" w:bidi="ar-SA"/>
              </w:rPr>
              <w:t>توفر أموال كافية من الشريحة السابقة التي تمت الموافقة عليها.</w:t>
            </w:r>
          </w:p>
        </w:tc>
        <w:tc>
          <w:tcPr>
            <w:tcW w:w="5748" w:type="dxa"/>
          </w:tcPr>
          <w:p w14:paraId="24D94EF9" w14:textId="335F119D" w:rsidR="00302A19" w:rsidRPr="00806A4F" w:rsidRDefault="00B72D71" w:rsidP="00302A19">
            <w:pPr>
              <w:keepNext/>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أن هناك أموالاً كافية لا تزال متاحة من الشريحة المعتمدة سابقاً؛ وأن المرحلة الثانية من خطة إدارة إزالة المواد الهيدروكلوروفلوروكربونية قد اكتملت بنهاية عام 2025 وتم تقديم تقرير إكمال المشروع إلى الاجتماع الثامن والتسعين؛ وأن الشريحة الثالثة والأخيرة (2022) من المرحلة الثانية من خطة إدارة إزالة المواد الهيدروكلوروفلوروكربونية لن يتم طلبها مستقبلاً.</w:t>
            </w:r>
            <w:r w:rsidR="009863FA">
              <w:rPr>
                <w:rStyle w:val="FootnoteReference"/>
                <w:rFonts w:eastAsiaTheme="minorEastAsia"/>
                <w:sz w:val="20"/>
                <w:rtl/>
                <w:lang w:val="en-CA" w:eastAsia="zh-CN" w:bidi="ar-SA"/>
              </w:rPr>
              <w:footnoteReference w:id="10"/>
            </w:r>
          </w:p>
        </w:tc>
      </w:tr>
      <w:tr w:rsidR="00093133" w:rsidRPr="00806A4F" w14:paraId="5828C087" w14:textId="77777777" w:rsidTr="00501366">
        <w:trPr>
          <w:trHeight w:val="546"/>
        </w:trPr>
        <w:tc>
          <w:tcPr>
            <w:tcW w:w="2206" w:type="dxa"/>
            <w:vMerge w:val="restart"/>
            <w:tcMar>
              <w:left w:w="72" w:type="dxa"/>
              <w:right w:w="72" w:type="dxa"/>
            </w:tcMar>
          </w:tcPr>
          <w:p w14:paraId="2196716D" w14:textId="5D293C16"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t>تيمور-ليشتي (المرحلة الثانية من خطة إدارة إزالة المواد الهيدروكلوروفلوروكربونية)</w:t>
            </w:r>
          </w:p>
        </w:tc>
        <w:tc>
          <w:tcPr>
            <w:tcW w:w="850" w:type="dxa"/>
            <w:tcMar>
              <w:left w:w="72" w:type="dxa"/>
              <w:right w:w="72" w:type="dxa"/>
            </w:tcMar>
          </w:tcPr>
          <w:p w14:paraId="238A2C8E" w14:textId="68EAE16E" w:rsidR="00302A19" w:rsidRPr="00806A4F" w:rsidRDefault="00756DB6" w:rsidP="00756DB6">
            <w:pPr>
              <w:keepNext/>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06DC01C8"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413CFFFE"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15,173</w:t>
            </w:r>
          </w:p>
        </w:tc>
        <w:tc>
          <w:tcPr>
            <w:tcW w:w="2340" w:type="dxa"/>
            <w:tcMar>
              <w:left w:w="72" w:type="dxa"/>
              <w:right w:w="72" w:type="dxa"/>
            </w:tcMar>
          </w:tcPr>
          <w:p w14:paraId="5C357ECD" w14:textId="6467D3A7" w:rsidR="00302A19" w:rsidRPr="00806A4F" w:rsidRDefault="001667F5" w:rsidP="00302A19">
            <w:pPr>
              <w:bidi/>
              <w:jc w:val="left"/>
              <w:rPr>
                <w:rFonts w:eastAsiaTheme="minorEastAsia"/>
                <w:sz w:val="20"/>
                <w:lang w:val="en-CA" w:eastAsia="zh-CN" w:bidi="ar-SA"/>
              </w:rPr>
            </w:pPr>
            <w:r w:rsidRPr="00806A4F">
              <w:rPr>
                <w:rFonts w:eastAsiaTheme="minorEastAsia"/>
                <w:sz w:val="20"/>
                <w:rtl/>
                <w:lang w:val="en-CA" w:eastAsia="zh-CN" w:bidi="ar-SA"/>
              </w:rPr>
              <w:t>تأخيرات تشغيلية</w:t>
            </w:r>
          </w:p>
        </w:tc>
        <w:tc>
          <w:tcPr>
            <w:tcW w:w="5748" w:type="dxa"/>
            <w:vMerge w:val="restart"/>
            <w:tcMar>
              <w:left w:w="72" w:type="dxa"/>
              <w:right w:w="72" w:type="dxa"/>
            </w:tcMar>
          </w:tcPr>
          <w:p w14:paraId="0B4E5BE9" w14:textId="2FCB0B74" w:rsidR="00302A19" w:rsidRPr="00806A4F" w:rsidRDefault="00B72D71" w:rsidP="00302A19">
            <w:pPr>
              <w:bidi/>
              <w:jc w:val="left"/>
              <w:rPr>
                <w:rFonts w:eastAsiaTheme="minorEastAsia"/>
                <w:sz w:val="20"/>
                <w:lang w:val="en-CA" w:eastAsia="en-CA" w:bidi="ar-SA"/>
              </w:rPr>
            </w:pPr>
            <w:r w:rsidRPr="00806A4F">
              <w:rPr>
                <w:rFonts w:eastAsiaTheme="minorEastAsia"/>
                <w:sz w:val="20"/>
                <w:rtl/>
                <w:lang w:val="en-CA" w:eastAsia="zh-CN" w:bidi="ar-SA"/>
              </w:rPr>
              <w:t>مع الأخذ في الاعتبار أن هناك أموالاً كافية لا تزال متاحة من الشريحة المعتمدة سابقاً، وحثّ حكومة تيمور-ليشتي على العمل مع اليوئنديبي واليونيب حتى يتسنى تقديم الشريحة الرابعة (2025) من المرحلة الثانية من خطة إدارة إزالة المواد الهيدروكلوروفلوروكربونية إلى الاجتماع التاسع والتسعين، مع خطة عمل منقحة تأخذ في الاعتبار إعادة تخصيص شريحة 2025 عند الضرورة.</w:t>
            </w:r>
          </w:p>
        </w:tc>
      </w:tr>
      <w:tr w:rsidR="00093133" w:rsidRPr="00806A4F" w14:paraId="1D5B353D" w14:textId="77777777" w:rsidTr="00501366">
        <w:tc>
          <w:tcPr>
            <w:tcW w:w="2206" w:type="dxa"/>
            <w:vMerge/>
            <w:tcMar>
              <w:left w:w="72" w:type="dxa"/>
              <w:right w:w="72" w:type="dxa"/>
            </w:tcMar>
          </w:tcPr>
          <w:p w14:paraId="2E6ECE71" w14:textId="77777777" w:rsidR="00302A19" w:rsidRPr="00806A4F" w:rsidRDefault="00302A19" w:rsidP="00302A19">
            <w:pPr>
              <w:keepNext/>
              <w:bidi/>
              <w:jc w:val="left"/>
              <w:rPr>
                <w:rFonts w:eastAsiaTheme="minorEastAsia"/>
                <w:sz w:val="20"/>
                <w:lang w:val="en-CA" w:eastAsia="en-CA" w:bidi="ar-SA"/>
              </w:rPr>
            </w:pPr>
          </w:p>
        </w:tc>
        <w:tc>
          <w:tcPr>
            <w:tcW w:w="850" w:type="dxa"/>
            <w:tcMar>
              <w:left w:w="72" w:type="dxa"/>
              <w:right w:w="72" w:type="dxa"/>
            </w:tcMar>
          </w:tcPr>
          <w:p w14:paraId="6BF27EE5" w14:textId="373B711C"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50FAF9B9"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474B02A7"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23,594</w:t>
            </w:r>
          </w:p>
        </w:tc>
        <w:tc>
          <w:tcPr>
            <w:tcW w:w="2340" w:type="dxa"/>
            <w:tcMar>
              <w:left w:w="72" w:type="dxa"/>
              <w:right w:w="72" w:type="dxa"/>
            </w:tcMar>
          </w:tcPr>
          <w:p w14:paraId="23B18F58" w14:textId="468585DB" w:rsidR="00302A19" w:rsidRPr="00806A4F" w:rsidRDefault="001667F5" w:rsidP="00302A19">
            <w:pPr>
              <w:bidi/>
              <w:jc w:val="left"/>
              <w:rPr>
                <w:rFonts w:eastAsiaTheme="minorEastAsia"/>
                <w:sz w:val="20"/>
                <w:lang w:val="en-CA" w:eastAsia="zh-CN" w:bidi="ar-SA"/>
              </w:rPr>
            </w:pPr>
            <w:r w:rsidRPr="00806A4F">
              <w:rPr>
                <w:rFonts w:eastAsiaTheme="minorEastAsia"/>
                <w:sz w:val="20"/>
                <w:rtl/>
                <w:lang w:val="en-CA" w:eastAsia="zh-CN" w:bidi="ar-SA"/>
              </w:rPr>
              <w:t>توفر أموال كافية من الشريحة السابقة التي تمت الموافقة عليها.</w:t>
            </w:r>
          </w:p>
        </w:tc>
        <w:tc>
          <w:tcPr>
            <w:tcW w:w="5748" w:type="dxa"/>
            <w:vMerge/>
            <w:tcMar>
              <w:left w:w="72" w:type="dxa"/>
              <w:right w:w="72" w:type="dxa"/>
            </w:tcMar>
          </w:tcPr>
          <w:p w14:paraId="6DD4F22A" w14:textId="77777777" w:rsidR="00302A19" w:rsidRPr="00806A4F" w:rsidRDefault="00302A19" w:rsidP="00302A19">
            <w:pPr>
              <w:keepNext/>
              <w:bidi/>
              <w:jc w:val="left"/>
              <w:rPr>
                <w:rFonts w:eastAsiaTheme="minorEastAsia"/>
                <w:sz w:val="20"/>
                <w:lang w:val="en-CA" w:eastAsia="en-CA" w:bidi="ar-SA"/>
              </w:rPr>
            </w:pPr>
          </w:p>
        </w:tc>
      </w:tr>
      <w:tr w:rsidR="00093133" w:rsidRPr="00806A4F" w14:paraId="707801FC" w14:textId="77777777" w:rsidTr="00501366">
        <w:trPr>
          <w:trHeight w:val="394"/>
        </w:trPr>
        <w:tc>
          <w:tcPr>
            <w:tcW w:w="2206" w:type="dxa"/>
            <w:vMerge w:val="restart"/>
            <w:tcMar>
              <w:left w:w="72" w:type="dxa"/>
              <w:right w:w="72" w:type="dxa"/>
            </w:tcMar>
          </w:tcPr>
          <w:p w14:paraId="1F2066DA" w14:textId="67D56813" w:rsidR="00302A19" w:rsidRPr="00806A4F" w:rsidRDefault="00437D01" w:rsidP="00302A19">
            <w:pPr>
              <w:bidi/>
              <w:jc w:val="left"/>
              <w:rPr>
                <w:rFonts w:eastAsiaTheme="minorEastAsia"/>
                <w:sz w:val="20"/>
                <w:lang w:val="en-CA" w:eastAsia="en-CA" w:bidi="ar-SA"/>
              </w:rPr>
            </w:pPr>
            <w:r w:rsidRPr="00806A4F">
              <w:rPr>
                <w:rFonts w:eastAsiaTheme="minorEastAsia"/>
                <w:sz w:val="20"/>
                <w:rtl/>
                <w:lang w:val="en-CA" w:eastAsia="en-CA" w:bidi="ar-SA"/>
              </w:rPr>
              <w:t>جمهورية تنزانيا المتحدة (المرحلة الثانية من خطة إدارة إزالة المواد الهيدروكلوروفلوروكربونية)</w:t>
            </w:r>
          </w:p>
        </w:tc>
        <w:tc>
          <w:tcPr>
            <w:tcW w:w="850" w:type="dxa"/>
            <w:tcMar>
              <w:left w:w="72" w:type="dxa"/>
              <w:right w:w="72" w:type="dxa"/>
            </w:tcMar>
          </w:tcPr>
          <w:p w14:paraId="3916864C" w14:textId="03E3E32B"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اليونيب</w:t>
            </w:r>
          </w:p>
        </w:tc>
        <w:tc>
          <w:tcPr>
            <w:tcW w:w="1032" w:type="dxa"/>
            <w:tcMar>
              <w:left w:w="72" w:type="dxa"/>
              <w:right w:w="72" w:type="dxa"/>
            </w:tcMar>
          </w:tcPr>
          <w:p w14:paraId="302AE7EE"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79105286"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138,425</w:t>
            </w:r>
          </w:p>
        </w:tc>
        <w:tc>
          <w:tcPr>
            <w:tcW w:w="2340" w:type="dxa"/>
            <w:tcMar>
              <w:left w:w="72" w:type="dxa"/>
              <w:right w:w="72" w:type="dxa"/>
            </w:tcMar>
          </w:tcPr>
          <w:p w14:paraId="023AE04F" w14:textId="3BE585D5" w:rsidR="00302A19" w:rsidRPr="00806A4F" w:rsidRDefault="004F7AD4" w:rsidP="004F7AD4">
            <w:pPr>
              <w:bidi/>
              <w:jc w:val="left"/>
              <w:rPr>
                <w:rFonts w:eastAsiaTheme="minorEastAsia"/>
                <w:sz w:val="20"/>
                <w:lang w:val="en-CA" w:eastAsia="zh-CN" w:bidi="ar-SA"/>
              </w:rPr>
            </w:pPr>
            <w:r w:rsidRPr="004F7AD4">
              <w:rPr>
                <w:rFonts w:eastAsiaTheme="minorEastAsia"/>
                <w:sz w:val="20"/>
                <w:rtl/>
                <w:lang w:val="en-CA" w:eastAsia="zh-CN" w:bidi="ar-SA"/>
              </w:rPr>
              <w:t xml:space="preserve">قرارات حكومية </w:t>
            </w:r>
            <w:r w:rsidR="00F31608" w:rsidRPr="00806A4F">
              <w:rPr>
                <w:rFonts w:eastAsiaTheme="minorEastAsia"/>
                <w:sz w:val="20"/>
                <w:rtl/>
                <w:lang w:val="en-CA" w:eastAsia="zh-CN" w:bidi="ar-SA"/>
              </w:rPr>
              <w:t>/موافقات</w:t>
            </w:r>
            <w:r w:rsidR="000839C2" w:rsidRPr="000839C2">
              <w:rPr>
                <w:rFonts w:eastAsiaTheme="minorEastAsia" w:hint="cs"/>
                <w:sz w:val="20"/>
                <w:rtl/>
                <w:lang w:val="en-CA" w:eastAsia="zh-CN" w:bidi="ar-SA"/>
              </w:rPr>
              <w:t xml:space="preserve"> </w:t>
            </w:r>
            <w:r w:rsidR="000839C2">
              <w:rPr>
                <w:rFonts w:eastAsiaTheme="minorEastAsia" w:hint="cs"/>
                <w:sz w:val="20"/>
                <w:rtl/>
                <w:lang w:val="en-CA" w:eastAsia="zh-CN" w:bidi="ar-SA"/>
              </w:rPr>
              <w:t>ال</w:t>
            </w:r>
            <w:r w:rsidR="000839C2" w:rsidRPr="000839C2">
              <w:rPr>
                <w:rFonts w:eastAsiaTheme="minorEastAsia" w:hint="cs"/>
                <w:sz w:val="20"/>
                <w:rtl/>
                <w:lang w:val="en-CA" w:eastAsia="zh-CN" w:bidi="ar-SA"/>
              </w:rPr>
              <w:t>حكومية</w:t>
            </w:r>
            <w:r w:rsidR="00F31608" w:rsidRPr="00806A4F">
              <w:rPr>
                <w:rFonts w:eastAsiaTheme="minorEastAsia"/>
                <w:sz w:val="20"/>
                <w:rtl/>
                <w:lang w:val="en-CA" w:eastAsia="zh-CN" w:bidi="ar-SA"/>
              </w:rPr>
              <w:t>/تغييرات في وحدة الأوزون الوطنية</w:t>
            </w:r>
          </w:p>
        </w:tc>
        <w:tc>
          <w:tcPr>
            <w:tcW w:w="5748" w:type="dxa"/>
            <w:vMerge w:val="restart"/>
          </w:tcPr>
          <w:p w14:paraId="27BBF378" w14:textId="3931C3B8" w:rsidR="00302A19" w:rsidRPr="00806A4F" w:rsidRDefault="00B72D71" w:rsidP="00302A19">
            <w:pPr>
              <w:keepNext/>
              <w:bidi/>
              <w:jc w:val="left"/>
              <w:rPr>
                <w:rFonts w:eastAsiaTheme="minorEastAsia"/>
                <w:sz w:val="20"/>
                <w:lang w:val="en-CA" w:eastAsia="zh-CN" w:bidi="ar-SA"/>
              </w:rPr>
            </w:pPr>
            <w:r w:rsidRPr="00806A4F">
              <w:rPr>
                <w:rFonts w:eastAsiaTheme="minorEastAsia"/>
                <w:sz w:val="20"/>
                <w:rtl/>
                <w:lang w:val="en-CA" w:eastAsia="zh-CN" w:bidi="ar-SA"/>
              </w:rPr>
              <w:t>مع الأخذ في الاعتبار التأخيرات الناتجة عن الاضطرابات السياسية، وحثّ حكومة جمهورية تنزانيا المتحدة على العمل مع اليونيب واليونيدو حتى يتسنى تقديم الشريحة الثانية (2026) من المرحلة الثانية من خطة إدارة إزالة المواد الهيدروكلوروفلوروكربونية إلى الاجتماع التاسع والتسعين.</w:t>
            </w:r>
          </w:p>
        </w:tc>
      </w:tr>
      <w:tr w:rsidR="00093133" w:rsidRPr="00806A4F" w14:paraId="3C55C113" w14:textId="77777777" w:rsidTr="00501366">
        <w:trPr>
          <w:trHeight w:val="394"/>
        </w:trPr>
        <w:tc>
          <w:tcPr>
            <w:tcW w:w="2206" w:type="dxa"/>
            <w:vMerge/>
            <w:tcMar>
              <w:left w:w="72" w:type="dxa"/>
              <w:right w:w="72" w:type="dxa"/>
            </w:tcMar>
          </w:tcPr>
          <w:p w14:paraId="46F104A7" w14:textId="77777777" w:rsidR="00302A19" w:rsidRPr="00806A4F" w:rsidRDefault="00302A19" w:rsidP="00302A19">
            <w:pPr>
              <w:bidi/>
              <w:jc w:val="left"/>
              <w:rPr>
                <w:rFonts w:eastAsiaTheme="minorEastAsia"/>
                <w:b/>
                <w:sz w:val="20"/>
                <w:lang w:val="en-CA" w:eastAsia="en-CA" w:bidi="ar-SA"/>
              </w:rPr>
            </w:pPr>
          </w:p>
        </w:tc>
        <w:tc>
          <w:tcPr>
            <w:tcW w:w="850" w:type="dxa"/>
            <w:tcMar>
              <w:left w:w="72" w:type="dxa"/>
              <w:right w:w="72" w:type="dxa"/>
            </w:tcMar>
          </w:tcPr>
          <w:p w14:paraId="274C47EC" w14:textId="56CD7F75"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346FE6A0"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43EF6350"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76,300</w:t>
            </w:r>
          </w:p>
        </w:tc>
        <w:tc>
          <w:tcPr>
            <w:tcW w:w="2340" w:type="dxa"/>
            <w:tcMar>
              <w:left w:w="72" w:type="dxa"/>
              <w:right w:w="72" w:type="dxa"/>
            </w:tcMar>
          </w:tcPr>
          <w:p w14:paraId="51C1D013" w14:textId="1A41ACFE" w:rsidR="00302A19" w:rsidRPr="00806A4F" w:rsidRDefault="004F7AD4" w:rsidP="004F7AD4">
            <w:pPr>
              <w:bidi/>
              <w:jc w:val="left"/>
              <w:rPr>
                <w:rFonts w:eastAsiaTheme="minorEastAsia"/>
                <w:sz w:val="20"/>
                <w:lang w:val="en-CA" w:eastAsia="zh-CN" w:bidi="ar-SA"/>
              </w:rPr>
            </w:pPr>
            <w:r w:rsidRPr="004F7AD4">
              <w:rPr>
                <w:rFonts w:eastAsiaTheme="minorEastAsia"/>
                <w:sz w:val="20"/>
                <w:rtl/>
                <w:lang w:val="en-CA" w:eastAsia="zh-CN" w:bidi="ar-SA"/>
              </w:rPr>
              <w:t xml:space="preserve">قرارات حكومية </w:t>
            </w:r>
            <w:r w:rsidR="00F31608" w:rsidRPr="00806A4F">
              <w:rPr>
                <w:rFonts w:eastAsiaTheme="minorEastAsia"/>
                <w:sz w:val="20"/>
                <w:rtl/>
                <w:lang w:val="en-CA" w:eastAsia="zh-CN" w:bidi="ar-SA"/>
              </w:rPr>
              <w:t>/موافقات</w:t>
            </w:r>
            <w:r w:rsidR="000839C2">
              <w:rPr>
                <w:rFonts w:eastAsiaTheme="minorEastAsia" w:hint="cs"/>
                <w:sz w:val="20"/>
                <w:rtl/>
                <w:lang w:val="en-CA" w:eastAsia="zh-CN" w:bidi="ar-SA"/>
              </w:rPr>
              <w:t xml:space="preserve"> الحكومية</w:t>
            </w:r>
            <w:r w:rsidR="00F31608" w:rsidRPr="00806A4F">
              <w:rPr>
                <w:rFonts w:eastAsiaTheme="minorEastAsia"/>
                <w:sz w:val="20"/>
                <w:rtl/>
                <w:lang w:val="en-CA" w:eastAsia="zh-CN" w:bidi="ar-SA"/>
              </w:rPr>
              <w:t>/تغييرات في وحدة الأوزون الوطنية</w:t>
            </w:r>
          </w:p>
        </w:tc>
        <w:tc>
          <w:tcPr>
            <w:tcW w:w="5748" w:type="dxa"/>
            <w:vMerge/>
          </w:tcPr>
          <w:p w14:paraId="135844D8" w14:textId="77777777" w:rsidR="00302A19" w:rsidRPr="00806A4F" w:rsidRDefault="00302A19" w:rsidP="00302A19">
            <w:pPr>
              <w:keepNext/>
              <w:bidi/>
              <w:jc w:val="left"/>
              <w:rPr>
                <w:rFonts w:eastAsiaTheme="minorEastAsia"/>
                <w:sz w:val="20"/>
                <w:lang w:val="en-CA" w:eastAsia="zh-CN" w:bidi="ar-SA"/>
              </w:rPr>
            </w:pPr>
          </w:p>
        </w:tc>
      </w:tr>
      <w:tr w:rsidR="00093133" w:rsidRPr="00806A4F" w14:paraId="352CF021" w14:textId="77777777" w:rsidTr="00501366">
        <w:trPr>
          <w:trHeight w:val="377"/>
        </w:trPr>
        <w:tc>
          <w:tcPr>
            <w:tcW w:w="2206" w:type="dxa"/>
            <w:vMerge w:val="restart"/>
            <w:tcMar>
              <w:left w:w="72" w:type="dxa"/>
              <w:right w:w="72" w:type="dxa"/>
            </w:tcMar>
          </w:tcPr>
          <w:p w14:paraId="71FDBEFC" w14:textId="1EF6FF6E" w:rsidR="00302A19" w:rsidRPr="00806A4F" w:rsidRDefault="00437D01" w:rsidP="00302A19">
            <w:pPr>
              <w:keepNext/>
              <w:bidi/>
              <w:jc w:val="left"/>
              <w:rPr>
                <w:rFonts w:eastAsiaTheme="minorEastAsia"/>
                <w:sz w:val="20"/>
                <w:lang w:val="en-CA" w:eastAsia="en-CA" w:bidi="ar-SA"/>
              </w:rPr>
            </w:pPr>
            <w:r w:rsidRPr="00806A4F">
              <w:rPr>
                <w:rFonts w:eastAsiaTheme="minorEastAsia"/>
                <w:sz w:val="20"/>
                <w:rtl/>
                <w:lang w:val="en-CA" w:eastAsia="en-CA" w:bidi="ar-SA"/>
              </w:rPr>
              <w:t>أوروغواي (المرحلة الثالثة من خطة إدارة إزالة المواد الهيدروكلوروفلوروكربونية)</w:t>
            </w:r>
          </w:p>
        </w:tc>
        <w:tc>
          <w:tcPr>
            <w:tcW w:w="850" w:type="dxa"/>
            <w:tcMar>
              <w:left w:w="72" w:type="dxa"/>
              <w:right w:w="72" w:type="dxa"/>
            </w:tcMar>
          </w:tcPr>
          <w:p w14:paraId="2E94CC26" w14:textId="05742BB0" w:rsidR="00302A19" w:rsidRPr="00806A4F" w:rsidRDefault="00756DB6" w:rsidP="00756DB6">
            <w:pPr>
              <w:keepNext/>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1D68985C"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50A9D0FF"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349,483</w:t>
            </w:r>
          </w:p>
        </w:tc>
        <w:tc>
          <w:tcPr>
            <w:tcW w:w="2340" w:type="dxa"/>
            <w:tcMar>
              <w:left w:w="72" w:type="dxa"/>
              <w:right w:w="72" w:type="dxa"/>
            </w:tcMar>
          </w:tcPr>
          <w:p w14:paraId="1DC39CBB" w14:textId="1A4CFAD5" w:rsidR="00302A19" w:rsidRPr="00806A4F" w:rsidRDefault="00F31608" w:rsidP="00302A19">
            <w:pPr>
              <w:keepNext/>
              <w:bidi/>
              <w:jc w:val="left"/>
              <w:rPr>
                <w:rFonts w:eastAsiaTheme="minorEastAsia"/>
                <w:sz w:val="20"/>
                <w:lang w:val="en-CA" w:eastAsia="zh-CN" w:bidi="ar-SA"/>
              </w:rPr>
            </w:pPr>
            <w:r w:rsidRPr="00806A4F">
              <w:rPr>
                <w:rFonts w:eastAsiaTheme="minorEastAsia"/>
                <w:sz w:val="20"/>
                <w:rtl/>
                <w:lang w:val="en-CA" w:eastAsia="zh-CN" w:bidi="ar-SA"/>
              </w:rPr>
              <w:t>تأخيرات في المشتريات</w:t>
            </w:r>
          </w:p>
        </w:tc>
        <w:tc>
          <w:tcPr>
            <w:tcW w:w="5748" w:type="dxa"/>
            <w:vMerge w:val="restart"/>
            <w:tcMar>
              <w:left w:w="72" w:type="dxa"/>
              <w:right w:w="72" w:type="dxa"/>
            </w:tcMar>
          </w:tcPr>
          <w:p w14:paraId="74608075" w14:textId="0766547F" w:rsidR="00302A19" w:rsidRPr="00806A4F" w:rsidRDefault="00B72D71" w:rsidP="00302A19">
            <w:pPr>
              <w:keepNext/>
              <w:bidi/>
              <w:jc w:val="left"/>
              <w:rPr>
                <w:rFonts w:eastAsiaTheme="minorEastAsia"/>
                <w:sz w:val="20"/>
                <w:lang w:val="en-CA" w:eastAsia="en-CA" w:bidi="ar-SA"/>
              </w:rPr>
            </w:pPr>
            <w:r w:rsidRPr="00806A4F">
              <w:rPr>
                <w:rFonts w:eastAsiaTheme="minorEastAsia"/>
                <w:sz w:val="20"/>
                <w:rtl/>
                <w:lang w:val="en-CA" w:eastAsia="zh-CN" w:bidi="ar-SA"/>
              </w:rPr>
              <w:t xml:space="preserve">مع الأخذ في الاعتبار التأخيرات الناتجة عن </w:t>
            </w:r>
            <w:r w:rsidR="00F373C9">
              <w:rPr>
                <w:rFonts w:eastAsiaTheme="minorEastAsia" w:hint="cs"/>
                <w:sz w:val="20"/>
                <w:rtl/>
                <w:lang w:val="en-CA" w:eastAsia="zh-CN" w:bidi="ar-SA"/>
              </w:rPr>
              <w:t>شراء</w:t>
            </w:r>
            <w:r w:rsidRPr="00806A4F">
              <w:rPr>
                <w:rFonts w:eastAsiaTheme="minorEastAsia"/>
                <w:sz w:val="20"/>
                <w:rtl/>
                <w:lang w:val="en-CA" w:eastAsia="zh-CN" w:bidi="ar-SA"/>
              </w:rPr>
              <w:t xml:space="preserve"> الأدوات والمعدات، وحثّ حكومة أوروغواي على العمل مع اليوئنديبي واليونيدو حتى يتسنى تقديم الشريحة الثالثة (2026) من المرحلة الثالثة من خطة إدارة إزالة المواد الهيدروكلوروفلوروكربونية إلى الاجتماع التاسع والتسعين. </w:t>
            </w:r>
          </w:p>
        </w:tc>
      </w:tr>
      <w:tr w:rsidR="00093133" w:rsidRPr="00806A4F" w14:paraId="42D0F0A1" w14:textId="77777777" w:rsidTr="00501366">
        <w:tc>
          <w:tcPr>
            <w:tcW w:w="2206" w:type="dxa"/>
            <w:vMerge/>
            <w:tcMar>
              <w:left w:w="72" w:type="dxa"/>
              <w:right w:w="72" w:type="dxa"/>
            </w:tcMar>
          </w:tcPr>
          <w:p w14:paraId="180503EC" w14:textId="77777777" w:rsidR="00302A19" w:rsidRPr="00806A4F" w:rsidRDefault="00302A19" w:rsidP="00302A19">
            <w:pPr>
              <w:keepNext/>
              <w:bidi/>
              <w:jc w:val="left"/>
              <w:rPr>
                <w:rFonts w:eastAsiaTheme="minorEastAsia"/>
                <w:sz w:val="20"/>
                <w:lang w:val="en-CA" w:eastAsia="en-CA" w:bidi="ar-SA"/>
              </w:rPr>
            </w:pPr>
          </w:p>
        </w:tc>
        <w:tc>
          <w:tcPr>
            <w:tcW w:w="850" w:type="dxa"/>
            <w:tcMar>
              <w:left w:w="72" w:type="dxa"/>
              <w:right w:w="72" w:type="dxa"/>
            </w:tcMar>
          </w:tcPr>
          <w:p w14:paraId="137437B9" w14:textId="40ADDCE1"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اليونيدو</w:t>
            </w:r>
          </w:p>
        </w:tc>
        <w:tc>
          <w:tcPr>
            <w:tcW w:w="1032" w:type="dxa"/>
            <w:tcMar>
              <w:left w:w="72" w:type="dxa"/>
              <w:right w:w="72" w:type="dxa"/>
            </w:tcMar>
          </w:tcPr>
          <w:p w14:paraId="6C8A7684"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16F19CA4"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30,215</w:t>
            </w:r>
          </w:p>
        </w:tc>
        <w:tc>
          <w:tcPr>
            <w:tcW w:w="2340" w:type="dxa"/>
            <w:tcMar>
              <w:left w:w="72" w:type="dxa"/>
              <w:right w:w="72" w:type="dxa"/>
            </w:tcMar>
          </w:tcPr>
          <w:p w14:paraId="4E130EA0" w14:textId="4CF467B3" w:rsidR="00302A19" w:rsidRPr="00806A4F" w:rsidRDefault="004F7AD4" w:rsidP="004F7AD4">
            <w:pPr>
              <w:bidi/>
              <w:jc w:val="left"/>
              <w:rPr>
                <w:rFonts w:eastAsiaTheme="minorEastAsia"/>
                <w:sz w:val="20"/>
                <w:lang w:val="en-CA" w:eastAsia="zh-CN" w:bidi="ar-SA"/>
              </w:rPr>
            </w:pPr>
            <w:r w:rsidRPr="004F7AD4">
              <w:rPr>
                <w:rFonts w:eastAsiaTheme="minorEastAsia"/>
                <w:sz w:val="20"/>
                <w:rtl/>
                <w:lang w:val="en-CA" w:eastAsia="zh-CN" w:bidi="ar-SA"/>
              </w:rPr>
              <w:t xml:space="preserve">قرارات حكومية </w:t>
            </w:r>
            <w:r w:rsidR="00F31608" w:rsidRPr="00806A4F">
              <w:rPr>
                <w:rFonts w:eastAsiaTheme="minorEastAsia"/>
                <w:sz w:val="20"/>
                <w:rtl/>
                <w:lang w:val="en-CA" w:eastAsia="zh-CN" w:bidi="ar-SA"/>
              </w:rPr>
              <w:t>/موافقات</w:t>
            </w:r>
            <w:r w:rsidR="000839C2">
              <w:rPr>
                <w:rFonts w:eastAsiaTheme="minorEastAsia" w:hint="cs"/>
                <w:sz w:val="20"/>
                <w:rtl/>
                <w:lang w:val="en-CA" w:eastAsia="zh-CN" w:bidi="ar-SA"/>
              </w:rPr>
              <w:t xml:space="preserve"> الحكومية</w:t>
            </w:r>
            <w:r w:rsidR="00F31608" w:rsidRPr="00806A4F">
              <w:rPr>
                <w:rFonts w:eastAsiaTheme="minorEastAsia"/>
                <w:sz w:val="20"/>
                <w:rtl/>
                <w:lang w:val="en-CA" w:eastAsia="zh-CN" w:bidi="ar-SA"/>
              </w:rPr>
              <w:t>/تغييرات في وحدة الأوزون الوطنية</w:t>
            </w:r>
          </w:p>
        </w:tc>
        <w:tc>
          <w:tcPr>
            <w:tcW w:w="5748" w:type="dxa"/>
            <w:vMerge/>
            <w:tcMar>
              <w:left w:w="72" w:type="dxa"/>
              <w:right w:w="72" w:type="dxa"/>
            </w:tcMar>
          </w:tcPr>
          <w:p w14:paraId="4C25022A" w14:textId="77777777" w:rsidR="00302A19" w:rsidRPr="00806A4F" w:rsidRDefault="00302A19" w:rsidP="00302A19">
            <w:pPr>
              <w:keepNext/>
              <w:bidi/>
              <w:jc w:val="left"/>
              <w:rPr>
                <w:rFonts w:eastAsiaTheme="minorEastAsia"/>
                <w:sz w:val="20"/>
                <w:lang w:val="en-CA" w:eastAsia="en-CA" w:bidi="ar-SA"/>
              </w:rPr>
            </w:pPr>
          </w:p>
        </w:tc>
      </w:tr>
      <w:tr w:rsidR="00E658E0" w:rsidRPr="00806A4F" w14:paraId="0B3F37D8" w14:textId="77777777" w:rsidTr="00501366">
        <w:tc>
          <w:tcPr>
            <w:tcW w:w="2206" w:type="dxa"/>
            <w:tcMar>
              <w:left w:w="72" w:type="dxa"/>
              <w:right w:w="72" w:type="dxa"/>
            </w:tcMar>
          </w:tcPr>
          <w:p w14:paraId="3D8CF6EB" w14:textId="3FA82156" w:rsidR="00302A19" w:rsidRPr="00806A4F" w:rsidRDefault="00995309" w:rsidP="00302A19">
            <w:pPr>
              <w:bidi/>
              <w:jc w:val="left"/>
              <w:rPr>
                <w:rFonts w:eastAsiaTheme="minorEastAsia"/>
                <w:sz w:val="20"/>
                <w:lang w:val="en-CA" w:eastAsia="en-CA" w:bidi="ar-SA"/>
              </w:rPr>
            </w:pPr>
            <w:r w:rsidRPr="00806A4F">
              <w:rPr>
                <w:rFonts w:eastAsiaTheme="minorEastAsia"/>
                <w:sz w:val="20"/>
                <w:rtl/>
                <w:lang w:val="en-CA" w:eastAsia="en-CA" w:bidi="ar-SA"/>
              </w:rPr>
              <w:t>فنزويلا (جمهورية فنزويلا البوليفارية) (المرحلة الثانية من خطة إدارة إزالة المواد الهيدروكلوروفلوروكربونية)</w:t>
            </w:r>
          </w:p>
        </w:tc>
        <w:tc>
          <w:tcPr>
            <w:tcW w:w="850" w:type="dxa"/>
            <w:tcMar>
              <w:left w:w="72" w:type="dxa"/>
              <w:right w:w="72" w:type="dxa"/>
            </w:tcMar>
          </w:tcPr>
          <w:p w14:paraId="63E96E89" w14:textId="386C805F" w:rsidR="00302A19" w:rsidRPr="00806A4F" w:rsidRDefault="00756DB6" w:rsidP="00756DB6">
            <w:pPr>
              <w:keepNext/>
              <w:bidi/>
              <w:jc w:val="left"/>
              <w:rPr>
                <w:rFonts w:eastAsiaTheme="minorEastAsia"/>
                <w:sz w:val="20"/>
                <w:lang w:val="en-CA" w:eastAsia="en-CA" w:bidi="ar-SA"/>
              </w:rPr>
            </w:pPr>
            <w:r w:rsidRPr="00806A4F">
              <w:rPr>
                <w:rFonts w:eastAsiaTheme="minorEastAsia"/>
                <w:sz w:val="20"/>
                <w:rtl/>
                <w:lang w:val="en-CA" w:eastAsia="en-CA" w:bidi="ar-SA"/>
              </w:rPr>
              <w:t>اليوئنديبي</w:t>
            </w:r>
          </w:p>
        </w:tc>
        <w:tc>
          <w:tcPr>
            <w:tcW w:w="1032" w:type="dxa"/>
            <w:tcMar>
              <w:left w:w="72" w:type="dxa"/>
              <w:right w:w="72" w:type="dxa"/>
            </w:tcMar>
          </w:tcPr>
          <w:p w14:paraId="0D425D75"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2025</w:t>
            </w:r>
          </w:p>
        </w:tc>
        <w:tc>
          <w:tcPr>
            <w:tcW w:w="2070" w:type="dxa"/>
            <w:tcMar>
              <w:left w:w="72" w:type="dxa"/>
              <w:right w:w="72" w:type="dxa"/>
            </w:tcMar>
          </w:tcPr>
          <w:p w14:paraId="46080342"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526,654</w:t>
            </w:r>
          </w:p>
        </w:tc>
        <w:tc>
          <w:tcPr>
            <w:tcW w:w="2340" w:type="dxa"/>
            <w:tcMar>
              <w:left w:w="72" w:type="dxa"/>
              <w:right w:w="72" w:type="dxa"/>
            </w:tcMar>
          </w:tcPr>
          <w:p w14:paraId="3C71C5D5" w14:textId="6D0626B1" w:rsidR="00302A19" w:rsidRPr="00806A4F" w:rsidRDefault="00F31608" w:rsidP="00302A19">
            <w:pPr>
              <w:keepNext/>
              <w:bidi/>
              <w:jc w:val="left"/>
              <w:rPr>
                <w:rFonts w:eastAsiaTheme="minorEastAsia"/>
                <w:sz w:val="20"/>
                <w:lang w:val="en-CA" w:eastAsia="en-CA" w:bidi="ar-SA"/>
              </w:rPr>
            </w:pPr>
            <w:r w:rsidRPr="00806A4F">
              <w:rPr>
                <w:rFonts w:eastAsiaTheme="minorEastAsia"/>
                <w:sz w:val="20"/>
                <w:rtl/>
                <w:lang w:val="en-CA" w:eastAsia="en-CA" w:bidi="ar-SA"/>
              </w:rPr>
              <w:t>صعوبات داخلية أو خارجية</w:t>
            </w:r>
          </w:p>
        </w:tc>
        <w:tc>
          <w:tcPr>
            <w:tcW w:w="5748" w:type="dxa"/>
            <w:tcMar>
              <w:left w:w="72" w:type="dxa"/>
              <w:right w:w="72" w:type="dxa"/>
            </w:tcMar>
          </w:tcPr>
          <w:p w14:paraId="73BF4176" w14:textId="6D8BDE77" w:rsidR="00302A19" w:rsidRPr="00806A4F" w:rsidRDefault="00995309" w:rsidP="00302A19">
            <w:pPr>
              <w:keepNext/>
              <w:bidi/>
              <w:jc w:val="left"/>
              <w:rPr>
                <w:rFonts w:eastAsiaTheme="minorEastAsia"/>
                <w:sz w:val="20"/>
                <w:lang w:val="en-CA" w:eastAsia="en-CA" w:bidi="ar-SA"/>
              </w:rPr>
            </w:pPr>
            <w:r w:rsidRPr="00806A4F">
              <w:rPr>
                <w:rFonts w:eastAsiaTheme="minorEastAsia"/>
                <w:sz w:val="20"/>
                <w:rtl/>
                <w:lang w:val="en-CA" w:eastAsia="zh-CN" w:bidi="ar-SA"/>
              </w:rPr>
              <w:t xml:space="preserve">مع الأخذ في الاعتبار التأخيرات الناتجة عن عوامل خارجية أثرت على تنفيذ المشروع، وحثّ حكومة جمهورية فنزويلا البوليفارية على العمل مع اليونيدو حتى يتسنى تقديم الشريحة الرابعة (2025) من المرحلة الثانية من خطة إدارة إزالة المواد </w:t>
            </w:r>
            <w:r w:rsidRPr="00806A4F">
              <w:rPr>
                <w:rFonts w:eastAsiaTheme="minorEastAsia"/>
                <w:sz w:val="20"/>
                <w:rtl/>
                <w:lang w:val="en-CA" w:eastAsia="zh-CN" w:bidi="ar-SA"/>
              </w:rPr>
              <w:lastRenderedPageBreak/>
              <w:t>الهيدروكلوروفلوروكربونية إلى الاجتماع التاسع والتسعين، مع خطة عمل منقحة تأخذ في الاعتبار إعادة تخصيص شريحة 2025 وما يليها من شرائح عند الضرورة.</w:t>
            </w:r>
          </w:p>
        </w:tc>
      </w:tr>
      <w:tr w:rsidR="00093133" w:rsidRPr="00806A4F" w14:paraId="16447E08" w14:textId="77777777" w:rsidTr="00501366">
        <w:tc>
          <w:tcPr>
            <w:tcW w:w="2206" w:type="dxa"/>
            <w:tcMar>
              <w:left w:w="72" w:type="dxa"/>
              <w:right w:w="72" w:type="dxa"/>
            </w:tcMar>
          </w:tcPr>
          <w:p w14:paraId="32DDC266" w14:textId="38F87E25" w:rsidR="00302A19" w:rsidRPr="00806A4F" w:rsidRDefault="00995309" w:rsidP="00302A19">
            <w:pPr>
              <w:bidi/>
              <w:jc w:val="left"/>
              <w:rPr>
                <w:rFonts w:eastAsiaTheme="minorEastAsia"/>
                <w:sz w:val="20"/>
                <w:lang w:val="en-CA" w:eastAsia="en-CA" w:bidi="ar-SA"/>
              </w:rPr>
            </w:pPr>
            <w:r w:rsidRPr="00806A4F">
              <w:rPr>
                <w:rFonts w:eastAsiaTheme="minorEastAsia"/>
                <w:sz w:val="20"/>
                <w:rtl/>
                <w:lang w:val="en-CA" w:eastAsia="en-CA" w:bidi="ar-SA"/>
              </w:rPr>
              <w:lastRenderedPageBreak/>
              <w:t>فييت نام (المرحلة الثالثة من خطة إدارة إزالة المواد الهيدروكلوروفلوروكربونية)</w:t>
            </w:r>
          </w:p>
        </w:tc>
        <w:tc>
          <w:tcPr>
            <w:tcW w:w="850" w:type="dxa"/>
            <w:tcMar>
              <w:left w:w="72" w:type="dxa"/>
              <w:right w:w="72" w:type="dxa"/>
            </w:tcMar>
          </w:tcPr>
          <w:p w14:paraId="00779B1A" w14:textId="348D1B6E" w:rsidR="00302A19" w:rsidRPr="00806A4F" w:rsidRDefault="00756DB6" w:rsidP="00302A19">
            <w:pPr>
              <w:keepNext/>
              <w:bidi/>
              <w:jc w:val="left"/>
              <w:rPr>
                <w:rFonts w:eastAsiaTheme="minorEastAsia"/>
                <w:sz w:val="20"/>
                <w:lang w:val="en-CA" w:eastAsia="en-CA" w:bidi="ar-SA"/>
              </w:rPr>
            </w:pPr>
            <w:r w:rsidRPr="00806A4F">
              <w:rPr>
                <w:rFonts w:eastAsiaTheme="minorEastAsia"/>
                <w:sz w:val="20"/>
                <w:rtl/>
                <w:lang w:val="en-CA" w:eastAsia="en-CA" w:bidi="ar-SA"/>
              </w:rPr>
              <w:t>البنك الدولي</w:t>
            </w:r>
          </w:p>
        </w:tc>
        <w:tc>
          <w:tcPr>
            <w:tcW w:w="1032" w:type="dxa"/>
            <w:tcMar>
              <w:left w:w="72" w:type="dxa"/>
              <w:right w:w="72" w:type="dxa"/>
            </w:tcMar>
          </w:tcPr>
          <w:p w14:paraId="0785D1F9" w14:textId="77777777" w:rsidR="00302A19" w:rsidRPr="00806A4F" w:rsidRDefault="00302A19" w:rsidP="00302A19">
            <w:pPr>
              <w:keepNext/>
              <w:bidi/>
              <w:jc w:val="center"/>
              <w:rPr>
                <w:rFonts w:eastAsiaTheme="minorEastAsia"/>
                <w:sz w:val="20"/>
                <w:lang w:val="en-CA" w:eastAsia="en-CA" w:bidi="ar-SA"/>
              </w:rPr>
            </w:pPr>
            <w:r w:rsidRPr="00806A4F">
              <w:rPr>
                <w:rFonts w:eastAsiaTheme="minorEastAsia"/>
                <w:sz w:val="20"/>
                <w:lang w:val="en-CA" w:eastAsia="en-CA" w:bidi="ar-SA"/>
              </w:rPr>
              <w:t>2026</w:t>
            </w:r>
          </w:p>
        </w:tc>
        <w:tc>
          <w:tcPr>
            <w:tcW w:w="2070" w:type="dxa"/>
            <w:tcMar>
              <w:left w:w="72" w:type="dxa"/>
              <w:right w:w="72" w:type="dxa"/>
            </w:tcMar>
          </w:tcPr>
          <w:p w14:paraId="33D4E04D" w14:textId="77777777" w:rsidR="00302A19" w:rsidRPr="00806A4F" w:rsidRDefault="00302A19" w:rsidP="00730276">
            <w:pPr>
              <w:bidi/>
              <w:ind w:left="-83" w:firstLine="83"/>
              <w:jc w:val="left"/>
              <w:rPr>
                <w:rFonts w:eastAsiaTheme="minorEastAsia"/>
                <w:sz w:val="20"/>
                <w:lang w:val="en-CA" w:eastAsia="en-CA" w:bidi="ar-SA"/>
              </w:rPr>
            </w:pPr>
            <w:r w:rsidRPr="00806A4F">
              <w:rPr>
                <w:rFonts w:eastAsiaTheme="minorEastAsia"/>
                <w:sz w:val="20"/>
                <w:lang w:val="en-CA" w:eastAsia="en-CA" w:bidi="ar-SA"/>
              </w:rPr>
              <w:t>4,932,894</w:t>
            </w:r>
          </w:p>
        </w:tc>
        <w:tc>
          <w:tcPr>
            <w:tcW w:w="2340" w:type="dxa"/>
            <w:tcMar>
              <w:left w:w="72" w:type="dxa"/>
              <w:right w:w="72" w:type="dxa"/>
            </w:tcMar>
          </w:tcPr>
          <w:p w14:paraId="08ADBAB6" w14:textId="61E5D672" w:rsidR="00302A19" w:rsidRPr="00806A4F" w:rsidRDefault="00F31608" w:rsidP="00302A19">
            <w:pPr>
              <w:keepNext/>
              <w:bidi/>
              <w:jc w:val="left"/>
              <w:rPr>
                <w:rFonts w:eastAsiaTheme="minorEastAsia"/>
                <w:sz w:val="20"/>
                <w:lang w:val="en-CA" w:eastAsia="en-CA" w:bidi="ar-SA"/>
              </w:rPr>
            </w:pPr>
            <w:r w:rsidRPr="00806A4F">
              <w:rPr>
                <w:rFonts w:eastAsiaTheme="minorEastAsia"/>
                <w:sz w:val="20"/>
                <w:rtl/>
                <w:lang w:val="en-CA" w:eastAsia="en-CA" w:bidi="ar-SA"/>
              </w:rPr>
              <w:t>عتبة الصرف البالغة 20 في المائة</w:t>
            </w:r>
          </w:p>
        </w:tc>
        <w:tc>
          <w:tcPr>
            <w:tcW w:w="5748" w:type="dxa"/>
            <w:tcMar>
              <w:left w:w="72" w:type="dxa"/>
              <w:right w:w="72" w:type="dxa"/>
            </w:tcMar>
          </w:tcPr>
          <w:p w14:paraId="41989979" w14:textId="71339218" w:rsidR="00302A19" w:rsidRPr="00806A4F" w:rsidRDefault="00995309" w:rsidP="00302A19">
            <w:pPr>
              <w:keepNext/>
              <w:bidi/>
              <w:jc w:val="left"/>
              <w:rPr>
                <w:rFonts w:eastAsiaTheme="minorEastAsia"/>
                <w:sz w:val="20"/>
                <w:lang w:val="en-CA" w:eastAsia="en-CA" w:bidi="ar-SA"/>
              </w:rPr>
            </w:pPr>
            <w:r w:rsidRPr="00806A4F">
              <w:rPr>
                <w:rFonts w:eastAsiaTheme="minorEastAsia"/>
                <w:sz w:val="20"/>
                <w:rtl/>
                <w:lang w:val="en-CA" w:eastAsia="zh-CN" w:bidi="ar-SA"/>
              </w:rPr>
              <w:t>مع الأخذ في الاعتبار أن معدل الصرف الإجمالي للشريحة الأولى (2023) من المرحلة الثالثة من خطة إدارة إزالة المواد الهيدروكلوروفلوروكربونية كان دون عتبة الصرف البالغة 20 في المائة، وحثّ حكومة فييت نام على العمل مع البنك الدولي حتى يتسنى تقديم الشريحة الثانية (2026) من المرحلة الثالثة من خطة إدارة إزالة المواد الهيدروكلوروفلوروكربونية إلى الاجتماع المائة، مع خطة عمل منقحة تأخذ في الاعتبار إعادة تخصيص شريحة 2026 وما يليها من شرائح، على أن يُفهم أن عتبة الصرف البالغة 20 في المائة لتمويل الشريحة السابقة قد تم تحقيقها.</w:t>
            </w:r>
          </w:p>
        </w:tc>
      </w:tr>
      <w:tr w:rsidR="00093133" w:rsidRPr="00806A4F" w14:paraId="613916DE" w14:textId="77777777" w:rsidTr="00501366">
        <w:trPr>
          <w:trHeight w:val="287"/>
        </w:trPr>
        <w:tc>
          <w:tcPr>
            <w:tcW w:w="2206" w:type="dxa"/>
            <w:tcMar>
              <w:left w:w="72" w:type="dxa"/>
              <w:right w:w="72" w:type="dxa"/>
            </w:tcMar>
          </w:tcPr>
          <w:p w14:paraId="5CA3A437" w14:textId="4E374895" w:rsidR="00302A19" w:rsidRPr="00806A4F" w:rsidRDefault="00995309" w:rsidP="00302A19">
            <w:pPr>
              <w:bidi/>
              <w:jc w:val="left"/>
              <w:rPr>
                <w:rFonts w:eastAsiaTheme="minorEastAsia"/>
                <w:b/>
                <w:bCs/>
                <w:sz w:val="20"/>
                <w:lang w:val="en-CA" w:eastAsia="en-CA" w:bidi="ar-SA"/>
              </w:rPr>
            </w:pPr>
            <w:r w:rsidRPr="00806A4F">
              <w:rPr>
                <w:rFonts w:eastAsiaTheme="minorEastAsia"/>
                <w:b/>
                <w:bCs/>
                <w:sz w:val="20"/>
                <w:rtl/>
                <w:lang w:val="en-CA" w:eastAsia="en-CA" w:bidi="ar-SA"/>
              </w:rPr>
              <w:t>المجموع</w:t>
            </w:r>
          </w:p>
        </w:tc>
        <w:tc>
          <w:tcPr>
            <w:tcW w:w="850" w:type="dxa"/>
            <w:tcMar>
              <w:left w:w="72" w:type="dxa"/>
              <w:right w:w="72" w:type="dxa"/>
            </w:tcMar>
          </w:tcPr>
          <w:p w14:paraId="0CDFAB60" w14:textId="77777777" w:rsidR="00302A19" w:rsidRPr="00806A4F" w:rsidRDefault="00302A19" w:rsidP="00302A19">
            <w:pPr>
              <w:keepNext/>
              <w:bidi/>
              <w:jc w:val="left"/>
              <w:rPr>
                <w:rFonts w:eastAsiaTheme="minorEastAsia"/>
                <w:sz w:val="20"/>
                <w:lang w:val="en-CA" w:eastAsia="en-CA" w:bidi="ar-SA"/>
              </w:rPr>
            </w:pPr>
          </w:p>
        </w:tc>
        <w:tc>
          <w:tcPr>
            <w:tcW w:w="1032" w:type="dxa"/>
            <w:tcMar>
              <w:left w:w="72" w:type="dxa"/>
              <w:right w:w="72" w:type="dxa"/>
            </w:tcMar>
          </w:tcPr>
          <w:p w14:paraId="7BBE29BC" w14:textId="77777777" w:rsidR="00302A19" w:rsidRPr="00806A4F" w:rsidRDefault="00302A19" w:rsidP="00302A19">
            <w:pPr>
              <w:keepNext/>
              <w:bidi/>
              <w:jc w:val="center"/>
              <w:rPr>
                <w:rFonts w:eastAsiaTheme="minorEastAsia"/>
                <w:sz w:val="20"/>
                <w:lang w:val="en-CA" w:eastAsia="en-CA" w:bidi="ar-SA"/>
              </w:rPr>
            </w:pPr>
          </w:p>
        </w:tc>
        <w:tc>
          <w:tcPr>
            <w:tcW w:w="2070" w:type="dxa"/>
            <w:tcMar>
              <w:left w:w="72" w:type="dxa"/>
              <w:right w:w="72" w:type="dxa"/>
            </w:tcMar>
          </w:tcPr>
          <w:p w14:paraId="4954036A" w14:textId="77777777" w:rsidR="00302A19" w:rsidRPr="00806A4F" w:rsidRDefault="00302A19" w:rsidP="00501366">
            <w:pPr>
              <w:bidi/>
              <w:jc w:val="left"/>
              <w:rPr>
                <w:rFonts w:eastAsiaTheme="minorEastAsia"/>
                <w:b/>
                <w:bCs/>
                <w:sz w:val="20"/>
                <w:lang w:val="en-CA" w:eastAsia="en-CA" w:bidi="ar-SA"/>
              </w:rPr>
            </w:pPr>
            <w:r w:rsidRPr="00806A4F">
              <w:rPr>
                <w:rFonts w:eastAsiaTheme="minorEastAsia"/>
                <w:b/>
                <w:bCs/>
                <w:sz w:val="20"/>
                <w:lang w:val="en-CA" w:eastAsia="en-CA" w:bidi="ar-SA"/>
              </w:rPr>
              <w:t>23,997,408</w:t>
            </w:r>
          </w:p>
        </w:tc>
        <w:tc>
          <w:tcPr>
            <w:tcW w:w="2340" w:type="dxa"/>
            <w:tcMar>
              <w:left w:w="72" w:type="dxa"/>
              <w:right w:w="72" w:type="dxa"/>
            </w:tcMar>
          </w:tcPr>
          <w:p w14:paraId="3713C590" w14:textId="77777777" w:rsidR="00302A19" w:rsidRPr="00806A4F" w:rsidRDefault="00302A19" w:rsidP="00302A19">
            <w:pPr>
              <w:keepNext/>
              <w:bidi/>
              <w:jc w:val="left"/>
              <w:rPr>
                <w:rFonts w:eastAsiaTheme="minorEastAsia"/>
                <w:sz w:val="20"/>
                <w:lang w:val="en-CA" w:eastAsia="en-CA" w:bidi="ar-SA"/>
              </w:rPr>
            </w:pPr>
          </w:p>
        </w:tc>
        <w:tc>
          <w:tcPr>
            <w:tcW w:w="5748" w:type="dxa"/>
            <w:tcMar>
              <w:left w:w="72" w:type="dxa"/>
              <w:right w:w="72" w:type="dxa"/>
            </w:tcMar>
          </w:tcPr>
          <w:p w14:paraId="0C8EE6CE" w14:textId="77777777" w:rsidR="00302A19" w:rsidRPr="00806A4F" w:rsidRDefault="00302A19" w:rsidP="00302A19">
            <w:pPr>
              <w:bidi/>
              <w:jc w:val="left"/>
              <w:rPr>
                <w:rFonts w:eastAsiaTheme="minorEastAsia"/>
                <w:sz w:val="20"/>
                <w:lang w:val="en-CA" w:eastAsia="zh-CN" w:bidi="ar-S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A9D14B7" w14:textId="77777777" w:rsidTr="009863FA">
        <w:trPr>
          <w:jc w:val="center"/>
        </w:trPr>
        <w:tc>
          <w:tcPr>
            <w:tcW w:w="1915" w:type="dxa"/>
          </w:tcPr>
          <w:p w14:paraId="7B653F1E" w14:textId="77777777" w:rsidR="007E5D09" w:rsidRDefault="007E5D09" w:rsidP="009863FA">
            <w:pPr>
              <w:bidi/>
              <w:rPr>
                <w:lang w:val="en-CA"/>
              </w:rPr>
            </w:pPr>
          </w:p>
        </w:tc>
        <w:tc>
          <w:tcPr>
            <w:tcW w:w="1915" w:type="dxa"/>
          </w:tcPr>
          <w:p w14:paraId="76193ECC" w14:textId="77777777" w:rsidR="007E5D09" w:rsidRDefault="007E5D09" w:rsidP="009863FA">
            <w:pPr>
              <w:bidi/>
              <w:rPr>
                <w:lang w:val="en-CA"/>
              </w:rPr>
            </w:pPr>
          </w:p>
          <w:p w14:paraId="0EEBB580" w14:textId="77777777" w:rsidR="0056291C" w:rsidRDefault="0056291C" w:rsidP="0056291C">
            <w:pPr>
              <w:bidi/>
              <w:rPr>
                <w:lang w:val="en-CA"/>
              </w:rPr>
            </w:pPr>
          </w:p>
          <w:p w14:paraId="76335B94" w14:textId="77777777" w:rsidR="0056291C" w:rsidRDefault="0056291C" w:rsidP="0056291C">
            <w:pPr>
              <w:bidi/>
              <w:rPr>
                <w:lang w:val="en-CA"/>
              </w:rPr>
            </w:pPr>
          </w:p>
        </w:tc>
        <w:tc>
          <w:tcPr>
            <w:tcW w:w="1915" w:type="dxa"/>
            <w:tcBorders>
              <w:bottom w:val="single" w:sz="4" w:space="0" w:color="auto"/>
            </w:tcBorders>
          </w:tcPr>
          <w:p w14:paraId="2B4D3C5F" w14:textId="77777777" w:rsidR="007E5D09" w:rsidRDefault="007E5D09" w:rsidP="009863FA">
            <w:pPr>
              <w:bidi/>
              <w:rPr>
                <w:b/>
                <w:bCs/>
                <w:lang w:val="en-CA"/>
              </w:rPr>
            </w:pPr>
          </w:p>
        </w:tc>
        <w:tc>
          <w:tcPr>
            <w:tcW w:w="1915" w:type="dxa"/>
          </w:tcPr>
          <w:p w14:paraId="4D11C8E0" w14:textId="77777777" w:rsidR="007E5D09" w:rsidRDefault="007E5D09" w:rsidP="009863FA">
            <w:pPr>
              <w:bidi/>
              <w:rPr>
                <w:lang w:val="en-CA"/>
              </w:rPr>
            </w:pPr>
          </w:p>
        </w:tc>
        <w:tc>
          <w:tcPr>
            <w:tcW w:w="1916" w:type="dxa"/>
          </w:tcPr>
          <w:p w14:paraId="3E541457" w14:textId="77777777" w:rsidR="007E5D09" w:rsidRDefault="007E5D09" w:rsidP="009863FA">
            <w:pPr>
              <w:bidi/>
              <w:rPr>
                <w:lang w:val="en-CA"/>
              </w:rPr>
            </w:pPr>
          </w:p>
        </w:tc>
      </w:tr>
    </w:tbl>
    <w:p w14:paraId="3730726B" w14:textId="77777777" w:rsidR="007E5D09" w:rsidRDefault="007E5D09" w:rsidP="009863FA">
      <w:pPr>
        <w:rPr>
          <w:rtl/>
          <w:lang w:val="en-CA"/>
        </w:rPr>
      </w:pPr>
    </w:p>
    <w:sectPr w:rsidR="007E5D09" w:rsidSect="00C5430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1ACA" w14:textId="77777777" w:rsidR="00AA3E1D" w:rsidRDefault="00AA3E1D">
      <w:r>
        <w:separator/>
      </w:r>
    </w:p>
  </w:endnote>
  <w:endnote w:type="continuationSeparator" w:id="0">
    <w:p w14:paraId="3AD31B09" w14:textId="77777777" w:rsidR="00AA3E1D" w:rsidRDefault="00AA3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57D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AC5F"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203A1A2"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733B"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667BA6"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20B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4F4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26FE8B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BDBFE" w14:textId="77777777" w:rsidR="00AA3E1D" w:rsidRDefault="00AA3E1D" w:rsidP="001C0D0E">
      <w:pPr>
        <w:jc w:val="right"/>
      </w:pPr>
      <w:r>
        <w:separator/>
      </w:r>
    </w:p>
  </w:footnote>
  <w:footnote w:type="continuationSeparator" w:id="0">
    <w:p w14:paraId="018DB786" w14:textId="77777777" w:rsidR="00AA3E1D" w:rsidRDefault="00AA3E1D">
      <w:r>
        <w:continuationSeparator/>
      </w:r>
    </w:p>
  </w:footnote>
  <w:footnote w:id="1">
    <w:p w14:paraId="5C477D56" w14:textId="56D5E435" w:rsidR="00E74902" w:rsidRPr="00A377C9" w:rsidRDefault="00E74902" w:rsidP="00E74902">
      <w:pPr>
        <w:pStyle w:val="FootnoteText"/>
        <w:bidi/>
        <w:rPr>
          <w:sz w:val="22"/>
          <w:szCs w:val="22"/>
          <w:rtl/>
          <w:lang w:bidi="ar-SY"/>
        </w:rPr>
      </w:pPr>
      <w:r w:rsidRPr="00A377C9">
        <w:rPr>
          <w:rStyle w:val="FootnoteReference"/>
          <w:sz w:val="22"/>
          <w:szCs w:val="22"/>
        </w:rPr>
        <w:footnoteRef/>
      </w:r>
      <w:r w:rsidRPr="00A377C9">
        <w:rPr>
          <w:sz w:val="22"/>
          <w:szCs w:val="22"/>
        </w:rPr>
        <w:t xml:space="preserve"> </w:t>
      </w:r>
      <w:r w:rsidR="0064317F" w:rsidRPr="00A377C9">
        <w:rPr>
          <w:sz w:val="22"/>
          <w:szCs w:val="22"/>
        </w:rPr>
        <w:t>UNEP/</w:t>
      </w:r>
      <w:proofErr w:type="spellStart"/>
      <w:r w:rsidR="0064317F" w:rsidRPr="00A377C9">
        <w:rPr>
          <w:sz w:val="22"/>
          <w:szCs w:val="22"/>
        </w:rPr>
        <w:t>OzL.Pro</w:t>
      </w:r>
      <w:proofErr w:type="spellEnd"/>
      <w:r w:rsidR="0064317F" w:rsidRPr="00A377C9">
        <w:rPr>
          <w:sz w:val="22"/>
          <w:szCs w:val="22"/>
        </w:rPr>
        <w:t>/ExCom/98/1</w:t>
      </w:r>
    </w:p>
  </w:footnote>
  <w:footnote w:id="2">
    <w:p w14:paraId="24A03DEB" w14:textId="6F892683" w:rsidR="00ED4BF2" w:rsidRPr="00A377C9" w:rsidRDefault="00ED4BF2" w:rsidP="00ED4BF2">
      <w:pPr>
        <w:pStyle w:val="FootnoteText"/>
        <w:bidi/>
        <w:rPr>
          <w:sz w:val="22"/>
          <w:szCs w:val="22"/>
          <w:rtl/>
          <w:lang w:bidi="ar-SY"/>
        </w:rPr>
      </w:pPr>
      <w:r w:rsidRPr="00A377C9">
        <w:rPr>
          <w:rStyle w:val="FootnoteReference"/>
          <w:sz w:val="22"/>
          <w:szCs w:val="22"/>
        </w:rPr>
        <w:footnoteRef/>
      </w:r>
      <w:r w:rsidRPr="00A377C9">
        <w:rPr>
          <w:sz w:val="22"/>
          <w:szCs w:val="22"/>
        </w:rPr>
        <w:t xml:space="preserve"> </w:t>
      </w:r>
      <w:r w:rsidRPr="00A377C9">
        <w:rPr>
          <w:sz w:val="22"/>
          <w:szCs w:val="22"/>
          <w:rtl/>
        </w:rPr>
        <w:t xml:space="preserve">قررت اللجنة التنفيذية إدراج بند فرعي مستقل في جدول الأعمال بشأن التأخيرات في تقديم الشرائح السنوية وصرف الأموال الخاصة بالشرائح والالتزامات، وذلك </w:t>
      </w:r>
      <w:r w:rsidR="00C64556" w:rsidRPr="00A377C9">
        <w:rPr>
          <w:rFonts w:hint="cs"/>
          <w:sz w:val="22"/>
          <w:szCs w:val="22"/>
          <w:rtl/>
        </w:rPr>
        <w:t>في ا</w:t>
      </w:r>
      <w:r w:rsidRPr="00A377C9">
        <w:rPr>
          <w:sz w:val="22"/>
          <w:szCs w:val="22"/>
          <w:rtl/>
        </w:rPr>
        <w:t>لاجتماعات المستقبلية.</w:t>
      </w:r>
    </w:p>
  </w:footnote>
  <w:footnote w:id="3">
    <w:p w14:paraId="07D1B93D" w14:textId="3E3B4B70" w:rsidR="0064317F" w:rsidRPr="00A377C9" w:rsidRDefault="0064317F" w:rsidP="0064317F">
      <w:pPr>
        <w:pStyle w:val="FootnoteText"/>
        <w:bidi/>
        <w:rPr>
          <w:sz w:val="22"/>
          <w:szCs w:val="22"/>
          <w:rtl/>
          <w:lang w:bidi="ar-SY"/>
        </w:rPr>
      </w:pPr>
      <w:r w:rsidRPr="00A377C9">
        <w:rPr>
          <w:rStyle w:val="FootnoteReference"/>
          <w:sz w:val="22"/>
          <w:szCs w:val="22"/>
        </w:rPr>
        <w:footnoteRef/>
      </w:r>
      <w:r w:rsidR="00A377C9" w:rsidRPr="00A377C9">
        <w:rPr>
          <w:rFonts w:hint="cs"/>
          <w:sz w:val="22"/>
          <w:szCs w:val="22"/>
          <w:rtl/>
          <w:lang w:val="en-CA"/>
        </w:rPr>
        <w:t xml:space="preserve"> </w:t>
      </w:r>
      <w:r w:rsidRPr="00A377C9">
        <w:rPr>
          <w:sz w:val="22"/>
          <w:szCs w:val="22"/>
          <w:lang w:val="en-CA"/>
        </w:rPr>
        <w:t>UNEP/</w:t>
      </w:r>
      <w:proofErr w:type="spellStart"/>
      <w:r w:rsidRPr="00A377C9">
        <w:rPr>
          <w:sz w:val="22"/>
          <w:szCs w:val="22"/>
          <w:lang w:val="en-CA"/>
        </w:rPr>
        <w:t>OzL.Pro</w:t>
      </w:r>
      <w:proofErr w:type="spellEnd"/>
      <w:r w:rsidRPr="00A377C9">
        <w:rPr>
          <w:sz w:val="22"/>
          <w:szCs w:val="22"/>
          <w:lang w:val="en-CA"/>
        </w:rPr>
        <w:t>/ExCom/97/19</w:t>
      </w:r>
      <w:r w:rsidRPr="00A377C9">
        <w:rPr>
          <w:rFonts w:hint="cs"/>
          <w:sz w:val="22"/>
          <w:szCs w:val="22"/>
          <w:rtl/>
          <w:lang w:val="en-CA"/>
        </w:rPr>
        <w:t xml:space="preserve">، </w:t>
      </w:r>
      <w:r w:rsidRPr="00A377C9">
        <w:rPr>
          <w:sz w:val="22"/>
          <w:szCs w:val="22"/>
          <w:rtl/>
          <w:lang w:val="en-CA" w:bidi="ar-SA"/>
        </w:rPr>
        <w:t xml:space="preserve">الفقرة 10 </w:t>
      </w:r>
      <w:r w:rsidRPr="00A377C9">
        <w:rPr>
          <w:rFonts w:hint="cs"/>
          <w:sz w:val="22"/>
          <w:szCs w:val="22"/>
          <w:rtl/>
          <w:lang w:val="en-CA" w:bidi="ar-SA"/>
        </w:rPr>
        <w:t>والمرفق</w:t>
      </w:r>
      <w:r w:rsidRPr="00A377C9">
        <w:rPr>
          <w:sz w:val="22"/>
          <w:szCs w:val="22"/>
          <w:rtl/>
          <w:lang w:val="en-CA" w:bidi="ar-SA"/>
        </w:rPr>
        <w:t xml:space="preserve"> الأول</w:t>
      </w:r>
      <w:r w:rsidRPr="00A377C9">
        <w:rPr>
          <w:sz w:val="22"/>
          <w:szCs w:val="22"/>
        </w:rPr>
        <w:t>.</w:t>
      </w:r>
    </w:p>
  </w:footnote>
  <w:footnote w:id="4">
    <w:p w14:paraId="548DD471" w14:textId="1583F756" w:rsidR="0064317F" w:rsidRPr="00A377C9" w:rsidRDefault="0064317F" w:rsidP="0064317F">
      <w:pPr>
        <w:pStyle w:val="FootnoteText"/>
        <w:bidi/>
        <w:rPr>
          <w:sz w:val="22"/>
          <w:szCs w:val="22"/>
          <w:rtl/>
          <w:lang w:bidi="ar-SY"/>
        </w:rPr>
      </w:pPr>
      <w:r w:rsidRPr="00A377C9">
        <w:rPr>
          <w:rStyle w:val="FootnoteReference"/>
          <w:sz w:val="22"/>
          <w:szCs w:val="22"/>
        </w:rPr>
        <w:footnoteRef/>
      </w:r>
      <w:r w:rsidRPr="00A377C9">
        <w:rPr>
          <w:sz w:val="22"/>
          <w:szCs w:val="22"/>
        </w:rPr>
        <w:t xml:space="preserve"> </w:t>
      </w:r>
      <w:r w:rsidR="00D53CF4" w:rsidRPr="00A377C9">
        <w:rPr>
          <w:sz w:val="22"/>
          <w:szCs w:val="22"/>
          <w:rtl/>
        </w:rPr>
        <w:t xml:space="preserve">سيتم تقديم الوثيقة المتعلقة بتأخيرات تقديم الشرائح فقط في الاجتماع الأول </w:t>
      </w:r>
      <w:r w:rsidR="00C64556" w:rsidRPr="00A377C9">
        <w:rPr>
          <w:sz w:val="22"/>
          <w:szCs w:val="22"/>
          <w:rtl/>
        </w:rPr>
        <w:t xml:space="preserve">في السنة </w:t>
      </w:r>
      <w:r w:rsidR="00D53CF4" w:rsidRPr="00A377C9">
        <w:rPr>
          <w:sz w:val="22"/>
          <w:szCs w:val="22"/>
          <w:rtl/>
        </w:rPr>
        <w:t>للجنة التنفيذية.</w:t>
      </w:r>
      <w:r w:rsidR="00C64556" w:rsidRPr="00A377C9">
        <w:rPr>
          <w:rFonts w:hint="cs"/>
          <w:sz w:val="22"/>
          <w:szCs w:val="22"/>
          <w:rtl/>
        </w:rPr>
        <w:t xml:space="preserve"> </w:t>
      </w:r>
    </w:p>
  </w:footnote>
  <w:footnote w:id="5">
    <w:p w14:paraId="77368EC7" w14:textId="346A1ED6" w:rsidR="0064317F" w:rsidRDefault="0064317F" w:rsidP="00D53CF4">
      <w:pPr>
        <w:pStyle w:val="FootnoteText"/>
        <w:bidi/>
        <w:rPr>
          <w:sz w:val="22"/>
          <w:szCs w:val="22"/>
        </w:rPr>
      </w:pPr>
      <w:r w:rsidRPr="00A377C9">
        <w:rPr>
          <w:rStyle w:val="FootnoteReference"/>
          <w:sz w:val="22"/>
          <w:szCs w:val="22"/>
        </w:rPr>
        <w:footnoteRef/>
      </w:r>
      <w:r w:rsidRPr="00A377C9">
        <w:rPr>
          <w:sz w:val="22"/>
          <w:szCs w:val="22"/>
        </w:rPr>
        <w:t xml:space="preserve"> </w:t>
      </w:r>
      <w:r w:rsidR="00D53CF4" w:rsidRPr="00A377C9">
        <w:rPr>
          <w:sz w:val="22"/>
          <w:szCs w:val="22"/>
          <w:rtl/>
        </w:rPr>
        <w:t xml:space="preserve">بما في ذلك شرائح خطط إدارة </w:t>
      </w:r>
      <w:r w:rsidR="00D53CF4" w:rsidRPr="00A377C9">
        <w:rPr>
          <w:rFonts w:hint="cs"/>
          <w:sz w:val="22"/>
          <w:szCs w:val="22"/>
          <w:rtl/>
        </w:rPr>
        <w:t>إزالة المواد</w:t>
      </w:r>
      <w:r w:rsidR="00D53CF4" w:rsidRPr="00A377C9">
        <w:rPr>
          <w:sz w:val="22"/>
          <w:szCs w:val="22"/>
          <w:rtl/>
        </w:rPr>
        <w:t xml:space="preserve"> </w:t>
      </w:r>
      <w:r w:rsidR="00D53CF4" w:rsidRPr="00A377C9">
        <w:rPr>
          <w:sz w:val="22"/>
          <w:szCs w:val="22"/>
          <w:rtl/>
          <w:lang w:bidi="ar-EG"/>
        </w:rPr>
        <w:t>الهيدروكلوروفلوروكربونية</w:t>
      </w:r>
      <w:r w:rsidR="00D53CF4" w:rsidRPr="00A377C9">
        <w:rPr>
          <w:sz w:val="22"/>
          <w:szCs w:val="22"/>
          <w:rtl/>
        </w:rPr>
        <w:t xml:space="preserve"> لبلدين تم </w:t>
      </w:r>
      <w:r w:rsidR="00D53CF4" w:rsidRPr="00A377C9">
        <w:rPr>
          <w:sz w:val="22"/>
          <w:szCs w:val="22"/>
          <w:rtl/>
        </w:rPr>
        <w:t>تقديمها ثم سُحبت لاحقًا.</w:t>
      </w:r>
    </w:p>
    <w:p w14:paraId="1F7A5D61" w14:textId="77777777" w:rsidR="0056291C" w:rsidRDefault="0056291C" w:rsidP="0056291C">
      <w:pPr>
        <w:pStyle w:val="FootnoteText"/>
        <w:bidi/>
        <w:rPr>
          <w:rtl/>
          <w:lang w:bidi="ar-SY"/>
        </w:rPr>
      </w:pPr>
    </w:p>
  </w:footnote>
  <w:footnote w:id="6">
    <w:p w14:paraId="0552A3E0" w14:textId="3E63D634" w:rsidR="00D53CF4" w:rsidRDefault="00D53CF4" w:rsidP="00D53CF4">
      <w:pPr>
        <w:pStyle w:val="FootnoteText"/>
        <w:bidi/>
        <w:rPr>
          <w:rtl/>
          <w:lang w:bidi="ar-SY"/>
        </w:rPr>
      </w:pPr>
      <w:r w:rsidRPr="00A377C9">
        <w:rPr>
          <w:rStyle w:val="FootnoteReference"/>
          <w:sz w:val="22"/>
          <w:szCs w:val="22"/>
        </w:rPr>
        <w:footnoteRef/>
      </w:r>
      <w:r w:rsidRPr="00A377C9">
        <w:rPr>
          <w:rFonts w:hint="cs"/>
          <w:sz w:val="22"/>
          <w:szCs w:val="22"/>
          <w:rtl/>
        </w:rPr>
        <w:t xml:space="preserve"> </w:t>
      </w:r>
      <w:r w:rsidRPr="00A377C9">
        <w:rPr>
          <w:sz w:val="22"/>
          <w:szCs w:val="22"/>
        </w:rPr>
        <w:t>UNEP/</w:t>
      </w:r>
      <w:proofErr w:type="spellStart"/>
      <w:r w:rsidRPr="00A377C9">
        <w:rPr>
          <w:sz w:val="22"/>
          <w:szCs w:val="22"/>
        </w:rPr>
        <w:t>OzL.Pro</w:t>
      </w:r>
      <w:proofErr w:type="spellEnd"/>
      <w:r w:rsidRPr="00A377C9">
        <w:rPr>
          <w:sz w:val="22"/>
          <w:szCs w:val="22"/>
        </w:rPr>
        <w:t>/ExCom/98/5</w:t>
      </w:r>
    </w:p>
  </w:footnote>
  <w:footnote w:id="7">
    <w:p w14:paraId="5CEE76C7" w14:textId="1CE5CB76" w:rsidR="00D53CF4" w:rsidRDefault="00D53CF4" w:rsidP="00290914">
      <w:pPr>
        <w:pStyle w:val="FootnoteText"/>
        <w:bidi/>
        <w:rPr>
          <w:rtl/>
          <w:lang w:bidi="ar-SY"/>
        </w:rPr>
      </w:pPr>
      <w:r w:rsidRPr="00A377C9">
        <w:rPr>
          <w:rStyle w:val="FootnoteReference"/>
          <w:sz w:val="22"/>
          <w:szCs w:val="22"/>
        </w:rPr>
        <w:footnoteRef/>
      </w:r>
      <w:r w:rsidRPr="00A377C9">
        <w:rPr>
          <w:sz w:val="22"/>
          <w:szCs w:val="22"/>
        </w:rPr>
        <w:t xml:space="preserve"> </w:t>
      </w:r>
      <w:r w:rsidR="00290914" w:rsidRPr="00A377C9">
        <w:rPr>
          <w:sz w:val="22"/>
          <w:szCs w:val="22"/>
          <w:rtl/>
        </w:rPr>
        <w:t xml:space="preserve">انظر الوثيقة </w:t>
      </w:r>
      <w:r w:rsidR="00290914" w:rsidRPr="00A377C9">
        <w:rPr>
          <w:sz w:val="22"/>
          <w:szCs w:val="22"/>
        </w:rPr>
        <w:t>UNEP/</w:t>
      </w:r>
      <w:proofErr w:type="spellStart"/>
      <w:r w:rsidR="00290914" w:rsidRPr="00A377C9">
        <w:rPr>
          <w:sz w:val="22"/>
          <w:szCs w:val="22"/>
        </w:rPr>
        <w:t>OzL.Pro</w:t>
      </w:r>
      <w:proofErr w:type="spellEnd"/>
      <w:r w:rsidR="00290914" w:rsidRPr="00A377C9">
        <w:rPr>
          <w:sz w:val="22"/>
          <w:szCs w:val="22"/>
        </w:rPr>
        <w:t>/ExCom/98/6</w:t>
      </w:r>
      <w:r w:rsidR="00290914" w:rsidRPr="00A377C9">
        <w:rPr>
          <w:sz w:val="22"/>
          <w:szCs w:val="22"/>
          <w:rtl/>
        </w:rPr>
        <w:t>، القسم الأول بشأن “المشاريع التي تعاني من تأخيرات في التنفيذ والتي طُلبت بشأنها تقارير حالة خاصة”.</w:t>
      </w:r>
    </w:p>
  </w:footnote>
  <w:footnote w:id="8">
    <w:p w14:paraId="46E65D04" w14:textId="6D982EB6" w:rsidR="00290914" w:rsidRDefault="00290914" w:rsidP="00290914">
      <w:pPr>
        <w:pStyle w:val="FootnoteText"/>
        <w:bidi/>
        <w:rPr>
          <w:rtl/>
          <w:lang w:bidi="ar-SY"/>
        </w:rPr>
      </w:pPr>
      <w:r w:rsidRPr="00A377C9">
        <w:rPr>
          <w:rStyle w:val="FootnoteReference"/>
          <w:sz w:val="22"/>
          <w:szCs w:val="22"/>
        </w:rPr>
        <w:footnoteRef/>
      </w:r>
      <w:r w:rsidRPr="00A377C9">
        <w:rPr>
          <w:sz w:val="22"/>
          <w:szCs w:val="22"/>
        </w:rPr>
        <w:t xml:space="preserve"> </w:t>
      </w:r>
      <w:r w:rsidRPr="00A377C9">
        <w:rPr>
          <w:sz w:val="22"/>
          <w:szCs w:val="22"/>
          <w:rtl/>
        </w:rPr>
        <w:t xml:space="preserve">انظر </w:t>
      </w:r>
      <w:r w:rsidRPr="00A377C9">
        <w:rPr>
          <w:sz w:val="22"/>
          <w:szCs w:val="22"/>
          <w:rtl/>
        </w:rPr>
        <w:t xml:space="preserve">الوثيقة </w:t>
      </w:r>
      <w:r w:rsidRPr="00A377C9">
        <w:rPr>
          <w:sz w:val="22"/>
          <w:szCs w:val="22"/>
        </w:rPr>
        <w:t>UNEP/</w:t>
      </w:r>
      <w:proofErr w:type="spellStart"/>
      <w:r w:rsidRPr="00A377C9">
        <w:rPr>
          <w:sz w:val="22"/>
          <w:szCs w:val="22"/>
        </w:rPr>
        <w:t>OzL.Pro</w:t>
      </w:r>
      <w:proofErr w:type="spellEnd"/>
      <w:r w:rsidRPr="00A377C9">
        <w:rPr>
          <w:sz w:val="22"/>
          <w:szCs w:val="22"/>
        </w:rPr>
        <w:t>/ExCom/98/6</w:t>
      </w:r>
      <w:r w:rsidRPr="00A377C9">
        <w:rPr>
          <w:sz w:val="22"/>
          <w:szCs w:val="22"/>
          <w:rtl/>
        </w:rPr>
        <w:t>.</w:t>
      </w:r>
    </w:p>
  </w:footnote>
  <w:footnote w:id="9">
    <w:p w14:paraId="4D56C618" w14:textId="18669B43" w:rsidR="009863FA" w:rsidRDefault="009863FA" w:rsidP="009863FA">
      <w:pPr>
        <w:pStyle w:val="FootnoteText"/>
        <w:bidi/>
        <w:rPr>
          <w:rtl/>
          <w:lang w:bidi="ar-SY"/>
        </w:rPr>
      </w:pPr>
      <w:r w:rsidRPr="00A377C9">
        <w:rPr>
          <w:rStyle w:val="FootnoteReference"/>
          <w:sz w:val="22"/>
          <w:szCs w:val="22"/>
        </w:rPr>
        <w:footnoteRef/>
      </w:r>
      <w:r w:rsidRPr="00A377C9">
        <w:rPr>
          <w:sz w:val="22"/>
          <w:szCs w:val="22"/>
        </w:rPr>
        <w:t xml:space="preserve"> </w:t>
      </w:r>
      <w:r w:rsidRPr="00A377C9">
        <w:rPr>
          <w:sz w:val="22"/>
          <w:szCs w:val="22"/>
          <w:rtl/>
        </w:rPr>
        <w:t xml:space="preserve">انظر </w:t>
      </w:r>
      <w:r w:rsidRPr="00A377C9">
        <w:rPr>
          <w:sz w:val="22"/>
          <w:szCs w:val="22"/>
          <w:rtl/>
        </w:rPr>
        <w:t xml:space="preserve">الوثيقة </w:t>
      </w:r>
      <w:r w:rsidRPr="00A377C9">
        <w:rPr>
          <w:sz w:val="22"/>
          <w:szCs w:val="22"/>
        </w:rPr>
        <w:t>UNEP/</w:t>
      </w:r>
      <w:proofErr w:type="spellStart"/>
      <w:r w:rsidRPr="00A377C9">
        <w:rPr>
          <w:sz w:val="22"/>
          <w:szCs w:val="22"/>
        </w:rPr>
        <w:t>OzL.Pro</w:t>
      </w:r>
      <w:proofErr w:type="spellEnd"/>
      <w:r w:rsidRPr="00A377C9">
        <w:rPr>
          <w:sz w:val="22"/>
          <w:szCs w:val="22"/>
        </w:rPr>
        <w:t>/ExCom/98/6</w:t>
      </w:r>
      <w:r w:rsidRPr="00A377C9">
        <w:rPr>
          <w:sz w:val="22"/>
          <w:szCs w:val="22"/>
          <w:rtl/>
        </w:rPr>
        <w:t>.</w:t>
      </w:r>
    </w:p>
  </w:footnote>
  <w:footnote w:id="10">
    <w:p w14:paraId="61337752" w14:textId="58A4F9DB" w:rsidR="009863FA" w:rsidRDefault="009863FA" w:rsidP="009863FA">
      <w:pPr>
        <w:pStyle w:val="FootnoteText"/>
        <w:bidi/>
        <w:rPr>
          <w:rtl/>
          <w:lang w:bidi="ar-SY"/>
        </w:rPr>
      </w:pPr>
      <w:r w:rsidRPr="00A377C9">
        <w:rPr>
          <w:rStyle w:val="FootnoteReference"/>
          <w:sz w:val="22"/>
          <w:szCs w:val="22"/>
        </w:rPr>
        <w:footnoteRef/>
      </w:r>
      <w:r w:rsidRPr="00A377C9">
        <w:rPr>
          <w:sz w:val="22"/>
          <w:szCs w:val="22"/>
        </w:rPr>
        <w:t xml:space="preserve"> </w:t>
      </w:r>
      <w:r w:rsidRPr="00A377C9">
        <w:rPr>
          <w:sz w:val="22"/>
          <w:szCs w:val="22"/>
          <w:rtl/>
        </w:rPr>
        <w:t xml:space="preserve">انظر </w:t>
      </w:r>
      <w:r w:rsidRPr="00A377C9">
        <w:rPr>
          <w:sz w:val="22"/>
          <w:szCs w:val="22"/>
          <w:rtl/>
        </w:rPr>
        <w:t xml:space="preserve">الوثيقة </w:t>
      </w:r>
      <w:r w:rsidRPr="00A377C9">
        <w:rPr>
          <w:sz w:val="22"/>
          <w:szCs w:val="22"/>
        </w:rPr>
        <w:t>UNEP/</w:t>
      </w:r>
      <w:proofErr w:type="spellStart"/>
      <w:r w:rsidRPr="00A377C9">
        <w:rPr>
          <w:sz w:val="22"/>
          <w:szCs w:val="22"/>
        </w:rPr>
        <w:t>OzL.Pro</w:t>
      </w:r>
      <w:proofErr w:type="spellEnd"/>
      <w:r w:rsidRPr="00A377C9">
        <w:rPr>
          <w:sz w:val="22"/>
          <w:szCs w:val="22"/>
        </w:rPr>
        <w:t>/ExCom/98/49</w:t>
      </w:r>
      <w:r w:rsidRPr="00A377C9">
        <w:rPr>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D7E0" w14:textId="0727AFD1" w:rsidR="007E5D09" w:rsidRDefault="00AA3E1D" w:rsidP="00FE302B">
    <w:pPr>
      <w:jc w:val="left"/>
    </w:pPr>
    <w:r>
      <w:fldChar w:fldCharType="begin"/>
    </w:r>
    <w:r>
      <w:instrText xml:space="preserve"> DOCPROPERTY "Document number"  \* MERGEFORMAT </w:instrText>
    </w:r>
    <w:r>
      <w:fldChar w:fldCharType="separate"/>
    </w:r>
    <w:r w:rsidR="00DF6B55">
      <w:t>UNEP/</w:t>
    </w:r>
    <w:proofErr w:type="spellStart"/>
    <w:r w:rsidR="00DF6B55">
      <w:t>OzL.Pro</w:t>
    </w:r>
    <w:proofErr w:type="spellEnd"/>
    <w:r w:rsidR="00DF6B55">
      <w:t>/ExCom/98/9</w:t>
    </w:r>
    <w:r>
      <w:fldChar w:fldCharType="end"/>
    </w:r>
  </w:p>
  <w:p w14:paraId="04254EB2" w14:textId="77777777" w:rsidR="007E5D09" w:rsidRDefault="007E5D09"/>
  <w:p w14:paraId="2648BD7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C8BF" w14:textId="5C235D86" w:rsidR="007E5D09" w:rsidRDefault="00AA3E1D" w:rsidP="00DF6B55">
    <w:pPr>
      <w:jc w:val="right"/>
    </w:pPr>
    <w:r>
      <w:fldChar w:fldCharType="begin"/>
    </w:r>
    <w:r>
      <w:instrText xml:space="preserve"> DOCPROPERTY "Document number"  \* MERGEFORMAT </w:instrText>
    </w:r>
    <w:r>
      <w:fldChar w:fldCharType="separate"/>
    </w:r>
    <w:r w:rsidR="00DF6B55">
      <w:t>UNEP/</w:t>
    </w:r>
    <w:proofErr w:type="spellStart"/>
    <w:r w:rsidR="00DF6B55">
      <w:t>OzL.Pro</w:t>
    </w:r>
    <w:proofErr w:type="spellEnd"/>
    <w:r w:rsidR="00DF6B55">
      <w:t>/ExCom/98/9</w:t>
    </w:r>
    <w:r>
      <w:fldChar w:fldCharType="end"/>
    </w:r>
  </w:p>
  <w:p w14:paraId="27702965" w14:textId="77777777" w:rsidR="007E5D09" w:rsidRDefault="007E5D09"/>
  <w:p w14:paraId="14F0D1A6"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46EA" w14:textId="763F682F" w:rsidR="007E5D09" w:rsidRDefault="00AA3E1D">
    <w:r>
      <w:fldChar w:fldCharType="begin"/>
    </w:r>
    <w:r>
      <w:instrText xml:space="preserve"> DOCPROPERTY "Document number"  \* MERGEFORMAT </w:instrText>
    </w:r>
    <w:r>
      <w:fldChar w:fldCharType="separate"/>
    </w:r>
    <w:r w:rsidR="002920DC">
      <w:t>UNEP/</w:t>
    </w:r>
    <w:proofErr w:type="spellStart"/>
    <w:r w:rsidR="002920DC">
      <w:t>OzL.Pro</w:t>
    </w:r>
    <w:proofErr w:type="spellEnd"/>
    <w:r w:rsidR="002920DC">
      <w:t>/ExCom/98/</w:t>
    </w:r>
    <w:r w:rsidR="009863FA">
      <w:t>9</w:t>
    </w:r>
    <w:r>
      <w:fldChar w:fldCharType="end"/>
    </w:r>
  </w:p>
  <w:p w14:paraId="6D79B635" w14:textId="77777777" w:rsidR="009863FA" w:rsidRDefault="009863FA" w:rsidP="009863FA">
    <w:r w:rsidRPr="009863FA">
      <w:t>Annex I</w:t>
    </w:r>
  </w:p>
  <w:p w14:paraId="674C57AA" w14:textId="77777777" w:rsidR="00501366" w:rsidRPr="009863FA" w:rsidRDefault="00501366" w:rsidP="009863FA"/>
  <w:p w14:paraId="39668574"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6E08" w14:textId="29924820" w:rsidR="007E5D09" w:rsidRDefault="00AA3E1D">
    <w:pPr>
      <w:jc w:val="right"/>
    </w:pPr>
    <w:r>
      <w:fldChar w:fldCharType="begin"/>
    </w:r>
    <w:r>
      <w:instrText xml:space="preserve"> DOCPROPERTY "Document number"  \* MERGEFORMAT </w:instrText>
    </w:r>
    <w:r>
      <w:fldChar w:fldCharType="separate"/>
    </w:r>
    <w:r w:rsidR="002920DC">
      <w:t>UNEP/</w:t>
    </w:r>
    <w:proofErr w:type="spellStart"/>
    <w:r w:rsidR="002920DC">
      <w:t>OzL.Pro</w:t>
    </w:r>
    <w:proofErr w:type="spellEnd"/>
    <w:r w:rsidR="002920DC">
      <w:t>/ExCom/98/</w:t>
    </w:r>
    <w:r w:rsidR="009863FA">
      <w:t>9</w:t>
    </w:r>
    <w:r>
      <w:fldChar w:fldCharType="end"/>
    </w:r>
  </w:p>
  <w:p w14:paraId="45370AB0" w14:textId="4D01E3D3" w:rsidR="007E5D09" w:rsidRDefault="009863FA" w:rsidP="009863FA">
    <w:pPr>
      <w:bidi/>
    </w:pPr>
    <w:r w:rsidRPr="009863FA">
      <w:t>Annex I</w:t>
    </w:r>
  </w:p>
  <w:p w14:paraId="6BA1DD6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B215" w14:textId="5E1A7648" w:rsidR="007E5D09" w:rsidRDefault="00AA3E1D" w:rsidP="00393115">
    <w:pPr>
      <w:jc w:val="right"/>
    </w:pPr>
    <w:r>
      <w:fldChar w:fldCharType="begin"/>
    </w:r>
    <w:r>
      <w:instrText xml:space="preserve"> DOCPROPERTY "Document number"  \* MERGEFORMAT </w:instrText>
    </w:r>
    <w:r>
      <w:fldChar w:fldCharType="separate"/>
    </w:r>
    <w:r w:rsidR="002920DC">
      <w:t>UNEP/</w:t>
    </w:r>
    <w:proofErr w:type="spellStart"/>
    <w:r w:rsidR="002920DC">
      <w:t>OzL.Pro</w:t>
    </w:r>
    <w:proofErr w:type="spellEnd"/>
    <w:r w:rsidR="002920DC">
      <w:t>/ExCom/98/</w:t>
    </w:r>
    <w:r w:rsidR="00C54305">
      <w:t>9</w:t>
    </w:r>
    <w:r>
      <w:fldChar w:fldCharType="end"/>
    </w:r>
  </w:p>
  <w:p w14:paraId="56E27A0A" w14:textId="77777777" w:rsidR="007E5D09" w:rsidRDefault="00017133" w:rsidP="00393115">
    <w:pPr>
      <w:jc w:val="right"/>
    </w:pPr>
    <w:bookmarkStart w:id="2" w:name="_Hlk231142636"/>
    <w:r>
      <w:t>Annex I</w:t>
    </w:r>
  </w:p>
  <w:p w14:paraId="050F0D0B" w14:textId="77777777" w:rsidR="00501366" w:rsidRDefault="00501366" w:rsidP="00393115">
    <w:pPr>
      <w:jc w:val="right"/>
    </w:pPr>
  </w:p>
  <w:bookmarkEnd w:id="2"/>
  <w:p w14:paraId="4970AFA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3B42E5"/>
    <w:multiLevelType w:val="multilevel"/>
    <w:tmpl w:val="0248E7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CA39D2"/>
    <w:multiLevelType w:val="hybridMultilevel"/>
    <w:tmpl w:val="846E19B0"/>
    <w:lvl w:ilvl="0" w:tplc="BD3064D6">
      <w:start w:val="1"/>
      <w:numFmt w:val="decimal"/>
      <w:lvlText w:val="%1."/>
      <w:lvlJc w:val="left"/>
      <w:pPr>
        <w:ind w:left="720" w:hanging="360"/>
      </w:pPr>
      <w:rPr>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F70057"/>
    <w:multiLevelType w:val="hybridMultilevel"/>
    <w:tmpl w:val="318085CC"/>
    <w:lvl w:ilvl="0" w:tplc="834ED78C">
      <w:start w:val="1"/>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366847"/>
    <w:multiLevelType w:val="multilevel"/>
    <w:tmpl w:val="620E45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082922"/>
    <w:multiLevelType w:val="multilevel"/>
    <w:tmpl w:val="67A0C9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094F12"/>
    <w:multiLevelType w:val="hybridMultilevel"/>
    <w:tmpl w:val="57A0E908"/>
    <w:lvl w:ilvl="0" w:tplc="FFFFFFFF">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8"/>
  </w:num>
  <w:num w:numId="18" w16cid:durableId="1318270324">
    <w:abstractNumId w:val="19"/>
  </w:num>
  <w:num w:numId="19" w16cid:durableId="2133593865">
    <w:abstractNumId w:val="22"/>
  </w:num>
  <w:num w:numId="20" w16cid:durableId="1935045211">
    <w:abstractNumId w:val="14"/>
  </w:num>
  <w:num w:numId="21" w16cid:durableId="1318917148">
    <w:abstractNumId w:val="11"/>
  </w:num>
  <w:num w:numId="22" w16cid:durableId="1824200708">
    <w:abstractNumId w:val="13"/>
  </w:num>
  <w:num w:numId="23" w16cid:durableId="1432237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7863368">
    <w:abstractNumId w:val="16"/>
  </w:num>
  <w:num w:numId="25" w16cid:durableId="1944530365">
    <w:abstractNumId w:val="21"/>
  </w:num>
  <w:num w:numId="26" w16cid:durableId="1177227985">
    <w:abstractNumId w:val="10"/>
  </w:num>
  <w:num w:numId="27" w16cid:durableId="1563902290">
    <w:abstractNumId w:val="10"/>
  </w:num>
  <w:num w:numId="28" w16cid:durableId="219022840">
    <w:abstractNumId w:val="10"/>
  </w:num>
  <w:num w:numId="29" w16cid:durableId="418140537">
    <w:abstractNumId w:val="10"/>
  </w:num>
  <w:num w:numId="30" w16cid:durableId="1281372604">
    <w:abstractNumId w:val="10"/>
  </w:num>
  <w:num w:numId="31" w16cid:durableId="329606976">
    <w:abstractNumId w:val="15"/>
  </w:num>
  <w:num w:numId="32" w16cid:durableId="550769542">
    <w:abstractNumId w:val="10"/>
  </w:num>
  <w:num w:numId="33" w16cid:durableId="468207914">
    <w:abstractNumId w:val="10"/>
  </w:num>
  <w:num w:numId="34" w16cid:durableId="1251237342">
    <w:abstractNumId w:val="10"/>
  </w:num>
  <w:num w:numId="35" w16cid:durableId="811755453">
    <w:abstractNumId w:val="10"/>
  </w:num>
  <w:num w:numId="36" w16cid:durableId="324361138">
    <w:abstractNumId w:val="20"/>
  </w:num>
  <w:num w:numId="37" w16cid:durableId="2074768936">
    <w:abstractNumId w:val="10"/>
  </w:num>
  <w:num w:numId="38" w16cid:durableId="2140760534">
    <w:abstractNumId w:val="23"/>
  </w:num>
  <w:num w:numId="39" w16cid:durableId="791901850">
    <w:abstractNumId w:val="17"/>
  </w:num>
  <w:num w:numId="40" w16cid:durableId="914245827">
    <w:abstractNumId w:val="10"/>
  </w:num>
  <w:num w:numId="41" w16cid:durableId="200049695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0DC"/>
    <w:rsid w:val="00013372"/>
    <w:rsid w:val="00017133"/>
    <w:rsid w:val="0002642B"/>
    <w:rsid w:val="0003197D"/>
    <w:rsid w:val="0004254A"/>
    <w:rsid w:val="00056472"/>
    <w:rsid w:val="00072348"/>
    <w:rsid w:val="000839C2"/>
    <w:rsid w:val="000861FE"/>
    <w:rsid w:val="00093133"/>
    <w:rsid w:val="00097D58"/>
    <w:rsid w:val="000A2F85"/>
    <w:rsid w:val="000C2FE8"/>
    <w:rsid w:val="000C5CEA"/>
    <w:rsid w:val="000E0770"/>
    <w:rsid w:val="000E1354"/>
    <w:rsid w:val="000F7476"/>
    <w:rsid w:val="001002E7"/>
    <w:rsid w:val="00117D44"/>
    <w:rsid w:val="00144FC0"/>
    <w:rsid w:val="00166471"/>
    <w:rsid w:val="001667F5"/>
    <w:rsid w:val="0016706E"/>
    <w:rsid w:val="00170997"/>
    <w:rsid w:val="00171E60"/>
    <w:rsid w:val="00185BB6"/>
    <w:rsid w:val="001B5C91"/>
    <w:rsid w:val="001C0D0E"/>
    <w:rsid w:val="001C6A5A"/>
    <w:rsid w:val="001D2B45"/>
    <w:rsid w:val="001D7A0E"/>
    <w:rsid w:val="001F0283"/>
    <w:rsid w:val="00206C33"/>
    <w:rsid w:val="0022104F"/>
    <w:rsid w:val="002313A6"/>
    <w:rsid w:val="00231DBA"/>
    <w:rsid w:val="00253D07"/>
    <w:rsid w:val="00290914"/>
    <w:rsid w:val="002920DC"/>
    <w:rsid w:val="002B535E"/>
    <w:rsid w:val="002E337D"/>
    <w:rsid w:val="002E6A6F"/>
    <w:rsid w:val="002E7EF7"/>
    <w:rsid w:val="002F22BA"/>
    <w:rsid w:val="002F505F"/>
    <w:rsid w:val="00300FDC"/>
    <w:rsid w:val="00302A19"/>
    <w:rsid w:val="0032579D"/>
    <w:rsid w:val="0035441C"/>
    <w:rsid w:val="00377E9D"/>
    <w:rsid w:val="00392DDC"/>
    <w:rsid w:val="00393115"/>
    <w:rsid w:val="00396F16"/>
    <w:rsid w:val="003C2491"/>
    <w:rsid w:val="003C2739"/>
    <w:rsid w:val="003F2852"/>
    <w:rsid w:val="003F7BD5"/>
    <w:rsid w:val="00416590"/>
    <w:rsid w:val="00416AD7"/>
    <w:rsid w:val="00437D01"/>
    <w:rsid w:val="00475B7C"/>
    <w:rsid w:val="004864A3"/>
    <w:rsid w:val="004A7B2D"/>
    <w:rsid w:val="004C58F2"/>
    <w:rsid w:val="004C5B74"/>
    <w:rsid w:val="004E6E31"/>
    <w:rsid w:val="004F7AD4"/>
    <w:rsid w:val="00501366"/>
    <w:rsid w:val="005124AA"/>
    <w:rsid w:val="0052585C"/>
    <w:rsid w:val="0053096E"/>
    <w:rsid w:val="005320F9"/>
    <w:rsid w:val="00546241"/>
    <w:rsid w:val="0056291C"/>
    <w:rsid w:val="00583F2A"/>
    <w:rsid w:val="00584ED8"/>
    <w:rsid w:val="005B65DF"/>
    <w:rsid w:val="005C7D4A"/>
    <w:rsid w:val="005F234F"/>
    <w:rsid w:val="005F4F8E"/>
    <w:rsid w:val="00624AEF"/>
    <w:rsid w:val="0064317F"/>
    <w:rsid w:val="00662A73"/>
    <w:rsid w:val="006759DA"/>
    <w:rsid w:val="006D0263"/>
    <w:rsid w:val="006F2A2C"/>
    <w:rsid w:val="00702662"/>
    <w:rsid w:val="00730276"/>
    <w:rsid w:val="00752EF0"/>
    <w:rsid w:val="00756DB6"/>
    <w:rsid w:val="00786775"/>
    <w:rsid w:val="00791A1A"/>
    <w:rsid w:val="007B7442"/>
    <w:rsid w:val="007C3C73"/>
    <w:rsid w:val="007C6EF9"/>
    <w:rsid w:val="007D141D"/>
    <w:rsid w:val="007D567C"/>
    <w:rsid w:val="007E20B0"/>
    <w:rsid w:val="007E5D09"/>
    <w:rsid w:val="00806A4F"/>
    <w:rsid w:val="0084173D"/>
    <w:rsid w:val="008508F1"/>
    <w:rsid w:val="00872D99"/>
    <w:rsid w:val="00872EC0"/>
    <w:rsid w:val="0087365F"/>
    <w:rsid w:val="00885865"/>
    <w:rsid w:val="008A3A48"/>
    <w:rsid w:val="008B7BCA"/>
    <w:rsid w:val="008E1518"/>
    <w:rsid w:val="008E2901"/>
    <w:rsid w:val="008E3DF3"/>
    <w:rsid w:val="0090339C"/>
    <w:rsid w:val="00920424"/>
    <w:rsid w:val="00920EF1"/>
    <w:rsid w:val="00934DE9"/>
    <w:rsid w:val="009662D9"/>
    <w:rsid w:val="00971762"/>
    <w:rsid w:val="00981231"/>
    <w:rsid w:val="00983FD1"/>
    <w:rsid w:val="009863FA"/>
    <w:rsid w:val="00986A7D"/>
    <w:rsid w:val="009932B5"/>
    <w:rsid w:val="00995309"/>
    <w:rsid w:val="009A5140"/>
    <w:rsid w:val="009C46B2"/>
    <w:rsid w:val="009D0738"/>
    <w:rsid w:val="009E3DBB"/>
    <w:rsid w:val="00A23C66"/>
    <w:rsid w:val="00A31AC0"/>
    <w:rsid w:val="00A377C9"/>
    <w:rsid w:val="00A44778"/>
    <w:rsid w:val="00A50C76"/>
    <w:rsid w:val="00A62048"/>
    <w:rsid w:val="00A755B6"/>
    <w:rsid w:val="00A834D4"/>
    <w:rsid w:val="00A907AD"/>
    <w:rsid w:val="00AA3E1D"/>
    <w:rsid w:val="00AB4886"/>
    <w:rsid w:val="00AB56DF"/>
    <w:rsid w:val="00AE7157"/>
    <w:rsid w:val="00B11DB6"/>
    <w:rsid w:val="00B34D29"/>
    <w:rsid w:val="00B40E87"/>
    <w:rsid w:val="00B64779"/>
    <w:rsid w:val="00B72D71"/>
    <w:rsid w:val="00B81E83"/>
    <w:rsid w:val="00B850D2"/>
    <w:rsid w:val="00B9237B"/>
    <w:rsid w:val="00BB1C42"/>
    <w:rsid w:val="00BE7ED3"/>
    <w:rsid w:val="00C0337B"/>
    <w:rsid w:val="00C22969"/>
    <w:rsid w:val="00C27B58"/>
    <w:rsid w:val="00C4331C"/>
    <w:rsid w:val="00C54305"/>
    <w:rsid w:val="00C55EF2"/>
    <w:rsid w:val="00C64556"/>
    <w:rsid w:val="00C7391D"/>
    <w:rsid w:val="00C83E39"/>
    <w:rsid w:val="00CC3319"/>
    <w:rsid w:val="00CD6BC1"/>
    <w:rsid w:val="00CE1900"/>
    <w:rsid w:val="00D006A9"/>
    <w:rsid w:val="00D03E93"/>
    <w:rsid w:val="00D34512"/>
    <w:rsid w:val="00D35914"/>
    <w:rsid w:val="00D35FC8"/>
    <w:rsid w:val="00D439F3"/>
    <w:rsid w:val="00D45C4D"/>
    <w:rsid w:val="00D46A96"/>
    <w:rsid w:val="00D53CF4"/>
    <w:rsid w:val="00D55483"/>
    <w:rsid w:val="00D6339B"/>
    <w:rsid w:val="00DA0A0B"/>
    <w:rsid w:val="00DA1FBF"/>
    <w:rsid w:val="00DA5E3D"/>
    <w:rsid w:val="00DB3B67"/>
    <w:rsid w:val="00DD4F9A"/>
    <w:rsid w:val="00DF6B55"/>
    <w:rsid w:val="00E1360E"/>
    <w:rsid w:val="00E27B62"/>
    <w:rsid w:val="00E54B59"/>
    <w:rsid w:val="00E658E0"/>
    <w:rsid w:val="00E74902"/>
    <w:rsid w:val="00E86EBE"/>
    <w:rsid w:val="00EA617F"/>
    <w:rsid w:val="00EC108E"/>
    <w:rsid w:val="00ED4BF2"/>
    <w:rsid w:val="00EF566C"/>
    <w:rsid w:val="00F01F89"/>
    <w:rsid w:val="00F1543D"/>
    <w:rsid w:val="00F31608"/>
    <w:rsid w:val="00F373C9"/>
    <w:rsid w:val="00F7407F"/>
    <w:rsid w:val="00F7471F"/>
    <w:rsid w:val="00F83B9E"/>
    <w:rsid w:val="00F9523B"/>
    <w:rsid w:val="00FB7E54"/>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F4A44"/>
  <w15:docId w15:val="{F17F2095-EF9A-44EA-9EA3-B5232E0E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NormalWeb">
    <w:name w:val="Normal (Web)"/>
    <w:basedOn w:val="Normal"/>
    <w:uiPriority w:val="99"/>
    <w:unhideWhenUsed/>
    <w:rsid w:val="00D55483"/>
    <w:pPr>
      <w:spacing w:before="100" w:beforeAutospacing="1" w:after="100" w:afterAutospacing="1"/>
      <w:jc w:val="left"/>
    </w:pPr>
    <w:rPr>
      <w:szCs w:val="24"/>
      <w:lang w:eastAsia="en-GB" w:bidi="ar-SA"/>
    </w:rPr>
  </w:style>
  <w:style w:type="paragraph" w:styleId="ListParagraph">
    <w:name w:val="List Paragraph"/>
    <w:basedOn w:val="Normal"/>
    <w:uiPriority w:val="34"/>
    <w:qFormat/>
    <w:rsid w:val="00993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73894">
      <w:bodyDiv w:val="1"/>
      <w:marLeft w:val="0"/>
      <w:marRight w:val="0"/>
      <w:marTop w:val="0"/>
      <w:marBottom w:val="0"/>
      <w:divBdr>
        <w:top w:val="none" w:sz="0" w:space="0" w:color="auto"/>
        <w:left w:val="none" w:sz="0" w:space="0" w:color="auto"/>
        <w:bottom w:val="none" w:sz="0" w:space="0" w:color="auto"/>
        <w:right w:val="none" w:sz="0" w:space="0" w:color="auto"/>
      </w:divBdr>
    </w:div>
    <w:div w:id="251014343">
      <w:bodyDiv w:val="1"/>
      <w:marLeft w:val="0"/>
      <w:marRight w:val="0"/>
      <w:marTop w:val="0"/>
      <w:marBottom w:val="0"/>
      <w:divBdr>
        <w:top w:val="none" w:sz="0" w:space="0" w:color="auto"/>
        <w:left w:val="none" w:sz="0" w:space="0" w:color="auto"/>
        <w:bottom w:val="none" w:sz="0" w:space="0" w:color="auto"/>
        <w:right w:val="none" w:sz="0" w:space="0" w:color="auto"/>
      </w:divBdr>
    </w:div>
    <w:div w:id="254940837">
      <w:bodyDiv w:val="1"/>
      <w:marLeft w:val="0"/>
      <w:marRight w:val="0"/>
      <w:marTop w:val="0"/>
      <w:marBottom w:val="0"/>
      <w:divBdr>
        <w:top w:val="none" w:sz="0" w:space="0" w:color="auto"/>
        <w:left w:val="none" w:sz="0" w:space="0" w:color="auto"/>
        <w:bottom w:val="none" w:sz="0" w:space="0" w:color="auto"/>
        <w:right w:val="none" w:sz="0" w:space="0" w:color="auto"/>
      </w:divBdr>
    </w:div>
    <w:div w:id="486243461">
      <w:bodyDiv w:val="1"/>
      <w:marLeft w:val="0"/>
      <w:marRight w:val="0"/>
      <w:marTop w:val="0"/>
      <w:marBottom w:val="0"/>
      <w:divBdr>
        <w:top w:val="none" w:sz="0" w:space="0" w:color="auto"/>
        <w:left w:val="none" w:sz="0" w:space="0" w:color="auto"/>
        <w:bottom w:val="none" w:sz="0" w:space="0" w:color="auto"/>
        <w:right w:val="none" w:sz="0" w:space="0" w:color="auto"/>
      </w:divBdr>
    </w:div>
    <w:div w:id="492449003">
      <w:bodyDiv w:val="1"/>
      <w:marLeft w:val="0"/>
      <w:marRight w:val="0"/>
      <w:marTop w:val="0"/>
      <w:marBottom w:val="0"/>
      <w:divBdr>
        <w:top w:val="none" w:sz="0" w:space="0" w:color="auto"/>
        <w:left w:val="none" w:sz="0" w:space="0" w:color="auto"/>
        <w:bottom w:val="none" w:sz="0" w:space="0" w:color="auto"/>
        <w:right w:val="none" w:sz="0" w:space="0" w:color="auto"/>
      </w:divBdr>
    </w:div>
    <w:div w:id="529146392">
      <w:bodyDiv w:val="1"/>
      <w:marLeft w:val="0"/>
      <w:marRight w:val="0"/>
      <w:marTop w:val="0"/>
      <w:marBottom w:val="0"/>
      <w:divBdr>
        <w:top w:val="none" w:sz="0" w:space="0" w:color="auto"/>
        <w:left w:val="none" w:sz="0" w:space="0" w:color="auto"/>
        <w:bottom w:val="none" w:sz="0" w:space="0" w:color="auto"/>
        <w:right w:val="none" w:sz="0" w:space="0" w:color="auto"/>
      </w:divBdr>
    </w:div>
    <w:div w:id="715472981">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39199517">
      <w:bodyDiv w:val="1"/>
      <w:marLeft w:val="0"/>
      <w:marRight w:val="0"/>
      <w:marTop w:val="0"/>
      <w:marBottom w:val="0"/>
      <w:divBdr>
        <w:top w:val="none" w:sz="0" w:space="0" w:color="auto"/>
        <w:left w:val="none" w:sz="0" w:space="0" w:color="auto"/>
        <w:bottom w:val="none" w:sz="0" w:space="0" w:color="auto"/>
        <w:right w:val="none" w:sz="0" w:space="0" w:color="auto"/>
      </w:divBdr>
    </w:div>
    <w:div w:id="906459858">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32587832">
      <w:bodyDiv w:val="1"/>
      <w:marLeft w:val="0"/>
      <w:marRight w:val="0"/>
      <w:marTop w:val="0"/>
      <w:marBottom w:val="0"/>
      <w:divBdr>
        <w:top w:val="none" w:sz="0" w:space="0" w:color="auto"/>
        <w:left w:val="none" w:sz="0" w:space="0" w:color="auto"/>
        <w:bottom w:val="none" w:sz="0" w:space="0" w:color="auto"/>
        <w:right w:val="none" w:sz="0" w:space="0" w:color="auto"/>
      </w:divBdr>
    </w:div>
    <w:div w:id="945624197">
      <w:bodyDiv w:val="1"/>
      <w:marLeft w:val="0"/>
      <w:marRight w:val="0"/>
      <w:marTop w:val="0"/>
      <w:marBottom w:val="0"/>
      <w:divBdr>
        <w:top w:val="none" w:sz="0" w:space="0" w:color="auto"/>
        <w:left w:val="none" w:sz="0" w:space="0" w:color="auto"/>
        <w:bottom w:val="none" w:sz="0" w:space="0" w:color="auto"/>
        <w:right w:val="none" w:sz="0" w:space="0" w:color="auto"/>
      </w:divBdr>
    </w:div>
    <w:div w:id="1258100562">
      <w:bodyDiv w:val="1"/>
      <w:marLeft w:val="0"/>
      <w:marRight w:val="0"/>
      <w:marTop w:val="0"/>
      <w:marBottom w:val="0"/>
      <w:divBdr>
        <w:top w:val="none" w:sz="0" w:space="0" w:color="auto"/>
        <w:left w:val="none" w:sz="0" w:space="0" w:color="auto"/>
        <w:bottom w:val="none" w:sz="0" w:space="0" w:color="auto"/>
        <w:right w:val="none" w:sz="0" w:space="0" w:color="auto"/>
      </w:divBdr>
    </w:div>
    <w:div w:id="1294630117">
      <w:bodyDiv w:val="1"/>
      <w:marLeft w:val="0"/>
      <w:marRight w:val="0"/>
      <w:marTop w:val="0"/>
      <w:marBottom w:val="0"/>
      <w:divBdr>
        <w:top w:val="none" w:sz="0" w:space="0" w:color="auto"/>
        <w:left w:val="none" w:sz="0" w:space="0" w:color="auto"/>
        <w:bottom w:val="none" w:sz="0" w:space="0" w:color="auto"/>
        <w:right w:val="none" w:sz="0" w:space="0" w:color="auto"/>
      </w:divBdr>
    </w:div>
    <w:div w:id="1297568073">
      <w:bodyDiv w:val="1"/>
      <w:marLeft w:val="0"/>
      <w:marRight w:val="0"/>
      <w:marTop w:val="0"/>
      <w:marBottom w:val="0"/>
      <w:divBdr>
        <w:top w:val="none" w:sz="0" w:space="0" w:color="auto"/>
        <w:left w:val="none" w:sz="0" w:space="0" w:color="auto"/>
        <w:bottom w:val="none" w:sz="0" w:space="0" w:color="auto"/>
        <w:right w:val="none" w:sz="0" w:space="0" w:color="auto"/>
      </w:divBdr>
    </w:div>
    <w:div w:id="1331330584">
      <w:bodyDiv w:val="1"/>
      <w:marLeft w:val="0"/>
      <w:marRight w:val="0"/>
      <w:marTop w:val="0"/>
      <w:marBottom w:val="0"/>
      <w:divBdr>
        <w:top w:val="none" w:sz="0" w:space="0" w:color="auto"/>
        <w:left w:val="none" w:sz="0" w:space="0" w:color="auto"/>
        <w:bottom w:val="none" w:sz="0" w:space="0" w:color="auto"/>
        <w:right w:val="none" w:sz="0" w:space="0" w:color="auto"/>
      </w:divBdr>
    </w:div>
    <w:div w:id="1477605203">
      <w:bodyDiv w:val="1"/>
      <w:marLeft w:val="0"/>
      <w:marRight w:val="0"/>
      <w:marTop w:val="0"/>
      <w:marBottom w:val="0"/>
      <w:divBdr>
        <w:top w:val="none" w:sz="0" w:space="0" w:color="auto"/>
        <w:left w:val="none" w:sz="0" w:space="0" w:color="auto"/>
        <w:bottom w:val="none" w:sz="0" w:space="0" w:color="auto"/>
        <w:right w:val="none" w:sz="0" w:space="0" w:color="auto"/>
      </w:divBdr>
    </w:div>
    <w:div w:id="1679848959">
      <w:bodyDiv w:val="1"/>
      <w:marLeft w:val="0"/>
      <w:marRight w:val="0"/>
      <w:marTop w:val="0"/>
      <w:marBottom w:val="0"/>
      <w:divBdr>
        <w:top w:val="none" w:sz="0" w:space="0" w:color="auto"/>
        <w:left w:val="none" w:sz="0" w:space="0" w:color="auto"/>
        <w:bottom w:val="none" w:sz="0" w:space="0" w:color="auto"/>
        <w:right w:val="none" w:sz="0" w:space="0" w:color="auto"/>
      </w:divBdr>
    </w:div>
    <w:div w:id="1784576338">
      <w:bodyDiv w:val="1"/>
      <w:marLeft w:val="0"/>
      <w:marRight w:val="0"/>
      <w:marTop w:val="0"/>
      <w:marBottom w:val="0"/>
      <w:divBdr>
        <w:top w:val="none" w:sz="0" w:space="0" w:color="auto"/>
        <w:left w:val="none" w:sz="0" w:space="0" w:color="auto"/>
        <w:bottom w:val="none" w:sz="0" w:space="0" w:color="auto"/>
        <w:right w:val="none" w:sz="0" w:space="0" w:color="auto"/>
      </w:divBdr>
    </w:div>
    <w:div w:id="18066621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17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 (1)</Template>
  <TotalTime>7</TotalTime>
  <Pages>10</Pages>
  <Words>3231</Words>
  <Characters>18423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Sioufi, Sanaa</dc:creator>
  <cp:lastModifiedBy>Angela Xue He Yan</cp:lastModifiedBy>
  <cp:revision>9</cp:revision>
  <cp:lastPrinted>2025-02-10T16:42:00Z</cp:lastPrinted>
  <dcterms:created xsi:type="dcterms:W3CDTF">2026-06-01T14:03:00Z</dcterms:created>
  <dcterms:modified xsi:type="dcterms:W3CDTF">2026-06-02T18:09:00Z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UNEP/OzL.Pro/ExCom/98/9</vt:lpwstr>
  </property>
  <property fmtid="{D5CDD505-2E9C-101B-9397-08002B2CF9AE}" pid="3" name="Revision date">
    <vt:lpwstr>30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