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67" w:type="dxa"/>
        <w:tblInd w:w="-432" w:type="dxa"/>
        <w:tblLayout w:type="fixed"/>
        <w:tblLook w:val="0000" w:firstRow="0" w:lastRow="0" w:firstColumn="0" w:lastColumn="0" w:noHBand="0" w:noVBand="0"/>
      </w:tblPr>
      <w:tblGrid>
        <w:gridCol w:w="2070"/>
        <w:gridCol w:w="3420"/>
        <w:gridCol w:w="882"/>
        <w:gridCol w:w="3690"/>
        <w:gridCol w:w="105"/>
      </w:tblGrid>
      <w:tr w:rsidR="00CF388D" w:rsidRPr="00CF388D" w14:paraId="7506A96A" w14:textId="77777777" w:rsidTr="00F77D5A">
        <w:trPr>
          <w:trHeight w:val="720"/>
        </w:trPr>
        <w:tc>
          <w:tcPr>
            <w:tcW w:w="5490" w:type="dxa"/>
            <w:gridSpan w:val="2"/>
            <w:tcBorders>
              <w:bottom w:val="single" w:sz="18" w:space="0" w:color="auto"/>
            </w:tcBorders>
          </w:tcPr>
          <w:p w14:paraId="6C2C5F18" w14:textId="77777777" w:rsidR="00C15867" w:rsidRPr="00CF388D" w:rsidRDefault="00C15867" w:rsidP="00374B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NACIONES</w:t>
            </w:r>
            <w:r>
              <w:rPr>
                <w:rFonts w:ascii="Univers" w:hAnsi="Univers"/>
                <w:b/>
                <w:sz w:val="28"/>
              </w:rPr>
              <w:br/>
              <w:t>UNIDAS</w:t>
            </w:r>
          </w:p>
        </w:tc>
        <w:tc>
          <w:tcPr>
            <w:tcW w:w="4677" w:type="dxa"/>
            <w:gridSpan w:val="3"/>
            <w:tcBorders>
              <w:bottom w:val="single" w:sz="18" w:space="0" w:color="auto"/>
            </w:tcBorders>
          </w:tcPr>
          <w:p w14:paraId="7D49030B" w14:textId="77777777" w:rsidR="00C15867" w:rsidRPr="00CF388D" w:rsidRDefault="00C15867" w:rsidP="00374BF2">
            <w:pPr>
              <w:jc w:val="right"/>
              <w:rPr>
                <w:sz w:val="52"/>
                <w:szCs w:val="52"/>
              </w:rPr>
            </w:pPr>
            <w:r>
              <w:rPr>
                <w:rFonts w:ascii="Univers Bold" w:hAnsi="Univers Bold"/>
                <w:b/>
                <w:sz w:val="72"/>
              </w:rPr>
              <w:t>EP</w:t>
            </w:r>
          </w:p>
        </w:tc>
      </w:tr>
      <w:tr w:rsidR="00CF388D" w:rsidRPr="00CF388D" w14:paraId="7DA529EF" w14:textId="77777777" w:rsidTr="00F77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5" w:type="dxa"/>
          <w:trHeight w:val="2718"/>
        </w:trPr>
        <w:tc>
          <w:tcPr>
            <w:tcW w:w="2070" w:type="dxa"/>
            <w:tcBorders>
              <w:top w:val="nil"/>
              <w:left w:val="nil"/>
              <w:bottom w:val="single" w:sz="36" w:space="0" w:color="auto"/>
              <w:right w:val="nil"/>
            </w:tcBorders>
          </w:tcPr>
          <w:p w14:paraId="1B9E416B" w14:textId="77777777" w:rsidR="00C15867" w:rsidRPr="00CF388D" w:rsidRDefault="00E52838" w:rsidP="00374BF2">
            <w:pPr>
              <w:spacing w:before="120"/>
            </w:pPr>
            <w:r>
              <w:rPr>
                <w:noProof/>
                <w:lang w:val="en-US"/>
              </w:rPr>
              <mc:AlternateContent>
                <mc:Choice Requires="wpg">
                  <w:drawing>
                    <wp:anchor distT="0" distB="0" distL="114300" distR="114300" simplePos="0" relativeHeight="251658240" behindDoc="0" locked="0" layoutInCell="1" allowOverlap="1" wp14:anchorId="7B226FCB" wp14:editId="7327AA9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DF0BBC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Title:  - Description: PNUMA"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02" w:type="dxa"/>
            <w:gridSpan w:val="2"/>
            <w:tcBorders>
              <w:top w:val="nil"/>
              <w:left w:val="nil"/>
              <w:bottom w:val="single" w:sz="36" w:space="0" w:color="auto"/>
              <w:right w:val="nil"/>
            </w:tcBorders>
          </w:tcPr>
          <w:p w14:paraId="2888B20D" w14:textId="77777777" w:rsidR="00C1776A" w:rsidRDefault="00C1776A" w:rsidP="00C177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1406DBB" w14:textId="051F9AF7" w:rsidR="00C15867" w:rsidRPr="00CF388D" w:rsidRDefault="00C15867" w:rsidP="00C177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3FBE59D4" w14:textId="77777777" w:rsidR="00C15867" w:rsidRPr="00CF388D" w:rsidRDefault="00C15867" w:rsidP="00C177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Naciones Unidas</w:t>
            </w:r>
          </w:p>
          <w:p w14:paraId="0488EB04" w14:textId="77777777" w:rsidR="00C15867" w:rsidRPr="00CF388D" w:rsidRDefault="00C15867" w:rsidP="00C177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13ACB97E" w14:textId="77777777" w:rsidR="00C15867" w:rsidRPr="00CF388D" w:rsidRDefault="00C15867" w:rsidP="00C1776A">
            <w:pPr>
              <w:spacing w:before="720"/>
              <w:ind w:left="158"/>
              <w:jc w:val="left"/>
            </w:pPr>
          </w:p>
        </w:tc>
        <w:tc>
          <w:tcPr>
            <w:tcW w:w="3690" w:type="dxa"/>
            <w:tcBorders>
              <w:top w:val="nil"/>
              <w:left w:val="nil"/>
              <w:bottom w:val="single" w:sz="36" w:space="0" w:color="auto"/>
              <w:right w:val="nil"/>
            </w:tcBorders>
          </w:tcPr>
          <w:p w14:paraId="3E896127" w14:textId="77777777" w:rsidR="00AF67D8" w:rsidRDefault="00AF67D8" w:rsidP="00F77D5A"/>
          <w:p w14:paraId="6454E3B9" w14:textId="7FDF8F4C" w:rsidR="00C15867" w:rsidRPr="00CF388D" w:rsidRDefault="00C15867" w:rsidP="00F77D5A">
            <w:r>
              <w:t>Distr.</w:t>
            </w:r>
          </w:p>
          <w:p w14:paraId="27B11EF4" w14:textId="77777777" w:rsidR="00923540" w:rsidRPr="00CF388D" w:rsidRDefault="00923540" w:rsidP="00F77D5A">
            <w:r>
              <w:t>GENERAL</w:t>
            </w:r>
          </w:p>
          <w:p w14:paraId="50FD3BF3" w14:textId="77777777" w:rsidR="00C15867" w:rsidRPr="00CF388D" w:rsidRDefault="00C15867" w:rsidP="00F77D5A"/>
          <w:p w14:paraId="5C8B3668" w14:textId="72DA78B0" w:rsidR="00C15867" w:rsidRPr="00CF388D" w:rsidRDefault="00C1776A" w:rsidP="00F77D5A">
            <w:fldSimple w:instr=" DOCPROPERTY &quot;Document number&quot;  \* MERGEFORMAT ">
              <w:r>
                <w:t>UNEP/OzL.Pro/ExCom/97/23</w:t>
              </w:r>
            </w:fldSimple>
          </w:p>
          <w:p w14:paraId="63B30E71" w14:textId="6893A055" w:rsidR="00C15867" w:rsidRPr="00CF388D" w:rsidRDefault="00BC2495" w:rsidP="00F77D5A">
            <w:r w:rsidRPr="00CF388D">
              <w:fldChar w:fldCharType="begin"/>
            </w:r>
            <w:r w:rsidR="00851352" w:rsidRPr="00CF388D">
              <w:instrText xml:space="preserve"> DOCPROPERTY "Revision date" \@ "d MMMM YYYY"  \* MERGEFORMAT </w:instrText>
            </w:r>
            <w:r w:rsidRPr="00CF388D">
              <w:fldChar w:fldCharType="separate"/>
            </w:r>
            <w:r w:rsidR="00C1776A">
              <w:t>4 de noviembre de 2025</w:t>
            </w:r>
            <w:r w:rsidRPr="00CF388D">
              <w:fldChar w:fldCharType="end"/>
            </w:r>
          </w:p>
          <w:p w14:paraId="673DFD02" w14:textId="77777777" w:rsidR="00C15867" w:rsidRPr="00CF388D" w:rsidRDefault="00C15867" w:rsidP="00F77D5A">
            <w:pPr>
              <w:rPr>
                <w:caps/>
              </w:rPr>
            </w:pPr>
          </w:p>
          <w:p w14:paraId="50202E83" w14:textId="77777777" w:rsidR="00C15867" w:rsidRPr="00CF388D" w:rsidRDefault="00C15867" w:rsidP="00F77D5A">
            <w:r>
              <w:t>ESPAÑOL</w:t>
            </w:r>
            <w:r>
              <w:br/>
              <w:t>ORIGINAL: INGLÉS</w:t>
            </w:r>
          </w:p>
        </w:tc>
      </w:tr>
    </w:tbl>
    <w:p w14:paraId="4446A791" w14:textId="1D0C9EB3" w:rsidR="00CA59FB" w:rsidRPr="00CF388D" w:rsidRDefault="00C15867" w:rsidP="00CA59FB">
      <w:pPr>
        <w:jc w:val="left"/>
      </w:pPr>
      <w:r>
        <w:t>COMITÉ EJECUTIVO DEL FONDO MULTILATERAL</w:t>
      </w:r>
      <w:r>
        <w:br/>
        <w:t xml:space="preserve"> PARA LA APLICACIÓN DEL</w:t>
      </w:r>
      <w:r>
        <w:br/>
        <w:t xml:space="preserve"> PROTOCOLO DE MONTREAL</w:t>
      </w:r>
      <w:r>
        <w:br/>
        <w:t>Nonagésima séptima reunión</w:t>
      </w:r>
    </w:p>
    <w:p w14:paraId="65973553" w14:textId="77777777" w:rsidR="00CA59FB" w:rsidRPr="00CF388D" w:rsidRDefault="00CA59FB" w:rsidP="00CA59FB">
      <w:pPr>
        <w:jc w:val="left"/>
      </w:pPr>
      <w:r>
        <w:t>Montreal, 1-5 de diciembre de 2025</w:t>
      </w:r>
    </w:p>
    <w:p w14:paraId="74E58E36" w14:textId="7D1339A4" w:rsidR="0079781A" w:rsidRPr="00CF388D" w:rsidRDefault="0079781A" w:rsidP="0079781A">
      <w:pPr>
        <w:jc w:val="left"/>
      </w:pPr>
      <w:r>
        <w:t>Punto 8 c) iii) del orden del día provisional</w:t>
      </w:r>
      <w:r w:rsidRPr="00CF388D">
        <w:rPr>
          <w:rStyle w:val="FootnoteReference"/>
        </w:rPr>
        <w:footnoteReference w:id="1"/>
      </w:r>
    </w:p>
    <w:p w14:paraId="258D9E63" w14:textId="77777777" w:rsidR="00C15867" w:rsidRPr="00CF388D" w:rsidRDefault="00C15867" w:rsidP="00CA59FB">
      <w:pPr>
        <w:jc w:val="left"/>
      </w:pPr>
    </w:p>
    <w:p w14:paraId="4501FDAD" w14:textId="77777777" w:rsidR="002024B6" w:rsidRPr="00CF388D" w:rsidRDefault="002024B6" w:rsidP="002024B6"/>
    <w:p w14:paraId="32C51881" w14:textId="77777777" w:rsidR="002055E0" w:rsidRPr="00CF388D" w:rsidRDefault="002055E0" w:rsidP="002024B6"/>
    <w:p w14:paraId="699C0F9A" w14:textId="17DEB950" w:rsidR="00602AF5" w:rsidRPr="00CF388D" w:rsidRDefault="00602AF5" w:rsidP="00602AF5">
      <w:pPr>
        <w:pStyle w:val="Title2"/>
        <w:rPr>
          <w:caps w:val="0"/>
        </w:rPr>
      </w:pPr>
      <w:r>
        <w:rPr>
          <w:caps w:val="0"/>
        </w:rPr>
        <w:t xml:space="preserve">PLAN ADMINISTRATIVO DEL PNUMA PARA </w:t>
      </w:r>
      <w:r w:rsidR="00C1776A">
        <w:rPr>
          <w:caps w:val="0"/>
        </w:rPr>
        <w:t xml:space="preserve">EL PERÍODO </w:t>
      </w:r>
      <w:r>
        <w:rPr>
          <w:caps w:val="0"/>
        </w:rPr>
        <w:t>2026-2028</w:t>
      </w:r>
    </w:p>
    <w:p w14:paraId="230F7398" w14:textId="77777777" w:rsidR="00602AF5" w:rsidRPr="00CF388D" w:rsidRDefault="00602AF5" w:rsidP="00602AF5">
      <w:pPr>
        <w:pStyle w:val="Title2"/>
        <w:rPr>
          <w:caps w:val="0"/>
          <w:lang w:val="en-CA"/>
        </w:rPr>
      </w:pPr>
    </w:p>
    <w:p w14:paraId="22D2503C" w14:textId="77777777" w:rsidR="00602AF5" w:rsidRPr="00CF388D" w:rsidRDefault="00602AF5" w:rsidP="00602AF5">
      <w:pPr>
        <w:pStyle w:val="Heading1"/>
        <w:numPr>
          <w:ilvl w:val="0"/>
          <w:numId w:val="0"/>
        </w:numPr>
        <w:rPr>
          <w:b/>
          <w:bCs/>
          <w:sz w:val="24"/>
          <w:szCs w:val="24"/>
        </w:rPr>
      </w:pPr>
      <w:r>
        <w:rPr>
          <w:b/>
          <w:sz w:val="24"/>
        </w:rPr>
        <w:t>Introducción</w:t>
      </w:r>
    </w:p>
    <w:p w14:paraId="795CC23E" w14:textId="30A82126" w:rsidR="00602AF5" w:rsidRPr="00CF388D" w:rsidRDefault="00602AF5" w:rsidP="00602AF5">
      <w:pPr>
        <w:pStyle w:val="Heading1"/>
      </w:pPr>
      <w:r>
        <w:t xml:space="preserve">Este documento presenta el plan administrativo del PNUMA para </w:t>
      </w:r>
      <w:r w:rsidR="00C1776A">
        <w:t xml:space="preserve">el período </w:t>
      </w:r>
      <w:r>
        <w:t xml:space="preserve">2026-2028 </w:t>
      </w:r>
      <w:r w:rsidR="00C1776A">
        <w:t>y comprend</w:t>
      </w:r>
      <w:r>
        <w:t xml:space="preserve">e las actividades previstas para la reducción de las sustancias controladas y otras actividades </w:t>
      </w:r>
      <w:r w:rsidR="002F7217">
        <w:t xml:space="preserve">previstas </w:t>
      </w:r>
      <w:r>
        <w:t>en el marco del Protocolo de Montreal durante el período 2026-2028. El texto descriptivo del plan administrativo del PNUMA para</w:t>
      </w:r>
      <w:r w:rsidR="00C1776A">
        <w:t xml:space="preserve"> el período</w:t>
      </w:r>
      <w:r>
        <w:t xml:space="preserve"> 2026-2028 se adjunta al presente documento. </w:t>
      </w:r>
    </w:p>
    <w:p w14:paraId="7694CA6B" w14:textId="77777777" w:rsidR="00602AF5" w:rsidRPr="00CF388D" w:rsidRDefault="00602AF5" w:rsidP="00602AF5">
      <w:pPr>
        <w:pStyle w:val="Heading1"/>
      </w:pPr>
      <w:r>
        <w:t>Este documento consta de las secciones siguientes:</w:t>
      </w:r>
    </w:p>
    <w:p w14:paraId="45265B7D" w14:textId="0827EBA3" w:rsidR="00602AF5" w:rsidRPr="00CF388D" w:rsidRDefault="00602AF5" w:rsidP="00602AF5">
      <w:pPr>
        <w:pStyle w:val="ListParagraph"/>
        <w:numPr>
          <w:ilvl w:val="0"/>
          <w:numId w:val="22"/>
        </w:numPr>
        <w:spacing w:after="240"/>
        <w:ind w:left="1570" w:hanging="778"/>
        <w:contextualSpacing w:val="0"/>
      </w:pPr>
      <w:r>
        <w:t>Actividades previstas para el período 2026-2028</w:t>
      </w:r>
    </w:p>
    <w:p w14:paraId="6B90A48C" w14:textId="77777777" w:rsidR="00602AF5" w:rsidRPr="00CF388D" w:rsidRDefault="00602AF5" w:rsidP="00602AF5">
      <w:pPr>
        <w:pStyle w:val="ListParagraph"/>
        <w:numPr>
          <w:ilvl w:val="0"/>
          <w:numId w:val="22"/>
        </w:numPr>
        <w:spacing w:after="240"/>
        <w:ind w:left="1570" w:hanging="778"/>
        <w:contextualSpacing w:val="0"/>
      </w:pPr>
      <w:r>
        <w:t>Observaciones de la Secretaría</w:t>
      </w:r>
    </w:p>
    <w:p w14:paraId="27057C68" w14:textId="77777777" w:rsidR="00602AF5" w:rsidRPr="00CF388D" w:rsidRDefault="00602AF5" w:rsidP="00602AF5">
      <w:pPr>
        <w:pStyle w:val="ListParagraph"/>
        <w:numPr>
          <w:ilvl w:val="0"/>
          <w:numId w:val="22"/>
        </w:numPr>
        <w:spacing w:after="240"/>
        <w:ind w:left="1570" w:hanging="778"/>
        <w:contextualSpacing w:val="0"/>
      </w:pPr>
      <w:r>
        <w:t>Ajustes propuestos por la Secretaría</w:t>
      </w:r>
    </w:p>
    <w:p w14:paraId="18826AD7" w14:textId="77777777" w:rsidR="00602AF5" w:rsidRPr="00CF388D" w:rsidRDefault="00602AF5" w:rsidP="00602AF5">
      <w:pPr>
        <w:pStyle w:val="ListParagraph"/>
        <w:numPr>
          <w:ilvl w:val="0"/>
          <w:numId w:val="22"/>
        </w:numPr>
        <w:spacing w:after="240"/>
        <w:ind w:left="1570" w:hanging="778"/>
        <w:contextualSpacing w:val="0"/>
      </w:pPr>
      <w:r>
        <w:t>Indicadores de desempeño</w:t>
      </w:r>
    </w:p>
    <w:p w14:paraId="3CC5FD3E" w14:textId="10B89CC2" w:rsidR="009B3FEC" w:rsidRPr="00CF388D" w:rsidRDefault="008019EF" w:rsidP="00602AF5">
      <w:pPr>
        <w:pStyle w:val="ListParagraph"/>
        <w:numPr>
          <w:ilvl w:val="0"/>
          <w:numId w:val="22"/>
        </w:numPr>
        <w:spacing w:after="240"/>
        <w:ind w:left="1570" w:hanging="778"/>
        <w:contextualSpacing w:val="0"/>
      </w:pPr>
      <w:r>
        <w:t>Cuestiones relativas a políticas</w:t>
      </w:r>
    </w:p>
    <w:p w14:paraId="5E497167" w14:textId="77777777" w:rsidR="00602AF5" w:rsidRPr="00CF388D" w:rsidRDefault="00602AF5" w:rsidP="00602AF5">
      <w:pPr>
        <w:pStyle w:val="ListParagraph"/>
        <w:numPr>
          <w:ilvl w:val="0"/>
          <w:numId w:val="22"/>
        </w:numPr>
        <w:ind w:left="1570" w:hanging="778"/>
        <w:contextualSpacing w:val="0"/>
      </w:pPr>
      <w:r>
        <w:t>Recomendación</w:t>
      </w:r>
    </w:p>
    <w:p w14:paraId="42905835" w14:textId="77777777" w:rsidR="00602AF5" w:rsidRPr="00CF388D" w:rsidRDefault="00602AF5" w:rsidP="00602AF5">
      <w:pPr>
        <w:pStyle w:val="ListParagraph"/>
        <w:spacing w:line="360" w:lineRule="auto"/>
        <w:ind w:left="1565"/>
      </w:pPr>
    </w:p>
    <w:p w14:paraId="3694B049" w14:textId="6BA3E6BA" w:rsidR="00602AF5" w:rsidRPr="00CF388D" w:rsidRDefault="00602AF5" w:rsidP="00602AF5">
      <w:pPr>
        <w:rPr>
          <w:b/>
          <w:bCs/>
          <w:sz w:val="24"/>
          <w:szCs w:val="24"/>
        </w:rPr>
      </w:pPr>
      <w:r>
        <w:rPr>
          <w:b/>
          <w:sz w:val="24"/>
        </w:rPr>
        <w:t>I.</w:t>
      </w:r>
      <w:r>
        <w:rPr>
          <w:b/>
          <w:sz w:val="24"/>
        </w:rPr>
        <w:tab/>
        <w:t>Actividades previstas para el período 2026-2028</w:t>
      </w:r>
    </w:p>
    <w:p w14:paraId="013BC1DB" w14:textId="77777777" w:rsidR="00602AF5" w:rsidRPr="00CF388D" w:rsidRDefault="00602AF5" w:rsidP="00602AF5">
      <w:pPr>
        <w:pStyle w:val="ListParagraph"/>
        <w:ind w:left="709"/>
        <w:rPr>
          <w:b/>
          <w:bCs/>
          <w:sz w:val="24"/>
          <w:szCs w:val="24"/>
        </w:rPr>
      </w:pPr>
    </w:p>
    <w:p w14:paraId="6C88A029" w14:textId="574E6AFF" w:rsidR="00602AF5" w:rsidRPr="00CF388D" w:rsidRDefault="00602AF5" w:rsidP="00602AF5">
      <w:pPr>
        <w:pStyle w:val="Heading1"/>
      </w:pPr>
      <w:r>
        <w:t>E</w:t>
      </w:r>
      <w:r w:rsidR="00C1776A">
        <w:t>n e</w:t>
      </w:r>
      <w:r>
        <w:t>l cuadro</w:t>
      </w:r>
      <w:r w:rsidR="00C1776A">
        <w:t> </w:t>
      </w:r>
      <w:r>
        <w:t xml:space="preserve">1 </w:t>
      </w:r>
      <w:r w:rsidR="00C1776A">
        <w:t xml:space="preserve">se indica, </w:t>
      </w:r>
      <w:r>
        <w:t>para cada año</w:t>
      </w:r>
      <w:r w:rsidR="00C1776A">
        <w:t>,</w:t>
      </w:r>
      <w:r>
        <w:t xml:space="preserve"> el valor de las actividades consignadas en el plan administrativo del PNUMA.</w:t>
      </w:r>
    </w:p>
    <w:p w14:paraId="5075282D" w14:textId="75B7A6C2" w:rsidR="00602AF5" w:rsidRPr="00CF388D" w:rsidRDefault="00602AF5" w:rsidP="002055E0">
      <w:pPr>
        <w:pStyle w:val="subhead"/>
        <w:keepNext/>
        <w:jc w:val="left"/>
        <w:rPr>
          <w:b/>
          <w:sz w:val="22"/>
          <w:szCs w:val="22"/>
        </w:rPr>
      </w:pPr>
      <w:r>
        <w:rPr>
          <w:b/>
          <w:sz w:val="22"/>
        </w:rPr>
        <w:lastRenderedPageBreak/>
        <w:t xml:space="preserve">Cuadro 1. Asignación de recursos en el plan administrativo del PNUMA para </w:t>
      </w:r>
      <w:r w:rsidR="00C1776A">
        <w:rPr>
          <w:b/>
          <w:sz w:val="22"/>
        </w:rPr>
        <w:t xml:space="preserve">el período </w:t>
      </w:r>
      <w:r>
        <w:rPr>
          <w:b/>
          <w:sz w:val="22"/>
        </w:rPr>
        <w:t>2026-2028 (USD)*</w:t>
      </w:r>
      <w:r w:rsidR="00A658FA">
        <w:rPr>
          <w:b/>
          <w:sz w:val="22"/>
        </w:rPr>
        <w:t xml:space="preserve"> –</w:t>
      </w:r>
      <w:r>
        <w:rPr>
          <w:b/>
          <w:sz w:val="22"/>
        </w:rPr>
        <w:t xml:space="preserve"> según lo presentado</w:t>
      </w:r>
    </w:p>
    <w:tbl>
      <w:tblPr>
        <w:tblW w:w="9776" w:type="dxa"/>
        <w:tblLayout w:type="fixed"/>
        <w:tblCellMar>
          <w:left w:w="29" w:type="dxa"/>
          <w:right w:w="58" w:type="dxa"/>
        </w:tblCellMar>
        <w:tblLook w:val="04A0" w:firstRow="1" w:lastRow="0" w:firstColumn="1" w:lastColumn="0" w:noHBand="0" w:noVBand="1"/>
      </w:tblPr>
      <w:tblGrid>
        <w:gridCol w:w="3681"/>
        <w:gridCol w:w="1084"/>
        <w:gridCol w:w="1170"/>
        <w:gridCol w:w="1260"/>
        <w:gridCol w:w="1260"/>
        <w:gridCol w:w="1321"/>
      </w:tblGrid>
      <w:tr w:rsidR="00CF388D" w:rsidRPr="00CF388D" w14:paraId="60611EC5" w14:textId="77777777" w:rsidTr="00A658FA">
        <w:trPr>
          <w:trHeight w:val="264"/>
          <w:tblHeader/>
        </w:trPr>
        <w:tc>
          <w:tcPr>
            <w:tcW w:w="3681" w:type="dxa"/>
            <w:tcBorders>
              <w:top w:val="single" w:sz="4" w:space="0" w:color="auto"/>
              <w:left w:val="single" w:sz="4" w:space="0" w:color="auto"/>
              <w:bottom w:val="single" w:sz="4" w:space="0" w:color="auto"/>
              <w:right w:val="single" w:sz="4" w:space="0" w:color="auto"/>
            </w:tcBorders>
            <w:hideMark/>
          </w:tcPr>
          <w:p w14:paraId="0F67C2B6" w14:textId="77777777" w:rsidR="00C94AEE" w:rsidRPr="00CF388D" w:rsidRDefault="00C94AEE" w:rsidP="002055E0">
            <w:pPr>
              <w:keepNext/>
              <w:jc w:val="left"/>
              <w:rPr>
                <w:rFonts w:asciiTheme="majorBidi" w:hAnsiTheme="majorBidi" w:cstheme="majorBidi"/>
                <w:b/>
                <w:bCs/>
                <w:sz w:val="20"/>
                <w:szCs w:val="20"/>
              </w:rPr>
            </w:pPr>
            <w:r>
              <w:rPr>
                <w:rFonts w:asciiTheme="majorBidi" w:hAnsiTheme="majorBidi"/>
                <w:b/>
                <w:sz w:val="20"/>
              </w:rPr>
              <w:t>Descripción </w:t>
            </w:r>
          </w:p>
        </w:tc>
        <w:tc>
          <w:tcPr>
            <w:tcW w:w="1084" w:type="dxa"/>
            <w:tcBorders>
              <w:top w:val="single" w:sz="4" w:space="0" w:color="auto"/>
              <w:left w:val="nil"/>
              <w:bottom w:val="single" w:sz="4" w:space="0" w:color="auto"/>
              <w:right w:val="single" w:sz="4" w:space="0" w:color="auto"/>
            </w:tcBorders>
            <w:hideMark/>
          </w:tcPr>
          <w:p w14:paraId="1AA56D27" w14:textId="77777777" w:rsidR="00C94AEE" w:rsidRPr="00CF388D" w:rsidRDefault="00C94AEE" w:rsidP="002055E0">
            <w:pPr>
              <w:keepNext/>
              <w:jc w:val="center"/>
              <w:rPr>
                <w:rFonts w:asciiTheme="majorBidi" w:hAnsiTheme="majorBidi" w:cstheme="majorBidi"/>
                <w:b/>
                <w:bCs/>
                <w:sz w:val="20"/>
                <w:szCs w:val="20"/>
              </w:rPr>
            </w:pPr>
            <w:r>
              <w:rPr>
                <w:rFonts w:asciiTheme="majorBidi" w:hAnsiTheme="majorBidi"/>
                <w:b/>
                <w:sz w:val="20"/>
              </w:rPr>
              <w:t>2026</w:t>
            </w:r>
          </w:p>
        </w:tc>
        <w:tc>
          <w:tcPr>
            <w:tcW w:w="1170" w:type="dxa"/>
            <w:tcBorders>
              <w:top w:val="single" w:sz="4" w:space="0" w:color="auto"/>
              <w:left w:val="nil"/>
              <w:bottom w:val="single" w:sz="4" w:space="0" w:color="auto"/>
              <w:right w:val="single" w:sz="4" w:space="0" w:color="auto"/>
            </w:tcBorders>
            <w:hideMark/>
          </w:tcPr>
          <w:p w14:paraId="57592B03" w14:textId="77777777" w:rsidR="00C94AEE" w:rsidRPr="00CF388D" w:rsidRDefault="00C94AEE" w:rsidP="002055E0">
            <w:pPr>
              <w:keepNext/>
              <w:jc w:val="center"/>
              <w:rPr>
                <w:rFonts w:asciiTheme="majorBidi" w:hAnsiTheme="majorBidi" w:cstheme="majorBidi"/>
                <w:b/>
                <w:bCs/>
                <w:sz w:val="20"/>
                <w:szCs w:val="20"/>
              </w:rPr>
            </w:pPr>
            <w:r>
              <w:rPr>
                <w:rFonts w:asciiTheme="majorBidi" w:hAnsiTheme="majorBidi"/>
                <w:b/>
                <w:sz w:val="20"/>
              </w:rPr>
              <w:t>2027</w:t>
            </w:r>
          </w:p>
        </w:tc>
        <w:tc>
          <w:tcPr>
            <w:tcW w:w="1260" w:type="dxa"/>
            <w:tcBorders>
              <w:top w:val="single" w:sz="4" w:space="0" w:color="auto"/>
              <w:left w:val="nil"/>
              <w:bottom w:val="single" w:sz="4" w:space="0" w:color="auto"/>
              <w:right w:val="single" w:sz="4" w:space="0" w:color="auto"/>
            </w:tcBorders>
            <w:hideMark/>
          </w:tcPr>
          <w:p w14:paraId="12D3F4A0" w14:textId="77777777" w:rsidR="00C94AEE" w:rsidRPr="00CF388D" w:rsidRDefault="00C94AEE" w:rsidP="002055E0">
            <w:pPr>
              <w:keepNext/>
              <w:jc w:val="center"/>
              <w:rPr>
                <w:rFonts w:asciiTheme="majorBidi" w:hAnsiTheme="majorBidi" w:cstheme="majorBidi"/>
                <w:b/>
                <w:bCs/>
                <w:sz w:val="20"/>
                <w:szCs w:val="20"/>
              </w:rPr>
            </w:pPr>
            <w:r>
              <w:rPr>
                <w:rFonts w:asciiTheme="majorBidi" w:hAnsiTheme="majorBidi"/>
                <w:b/>
                <w:sz w:val="20"/>
              </w:rPr>
              <w:t>2028</w:t>
            </w:r>
          </w:p>
        </w:tc>
        <w:tc>
          <w:tcPr>
            <w:tcW w:w="1260" w:type="dxa"/>
            <w:tcBorders>
              <w:top w:val="single" w:sz="4" w:space="0" w:color="auto"/>
              <w:left w:val="nil"/>
              <w:bottom w:val="single" w:sz="4" w:space="0" w:color="auto"/>
              <w:right w:val="single" w:sz="4" w:space="0" w:color="auto"/>
            </w:tcBorders>
            <w:hideMark/>
          </w:tcPr>
          <w:p w14:paraId="685C4C21" w14:textId="5451DBCC" w:rsidR="00C94AEE" w:rsidRPr="00CF388D" w:rsidRDefault="00C94AEE" w:rsidP="00A905F3">
            <w:pPr>
              <w:keepNext/>
              <w:jc w:val="center"/>
              <w:rPr>
                <w:rFonts w:asciiTheme="majorBidi" w:hAnsiTheme="majorBidi" w:cstheme="majorBidi"/>
                <w:b/>
                <w:bCs/>
                <w:sz w:val="20"/>
                <w:szCs w:val="20"/>
              </w:rPr>
            </w:pPr>
            <w:r>
              <w:rPr>
                <w:rFonts w:asciiTheme="majorBidi" w:hAnsiTheme="majorBidi"/>
                <w:b/>
                <w:sz w:val="20"/>
              </w:rPr>
              <w:t>Total</w:t>
            </w:r>
            <w:r w:rsidR="00A905F3">
              <w:rPr>
                <w:rFonts w:asciiTheme="majorBidi" w:hAnsiTheme="majorBidi"/>
                <w:b/>
                <w:sz w:val="20"/>
              </w:rPr>
              <w:br/>
            </w:r>
            <w:r>
              <w:rPr>
                <w:rFonts w:asciiTheme="majorBidi" w:hAnsiTheme="majorBidi"/>
                <w:b/>
                <w:sz w:val="20"/>
              </w:rPr>
              <w:t>(2026-2028)</w:t>
            </w:r>
          </w:p>
        </w:tc>
        <w:tc>
          <w:tcPr>
            <w:tcW w:w="1321" w:type="dxa"/>
            <w:tcBorders>
              <w:top w:val="single" w:sz="4" w:space="0" w:color="auto"/>
              <w:left w:val="nil"/>
              <w:bottom w:val="single" w:sz="4" w:space="0" w:color="auto"/>
              <w:right w:val="single" w:sz="4" w:space="0" w:color="auto"/>
            </w:tcBorders>
            <w:hideMark/>
          </w:tcPr>
          <w:p w14:paraId="37E17C0F" w14:textId="77777777" w:rsidR="00C94AEE" w:rsidRPr="00CF388D" w:rsidRDefault="00C94AEE" w:rsidP="002055E0">
            <w:pPr>
              <w:keepNext/>
              <w:jc w:val="center"/>
              <w:rPr>
                <w:rFonts w:asciiTheme="majorBidi" w:hAnsiTheme="majorBidi" w:cstheme="majorBidi"/>
                <w:b/>
                <w:bCs/>
                <w:sz w:val="20"/>
                <w:szCs w:val="20"/>
              </w:rPr>
            </w:pPr>
            <w:r>
              <w:rPr>
                <w:rFonts w:asciiTheme="majorBidi" w:hAnsiTheme="majorBidi"/>
                <w:b/>
                <w:sz w:val="20"/>
              </w:rPr>
              <w:t>Total después de 2028</w:t>
            </w:r>
          </w:p>
        </w:tc>
      </w:tr>
      <w:tr w:rsidR="00CF388D" w:rsidRPr="00CF388D" w14:paraId="04EA797E" w14:textId="77777777" w:rsidTr="00A658FA">
        <w:trPr>
          <w:trHeight w:val="93"/>
        </w:trPr>
        <w:tc>
          <w:tcPr>
            <w:tcW w:w="9776" w:type="dxa"/>
            <w:gridSpan w:val="6"/>
            <w:tcBorders>
              <w:top w:val="single" w:sz="4" w:space="0" w:color="auto"/>
              <w:left w:val="single" w:sz="4" w:space="0" w:color="auto"/>
              <w:bottom w:val="single" w:sz="4" w:space="0" w:color="auto"/>
              <w:right w:val="single" w:sz="4" w:space="0" w:color="auto"/>
            </w:tcBorders>
            <w:noWrap/>
            <w:hideMark/>
          </w:tcPr>
          <w:p w14:paraId="08E644CF" w14:textId="77777777" w:rsidR="00C94AEE" w:rsidRPr="00CF388D" w:rsidRDefault="00C94AEE" w:rsidP="002055E0">
            <w:pPr>
              <w:keepNext/>
              <w:jc w:val="left"/>
              <w:rPr>
                <w:rFonts w:asciiTheme="majorBidi" w:hAnsiTheme="majorBidi" w:cstheme="majorBidi"/>
                <w:b/>
                <w:bCs/>
                <w:sz w:val="20"/>
                <w:szCs w:val="20"/>
              </w:rPr>
            </w:pPr>
            <w:r>
              <w:rPr>
                <w:rFonts w:asciiTheme="majorBidi" w:hAnsiTheme="majorBidi"/>
                <w:b/>
                <w:sz w:val="20"/>
              </w:rPr>
              <w:t>Actividades relativas a los HCFC</w:t>
            </w:r>
          </w:p>
        </w:tc>
      </w:tr>
      <w:tr w:rsidR="00CF388D" w:rsidRPr="00CF388D" w14:paraId="2439D03B" w14:textId="77777777" w:rsidTr="00A658FA">
        <w:trPr>
          <w:trHeight w:val="264"/>
        </w:trPr>
        <w:tc>
          <w:tcPr>
            <w:tcW w:w="3681" w:type="dxa"/>
            <w:tcBorders>
              <w:top w:val="nil"/>
              <w:left w:val="single" w:sz="4" w:space="0" w:color="auto"/>
              <w:bottom w:val="single" w:sz="4" w:space="0" w:color="auto"/>
              <w:right w:val="single" w:sz="4" w:space="0" w:color="auto"/>
            </w:tcBorders>
            <w:noWrap/>
            <w:hideMark/>
          </w:tcPr>
          <w:p w14:paraId="32438468" w14:textId="77777777" w:rsidR="00C94AEE" w:rsidRPr="00CF388D" w:rsidRDefault="00C94AEE" w:rsidP="002055E0">
            <w:pPr>
              <w:keepNext/>
              <w:jc w:val="left"/>
              <w:rPr>
                <w:rFonts w:asciiTheme="majorBidi" w:hAnsiTheme="majorBidi" w:cstheme="majorBidi"/>
                <w:sz w:val="20"/>
                <w:szCs w:val="20"/>
              </w:rPr>
            </w:pPr>
            <w:r>
              <w:rPr>
                <w:rFonts w:asciiTheme="majorBidi" w:hAnsiTheme="majorBidi"/>
                <w:sz w:val="20"/>
              </w:rPr>
              <w:t>Planes de gestión para la eliminación de HCFC (PGEH) aprobados</w:t>
            </w:r>
          </w:p>
        </w:tc>
        <w:tc>
          <w:tcPr>
            <w:tcW w:w="1084" w:type="dxa"/>
            <w:tcBorders>
              <w:top w:val="nil"/>
              <w:left w:val="nil"/>
              <w:bottom w:val="single" w:sz="4" w:space="0" w:color="auto"/>
              <w:right w:val="single" w:sz="4" w:space="0" w:color="auto"/>
            </w:tcBorders>
            <w:noWrap/>
            <w:hideMark/>
          </w:tcPr>
          <w:p w14:paraId="633B5502"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11.458.170</w:t>
            </w:r>
          </w:p>
        </w:tc>
        <w:tc>
          <w:tcPr>
            <w:tcW w:w="1170" w:type="dxa"/>
            <w:tcBorders>
              <w:top w:val="nil"/>
              <w:left w:val="nil"/>
              <w:bottom w:val="single" w:sz="4" w:space="0" w:color="auto"/>
              <w:right w:val="single" w:sz="4" w:space="0" w:color="auto"/>
            </w:tcBorders>
            <w:noWrap/>
            <w:hideMark/>
          </w:tcPr>
          <w:p w14:paraId="763915A6"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5.577.573</w:t>
            </w:r>
          </w:p>
        </w:tc>
        <w:tc>
          <w:tcPr>
            <w:tcW w:w="1260" w:type="dxa"/>
            <w:tcBorders>
              <w:top w:val="nil"/>
              <w:left w:val="nil"/>
              <w:bottom w:val="single" w:sz="4" w:space="0" w:color="auto"/>
              <w:right w:val="single" w:sz="4" w:space="0" w:color="auto"/>
            </w:tcBorders>
            <w:noWrap/>
            <w:hideMark/>
          </w:tcPr>
          <w:p w14:paraId="07007F0A"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1.898.002</w:t>
            </w:r>
          </w:p>
        </w:tc>
        <w:tc>
          <w:tcPr>
            <w:tcW w:w="1260" w:type="dxa"/>
            <w:tcBorders>
              <w:top w:val="nil"/>
              <w:left w:val="nil"/>
              <w:bottom w:val="single" w:sz="4" w:space="0" w:color="auto"/>
              <w:right w:val="single" w:sz="4" w:space="0" w:color="auto"/>
            </w:tcBorders>
            <w:noWrap/>
            <w:hideMark/>
          </w:tcPr>
          <w:p w14:paraId="39164E51"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18.933.745</w:t>
            </w:r>
          </w:p>
        </w:tc>
        <w:tc>
          <w:tcPr>
            <w:tcW w:w="1321" w:type="dxa"/>
            <w:tcBorders>
              <w:top w:val="nil"/>
              <w:left w:val="nil"/>
              <w:bottom w:val="single" w:sz="4" w:space="0" w:color="auto"/>
              <w:right w:val="single" w:sz="4" w:space="0" w:color="auto"/>
            </w:tcBorders>
            <w:noWrap/>
            <w:hideMark/>
          </w:tcPr>
          <w:p w14:paraId="27C74F4C"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6.395.823</w:t>
            </w:r>
          </w:p>
        </w:tc>
      </w:tr>
      <w:tr w:rsidR="00CF388D" w:rsidRPr="00CF388D" w14:paraId="4AAE4F20" w14:textId="77777777" w:rsidTr="00A658FA">
        <w:trPr>
          <w:trHeight w:val="184"/>
        </w:trPr>
        <w:tc>
          <w:tcPr>
            <w:tcW w:w="3681" w:type="dxa"/>
            <w:tcBorders>
              <w:top w:val="nil"/>
              <w:left w:val="single" w:sz="4" w:space="0" w:color="auto"/>
              <w:bottom w:val="single" w:sz="4" w:space="0" w:color="auto"/>
              <w:right w:val="single" w:sz="4" w:space="0" w:color="auto"/>
            </w:tcBorders>
            <w:noWrap/>
            <w:hideMark/>
          </w:tcPr>
          <w:p w14:paraId="58F6350F" w14:textId="21EC02B2" w:rsidR="00C94AEE" w:rsidRPr="00CF388D" w:rsidRDefault="00C94AEE" w:rsidP="00C1776A">
            <w:pPr>
              <w:keepNext/>
              <w:jc w:val="left"/>
              <w:rPr>
                <w:rFonts w:asciiTheme="majorBidi" w:hAnsiTheme="majorBidi" w:cstheme="majorBidi"/>
                <w:sz w:val="20"/>
                <w:szCs w:val="20"/>
              </w:rPr>
            </w:pPr>
            <w:r>
              <w:rPr>
                <w:rFonts w:asciiTheme="majorBidi" w:hAnsiTheme="majorBidi"/>
                <w:sz w:val="20"/>
              </w:rPr>
              <w:t>PGEH, etapa II</w:t>
            </w:r>
            <w:r w:rsidR="00C1776A">
              <w:rPr>
                <w:rFonts w:asciiTheme="majorBidi" w:hAnsiTheme="majorBidi"/>
                <w:sz w:val="20"/>
              </w:rPr>
              <w:t xml:space="preserve"> –</w:t>
            </w:r>
            <w:r>
              <w:rPr>
                <w:rFonts w:asciiTheme="majorBidi" w:hAnsiTheme="majorBidi"/>
                <w:sz w:val="20"/>
              </w:rPr>
              <w:t xml:space="preserve"> preparación de proyectos </w:t>
            </w:r>
          </w:p>
        </w:tc>
        <w:tc>
          <w:tcPr>
            <w:tcW w:w="1084" w:type="dxa"/>
            <w:tcBorders>
              <w:top w:val="nil"/>
              <w:left w:val="nil"/>
              <w:bottom w:val="single" w:sz="4" w:space="0" w:color="auto"/>
              <w:right w:val="single" w:sz="4" w:space="0" w:color="auto"/>
            </w:tcBorders>
            <w:noWrap/>
            <w:hideMark/>
          </w:tcPr>
          <w:p w14:paraId="785E612E"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50.850</w:t>
            </w:r>
          </w:p>
        </w:tc>
        <w:tc>
          <w:tcPr>
            <w:tcW w:w="1170" w:type="dxa"/>
            <w:tcBorders>
              <w:top w:val="nil"/>
              <w:left w:val="nil"/>
              <w:bottom w:val="single" w:sz="4" w:space="0" w:color="auto"/>
              <w:right w:val="single" w:sz="4" w:space="0" w:color="auto"/>
            </w:tcBorders>
            <w:noWrap/>
            <w:hideMark/>
          </w:tcPr>
          <w:p w14:paraId="57C30EA8"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71162110"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78FF6170"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50.850</w:t>
            </w:r>
          </w:p>
        </w:tc>
        <w:tc>
          <w:tcPr>
            <w:tcW w:w="1321" w:type="dxa"/>
            <w:tcBorders>
              <w:top w:val="nil"/>
              <w:left w:val="nil"/>
              <w:bottom w:val="single" w:sz="4" w:space="0" w:color="auto"/>
              <w:right w:val="single" w:sz="4" w:space="0" w:color="auto"/>
            </w:tcBorders>
            <w:noWrap/>
            <w:hideMark/>
          </w:tcPr>
          <w:p w14:paraId="784A04FD"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0</w:t>
            </w:r>
          </w:p>
        </w:tc>
      </w:tr>
      <w:tr w:rsidR="00CF388D" w:rsidRPr="00CF388D" w14:paraId="539E8051" w14:textId="77777777" w:rsidTr="00A658FA">
        <w:trPr>
          <w:trHeight w:val="89"/>
        </w:trPr>
        <w:tc>
          <w:tcPr>
            <w:tcW w:w="3681" w:type="dxa"/>
            <w:tcBorders>
              <w:top w:val="nil"/>
              <w:left w:val="single" w:sz="4" w:space="0" w:color="auto"/>
              <w:bottom w:val="single" w:sz="4" w:space="0" w:color="auto"/>
              <w:right w:val="single" w:sz="4" w:space="0" w:color="auto"/>
            </w:tcBorders>
            <w:noWrap/>
            <w:hideMark/>
          </w:tcPr>
          <w:p w14:paraId="1C1E6A26" w14:textId="77777777" w:rsidR="00C94AEE" w:rsidRPr="00CF388D" w:rsidRDefault="00C94AEE" w:rsidP="002055E0">
            <w:pPr>
              <w:keepNext/>
              <w:jc w:val="left"/>
              <w:rPr>
                <w:rFonts w:asciiTheme="majorBidi" w:hAnsiTheme="majorBidi" w:cstheme="majorBidi"/>
                <w:sz w:val="20"/>
                <w:szCs w:val="20"/>
              </w:rPr>
            </w:pPr>
            <w:r>
              <w:rPr>
                <w:rFonts w:asciiTheme="majorBidi" w:hAnsiTheme="majorBidi"/>
                <w:sz w:val="20"/>
              </w:rPr>
              <w:t xml:space="preserve">PGEH, etapa II </w:t>
            </w:r>
          </w:p>
        </w:tc>
        <w:tc>
          <w:tcPr>
            <w:tcW w:w="1084" w:type="dxa"/>
            <w:tcBorders>
              <w:top w:val="nil"/>
              <w:left w:val="nil"/>
              <w:bottom w:val="single" w:sz="4" w:space="0" w:color="auto"/>
              <w:right w:val="single" w:sz="4" w:space="0" w:color="auto"/>
            </w:tcBorders>
            <w:noWrap/>
            <w:hideMark/>
          </w:tcPr>
          <w:p w14:paraId="55DB0061"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283.312</w:t>
            </w:r>
          </w:p>
        </w:tc>
        <w:tc>
          <w:tcPr>
            <w:tcW w:w="1170" w:type="dxa"/>
            <w:tcBorders>
              <w:top w:val="nil"/>
              <w:left w:val="nil"/>
              <w:bottom w:val="single" w:sz="4" w:space="0" w:color="auto"/>
              <w:right w:val="single" w:sz="4" w:space="0" w:color="auto"/>
            </w:tcBorders>
            <w:noWrap/>
            <w:hideMark/>
          </w:tcPr>
          <w:p w14:paraId="4DAA7B81"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1.470.129</w:t>
            </w:r>
          </w:p>
        </w:tc>
        <w:tc>
          <w:tcPr>
            <w:tcW w:w="1260" w:type="dxa"/>
            <w:tcBorders>
              <w:top w:val="nil"/>
              <w:left w:val="nil"/>
              <w:bottom w:val="single" w:sz="4" w:space="0" w:color="auto"/>
              <w:right w:val="single" w:sz="4" w:space="0" w:color="auto"/>
            </w:tcBorders>
            <w:noWrap/>
            <w:hideMark/>
          </w:tcPr>
          <w:p w14:paraId="2050DDC8"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133.001</w:t>
            </w:r>
          </w:p>
        </w:tc>
        <w:tc>
          <w:tcPr>
            <w:tcW w:w="1260" w:type="dxa"/>
            <w:tcBorders>
              <w:top w:val="nil"/>
              <w:left w:val="nil"/>
              <w:bottom w:val="single" w:sz="4" w:space="0" w:color="auto"/>
              <w:right w:val="single" w:sz="4" w:space="0" w:color="auto"/>
            </w:tcBorders>
            <w:noWrap/>
            <w:hideMark/>
          </w:tcPr>
          <w:p w14:paraId="5958F3EF"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1.886.442</w:t>
            </w:r>
          </w:p>
        </w:tc>
        <w:tc>
          <w:tcPr>
            <w:tcW w:w="1321" w:type="dxa"/>
            <w:tcBorders>
              <w:top w:val="nil"/>
              <w:left w:val="nil"/>
              <w:bottom w:val="single" w:sz="4" w:space="0" w:color="auto"/>
              <w:right w:val="single" w:sz="4" w:space="0" w:color="auto"/>
            </w:tcBorders>
            <w:noWrap/>
            <w:hideMark/>
          </w:tcPr>
          <w:p w14:paraId="4492ED18" w14:textId="77777777" w:rsidR="00C94AEE" w:rsidRPr="00CF388D" w:rsidRDefault="00C94AEE" w:rsidP="002055E0">
            <w:pPr>
              <w:keepNext/>
              <w:jc w:val="right"/>
              <w:rPr>
                <w:rFonts w:asciiTheme="majorBidi" w:hAnsiTheme="majorBidi" w:cstheme="majorBidi"/>
                <w:sz w:val="20"/>
                <w:szCs w:val="20"/>
              </w:rPr>
            </w:pPr>
            <w:r>
              <w:rPr>
                <w:rFonts w:asciiTheme="majorBidi" w:hAnsiTheme="majorBidi"/>
                <w:sz w:val="20"/>
              </w:rPr>
              <w:t>2.273.803</w:t>
            </w:r>
          </w:p>
        </w:tc>
      </w:tr>
      <w:tr w:rsidR="00CF388D" w:rsidRPr="00CF388D" w14:paraId="4ADA7CDE" w14:textId="77777777" w:rsidTr="00A658FA">
        <w:trPr>
          <w:trHeight w:val="134"/>
        </w:trPr>
        <w:tc>
          <w:tcPr>
            <w:tcW w:w="3681" w:type="dxa"/>
            <w:tcBorders>
              <w:top w:val="nil"/>
              <w:left w:val="single" w:sz="4" w:space="0" w:color="auto"/>
              <w:bottom w:val="single" w:sz="4" w:space="0" w:color="auto"/>
              <w:right w:val="single" w:sz="4" w:space="0" w:color="auto"/>
            </w:tcBorders>
            <w:noWrap/>
            <w:hideMark/>
          </w:tcPr>
          <w:p w14:paraId="02AD9206" w14:textId="6EB361D2" w:rsidR="00C94AEE" w:rsidRPr="00CF388D" w:rsidRDefault="00C94AEE" w:rsidP="00C94AEE">
            <w:pPr>
              <w:jc w:val="left"/>
              <w:rPr>
                <w:rFonts w:asciiTheme="majorBidi" w:hAnsiTheme="majorBidi" w:cstheme="majorBidi"/>
                <w:sz w:val="20"/>
                <w:szCs w:val="20"/>
              </w:rPr>
            </w:pPr>
            <w:r>
              <w:rPr>
                <w:rFonts w:asciiTheme="majorBidi" w:hAnsiTheme="majorBidi"/>
                <w:sz w:val="20"/>
              </w:rPr>
              <w:t>PGEH, etapa I</w:t>
            </w:r>
            <w:r w:rsidR="00C1776A">
              <w:rPr>
                <w:rFonts w:asciiTheme="majorBidi" w:hAnsiTheme="majorBidi"/>
                <w:sz w:val="20"/>
              </w:rPr>
              <w:t>II</w:t>
            </w:r>
            <w:r>
              <w:rPr>
                <w:rFonts w:asciiTheme="majorBidi" w:hAnsiTheme="majorBidi"/>
                <w:sz w:val="20"/>
              </w:rPr>
              <w:t xml:space="preserve"> – preparación de proyectos</w:t>
            </w:r>
          </w:p>
        </w:tc>
        <w:tc>
          <w:tcPr>
            <w:tcW w:w="1084" w:type="dxa"/>
            <w:tcBorders>
              <w:top w:val="nil"/>
              <w:left w:val="nil"/>
              <w:bottom w:val="single" w:sz="4" w:space="0" w:color="auto"/>
              <w:right w:val="single" w:sz="4" w:space="0" w:color="auto"/>
            </w:tcBorders>
            <w:noWrap/>
            <w:hideMark/>
          </w:tcPr>
          <w:p w14:paraId="57C7A78D"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62.150</w:t>
            </w:r>
          </w:p>
        </w:tc>
        <w:tc>
          <w:tcPr>
            <w:tcW w:w="1170" w:type="dxa"/>
            <w:tcBorders>
              <w:top w:val="nil"/>
              <w:left w:val="nil"/>
              <w:bottom w:val="single" w:sz="4" w:space="0" w:color="auto"/>
              <w:right w:val="single" w:sz="4" w:space="0" w:color="auto"/>
            </w:tcBorders>
            <w:noWrap/>
            <w:hideMark/>
          </w:tcPr>
          <w:p w14:paraId="2173AEFC"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6E0CAD18"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775970B8"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62.150</w:t>
            </w:r>
          </w:p>
        </w:tc>
        <w:tc>
          <w:tcPr>
            <w:tcW w:w="1321" w:type="dxa"/>
            <w:tcBorders>
              <w:top w:val="nil"/>
              <w:left w:val="nil"/>
              <w:bottom w:val="single" w:sz="4" w:space="0" w:color="auto"/>
              <w:right w:val="single" w:sz="4" w:space="0" w:color="auto"/>
            </w:tcBorders>
            <w:noWrap/>
            <w:hideMark/>
          </w:tcPr>
          <w:p w14:paraId="3D463E8D"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r>
      <w:tr w:rsidR="00CF388D" w:rsidRPr="00CF388D" w14:paraId="1842E007" w14:textId="77777777" w:rsidTr="00A658FA">
        <w:trPr>
          <w:trHeight w:val="58"/>
        </w:trPr>
        <w:tc>
          <w:tcPr>
            <w:tcW w:w="3681" w:type="dxa"/>
            <w:tcBorders>
              <w:top w:val="nil"/>
              <w:left w:val="single" w:sz="4" w:space="0" w:color="auto"/>
              <w:bottom w:val="single" w:sz="4" w:space="0" w:color="auto"/>
              <w:right w:val="single" w:sz="4" w:space="0" w:color="auto"/>
            </w:tcBorders>
            <w:noWrap/>
            <w:hideMark/>
          </w:tcPr>
          <w:p w14:paraId="3AF51BBA" w14:textId="77777777" w:rsidR="00C94AEE" w:rsidRPr="00CF388D" w:rsidRDefault="00C94AEE" w:rsidP="00C94AEE">
            <w:pPr>
              <w:jc w:val="left"/>
              <w:rPr>
                <w:rFonts w:asciiTheme="majorBidi" w:hAnsiTheme="majorBidi" w:cstheme="majorBidi"/>
                <w:sz w:val="20"/>
                <w:szCs w:val="20"/>
              </w:rPr>
            </w:pPr>
            <w:r>
              <w:rPr>
                <w:rFonts w:asciiTheme="majorBidi" w:hAnsiTheme="majorBidi"/>
                <w:sz w:val="20"/>
              </w:rPr>
              <w:t>PGEH, etapa III</w:t>
            </w:r>
          </w:p>
        </w:tc>
        <w:tc>
          <w:tcPr>
            <w:tcW w:w="1084" w:type="dxa"/>
            <w:tcBorders>
              <w:top w:val="nil"/>
              <w:left w:val="nil"/>
              <w:bottom w:val="single" w:sz="4" w:space="0" w:color="auto"/>
              <w:right w:val="single" w:sz="4" w:space="0" w:color="auto"/>
            </w:tcBorders>
            <w:noWrap/>
            <w:hideMark/>
          </w:tcPr>
          <w:p w14:paraId="6835888F"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1.665.414</w:t>
            </w:r>
          </w:p>
        </w:tc>
        <w:tc>
          <w:tcPr>
            <w:tcW w:w="1170" w:type="dxa"/>
            <w:tcBorders>
              <w:top w:val="nil"/>
              <w:left w:val="nil"/>
              <w:bottom w:val="single" w:sz="4" w:space="0" w:color="auto"/>
              <w:right w:val="single" w:sz="4" w:space="0" w:color="auto"/>
            </w:tcBorders>
            <w:noWrap/>
            <w:hideMark/>
          </w:tcPr>
          <w:p w14:paraId="68C4B58E"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1.555.618</w:t>
            </w:r>
          </w:p>
        </w:tc>
        <w:tc>
          <w:tcPr>
            <w:tcW w:w="1260" w:type="dxa"/>
            <w:tcBorders>
              <w:top w:val="nil"/>
              <w:left w:val="nil"/>
              <w:bottom w:val="single" w:sz="4" w:space="0" w:color="auto"/>
              <w:right w:val="single" w:sz="4" w:space="0" w:color="auto"/>
            </w:tcBorders>
            <w:noWrap/>
            <w:hideMark/>
          </w:tcPr>
          <w:p w14:paraId="5D760018"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329.731</w:t>
            </w:r>
          </w:p>
        </w:tc>
        <w:tc>
          <w:tcPr>
            <w:tcW w:w="1260" w:type="dxa"/>
            <w:tcBorders>
              <w:top w:val="nil"/>
              <w:left w:val="nil"/>
              <w:bottom w:val="single" w:sz="4" w:space="0" w:color="auto"/>
              <w:right w:val="single" w:sz="4" w:space="0" w:color="auto"/>
            </w:tcBorders>
            <w:noWrap/>
            <w:hideMark/>
          </w:tcPr>
          <w:p w14:paraId="12EE8E0F"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3.550.763</w:t>
            </w:r>
          </w:p>
        </w:tc>
        <w:tc>
          <w:tcPr>
            <w:tcW w:w="1321" w:type="dxa"/>
            <w:tcBorders>
              <w:top w:val="nil"/>
              <w:left w:val="nil"/>
              <w:bottom w:val="single" w:sz="4" w:space="0" w:color="auto"/>
              <w:right w:val="single" w:sz="4" w:space="0" w:color="auto"/>
            </w:tcBorders>
            <w:noWrap/>
            <w:hideMark/>
          </w:tcPr>
          <w:p w14:paraId="64CC9A28"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2.332.152</w:t>
            </w:r>
          </w:p>
        </w:tc>
      </w:tr>
      <w:tr w:rsidR="00CF388D" w:rsidRPr="00CF388D" w14:paraId="17104EFA" w14:textId="77777777" w:rsidTr="00A658FA">
        <w:trPr>
          <w:trHeight w:val="71"/>
        </w:trPr>
        <w:tc>
          <w:tcPr>
            <w:tcW w:w="3681" w:type="dxa"/>
            <w:tcBorders>
              <w:top w:val="nil"/>
              <w:left w:val="single" w:sz="4" w:space="0" w:color="auto"/>
              <w:bottom w:val="single" w:sz="4" w:space="0" w:color="auto"/>
              <w:right w:val="single" w:sz="4" w:space="0" w:color="auto"/>
            </w:tcBorders>
            <w:noWrap/>
            <w:hideMark/>
          </w:tcPr>
          <w:p w14:paraId="58992ACF" w14:textId="77777777" w:rsidR="00C94AEE" w:rsidRPr="00BB2324" w:rsidRDefault="00C94AEE" w:rsidP="00C94AEE">
            <w:pPr>
              <w:jc w:val="left"/>
              <w:rPr>
                <w:rFonts w:asciiTheme="majorBidi" w:hAnsiTheme="majorBidi" w:cstheme="majorBidi"/>
                <w:spacing w:val="-2"/>
                <w:sz w:val="20"/>
                <w:szCs w:val="20"/>
              </w:rPr>
            </w:pPr>
            <w:r w:rsidRPr="00BB2324">
              <w:rPr>
                <w:rFonts w:asciiTheme="majorBidi" w:hAnsiTheme="majorBidi"/>
                <w:spacing w:val="-2"/>
                <w:sz w:val="20"/>
              </w:rPr>
              <w:t>PGEH – eficiencia energética (decisión 89/6)</w:t>
            </w:r>
          </w:p>
        </w:tc>
        <w:tc>
          <w:tcPr>
            <w:tcW w:w="1084" w:type="dxa"/>
            <w:tcBorders>
              <w:top w:val="nil"/>
              <w:left w:val="nil"/>
              <w:bottom w:val="single" w:sz="4" w:space="0" w:color="auto"/>
              <w:right w:val="single" w:sz="4" w:space="0" w:color="auto"/>
            </w:tcBorders>
            <w:noWrap/>
            <w:hideMark/>
          </w:tcPr>
          <w:p w14:paraId="070C1EDE"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1.968.308</w:t>
            </w:r>
          </w:p>
        </w:tc>
        <w:tc>
          <w:tcPr>
            <w:tcW w:w="1170" w:type="dxa"/>
            <w:tcBorders>
              <w:top w:val="nil"/>
              <w:left w:val="nil"/>
              <w:bottom w:val="single" w:sz="4" w:space="0" w:color="auto"/>
              <w:right w:val="single" w:sz="4" w:space="0" w:color="auto"/>
            </w:tcBorders>
            <w:noWrap/>
            <w:hideMark/>
          </w:tcPr>
          <w:p w14:paraId="7708F20D"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174.020</w:t>
            </w:r>
          </w:p>
        </w:tc>
        <w:tc>
          <w:tcPr>
            <w:tcW w:w="1260" w:type="dxa"/>
            <w:tcBorders>
              <w:top w:val="nil"/>
              <w:left w:val="nil"/>
              <w:bottom w:val="single" w:sz="4" w:space="0" w:color="auto"/>
              <w:right w:val="single" w:sz="4" w:space="0" w:color="auto"/>
            </w:tcBorders>
            <w:noWrap/>
            <w:hideMark/>
          </w:tcPr>
          <w:p w14:paraId="2D3AE0E6"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46D29AEA"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2.142.328</w:t>
            </w:r>
          </w:p>
        </w:tc>
        <w:tc>
          <w:tcPr>
            <w:tcW w:w="1321" w:type="dxa"/>
            <w:tcBorders>
              <w:top w:val="nil"/>
              <w:left w:val="nil"/>
              <w:bottom w:val="single" w:sz="4" w:space="0" w:color="auto"/>
              <w:right w:val="single" w:sz="4" w:space="0" w:color="auto"/>
            </w:tcBorders>
            <w:noWrap/>
            <w:hideMark/>
          </w:tcPr>
          <w:p w14:paraId="188DE82A"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 </w:t>
            </w:r>
          </w:p>
        </w:tc>
      </w:tr>
      <w:tr w:rsidR="00CF388D" w:rsidRPr="00CF388D" w14:paraId="7ED64C5E" w14:textId="77777777" w:rsidTr="00A658FA">
        <w:trPr>
          <w:trHeight w:val="58"/>
        </w:trPr>
        <w:tc>
          <w:tcPr>
            <w:tcW w:w="3681" w:type="dxa"/>
            <w:tcBorders>
              <w:top w:val="nil"/>
              <w:left w:val="single" w:sz="4" w:space="0" w:color="auto"/>
              <w:bottom w:val="single" w:sz="4" w:space="0" w:color="auto"/>
              <w:right w:val="single" w:sz="4" w:space="0" w:color="auto"/>
            </w:tcBorders>
            <w:noWrap/>
            <w:hideMark/>
          </w:tcPr>
          <w:p w14:paraId="67B29DBE" w14:textId="4BC42E99" w:rsidR="00C94AEE" w:rsidRPr="00A658FA" w:rsidRDefault="00C94AEE" w:rsidP="00A658FA">
            <w:pPr>
              <w:jc w:val="left"/>
              <w:rPr>
                <w:rFonts w:asciiTheme="majorBidi" w:hAnsiTheme="majorBidi" w:cstheme="majorBidi"/>
                <w:b/>
                <w:bCs/>
                <w:spacing w:val="-4"/>
                <w:sz w:val="20"/>
                <w:szCs w:val="20"/>
              </w:rPr>
            </w:pPr>
            <w:r w:rsidRPr="00A658FA">
              <w:rPr>
                <w:rFonts w:asciiTheme="majorBidi" w:hAnsiTheme="majorBidi"/>
                <w:b/>
                <w:spacing w:val="-4"/>
                <w:sz w:val="20"/>
              </w:rPr>
              <w:t xml:space="preserve">Subtotal </w:t>
            </w:r>
            <w:r w:rsidR="008D3C2C" w:rsidRPr="00A658FA">
              <w:rPr>
                <w:rFonts w:asciiTheme="majorBidi" w:hAnsiTheme="majorBidi"/>
                <w:b/>
                <w:spacing w:val="-4"/>
                <w:sz w:val="20"/>
              </w:rPr>
              <w:t>–</w:t>
            </w:r>
            <w:r w:rsidRPr="00A658FA">
              <w:rPr>
                <w:rFonts w:asciiTheme="majorBidi" w:hAnsiTheme="majorBidi"/>
                <w:b/>
                <w:spacing w:val="-4"/>
                <w:sz w:val="20"/>
              </w:rPr>
              <w:t xml:space="preserve"> </w:t>
            </w:r>
            <w:r w:rsidR="00A658FA" w:rsidRPr="00A658FA">
              <w:rPr>
                <w:rFonts w:asciiTheme="majorBidi" w:hAnsiTheme="majorBidi"/>
                <w:b/>
                <w:spacing w:val="-4"/>
                <w:sz w:val="20"/>
              </w:rPr>
              <w:t>A</w:t>
            </w:r>
            <w:r w:rsidRPr="00A658FA">
              <w:rPr>
                <w:rFonts w:asciiTheme="majorBidi" w:hAnsiTheme="majorBidi"/>
                <w:b/>
                <w:spacing w:val="-4"/>
                <w:sz w:val="20"/>
              </w:rPr>
              <w:t>ctividades relativas a los HCFC</w:t>
            </w:r>
          </w:p>
        </w:tc>
        <w:tc>
          <w:tcPr>
            <w:tcW w:w="1084" w:type="dxa"/>
            <w:tcBorders>
              <w:top w:val="nil"/>
              <w:left w:val="nil"/>
              <w:bottom w:val="single" w:sz="4" w:space="0" w:color="auto"/>
              <w:right w:val="single" w:sz="4" w:space="0" w:color="auto"/>
            </w:tcBorders>
            <w:noWrap/>
            <w:hideMark/>
          </w:tcPr>
          <w:p w14:paraId="4A5A6275"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15.488.204</w:t>
            </w:r>
          </w:p>
        </w:tc>
        <w:tc>
          <w:tcPr>
            <w:tcW w:w="1170" w:type="dxa"/>
            <w:tcBorders>
              <w:top w:val="nil"/>
              <w:left w:val="nil"/>
              <w:bottom w:val="single" w:sz="4" w:space="0" w:color="auto"/>
              <w:right w:val="single" w:sz="4" w:space="0" w:color="auto"/>
            </w:tcBorders>
            <w:noWrap/>
            <w:hideMark/>
          </w:tcPr>
          <w:p w14:paraId="087FF394"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8.777.339</w:t>
            </w:r>
          </w:p>
        </w:tc>
        <w:tc>
          <w:tcPr>
            <w:tcW w:w="1260" w:type="dxa"/>
            <w:tcBorders>
              <w:top w:val="nil"/>
              <w:left w:val="nil"/>
              <w:bottom w:val="single" w:sz="4" w:space="0" w:color="auto"/>
              <w:right w:val="single" w:sz="4" w:space="0" w:color="auto"/>
            </w:tcBorders>
            <w:noWrap/>
            <w:hideMark/>
          </w:tcPr>
          <w:p w14:paraId="2FB03CC6"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2.360.734</w:t>
            </w:r>
          </w:p>
        </w:tc>
        <w:tc>
          <w:tcPr>
            <w:tcW w:w="1260" w:type="dxa"/>
            <w:tcBorders>
              <w:top w:val="nil"/>
              <w:left w:val="nil"/>
              <w:bottom w:val="single" w:sz="4" w:space="0" w:color="auto"/>
              <w:right w:val="single" w:sz="4" w:space="0" w:color="auto"/>
            </w:tcBorders>
            <w:noWrap/>
            <w:hideMark/>
          </w:tcPr>
          <w:p w14:paraId="171840C3"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26.626.278</w:t>
            </w:r>
          </w:p>
        </w:tc>
        <w:tc>
          <w:tcPr>
            <w:tcW w:w="1321" w:type="dxa"/>
            <w:tcBorders>
              <w:top w:val="nil"/>
              <w:left w:val="nil"/>
              <w:bottom w:val="single" w:sz="4" w:space="0" w:color="auto"/>
              <w:right w:val="single" w:sz="4" w:space="0" w:color="auto"/>
            </w:tcBorders>
            <w:noWrap/>
            <w:hideMark/>
          </w:tcPr>
          <w:p w14:paraId="18794199"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11.001.778</w:t>
            </w:r>
          </w:p>
        </w:tc>
      </w:tr>
      <w:tr w:rsidR="00CF388D" w:rsidRPr="00CF388D" w14:paraId="76965AD7" w14:textId="77777777" w:rsidTr="00A658FA">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7E3C9E6B" w14:textId="77777777" w:rsidR="00C94AEE" w:rsidRPr="00CF388D" w:rsidRDefault="00C94AEE" w:rsidP="00C94AEE">
            <w:pPr>
              <w:jc w:val="left"/>
              <w:rPr>
                <w:rFonts w:asciiTheme="majorBidi" w:hAnsiTheme="majorBidi" w:cstheme="majorBidi"/>
                <w:b/>
                <w:bCs/>
                <w:sz w:val="20"/>
                <w:szCs w:val="20"/>
              </w:rPr>
            </w:pPr>
            <w:r>
              <w:rPr>
                <w:rFonts w:asciiTheme="majorBidi" w:hAnsiTheme="majorBidi"/>
                <w:b/>
                <w:sz w:val="20"/>
              </w:rPr>
              <w:t>Actividades relativas a los HFC</w:t>
            </w:r>
          </w:p>
        </w:tc>
      </w:tr>
      <w:tr w:rsidR="00CF388D" w:rsidRPr="00CF388D" w14:paraId="29E90804" w14:textId="77777777" w:rsidTr="00A658FA">
        <w:trPr>
          <w:trHeight w:val="264"/>
        </w:trPr>
        <w:tc>
          <w:tcPr>
            <w:tcW w:w="3681" w:type="dxa"/>
            <w:tcBorders>
              <w:top w:val="nil"/>
              <w:left w:val="single" w:sz="4" w:space="0" w:color="auto"/>
              <w:bottom w:val="single" w:sz="4" w:space="0" w:color="auto"/>
              <w:right w:val="single" w:sz="4" w:space="0" w:color="auto"/>
            </w:tcBorders>
            <w:noWrap/>
            <w:hideMark/>
          </w:tcPr>
          <w:p w14:paraId="0127E092" w14:textId="409B6A8C" w:rsidR="00C94AEE" w:rsidRPr="00CF388D" w:rsidRDefault="00C94AEE" w:rsidP="008D3C2C">
            <w:pPr>
              <w:jc w:val="left"/>
              <w:rPr>
                <w:rFonts w:asciiTheme="majorBidi" w:hAnsiTheme="majorBidi" w:cstheme="majorBidi"/>
                <w:sz w:val="20"/>
                <w:szCs w:val="20"/>
              </w:rPr>
            </w:pPr>
            <w:r>
              <w:rPr>
                <w:rFonts w:asciiTheme="majorBidi" w:hAnsiTheme="majorBidi"/>
                <w:sz w:val="20"/>
              </w:rPr>
              <w:t>Planes de aplicación de la Enmienda de Kigali relativa a los HFC (P</w:t>
            </w:r>
            <w:r w:rsidR="008D3C2C">
              <w:rPr>
                <w:rFonts w:asciiTheme="majorBidi" w:hAnsiTheme="majorBidi"/>
                <w:sz w:val="20"/>
              </w:rPr>
              <w:t>AK</w:t>
            </w:r>
            <w:r>
              <w:rPr>
                <w:rFonts w:asciiTheme="majorBidi" w:hAnsiTheme="majorBidi"/>
                <w:sz w:val="20"/>
              </w:rPr>
              <w:t>) aprobados</w:t>
            </w:r>
          </w:p>
        </w:tc>
        <w:tc>
          <w:tcPr>
            <w:tcW w:w="1084" w:type="dxa"/>
            <w:tcBorders>
              <w:top w:val="nil"/>
              <w:left w:val="nil"/>
              <w:bottom w:val="single" w:sz="4" w:space="0" w:color="auto"/>
              <w:right w:val="single" w:sz="4" w:space="0" w:color="auto"/>
            </w:tcBorders>
            <w:noWrap/>
            <w:hideMark/>
          </w:tcPr>
          <w:p w14:paraId="71DEFB41"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1.141.936</w:t>
            </w:r>
          </w:p>
        </w:tc>
        <w:tc>
          <w:tcPr>
            <w:tcW w:w="1170" w:type="dxa"/>
            <w:tcBorders>
              <w:top w:val="nil"/>
              <w:left w:val="nil"/>
              <w:bottom w:val="single" w:sz="4" w:space="0" w:color="auto"/>
              <w:right w:val="single" w:sz="4" w:space="0" w:color="auto"/>
            </w:tcBorders>
            <w:noWrap/>
            <w:hideMark/>
          </w:tcPr>
          <w:p w14:paraId="1259F1FD"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3.047.140</w:t>
            </w:r>
          </w:p>
        </w:tc>
        <w:tc>
          <w:tcPr>
            <w:tcW w:w="1260" w:type="dxa"/>
            <w:tcBorders>
              <w:top w:val="nil"/>
              <w:left w:val="nil"/>
              <w:bottom w:val="single" w:sz="4" w:space="0" w:color="auto"/>
              <w:right w:val="single" w:sz="4" w:space="0" w:color="auto"/>
            </w:tcBorders>
            <w:noWrap/>
            <w:hideMark/>
          </w:tcPr>
          <w:p w14:paraId="1FA54237"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21EA0083"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4.189.076</w:t>
            </w:r>
          </w:p>
        </w:tc>
        <w:tc>
          <w:tcPr>
            <w:tcW w:w="1321" w:type="dxa"/>
            <w:tcBorders>
              <w:top w:val="nil"/>
              <w:left w:val="nil"/>
              <w:bottom w:val="single" w:sz="4" w:space="0" w:color="auto"/>
              <w:right w:val="single" w:sz="4" w:space="0" w:color="auto"/>
            </w:tcBorders>
            <w:noWrap/>
            <w:hideMark/>
          </w:tcPr>
          <w:p w14:paraId="292274D6"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871.972</w:t>
            </w:r>
          </w:p>
        </w:tc>
      </w:tr>
      <w:tr w:rsidR="00CF388D" w:rsidRPr="00CF388D" w14:paraId="402E3665" w14:textId="77777777" w:rsidTr="00A658FA">
        <w:trPr>
          <w:trHeight w:val="58"/>
        </w:trPr>
        <w:tc>
          <w:tcPr>
            <w:tcW w:w="3681" w:type="dxa"/>
            <w:tcBorders>
              <w:top w:val="nil"/>
              <w:left w:val="single" w:sz="4" w:space="0" w:color="auto"/>
              <w:bottom w:val="single" w:sz="4" w:space="0" w:color="auto"/>
              <w:right w:val="single" w:sz="4" w:space="0" w:color="auto"/>
            </w:tcBorders>
            <w:noWrap/>
            <w:hideMark/>
          </w:tcPr>
          <w:p w14:paraId="6BE545DC" w14:textId="332D2814" w:rsidR="00C94AEE" w:rsidRPr="00CF388D" w:rsidRDefault="00C94AEE" w:rsidP="00C94AEE">
            <w:pPr>
              <w:jc w:val="left"/>
              <w:rPr>
                <w:rFonts w:asciiTheme="majorBidi" w:hAnsiTheme="majorBidi" w:cstheme="majorBidi"/>
                <w:sz w:val="20"/>
                <w:szCs w:val="20"/>
              </w:rPr>
            </w:pPr>
            <w:r>
              <w:rPr>
                <w:rFonts w:asciiTheme="majorBidi" w:hAnsiTheme="majorBidi"/>
                <w:sz w:val="20"/>
              </w:rPr>
              <w:t>P</w:t>
            </w:r>
            <w:r w:rsidR="008D3C2C">
              <w:rPr>
                <w:rFonts w:asciiTheme="majorBidi" w:hAnsiTheme="majorBidi"/>
                <w:sz w:val="20"/>
              </w:rPr>
              <w:t>AK</w:t>
            </w:r>
            <w:r>
              <w:rPr>
                <w:rFonts w:asciiTheme="majorBidi" w:hAnsiTheme="majorBidi"/>
                <w:sz w:val="20"/>
              </w:rPr>
              <w:t xml:space="preserve">, etapa I – </w:t>
            </w:r>
            <w:r w:rsidR="00C1776A">
              <w:rPr>
                <w:rFonts w:asciiTheme="majorBidi" w:hAnsiTheme="majorBidi"/>
                <w:sz w:val="20"/>
              </w:rPr>
              <w:t>preparación de proyectos</w:t>
            </w:r>
          </w:p>
        </w:tc>
        <w:tc>
          <w:tcPr>
            <w:tcW w:w="1084" w:type="dxa"/>
            <w:tcBorders>
              <w:top w:val="nil"/>
              <w:left w:val="nil"/>
              <w:bottom w:val="single" w:sz="4" w:space="0" w:color="auto"/>
              <w:right w:val="single" w:sz="4" w:space="0" w:color="auto"/>
            </w:tcBorders>
            <w:noWrap/>
            <w:hideMark/>
          </w:tcPr>
          <w:p w14:paraId="55B602E7"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1.585.116</w:t>
            </w:r>
          </w:p>
        </w:tc>
        <w:tc>
          <w:tcPr>
            <w:tcW w:w="1170" w:type="dxa"/>
            <w:tcBorders>
              <w:top w:val="nil"/>
              <w:left w:val="nil"/>
              <w:bottom w:val="single" w:sz="4" w:space="0" w:color="auto"/>
              <w:right w:val="single" w:sz="4" w:space="0" w:color="auto"/>
            </w:tcBorders>
            <w:noWrap/>
            <w:hideMark/>
          </w:tcPr>
          <w:p w14:paraId="429A4D08"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482.510</w:t>
            </w:r>
          </w:p>
        </w:tc>
        <w:tc>
          <w:tcPr>
            <w:tcW w:w="1260" w:type="dxa"/>
            <w:tcBorders>
              <w:top w:val="nil"/>
              <w:left w:val="nil"/>
              <w:bottom w:val="single" w:sz="4" w:space="0" w:color="auto"/>
              <w:right w:val="single" w:sz="4" w:space="0" w:color="auto"/>
            </w:tcBorders>
            <w:noWrap/>
            <w:hideMark/>
          </w:tcPr>
          <w:p w14:paraId="348A0213"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2D7E6866"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2.067.626</w:t>
            </w:r>
          </w:p>
        </w:tc>
        <w:tc>
          <w:tcPr>
            <w:tcW w:w="1321" w:type="dxa"/>
            <w:tcBorders>
              <w:top w:val="nil"/>
              <w:left w:val="nil"/>
              <w:bottom w:val="single" w:sz="4" w:space="0" w:color="auto"/>
              <w:right w:val="single" w:sz="4" w:space="0" w:color="auto"/>
            </w:tcBorders>
            <w:noWrap/>
            <w:hideMark/>
          </w:tcPr>
          <w:p w14:paraId="6577CE32"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r>
      <w:tr w:rsidR="00CF388D" w:rsidRPr="00CF388D" w14:paraId="5E47E9E0" w14:textId="77777777" w:rsidTr="00A658FA">
        <w:trPr>
          <w:trHeight w:val="63"/>
        </w:trPr>
        <w:tc>
          <w:tcPr>
            <w:tcW w:w="3681" w:type="dxa"/>
            <w:tcBorders>
              <w:top w:val="nil"/>
              <w:left w:val="single" w:sz="4" w:space="0" w:color="auto"/>
              <w:bottom w:val="single" w:sz="4" w:space="0" w:color="auto"/>
              <w:right w:val="single" w:sz="4" w:space="0" w:color="auto"/>
            </w:tcBorders>
            <w:noWrap/>
            <w:hideMark/>
          </w:tcPr>
          <w:p w14:paraId="47E99F8D" w14:textId="3662DD25" w:rsidR="00C94AEE" w:rsidRPr="00CF388D" w:rsidRDefault="00C94AEE" w:rsidP="00C94AEE">
            <w:pPr>
              <w:jc w:val="left"/>
              <w:rPr>
                <w:rFonts w:asciiTheme="majorBidi" w:hAnsiTheme="majorBidi" w:cstheme="majorBidi"/>
                <w:sz w:val="20"/>
                <w:szCs w:val="20"/>
              </w:rPr>
            </w:pPr>
            <w:r>
              <w:rPr>
                <w:rFonts w:asciiTheme="majorBidi" w:hAnsiTheme="majorBidi"/>
                <w:sz w:val="20"/>
              </w:rPr>
              <w:t>P</w:t>
            </w:r>
            <w:r w:rsidR="008D3C2C">
              <w:rPr>
                <w:rFonts w:asciiTheme="majorBidi" w:hAnsiTheme="majorBidi"/>
                <w:sz w:val="20"/>
              </w:rPr>
              <w:t>AK</w:t>
            </w:r>
            <w:r>
              <w:rPr>
                <w:rFonts w:asciiTheme="majorBidi" w:hAnsiTheme="majorBidi"/>
                <w:sz w:val="20"/>
              </w:rPr>
              <w:t>, etapa I</w:t>
            </w:r>
          </w:p>
        </w:tc>
        <w:tc>
          <w:tcPr>
            <w:tcW w:w="1084" w:type="dxa"/>
            <w:tcBorders>
              <w:top w:val="nil"/>
              <w:left w:val="nil"/>
              <w:bottom w:val="single" w:sz="4" w:space="0" w:color="auto"/>
              <w:right w:val="single" w:sz="4" w:space="0" w:color="auto"/>
            </w:tcBorders>
            <w:noWrap/>
            <w:hideMark/>
          </w:tcPr>
          <w:p w14:paraId="689ABC69"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1.667.477</w:t>
            </w:r>
          </w:p>
        </w:tc>
        <w:tc>
          <w:tcPr>
            <w:tcW w:w="1170" w:type="dxa"/>
            <w:tcBorders>
              <w:top w:val="nil"/>
              <w:left w:val="nil"/>
              <w:bottom w:val="single" w:sz="4" w:space="0" w:color="auto"/>
              <w:right w:val="single" w:sz="4" w:space="0" w:color="auto"/>
            </w:tcBorders>
            <w:noWrap/>
            <w:hideMark/>
          </w:tcPr>
          <w:p w14:paraId="133B0055"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1.083.783</w:t>
            </w:r>
          </w:p>
        </w:tc>
        <w:tc>
          <w:tcPr>
            <w:tcW w:w="1260" w:type="dxa"/>
            <w:tcBorders>
              <w:top w:val="nil"/>
              <w:left w:val="nil"/>
              <w:bottom w:val="single" w:sz="4" w:space="0" w:color="auto"/>
              <w:right w:val="single" w:sz="4" w:space="0" w:color="auto"/>
            </w:tcBorders>
            <w:noWrap/>
            <w:hideMark/>
          </w:tcPr>
          <w:p w14:paraId="59887DD7"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887.289</w:t>
            </w:r>
          </w:p>
        </w:tc>
        <w:tc>
          <w:tcPr>
            <w:tcW w:w="1260" w:type="dxa"/>
            <w:tcBorders>
              <w:top w:val="nil"/>
              <w:left w:val="nil"/>
              <w:bottom w:val="single" w:sz="4" w:space="0" w:color="auto"/>
              <w:right w:val="single" w:sz="4" w:space="0" w:color="auto"/>
            </w:tcBorders>
            <w:noWrap/>
            <w:hideMark/>
          </w:tcPr>
          <w:p w14:paraId="64508D73"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3.638.549</w:t>
            </w:r>
          </w:p>
        </w:tc>
        <w:tc>
          <w:tcPr>
            <w:tcW w:w="1321" w:type="dxa"/>
            <w:tcBorders>
              <w:top w:val="nil"/>
              <w:left w:val="nil"/>
              <w:bottom w:val="single" w:sz="4" w:space="0" w:color="auto"/>
              <w:right w:val="single" w:sz="4" w:space="0" w:color="auto"/>
            </w:tcBorders>
            <w:noWrap/>
            <w:hideMark/>
          </w:tcPr>
          <w:p w14:paraId="014F67A6"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2.521.619</w:t>
            </w:r>
          </w:p>
        </w:tc>
      </w:tr>
      <w:tr w:rsidR="00CF388D" w:rsidRPr="00CF388D" w14:paraId="308052F4" w14:textId="77777777" w:rsidTr="00A658FA">
        <w:trPr>
          <w:trHeight w:val="58"/>
        </w:trPr>
        <w:tc>
          <w:tcPr>
            <w:tcW w:w="3681" w:type="dxa"/>
            <w:tcBorders>
              <w:top w:val="nil"/>
              <w:left w:val="single" w:sz="4" w:space="0" w:color="auto"/>
              <w:bottom w:val="single" w:sz="4" w:space="0" w:color="auto"/>
              <w:right w:val="single" w:sz="4" w:space="0" w:color="auto"/>
            </w:tcBorders>
            <w:noWrap/>
            <w:hideMark/>
          </w:tcPr>
          <w:p w14:paraId="07E4146A" w14:textId="637760D3" w:rsidR="00C94AEE" w:rsidRPr="00A658FA" w:rsidRDefault="00C94AEE" w:rsidP="00A658FA">
            <w:pPr>
              <w:jc w:val="left"/>
              <w:rPr>
                <w:rFonts w:asciiTheme="majorBidi" w:hAnsiTheme="majorBidi" w:cstheme="majorBidi"/>
                <w:b/>
                <w:bCs/>
                <w:spacing w:val="-2"/>
                <w:sz w:val="20"/>
                <w:szCs w:val="20"/>
              </w:rPr>
            </w:pPr>
            <w:r w:rsidRPr="00A658FA">
              <w:rPr>
                <w:rFonts w:asciiTheme="majorBidi" w:hAnsiTheme="majorBidi"/>
                <w:b/>
                <w:spacing w:val="-2"/>
                <w:sz w:val="20"/>
              </w:rPr>
              <w:t xml:space="preserve">Subtotal </w:t>
            </w:r>
            <w:r w:rsidR="008D3C2C" w:rsidRPr="00A658FA">
              <w:rPr>
                <w:rFonts w:asciiTheme="majorBidi" w:hAnsiTheme="majorBidi"/>
                <w:b/>
                <w:spacing w:val="-2"/>
                <w:sz w:val="20"/>
              </w:rPr>
              <w:t xml:space="preserve">– </w:t>
            </w:r>
            <w:r w:rsidR="00A658FA" w:rsidRPr="00A658FA">
              <w:rPr>
                <w:rFonts w:asciiTheme="majorBidi" w:hAnsiTheme="majorBidi"/>
                <w:b/>
                <w:spacing w:val="-2"/>
                <w:sz w:val="20"/>
              </w:rPr>
              <w:t>A</w:t>
            </w:r>
            <w:r w:rsidRPr="00A658FA">
              <w:rPr>
                <w:rFonts w:asciiTheme="majorBidi" w:hAnsiTheme="majorBidi"/>
                <w:b/>
                <w:spacing w:val="-2"/>
                <w:sz w:val="20"/>
              </w:rPr>
              <w:t>ctividades relativas a los HFC</w:t>
            </w:r>
          </w:p>
        </w:tc>
        <w:tc>
          <w:tcPr>
            <w:tcW w:w="1084" w:type="dxa"/>
            <w:tcBorders>
              <w:top w:val="nil"/>
              <w:left w:val="nil"/>
              <w:bottom w:val="single" w:sz="4" w:space="0" w:color="auto"/>
              <w:right w:val="single" w:sz="4" w:space="0" w:color="auto"/>
            </w:tcBorders>
            <w:noWrap/>
            <w:hideMark/>
          </w:tcPr>
          <w:p w14:paraId="53EFE3E0"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4.394.529</w:t>
            </w:r>
          </w:p>
        </w:tc>
        <w:tc>
          <w:tcPr>
            <w:tcW w:w="1170" w:type="dxa"/>
            <w:tcBorders>
              <w:top w:val="nil"/>
              <w:left w:val="nil"/>
              <w:bottom w:val="single" w:sz="4" w:space="0" w:color="auto"/>
              <w:right w:val="single" w:sz="4" w:space="0" w:color="auto"/>
            </w:tcBorders>
            <w:noWrap/>
            <w:hideMark/>
          </w:tcPr>
          <w:p w14:paraId="3505D926"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4.613.433</w:t>
            </w:r>
          </w:p>
        </w:tc>
        <w:tc>
          <w:tcPr>
            <w:tcW w:w="1260" w:type="dxa"/>
            <w:tcBorders>
              <w:top w:val="nil"/>
              <w:left w:val="nil"/>
              <w:bottom w:val="single" w:sz="4" w:space="0" w:color="auto"/>
              <w:right w:val="single" w:sz="4" w:space="0" w:color="auto"/>
            </w:tcBorders>
            <w:noWrap/>
            <w:hideMark/>
          </w:tcPr>
          <w:p w14:paraId="3C68594D"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887.289</w:t>
            </w:r>
          </w:p>
        </w:tc>
        <w:tc>
          <w:tcPr>
            <w:tcW w:w="1260" w:type="dxa"/>
            <w:tcBorders>
              <w:top w:val="nil"/>
              <w:left w:val="nil"/>
              <w:bottom w:val="single" w:sz="4" w:space="0" w:color="auto"/>
              <w:right w:val="single" w:sz="4" w:space="0" w:color="auto"/>
            </w:tcBorders>
            <w:noWrap/>
            <w:hideMark/>
          </w:tcPr>
          <w:p w14:paraId="0A36B84A"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9.895.251</w:t>
            </w:r>
          </w:p>
        </w:tc>
        <w:tc>
          <w:tcPr>
            <w:tcW w:w="1321" w:type="dxa"/>
            <w:tcBorders>
              <w:top w:val="nil"/>
              <w:left w:val="nil"/>
              <w:bottom w:val="single" w:sz="4" w:space="0" w:color="auto"/>
              <w:right w:val="single" w:sz="4" w:space="0" w:color="auto"/>
            </w:tcBorders>
            <w:noWrap/>
            <w:hideMark/>
          </w:tcPr>
          <w:p w14:paraId="7048B623"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3.393.591</w:t>
            </w:r>
          </w:p>
        </w:tc>
      </w:tr>
      <w:tr w:rsidR="00CF388D" w:rsidRPr="00CF388D" w14:paraId="4EFCBCAB" w14:textId="77777777" w:rsidTr="00A658FA">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45FB2665" w14:textId="77777777" w:rsidR="00C94AEE" w:rsidRPr="00CF388D" w:rsidRDefault="00C94AEE" w:rsidP="00C94AEE">
            <w:pPr>
              <w:jc w:val="left"/>
              <w:rPr>
                <w:rFonts w:asciiTheme="majorBidi" w:hAnsiTheme="majorBidi" w:cstheme="majorBidi"/>
                <w:b/>
                <w:bCs/>
                <w:sz w:val="20"/>
                <w:szCs w:val="20"/>
              </w:rPr>
            </w:pPr>
            <w:r>
              <w:rPr>
                <w:rFonts w:asciiTheme="majorBidi" w:hAnsiTheme="majorBidi"/>
                <w:b/>
                <w:sz w:val="20"/>
              </w:rPr>
              <w:t>Otras actividades</w:t>
            </w:r>
          </w:p>
        </w:tc>
      </w:tr>
      <w:tr w:rsidR="00CF388D" w:rsidRPr="00CF388D" w14:paraId="24D8CBCB" w14:textId="77777777" w:rsidTr="00A658FA">
        <w:trPr>
          <w:trHeight w:val="200"/>
        </w:trPr>
        <w:tc>
          <w:tcPr>
            <w:tcW w:w="3681" w:type="dxa"/>
            <w:tcBorders>
              <w:top w:val="nil"/>
              <w:left w:val="single" w:sz="4" w:space="0" w:color="auto"/>
              <w:bottom w:val="single" w:sz="4" w:space="0" w:color="auto"/>
              <w:right w:val="single" w:sz="4" w:space="0" w:color="auto"/>
            </w:tcBorders>
            <w:noWrap/>
            <w:hideMark/>
          </w:tcPr>
          <w:p w14:paraId="50DECD01" w14:textId="19458183" w:rsidR="00C94AEE" w:rsidRPr="00CF388D" w:rsidRDefault="00C94AEE" w:rsidP="00C94AEE">
            <w:pPr>
              <w:jc w:val="left"/>
              <w:rPr>
                <w:rFonts w:asciiTheme="majorBidi" w:hAnsiTheme="majorBidi" w:cstheme="majorBidi"/>
                <w:sz w:val="20"/>
                <w:szCs w:val="20"/>
              </w:rPr>
            </w:pPr>
            <w:r>
              <w:rPr>
                <w:rFonts w:asciiTheme="majorBidi" w:hAnsiTheme="majorBidi"/>
                <w:sz w:val="20"/>
              </w:rPr>
              <w:t>Proyectos piloto de eficiencia energética (decisión 91/65)</w:t>
            </w:r>
          </w:p>
        </w:tc>
        <w:tc>
          <w:tcPr>
            <w:tcW w:w="1084" w:type="dxa"/>
            <w:tcBorders>
              <w:top w:val="nil"/>
              <w:left w:val="nil"/>
              <w:bottom w:val="single" w:sz="4" w:space="0" w:color="auto"/>
              <w:right w:val="single" w:sz="4" w:space="0" w:color="auto"/>
            </w:tcBorders>
            <w:noWrap/>
            <w:hideMark/>
          </w:tcPr>
          <w:p w14:paraId="0E6B73E3"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2.522.500</w:t>
            </w:r>
          </w:p>
        </w:tc>
        <w:tc>
          <w:tcPr>
            <w:tcW w:w="1170" w:type="dxa"/>
            <w:tcBorders>
              <w:top w:val="nil"/>
              <w:left w:val="nil"/>
              <w:bottom w:val="single" w:sz="4" w:space="0" w:color="auto"/>
              <w:right w:val="single" w:sz="4" w:space="0" w:color="auto"/>
            </w:tcBorders>
            <w:noWrap/>
            <w:hideMark/>
          </w:tcPr>
          <w:p w14:paraId="4B497ABF" w14:textId="11DFAD36" w:rsidR="00C94AEE" w:rsidRPr="00CF388D" w:rsidRDefault="00C94AEE" w:rsidP="00C94AEE">
            <w:pPr>
              <w:jc w:val="right"/>
              <w:rPr>
                <w:rFonts w:asciiTheme="majorBidi" w:hAnsiTheme="majorBidi" w:cstheme="majorBidi"/>
                <w:sz w:val="20"/>
                <w:szCs w:val="20"/>
              </w:rPr>
            </w:pPr>
            <w:r>
              <w:rPr>
                <w:rFonts w:asciiTheme="majorBidi" w:hAnsiTheme="majorBidi"/>
                <w:sz w:val="20"/>
              </w:rPr>
              <w:t>339.000</w:t>
            </w:r>
          </w:p>
        </w:tc>
        <w:tc>
          <w:tcPr>
            <w:tcW w:w="1260" w:type="dxa"/>
            <w:tcBorders>
              <w:top w:val="nil"/>
              <w:left w:val="nil"/>
              <w:bottom w:val="single" w:sz="4" w:space="0" w:color="auto"/>
              <w:right w:val="single" w:sz="4" w:space="0" w:color="auto"/>
            </w:tcBorders>
            <w:noWrap/>
            <w:hideMark/>
          </w:tcPr>
          <w:p w14:paraId="5CF6BC77"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c>
          <w:tcPr>
            <w:tcW w:w="1260" w:type="dxa"/>
            <w:tcBorders>
              <w:top w:val="nil"/>
              <w:left w:val="nil"/>
              <w:bottom w:val="single" w:sz="4" w:space="0" w:color="auto"/>
              <w:right w:val="single" w:sz="4" w:space="0" w:color="auto"/>
            </w:tcBorders>
            <w:noWrap/>
            <w:hideMark/>
          </w:tcPr>
          <w:p w14:paraId="00A8FB39"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2.861.500</w:t>
            </w:r>
          </w:p>
        </w:tc>
        <w:tc>
          <w:tcPr>
            <w:tcW w:w="1321" w:type="dxa"/>
            <w:tcBorders>
              <w:top w:val="nil"/>
              <w:left w:val="nil"/>
              <w:bottom w:val="single" w:sz="4" w:space="0" w:color="auto"/>
              <w:right w:val="single" w:sz="4" w:space="0" w:color="auto"/>
            </w:tcBorders>
            <w:noWrap/>
            <w:hideMark/>
          </w:tcPr>
          <w:p w14:paraId="6DBA72F3"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r>
      <w:tr w:rsidR="00CF388D" w:rsidRPr="00CF388D" w14:paraId="3C418D5B" w14:textId="77777777" w:rsidTr="00A658FA">
        <w:trPr>
          <w:trHeight w:val="58"/>
        </w:trPr>
        <w:tc>
          <w:tcPr>
            <w:tcW w:w="3681" w:type="dxa"/>
            <w:tcBorders>
              <w:top w:val="nil"/>
              <w:left w:val="single" w:sz="4" w:space="0" w:color="auto"/>
              <w:bottom w:val="single" w:sz="4" w:space="0" w:color="auto"/>
              <w:right w:val="single" w:sz="4" w:space="0" w:color="auto"/>
            </w:tcBorders>
            <w:noWrap/>
            <w:hideMark/>
          </w:tcPr>
          <w:p w14:paraId="2C0EDEF9" w14:textId="7B1DDEA9" w:rsidR="00C94AEE" w:rsidRPr="00CF388D" w:rsidRDefault="00C94AEE" w:rsidP="00A658FA">
            <w:pPr>
              <w:jc w:val="left"/>
              <w:rPr>
                <w:rFonts w:asciiTheme="majorBidi" w:hAnsiTheme="majorBidi" w:cstheme="majorBidi"/>
                <w:b/>
                <w:bCs/>
                <w:sz w:val="20"/>
                <w:szCs w:val="20"/>
              </w:rPr>
            </w:pPr>
            <w:r>
              <w:rPr>
                <w:rFonts w:asciiTheme="majorBidi" w:hAnsiTheme="majorBidi"/>
                <w:b/>
                <w:sz w:val="20"/>
              </w:rPr>
              <w:t xml:space="preserve">Subtotal </w:t>
            </w:r>
            <w:r w:rsidR="008D3C2C">
              <w:rPr>
                <w:rFonts w:asciiTheme="majorBidi" w:hAnsiTheme="majorBidi"/>
                <w:b/>
                <w:sz w:val="20"/>
              </w:rPr>
              <w:t xml:space="preserve">– </w:t>
            </w:r>
            <w:r w:rsidR="00A658FA">
              <w:rPr>
                <w:rFonts w:asciiTheme="majorBidi" w:hAnsiTheme="majorBidi"/>
                <w:b/>
                <w:sz w:val="20"/>
              </w:rPr>
              <w:t>O</w:t>
            </w:r>
            <w:r>
              <w:rPr>
                <w:rFonts w:asciiTheme="majorBidi" w:hAnsiTheme="majorBidi"/>
                <w:b/>
                <w:sz w:val="20"/>
              </w:rPr>
              <w:t>tras actividades</w:t>
            </w:r>
          </w:p>
        </w:tc>
        <w:tc>
          <w:tcPr>
            <w:tcW w:w="1084" w:type="dxa"/>
            <w:tcBorders>
              <w:top w:val="nil"/>
              <w:left w:val="nil"/>
              <w:bottom w:val="single" w:sz="4" w:space="0" w:color="auto"/>
              <w:right w:val="single" w:sz="4" w:space="0" w:color="auto"/>
            </w:tcBorders>
            <w:noWrap/>
            <w:hideMark/>
          </w:tcPr>
          <w:p w14:paraId="518CC116"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2.522.500</w:t>
            </w:r>
          </w:p>
        </w:tc>
        <w:tc>
          <w:tcPr>
            <w:tcW w:w="1170" w:type="dxa"/>
            <w:tcBorders>
              <w:top w:val="nil"/>
              <w:left w:val="nil"/>
              <w:bottom w:val="single" w:sz="4" w:space="0" w:color="auto"/>
              <w:right w:val="single" w:sz="4" w:space="0" w:color="auto"/>
            </w:tcBorders>
            <w:noWrap/>
            <w:hideMark/>
          </w:tcPr>
          <w:p w14:paraId="1FD83F89"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339.000</w:t>
            </w:r>
          </w:p>
        </w:tc>
        <w:tc>
          <w:tcPr>
            <w:tcW w:w="1260" w:type="dxa"/>
            <w:tcBorders>
              <w:top w:val="nil"/>
              <w:left w:val="nil"/>
              <w:bottom w:val="single" w:sz="4" w:space="0" w:color="auto"/>
              <w:right w:val="single" w:sz="4" w:space="0" w:color="auto"/>
            </w:tcBorders>
            <w:noWrap/>
            <w:hideMark/>
          </w:tcPr>
          <w:p w14:paraId="460A3CBE"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0</w:t>
            </w:r>
          </w:p>
        </w:tc>
        <w:tc>
          <w:tcPr>
            <w:tcW w:w="1260" w:type="dxa"/>
            <w:tcBorders>
              <w:top w:val="nil"/>
              <w:left w:val="nil"/>
              <w:bottom w:val="single" w:sz="4" w:space="0" w:color="auto"/>
              <w:right w:val="single" w:sz="4" w:space="0" w:color="auto"/>
            </w:tcBorders>
            <w:noWrap/>
            <w:hideMark/>
          </w:tcPr>
          <w:p w14:paraId="11C913ED"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2.861.500</w:t>
            </w:r>
          </w:p>
        </w:tc>
        <w:tc>
          <w:tcPr>
            <w:tcW w:w="1321" w:type="dxa"/>
            <w:tcBorders>
              <w:top w:val="nil"/>
              <w:left w:val="nil"/>
              <w:bottom w:val="single" w:sz="4" w:space="0" w:color="auto"/>
              <w:right w:val="single" w:sz="4" w:space="0" w:color="auto"/>
            </w:tcBorders>
            <w:noWrap/>
            <w:hideMark/>
          </w:tcPr>
          <w:p w14:paraId="6A0E28D6"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0</w:t>
            </w:r>
          </w:p>
        </w:tc>
      </w:tr>
      <w:tr w:rsidR="00CF388D" w:rsidRPr="00CF388D" w14:paraId="4B569840" w14:textId="77777777" w:rsidTr="00A658FA">
        <w:trPr>
          <w:trHeight w:val="58"/>
        </w:trPr>
        <w:tc>
          <w:tcPr>
            <w:tcW w:w="9776" w:type="dxa"/>
            <w:gridSpan w:val="6"/>
            <w:tcBorders>
              <w:top w:val="single" w:sz="4" w:space="0" w:color="auto"/>
              <w:left w:val="single" w:sz="4" w:space="0" w:color="auto"/>
              <w:bottom w:val="single" w:sz="4" w:space="0" w:color="auto"/>
              <w:right w:val="single" w:sz="4" w:space="0" w:color="auto"/>
            </w:tcBorders>
            <w:noWrap/>
            <w:hideMark/>
          </w:tcPr>
          <w:p w14:paraId="39D8C050" w14:textId="77777777" w:rsidR="00C94AEE" w:rsidRPr="00CF388D" w:rsidRDefault="00C94AEE" w:rsidP="00C94AEE">
            <w:pPr>
              <w:jc w:val="left"/>
              <w:rPr>
                <w:rFonts w:asciiTheme="majorBidi" w:hAnsiTheme="majorBidi" w:cstheme="majorBidi"/>
                <w:b/>
                <w:bCs/>
                <w:sz w:val="20"/>
                <w:szCs w:val="20"/>
              </w:rPr>
            </w:pPr>
            <w:r>
              <w:rPr>
                <w:rFonts w:asciiTheme="majorBidi" w:hAnsiTheme="majorBidi"/>
                <w:b/>
                <w:sz w:val="20"/>
              </w:rPr>
              <w:t>Actividades ordinarias</w:t>
            </w:r>
          </w:p>
        </w:tc>
      </w:tr>
      <w:tr w:rsidR="00CF388D" w:rsidRPr="00CF388D" w14:paraId="7A35FFF8" w14:textId="77777777" w:rsidTr="00A658FA">
        <w:trPr>
          <w:trHeight w:val="58"/>
        </w:trPr>
        <w:tc>
          <w:tcPr>
            <w:tcW w:w="3681" w:type="dxa"/>
            <w:tcBorders>
              <w:top w:val="nil"/>
              <w:left w:val="single" w:sz="4" w:space="0" w:color="auto"/>
              <w:bottom w:val="single" w:sz="4" w:space="0" w:color="auto"/>
              <w:right w:val="single" w:sz="4" w:space="0" w:color="auto"/>
            </w:tcBorders>
            <w:noWrap/>
            <w:hideMark/>
          </w:tcPr>
          <w:p w14:paraId="541BAB43" w14:textId="7DD6A2FE" w:rsidR="00C94AEE" w:rsidRPr="00CF388D" w:rsidRDefault="00C94AEE" w:rsidP="00C94AEE">
            <w:pPr>
              <w:jc w:val="left"/>
              <w:rPr>
                <w:rFonts w:asciiTheme="majorBidi" w:hAnsiTheme="majorBidi" w:cstheme="majorBidi"/>
                <w:sz w:val="20"/>
                <w:szCs w:val="20"/>
              </w:rPr>
            </w:pPr>
            <w:r>
              <w:rPr>
                <w:rFonts w:asciiTheme="majorBidi" w:hAnsiTheme="majorBidi"/>
                <w:sz w:val="20"/>
              </w:rPr>
              <w:t>Fortalecimiento institucional</w:t>
            </w:r>
          </w:p>
        </w:tc>
        <w:tc>
          <w:tcPr>
            <w:tcW w:w="1084" w:type="dxa"/>
            <w:tcBorders>
              <w:top w:val="nil"/>
              <w:left w:val="nil"/>
              <w:bottom w:val="single" w:sz="4" w:space="0" w:color="auto"/>
              <w:right w:val="single" w:sz="4" w:space="0" w:color="auto"/>
            </w:tcBorders>
            <w:noWrap/>
            <w:hideMark/>
          </w:tcPr>
          <w:p w14:paraId="44860547"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10.008.304</w:t>
            </w:r>
          </w:p>
        </w:tc>
        <w:tc>
          <w:tcPr>
            <w:tcW w:w="1170" w:type="dxa"/>
            <w:tcBorders>
              <w:top w:val="nil"/>
              <w:left w:val="nil"/>
              <w:bottom w:val="single" w:sz="4" w:space="0" w:color="auto"/>
              <w:right w:val="single" w:sz="4" w:space="0" w:color="auto"/>
            </w:tcBorders>
            <w:noWrap/>
            <w:hideMark/>
          </w:tcPr>
          <w:p w14:paraId="648549C2"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11.032.246</w:t>
            </w:r>
          </w:p>
        </w:tc>
        <w:tc>
          <w:tcPr>
            <w:tcW w:w="1260" w:type="dxa"/>
            <w:tcBorders>
              <w:top w:val="nil"/>
              <w:left w:val="nil"/>
              <w:bottom w:val="single" w:sz="4" w:space="0" w:color="auto"/>
              <w:right w:val="single" w:sz="4" w:space="0" w:color="auto"/>
            </w:tcBorders>
            <w:noWrap/>
            <w:hideMark/>
          </w:tcPr>
          <w:p w14:paraId="686B96ED"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1.662.377</w:t>
            </w:r>
          </w:p>
        </w:tc>
        <w:tc>
          <w:tcPr>
            <w:tcW w:w="1260" w:type="dxa"/>
            <w:tcBorders>
              <w:top w:val="nil"/>
              <w:left w:val="nil"/>
              <w:bottom w:val="single" w:sz="4" w:space="0" w:color="auto"/>
              <w:right w:val="single" w:sz="4" w:space="0" w:color="auto"/>
            </w:tcBorders>
            <w:noWrap/>
            <w:hideMark/>
          </w:tcPr>
          <w:p w14:paraId="028A012E"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22.702.927</w:t>
            </w:r>
          </w:p>
        </w:tc>
        <w:tc>
          <w:tcPr>
            <w:tcW w:w="1321" w:type="dxa"/>
            <w:tcBorders>
              <w:top w:val="nil"/>
              <w:left w:val="nil"/>
              <w:bottom w:val="single" w:sz="4" w:space="0" w:color="auto"/>
              <w:right w:val="single" w:sz="4" w:space="0" w:color="auto"/>
            </w:tcBorders>
            <w:noWrap/>
            <w:hideMark/>
          </w:tcPr>
          <w:p w14:paraId="035BF797"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r>
      <w:tr w:rsidR="00CF388D" w:rsidRPr="00CF388D" w14:paraId="59A431B2" w14:textId="77777777" w:rsidTr="00A658FA">
        <w:trPr>
          <w:trHeight w:val="147"/>
        </w:trPr>
        <w:tc>
          <w:tcPr>
            <w:tcW w:w="3681" w:type="dxa"/>
            <w:tcBorders>
              <w:top w:val="nil"/>
              <w:left w:val="single" w:sz="4" w:space="0" w:color="auto"/>
              <w:bottom w:val="single" w:sz="4" w:space="0" w:color="auto"/>
              <w:right w:val="single" w:sz="4" w:space="0" w:color="auto"/>
            </w:tcBorders>
            <w:noWrap/>
            <w:tcMar>
              <w:right w:w="29" w:type="dxa"/>
            </w:tcMar>
            <w:hideMark/>
          </w:tcPr>
          <w:p w14:paraId="04A9D30F" w14:textId="77777777" w:rsidR="00C94AEE" w:rsidRPr="00A658FA" w:rsidRDefault="00C94AEE" w:rsidP="00C94AEE">
            <w:pPr>
              <w:jc w:val="left"/>
              <w:rPr>
                <w:rFonts w:asciiTheme="majorBidi" w:hAnsiTheme="majorBidi" w:cstheme="majorBidi"/>
                <w:spacing w:val="-6"/>
                <w:sz w:val="20"/>
                <w:szCs w:val="20"/>
              </w:rPr>
            </w:pPr>
            <w:r w:rsidRPr="00A658FA">
              <w:rPr>
                <w:rFonts w:asciiTheme="majorBidi" w:hAnsiTheme="majorBidi"/>
                <w:spacing w:val="-6"/>
                <w:sz w:val="20"/>
              </w:rPr>
              <w:t>Programa de Asistencia al Cumplimiento (PAC)</w:t>
            </w:r>
          </w:p>
        </w:tc>
        <w:tc>
          <w:tcPr>
            <w:tcW w:w="1084" w:type="dxa"/>
            <w:tcBorders>
              <w:top w:val="nil"/>
              <w:left w:val="nil"/>
              <w:bottom w:val="single" w:sz="4" w:space="0" w:color="auto"/>
              <w:right w:val="single" w:sz="4" w:space="0" w:color="auto"/>
            </w:tcBorders>
            <w:noWrap/>
            <w:hideMark/>
          </w:tcPr>
          <w:p w14:paraId="0212A877"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12.650.848</w:t>
            </w:r>
          </w:p>
        </w:tc>
        <w:tc>
          <w:tcPr>
            <w:tcW w:w="1170" w:type="dxa"/>
            <w:tcBorders>
              <w:top w:val="nil"/>
              <w:left w:val="nil"/>
              <w:bottom w:val="single" w:sz="4" w:space="0" w:color="auto"/>
              <w:right w:val="single" w:sz="4" w:space="0" w:color="auto"/>
            </w:tcBorders>
            <w:noWrap/>
            <w:hideMark/>
          </w:tcPr>
          <w:p w14:paraId="20D591AF"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13.030.373</w:t>
            </w:r>
          </w:p>
        </w:tc>
        <w:tc>
          <w:tcPr>
            <w:tcW w:w="1260" w:type="dxa"/>
            <w:tcBorders>
              <w:top w:val="nil"/>
              <w:left w:val="nil"/>
              <w:bottom w:val="single" w:sz="4" w:space="0" w:color="auto"/>
              <w:right w:val="single" w:sz="4" w:space="0" w:color="auto"/>
            </w:tcBorders>
            <w:noWrap/>
            <w:hideMark/>
          </w:tcPr>
          <w:p w14:paraId="3C429FBF"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13.421.285</w:t>
            </w:r>
          </w:p>
        </w:tc>
        <w:tc>
          <w:tcPr>
            <w:tcW w:w="1260" w:type="dxa"/>
            <w:tcBorders>
              <w:top w:val="nil"/>
              <w:left w:val="nil"/>
              <w:bottom w:val="single" w:sz="4" w:space="0" w:color="auto"/>
              <w:right w:val="single" w:sz="4" w:space="0" w:color="auto"/>
            </w:tcBorders>
            <w:noWrap/>
            <w:hideMark/>
          </w:tcPr>
          <w:p w14:paraId="62F74391"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39.102.506</w:t>
            </w:r>
          </w:p>
        </w:tc>
        <w:tc>
          <w:tcPr>
            <w:tcW w:w="1321" w:type="dxa"/>
            <w:tcBorders>
              <w:top w:val="nil"/>
              <w:left w:val="nil"/>
              <w:bottom w:val="single" w:sz="4" w:space="0" w:color="auto"/>
              <w:right w:val="single" w:sz="4" w:space="0" w:color="auto"/>
            </w:tcBorders>
            <w:noWrap/>
            <w:hideMark/>
          </w:tcPr>
          <w:p w14:paraId="42E80212" w14:textId="77777777" w:rsidR="00C94AEE" w:rsidRPr="00CF388D" w:rsidRDefault="00C94AEE" w:rsidP="00C94AEE">
            <w:pPr>
              <w:jc w:val="right"/>
              <w:rPr>
                <w:rFonts w:asciiTheme="majorBidi" w:hAnsiTheme="majorBidi" w:cstheme="majorBidi"/>
                <w:sz w:val="20"/>
                <w:szCs w:val="20"/>
              </w:rPr>
            </w:pPr>
            <w:r>
              <w:rPr>
                <w:rFonts w:asciiTheme="majorBidi" w:hAnsiTheme="majorBidi"/>
                <w:sz w:val="20"/>
              </w:rPr>
              <w:t>0</w:t>
            </w:r>
          </w:p>
        </w:tc>
      </w:tr>
      <w:tr w:rsidR="00CF388D" w:rsidRPr="00CF388D" w14:paraId="712C7004" w14:textId="77777777" w:rsidTr="00A658FA">
        <w:trPr>
          <w:trHeight w:val="58"/>
        </w:trPr>
        <w:tc>
          <w:tcPr>
            <w:tcW w:w="3681" w:type="dxa"/>
            <w:tcBorders>
              <w:top w:val="nil"/>
              <w:left w:val="single" w:sz="4" w:space="0" w:color="auto"/>
              <w:bottom w:val="single" w:sz="4" w:space="0" w:color="auto"/>
              <w:right w:val="single" w:sz="4" w:space="0" w:color="auto"/>
            </w:tcBorders>
            <w:noWrap/>
            <w:hideMark/>
          </w:tcPr>
          <w:p w14:paraId="0B136C9C" w14:textId="3B90BCF7" w:rsidR="00C94AEE" w:rsidRPr="00CF388D" w:rsidRDefault="00C94AEE" w:rsidP="00A658FA">
            <w:pPr>
              <w:jc w:val="left"/>
              <w:rPr>
                <w:rFonts w:asciiTheme="majorBidi" w:hAnsiTheme="majorBidi" w:cstheme="majorBidi"/>
                <w:b/>
                <w:bCs/>
                <w:sz w:val="20"/>
                <w:szCs w:val="20"/>
              </w:rPr>
            </w:pPr>
            <w:r>
              <w:rPr>
                <w:rFonts w:asciiTheme="majorBidi" w:hAnsiTheme="majorBidi"/>
                <w:b/>
                <w:sz w:val="20"/>
              </w:rPr>
              <w:t xml:space="preserve">Subtotal </w:t>
            </w:r>
            <w:r w:rsidR="008D3C2C">
              <w:rPr>
                <w:rFonts w:asciiTheme="majorBidi" w:hAnsiTheme="majorBidi"/>
                <w:b/>
                <w:sz w:val="20"/>
              </w:rPr>
              <w:t>–</w:t>
            </w:r>
            <w:r>
              <w:rPr>
                <w:rFonts w:asciiTheme="majorBidi" w:hAnsiTheme="majorBidi"/>
                <w:b/>
                <w:sz w:val="20"/>
              </w:rPr>
              <w:t xml:space="preserve"> </w:t>
            </w:r>
            <w:r w:rsidR="00A658FA">
              <w:rPr>
                <w:rFonts w:asciiTheme="majorBidi" w:hAnsiTheme="majorBidi"/>
                <w:b/>
                <w:sz w:val="20"/>
              </w:rPr>
              <w:t>A</w:t>
            </w:r>
            <w:r>
              <w:rPr>
                <w:rFonts w:asciiTheme="majorBidi" w:hAnsiTheme="majorBidi"/>
                <w:b/>
                <w:sz w:val="20"/>
              </w:rPr>
              <w:t>ctividades ordinarias</w:t>
            </w:r>
          </w:p>
        </w:tc>
        <w:tc>
          <w:tcPr>
            <w:tcW w:w="1084" w:type="dxa"/>
            <w:tcBorders>
              <w:top w:val="nil"/>
              <w:left w:val="nil"/>
              <w:bottom w:val="single" w:sz="4" w:space="0" w:color="auto"/>
              <w:right w:val="single" w:sz="4" w:space="0" w:color="auto"/>
            </w:tcBorders>
            <w:noWrap/>
            <w:hideMark/>
          </w:tcPr>
          <w:p w14:paraId="033A4237"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22.659.152</w:t>
            </w:r>
          </w:p>
        </w:tc>
        <w:tc>
          <w:tcPr>
            <w:tcW w:w="1170" w:type="dxa"/>
            <w:tcBorders>
              <w:top w:val="nil"/>
              <w:left w:val="nil"/>
              <w:bottom w:val="single" w:sz="4" w:space="0" w:color="auto"/>
              <w:right w:val="single" w:sz="4" w:space="0" w:color="auto"/>
            </w:tcBorders>
            <w:noWrap/>
            <w:hideMark/>
          </w:tcPr>
          <w:p w14:paraId="6D0AEB87"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24.062.619</w:t>
            </w:r>
          </w:p>
        </w:tc>
        <w:tc>
          <w:tcPr>
            <w:tcW w:w="1260" w:type="dxa"/>
            <w:tcBorders>
              <w:top w:val="nil"/>
              <w:left w:val="nil"/>
              <w:bottom w:val="single" w:sz="4" w:space="0" w:color="auto"/>
              <w:right w:val="single" w:sz="4" w:space="0" w:color="auto"/>
            </w:tcBorders>
            <w:noWrap/>
            <w:hideMark/>
          </w:tcPr>
          <w:p w14:paraId="56FA990C"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15.083.662</w:t>
            </w:r>
          </w:p>
        </w:tc>
        <w:tc>
          <w:tcPr>
            <w:tcW w:w="1260" w:type="dxa"/>
            <w:tcBorders>
              <w:top w:val="nil"/>
              <w:left w:val="nil"/>
              <w:bottom w:val="single" w:sz="4" w:space="0" w:color="auto"/>
              <w:right w:val="single" w:sz="4" w:space="0" w:color="auto"/>
            </w:tcBorders>
            <w:noWrap/>
            <w:hideMark/>
          </w:tcPr>
          <w:p w14:paraId="66CE4DA1"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61.805.433</w:t>
            </w:r>
          </w:p>
        </w:tc>
        <w:tc>
          <w:tcPr>
            <w:tcW w:w="1321" w:type="dxa"/>
            <w:tcBorders>
              <w:top w:val="nil"/>
              <w:left w:val="nil"/>
              <w:bottom w:val="single" w:sz="4" w:space="0" w:color="auto"/>
              <w:right w:val="single" w:sz="4" w:space="0" w:color="auto"/>
            </w:tcBorders>
            <w:noWrap/>
            <w:hideMark/>
          </w:tcPr>
          <w:p w14:paraId="13850563"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0</w:t>
            </w:r>
          </w:p>
        </w:tc>
      </w:tr>
      <w:tr w:rsidR="00CF388D" w:rsidRPr="00CF388D" w14:paraId="266B8758" w14:textId="77777777" w:rsidTr="00A658FA">
        <w:trPr>
          <w:trHeight w:val="58"/>
        </w:trPr>
        <w:tc>
          <w:tcPr>
            <w:tcW w:w="3681" w:type="dxa"/>
            <w:tcBorders>
              <w:top w:val="nil"/>
              <w:left w:val="single" w:sz="4" w:space="0" w:color="auto"/>
              <w:bottom w:val="single" w:sz="4" w:space="0" w:color="auto"/>
              <w:right w:val="single" w:sz="4" w:space="0" w:color="auto"/>
            </w:tcBorders>
            <w:noWrap/>
            <w:hideMark/>
          </w:tcPr>
          <w:p w14:paraId="50D24D7A" w14:textId="77777777" w:rsidR="00C94AEE" w:rsidRPr="00CF388D" w:rsidRDefault="00C94AEE" w:rsidP="00C94AEE">
            <w:pPr>
              <w:jc w:val="left"/>
              <w:rPr>
                <w:rFonts w:asciiTheme="majorBidi" w:hAnsiTheme="majorBidi" w:cstheme="majorBidi"/>
                <w:b/>
                <w:bCs/>
                <w:sz w:val="20"/>
                <w:szCs w:val="20"/>
              </w:rPr>
            </w:pPr>
            <w:r>
              <w:rPr>
                <w:rFonts w:asciiTheme="majorBidi" w:hAnsiTheme="majorBidi"/>
                <w:b/>
                <w:sz w:val="20"/>
              </w:rPr>
              <w:t>Total</w:t>
            </w:r>
          </w:p>
        </w:tc>
        <w:tc>
          <w:tcPr>
            <w:tcW w:w="1084" w:type="dxa"/>
            <w:tcBorders>
              <w:top w:val="nil"/>
              <w:left w:val="nil"/>
              <w:bottom w:val="single" w:sz="4" w:space="0" w:color="auto"/>
              <w:right w:val="single" w:sz="4" w:space="0" w:color="auto"/>
            </w:tcBorders>
            <w:noWrap/>
            <w:hideMark/>
          </w:tcPr>
          <w:p w14:paraId="2EF31D42"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45.064.385</w:t>
            </w:r>
          </w:p>
        </w:tc>
        <w:tc>
          <w:tcPr>
            <w:tcW w:w="1170" w:type="dxa"/>
            <w:tcBorders>
              <w:top w:val="nil"/>
              <w:left w:val="nil"/>
              <w:bottom w:val="single" w:sz="4" w:space="0" w:color="auto"/>
              <w:right w:val="single" w:sz="4" w:space="0" w:color="auto"/>
            </w:tcBorders>
            <w:noWrap/>
            <w:hideMark/>
          </w:tcPr>
          <w:p w14:paraId="3FB641F2"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37.792.392</w:t>
            </w:r>
          </w:p>
        </w:tc>
        <w:tc>
          <w:tcPr>
            <w:tcW w:w="1260" w:type="dxa"/>
            <w:tcBorders>
              <w:top w:val="nil"/>
              <w:left w:val="nil"/>
              <w:bottom w:val="single" w:sz="4" w:space="0" w:color="auto"/>
              <w:right w:val="single" w:sz="4" w:space="0" w:color="auto"/>
            </w:tcBorders>
            <w:noWrap/>
            <w:hideMark/>
          </w:tcPr>
          <w:p w14:paraId="4E0CBA01"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18.331.685</w:t>
            </w:r>
          </w:p>
        </w:tc>
        <w:tc>
          <w:tcPr>
            <w:tcW w:w="1260" w:type="dxa"/>
            <w:tcBorders>
              <w:top w:val="nil"/>
              <w:left w:val="nil"/>
              <w:bottom w:val="single" w:sz="4" w:space="0" w:color="auto"/>
              <w:right w:val="single" w:sz="4" w:space="0" w:color="auto"/>
            </w:tcBorders>
            <w:noWrap/>
            <w:hideMark/>
          </w:tcPr>
          <w:p w14:paraId="59489114"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101.188.462</w:t>
            </w:r>
          </w:p>
        </w:tc>
        <w:tc>
          <w:tcPr>
            <w:tcW w:w="1321" w:type="dxa"/>
            <w:tcBorders>
              <w:top w:val="nil"/>
              <w:left w:val="nil"/>
              <w:bottom w:val="single" w:sz="4" w:space="0" w:color="auto"/>
              <w:right w:val="single" w:sz="4" w:space="0" w:color="auto"/>
            </w:tcBorders>
            <w:noWrap/>
            <w:hideMark/>
          </w:tcPr>
          <w:p w14:paraId="4FF28880" w14:textId="77777777" w:rsidR="00C94AEE" w:rsidRPr="00CF388D" w:rsidRDefault="00C94AEE" w:rsidP="00C94AEE">
            <w:pPr>
              <w:jc w:val="right"/>
              <w:rPr>
                <w:rFonts w:asciiTheme="majorBidi" w:hAnsiTheme="majorBidi" w:cstheme="majorBidi"/>
                <w:b/>
                <w:bCs/>
                <w:sz w:val="20"/>
                <w:szCs w:val="20"/>
              </w:rPr>
            </w:pPr>
            <w:r>
              <w:rPr>
                <w:rFonts w:asciiTheme="majorBidi" w:hAnsiTheme="majorBidi"/>
                <w:b/>
                <w:sz w:val="20"/>
              </w:rPr>
              <w:t>14.395.369</w:t>
            </w:r>
          </w:p>
        </w:tc>
      </w:tr>
    </w:tbl>
    <w:p w14:paraId="245E6756" w14:textId="63DD3DB6" w:rsidR="00602AF5" w:rsidRPr="00CF388D" w:rsidRDefault="00602AF5" w:rsidP="00602AF5">
      <w:pPr>
        <w:rPr>
          <w:sz w:val="19"/>
          <w:szCs w:val="19"/>
        </w:rPr>
      </w:pPr>
      <w:r>
        <w:rPr>
          <w:sz w:val="19"/>
        </w:rPr>
        <w:t xml:space="preserve">* Incluidos gastos de apoyo </w:t>
      </w:r>
      <w:r w:rsidR="00C1776A">
        <w:rPr>
          <w:sz w:val="19"/>
        </w:rPr>
        <w:t>cuando corresponda.</w:t>
      </w:r>
    </w:p>
    <w:p w14:paraId="54AF16EC" w14:textId="77777777" w:rsidR="00602AF5" w:rsidRPr="00CF388D" w:rsidRDefault="00602AF5" w:rsidP="00602AF5">
      <w:pPr>
        <w:pStyle w:val="Heading1"/>
        <w:keepNext/>
        <w:numPr>
          <w:ilvl w:val="0"/>
          <w:numId w:val="0"/>
        </w:numPr>
        <w:spacing w:after="0"/>
        <w:rPr>
          <w:b/>
        </w:rPr>
      </w:pPr>
    </w:p>
    <w:p w14:paraId="5C0F3CEA" w14:textId="77777777" w:rsidR="00602AF5" w:rsidRPr="00CF388D" w:rsidRDefault="00602AF5" w:rsidP="00602AF5">
      <w:pPr>
        <w:pStyle w:val="Heading1"/>
        <w:numPr>
          <w:ilvl w:val="0"/>
          <w:numId w:val="0"/>
        </w:numPr>
        <w:rPr>
          <w:b/>
          <w:sz w:val="24"/>
          <w:szCs w:val="24"/>
        </w:rPr>
      </w:pPr>
      <w:r>
        <w:rPr>
          <w:b/>
          <w:sz w:val="24"/>
        </w:rPr>
        <w:t>II.</w:t>
      </w:r>
      <w:r>
        <w:rPr>
          <w:b/>
          <w:sz w:val="24"/>
        </w:rPr>
        <w:tab/>
        <w:t xml:space="preserve">Observaciones de la Secretaría </w:t>
      </w:r>
    </w:p>
    <w:p w14:paraId="4FA0CD66" w14:textId="77777777" w:rsidR="00602AF5" w:rsidRPr="00CF388D" w:rsidRDefault="00602AF5" w:rsidP="00602AF5">
      <w:pPr>
        <w:keepNext/>
        <w:keepLines/>
        <w:rPr>
          <w:b/>
          <w:bCs/>
        </w:rPr>
      </w:pPr>
      <w:r>
        <w:rPr>
          <w:b/>
        </w:rPr>
        <w:t>II.1</w:t>
      </w:r>
      <w:r>
        <w:rPr>
          <w:b/>
        </w:rPr>
        <w:tab/>
        <w:t>Actividades relativas a los HCFC</w:t>
      </w:r>
    </w:p>
    <w:p w14:paraId="66F4AD93" w14:textId="77777777" w:rsidR="00602AF5" w:rsidRPr="00CF388D" w:rsidRDefault="00602AF5" w:rsidP="00602AF5">
      <w:pPr>
        <w:rPr>
          <w:u w:val="single"/>
        </w:rPr>
      </w:pPr>
    </w:p>
    <w:p w14:paraId="53B3D357" w14:textId="77777777" w:rsidR="00602AF5" w:rsidRPr="00CF388D" w:rsidRDefault="00602AF5" w:rsidP="00602AF5">
      <w:pPr>
        <w:rPr>
          <w:u w:val="single"/>
        </w:rPr>
      </w:pPr>
      <w:r>
        <w:rPr>
          <w:u w:val="single"/>
        </w:rPr>
        <w:t>Etapa II de los PGEH</w:t>
      </w:r>
    </w:p>
    <w:p w14:paraId="34BFA2DF" w14:textId="77777777" w:rsidR="00602AF5" w:rsidRPr="00CF388D" w:rsidRDefault="00602AF5" w:rsidP="00602AF5">
      <w:pPr>
        <w:rPr>
          <w:u w:val="single"/>
        </w:rPr>
      </w:pPr>
    </w:p>
    <w:p w14:paraId="36D81EED" w14:textId="237C2A06" w:rsidR="00602AF5" w:rsidRPr="00CF388D" w:rsidRDefault="00602AF5" w:rsidP="00602AF5">
      <w:pPr>
        <w:pStyle w:val="Heading1"/>
      </w:pPr>
      <w:r>
        <w:t xml:space="preserve">El nivel total de financiamiento para la etapa II de los PGEH </w:t>
      </w:r>
      <w:r w:rsidR="001751C6">
        <w:t>de</w:t>
      </w:r>
      <w:r>
        <w:t xml:space="preserve"> nueve países de bajo consumo (BVC) </w:t>
      </w:r>
      <w:r w:rsidR="00C1776A">
        <w:t xml:space="preserve">para que </w:t>
      </w:r>
      <w:r>
        <w:t xml:space="preserve">cumplan con la reducción del 100 % de la base de </w:t>
      </w:r>
      <w:r w:rsidR="00C1776A">
        <w:t>comparación para</w:t>
      </w:r>
      <w:r>
        <w:t xml:space="preserve"> HCFC asciende a USD 2,25 millones (incluidos USD 1,07 millones para el período 2026-2028 y USD 1,18 millones para el período posterior a 2028). </w:t>
      </w:r>
    </w:p>
    <w:p w14:paraId="1C2742BE" w14:textId="33E5A954" w:rsidR="00602AF5" w:rsidRPr="00CF388D" w:rsidRDefault="00602AF5" w:rsidP="00602AF5">
      <w:pPr>
        <w:pStyle w:val="Heading1"/>
      </w:pPr>
      <w:r>
        <w:t xml:space="preserve">El nivel total de financiamiento para la etapa II de los PGEH </w:t>
      </w:r>
      <w:r w:rsidR="001751C6">
        <w:t>de</w:t>
      </w:r>
      <w:r>
        <w:t xml:space="preserve"> dos países de mayor consumo (AVC) asciende a USD 1,91 millones (incluidos USD 814.654 para el período 2026-2028 y USD 1,1 millones para</w:t>
      </w:r>
      <w:r w:rsidR="00535E79">
        <w:t xml:space="preserve"> el período posterior a 2028).</w:t>
      </w:r>
    </w:p>
    <w:p w14:paraId="293821EE" w14:textId="7189BF0A" w:rsidR="00602AF5" w:rsidRPr="00CF388D" w:rsidRDefault="00602AF5" w:rsidP="00602AF5">
      <w:pPr>
        <w:pStyle w:val="Heading1"/>
      </w:pPr>
      <w:r>
        <w:t>E</w:t>
      </w:r>
      <w:r w:rsidR="001751C6">
        <w:t>n e</w:t>
      </w:r>
      <w:r>
        <w:t xml:space="preserve">l plan administrativo </w:t>
      </w:r>
      <w:r w:rsidR="001751C6">
        <w:t xml:space="preserve">se </w:t>
      </w:r>
      <w:r>
        <w:t xml:space="preserve">incluye un total de USD 50.850 para </w:t>
      </w:r>
      <w:r w:rsidR="001751C6">
        <w:t xml:space="preserve">la </w:t>
      </w:r>
      <w:r>
        <w:t>preparación de proyectos para la etapa II de</w:t>
      </w:r>
      <w:r w:rsidR="001751C6">
        <w:t xml:space="preserve"> </w:t>
      </w:r>
      <w:r>
        <w:t>l</w:t>
      </w:r>
      <w:r w:rsidR="001751C6">
        <w:t>os</w:t>
      </w:r>
      <w:r>
        <w:t xml:space="preserve"> PGEH </w:t>
      </w:r>
      <w:r w:rsidR="001751C6">
        <w:t>de</w:t>
      </w:r>
      <w:r>
        <w:t xml:space="preserve"> dos países en 2026.</w:t>
      </w:r>
    </w:p>
    <w:p w14:paraId="697A760F" w14:textId="77777777" w:rsidR="00602AF5" w:rsidRPr="00CF388D" w:rsidRDefault="00602AF5" w:rsidP="00602AF5">
      <w:pPr>
        <w:pStyle w:val="Heading1"/>
        <w:keepNext/>
        <w:numPr>
          <w:ilvl w:val="0"/>
          <w:numId w:val="0"/>
        </w:numPr>
        <w:rPr>
          <w:u w:val="single"/>
        </w:rPr>
      </w:pPr>
      <w:r>
        <w:rPr>
          <w:u w:val="single"/>
        </w:rPr>
        <w:t xml:space="preserve">Etapa III de los PGEH </w:t>
      </w:r>
    </w:p>
    <w:p w14:paraId="1A100C0C" w14:textId="3DE698EE" w:rsidR="00602AF5" w:rsidRPr="00CF388D" w:rsidRDefault="00602AF5" w:rsidP="00602AF5">
      <w:pPr>
        <w:pStyle w:val="Heading1"/>
      </w:pPr>
      <w:r>
        <w:t xml:space="preserve">El nivel total de financiamiento para la etapa III de los PGEH </w:t>
      </w:r>
      <w:r w:rsidR="001751C6">
        <w:t>de</w:t>
      </w:r>
      <w:r>
        <w:t xml:space="preserve"> tres países </w:t>
      </w:r>
      <w:r w:rsidR="001751C6">
        <w:t>BVC</w:t>
      </w:r>
      <w:r>
        <w:t xml:space="preserve"> </w:t>
      </w:r>
      <w:r w:rsidR="001751C6">
        <w:t xml:space="preserve">para que </w:t>
      </w:r>
      <w:r>
        <w:t xml:space="preserve">cumplan con la reducción del 100 % de la base de referencia de HCFC asciende a USD 347.989 (incluidos USD 259.189 para el período 2026-2028 y USD 88.800 para el período posterior a 2028). </w:t>
      </w:r>
    </w:p>
    <w:p w14:paraId="74AADFBA" w14:textId="72DFC816" w:rsidR="00602AF5" w:rsidRPr="00CF388D" w:rsidRDefault="00602AF5" w:rsidP="00602AF5">
      <w:pPr>
        <w:pStyle w:val="Heading1"/>
      </w:pPr>
      <w:r>
        <w:lastRenderedPageBreak/>
        <w:t xml:space="preserve">El nivel total de financiamiento para la etapa III de los PGEH </w:t>
      </w:r>
      <w:r w:rsidR="001751C6">
        <w:t>de</w:t>
      </w:r>
      <w:r>
        <w:t xml:space="preserve"> cinco países AVC asciende a USD 5,53 millones (incluidos USD 3,29 millones para el período 2026-2028 y USD 2,24 millones para</w:t>
      </w:r>
      <w:r w:rsidR="00535E79">
        <w:t xml:space="preserve"> el período posterior a 2028).</w:t>
      </w:r>
    </w:p>
    <w:p w14:paraId="5A55EBB0" w14:textId="670424A1" w:rsidR="00602AF5" w:rsidRPr="00CF388D" w:rsidRDefault="00602AF5" w:rsidP="00602AF5">
      <w:pPr>
        <w:pStyle w:val="Heading1"/>
      </w:pPr>
      <w:r>
        <w:t>E</w:t>
      </w:r>
      <w:r w:rsidR="00EF7268">
        <w:t>n e</w:t>
      </w:r>
      <w:r>
        <w:t xml:space="preserve">l plan administrativo </w:t>
      </w:r>
      <w:r w:rsidR="00EF7268">
        <w:t xml:space="preserve">se </w:t>
      </w:r>
      <w:r>
        <w:t xml:space="preserve">incluye un total de USD 62.150 para la preparación de la etapa III de los PGEH </w:t>
      </w:r>
      <w:r w:rsidR="00D72CC0">
        <w:t>de</w:t>
      </w:r>
      <w:r>
        <w:t xml:space="preserve"> dos países en 2026.</w:t>
      </w:r>
    </w:p>
    <w:p w14:paraId="2D3FA85D" w14:textId="01B80CC2" w:rsidR="00602AF5" w:rsidRPr="00CF388D" w:rsidRDefault="00602AF5" w:rsidP="00602AF5">
      <w:pPr>
        <w:pStyle w:val="Heading1"/>
        <w:numPr>
          <w:ilvl w:val="0"/>
          <w:numId w:val="0"/>
        </w:numPr>
        <w:rPr>
          <w:u w:val="single"/>
        </w:rPr>
      </w:pPr>
      <w:r>
        <w:rPr>
          <w:u w:val="single"/>
        </w:rPr>
        <w:t>Eficiencia energética para países BVC (decisión 89/6)</w:t>
      </w:r>
      <w:r w:rsidR="00B473E0" w:rsidRPr="00CF388D">
        <w:rPr>
          <w:rStyle w:val="FootnoteReference"/>
        </w:rPr>
        <w:footnoteReference w:id="2"/>
      </w:r>
    </w:p>
    <w:p w14:paraId="7E2AC110" w14:textId="3B25E3FD" w:rsidR="00602AF5" w:rsidRPr="00CF388D" w:rsidRDefault="00602AF5" w:rsidP="00602AF5">
      <w:pPr>
        <w:pStyle w:val="Heading1"/>
      </w:pPr>
      <w:r>
        <w:t>E</w:t>
      </w:r>
      <w:r w:rsidR="00EF7268">
        <w:t>n e</w:t>
      </w:r>
      <w:r>
        <w:t xml:space="preserve">l plan administrativo </w:t>
      </w:r>
      <w:r w:rsidR="00EF7268">
        <w:t xml:space="preserve">se </w:t>
      </w:r>
      <w:r>
        <w:t xml:space="preserve">incluye un total de USD 2,14 millones para actividades de eficiencia energética </w:t>
      </w:r>
      <w:r w:rsidR="00B473E0">
        <w:t>para</w:t>
      </w:r>
      <w:r>
        <w:t xml:space="preserve"> 22 países en el período 2026-2027. </w:t>
      </w:r>
    </w:p>
    <w:p w14:paraId="493D7561" w14:textId="77777777" w:rsidR="00602AF5" w:rsidRPr="00CF388D" w:rsidRDefault="00602AF5" w:rsidP="00602AF5">
      <w:pPr>
        <w:rPr>
          <w:b/>
          <w:bCs/>
        </w:rPr>
      </w:pPr>
      <w:r>
        <w:rPr>
          <w:b/>
        </w:rPr>
        <w:t>II.2</w:t>
      </w:r>
      <w:r>
        <w:rPr>
          <w:b/>
        </w:rPr>
        <w:tab/>
        <w:t>Actividades relativas a los HFC</w:t>
      </w:r>
    </w:p>
    <w:p w14:paraId="55CCD9BC" w14:textId="77777777" w:rsidR="00602AF5" w:rsidRPr="00CF388D" w:rsidRDefault="00602AF5" w:rsidP="00602AF5">
      <w:pPr>
        <w:rPr>
          <w:b/>
        </w:rPr>
      </w:pPr>
    </w:p>
    <w:p w14:paraId="3AB61402" w14:textId="7BB4D483" w:rsidR="00602AF5" w:rsidRPr="00CF388D" w:rsidRDefault="00602AF5" w:rsidP="00602AF5">
      <w:pPr>
        <w:pStyle w:val="Heading1"/>
        <w:numPr>
          <w:ilvl w:val="0"/>
          <w:numId w:val="0"/>
        </w:numPr>
        <w:rPr>
          <w:u w:val="single"/>
        </w:rPr>
      </w:pPr>
      <w:r>
        <w:rPr>
          <w:u w:val="single"/>
        </w:rPr>
        <w:t xml:space="preserve">Preparación de proyectos de los planes de </w:t>
      </w:r>
      <w:r w:rsidR="008D3C2C">
        <w:rPr>
          <w:u w:val="single"/>
        </w:rPr>
        <w:t>aplica</w:t>
      </w:r>
      <w:r>
        <w:rPr>
          <w:u w:val="single"/>
        </w:rPr>
        <w:t>ción d</w:t>
      </w:r>
      <w:r w:rsidR="008D3C2C">
        <w:rPr>
          <w:u w:val="single"/>
        </w:rPr>
        <w:t>e la Enmienda de Kigali relativos a los HFC (</w:t>
      </w:r>
      <w:r>
        <w:rPr>
          <w:u w:val="single"/>
        </w:rPr>
        <w:t>P</w:t>
      </w:r>
      <w:r w:rsidR="008D3C2C">
        <w:rPr>
          <w:u w:val="single"/>
        </w:rPr>
        <w:t>AK</w:t>
      </w:r>
      <w:r>
        <w:rPr>
          <w:u w:val="single"/>
        </w:rPr>
        <w:t xml:space="preserve">) </w:t>
      </w:r>
    </w:p>
    <w:p w14:paraId="762A761A" w14:textId="1FBB00D9" w:rsidR="00602AF5" w:rsidRPr="00CF388D" w:rsidRDefault="00B473E0" w:rsidP="00602AF5">
      <w:pPr>
        <w:pStyle w:val="Heading1"/>
      </w:pPr>
      <w:r>
        <w:t>En el plan administrativo s</w:t>
      </w:r>
      <w:r w:rsidR="00602AF5">
        <w:t xml:space="preserve">e </w:t>
      </w:r>
      <w:r>
        <w:t>incluye</w:t>
      </w:r>
      <w:r w:rsidR="00602AF5">
        <w:t xml:space="preserve"> un total de USD 2,07 millones para </w:t>
      </w:r>
      <w:r>
        <w:t xml:space="preserve">actividades de </w:t>
      </w:r>
      <w:r w:rsidR="00602AF5">
        <w:t>preparación d</w:t>
      </w:r>
      <w:r w:rsidR="008D3C2C">
        <w:t xml:space="preserve">e proyectos de </w:t>
      </w:r>
      <w:r w:rsidR="00602AF5">
        <w:t>P</w:t>
      </w:r>
      <w:r w:rsidR="008D3C2C">
        <w:t>AK</w:t>
      </w:r>
      <w:r w:rsidR="00602AF5">
        <w:t xml:space="preserve"> para 18 países en </w:t>
      </w:r>
      <w:r w:rsidR="0002147B">
        <w:t xml:space="preserve">el período </w:t>
      </w:r>
      <w:r w:rsidR="00602AF5">
        <w:t xml:space="preserve">2026-2027. </w:t>
      </w:r>
    </w:p>
    <w:p w14:paraId="5601BA6E" w14:textId="30678D95" w:rsidR="00602AF5" w:rsidRPr="00CF388D" w:rsidRDefault="003A0B91" w:rsidP="00602AF5">
      <w:pPr>
        <w:pStyle w:val="Heading1"/>
      </w:pPr>
      <w:r>
        <w:t>De los 18 países para los cuales se han incluido actividades de preparación de proyectos de P</w:t>
      </w:r>
      <w:r w:rsidR="008D3C2C">
        <w:t>AK</w:t>
      </w:r>
      <w:r>
        <w:t>, 11 </w:t>
      </w:r>
      <w:r w:rsidR="00374BF2">
        <w:t>aún</w:t>
      </w:r>
      <w:r>
        <w:t xml:space="preserve"> no han ratificado la Enmienda de Kigali, pero han presentado la carta requerida de sus respectivos Gobiernos indicando su intención de hacer todo lo posible para ratificar la Enmienda de Kigali de conformidad con la decisión 84/46 f). </w:t>
      </w:r>
    </w:p>
    <w:p w14:paraId="1B59F8E3" w14:textId="281ACF3B" w:rsidR="00602AF5" w:rsidRPr="00CF388D" w:rsidRDefault="008D3C2C" w:rsidP="00602AF5">
      <w:pPr>
        <w:pStyle w:val="Heading1"/>
        <w:keepNext/>
        <w:numPr>
          <w:ilvl w:val="0"/>
          <w:numId w:val="0"/>
        </w:numPr>
        <w:rPr>
          <w:u w:val="single"/>
        </w:rPr>
      </w:pPr>
      <w:r>
        <w:rPr>
          <w:u w:val="single"/>
        </w:rPr>
        <w:t xml:space="preserve">Etapa I de los </w:t>
      </w:r>
      <w:r w:rsidR="00602AF5">
        <w:rPr>
          <w:u w:val="single"/>
        </w:rPr>
        <w:t>P</w:t>
      </w:r>
      <w:r>
        <w:rPr>
          <w:u w:val="single"/>
        </w:rPr>
        <w:t>AK</w:t>
      </w:r>
    </w:p>
    <w:p w14:paraId="65ADD7A8" w14:textId="66A54C73" w:rsidR="00602AF5" w:rsidRPr="00CF388D" w:rsidRDefault="00602AF5" w:rsidP="00602AF5">
      <w:pPr>
        <w:pStyle w:val="Heading1"/>
      </w:pPr>
      <w:r>
        <w:t>E</w:t>
      </w:r>
      <w:r w:rsidR="00B473E0">
        <w:t>n e</w:t>
      </w:r>
      <w:r>
        <w:t xml:space="preserve">l plan administrativo </w:t>
      </w:r>
      <w:r w:rsidR="00B473E0">
        <w:t xml:space="preserve">se </w:t>
      </w:r>
      <w:r>
        <w:t>incluye un total de USD 6,16 mi</w:t>
      </w:r>
      <w:r w:rsidR="008D3C2C">
        <w:t xml:space="preserve">llones para la etapa I de los </w:t>
      </w:r>
      <w:r>
        <w:t>P</w:t>
      </w:r>
      <w:r w:rsidR="008D3C2C">
        <w:t>AK</w:t>
      </w:r>
      <w:r>
        <w:t xml:space="preserve"> </w:t>
      </w:r>
      <w:r w:rsidR="00B473E0">
        <w:t>de</w:t>
      </w:r>
      <w:r>
        <w:t xml:space="preserve"> 31 países (incluidos USD 3,64 millones para el período 2026-2028 y USD 2,52 millones para el periodo posterior a 2028). Todos estos países han ratificado la Enmienda de Kigali. </w:t>
      </w:r>
    </w:p>
    <w:p w14:paraId="205DD832" w14:textId="77777777" w:rsidR="00602AF5" w:rsidRPr="00CF388D" w:rsidRDefault="00602AF5" w:rsidP="00602AF5">
      <w:pPr>
        <w:keepNext/>
        <w:rPr>
          <w:b/>
          <w:bCs/>
        </w:rPr>
      </w:pPr>
      <w:r>
        <w:rPr>
          <w:b/>
        </w:rPr>
        <w:t>II.3</w:t>
      </w:r>
      <w:r>
        <w:rPr>
          <w:b/>
        </w:rPr>
        <w:tab/>
        <w:t>Otras actividades</w:t>
      </w:r>
    </w:p>
    <w:p w14:paraId="4B3BB075" w14:textId="77777777" w:rsidR="00602AF5" w:rsidRPr="00CF388D" w:rsidRDefault="00602AF5" w:rsidP="00602AF5">
      <w:pPr>
        <w:keepNext/>
        <w:rPr>
          <w:b/>
          <w:bCs/>
        </w:rPr>
      </w:pPr>
    </w:p>
    <w:p w14:paraId="4BED5E7B" w14:textId="77777777" w:rsidR="00602AF5" w:rsidRPr="00CF388D" w:rsidRDefault="00602AF5" w:rsidP="00602AF5">
      <w:pPr>
        <w:keepNext/>
        <w:rPr>
          <w:u w:val="single"/>
        </w:rPr>
      </w:pPr>
      <w:r>
        <w:rPr>
          <w:u w:val="single"/>
        </w:rPr>
        <w:t>Proyectos piloto de eficiencia energética (decisión 91/65)</w:t>
      </w:r>
      <w:r w:rsidRPr="00CF388D">
        <w:rPr>
          <w:rStyle w:val="FootnoteReference"/>
        </w:rPr>
        <w:footnoteReference w:id="3"/>
      </w:r>
    </w:p>
    <w:p w14:paraId="6C4E76B0" w14:textId="77777777" w:rsidR="00602AF5" w:rsidRPr="00CF388D" w:rsidRDefault="00602AF5" w:rsidP="00602AF5">
      <w:pPr>
        <w:keepNext/>
        <w:rPr>
          <w:b/>
          <w:bCs/>
        </w:rPr>
      </w:pPr>
    </w:p>
    <w:p w14:paraId="192C2E42" w14:textId="04CC6699" w:rsidR="00602AF5" w:rsidRPr="00CF388D" w:rsidRDefault="00602AF5" w:rsidP="00602AF5">
      <w:pPr>
        <w:pStyle w:val="Heading1"/>
      </w:pPr>
      <w:r>
        <w:t xml:space="preserve">El plan administrativo incluye un total de USD 2,86 millones </w:t>
      </w:r>
      <w:r w:rsidR="003A5627">
        <w:t>co</w:t>
      </w:r>
      <w:r>
        <w:t xml:space="preserve">n </w:t>
      </w:r>
      <w:r w:rsidR="003A5627">
        <w:t xml:space="preserve">cargo a </w:t>
      </w:r>
      <w:r>
        <w:t>la ventana de financiamiento para proyectos piloto de eficiencia energética para el período 2026-2027 para tres países y un proyecto regional en países insulares del Pacífico.</w:t>
      </w:r>
    </w:p>
    <w:p w14:paraId="370D7C11" w14:textId="77777777" w:rsidR="00602AF5" w:rsidRPr="00CF388D" w:rsidRDefault="00602AF5" w:rsidP="00602AF5">
      <w:pPr>
        <w:keepNext/>
        <w:rPr>
          <w:b/>
          <w:bCs/>
        </w:rPr>
      </w:pPr>
      <w:r>
        <w:rPr>
          <w:b/>
        </w:rPr>
        <w:t>II.4</w:t>
      </w:r>
      <w:r>
        <w:rPr>
          <w:b/>
        </w:rPr>
        <w:tab/>
        <w:t>Programa de Asistencia al Cumplimiento (PAC)</w:t>
      </w:r>
    </w:p>
    <w:p w14:paraId="1B5D729E" w14:textId="77777777" w:rsidR="00602AF5" w:rsidRPr="00CF388D" w:rsidRDefault="00602AF5" w:rsidP="00602AF5">
      <w:pPr>
        <w:keepNext/>
      </w:pPr>
    </w:p>
    <w:p w14:paraId="6B02D417" w14:textId="5941918E" w:rsidR="00602AF5" w:rsidRPr="00CF388D" w:rsidRDefault="00602AF5" w:rsidP="00602AF5">
      <w:pPr>
        <w:pStyle w:val="Heading1"/>
      </w:pPr>
      <w:r>
        <w:t xml:space="preserve">Se prevé que los costos del PAC aumenten a </w:t>
      </w:r>
      <w:r w:rsidR="00F23142">
        <w:t>una tasa anual</w:t>
      </w:r>
      <w:r>
        <w:t xml:space="preserve"> del 3 %, según lo convenido por el Comité Ejecutivo. El nivel total de financiamiento para el PAC es de USD 39,1 millones para el período 2026-2028. El presupuesto del PAC para el año 2026 se presentó a la 97ª reunión</w:t>
      </w:r>
      <w:r w:rsidRPr="00CF388D">
        <w:rPr>
          <w:vertAlign w:val="superscript"/>
        </w:rPr>
        <w:footnoteReference w:id="4"/>
      </w:r>
      <w:r>
        <w:t xml:space="preserve">. </w:t>
      </w:r>
    </w:p>
    <w:p w14:paraId="668F5523" w14:textId="77777777" w:rsidR="00602AF5" w:rsidRPr="00CF388D" w:rsidRDefault="00602AF5" w:rsidP="00602AF5">
      <w:pPr>
        <w:spacing w:after="240"/>
        <w:rPr>
          <w:b/>
          <w:sz w:val="24"/>
          <w:szCs w:val="24"/>
        </w:rPr>
      </w:pPr>
      <w:bookmarkStart w:id="0" w:name="_Hlk117365377"/>
      <w:r>
        <w:rPr>
          <w:b/>
          <w:sz w:val="24"/>
        </w:rPr>
        <w:lastRenderedPageBreak/>
        <w:t>III.</w:t>
      </w:r>
      <w:r>
        <w:rPr>
          <w:b/>
          <w:sz w:val="24"/>
        </w:rPr>
        <w:tab/>
        <w:t>Ajustes propuestos por la Secretaría</w:t>
      </w:r>
    </w:p>
    <w:bookmarkEnd w:id="0"/>
    <w:p w14:paraId="23C21761" w14:textId="552343A8" w:rsidR="00602AF5" w:rsidRPr="00CF388D" w:rsidRDefault="00602AF5" w:rsidP="00602AF5">
      <w:pPr>
        <w:pStyle w:val="Heading1"/>
      </w:pPr>
      <w:r>
        <w:t xml:space="preserve">Los ajustes al plan administrativo del PNUMA para </w:t>
      </w:r>
      <w:r w:rsidR="00374BF2">
        <w:t xml:space="preserve">el período </w:t>
      </w:r>
      <w:r>
        <w:t>2026-2028 se basaron en decisiones pertinentes del Comité Ejecutivo. Al examinar la versión a</w:t>
      </w:r>
      <w:r w:rsidR="00374BF2">
        <w:t>ctualiza</w:t>
      </w:r>
      <w:r>
        <w:t xml:space="preserve">da del plan administrativo del PNUMA para </w:t>
      </w:r>
      <w:r w:rsidR="00374BF2">
        <w:t xml:space="preserve">el período </w:t>
      </w:r>
      <w:r>
        <w:t xml:space="preserve">2026-2028, la Secretaría observó que no se habían incluido los ajustes siguientes: </w:t>
      </w:r>
    </w:p>
    <w:p w14:paraId="68079AC9" w14:textId="51DB0E4E" w:rsidR="00602AF5" w:rsidRPr="00CF388D" w:rsidRDefault="00602AF5" w:rsidP="00602AF5">
      <w:pPr>
        <w:keepNext/>
        <w:rPr>
          <w:b/>
          <w:bCs/>
        </w:rPr>
      </w:pPr>
      <w:r>
        <w:rPr>
          <w:b/>
        </w:rPr>
        <w:t xml:space="preserve">Cuadro 2. Ajustes </w:t>
      </w:r>
      <w:r w:rsidR="00374BF2">
        <w:rPr>
          <w:b/>
        </w:rPr>
        <w:t>a</w:t>
      </w:r>
      <w:r>
        <w:rPr>
          <w:b/>
        </w:rPr>
        <w:t xml:space="preserve">l plan administrativo del PNUMA para </w:t>
      </w:r>
      <w:r w:rsidR="00F23142">
        <w:rPr>
          <w:b/>
        </w:rPr>
        <w:t xml:space="preserve">el período </w:t>
      </w:r>
      <w:r>
        <w:rPr>
          <w:b/>
        </w:rPr>
        <w:t xml:space="preserve">2026-2028 (USD)* </w:t>
      </w:r>
      <w:r w:rsidR="00374BF2">
        <w:rPr>
          <w:b/>
        </w:rPr>
        <w:t xml:space="preserve">– </w:t>
      </w:r>
      <w:r>
        <w:rPr>
          <w:b/>
        </w:rPr>
        <w:t>propuestos por la Secretaría</w:t>
      </w:r>
    </w:p>
    <w:tbl>
      <w:tblPr>
        <w:tblStyle w:val="TableGrid"/>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8"/>
        <w:gridCol w:w="1117"/>
        <w:gridCol w:w="1625"/>
      </w:tblGrid>
      <w:tr w:rsidR="00CF388D" w:rsidRPr="00CF388D" w14:paraId="26B44A3B" w14:textId="77777777" w:rsidTr="00374BF2">
        <w:trPr>
          <w:tblHeader/>
        </w:trPr>
        <w:tc>
          <w:tcPr>
            <w:tcW w:w="6618" w:type="dxa"/>
          </w:tcPr>
          <w:p w14:paraId="06C9F3DB" w14:textId="77777777" w:rsidR="00602AF5" w:rsidRPr="00CF388D" w:rsidRDefault="00602AF5" w:rsidP="00374BF2">
            <w:pPr>
              <w:rPr>
                <w:b/>
                <w:sz w:val="20"/>
                <w:szCs w:val="20"/>
              </w:rPr>
            </w:pPr>
            <w:r>
              <w:rPr>
                <w:b/>
                <w:sz w:val="20"/>
              </w:rPr>
              <w:t>Ajuste</w:t>
            </w:r>
          </w:p>
        </w:tc>
        <w:tc>
          <w:tcPr>
            <w:tcW w:w="1117" w:type="dxa"/>
          </w:tcPr>
          <w:p w14:paraId="0C9CBC14" w14:textId="3FD4B39A" w:rsidR="00602AF5" w:rsidRPr="00CF388D" w:rsidRDefault="00602AF5" w:rsidP="00374BF2">
            <w:pPr>
              <w:jc w:val="center"/>
              <w:rPr>
                <w:b/>
                <w:sz w:val="20"/>
                <w:szCs w:val="20"/>
              </w:rPr>
            </w:pPr>
            <w:r>
              <w:rPr>
                <w:b/>
                <w:sz w:val="20"/>
              </w:rPr>
              <w:t>2026-2028</w:t>
            </w:r>
          </w:p>
        </w:tc>
        <w:tc>
          <w:tcPr>
            <w:tcW w:w="1625" w:type="dxa"/>
          </w:tcPr>
          <w:p w14:paraId="73E8027C" w14:textId="01CC7AD5" w:rsidR="00602AF5" w:rsidRPr="00CF388D" w:rsidRDefault="00602AF5" w:rsidP="00374BF2">
            <w:pPr>
              <w:jc w:val="center"/>
              <w:rPr>
                <w:b/>
                <w:sz w:val="20"/>
                <w:szCs w:val="20"/>
              </w:rPr>
            </w:pPr>
            <w:r>
              <w:rPr>
                <w:b/>
                <w:sz w:val="20"/>
              </w:rPr>
              <w:t>Después de 2028</w:t>
            </w:r>
          </w:p>
        </w:tc>
      </w:tr>
      <w:tr w:rsidR="00CF388D" w:rsidRPr="00CF388D" w14:paraId="115923F8" w14:textId="77777777" w:rsidTr="00374BF2">
        <w:tc>
          <w:tcPr>
            <w:tcW w:w="6618" w:type="dxa"/>
          </w:tcPr>
          <w:p w14:paraId="6D908496" w14:textId="6C0B891E" w:rsidR="00602AF5" w:rsidRPr="00CF388D" w:rsidRDefault="001546F1" w:rsidP="00374BF2">
            <w:pPr>
              <w:rPr>
                <w:b/>
                <w:sz w:val="20"/>
                <w:szCs w:val="20"/>
              </w:rPr>
            </w:pPr>
            <w:r>
              <w:rPr>
                <w:sz w:val="20"/>
              </w:rPr>
              <w:t>Valores de los acuerdos plurianuales para reflejar los montos reales aprobados en los acuerdos, incluidos los tramos de los acuerdos plurianuales: i) </w:t>
            </w:r>
            <w:r w:rsidR="00374BF2">
              <w:rPr>
                <w:sz w:val="20"/>
              </w:rPr>
              <w:t xml:space="preserve">que están </w:t>
            </w:r>
            <w:r>
              <w:rPr>
                <w:sz w:val="20"/>
              </w:rPr>
              <w:t>pendientes pero que no se han presentado a la 97ª reunión; y ii) que se retiran porque se han presentado a la 97ª reunión</w:t>
            </w:r>
          </w:p>
        </w:tc>
        <w:tc>
          <w:tcPr>
            <w:tcW w:w="1117" w:type="dxa"/>
          </w:tcPr>
          <w:p w14:paraId="5C3B4F73" w14:textId="679F381E" w:rsidR="00602AF5" w:rsidRPr="00CF388D" w:rsidRDefault="00B44417" w:rsidP="00374BF2">
            <w:pPr>
              <w:jc w:val="right"/>
              <w:rPr>
                <w:sz w:val="20"/>
                <w:szCs w:val="20"/>
              </w:rPr>
            </w:pPr>
            <w:r>
              <w:rPr>
                <w:sz w:val="20"/>
              </w:rPr>
              <w:t>104.694</w:t>
            </w:r>
          </w:p>
        </w:tc>
        <w:tc>
          <w:tcPr>
            <w:tcW w:w="1625" w:type="dxa"/>
          </w:tcPr>
          <w:p w14:paraId="6A63CA6A" w14:textId="6238BDB3" w:rsidR="00602AF5" w:rsidRPr="00CF388D" w:rsidRDefault="00B44417" w:rsidP="00374BF2">
            <w:pPr>
              <w:jc w:val="right"/>
              <w:rPr>
                <w:sz w:val="20"/>
                <w:szCs w:val="20"/>
              </w:rPr>
            </w:pPr>
            <w:r>
              <w:rPr>
                <w:sz w:val="20"/>
              </w:rPr>
              <w:t>0</w:t>
            </w:r>
          </w:p>
        </w:tc>
      </w:tr>
      <w:tr w:rsidR="00CF388D" w:rsidRPr="00CF388D" w14:paraId="24A4AE13" w14:textId="77777777" w:rsidTr="00374BF2">
        <w:tc>
          <w:tcPr>
            <w:tcW w:w="6618" w:type="dxa"/>
          </w:tcPr>
          <w:p w14:paraId="287B225A" w14:textId="1FFBDE97" w:rsidR="00F071A7" w:rsidRPr="00B85E6A" w:rsidRDefault="00F071A7" w:rsidP="00F23142">
            <w:pPr>
              <w:jc w:val="left"/>
              <w:rPr>
                <w:spacing w:val="-4"/>
                <w:sz w:val="20"/>
                <w:szCs w:val="20"/>
              </w:rPr>
            </w:pPr>
            <w:r w:rsidRPr="00B85E6A">
              <w:rPr>
                <w:spacing w:val="-4"/>
                <w:sz w:val="20"/>
              </w:rPr>
              <w:t>Preparación de proyectos para la etapa II de los PGEH presentad</w:t>
            </w:r>
            <w:r w:rsidR="00F23142">
              <w:rPr>
                <w:spacing w:val="-4"/>
                <w:sz w:val="20"/>
              </w:rPr>
              <w:t>a</w:t>
            </w:r>
            <w:r w:rsidRPr="00B85E6A">
              <w:rPr>
                <w:spacing w:val="-4"/>
                <w:sz w:val="20"/>
              </w:rPr>
              <w:t xml:space="preserve"> a la 97ª reunión</w:t>
            </w:r>
          </w:p>
        </w:tc>
        <w:tc>
          <w:tcPr>
            <w:tcW w:w="1117" w:type="dxa"/>
          </w:tcPr>
          <w:p w14:paraId="16E1A107" w14:textId="77777777" w:rsidR="00F071A7" w:rsidRPr="00CF388D" w:rsidRDefault="00F071A7" w:rsidP="00374BF2">
            <w:pPr>
              <w:jc w:val="right"/>
              <w:rPr>
                <w:sz w:val="20"/>
                <w:szCs w:val="20"/>
              </w:rPr>
            </w:pPr>
            <w:r>
              <w:rPr>
                <w:sz w:val="20"/>
              </w:rPr>
              <w:t>(28.250)</w:t>
            </w:r>
          </w:p>
        </w:tc>
        <w:tc>
          <w:tcPr>
            <w:tcW w:w="1625" w:type="dxa"/>
          </w:tcPr>
          <w:p w14:paraId="68EB4436" w14:textId="77777777" w:rsidR="00F071A7" w:rsidRPr="00CF388D" w:rsidRDefault="00F071A7" w:rsidP="00374BF2">
            <w:pPr>
              <w:jc w:val="right"/>
              <w:rPr>
                <w:sz w:val="20"/>
                <w:szCs w:val="20"/>
              </w:rPr>
            </w:pPr>
            <w:r>
              <w:rPr>
                <w:sz w:val="20"/>
              </w:rPr>
              <w:t>0</w:t>
            </w:r>
          </w:p>
        </w:tc>
      </w:tr>
      <w:tr w:rsidR="00CF388D" w:rsidRPr="00CF388D" w14:paraId="24B235BB" w14:textId="77777777" w:rsidTr="00374BF2">
        <w:tc>
          <w:tcPr>
            <w:tcW w:w="6618" w:type="dxa"/>
          </w:tcPr>
          <w:p w14:paraId="5CB6DC4D" w14:textId="7FE42BC5" w:rsidR="00F071A7" w:rsidRPr="00CF388D" w:rsidRDefault="00F071A7" w:rsidP="00F23142">
            <w:pPr>
              <w:jc w:val="left"/>
              <w:rPr>
                <w:sz w:val="20"/>
                <w:szCs w:val="20"/>
              </w:rPr>
            </w:pPr>
            <w:r>
              <w:rPr>
                <w:sz w:val="20"/>
              </w:rPr>
              <w:t>Preparación de proyectos para la etapa III de los PGEH ya aprobad</w:t>
            </w:r>
            <w:r w:rsidR="00F23142">
              <w:rPr>
                <w:sz w:val="20"/>
              </w:rPr>
              <w:t>a</w:t>
            </w:r>
          </w:p>
        </w:tc>
        <w:tc>
          <w:tcPr>
            <w:tcW w:w="1117" w:type="dxa"/>
          </w:tcPr>
          <w:p w14:paraId="6E2E6829" w14:textId="77777777" w:rsidR="00F071A7" w:rsidRPr="00CF388D" w:rsidRDefault="00F071A7" w:rsidP="00374BF2">
            <w:pPr>
              <w:jc w:val="right"/>
              <w:rPr>
                <w:sz w:val="20"/>
                <w:szCs w:val="20"/>
              </w:rPr>
            </w:pPr>
            <w:r>
              <w:rPr>
                <w:sz w:val="20"/>
              </w:rPr>
              <w:t>(33.900)</w:t>
            </w:r>
          </w:p>
        </w:tc>
        <w:tc>
          <w:tcPr>
            <w:tcW w:w="1625" w:type="dxa"/>
          </w:tcPr>
          <w:p w14:paraId="055EE635" w14:textId="77777777" w:rsidR="00F071A7" w:rsidRPr="00CF388D" w:rsidRDefault="00F071A7" w:rsidP="00374BF2">
            <w:pPr>
              <w:jc w:val="right"/>
              <w:rPr>
                <w:sz w:val="20"/>
                <w:szCs w:val="20"/>
              </w:rPr>
            </w:pPr>
            <w:r>
              <w:rPr>
                <w:sz w:val="20"/>
              </w:rPr>
              <w:t>0</w:t>
            </w:r>
          </w:p>
        </w:tc>
      </w:tr>
      <w:tr w:rsidR="00CF388D" w:rsidRPr="00CF388D" w14:paraId="4E94DC61" w14:textId="77777777" w:rsidTr="00374BF2">
        <w:trPr>
          <w:trHeight w:val="143"/>
        </w:trPr>
        <w:tc>
          <w:tcPr>
            <w:tcW w:w="6618" w:type="dxa"/>
          </w:tcPr>
          <w:p w14:paraId="73CCFC93" w14:textId="6ECD5FAB" w:rsidR="00454737" w:rsidRPr="00CF388D" w:rsidRDefault="00454737" w:rsidP="0072588C">
            <w:pPr>
              <w:rPr>
                <w:sz w:val="20"/>
                <w:szCs w:val="20"/>
              </w:rPr>
            </w:pPr>
            <w:r>
              <w:rPr>
                <w:sz w:val="20"/>
              </w:rPr>
              <w:t>Eficiencia energética para países BVC, de conformidad con la decisión 89/6, presentad</w:t>
            </w:r>
            <w:r w:rsidR="0072588C">
              <w:rPr>
                <w:sz w:val="20"/>
              </w:rPr>
              <w:t>a</w:t>
            </w:r>
            <w:r>
              <w:rPr>
                <w:sz w:val="20"/>
              </w:rPr>
              <w:t xml:space="preserve"> a la 97</w:t>
            </w:r>
            <w:r>
              <w:rPr>
                <w:sz w:val="20"/>
                <w:vertAlign w:val="superscript"/>
              </w:rPr>
              <w:t>ª</w:t>
            </w:r>
            <w:r>
              <w:rPr>
                <w:sz w:val="20"/>
              </w:rPr>
              <w:t xml:space="preserve"> reunión</w:t>
            </w:r>
          </w:p>
        </w:tc>
        <w:tc>
          <w:tcPr>
            <w:tcW w:w="1117" w:type="dxa"/>
          </w:tcPr>
          <w:p w14:paraId="1A0290E9" w14:textId="77777777" w:rsidR="00454737" w:rsidRPr="00CF388D" w:rsidRDefault="00454737" w:rsidP="00374BF2">
            <w:pPr>
              <w:jc w:val="right"/>
              <w:rPr>
                <w:sz w:val="20"/>
                <w:szCs w:val="20"/>
              </w:rPr>
            </w:pPr>
            <w:r>
              <w:rPr>
                <w:sz w:val="20"/>
              </w:rPr>
              <w:t>(174.020)</w:t>
            </w:r>
          </w:p>
        </w:tc>
        <w:tc>
          <w:tcPr>
            <w:tcW w:w="1625" w:type="dxa"/>
          </w:tcPr>
          <w:p w14:paraId="6F7DF7B5" w14:textId="77777777" w:rsidR="00454737" w:rsidRPr="00CF388D" w:rsidRDefault="00454737" w:rsidP="00374BF2">
            <w:pPr>
              <w:jc w:val="right"/>
              <w:rPr>
                <w:sz w:val="20"/>
                <w:szCs w:val="20"/>
              </w:rPr>
            </w:pPr>
            <w:r>
              <w:rPr>
                <w:sz w:val="20"/>
              </w:rPr>
              <w:t>0</w:t>
            </w:r>
          </w:p>
        </w:tc>
      </w:tr>
      <w:tr w:rsidR="00CF388D" w:rsidRPr="00CF388D" w14:paraId="3F04EACF" w14:textId="77777777" w:rsidTr="00374BF2">
        <w:tc>
          <w:tcPr>
            <w:tcW w:w="6618" w:type="dxa"/>
          </w:tcPr>
          <w:p w14:paraId="733761B4" w14:textId="17E78ED1" w:rsidR="00D961C7" w:rsidRPr="00CF388D" w:rsidRDefault="00D961C7" w:rsidP="0072588C">
            <w:pPr>
              <w:jc w:val="left"/>
              <w:rPr>
                <w:sz w:val="20"/>
                <w:szCs w:val="20"/>
              </w:rPr>
            </w:pPr>
            <w:r>
              <w:rPr>
                <w:sz w:val="20"/>
              </w:rPr>
              <w:t>Preparación de proyectos para la etapa I de los P</w:t>
            </w:r>
            <w:r w:rsidR="008D3C2C">
              <w:rPr>
                <w:sz w:val="20"/>
              </w:rPr>
              <w:t>AK</w:t>
            </w:r>
            <w:r>
              <w:rPr>
                <w:sz w:val="20"/>
              </w:rPr>
              <w:t xml:space="preserve"> presentad</w:t>
            </w:r>
            <w:r w:rsidR="0072588C">
              <w:rPr>
                <w:sz w:val="20"/>
              </w:rPr>
              <w:t>a</w:t>
            </w:r>
            <w:r>
              <w:rPr>
                <w:sz w:val="20"/>
              </w:rPr>
              <w:t xml:space="preserve"> a la 97ª reunión</w:t>
            </w:r>
          </w:p>
        </w:tc>
        <w:tc>
          <w:tcPr>
            <w:tcW w:w="1117" w:type="dxa"/>
          </w:tcPr>
          <w:p w14:paraId="2EAC38D8" w14:textId="77777777" w:rsidR="00D961C7" w:rsidRPr="00CF388D" w:rsidRDefault="00D961C7" w:rsidP="00374BF2">
            <w:pPr>
              <w:jc w:val="right"/>
              <w:rPr>
                <w:sz w:val="20"/>
                <w:szCs w:val="20"/>
              </w:rPr>
            </w:pPr>
            <w:r>
              <w:rPr>
                <w:sz w:val="20"/>
              </w:rPr>
              <w:t>(439.570)</w:t>
            </w:r>
          </w:p>
        </w:tc>
        <w:tc>
          <w:tcPr>
            <w:tcW w:w="1625" w:type="dxa"/>
          </w:tcPr>
          <w:p w14:paraId="200D7317" w14:textId="77777777" w:rsidR="00D961C7" w:rsidRPr="00CF388D" w:rsidRDefault="00D961C7" w:rsidP="00374BF2">
            <w:pPr>
              <w:jc w:val="right"/>
              <w:rPr>
                <w:sz w:val="20"/>
                <w:szCs w:val="20"/>
              </w:rPr>
            </w:pPr>
            <w:r>
              <w:rPr>
                <w:sz w:val="20"/>
              </w:rPr>
              <w:t>0</w:t>
            </w:r>
          </w:p>
        </w:tc>
      </w:tr>
      <w:tr w:rsidR="00CF388D" w:rsidRPr="00CF388D" w14:paraId="76AE8A21" w14:textId="77777777" w:rsidTr="00374BF2">
        <w:tc>
          <w:tcPr>
            <w:tcW w:w="6618" w:type="dxa"/>
          </w:tcPr>
          <w:p w14:paraId="2536F375" w14:textId="5DCCF2CF" w:rsidR="00F071A7" w:rsidRPr="00CF388D" w:rsidRDefault="008D3C2C" w:rsidP="00374BF2">
            <w:pPr>
              <w:jc w:val="left"/>
              <w:rPr>
                <w:sz w:val="20"/>
                <w:szCs w:val="20"/>
              </w:rPr>
            </w:pPr>
            <w:r>
              <w:rPr>
                <w:sz w:val="20"/>
              </w:rPr>
              <w:t xml:space="preserve">Valores de la etapa I de los </w:t>
            </w:r>
            <w:r w:rsidR="00F071A7">
              <w:rPr>
                <w:sz w:val="20"/>
              </w:rPr>
              <w:t>P</w:t>
            </w:r>
            <w:r>
              <w:rPr>
                <w:sz w:val="20"/>
              </w:rPr>
              <w:t>AK</w:t>
            </w:r>
            <w:r w:rsidR="00F071A7">
              <w:rPr>
                <w:sz w:val="20"/>
              </w:rPr>
              <w:t xml:space="preserve"> para reflejar los proyectos de acuerdo presentados a la 97</w:t>
            </w:r>
            <w:r w:rsidR="00F071A7">
              <w:rPr>
                <w:sz w:val="20"/>
                <w:vertAlign w:val="superscript"/>
              </w:rPr>
              <w:t>a</w:t>
            </w:r>
            <w:r w:rsidR="00F071A7">
              <w:rPr>
                <w:sz w:val="20"/>
              </w:rPr>
              <w:t> reunión</w:t>
            </w:r>
          </w:p>
        </w:tc>
        <w:tc>
          <w:tcPr>
            <w:tcW w:w="1117" w:type="dxa"/>
          </w:tcPr>
          <w:p w14:paraId="48269D94" w14:textId="77777777" w:rsidR="00F071A7" w:rsidRPr="00CF388D" w:rsidRDefault="00F071A7" w:rsidP="00374BF2">
            <w:pPr>
              <w:jc w:val="right"/>
              <w:rPr>
                <w:sz w:val="20"/>
                <w:szCs w:val="20"/>
              </w:rPr>
            </w:pPr>
            <w:r>
              <w:rPr>
                <w:sz w:val="20"/>
              </w:rPr>
              <w:t>(4.122)</w:t>
            </w:r>
          </w:p>
        </w:tc>
        <w:tc>
          <w:tcPr>
            <w:tcW w:w="1625" w:type="dxa"/>
          </w:tcPr>
          <w:p w14:paraId="0C781AF3" w14:textId="77777777" w:rsidR="00F071A7" w:rsidRPr="00CF388D" w:rsidRDefault="00F071A7" w:rsidP="00374BF2">
            <w:pPr>
              <w:jc w:val="right"/>
              <w:rPr>
                <w:sz w:val="20"/>
                <w:szCs w:val="20"/>
              </w:rPr>
            </w:pPr>
            <w:r>
              <w:rPr>
                <w:sz w:val="20"/>
              </w:rPr>
              <w:t>(1.721)</w:t>
            </w:r>
          </w:p>
        </w:tc>
      </w:tr>
    </w:tbl>
    <w:p w14:paraId="7D04DAF8" w14:textId="658D3010" w:rsidR="00602AF5" w:rsidRPr="00CF388D" w:rsidRDefault="00602AF5" w:rsidP="00602AF5">
      <w:pPr>
        <w:rPr>
          <w:sz w:val="19"/>
          <w:szCs w:val="19"/>
        </w:rPr>
      </w:pPr>
      <w:r>
        <w:rPr>
          <w:sz w:val="19"/>
        </w:rPr>
        <w:t xml:space="preserve">* Incluidos gastos de apoyo </w:t>
      </w:r>
      <w:r w:rsidR="00374BF2">
        <w:rPr>
          <w:sz w:val="19"/>
        </w:rPr>
        <w:t>cuando corresponda.</w:t>
      </w:r>
    </w:p>
    <w:p w14:paraId="3E51466B" w14:textId="77777777" w:rsidR="00602AF5" w:rsidRPr="00CF388D" w:rsidRDefault="00602AF5" w:rsidP="00602AF5">
      <w:pPr>
        <w:pStyle w:val="Heading1"/>
        <w:widowControl w:val="0"/>
        <w:numPr>
          <w:ilvl w:val="0"/>
          <w:numId w:val="0"/>
        </w:numPr>
        <w:spacing w:after="0"/>
      </w:pPr>
    </w:p>
    <w:p w14:paraId="4F07471E" w14:textId="7B228895" w:rsidR="00602AF5" w:rsidRPr="00CF388D" w:rsidRDefault="00602AF5" w:rsidP="00602AF5">
      <w:pPr>
        <w:pStyle w:val="Heading1"/>
      </w:pPr>
      <w:r>
        <w:t xml:space="preserve">En el cuadro 3 se presentan los resultados de los ajustes propuestos por la Secretaría al plan administrativo del PNUMA para </w:t>
      </w:r>
      <w:r w:rsidR="00374BF2">
        <w:t xml:space="preserve">el período </w:t>
      </w:r>
      <w:r>
        <w:t xml:space="preserve">2026-2028, que también se abordan en el contexto del plan administrativo </w:t>
      </w:r>
      <w:r w:rsidR="00374BF2">
        <w:t>co</w:t>
      </w:r>
      <w:r>
        <w:t>n</w:t>
      </w:r>
      <w:r w:rsidR="00374BF2">
        <w:t>solida</w:t>
      </w:r>
      <w:r>
        <w:t xml:space="preserve">do del Fondo Multilateral para </w:t>
      </w:r>
      <w:r w:rsidR="00374BF2">
        <w:t xml:space="preserve">el período </w:t>
      </w:r>
      <w:r>
        <w:t>2026-2028</w:t>
      </w:r>
      <w:r w:rsidRPr="00CF388D">
        <w:rPr>
          <w:rStyle w:val="FootnoteReference"/>
        </w:rPr>
        <w:footnoteReference w:id="5"/>
      </w:r>
      <w:r>
        <w:t xml:space="preserve">. </w:t>
      </w:r>
    </w:p>
    <w:p w14:paraId="65403857" w14:textId="22D18F14" w:rsidR="00602AF5" w:rsidRPr="00CF388D" w:rsidRDefault="00602AF5" w:rsidP="00602AF5">
      <w:pPr>
        <w:keepNext/>
        <w:jc w:val="left"/>
        <w:rPr>
          <w:b/>
        </w:rPr>
      </w:pPr>
      <w:r w:rsidRPr="00B85E6A">
        <w:rPr>
          <w:b/>
        </w:rPr>
        <w:t>Cuadro 3.</w:t>
      </w:r>
      <w:r>
        <w:rPr>
          <w:b/>
        </w:rPr>
        <w:t xml:space="preserve"> Asignación de recursos en el plan administrativo ajustado del PNUMA para </w:t>
      </w:r>
      <w:r w:rsidR="00374BF2">
        <w:rPr>
          <w:b/>
        </w:rPr>
        <w:t xml:space="preserve">el período </w:t>
      </w:r>
      <w:r>
        <w:rPr>
          <w:b/>
        </w:rPr>
        <w:t>2026-2028 (USD)*</w:t>
      </w:r>
    </w:p>
    <w:tbl>
      <w:tblPr>
        <w:tblW w:w="9698" w:type="dxa"/>
        <w:tblLayout w:type="fixed"/>
        <w:tblCellMar>
          <w:left w:w="115" w:type="dxa"/>
          <w:right w:w="29" w:type="dxa"/>
        </w:tblCellMar>
        <w:tblLook w:val="04A0" w:firstRow="1" w:lastRow="0" w:firstColumn="1" w:lastColumn="0" w:noHBand="0" w:noVBand="1"/>
      </w:tblPr>
      <w:tblGrid>
        <w:gridCol w:w="3775"/>
        <w:gridCol w:w="1087"/>
        <w:gridCol w:w="1181"/>
        <w:gridCol w:w="1182"/>
        <w:gridCol w:w="1140"/>
        <w:gridCol w:w="1333"/>
      </w:tblGrid>
      <w:tr w:rsidR="00CF388D" w:rsidRPr="00CF388D" w14:paraId="645BE0C1" w14:textId="77777777" w:rsidTr="008D3C2C">
        <w:trPr>
          <w:trHeight w:val="301"/>
          <w:tblHeader/>
        </w:trPr>
        <w:tc>
          <w:tcPr>
            <w:tcW w:w="3775" w:type="dxa"/>
            <w:tcBorders>
              <w:top w:val="single" w:sz="4" w:space="0" w:color="auto"/>
              <w:left w:val="single" w:sz="4" w:space="0" w:color="auto"/>
              <w:bottom w:val="single" w:sz="4" w:space="0" w:color="auto"/>
              <w:right w:val="single" w:sz="4" w:space="0" w:color="auto"/>
            </w:tcBorders>
            <w:tcMar>
              <w:left w:w="58" w:type="dxa"/>
              <w:right w:w="29" w:type="dxa"/>
            </w:tcMar>
            <w:hideMark/>
          </w:tcPr>
          <w:p w14:paraId="1EE8DA5F" w14:textId="77777777" w:rsidR="009210A0" w:rsidRPr="00CF388D" w:rsidRDefault="009210A0" w:rsidP="009210A0">
            <w:pPr>
              <w:jc w:val="left"/>
              <w:rPr>
                <w:rFonts w:asciiTheme="majorBidi" w:hAnsiTheme="majorBidi" w:cstheme="majorBidi"/>
                <w:b/>
                <w:bCs/>
                <w:sz w:val="20"/>
                <w:szCs w:val="20"/>
              </w:rPr>
            </w:pPr>
            <w:r>
              <w:rPr>
                <w:rFonts w:asciiTheme="majorBidi" w:hAnsiTheme="majorBidi"/>
                <w:b/>
                <w:sz w:val="20"/>
              </w:rPr>
              <w:t>Descripción </w:t>
            </w:r>
          </w:p>
        </w:tc>
        <w:tc>
          <w:tcPr>
            <w:tcW w:w="1087" w:type="dxa"/>
            <w:tcBorders>
              <w:top w:val="single" w:sz="4" w:space="0" w:color="auto"/>
              <w:left w:val="nil"/>
              <w:bottom w:val="single" w:sz="4" w:space="0" w:color="auto"/>
              <w:right w:val="single" w:sz="4" w:space="0" w:color="auto"/>
            </w:tcBorders>
            <w:tcMar>
              <w:left w:w="58" w:type="dxa"/>
              <w:right w:w="29" w:type="dxa"/>
            </w:tcMar>
            <w:hideMark/>
          </w:tcPr>
          <w:p w14:paraId="660E22BC" w14:textId="77777777" w:rsidR="009210A0" w:rsidRPr="00CF388D" w:rsidRDefault="009210A0" w:rsidP="009210A0">
            <w:pPr>
              <w:jc w:val="center"/>
              <w:rPr>
                <w:rFonts w:asciiTheme="majorBidi" w:hAnsiTheme="majorBidi" w:cstheme="majorBidi"/>
                <w:b/>
                <w:bCs/>
                <w:sz w:val="20"/>
                <w:szCs w:val="20"/>
              </w:rPr>
            </w:pPr>
            <w:r>
              <w:rPr>
                <w:rFonts w:asciiTheme="majorBidi" w:hAnsiTheme="majorBidi"/>
                <w:b/>
                <w:sz w:val="20"/>
              </w:rPr>
              <w:t>2026</w:t>
            </w:r>
          </w:p>
        </w:tc>
        <w:tc>
          <w:tcPr>
            <w:tcW w:w="1181" w:type="dxa"/>
            <w:tcBorders>
              <w:top w:val="single" w:sz="4" w:space="0" w:color="auto"/>
              <w:left w:val="nil"/>
              <w:bottom w:val="single" w:sz="4" w:space="0" w:color="auto"/>
              <w:right w:val="single" w:sz="4" w:space="0" w:color="auto"/>
            </w:tcBorders>
            <w:tcMar>
              <w:left w:w="58" w:type="dxa"/>
              <w:right w:w="29" w:type="dxa"/>
            </w:tcMar>
            <w:hideMark/>
          </w:tcPr>
          <w:p w14:paraId="4757774A" w14:textId="77777777" w:rsidR="009210A0" w:rsidRPr="00CF388D" w:rsidRDefault="009210A0" w:rsidP="009210A0">
            <w:pPr>
              <w:jc w:val="center"/>
              <w:rPr>
                <w:rFonts w:asciiTheme="majorBidi" w:hAnsiTheme="majorBidi" w:cstheme="majorBidi"/>
                <w:b/>
                <w:bCs/>
                <w:sz w:val="20"/>
                <w:szCs w:val="20"/>
              </w:rPr>
            </w:pPr>
            <w:r>
              <w:rPr>
                <w:rFonts w:asciiTheme="majorBidi" w:hAnsiTheme="majorBidi"/>
                <w:b/>
                <w:sz w:val="20"/>
              </w:rPr>
              <w:t>2027</w:t>
            </w:r>
          </w:p>
        </w:tc>
        <w:tc>
          <w:tcPr>
            <w:tcW w:w="1182" w:type="dxa"/>
            <w:tcBorders>
              <w:top w:val="single" w:sz="4" w:space="0" w:color="auto"/>
              <w:left w:val="nil"/>
              <w:bottom w:val="single" w:sz="4" w:space="0" w:color="auto"/>
              <w:right w:val="single" w:sz="4" w:space="0" w:color="auto"/>
            </w:tcBorders>
            <w:tcMar>
              <w:left w:w="58" w:type="dxa"/>
              <w:right w:w="29" w:type="dxa"/>
            </w:tcMar>
            <w:hideMark/>
          </w:tcPr>
          <w:p w14:paraId="0188286E" w14:textId="77777777" w:rsidR="009210A0" w:rsidRPr="00CF388D" w:rsidRDefault="009210A0" w:rsidP="009210A0">
            <w:pPr>
              <w:jc w:val="center"/>
              <w:rPr>
                <w:rFonts w:asciiTheme="majorBidi" w:hAnsiTheme="majorBidi" w:cstheme="majorBidi"/>
                <w:b/>
                <w:bCs/>
                <w:sz w:val="20"/>
                <w:szCs w:val="20"/>
              </w:rPr>
            </w:pPr>
            <w:r>
              <w:rPr>
                <w:rFonts w:asciiTheme="majorBidi" w:hAnsiTheme="majorBidi"/>
                <w:b/>
                <w:sz w:val="20"/>
              </w:rPr>
              <w:t>2028</w:t>
            </w:r>
          </w:p>
        </w:tc>
        <w:tc>
          <w:tcPr>
            <w:tcW w:w="1140" w:type="dxa"/>
            <w:tcBorders>
              <w:top w:val="single" w:sz="4" w:space="0" w:color="auto"/>
              <w:left w:val="nil"/>
              <w:bottom w:val="single" w:sz="4" w:space="0" w:color="auto"/>
              <w:right w:val="single" w:sz="4" w:space="0" w:color="auto"/>
            </w:tcBorders>
            <w:tcMar>
              <w:left w:w="58" w:type="dxa"/>
              <w:right w:w="29" w:type="dxa"/>
            </w:tcMar>
            <w:hideMark/>
          </w:tcPr>
          <w:p w14:paraId="2F5B912B" w14:textId="77777777" w:rsidR="009210A0" w:rsidRPr="00CF388D" w:rsidRDefault="009210A0" w:rsidP="009210A0">
            <w:pPr>
              <w:jc w:val="center"/>
              <w:rPr>
                <w:rFonts w:asciiTheme="majorBidi" w:hAnsiTheme="majorBidi" w:cstheme="majorBidi"/>
                <w:b/>
                <w:bCs/>
                <w:sz w:val="20"/>
                <w:szCs w:val="20"/>
              </w:rPr>
            </w:pPr>
            <w:r>
              <w:rPr>
                <w:rFonts w:asciiTheme="majorBidi" w:hAnsiTheme="majorBidi"/>
                <w:b/>
                <w:sz w:val="20"/>
              </w:rPr>
              <w:t xml:space="preserve">Total </w:t>
            </w:r>
          </w:p>
          <w:p w14:paraId="5F83AF91" w14:textId="5B00236A" w:rsidR="009210A0" w:rsidRPr="00CF388D" w:rsidRDefault="009210A0" w:rsidP="009210A0">
            <w:pPr>
              <w:jc w:val="center"/>
              <w:rPr>
                <w:rFonts w:asciiTheme="majorBidi" w:hAnsiTheme="majorBidi" w:cstheme="majorBidi"/>
                <w:b/>
                <w:bCs/>
                <w:sz w:val="20"/>
                <w:szCs w:val="20"/>
              </w:rPr>
            </w:pPr>
            <w:r>
              <w:rPr>
                <w:rFonts w:asciiTheme="majorBidi" w:hAnsiTheme="majorBidi"/>
                <w:b/>
                <w:sz w:val="20"/>
              </w:rPr>
              <w:t>(2026-2028)</w:t>
            </w:r>
          </w:p>
        </w:tc>
        <w:tc>
          <w:tcPr>
            <w:tcW w:w="1333" w:type="dxa"/>
            <w:tcBorders>
              <w:top w:val="single" w:sz="4" w:space="0" w:color="auto"/>
              <w:left w:val="nil"/>
              <w:bottom w:val="single" w:sz="4" w:space="0" w:color="auto"/>
              <w:right w:val="single" w:sz="4" w:space="0" w:color="auto"/>
            </w:tcBorders>
            <w:tcMar>
              <w:left w:w="58" w:type="dxa"/>
              <w:right w:w="29" w:type="dxa"/>
            </w:tcMar>
            <w:hideMark/>
          </w:tcPr>
          <w:p w14:paraId="59F342F0" w14:textId="77777777" w:rsidR="009210A0" w:rsidRPr="00CF388D" w:rsidRDefault="009210A0" w:rsidP="009210A0">
            <w:pPr>
              <w:jc w:val="center"/>
              <w:rPr>
                <w:rFonts w:asciiTheme="majorBidi" w:hAnsiTheme="majorBidi" w:cstheme="majorBidi"/>
                <w:b/>
                <w:bCs/>
                <w:sz w:val="20"/>
                <w:szCs w:val="20"/>
              </w:rPr>
            </w:pPr>
            <w:r>
              <w:rPr>
                <w:rFonts w:asciiTheme="majorBidi" w:hAnsiTheme="majorBidi"/>
                <w:b/>
                <w:sz w:val="20"/>
              </w:rPr>
              <w:t>Total después de 2028</w:t>
            </w:r>
          </w:p>
        </w:tc>
      </w:tr>
      <w:tr w:rsidR="00CF388D" w:rsidRPr="00CF388D" w14:paraId="6FC814A9" w14:textId="77777777" w:rsidTr="008D3C2C">
        <w:trPr>
          <w:trHeight w:val="109"/>
        </w:trPr>
        <w:tc>
          <w:tcPr>
            <w:tcW w:w="9698" w:type="dxa"/>
            <w:gridSpan w:val="6"/>
            <w:tcBorders>
              <w:top w:val="single" w:sz="4" w:space="0" w:color="auto"/>
              <w:left w:val="single" w:sz="4" w:space="0" w:color="auto"/>
              <w:bottom w:val="single" w:sz="4" w:space="0" w:color="auto"/>
              <w:right w:val="single" w:sz="4" w:space="0" w:color="auto"/>
            </w:tcBorders>
            <w:noWrap/>
            <w:tcMar>
              <w:left w:w="58" w:type="dxa"/>
            </w:tcMar>
            <w:hideMark/>
          </w:tcPr>
          <w:p w14:paraId="33CA37B6" w14:textId="77777777" w:rsidR="009210A0" w:rsidRPr="00CF388D" w:rsidRDefault="009210A0" w:rsidP="009210A0">
            <w:pPr>
              <w:jc w:val="left"/>
              <w:rPr>
                <w:rFonts w:asciiTheme="majorBidi" w:hAnsiTheme="majorBidi" w:cstheme="majorBidi"/>
                <w:b/>
                <w:bCs/>
                <w:sz w:val="20"/>
                <w:szCs w:val="20"/>
              </w:rPr>
            </w:pPr>
            <w:r>
              <w:rPr>
                <w:rFonts w:asciiTheme="majorBidi" w:hAnsiTheme="majorBidi"/>
                <w:b/>
                <w:sz w:val="20"/>
              </w:rPr>
              <w:t>Actividades relativas a los HCFC</w:t>
            </w:r>
          </w:p>
        </w:tc>
      </w:tr>
      <w:tr w:rsidR="00CF388D" w:rsidRPr="00CF388D" w14:paraId="5B1A30AA" w14:textId="77777777" w:rsidTr="008D3C2C">
        <w:trPr>
          <w:trHeight w:val="43"/>
        </w:trPr>
        <w:tc>
          <w:tcPr>
            <w:tcW w:w="3775" w:type="dxa"/>
            <w:tcBorders>
              <w:top w:val="nil"/>
              <w:left w:val="single" w:sz="4" w:space="0" w:color="auto"/>
              <w:bottom w:val="single" w:sz="4" w:space="0" w:color="auto"/>
              <w:right w:val="single" w:sz="4" w:space="0" w:color="auto"/>
            </w:tcBorders>
            <w:noWrap/>
            <w:tcMar>
              <w:left w:w="58" w:type="dxa"/>
            </w:tcMar>
            <w:hideMark/>
          </w:tcPr>
          <w:p w14:paraId="69CD8589" w14:textId="7AD67D86" w:rsidR="009210A0" w:rsidRPr="00CF388D" w:rsidRDefault="009210A0" w:rsidP="009210A0">
            <w:pPr>
              <w:jc w:val="left"/>
              <w:rPr>
                <w:rFonts w:asciiTheme="majorBidi" w:hAnsiTheme="majorBidi" w:cstheme="majorBidi"/>
                <w:sz w:val="20"/>
                <w:szCs w:val="20"/>
              </w:rPr>
            </w:pPr>
            <w:r>
              <w:rPr>
                <w:rFonts w:asciiTheme="majorBidi" w:hAnsiTheme="majorBidi"/>
                <w:sz w:val="20"/>
              </w:rPr>
              <w:t>PGEH aprobados</w:t>
            </w:r>
          </w:p>
        </w:tc>
        <w:tc>
          <w:tcPr>
            <w:tcW w:w="1087" w:type="dxa"/>
            <w:tcBorders>
              <w:top w:val="nil"/>
              <w:left w:val="nil"/>
              <w:bottom w:val="single" w:sz="4" w:space="0" w:color="auto"/>
              <w:right w:val="single" w:sz="4" w:space="0" w:color="auto"/>
            </w:tcBorders>
            <w:noWrap/>
            <w:tcMar>
              <w:left w:w="58" w:type="dxa"/>
              <w:right w:w="58" w:type="dxa"/>
            </w:tcMar>
            <w:hideMark/>
          </w:tcPr>
          <w:p w14:paraId="0C88D993"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11.562.864</w:t>
            </w:r>
          </w:p>
        </w:tc>
        <w:tc>
          <w:tcPr>
            <w:tcW w:w="1181" w:type="dxa"/>
            <w:tcBorders>
              <w:top w:val="nil"/>
              <w:left w:val="nil"/>
              <w:bottom w:val="single" w:sz="4" w:space="0" w:color="auto"/>
              <w:right w:val="single" w:sz="4" w:space="0" w:color="auto"/>
            </w:tcBorders>
            <w:noWrap/>
            <w:tcMar>
              <w:left w:w="58" w:type="dxa"/>
              <w:right w:w="58" w:type="dxa"/>
            </w:tcMar>
            <w:hideMark/>
          </w:tcPr>
          <w:p w14:paraId="790F9917"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5.577.573</w:t>
            </w:r>
          </w:p>
        </w:tc>
        <w:tc>
          <w:tcPr>
            <w:tcW w:w="1182" w:type="dxa"/>
            <w:tcBorders>
              <w:top w:val="nil"/>
              <w:left w:val="nil"/>
              <w:bottom w:val="single" w:sz="4" w:space="0" w:color="auto"/>
              <w:right w:val="single" w:sz="4" w:space="0" w:color="auto"/>
            </w:tcBorders>
            <w:noWrap/>
            <w:tcMar>
              <w:left w:w="58" w:type="dxa"/>
              <w:right w:w="58" w:type="dxa"/>
            </w:tcMar>
            <w:hideMark/>
          </w:tcPr>
          <w:p w14:paraId="66710C80"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1.898.002</w:t>
            </w:r>
          </w:p>
        </w:tc>
        <w:tc>
          <w:tcPr>
            <w:tcW w:w="1140" w:type="dxa"/>
            <w:tcBorders>
              <w:top w:val="nil"/>
              <w:left w:val="nil"/>
              <w:bottom w:val="single" w:sz="4" w:space="0" w:color="auto"/>
              <w:right w:val="single" w:sz="4" w:space="0" w:color="auto"/>
            </w:tcBorders>
            <w:noWrap/>
            <w:tcMar>
              <w:left w:w="58" w:type="dxa"/>
              <w:right w:w="58" w:type="dxa"/>
            </w:tcMar>
            <w:hideMark/>
          </w:tcPr>
          <w:p w14:paraId="19F9822A"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19.038.439</w:t>
            </w:r>
          </w:p>
        </w:tc>
        <w:tc>
          <w:tcPr>
            <w:tcW w:w="1333" w:type="dxa"/>
            <w:tcBorders>
              <w:top w:val="nil"/>
              <w:left w:val="nil"/>
              <w:bottom w:val="single" w:sz="4" w:space="0" w:color="auto"/>
              <w:right w:val="single" w:sz="4" w:space="0" w:color="auto"/>
            </w:tcBorders>
            <w:noWrap/>
            <w:tcMar>
              <w:left w:w="58" w:type="dxa"/>
              <w:right w:w="58" w:type="dxa"/>
            </w:tcMar>
            <w:hideMark/>
          </w:tcPr>
          <w:p w14:paraId="14033BC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6.395.823</w:t>
            </w:r>
          </w:p>
        </w:tc>
      </w:tr>
      <w:tr w:rsidR="00CF388D" w:rsidRPr="00CF388D" w14:paraId="202CE05F" w14:textId="77777777" w:rsidTr="008D3C2C">
        <w:trPr>
          <w:trHeight w:val="77"/>
        </w:trPr>
        <w:tc>
          <w:tcPr>
            <w:tcW w:w="3775" w:type="dxa"/>
            <w:tcBorders>
              <w:top w:val="nil"/>
              <w:left w:val="single" w:sz="4" w:space="0" w:color="auto"/>
              <w:bottom w:val="single" w:sz="4" w:space="0" w:color="auto"/>
              <w:right w:val="single" w:sz="4" w:space="0" w:color="auto"/>
            </w:tcBorders>
            <w:noWrap/>
            <w:tcMar>
              <w:left w:w="58" w:type="dxa"/>
            </w:tcMar>
            <w:hideMark/>
          </w:tcPr>
          <w:p w14:paraId="16C9DA01" w14:textId="209F0A6D" w:rsidR="009210A0" w:rsidRPr="00CF388D" w:rsidRDefault="009210A0" w:rsidP="009210A0">
            <w:pPr>
              <w:jc w:val="left"/>
              <w:rPr>
                <w:rFonts w:asciiTheme="majorBidi" w:hAnsiTheme="majorBidi" w:cstheme="majorBidi"/>
                <w:sz w:val="20"/>
                <w:szCs w:val="20"/>
              </w:rPr>
            </w:pPr>
            <w:r>
              <w:rPr>
                <w:rFonts w:asciiTheme="majorBidi" w:hAnsiTheme="majorBidi"/>
                <w:sz w:val="20"/>
              </w:rPr>
              <w:t>PGEH, etapa </w:t>
            </w:r>
            <w:r w:rsidR="0072588C">
              <w:rPr>
                <w:rFonts w:asciiTheme="majorBidi" w:hAnsiTheme="majorBidi"/>
                <w:sz w:val="20"/>
              </w:rPr>
              <w:t>I</w:t>
            </w:r>
            <w:r>
              <w:rPr>
                <w:rFonts w:asciiTheme="majorBidi" w:hAnsiTheme="majorBidi"/>
                <w:sz w:val="20"/>
              </w:rPr>
              <w:t>I – preparación de proyectos</w:t>
            </w:r>
          </w:p>
        </w:tc>
        <w:tc>
          <w:tcPr>
            <w:tcW w:w="1087" w:type="dxa"/>
            <w:tcBorders>
              <w:top w:val="nil"/>
              <w:left w:val="nil"/>
              <w:bottom w:val="single" w:sz="4" w:space="0" w:color="auto"/>
              <w:right w:val="single" w:sz="4" w:space="0" w:color="auto"/>
            </w:tcBorders>
            <w:noWrap/>
            <w:tcMar>
              <w:left w:w="58" w:type="dxa"/>
              <w:right w:w="58" w:type="dxa"/>
            </w:tcMar>
            <w:hideMark/>
          </w:tcPr>
          <w:p w14:paraId="58BD0F96"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22.600</w:t>
            </w:r>
          </w:p>
        </w:tc>
        <w:tc>
          <w:tcPr>
            <w:tcW w:w="1181" w:type="dxa"/>
            <w:tcBorders>
              <w:top w:val="nil"/>
              <w:left w:val="nil"/>
              <w:bottom w:val="single" w:sz="4" w:space="0" w:color="auto"/>
              <w:right w:val="single" w:sz="4" w:space="0" w:color="auto"/>
            </w:tcBorders>
            <w:noWrap/>
            <w:tcMar>
              <w:left w:w="58" w:type="dxa"/>
              <w:right w:w="58" w:type="dxa"/>
            </w:tcMar>
            <w:hideMark/>
          </w:tcPr>
          <w:p w14:paraId="680BC24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c>
          <w:tcPr>
            <w:tcW w:w="1182" w:type="dxa"/>
            <w:tcBorders>
              <w:top w:val="nil"/>
              <w:left w:val="nil"/>
              <w:bottom w:val="single" w:sz="4" w:space="0" w:color="auto"/>
              <w:right w:val="single" w:sz="4" w:space="0" w:color="auto"/>
            </w:tcBorders>
            <w:noWrap/>
            <w:tcMar>
              <w:left w:w="58" w:type="dxa"/>
              <w:right w:w="58" w:type="dxa"/>
            </w:tcMar>
            <w:hideMark/>
          </w:tcPr>
          <w:p w14:paraId="262A4238"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c>
          <w:tcPr>
            <w:tcW w:w="1140" w:type="dxa"/>
            <w:tcBorders>
              <w:top w:val="nil"/>
              <w:left w:val="nil"/>
              <w:bottom w:val="single" w:sz="4" w:space="0" w:color="auto"/>
              <w:right w:val="single" w:sz="4" w:space="0" w:color="auto"/>
            </w:tcBorders>
            <w:noWrap/>
            <w:tcMar>
              <w:left w:w="58" w:type="dxa"/>
              <w:right w:w="58" w:type="dxa"/>
            </w:tcMar>
            <w:hideMark/>
          </w:tcPr>
          <w:p w14:paraId="3E3B18F0"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22.600</w:t>
            </w:r>
          </w:p>
        </w:tc>
        <w:tc>
          <w:tcPr>
            <w:tcW w:w="1333" w:type="dxa"/>
            <w:tcBorders>
              <w:top w:val="nil"/>
              <w:left w:val="nil"/>
              <w:bottom w:val="single" w:sz="4" w:space="0" w:color="auto"/>
              <w:right w:val="single" w:sz="4" w:space="0" w:color="auto"/>
            </w:tcBorders>
            <w:noWrap/>
            <w:tcMar>
              <w:left w:w="58" w:type="dxa"/>
              <w:right w:w="58" w:type="dxa"/>
            </w:tcMar>
            <w:hideMark/>
          </w:tcPr>
          <w:p w14:paraId="7C388AAC"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r>
      <w:tr w:rsidR="00CF388D" w:rsidRPr="00CF388D" w14:paraId="662F9864"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74A867F6" w14:textId="77777777" w:rsidR="009210A0" w:rsidRPr="00CF388D" w:rsidRDefault="009210A0" w:rsidP="009210A0">
            <w:pPr>
              <w:jc w:val="left"/>
              <w:rPr>
                <w:rFonts w:asciiTheme="majorBidi" w:hAnsiTheme="majorBidi" w:cstheme="majorBidi"/>
                <w:sz w:val="20"/>
                <w:szCs w:val="20"/>
              </w:rPr>
            </w:pPr>
            <w:r>
              <w:rPr>
                <w:rFonts w:asciiTheme="majorBidi" w:hAnsiTheme="majorBidi"/>
                <w:sz w:val="20"/>
              </w:rPr>
              <w:t xml:space="preserve">PGEH, etapa II </w:t>
            </w:r>
          </w:p>
        </w:tc>
        <w:tc>
          <w:tcPr>
            <w:tcW w:w="1087" w:type="dxa"/>
            <w:tcBorders>
              <w:top w:val="nil"/>
              <w:left w:val="nil"/>
              <w:bottom w:val="single" w:sz="4" w:space="0" w:color="auto"/>
              <w:right w:val="single" w:sz="4" w:space="0" w:color="auto"/>
            </w:tcBorders>
            <w:noWrap/>
            <w:tcMar>
              <w:left w:w="58" w:type="dxa"/>
              <w:right w:w="58" w:type="dxa"/>
            </w:tcMar>
            <w:hideMark/>
          </w:tcPr>
          <w:p w14:paraId="7BA94532"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283.312</w:t>
            </w:r>
          </w:p>
        </w:tc>
        <w:tc>
          <w:tcPr>
            <w:tcW w:w="1181" w:type="dxa"/>
            <w:tcBorders>
              <w:top w:val="nil"/>
              <w:left w:val="nil"/>
              <w:bottom w:val="single" w:sz="4" w:space="0" w:color="auto"/>
              <w:right w:val="single" w:sz="4" w:space="0" w:color="auto"/>
            </w:tcBorders>
            <w:noWrap/>
            <w:tcMar>
              <w:left w:w="58" w:type="dxa"/>
              <w:right w:w="58" w:type="dxa"/>
            </w:tcMar>
            <w:hideMark/>
          </w:tcPr>
          <w:p w14:paraId="27D080A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1.470.129</w:t>
            </w:r>
          </w:p>
        </w:tc>
        <w:tc>
          <w:tcPr>
            <w:tcW w:w="1182" w:type="dxa"/>
            <w:tcBorders>
              <w:top w:val="nil"/>
              <w:left w:val="nil"/>
              <w:bottom w:val="single" w:sz="4" w:space="0" w:color="auto"/>
              <w:right w:val="single" w:sz="4" w:space="0" w:color="auto"/>
            </w:tcBorders>
            <w:noWrap/>
            <w:tcMar>
              <w:left w:w="58" w:type="dxa"/>
              <w:right w:w="58" w:type="dxa"/>
            </w:tcMar>
            <w:hideMark/>
          </w:tcPr>
          <w:p w14:paraId="04E5743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133.001</w:t>
            </w:r>
          </w:p>
        </w:tc>
        <w:tc>
          <w:tcPr>
            <w:tcW w:w="1140" w:type="dxa"/>
            <w:tcBorders>
              <w:top w:val="nil"/>
              <w:left w:val="nil"/>
              <w:bottom w:val="single" w:sz="4" w:space="0" w:color="auto"/>
              <w:right w:val="single" w:sz="4" w:space="0" w:color="auto"/>
            </w:tcBorders>
            <w:noWrap/>
            <w:tcMar>
              <w:left w:w="58" w:type="dxa"/>
              <w:right w:w="58" w:type="dxa"/>
            </w:tcMar>
            <w:hideMark/>
          </w:tcPr>
          <w:p w14:paraId="71A950FA"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1.886.442</w:t>
            </w:r>
          </w:p>
        </w:tc>
        <w:tc>
          <w:tcPr>
            <w:tcW w:w="1333" w:type="dxa"/>
            <w:tcBorders>
              <w:top w:val="nil"/>
              <w:left w:val="nil"/>
              <w:bottom w:val="single" w:sz="4" w:space="0" w:color="auto"/>
              <w:right w:val="single" w:sz="4" w:space="0" w:color="auto"/>
            </w:tcBorders>
            <w:noWrap/>
            <w:tcMar>
              <w:left w:w="58" w:type="dxa"/>
              <w:right w:w="58" w:type="dxa"/>
            </w:tcMar>
            <w:hideMark/>
          </w:tcPr>
          <w:p w14:paraId="07947A97"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2.273.803</w:t>
            </w:r>
          </w:p>
        </w:tc>
      </w:tr>
      <w:tr w:rsidR="00CF388D" w:rsidRPr="00CF388D" w14:paraId="2E4969C2"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4AF6349B" w14:textId="57F11899" w:rsidR="009210A0" w:rsidRPr="00CF388D" w:rsidRDefault="009210A0" w:rsidP="009210A0">
            <w:pPr>
              <w:jc w:val="left"/>
              <w:rPr>
                <w:rFonts w:asciiTheme="majorBidi" w:hAnsiTheme="majorBidi" w:cstheme="majorBidi"/>
                <w:sz w:val="20"/>
                <w:szCs w:val="20"/>
              </w:rPr>
            </w:pPr>
            <w:r>
              <w:rPr>
                <w:rFonts w:asciiTheme="majorBidi" w:hAnsiTheme="majorBidi"/>
                <w:sz w:val="20"/>
              </w:rPr>
              <w:t>PGEH, etapa I</w:t>
            </w:r>
            <w:r w:rsidR="00374BF2">
              <w:rPr>
                <w:rFonts w:asciiTheme="majorBidi" w:hAnsiTheme="majorBidi"/>
                <w:sz w:val="20"/>
              </w:rPr>
              <w:t>II</w:t>
            </w:r>
            <w:r>
              <w:rPr>
                <w:rFonts w:asciiTheme="majorBidi" w:hAnsiTheme="majorBidi"/>
                <w:sz w:val="20"/>
              </w:rPr>
              <w:t xml:space="preserve"> – preparación de proyectos</w:t>
            </w:r>
          </w:p>
        </w:tc>
        <w:tc>
          <w:tcPr>
            <w:tcW w:w="1087" w:type="dxa"/>
            <w:tcBorders>
              <w:top w:val="nil"/>
              <w:left w:val="nil"/>
              <w:bottom w:val="single" w:sz="4" w:space="0" w:color="auto"/>
              <w:right w:val="single" w:sz="4" w:space="0" w:color="auto"/>
            </w:tcBorders>
            <w:noWrap/>
            <w:tcMar>
              <w:left w:w="58" w:type="dxa"/>
              <w:right w:w="58" w:type="dxa"/>
            </w:tcMar>
            <w:hideMark/>
          </w:tcPr>
          <w:p w14:paraId="624CF6F2"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28.250</w:t>
            </w:r>
          </w:p>
        </w:tc>
        <w:tc>
          <w:tcPr>
            <w:tcW w:w="1181" w:type="dxa"/>
            <w:tcBorders>
              <w:top w:val="nil"/>
              <w:left w:val="nil"/>
              <w:bottom w:val="single" w:sz="4" w:space="0" w:color="auto"/>
              <w:right w:val="single" w:sz="4" w:space="0" w:color="auto"/>
            </w:tcBorders>
            <w:noWrap/>
            <w:tcMar>
              <w:left w:w="58" w:type="dxa"/>
              <w:right w:w="58" w:type="dxa"/>
            </w:tcMar>
            <w:hideMark/>
          </w:tcPr>
          <w:p w14:paraId="3DAA9D8C"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c>
          <w:tcPr>
            <w:tcW w:w="1182" w:type="dxa"/>
            <w:tcBorders>
              <w:top w:val="nil"/>
              <w:left w:val="nil"/>
              <w:bottom w:val="single" w:sz="4" w:space="0" w:color="auto"/>
              <w:right w:val="single" w:sz="4" w:space="0" w:color="auto"/>
            </w:tcBorders>
            <w:noWrap/>
            <w:tcMar>
              <w:left w:w="58" w:type="dxa"/>
              <w:right w:w="58" w:type="dxa"/>
            </w:tcMar>
            <w:hideMark/>
          </w:tcPr>
          <w:p w14:paraId="556AD275"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c>
          <w:tcPr>
            <w:tcW w:w="1140" w:type="dxa"/>
            <w:tcBorders>
              <w:top w:val="nil"/>
              <w:left w:val="nil"/>
              <w:bottom w:val="single" w:sz="4" w:space="0" w:color="auto"/>
              <w:right w:val="single" w:sz="4" w:space="0" w:color="auto"/>
            </w:tcBorders>
            <w:noWrap/>
            <w:tcMar>
              <w:left w:w="58" w:type="dxa"/>
              <w:right w:w="58" w:type="dxa"/>
            </w:tcMar>
            <w:hideMark/>
          </w:tcPr>
          <w:p w14:paraId="7E18C118"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28.250</w:t>
            </w:r>
          </w:p>
        </w:tc>
        <w:tc>
          <w:tcPr>
            <w:tcW w:w="1333" w:type="dxa"/>
            <w:tcBorders>
              <w:top w:val="nil"/>
              <w:left w:val="nil"/>
              <w:bottom w:val="single" w:sz="4" w:space="0" w:color="auto"/>
              <w:right w:val="single" w:sz="4" w:space="0" w:color="auto"/>
            </w:tcBorders>
            <w:noWrap/>
            <w:tcMar>
              <w:left w:w="58" w:type="dxa"/>
              <w:right w:w="58" w:type="dxa"/>
            </w:tcMar>
            <w:hideMark/>
          </w:tcPr>
          <w:p w14:paraId="16B4B9D2"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r>
      <w:tr w:rsidR="00CF388D" w:rsidRPr="00CF388D" w14:paraId="402AA842" w14:textId="77777777" w:rsidTr="008D3C2C">
        <w:trPr>
          <w:trHeight w:val="101"/>
        </w:trPr>
        <w:tc>
          <w:tcPr>
            <w:tcW w:w="3775" w:type="dxa"/>
            <w:tcBorders>
              <w:top w:val="nil"/>
              <w:left w:val="single" w:sz="4" w:space="0" w:color="auto"/>
              <w:bottom w:val="single" w:sz="4" w:space="0" w:color="auto"/>
              <w:right w:val="single" w:sz="4" w:space="0" w:color="auto"/>
            </w:tcBorders>
            <w:noWrap/>
            <w:tcMar>
              <w:left w:w="58" w:type="dxa"/>
            </w:tcMar>
            <w:hideMark/>
          </w:tcPr>
          <w:p w14:paraId="516B015B" w14:textId="77777777" w:rsidR="009210A0" w:rsidRPr="00CF388D" w:rsidRDefault="009210A0" w:rsidP="009210A0">
            <w:pPr>
              <w:jc w:val="left"/>
              <w:rPr>
                <w:rFonts w:asciiTheme="majorBidi" w:hAnsiTheme="majorBidi" w:cstheme="majorBidi"/>
                <w:sz w:val="20"/>
                <w:szCs w:val="20"/>
              </w:rPr>
            </w:pPr>
            <w:r>
              <w:rPr>
                <w:rFonts w:asciiTheme="majorBidi" w:hAnsiTheme="majorBidi"/>
                <w:sz w:val="20"/>
              </w:rPr>
              <w:t>PGEH, etapa III</w:t>
            </w:r>
          </w:p>
        </w:tc>
        <w:tc>
          <w:tcPr>
            <w:tcW w:w="1087" w:type="dxa"/>
            <w:tcBorders>
              <w:top w:val="nil"/>
              <w:left w:val="nil"/>
              <w:bottom w:val="single" w:sz="4" w:space="0" w:color="auto"/>
              <w:right w:val="single" w:sz="4" w:space="0" w:color="auto"/>
            </w:tcBorders>
            <w:noWrap/>
            <w:tcMar>
              <w:left w:w="58" w:type="dxa"/>
              <w:right w:w="58" w:type="dxa"/>
            </w:tcMar>
            <w:hideMark/>
          </w:tcPr>
          <w:p w14:paraId="111FDDA6"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1.665.414</w:t>
            </w:r>
          </w:p>
        </w:tc>
        <w:tc>
          <w:tcPr>
            <w:tcW w:w="1181" w:type="dxa"/>
            <w:tcBorders>
              <w:top w:val="nil"/>
              <w:left w:val="nil"/>
              <w:bottom w:val="single" w:sz="4" w:space="0" w:color="auto"/>
              <w:right w:val="single" w:sz="4" w:space="0" w:color="auto"/>
            </w:tcBorders>
            <w:noWrap/>
            <w:tcMar>
              <w:left w:w="58" w:type="dxa"/>
              <w:right w:w="58" w:type="dxa"/>
            </w:tcMar>
            <w:hideMark/>
          </w:tcPr>
          <w:p w14:paraId="0E86D7C3"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1.555.618</w:t>
            </w:r>
          </w:p>
        </w:tc>
        <w:tc>
          <w:tcPr>
            <w:tcW w:w="1182" w:type="dxa"/>
            <w:tcBorders>
              <w:top w:val="nil"/>
              <w:left w:val="nil"/>
              <w:bottom w:val="single" w:sz="4" w:space="0" w:color="auto"/>
              <w:right w:val="single" w:sz="4" w:space="0" w:color="auto"/>
            </w:tcBorders>
            <w:noWrap/>
            <w:tcMar>
              <w:left w:w="58" w:type="dxa"/>
              <w:right w:w="58" w:type="dxa"/>
            </w:tcMar>
            <w:hideMark/>
          </w:tcPr>
          <w:p w14:paraId="66101EFE"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329.731</w:t>
            </w:r>
          </w:p>
        </w:tc>
        <w:tc>
          <w:tcPr>
            <w:tcW w:w="1140" w:type="dxa"/>
            <w:tcBorders>
              <w:top w:val="nil"/>
              <w:left w:val="nil"/>
              <w:bottom w:val="single" w:sz="4" w:space="0" w:color="auto"/>
              <w:right w:val="single" w:sz="4" w:space="0" w:color="auto"/>
            </w:tcBorders>
            <w:noWrap/>
            <w:tcMar>
              <w:left w:w="58" w:type="dxa"/>
              <w:right w:w="58" w:type="dxa"/>
            </w:tcMar>
            <w:hideMark/>
          </w:tcPr>
          <w:p w14:paraId="1381D73C"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3.550.763</w:t>
            </w:r>
          </w:p>
        </w:tc>
        <w:tc>
          <w:tcPr>
            <w:tcW w:w="1333" w:type="dxa"/>
            <w:tcBorders>
              <w:top w:val="nil"/>
              <w:left w:val="nil"/>
              <w:bottom w:val="single" w:sz="4" w:space="0" w:color="auto"/>
              <w:right w:val="single" w:sz="4" w:space="0" w:color="auto"/>
            </w:tcBorders>
            <w:noWrap/>
            <w:tcMar>
              <w:left w:w="58" w:type="dxa"/>
              <w:right w:w="58" w:type="dxa"/>
            </w:tcMar>
            <w:hideMark/>
          </w:tcPr>
          <w:p w14:paraId="772ACDEB"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2.332.152</w:t>
            </w:r>
          </w:p>
        </w:tc>
      </w:tr>
      <w:tr w:rsidR="00CF388D" w:rsidRPr="00CF388D" w14:paraId="12A4EBE0"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3F85B76E" w14:textId="77777777" w:rsidR="009210A0" w:rsidRPr="00374BF2" w:rsidRDefault="009210A0" w:rsidP="009210A0">
            <w:pPr>
              <w:jc w:val="left"/>
              <w:rPr>
                <w:rFonts w:asciiTheme="majorBidi" w:hAnsiTheme="majorBidi" w:cstheme="majorBidi"/>
                <w:spacing w:val="-4"/>
                <w:sz w:val="20"/>
                <w:szCs w:val="20"/>
              </w:rPr>
            </w:pPr>
            <w:r w:rsidRPr="00374BF2">
              <w:rPr>
                <w:rFonts w:asciiTheme="majorBidi" w:hAnsiTheme="majorBidi"/>
                <w:spacing w:val="-4"/>
                <w:sz w:val="20"/>
              </w:rPr>
              <w:t>PGEH – eficiencia energética (decisión 89/6)</w:t>
            </w:r>
          </w:p>
        </w:tc>
        <w:tc>
          <w:tcPr>
            <w:tcW w:w="1087" w:type="dxa"/>
            <w:tcBorders>
              <w:top w:val="nil"/>
              <w:left w:val="nil"/>
              <w:bottom w:val="single" w:sz="4" w:space="0" w:color="auto"/>
              <w:right w:val="single" w:sz="4" w:space="0" w:color="auto"/>
            </w:tcBorders>
            <w:noWrap/>
            <w:tcMar>
              <w:left w:w="58" w:type="dxa"/>
              <w:right w:w="58" w:type="dxa"/>
            </w:tcMar>
            <w:hideMark/>
          </w:tcPr>
          <w:p w14:paraId="07DACD6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1.794.288</w:t>
            </w:r>
          </w:p>
        </w:tc>
        <w:tc>
          <w:tcPr>
            <w:tcW w:w="1181" w:type="dxa"/>
            <w:tcBorders>
              <w:top w:val="nil"/>
              <w:left w:val="nil"/>
              <w:bottom w:val="single" w:sz="4" w:space="0" w:color="auto"/>
              <w:right w:val="single" w:sz="4" w:space="0" w:color="auto"/>
            </w:tcBorders>
            <w:noWrap/>
            <w:tcMar>
              <w:left w:w="58" w:type="dxa"/>
              <w:right w:w="58" w:type="dxa"/>
            </w:tcMar>
            <w:hideMark/>
          </w:tcPr>
          <w:p w14:paraId="7007BFF6"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174.020</w:t>
            </w:r>
          </w:p>
        </w:tc>
        <w:tc>
          <w:tcPr>
            <w:tcW w:w="1182" w:type="dxa"/>
            <w:tcBorders>
              <w:top w:val="nil"/>
              <w:left w:val="nil"/>
              <w:bottom w:val="single" w:sz="4" w:space="0" w:color="auto"/>
              <w:right w:val="single" w:sz="4" w:space="0" w:color="auto"/>
            </w:tcBorders>
            <w:noWrap/>
            <w:tcMar>
              <w:left w:w="58" w:type="dxa"/>
              <w:right w:w="58" w:type="dxa"/>
            </w:tcMar>
            <w:hideMark/>
          </w:tcPr>
          <w:p w14:paraId="745C39C0"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 </w:t>
            </w:r>
          </w:p>
        </w:tc>
        <w:tc>
          <w:tcPr>
            <w:tcW w:w="1140" w:type="dxa"/>
            <w:tcBorders>
              <w:top w:val="nil"/>
              <w:left w:val="nil"/>
              <w:bottom w:val="single" w:sz="4" w:space="0" w:color="auto"/>
              <w:right w:val="single" w:sz="4" w:space="0" w:color="auto"/>
            </w:tcBorders>
            <w:noWrap/>
            <w:tcMar>
              <w:left w:w="58" w:type="dxa"/>
              <w:right w:w="58" w:type="dxa"/>
            </w:tcMar>
            <w:hideMark/>
          </w:tcPr>
          <w:p w14:paraId="11205E7C"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1.968.308</w:t>
            </w:r>
          </w:p>
        </w:tc>
        <w:tc>
          <w:tcPr>
            <w:tcW w:w="1333" w:type="dxa"/>
            <w:tcBorders>
              <w:top w:val="nil"/>
              <w:left w:val="nil"/>
              <w:bottom w:val="single" w:sz="4" w:space="0" w:color="auto"/>
              <w:right w:val="single" w:sz="4" w:space="0" w:color="auto"/>
            </w:tcBorders>
            <w:noWrap/>
            <w:tcMar>
              <w:left w:w="58" w:type="dxa"/>
              <w:right w:w="58" w:type="dxa"/>
            </w:tcMar>
            <w:hideMark/>
          </w:tcPr>
          <w:p w14:paraId="21D56589"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 </w:t>
            </w:r>
          </w:p>
        </w:tc>
      </w:tr>
      <w:tr w:rsidR="00CF388D" w:rsidRPr="00CF388D" w14:paraId="05909EF6"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5BF99F34" w14:textId="7EC55ECB" w:rsidR="009210A0" w:rsidRPr="008D3C2C" w:rsidRDefault="009210A0" w:rsidP="00E52639">
            <w:pPr>
              <w:jc w:val="left"/>
              <w:rPr>
                <w:rFonts w:asciiTheme="majorBidi" w:hAnsiTheme="majorBidi" w:cstheme="majorBidi"/>
                <w:b/>
                <w:bCs/>
                <w:spacing w:val="-4"/>
                <w:sz w:val="20"/>
                <w:szCs w:val="20"/>
              </w:rPr>
            </w:pPr>
            <w:r w:rsidRPr="008D3C2C">
              <w:rPr>
                <w:rFonts w:asciiTheme="majorBidi" w:hAnsiTheme="majorBidi"/>
                <w:b/>
                <w:spacing w:val="-4"/>
                <w:sz w:val="20"/>
              </w:rPr>
              <w:t xml:space="preserve">Subtotal </w:t>
            </w:r>
            <w:r w:rsidR="008D3C2C" w:rsidRPr="008D3C2C">
              <w:rPr>
                <w:rFonts w:asciiTheme="majorBidi" w:hAnsiTheme="majorBidi"/>
                <w:b/>
                <w:spacing w:val="-4"/>
                <w:sz w:val="20"/>
              </w:rPr>
              <w:t xml:space="preserve">– </w:t>
            </w:r>
            <w:r w:rsidR="00E52639" w:rsidRPr="008D3C2C">
              <w:rPr>
                <w:rFonts w:asciiTheme="majorBidi" w:hAnsiTheme="majorBidi"/>
                <w:b/>
                <w:spacing w:val="-4"/>
                <w:sz w:val="20"/>
              </w:rPr>
              <w:t>A</w:t>
            </w:r>
            <w:r w:rsidRPr="008D3C2C">
              <w:rPr>
                <w:rFonts w:asciiTheme="majorBidi" w:hAnsiTheme="majorBidi"/>
                <w:b/>
                <w:spacing w:val="-4"/>
                <w:sz w:val="20"/>
              </w:rPr>
              <w:t>ctividades relativas a los HCFC</w:t>
            </w:r>
          </w:p>
        </w:tc>
        <w:tc>
          <w:tcPr>
            <w:tcW w:w="1087" w:type="dxa"/>
            <w:tcBorders>
              <w:top w:val="nil"/>
              <w:left w:val="nil"/>
              <w:bottom w:val="single" w:sz="4" w:space="0" w:color="auto"/>
              <w:right w:val="single" w:sz="4" w:space="0" w:color="auto"/>
            </w:tcBorders>
            <w:noWrap/>
            <w:tcMar>
              <w:left w:w="58" w:type="dxa"/>
              <w:right w:w="58" w:type="dxa"/>
            </w:tcMar>
            <w:hideMark/>
          </w:tcPr>
          <w:p w14:paraId="125D7BE3"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15.356.728</w:t>
            </w:r>
          </w:p>
        </w:tc>
        <w:tc>
          <w:tcPr>
            <w:tcW w:w="1181" w:type="dxa"/>
            <w:tcBorders>
              <w:top w:val="nil"/>
              <w:left w:val="nil"/>
              <w:bottom w:val="single" w:sz="4" w:space="0" w:color="auto"/>
              <w:right w:val="single" w:sz="4" w:space="0" w:color="auto"/>
            </w:tcBorders>
            <w:noWrap/>
            <w:tcMar>
              <w:left w:w="58" w:type="dxa"/>
              <w:right w:w="58" w:type="dxa"/>
            </w:tcMar>
            <w:hideMark/>
          </w:tcPr>
          <w:p w14:paraId="27667FD2"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8.777.339</w:t>
            </w:r>
          </w:p>
        </w:tc>
        <w:tc>
          <w:tcPr>
            <w:tcW w:w="1182" w:type="dxa"/>
            <w:tcBorders>
              <w:top w:val="nil"/>
              <w:left w:val="nil"/>
              <w:bottom w:val="single" w:sz="4" w:space="0" w:color="auto"/>
              <w:right w:val="single" w:sz="4" w:space="0" w:color="auto"/>
            </w:tcBorders>
            <w:noWrap/>
            <w:tcMar>
              <w:left w:w="58" w:type="dxa"/>
              <w:right w:w="58" w:type="dxa"/>
            </w:tcMar>
            <w:hideMark/>
          </w:tcPr>
          <w:p w14:paraId="2242524A"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2.360.734</w:t>
            </w:r>
          </w:p>
        </w:tc>
        <w:tc>
          <w:tcPr>
            <w:tcW w:w="1140" w:type="dxa"/>
            <w:tcBorders>
              <w:top w:val="nil"/>
              <w:left w:val="nil"/>
              <w:bottom w:val="single" w:sz="4" w:space="0" w:color="auto"/>
              <w:right w:val="single" w:sz="4" w:space="0" w:color="auto"/>
            </w:tcBorders>
            <w:noWrap/>
            <w:tcMar>
              <w:left w:w="58" w:type="dxa"/>
              <w:right w:w="58" w:type="dxa"/>
            </w:tcMar>
            <w:hideMark/>
          </w:tcPr>
          <w:p w14:paraId="655BA0CB"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26.494.802</w:t>
            </w:r>
          </w:p>
        </w:tc>
        <w:tc>
          <w:tcPr>
            <w:tcW w:w="1333" w:type="dxa"/>
            <w:tcBorders>
              <w:top w:val="nil"/>
              <w:left w:val="nil"/>
              <w:bottom w:val="single" w:sz="4" w:space="0" w:color="auto"/>
              <w:right w:val="single" w:sz="4" w:space="0" w:color="auto"/>
            </w:tcBorders>
            <w:noWrap/>
            <w:tcMar>
              <w:left w:w="58" w:type="dxa"/>
              <w:right w:w="58" w:type="dxa"/>
            </w:tcMar>
            <w:hideMark/>
          </w:tcPr>
          <w:p w14:paraId="073489A1"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11.001.778</w:t>
            </w:r>
          </w:p>
        </w:tc>
      </w:tr>
      <w:tr w:rsidR="00CF388D" w:rsidRPr="00CF388D" w14:paraId="5E95190F" w14:textId="77777777" w:rsidTr="008D3C2C">
        <w:trPr>
          <w:trHeight w:val="58"/>
        </w:trPr>
        <w:tc>
          <w:tcPr>
            <w:tcW w:w="9698" w:type="dxa"/>
            <w:gridSpan w:val="6"/>
            <w:tcBorders>
              <w:top w:val="single" w:sz="4" w:space="0" w:color="auto"/>
              <w:left w:val="single" w:sz="4" w:space="0" w:color="auto"/>
              <w:bottom w:val="single" w:sz="4" w:space="0" w:color="auto"/>
              <w:right w:val="single" w:sz="4" w:space="0" w:color="auto"/>
            </w:tcBorders>
            <w:noWrap/>
            <w:tcMar>
              <w:left w:w="58" w:type="dxa"/>
              <w:right w:w="58" w:type="dxa"/>
            </w:tcMar>
            <w:hideMark/>
          </w:tcPr>
          <w:p w14:paraId="182F030F" w14:textId="77777777" w:rsidR="009210A0" w:rsidRPr="00CF388D" w:rsidRDefault="009210A0" w:rsidP="009210A0">
            <w:pPr>
              <w:jc w:val="left"/>
              <w:rPr>
                <w:rFonts w:asciiTheme="majorBidi" w:hAnsiTheme="majorBidi" w:cstheme="majorBidi"/>
                <w:b/>
                <w:bCs/>
                <w:sz w:val="20"/>
                <w:szCs w:val="20"/>
              </w:rPr>
            </w:pPr>
            <w:r>
              <w:rPr>
                <w:rFonts w:asciiTheme="majorBidi" w:hAnsiTheme="majorBidi"/>
                <w:b/>
                <w:sz w:val="20"/>
              </w:rPr>
              <w:t>Actividades relativas a los HFC</w:t>
            </w:r>
          </w:p>
        </w:tc>
      </w:tr>
      <w:tr w:rsidR="00CF388D" w:rsidRPr="00CF388D" w14:paraId="40189364" w14:textId="77777777" w:rsidTr="008D3C2C">
        <w:trPr>
          <w:trHeight w:val="264"/>
        </w:trPr>
        <w:tc>
          <w:tcPr>
            <w:tcW w:w="3775" w:type="dxa"/>
            <w:tcBorders>
              <w:top w:val="nil"/>
              <w:left w:val="single" w:sz="4" w:space="0" w:color="auto"/>
              <w:bottom w:val="single" w:sz="4" w:space="0" w:color="auto"/>
              <w:right w:val="single" w:sz="4" w:space="0" w:color="auto"/>
            </w:tcBorders>
            <w:noWrap/>
            <w:tcMar>
              <w:left w:w="58" w:type="dxa"/>
            </w:tcMar>
            <w:hideMark/>
          </w:tcPr>
          <w:p w14:paraId="18EF40A6" w14:textId="60763490" w:rsidR="009210A0" w:rsidRPr="00CF388D" w:rsidRDefault="009210A0" w:rsidP="009210A0">
            <w:pPr>
              <w:jc w:val="left"/>
              <w:rPr>
                <w:rFonts w:asciiTheme="majorBidi" w:hAnsiTheme="majorBidi" w:cstheme="majorBidi"/>
                <w:sz w:val="20"/>
                <w:szCs w:val="20"/>
              </w:rPr>
            </w:pPr>
            <w:r>
              <w:rPr>
                <w:rFonts w:asciiTheme="majorBidi" w:hAnsiTheme="majorBidi"/>
                <w:sz w:val="20"/>
              </w:rPr>
              <w:t>P</w:t>
            </w:r>
            <w:r w:rsidR="008D3C2C">
              <w:rPr>
                <w:rFonts w:asciiTheme="majorBidi" w:hAnsiTheme="majorBidi"/>
                <w:sz w:val="20"/>
              </w:rPr>
              <w:t>AK</w:t>
            </w:r>
            <w:r>
              <w:rPr>
                <w:rFonts w:asciiTheme="majorBidi" w:hAnsiTheme="majorBidi"/>
                <w:sz w:val="20"/>
              </w:rPr>
              <w:t xml:space="preserve"> aprobados</w:t>
            </w:r>
          </w:p>
        </w:tc>
        <w:tc>
          <w:tcPr>
            <w:tcW w:w="1087" w:type="dxa"/>
            <w:tcBorders>
              <w:top w:val="nil"/>
              <w:left w:val="nil"/>
              <w:bottom w:val="single" w:sz="4" w:space="0" w:color="auto"/>
              <w:right w:val="single" w:sz="4" w:space="0" w:color="auto"/>
            </w:tcBorders>
            <w:noWrap/>
            <w:tcMar>
              <w:left w:w="58" w:type="dxa"/>
              <w:right w:w="58" w:type="dxa"/>
            </w:tcMar>
            <w:hideMark/>
          </w:tcPr>
          <w:p w14:paraId="2D8FDED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1.141.936</w:t>
            </w:r>
          </w:p>
        </w:tc>
        <w:tc>
          <w:tcPr>
            <w:tcW w:w="1181" w:type="dxa"/>
            <w:tcBorders>
              <w:top w:val="nil"/>
              <w:left w:val="nil"/>
              <w:bottom w:val="single" w:sz="4" w:space="0" w:color="auto"/>
              <w:right w:val="single" w:sz="4" w:space="0" w:color="auto"/>
            </w:tcBorders>
            <w:noWrap/>
            <w:tcMar>
              <w:left w:w="58" w:type="dxa"/>
              <w:right w:w="58" w:type="dxa"/>
            </w:tcMar>
            <w:hideMark/>
          </w:tcPr>
          <w:p w14:paraId="0365DE31"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3.047.140</w:t>
            </w:r>
          </w:p>
        </w:tc>
        <w:tc>
          <w:tcPr>
            <w:tcW w:w="1182" w:type="dxa"/>
            <w:tcBorders>
              <w:top w:val="nil"/>
              <w:left w:val="nil"/>
              <w:bottom w:val="single" w:sz="4" w:space="0" w:color="auto"/>
              <w:right w:val="single" w:sz="4" w:space="0" w:color="auto"/>
            </w:tcBorders>
            <w:noWrap/>
            <w:tcMar>
              <w:left w:w="58" w:type="dxa"/>
              <w:right w:w="58" w:type="dxa"/>
            </w:tcMar>
            <w:hideMark/>
          </w:tcPr>
          <w:p w14:paraId="7609B4B8"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c>
          <w:tcPr>
            <w:tcW w:w="1140" w:type="dxa"/>
            <w:tcBorders>
              <w:top w:val="nil"/>
              <w:left w:val="nil"/>
              <w:bottom w:val="single" w:sz="4" w:space="0" w:color="auto"/>
              <w:right w:val="single" w:sz="4" w:space="0" w:color="auto"/>
            </w:tcBorders>
            <w:noWrap/>
            <w:tcMar>
              <w:left w:w="58" w:type="dxa"/>
              <w:right w:w="58" w:type="dxa"/>
            </w:tcMar>
            <w:hideMark/>
          </w:tcPr>
          <w:p w14:paraId="6D66FC83"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4.189.076</w:t>
            </w:r>
          </w:p>
        </w:tc>
        <w:tc>
          <w:tcPr>
            <w:tcW w:w="1333" w:type="dxa"/>
            <w:tcBorders>
              <w:top w:val="nil"/>
              <w:left w:val="nil"/>
              <w:bottom w:val="single" w:sz="4" w:space="0" w:color="auto"/>
              <w:right w:val="single" w:sz="4" w:space="0" w:color="auto"/>
            </w:tcBorders>
            <w:noWrap/>
            <w:tcMar>
              <w:left w:w="58" w:type="dxa"/>
              <w:right w:w="58" w:type="dxa"/>
            </w:tcMar>
            <w:hideMark/>
          </w:tcPr>
          <w:p w14:paraId="22F22F98"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871.972</w:t>
            </w:r>
          </w:p>
        </w:tc>
      </w:tr>
      <w:tr w:rsidR="00CF388D" w:rsidRPr="00CF388D" w14:paraId="5355112A" w14:textId="77777777" w:rsidTr="008D3C2C">
        <w:trPr>
          <w:trHeight w:val="93"/>
        </w:trPr>
        <w:tc>
          <w:tcPr>
            <w:tcW w:w="3775" w:type="dxa"/>
            <w:tcBorders>
              <w:top w:val="nil"/>
              <w:left w:val="single" w:sz="4" w:space="0" w:color="auto"/>
              <w:bottom w:val="single" w:sz="4" w:space="0" w:color="auto"/>
              <w:right w:val="single" w:sz="4" w:space="0" w:color="auto"/>
            </w:tcBorders>
            <w:noWrap/>
            <w:tcMar>
              <w:left w:w="58" w:type="dxa"/>
            </w:tcMar>
            <w:hideMark/>
          </w:tcPr>
          <w:p w14:paraId="09DB2D83" w14:textId="278D427D" w:rsidR="009210A0" w:rsidRPr="00CF388D" w:rsidRDefault="009210A0" w:rsidP="009210A0">
            <w:pPr>
              <w:jc w:val="left"/>
              <w:rPr>
                <w:rFonts w:asciiTheme="majorBidi" w:hAnsiTheme="majorBidi" w:cstheme="majorBidi"/>
                <w:sz w:val="20"/>
                <w:szCs w:val="20"/>
              </w:rPr>
            </w:pPr>
            <w:r>
              <w:rPr>
                <w:rFonts w:asciiTheme="majorBidi" w:hAnsiTheme="majorBidi"/>
                <w:sz w:val="20"/>
              </w:rPr>
              <w:t>P</w:t>
            </w:r>
            <w:r w:rsidR="008D3C2C">
              <w:rPr>
                <w:rFonts w:asciiTheme="majorBidi" w:hAnsiTheme="majorBidi"/>
                <w:sz w:val="20"/>
              </w:rPr>
              <w:t>AK</w:t>
            </w:r>
            <w:r>
              <w:rPr>
                <w:rFonts w:asciiTheme="majorBidi" w:hAnsiTheme="majorBidi"/>
                <w:sz w:val="20"/>
              </w:rPr>
              <w:t xml:space="preserve">, etapa I – </w:t>
            </w:r>
            <w:r w:rsidR="00374BF2">
              <w:rPr>
                <w:rFonts w:asciiTheme="majorBidi" w:hAnsiTheme="majorBidi"/>
                <w:sz w:val="20"/>
              </w:rPr>
              <w:t>preparación de proyectos</w:t>
            </w:r>
          </w:p>
        </w:tc>
        <w:tc>
          <w:tcPr>
            <w:tcW w:w="1087" w:type="dxa"/>
            <w:tcBorders>
              <w:top w:val="nil"/>
              <w:left w:val="nil"/>
              <w:bottom w:val="single" w:sz="4" w:space="0" w:color="auto"/>
              <w:right w:val="single" w:sz="4" w:space="0" w:color="auto"/>
            </w:tcBorders>
            <w:noWrap/>
            <w:tcMar>
              <w:left w:w="58" w:type="dxa"/>
              <w:right w:w="58" w:type="dxa"/>
            </w:tcMar>
            <w:hideMark/>
          </w:tcPr>
          <w:p w14:paraId="386DA753"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1.145.546</w:t>
            </w:r>
          </w:p>
        </w:tc>
        <w:tc>
          <w:tcPr>
            <w:tcW w:w="1181" w:type="dxa"/>
            <w:tcBorders>
              <w:top w:val="nil"/>
              <w:left w:val="nil"/>
              <w:bottom w:val="single" w:sz="4" w:space="0" w:color="auto"/>
              <w:right w:val="single" w:sz="4" w:space="0" w:color="auto"/>
            </w:tcBorders>
            <w:noWrap/>
            <w:tcMar>
              <w:left w:w="58" w:type="dxa"/>
              <w:right w:w="58" w:type="dxa"/>
            </w:tcMar>
            <w:hideMark/>
          </w:tcPr>
          <w:p w14:paraId="61B8DF7C"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482.510</w:t>
            </w:r>
          </w:p>
        </w:tc>
        <w:tc>
          <w:tcPr>
            <w:tcW w:w="1182" w:type="dxa"/>
            <w:tcBorders>
              <w:top w:val="nil"/>
              <w:left w:val="nil"/>
              <w:bottom w:val="single" w:sz="4" w:space="0" w:color="auto"/>
              <w:right w:val="single" w:sz="4" w:space="0" w:color="auto"/>
            </w:tcBorders>
            <w:noWrap/>
            <w:tcMar>
              <w:left w:w="58" w:type="dxa"/>
              <w:right w:w="58" w:type="dxa"/>
            </w:tcMar>
            <w:hideMark/>
          </w:tcPr>
          <w:p w14:paraId="0C628B11"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c>
          <w:tcPr>
            <w:tcW w:w="1140" w:type="dxa"/>
            <w:tcBorders>
              <w:top w:val="nil"/>
              <w:left w:val="nil"/>
              <w:bottom w:val="single" w:sz="4" w:space="0" w:color="auto"/>
              <w:right w:val="single" w:sz="4" w:space="0" w:color="auto"/>
            </w:tcBorders>
            <w:noWrap/>
            <w:tcMar>
              <w:left w:w="58" w:type="dxa"/>
              <w:right w:w="58" w:type="dxa"/>
            </w:tcMar>
            <w:hideMark/>
          </w:tcPr>
          <w:p w14:paraId="3B7DB7A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1.628.056</w:t>
            </w:r>
          </w:p>
        </w:tc>
        <w:tc>
          <w:tcPr>
            <w:tcW w:w="1333" w:type="dxa"/>
            <w:tcBorders>
              <w:top w:val="nil"/>
              <w:left w:val="nil"/>
              <w:bottom w:val="single" w:sz="4" w:space="0" w:color="auto"/>
              <w:right w:val="single" w:sz="4" w:space="0" w:color="auto"/>
            </w:tcBorders>
            <w:noWrap/>
            <w:tcMar>
              <w:left w:w="58" w:type="dxa"/>
              <w:right w:w="58" w:type="dxa"/>
            </w:tcMar>
            <w:hideMark/>
          </w:tcPr>
          <w:p w14:paraId="60FC8A5E"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r>
      <w:tr w:rsidR="00CF388D" w:rsidRPr="00CF388D" w14:paraId="2BB09814"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01804A02" w14:textId="7C74EAE2" w:rsidR="009210A0" w:rsidRPr="00CF388D" w:rsidRDefault="009210A0" w:rsidP="009210A0">
            <w:pPr>
              <w:jc w:val="left"/>
              <w:rPr>
                <w:rFonts w:asciiTheme="majorBidi" w:hAnsiTheme="majorBidi" w:cstheme="majorBidi"/>
                <w:sz w:val="20"/>
                <w:szCs w:val="20"/>
              </w:rPr>
            </w:pPr>
            <w:r>
              <w:rPr>
                <w:rFonts w:asciiTheme="majorBidi" w:hAnsiTheme="majorBidi"/>
                <w:sz w:val="20"/>
              </w:rPr>
              <w:t>P</w:t>
            </w:r>
            <w:r w:rsidR="008D3C2C">
              <w:rPr>
                <w:rFonts w:asciiTheme="majorBidi" w:hAnsiTheme="majorBidi"/>
                <w:sz w:val="20"/>
              </w:rPr>
              <w:t>AK</w:t>
            </w:r>
            <w:r>
              <w:rPr>
                <w:rFonts w:asciiTheme="majorBidi" w:hAnsiTheme="majorBidi"/>
                <w:sz w:val="20"/>
              </w:rPr>
              <w:t>, etapa I</w:t>
            </w:r>
          </w:p>
        </w:tc>
        <w:tc>
          <w:tcPr>
            <w:tcW w:w="1087" w:type="dxa"/>
            <w:tcBorders>
              <w:top w:val="nil"/>
              <w:left w:val="nil"/>
              <w:bottom w:val="single" w:sz="4" w:space="0" w:color="auto"/>
              <w:right w:val="single" w:sz="4" w:space="0" w:color="auto"/>
            </w:tcBorders>
            <w:noWrap/>
            <w:tcMar>
              <w:left w:w="58" w:type="dxa"/>
              <w:right w:w="58" w:type="dxa"/>
            </w:tcMar>
            <w:hideMark/>
          </w:tcPr>
          <w:p w14:paraId="31A3E8B9"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1.667.477</w:t>
            </w:r>
          </w:p>
        </w:tc>
        <w:tc>
          <w:tcPr>
            <w:tcW w:w="1181" w:type="dxa"/>
            <w:tcBorders>
              <w:top w:val="nil"/>
              <w:left w:val="nil"/>
              <w:bottom w:val="single" w:sz="4" w:space="0" w:color="auto"/>
              <w:right w:val="single" w:sz="4" w:space="0" w:color="auto"/>
            </w:tcBorders>
            <w:noWrap/>
            <w:tcMar>
              <w:left w:w="58" w:type="dxa"/>
              <w:right w:w="58" w:type="dxa"/>
            </w:tcMar>
            <w:hideMark/>
          </w:tcPr>
          <w:p w14:paraId="7823CB4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1.083.783</w:t>
            </w:r>
          </w:p>
        </w:tc>
        <w:tc>
          <w:tcPr>
            <w:tcW w:w="1182" w:type="dxa"/>
            <w:tcBorders>
              <w:top w:val="nil"/>
              <w:left w:val="nil"/>
              <w:bottom w:val="single" w:sz="4" w:space="0" w:color="auto"/>
              <w:right w:val="single" w:sz="4" w:space="0" w:color="auto"/>
            </w:tcBorders>
            <w:noWrap/>
            <w:tcMar>
              <w:left w:w="58" w:type="dxa"/>
              <w:right w:w="58" w:type="dxa"/>
            </w:tcMar>
            <w:hideMark/>
          </w:tcPr>
          <w:p w14:paraId="103B93B2"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883.167</w:t>
            </w:r>
          </w:p>
        </w:tc>
        <w:tc>
          <w:tcPr>
            <w:tcW w:w="1140" w:type="dxa"/>
            <w:tcBorders>
              <w:top w:val="nil"/>
              <w:left w:val="nil"/>
              <w:bottom w:val="single" w:sz="4" w:space="0" w:color="auto"/>
              <w:right w:val="single" w:sz="4" w:space="0" w:color="auto"/>
            </w:tcBorders>
            <w:noWrap/>
            <w:tcMar>
              <w:left w:w="58" w:type="dxa"/>
              <w:right w:w="58" w:type="dxa"/>
            </w:tcMar>
            <w:hideMark/>
          </w:tcPr>
          <w:p w14:paraId="589DC471"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3.634.428</w:t>
            </w:r>
          </w:p>
        </w:tc>
        <w:tc>
          <w:tcPr>
            <w:tcW w:w="1333" w:type="dxa"/>
            <w:tcBorders>
              <w:top w:val="nil"/>
              <w:left w:val="nil"/>
              <w:bottom w:val="single" w:sz="4" w:space="0" w:color="auto"/>
              <w:right w:val="single" w:sz="4" w:space="0" w:color="auto"/>
            </w:tcBorders>
            <w:noWrap/>
            <w:tcMar>
              <w:left w:w="58" w:type="dxa"/>
              <w:right w:w="58" w:type="dxa"/>
            </w:tcMar>
            <w:hideMark/>
          </w:tcPr>
          <w:p w14:paraId="37860668"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2.519.897</w:t>
            </w:r>
          </w:p>
        </w:tc>
      </w:tr>
      <w:tr w:rsidR="00CF388D" w:rsidRPr="00CF388D" w14:paraId="04093025"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30C6F801" w14:textId="56542BEA" w:rsidR="009210A0" w:rsidRPr="008D3C2C" w:rsidRDefault="009210A0" w:rsidP="00E52639">
            <w:pPr>
              <w:jc w:val="left"/>
              <w:rPr>
                <w:rFonts w:asciiTheme="majorBidi" w:hAnsiTheme="majorBidi" w:cstheme="majorBidi"/>
                <w:b/>
                <w:bCs/>
                <w:spacing w:val="-4"/>
                <w:sz w:val="20"/>
                <w:szCs w:val="20"/>
              </w:rPr>
            </w:pPr>
            <w:r w:rsidRPr="008D3C2C">
              <w:rPr>
                <w:rFonts w:asciiTheme="majorBidi" w:hAnsiTheme="majorBidi"/>
                <w:b/>
                <w:spacing w:val="-4"/>
                <w:sz w:val="20"/>
              </w:rPr>
              <w:t xml:space="preserve">Subtotal </w:t>
            </w:r>
            <w:r w:rsidR="008D3C2C" w:rsidRPr="008D3C2C">
              <w:rPr>
                <w:rFonts w:asciiTheme="majorBidi" w:hAnsiTheme="majorBidi"/>
                <w:b/>
                <w:spacing w:val="-4"/>
                <w:sz w:val="20"/>
              </w:rPr>
              <w:t xml:space="preserve">– </w:t>
            </w:r>
            <w:r w:rsidR="00E52639" w:rsidRPr="008D3C2C">
              <w:rPr>
                <w:rFonts w:asciiTheme="majorBidi" w:hAnsiTheme="majorBidi"/>
                <w:b/>
                <w:spacing w:val="-4"/>
                <w:sz w:val="20"/>
              </w:rPr>
              <w:t>A</w:t>
            </w:r>
            <w:r w:rsidRPr="008D3C2C">
              <w:rPr>
                <w:rFonts w:asciiTheme="majorBidi" w:hAnsiTheme="majorBidi"/>
                <w:b/>
                <w:spacing w:val="-4"/>
                <w:sz w:val="20"/>
              </w:rPr>
              <w:t>ctividades relativas a los HFC</w:t>
            </w:r>
          </w:p>
        </w:tc>
        <w:tc>
          <w:tcPr>
            <w:tcW w:w="1087" w:type="dxa"/>
            <w:tcBorders>
              <w:top w:val="nil"/>
              <w:left w:val="nil"/>
              <w:bottom w:val="single" w:sz="4" w:space="0" w:color="auto"/>
              <w:right w:val="single" w:sz="4" w:space="0" w:color="auto"/>
            </w:tcBorders>
            <w:noWrap/>
            <w:tcMar>
              <w:left w:w="58" w:type="dxa"/>
              <w:right w:w="58" w:type="dxa"/>
            </w:tcMar>
            <w:hideMark/>
          </w:tcPr>
          <w:p w14:paraId="5C2515CE"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3.954.959</w:t>
            </w:r>
          </w:p>
        </w:tc>
        <w:tc>
          <w:tcPr>
            <w:tcW w:w="1181" w:type="dxa"/>
            <w:tcBorders>
              <w:top w:val="nil"/>
              <w:left w:val="nil"/>
              <w:bottom w:val="single" w:sz="4" w:space="0" w:color="auto"/>
              <w:right w:val="single" w:sz="4" w:space="0" w:color="auto"/>
            </w:tcBorders>
            <w:noWrap/>
            <w:tcMar>
              <w:left w:w="58" w:type="dxa"/>
              <w:right w:w="58" w:type="dxa"/>
            </w:tcMar>
            <w:hideMark/>
          </w:tcPr>
          <w:p w14:paraId="15C258B4"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4.613.433</w:t>
            </w:r>
          </w:p>
        </w:tc>
        <w:tc>
          <w:tcPr>
            <w:tcW w:w="1182" w:type="dxa"/>
            <w:tcBorders>
              <w:top w:val="nil"/>
              <w:left w:val="nil"/>
              <w:bottom w:val="single" w:sz="4" w:space="0" w:color="auto"/>
              <w:right w:val="single" w:sz="4" w:space="0" w:color="auto"/>
            </w:tcBorders>
            <w:noWrap/>
            <w:tcMar>
              <w:left w:w="58" w:type="dxa"/>
              <w:right w:w="58" w:type="dxa"/>
            </w:tcMar>
            <w:hideMark/>
          </w:tcPr>
          <w:p w14:paraId="5BD1B533"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883.167</w:t>
            </w:r>
          </w:p>
        </w:tc>
        <w:tc>
          <w:tcPr>
            <w:tcW w:w="1140" w:type="dxa"/>
            <w:tcBorders>
              <w:top w:val="nil"/>
              <w:left w:val="nil"/>
              <w:bottom w:val="single" w:sz="4" w:space="0" w:color="auto"/>
              <w:right w:val="single" w:sz="4" w:space="0" w:color="auto"/>
            </w:tcBorders>
            <w:noWrap/>
            <w:tcMar>
              <w:left w:w="58" w:type="dxa"/>
              <w:right w:w="58" w:type="dxa"/>
            </w:tcMar>
            <w:hideMark/>
          </w:tcPr>
          <w:p w14:paraId="17214E21"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9.451.560</w:t>
            </w:r>
          </w:p>
        </w:tc>
        <w:tc>
          <w:tcPr>
            <w:tcW w:w="1333" w:type="dxa"/>
            <w:tcBorders>
              <w:top w:val="nil"/>
              <w:left w:val="nil"/>
              <w:bottom w:val="single" w:sz="4" w:space="0" w:color="auto"/>
              <w:right w:val="single" w:sz="4" w:space="0" w:color="auto"/>
            </w:tcBorders>
            <w:noWrap/>
            <w:tcMar>
              <w:left w:w="58" w:type="dxa"/>
              <w:right w:w="58" w:type="dxa"/>
            </w:tcMar>
            <w:hideMark/>
          </w:tcPr>
          <w:p w14:paraId="73BF1157"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3.391.869</w:t>
            </w:r>
          </w:p>
        </w:tc>
      </w:tr>
      <w:tr w:rsidR="00CF388D" w:rsidRPr="00CF388D" w14:paraId="678357DF" w14:textId="77777777" w:rsidTr="008D3C2C">
        <w:trPr>
          <w:trHeight w:val="75"/>
        </w:trPr>
        <w:tc>
          <w:tcPr>
            <w:tcW w:w="9698" w:type="dxa"/>
            <w:gridSpan w:val="6"/>
            <w:tcBorders>
              <w:top w:val="single" w:sz="4" w:space="0" w:color="auto"/>
              <w:left w:val="single" w:sz="4" w:space="0" w:color="auto"/>
              <w:bottom w:val="single" w:sz="4" w:space="0" w:color="auto"/>
              <w:right w:val="single" w:sz="4" w:space="0" w:color="auto"/>
            </w:tcBorders>
            <w:noWrap/>
            <w:tcMar>
              <w:left w:w="58" w:type="dxa"/>
              <w:right w:w="58" w:type="dxa"/>
            </w:tcMar>
            <w:hideMark/>
          </w:tcPr>
          <w:p w14:paraId="6F88A087" w14:textId="77777777" w:rsidR="009210A0" w:rsidRPr="00CF388D" w:rsidRDefault="009210A0" w:rsidP="009210A0">
            <w:pPr>
              <w:jc w:val="left"/>
              <w:rPr>
                <w:rFonts w:asciiTheme="majorBidi" w:hAnsiTheme="majorBidi" w:cstheme="majorBidi"/>
                <w:b/>
                <w:bCs/>
                <w:sz w:val="20"/>
                <w:szCs w:val="20"/>
              </w:rPr>
            </w:pPr>
            <w:r>
              <w:rPr>
                <w:rFonts w:asciiTheme="majorBidi" w:hAnsiTheme="majorBidi"/>
                <w:b/>
                <w:sz w:val="20"/>
              </w:rPr>
              <w:t>Otras actividades</w:t>
            </w:r>
          </w:p>
        </w:tc>
      </w:tr>
      <w:tr w:rsidR="00CF388D" w:rsidRPr="00CF388D" w14:paraId="087E9BAC" w14:textId="77777777" w:rsidTr="008D3C2C">
        <w:trPr>
          <w:trHeight w:val="262"/>
        </w:trPr>
        <w:tc>
          <w:tcPr>
            <w:tcW w:w="3775" w:type="dxa"/>
            <w:tcBorders>
              <w:top w:val="nil"/>
              <w:left w:val="single" w:sz="4" w:space="0" w:color="auto"/>
              <w:bottom w:val="single" w:sz="4" w:space="0" w:color="auto"/>
              <w:right w:val="single" w:sz="4" w:space="0" w:color="auto"/>
            </w:tcBorders>
            <w:noWrap/>
            <w:tcMar>
              <w:left w:w="58" w:type="dxa"/>
            </w:tcMar>
            <w:hideMark/>
          </w:tcPr>
          <w:p w14:paraId="34CEF787" w14:textId="44ACCF32" w:rsidR="009210A0" w:rsidRPr="00CF388D" w:rsidRDefault="009210A0" w:rsidP="009210A0">
            <w:pPr>
              <w:jc w:val="left"/>
              <w:rPr>
                <w:rFonts w:asciiTheme="majorBidi" w:hAnsiTheme="majorBidi" w:cstheme="majorBidi"/>
                <w:sz w:val="20"/>
                <w:szCs w:val="20"/>
              </w:rPr>
            </w:pPr>
            <w:r>
              <w:rPr>
                <w:rFonts w:asciiTheme="majorBidi" w:hAnsiTheme="majorBidi"/>
                <w:sz w:val="20"/>
              </w:rPr>
              <w:t>Proyectos piloto de eficiencia energética (decisión 91/65)</w:t>
            </w:r>
          </w:p>
        </w:tc>
        <w:tc>
          <w:tcPr>
            <w:tcW w:w="1087" w:type="dxa"/>
            <w:tcBorders>
              <w:top w:val="nil"/>
              <w:left w:val="nil"/>
              <w:bottom w:val="single" w:sz="4" w:space="0" w:color="auto"/>
              <w:right w:val="single" w:sz="4" w:space="0" w:color="auto"/>
            </w:tcBorders>
            <w:noWrap/>
            <w:tcMar>
              <w:left w:w="58" w:type="dxa"/>
              <w:right w:w="58" w:type="dxa"/>
            </w:tcMar>
            <w:hideMark/>
          </w:tcPr>
          <w:p w14:paraId="02FAD701"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2.522.500</w:t>
            </w:r>
          </w:p>
        </w:tc>
        <w:tc>
          <w:tcPr>
            <w:tcW w:w="1181" w:type="dxa"/>
            <w:tcBorders>
              <w:top w:val="nil"/>
              <w:left w:val="nil"/>
              <w:bottom w:val="single" w:sz="4" w:space="0" w:color="auto"/>
              <w:right w:val="single" w:sz="4" w:space="0" w:color="auto"/>
            </w:tcBorders>
            <w:noWrap/>
            <w:tcMar>
              <w:left w:w="58" w:type="dxa"/>
              <w:right w:w="58" w:type="dxa"/>
            </w:tcMar>
            <w:hideMark/>
          </w:tcPr>
          <w:p w14:paraId="6C16F67C"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339.000</w:t>
            </w:r>
          </w:p>
        </w:tc>
        <w:tc>
          <w:tcPr>
            <w:tcW w:w="1182" w:type="dxa"/>
            <w:tcBorders>
              <w:top w:val="nil"/>
              <w:left w:val="nil"/>
              <w:bottom w:val="single" w:sz="4" w:space="0" w:color="auto"/>
              <w:right w:val="single" w:sz="4" w:space="0" w:color="auto"/>
            </w:tcBorders>
            <w:noWrap/>
            <w:tcMar>
              <w:left w:w="58" w:type="dxa"/>
              <w:right w:w="58" w:type="dxa"/>
            </w:tcMar>
            <w:hideMark/>
          </w:tcPr>
          <w:p w14:paraId="47FAEAE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c>
          <w:tcPr>
            <w:tcW w:w="1140" w:type="dxa"/>
            <w:tcBorders>
              <w:top w:val="nil"/>
              <w:left w:val="nil"/>
              <w:bottom w:val="single" w:sz="4" w:space="0" w:color="auto"/>
              <w:right w:val="single" w:sz="4" w:space="0" w:color="auto"/>
            </w:tcBorders>
            <w:noWrap/>
            <w:tcMar>
              <w:left w:w="58" w:type="dxa"/>
              <w:right w:w="58" w:type="dxa"/>
            </w:tcMar>
            <w:hideMark/>
          </w:tcPr>
          <w:p w14:paraId="0013B55C"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2.861.500</w:t>
            </w:r>
          </w:p>
        </w:tc>
        <w:tc>
          <w:tcPr>
            <w:tcW w:w="1333" w:type="dxa"/>
            <w:tcBorders>
              <w:top w:val="nil"/>
              <w:left w:val="nil"/>
              <w:bottom w:val="single" w:sz="4" w:space="0" w:color="auto"/>
              <w:right w:val="single" w:sz="4" w:space="0" w:color="auto"/>
            </w:tcBorders>
            <w:noWrap/>
            <w:tcMar>
              <w:left w:w="58" w:type="dxa"/>
              <w:right w:w="58" w:type="dxa"/>
            </w:tcMar>
            <w:hideMark/>
          </w:tcPr>
          <w:p w14:paraId="0F21386E"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r>
      <w:tr w:rsidR="00CF388D" w:rsidRPr="00CF388D" w14:paraId="526FF8B6" w14:textId="77777777" w:rsidTr="008D3C2C">
        <w:trPr>
          <w:trHeight w:val="71"/>
        </w:trPr>
        <w:tc>
          <w:tcPr>
            <w:tcW w:w="3775" w:type="dxa"/>
            <w:tcBorders>
              <w:top w:val="nil"/>
              <w:left w:val="single" w:sz="4" w:space="0" w:color="auto"/>
              <w:bottom w:val="single" w:sz="4" w:space="0" w:color="auto"/>
              <w:right w:val="single" w:sz="4" w:space="0" w:color="auto"/>
            </w:tcBorders>
            <w:noWrap/>
            <w:tcMar>
              <w:left w:w="58" w:type="dxa"/>
            </w:tcMar>
            <w:hideMark/>
          </w:tcPr>
          <w:p w14:paraId="7C26D018" w14:textId="22F865A7" w:rsidR="009210A0" w:rsidRPr="00CF388D" w:rsidRDefault="009210A0" w:rsidP="006B75E0">
            <w:pPr>
              <w:jc w:val="left"/>
              <w:rPr>
                <w:rFonts w:asciiTheme="majorBidi" w:hAnsiTheme="majorBidi" w:cstheme="majorBidi"/>
                <w:b/>
                <w:bCs/>
                <w:sz w:val="20"/>
                <w:szCs w:val="20"/>
              </w:rPr>
            </w:pPr>
            <w:r>
              <w:rPr>
                <w:rFonts w:asciiTheme="majorBidi" w:hAnsiTheme="majorBidi"/>
                <w:b/>
                <w:sz w:val="20"/>
              </w:rPr>
              <w:t xml:space="preserve">Subtotal </w:t>
            </w:r>
            <w:r w:rsidR="008D3C2C">
              <w:rPr>
                <w:rFonts w:asciiTheme="majorBidi" w:hAnsiTheme="majorBidi"/>
                <w:b/>
                <w:sz w:val="20"/>
              </w:rPr>
              <w:t xml:space="preserve">– </w:t>
            </w:r>
            <w:r w:rsidR="006B75E0">
              <w:rPr>
                <w:rFonts w:asciiTheme="majorBidi" w:hAnsiTheme="majorBidi"/>
                <w:b/>
                <w:sz w:val="20"/>
              </w:rPr>
              <w:t>O</w:t>
            </w:r>
            <w:r>
              <w:rPr>
                <w:rFonts w:asciiTheme="majorBidi" w:hAnsiTheme="majorBidi"/>
                <w:b/>
                <w:sz w:val="20"/>
              </w:rPr>
              <w:t>tras actividades</w:t>
            </w:r>
          </w:p>
        </w:tc>
        <w:tc>
          <w:tcPr>
            <w:tcW w:w="1087" w:type="dxa"/>
            <w:tcBorders>
              <w:top w:val="nil"/>
              <w:left w:val="nil"/>
              <w:bottom w:val="single" w:sz="4" w:space="0" w:color="auto"/>
              <w:right w:val="single" w:sz="4" w:space="0" w:color="auto"/>
            </w:tcBorders>
            <w:noWrap/>
            <w:tcMar>
              <w:left w:w="58" w:type="dxa"/>
              <w:right w:w="58" w:type="dxa"/>
            </w:tcMar>
            <w:hideMark/>
          </w:tcPr>
          <w:p w14:paraId="780A22B8"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2.522.500</w:t>
            </w:r>
          </w:p>
        </w:tc>
        <w:tc>
          <w:tcPr>
            <w:tcW w:w="1181" w:type="dxa"/>
            <w:tcBorders>
              <w:top w:val="nil"/>
              <w:left w:val="nil"/>
              <w:bottom w:val="single" w:sz="4" w:space="0" w:color="auto"/>
              <w:right w:val="single" w:sz="4" w:space="0" w:color="auto"/>
            </w:tcBorders>
            <w:noWrap/>
            <w:tcMar>
              <w:left w:w="58" w:type="dxa"/>
              <w:right w:w="58" w:type="dxa"/>
            </w:tcMar>
            <w:hideMark/>
          </w:tcPr>
          <w:p w14:paraId="37E2DA2A"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339.000</w:t>
            </w:r>
          </w:p>
        </w:tc>
        <w:tc>
          <w:tcPr>
            <w:tcW w:w="1182" w:type="dxa"/>
            <w:tcBorders>
              <w:top w:val="nil"/>
              <w:left w:val="nil"/>
              <w:bottom w:val="single" w:sz="4" w:space="0" w:color="auto"/>
              <w:right w:val="single" w:sz="4" w:space="0" w:color="auto"/>
            </w:tcBorders>
            <w:noWrap/>
            <w:tcMar>
              <w:left w:w="58" w:type="dxa"/>
              <w:right w:w="58" w:type="dxa"/>
            </w:tcMar>
            <w:hideMark/>
          </w:tcPr>
          <w:p w14:paraId="14D857B3"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0</w:t>
            </w:r>
          </w:p>
        </w:tc>
        <w:tc>
          <w:tcPr>
            <w:tcW w:w="1140" w:type="dxa"/>
            <w:tcBorders>
              <w:top w:val="nil"/>
              <w:left w:val="nil"/>
              <w:bottom w:val="single" w:sz="4" w:space="0" w:color="auto"/>
              <w:right w:val="single" w:sz="4" w:space="0" w:color="auto"/>
            </w:tcBorders>
            <w:noWrap/>
            <w:tcMar>
              <w:left w:w="58" w:type="dxa"/>
              <w:right w:w="58" w:type="dxa"/>
            </w:tcMar>
            <w:hideMark/>
          </w:tcPr>
          <w:p w14:paraId="4AA92AB8"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2.861.500</w:t>
            </w:r>
          </w:p>
        </w:tc>
        <w:tc>
          <w:tcPr>
            <w:tcW w:w="1333" w:type="dxa"/>
            <w:tcBorders>
              <w:top w:val="nil"/>
              <w:left w:val="nil"/>
              <w:bottom w:val="single" w:sz="4" w:space="0" w:color="auto"/>
              <w:right w:val="single" w:sz="4" w:space="0" w:color="auto"/>
            </w:tcBorders>
            <w:noWrap/>
            <w:tcMar>
              <w:left w:w="58" w:type="dxa"/>
              <w:right w:w="58" w:type="dxa"/>
            </w:tcMar>
            <w:hideMark/>
          </w:tcPr>
          <w:p w14:paraId="56D8B3A1"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0</w:t>
            </w:r>
          </w:p>
        </w:tc>
      </w:tr>
      <w:tr w:rsidR="00CF388D" w:rsidRPr="00CF388D" w14:paraId="58CB0A66" w14:textId="77777777" w:rsidTr="008D3C2C">
        <w:trPr>
          <w:trHeight w:val="58"/>
        </w:trPr>
        <w:tc>
          <w:tcPr>
            <w:tcW w:w="9698" w:type="dxa"/>
            <w:gridSpan w:val="6"/>
            <w:tcBorders>
              <w:top w:val="single" w:sz="4" w:space="0" w:color="auto"/>
              <w:left w:val="single" w:sz="4" w:space="0" w:color="auto"/>
              <w:bottom w:val="single" w:sz="4" w:space="0" w:color="auto"/>
              <w:right w:val="single" w:sz="4" w:space="0" w:color="auto"/>
            </w:tcBorders>
            <w:noWrap/>
            <w:tcMar>
              <w:left w:w="58" w:type="dxa"/>
              <w:right w:w="58" w:type="dxa"/>
            </w:tcMar>
            <w:hideMark/>
          </w:tcPr>
          <w:p w14:paraId="2CA53410" w14:textId="77777777" w:rsidR="009210A0" w:rsidRPr="00CF388D" w:rsidRDefault="009210A0" w:rsidP="009210A0">
            <w:pPr>
              <w:jc w:val="left"/>
              <w:rPr>
                <w:rFonts w:asciiTheme="majorBidi" w:hAnsiTheme="majorBidi" w:cstheme="majorBidi"/>
                <w:b/>
                <w:bCs/>
                <w:sz w:val="20"/>
                <w:szCs w:val="20"/>
              </w:rPr>
            </w:pPr>
            <w:r>
              <w:rPr>
                <w:rFonts w:asciiTheme="majorBidi" w:hAnsiTheme="majorBidi"/>
                <w:b/>
                <w:sz w:val="20"/>
              </w:rPr>
              <w:t>Actividades ordinarias</w:t>
            </w:r>
          </w:p>
        </w:tc>
      </w:tr>
      <w:tr w:rsidR="00CF388D" w:rsidRPr="00CF388D" w14:paraId="0EB426F4"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005ADAED" w14:textId="5FF3B3A4" w:rsidR="009210A0" w:rsidRPr="00CF388D" w:rsidRDefault="009210A0" w:rsidP="009210A0">
            <w:pPr>
              <w:jc w:val="left"/>
              <w:rPr>
                <w:rFonts w:asciiTheme="majorBidi" w:hAnsiTheme="majorBidi" w:cstheme="majorBidi"/>
                <w:sz w:val="20"/>
                <w:szCs w:val="20"/>
              </w:rPr>
            </w:pPr>
            <w:r>
              <w:rPr>
                <w:rFonts w:asciiTheme="majorBidi" w:hAnsiTheme="majorBidi"/>
                <w:sz w:val="20"/>
              </w:rPr>
              <w:t>Fortalecimiento institucional</w:t>
            </w:r>
          </w:p>
        </w:tc>
        <w:tc>
          <w:tcPr>
            <w:tcW w:w="1087" w:type="dxa"/>
            <w:tcBorders>
              <w:top w:val="nil"/>
              <w:left w:val="nil"/>
              <w:bottom w:val="single" w:sz="4" w:space="0" w:color="auto"/>
              <w:right w:val="single" w:sz="4" w:space="0" w:color="auto"/>
            </w:tcBorders>
            <w:noWrap/>
            <w:tcMar>
              <w:left w:w="58" w:type="dxa"/>
              <w:right w:w="58" w:type="dxa"/>
            </w:tcMar>
            <w:hideMark/>
          </w:tcPr>
          <w:p w14:paraId="388D70D8"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10.008.304</w:t>
            </w:r>
          </w:p>
        </w:tc>
        <w:tc>
          <w:tcPr>
            <w:tcW w:w="1181" w:type="dxa"/>
            <w:tcBorders>
              <w:top w:val="nil"/>
              <w:left w:val="nil"/>
              <w:bottom w:val="single" w:sz="4" w:space="0" w:color="auto"/>
              <w:right w:val="single" w:sz="4" w:space="0" w:color="auto"/>
            </w:tcBorders>
            <w:noWrap/>
            <w:tcMar>
              <w:left w:w="58" w:type="dxa"/>
              <w:right w:w="58" w:type="dxa"/>
            </w:tcMar>
            <w:hideMark/>
          </w:tcPr>
          <w:p w14:paraId="252ED188"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11.032.246</w:t>
            </w:r>
          </w:p>
        </w:tc>
        <w:tc>
          <w:tcPr>
            <w:tcW w:w="1182" w:type="dxa"/>
            <w:tcBorders>
              <w:top w:val="nil"/>
              <w:left w:val="nil"/>
              <w:bottom w:val="single" w:sz="4" w:space="0" w:color="auto"/>
              <w:right w:val="single" w:sz="4" w:space="0" w:color="auto"/>
            </w:tcBorders>
            <w:noWrap/>
            <w:tcMar>
              <w:left w:w="58" w:type="dxa"/>
              <w:right w:w="58" w:type="dxa"/>
            </w:tcMar>
            <w:hideMark/>
          </w:tcPr>
          <w:p w14:paraId="10292613"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1.662.377</w:t>
            </w:r>
          </w:p>
        </w:tc>
        <w:tc>
          <w:tcPr>
            <w:tcW w:w="1140" w:type="dxa"/>
            <w:tcBorders>
              <w:top w:val="nil"/>
              <w:left w:val="nil"/>
              <w:bottom w:val="single" w:sz="4" w:space="0" w:color="auto"/>
              <w:right w:val="single" w:sz="4" w:space="0" w:color="auto"/>
            </w:tcBorders>
            <w:noWrap/>
            <w:tcMar>
              <w:left w:w="58" w:type="dxa"/>
              <w:right w:w="58" w:type="dxa"/>
            </w:tcMar>
            <w:hideMark/>
          </w:tcPr>
          <w:p w14:paraId="15A66E50"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22.702.927</w:t>
            </w:r>
          </w:p>
        </w:tc>
        <w:tc>
          <w:tcPr>
            <w:tcW w:w="1333" w:type="dxa"/>
            <w:tcBorders>
              <w:top w:val="nil"/>
              <w:left w:val="nil"/>
              <w:bottom w:val="single" w:sz="4" w:space="0" w:color="auto"/>
              <w:right w:val="single" w:sz="4" w:space="0" w:color="auto"/>
            </w:tcBorders>
            <w:noWrap/>
            <w:tcMar>
              <w:left w:w="58" w:type="dxa"/>
              <w:right w:w="58" w:type="dxa"/>
            </w:tcMar>
            <w:hideMark/>
          </w:tcPr>
          <w:p w14:paraId="2CE2AA83"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r>
      <w:tr w:rsidR="00CF388D" w:rsidRPr="00CF388D" w14:paraId="0C4F8480"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30471D6F" w14:textId="0046181C" w:rsidR="009210A0" w:rsidRPr="00CF388D" w:rsidRDefault="009210A0" w:rsidP="009210A0">
            <w:pPr>
              <w:jc w:val="left"/>
              <w:rPr>
                <w:rFonts w:asciiTheme="majorBidi" w:hAnsiTheme="majorBidi" w:cstheme="majorBidi"/>
                <w:sz w:val="20"/>
                <w:szCs w:val="20"/>
              </w:rPr>
            </w:pPr>
            <w:r>
              <w:rPr>
                <w:rFonts w:asciiTheme="majorBidi" w:hAnsiTheme="majorBidi"/>
                <w:sz w:val="20"/>
              </w:rPr>
              <w:t>PAC</w:t>
            </w:r>
          </w:p>
        </w:tc>
        <w:tc>
          <w:tcPr>
            <w:tcW w:w="1087" w:type="dxa"/>
            <w:tcBorders>
              <w:top w:val="nil"/>
              <w:left w:val="nil"/>
              <w:bottom w:val="single" w:sz="4" w:space="0" w:color="auto"/>
              <w:right w:val="single" w:sz="4" w:space="0" w:color="auto"/>
            </w:tcBorders>
            <w:noWrap/>
            <w:tcMar>
              <w:left w:w="58" w:type="dxa"/>
              <w:right w:w="58" w:type="dxa"/>
            </w:tcMar>
            <w:hideMark/>
          </w:tcPr>
          <w:p w14:paraId="3340E70B"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12.650.848</w:t>
            </w:r>
          </w:p>
        </w:tc>
        <w:tc>
          <w:tcPr>
            <w:tcW w:w="1181" w:type="dxa"/>
            <w:tcBorders>
              <w:top w:val="nil"/>
              <w:left w:val="nil"/>
              <w:bottom w:val="single" w:sz="4" w:space="0" w:color="auto"/>
              <w:right w:val="single" w:sz="4" w:space="0" w:color="auto"/>
            </w:tcBorders>
            <w:noWrap/>
            <w:tcMar>
              <w:left w:w="58" w:type="dxa"/>
              <w:right w:w="58" w:type="dxa"/>
            </w:tcMar>
            <w:hideMark/>
          </w:tcPr>
          <w:p w14:paraId="5BEC61EB"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13.030.373</w:t>
            </w:r>
          </w:p>
        </w:tc>
        <w:tc>
          <w:tcPr>
            <w:tcW w:w="1182" w:type="dxa"/>
            <w:tcBorders>
              <w:top w:val="nil"/>
              <w:left w:val="nil"/>
              <w:bottom w:val="single" w:sz="4" w:space="0" w:color="auto"/>
              <w:right w:val="single" w:sz="4" w:space="0" w:color="auto"/>
            </w:tcBorders>
            <w:noWrap/>
            <w:tcMar>
              <w:left w:w="58" w:type="dxa"/>
              <w:right w:w="58" w:type="dxa"/>
            </w:tcMar>
            <w:hideMark/>
          </w:tcPr>
          <w:p w14:paraId="167554CF"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13.421.285</w:t>
            </w:r>
          </w:p>
        </w:tc>
        <w:tc>
          <w:tcPr>
            <w:tcW w:w="1140" w:type="dxa"/>
            <w:tcBorders>
              <w:top w:val="nil"/>
              <w:left w:val="nil"/>
              <w:bottom w:val="single" w:sz="4" w:space="0" w:color="auto"/>
              <w:right w:val="single" w:sz="4" w:space="0" w:color="auto"/>
            </w:tcBorders>
            <w:noWrap/>
            <w:tcMar>
              <w:left w:w="58" w:type="dxa"/>
              <w:right w:w="58" w:type="dxa"/>
            </w:tcMar>
            <w:hideMark/>
          </w:tcPr>
          <w:p w14:paraId="2E4333E9"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39.102.506</w:t>
            </w:r>
          </w:p>
        </w:tc>
        <w:tc>
          <w:tcPr>
            <w:tcW w:w="1333" w:type="dxa"/>
            <w:tcBorders>
              <w:top w:val="nil"/>
              <w:left w:val="nil"/>
              <w:bottom w:val="single" w:sz="4" w:space="0" w:color="auto"/>
              <w:right w:val="single" w:sz="4" w:space="0" w:color="auto"/>
            </w:tcBorders>
            <w:noWrap/>
            <w:tcMar>
              <w:left w:w="58" w:type="dxa"/>
              <w:right w:w="58" w:type="dxa"/>
            </w:tcMar>
            <w:hideMark/>
          </w:tcPr>
          <w:p w14:paraId="632B39A6" w14:textId="77777777" w:rsidR="009210A0" w:rsidRPr="00CF388D" w:rsidRDefault="009210A0" w:rsidP="009210A0">
            <w:pPr>
              <w:jc w:val="right"/>
              <w:rPr>
                <w:rFonts w:asciiTheme="majorBidi" w:hAnsiTheme="majorBidi" w:cstheme="majorBidi"/>
                <w:sz w:val="20"/>
                <w:szCs w:val="20"/>
              </w:rPr>
            </w:pPr>
            <w:r>
              <w:rPr>
                <w:rFonts w:asciiTheme="majorBidi" w:hAnsiTheme="majorBidi"/>
                <w:sz w:val="20"/>
              </w:rPr>
              <w:t>0</w:t>
            </w:r>
          </w:p>
        </w:tc>
      </w:tr>
      <w:tr w:rsidR="00CF388D" w:rsidRPr="00CF388D" w14:paraId="6FB71965"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619AEB41" w14:textId="255FFB5F" w:rsidR="009210A0" w:rsidRPr="00CF388D" w:rsidRDefault="009210A0" w:rsidP="006B75E0">
            <w:pPr>
              <w:jc w:val="left"/>
              <w:rPr>
                <w:rFonts w:asciiTheme="majorBidi" w:hAnsiTheme="majorBidi" w:cstheme="majorBidi"/>
                <w:b/>
                <w:bCs/>
                <w:sz w:val="20"/>
                <w:szCs w:val="20"/>
              </w:rPr>
            </w:pPr>
            <w:r>
              <w:rPr>
                <w:rFonts w:asciiTheme="majorBidi" w:hAnsiTheme="majorBidi"/>
                <w:b/>
                <w:sz w:val="20"/>
              </w:rPr>
              <w:t xml:space="preserve">Subtotal </w:t>
            </w:r>
            <w:r w:rsidR="008D3C2C">
              <w:rPr>
                <w:rFonts w:asciiTheme="majorBidi" w:hAnsiTheme="majorBidi"/>
                <w:b/>
                <w:sz w:val="20"/>
              </w:rPr>
              <w:t xml:space="preserve">– </w:t>
            </w:r>
            <w:r w:rsidR="006B75E0">
              <w:rPr>
                <w:rFonts w:asciiTheme="majorBidi" w:hAnsiTheme="majorBidi"/>
                <w:b/>
                <w:sz w:val="20"/>
              </w:rPr>
              <w:t>A</w:t>
            </w:r>
            <w:r>
              <w:rPr>
                <w:rFonts w:asciiTheme="majorBidi" w:hAnsiTheme="majorBidi"/>
                <w:b/>
                <w:sz w:val="20"/>
              </w:rPr>
              <w:t>ctividades ordinarias</w:t>
            </w:r>
          </w:p>
        </w:tc>
        <w:tc>
          <w:tcPr>
            <w:tcW w:w="1087" w:type="dxa"/>
            <w:tcBorders>
              <w:top w:val="nil"/>
              <w:left w:val="nil"/>
              <w:bottom w:val="single" w:sz="4" w:space="0" w:color="auto"/>
              <w:right w:val="single" w:sz="4" w:space="0" w:color="auto"/>
            </w:tcBorders>
            <w:noWrap/>
            <w:tcMar>
              <w:left w:w="58" w:type="dxa"/>
              <w:right w:w="58" w:type="dxa"/>
            </w:tcMar>
            <w:hideMark/>
          </w:tcPr>
          <w:p w14:paraId="0F4004C4"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22.659.152</w:t>
            </w:r>
          </w:p>
        </w:tc>
        <w:tc>
          <w:tcPr>
            <w:tcW w:w="1181" w:type="dxa"/>
            <w:tcBorders>
              <w:top w:val="nil"/>
              <w:left w:val="nil"/>
              <w:bottom w:val="single" w:sz="4" w:space="0" w:color="auto"/>
              <w:right w:val="single" w:sz="4" w:space="0" w:color="auto"/>
            </w:tcBorders>
            <w:noWrap/>
            <w:tcMar>
              <w:left w:w="58" w:type="dxa"/>
              <w:right w:w="58" w:type="dxa"/>
            </w:tcMar>
            <w:hideMark/>
          </w:tcPr>
          <w:p w14:paraId="2603991D"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24.062.619</w:t>
            </w:r>
          </w:p>
        </w:tc>
        <w:tc>
          <w:tcPr>
            <w:tcW w:w="1182" w:type="dxa"/>
            <w:tcBorders>
              <w:top w:val="nil"/>
              <w:left w:val="nil"/>
              <w:bottom w:val="single" w:sz="4" w:space="0" w:color="auto"/>
              <w:right w:val="single" w:sz="4" w:space="0" w:color="auto"/>
            </w:tcBorders>
            <w:noWrap/>
            <w:tcMar>
              <w:left w:w="58" w:type="dxa"/>
              <w:right w:w="58" w:type="dxa"/>
            </w:tcMar>
            <w:hideMark/>
          </w:tcPr>
          <w:p w14:paraId="7315B311"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15.083.662</w:t>
            </w:r>
          </w:p>
        </w:tc>
        <w:tc>
          <w:tcPr>
            <w:tcW w:w="1140" w:type="dxa"/>
            <w:tcBorders>
              <w:top w:val="nil"/>
              <w:left w:val="nil"/>
              <w:bottom w:val="single" w:sz="4" w:space="0" w:color="auto"/>
              <w:right w:val="single" w:sz="4" w:space="0" w:color="auto"/>
            </w:tcBorders>
            <w:noWrap/>
            <w:tcMar>
              <w:left w:w="58" w:type="dxa"/>
              <w:right w:w="58" w:type="dxa"/>
            </w:tcMar>
            <w:hideMark/>
          </w:tcPr>
          <w:p w14:paraId="22838299"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61.805.433</w:t>
            </w:r>
          </w:p>
        </w:tc>
        <w:tc>
          <w:tcPr>
            <w:tcW w:w="1333" w:type="dxa"/>
            <w:tcBorders>
              <w:top w:val="nil"/>
              <w:left w:val="nil"/>
              <w:bottom w:val="single" w:sz="4" w:space="0" w:color="auto"/>
              <w:right w:val="single" w:sz="4" w:space="0" w:color="auto"/>
            </w:tcBorders>
            <w:noWrap/>
            <w:tcMar>
              <w:left w:w="58" w:type="dxa"/>
              <w:right w:w="58" w:type="dxa"/>
            </w:tcMar>
            <w:hideMark/>
          </w:tcPr>
          <w:p w14:paraId="2A35DEF5"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0</w:t>
            </w:r>
          </w:p>
        </w:tc>
      </w:tr>
      <w:tr w:rsidR="00CF388D" w:rsidRPr="00CF388D" w14:paraId="0D808B25" w14:textId="77777777" w:rsidTr="008D3C2C">
        <w:trPr>
          <w:trHeight w:val="58"/>
        </w:trPr>
        <w:tc>
          <w:tcPr>
            <w:tcW w:w="3775" w:type="dxa"/>
            <w:tcBorders>
              <w:top w:val="nil"/>
              <w:left w:val="single" w:sz="4" w:space="0" w:color="auto"/>
              <w:bottom w:val="single" w:sz="4" w:space="0" w:color="auto"/>
              <w:right w:val="single" w:sz="4" w:space="0" w:color="auto"/>
            </w:tcBorders>
            <w:noWrap/>
            <w:tcMar>
              <w:left w:w="58" w:type="dxa"/>
            </w:tcMar>
            <w:hideMark/>
          </w:tcPr>
          <w:p w14:paraId="5E5620F7" w14:textId="77777777" w:rsidR="009210A0" w:rsidRPr="00CF388D" w:rsidRDefault="009210A0" w:rsidP="009210A0">
            <w:pPr>
              <w:jc w:val="left"/>
              <w:rPr>
                <w:rFonts w:asciiTheme="majorBidi" w:hAnsiTheme="majorBidi" w:cstheme="majorBidi"/>
                <w:b/>
                <w:bCs/>
                <w:sz w:val="20"/>
                <w:szCs w:val="20"/>
              </w:rPr>
            </w:pPr>
            <w:r>
              <w:rPr>
                <w:rFonts w:asciiTheme="majorBidi" w:hAnsiTheme="majorBidi"/>
                <w:b/>
                <w:sz w:val="20"/>
              </w:rPr>
              <w:t>Total</w:t>
            </w:r>
          </w:p>
        </w:tc>
        <w:tc>
          <w:tcPr>
            <w:tcW w:w="1087" w:type="dxa"/>
            <w:tcBorders>
              <w:top w:val="nil"/>
              <w:left w:val="nil"/>
              <w:bottom w:val="single" w:sz="4" w:space="0" w:color="auto"/>
              <w:right w:val="single" w:sz="4" w:space="0" w:color="auto"/>
            </w:tcBorders>
            <w:noWrap/>
            <w:tcMar>
              <w:left w:w="58" w:type="dxa"/>
              <w:right w:w="58" w:type="dxa"/>
            </w:tcMar>
            <w:hideMark/>
          </w:tcPr>
          <w:p w14:paraId="293B8583"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44.493.339</w:t>
            </w:r>
          </w:p>
        </w:tc>
        <w:tc>
          <w:tcPr>
            <w:tcW w:w="1181" w:type="dxa"/>
            <w:tcBorders>
              <w:top w:val="nil"/>
              <w:left w:val="nil"/>
              <w:bottom w:val="single" w:sz="4" w:space="0" w:color="auto"/>
              <w:right w:val="single" w:sz="4" w:space="0" w:color="auto"/>
            </w:tcBorders>
            <w:noWrap/>
            <w:tcMar>
              <w:left w:w="58" w:type="dxa"/>
              <w:right w:w="58" w:type="dxa"/>
            </w:tcMar>
            <w:hideMark/>
          </w:tcPr>
          <w:p w14:paraId="6B7DCE00"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37.792.392</w:t>
            </w:r>
          </w:p>
        </w:tc>
        <w:tc>
          <w:tcPr>
            <w:tcW w:w="1182" w:type="dxa"/>
            <w:tcBorders>
              <w:top w:val="nil"/>
              <w:left w:val="nil"/>
              <w:bottom w:val="single" w:sz="4" w:space="0" w:color="auto"/>
              <w:right w:val="single" w:sz="4" w:space="0" w:color="auto"/>
            </w:tcBorders>
            <w:noWrap/>
            <w:tcMar>
              <w:left w:w="58" w:type="dxa"/>
              <w:right w:w="58" w:type="dxa"/>
            </w:tcMar>
            <w:hideMark/>
          </w:tcPr>
          <w:p w14:paraId="5454C6EB"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18.327.564</w:t>
            </w:r>
          </w:p>
        </w:tc>
        <w:tc>
          <w:tcPr>
            <w:tcW w:w="1140" w:type="dxa"/>
            <w:tcBorders>
              <w:top w:val="nil"/>
              <w:left w:val="nil"/>
              <w:bottom w:val="single" w:sz="4" w:space="0" w:color="auto"/>
              <w:right w:val="single" w:sz="4" w:space="0" w:color="auto"/>
            </w:tcBorders>
            <w:noWrap/>
            <w:tcMar>
              <w:left w:w="58" w:type="dxa"/>
              <w:right w:w="58" w:type="dxa"/>
            </w:tcMar>
            <w:hideMark/>
          </w:tcPr>
          <w:p w14:paraId="535FF505"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100.613.295</w:t>
            </w:r>
          </w:p>
        </w:tc>
        <w:tc>
          <w:tcPr>
            <w:tcW w:w="1333" w:type="dxa"/>
            <w:tcBorders>
              <w:top w:val="nil"/>
              <w:left w:val="nil"/>
              <w:bottom w:val="single" w:sz="4" w:space="0" w:color="auto"/>
              <w:right w:val="single" w:sz="4" w:space="0" w:color="auto"/>
            </w:tcBorders>
            <w:noWrap/>
            <w:tcMar>
              <w:left w:w="58" w:type="dxa"/>
              <w:right w:w="58" w:type="dxa"/>
            </w:tcMar>
            <w:hideMark/>
          </w:tcPr>
          <w:p w14:paraId="23479DE1" w14:textId="77777777" w:rsidR="009210A0" w:rsidRPr="00CF388D" w:rsidRDefault="009210A0" w:rsidP="009210A0">
            <w:pPr>
              <w:jc w:val="right"/>
              <w:rPr>
                <w:rFonts w:asciiTheme="majorBidi" w:hAnsiTheme="majorBidi" w:cstheme="majorBidi"/>
                <w:b/>
                <w:bCs/>
                <w:sz w:val="20"/>
                <w:szCs w:val="20"/>
              </w:rPr>
            </w:pPr>
            <w:r>
              <w:rPr>
                <w:rFonts w:asciiTheme="majorBidi" w:hAnsiTheme="majorBidi"/>
                <w:b/>
                <w:sz w:val="20"/>
              </w:rPr>
              <w:t>14.393.648</w:t>
            </w:r>
          </w:p>
        </w:tc>
      </w:tr>
    </w:tbl>
    <w:p w14:paraId="1E420FC7" w14:textId="57E4B637" w:rsidR="00602AF5" w:rsidRPr="00CF388D" w:rsidRDefault="00602AF5" w:rsidP="00602AF5">
      <w:pPr>
        <w:rPr>
          <w:sz w:val="19"/>
          <w:szCs w:val="19"/>
        </w:rPr>
      </w:pPr>
      <w:r>
        <w:rPr>
          <w:sz w:val="19"/>
        </w:rPr>
        <w:t xml:space="preserve">* Incluidos gastos de apoyo </w:t>
      </w:r>
      <w:r w:rsidR="001D78AF">
        <w:rPr>
          <w:sz w:val="19"/>
        </w:rPr>
        <w:t>cuando corresponda.</w:t>
      </w:r>
    </w:p>
    <w:p w14:paraId="0450AC74" w14:textId="77777777" w:rsidR="00602AF5" w:rsidRPr="00CF388D" w:rsidRDefault="00602AF5" w:rsidP="00602AF5">
      <w:pPr>
        <w:keepNext/>
        <w:rPr>
          <w:b/>
          <w:spacing w:val="-3"/>
          <w:sz w:val="24"/>
          <w:szCs w:val="24"/>
        </w:rPr>
      </w:pPr>
      <w:r>
        <w:rPr>
          <w:b/>
          <w:sz w:val="24"/>
        </w:rPr>
        <w:lastRenderedPageBreak/>
        <w:t>IV.</w:t>
      </w:r>
      <w:r>
        <w:rPr>
          <w:b/>
          <w:sz w:val="24"/>
        </w:rPr>
        <w:tab/>
        <w:t xml:space="preserve">Indicadores de desempeño </w:t>
      </w:r>
    </w:p>
    <w:p w14:paraId="25F49524" w14:textId="77777777" w:rsidR="00602AF5" w:rsidRPr="00CF388D" w:rsidRDefault="00602AF5" w:rsidP="00602AF5">
      <w:pPr>
        <w:keepNext/>
        <w:rPr>
          <w:spacing w:val="-3"/>
        </w:rPr>
      </w:pPr>
    </w:p>
    <w:p w14:paraId="330A45FE" w14:textId="53FDF555" w:rsidR="00602AF5" w:rsidRPr="00B85E6A" w:rsidRDefault="00602AF5" w:rsidP="00602AF5">
      <w:pPr>
        <w:pStyle w:val="Heading1"/>
        <w:rPr>
          <w:spacing w:val="-2"/>
        </w:rPr>
      </w:pPr>
      <w:r w:rsidRPr="00B85E6A">
        <w:rPr>
          <w:spacing w:val="-2"/>
        </w:rPr>
        <w:t>El PNUMA presentó indicadores de desempeño con arreglo a la decisión 93/8 d)</w:t>
      </w:r>
      <w:r w:rsidRPr="00B85E6A">
        <w:rPr>
          <w:rStyle w:val="FootnoteReference"/>
          <w:spacing w:val="-2"/>
        </w:rPr>
        <w:footnoteReference w:id="6"/>
      </w:r>
      <w:r w:rsidRPr="00B85E6A">
        <w:rPr>
          <w:spacing w:val="-2"/>
        </w:rPr>
        <w:t xml:space="preserve"> en el texto descriptivo de su plan administrativo. La Secretaría </w:t>
      </w:r>
      <w:r w:rsidR="00B85E6A" w:rsidRPr="00B85E6A">
        <w:rPr>
          <w:spacing w:val="-2"/>
        </w:rPr>
        <w:t>co</w:t>
      </w:r>
      <w:r w:rsidRPr="00B85E6A">
        <w:rPr>
          <w:spacing w:val="-2"/>
        </w:rPr>
        <w:t>m</w:t>
      </w:r>
      <w:r w:rsidR="00B85E6A" w:rsidRPr="00B85E6A">
        <w:rPr>
          <w:spacing w:val="-2"/>
        </w:rPr>
        <w:t>unic</w:t>
      </w:r>
      <w:r w:rsidRPr="00B85E6A">
        <w:rPr>
          <w:spacing w:val="-2"/>
        </w:rPr>
        <w:t>ó al PNUMA las metas indicadas en el cuadro</w:t>
      </w:r>
      <w:r w:rsidR="00B85E6A" w:rsidRPr="00B85E6A">
        <w:rPr>
          <w:spacing w:val="-2"/>
        </w:rPr>
        <w:t> </w:t>
      </w:r>
      <w:r w:rsidRPr="00B85E6A">
        <w:rPr>
          <w:spacing w:val="-2"/>
        </w:rPr>
        <w:t xml:space="preserve">4. </w:t>
      </w:r>
    </w:p>
    <w:p w14:paraId="2C2BF8CB" w14:textId="1B646498" w:rsidR="00602AF5" w:rsidRPr="00CF388D" w:rsidRDefault="00602AF5" w:rsidP="00602AF5">
      <w:pPr>
        <w:pStyle w:val="subhead"/>
        <w:keepNext/>
        <w:keepLines/>
        <w:widowControl w:val="0"/>
        <w:jc w:val="left"/>
        <w:rPr>
          <w:b/>
          <w:bCs/>
          <w:sz w:val="22"/>
          <w:szCs w:val="22"/>
        </w:rPr>
      </w:pPr>
      <w:r>
        <w:rPr>
          <w:b/>
          <w:sz w:val="22"/>
        </w:rPr>
        <w:t xml:space="preserve">Cuadro 4. Indicadores de desempeño </w:t>
      </w:r>
      <w:r w:rsidR="006D2C71">
        <w:rPr>
          <w:b/>
          <w:sz w:val="22"/>
        </w:rPr>
        <w:t>d</w:t>
      </w:r>
      <w:r>
        <w:rPr>
          <w:b/>
          <w:sz w:val="22"/>
        </w:rPr>
        <w:t>el PNUMA para 2026</w:t>
      </w:r>
    </w:p>
    <w:tbl>
      <w:tblPr>
        <w:tblW w:w="523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49"/>
        <w:gridCol w:w="4499"/>
        <w:gridCol w:w="1500"/>
      </w:tblGrid>
      <w:tr w:rsidR="00CF388D" w:rsidRPr="00CF388D" w14:paraId="54D0A0C0" w14:textId="77777777" w:rsidTr="008851E3">
        <w:trPr>
          <w:trHeight w:val="136"/>
          <w:tblHeader/>
        </w:trPr>
        <w:tc>
          <w:tcPr>
            <w:tcW w:w="783" w:type="pct"/>
            <w:tcMar>
              <w:left w:w="29" w:type="dxa"/>
              <w:right w:w="29" w:type="dxa"/>
            </w:tcMar>
            <w:hideMark/>
          </w:tcPr>
          <w:p w14:paraId="2DF43D38" w14:textId="77777777" w:rsidR="00602AF5" w:rsidRPr="00CF388D" w:rsidRDefault="00602AF5" w:rsidP="00374BF2">
            <w:pPr>
              <w:keepNext/>
              <w:jc w:val="center"/>
              <w:rPr>
                <w:rFonts w:asciiTheme="majorBidi" w:hAnsiTheme="majorBidi" w:cstheme="majorBidi"/>
                <w:b/>
                <w:bCs/>
                <w:sz w:val="20"/>
                <w:szCs w:val="20"/>
              </w:rPr>
            </w:pPr>
            <w:r>
              <w:rPr>
                <w:rFonts w:asciiTheme="majorBidi" w:hAnsiTheme="majorBidi"/>
                <w:b/>
                <w:sz w:val="20"/>
              </w:rPr>
              <w:t>Tipo de indicador</w:t>
            </w:r>
          </w:p>
        </w:tc>
        <w:tc>
          <w:tcPr>
            <w:tcW w:w="1150" w:type="pct"/>
            <w:tcMar>
              <w:left w:w="29" w:type="dxa"/>
              <w:right w:w="29" w:type="dxa"/>
            </w:tcMar>
            <w:hideMark/>
          </w:tcPr>
          <w:p w14:paraId="0DDD4D09" w14:textId="77777777" w:rsidR="00602AF5" w:rsidRPr="00CF388D" w:rsidRDefault="00602AF5" w:rsidP="00374BF2">
            <w:pPr>
              <w:keepNext/>
              <w:jc w:val="center"/>
              <w:rPr>
                <w:rFonts w:asciiTheme="majorBidi" w:hAnsiTheme="majorBidi" w:cstheme="majorBidi"/>
                <w:b/>
                <w:bCs/>
                <w:sz w:val="20"/>
                <w:szCs w:val="20"/>
              </w:rPr>
            </w:pPr>
            <w:r>
              <w:rPr>
                <w:rFonts w:asciiTheme="majorBidi" w:hAnsiTheme="majorBidi"/>
                <w:b/>
                <w:sz w:val="20"/>
              </w:rPr>
              <w:t>Título corto</w:t>
            </w:r>
          </w:p>
        </w:tc>
        <w:tc>
          <w:tcPr>
            <w:tcW w:w="2300" w:type="pct"/>
            <w:tcMar>
              <w:left w:w="29" w:type="dxa"/>
              <w:right w:w="29" w:type="dxa"/>
            </w:tcMar>
            <w:hideMark/>
          </w:tcPr>
          <w:p w14:paraId="7DE114E1" w14:textId="77777777" w:rsidR="00602AF5" w:rsidRPr="00CF388D" w:rsidRDefault="00602AF5" w:rsidP="00374BF2">
            <w:pPr>
              <w:keepNext/>
              <w:jc w:val="center"/>
              <w:rPr>
                <w:rFonts w:asciiTheme="majorBidi" w:hAnsiTheme="majorBidi" w:cstheme="majorBidi"/>
                <w:b/>
                <w:bCs/>
                <w:sz w:val="20"/>
                <w:szCs w:val="20"/>
              </w:rPr>
            </w:pPr>
            <w:r>
              <w:rPr>
                <w:rFonts w:asciiTheme="majorBidi" w:hAnsiTheme="majorBidi"/>
                <w:b/>
                <w:sz w:val="20"/>
              </w:rPr>
              <w:t>Cálculo</w:t>
            </w:r>
          </w:p>
        </w:tc>
        <w:tc>
          <w:tcPr>
            <w:tcW w:w="767" w:type="pct"/>
            <w:tcMar>
              <w:left w:w="29" w:type="dxa"/>
              <w:right w:w="29" w:type="dxa"/>
            </w:tcMar>
          </w:tcPr>
          <w:p w14:paraId="3EEAE7EF" w14:textId="68916973" w:rsidR="00602AF5" w:rsidRPr="00CF388D" w:rsidRDefault="00602AF5" w:rsidP="00374BF2">
            <w:pPr>
              <w:keepNext/>
              <w:jc w:val="center"/>
              <w:rPr>
                <w:rFonts w:asciiTheme="majorBidi" w:hAnsiTheme="majorBidi" w:cstheme="majorBidi"/>
                <w:b/>
                <w:bCs/>
                <w:sz w:val="20"/>
                <w:szCs w:val="20"/>
              </w:rPr>
            </w:pPr>
            <w:r>
              <w:rPr>
                <w:rFonts w:asciiTheme="majorBidi" w:hAnsiTheme="majorBidi"/>
                <w:b/>
                <w:sz w:val="20"/>
              </w:rPr>
              <w:t>Meta para 2026</w:t>
            </w:r>
          </w:p>
        </w:tc>
      </w:tr>
      <w:tr w:rsidR="00CF388D" w:rsidRPr="00CF388D" w14:paraId="4F0A098A" w14:textId="77777777" w:rsidTr="008851E3">
        <w:trPr>
          <w:trHeight w:val="44"/>
        </w:trPr>
        <w:tc>
          <w:tcPr>
            <w:tcW w:w="783" w:type="pct"/>
            <w:tcMar>
              <w:left w:w="29" w:type="dxa"/>
              <w:right w:w="29" w:type="dxa"/>
            </w:tcMar>
            <w:hideMark/>
          </w:tcPr>
          <w:p w14:paraId="62B3D94A" w14:textId="7033EE17" w:rsidR="00602AF5" w:rsidRPr="00CF388D" w:rsidRDefault="00602AF5" w:rsidP="00B85E6A">
            <w:pPr>
              <w:jc w:val="left"/>
              <w:rPr>
                <w:rFonts w:asciiTheme="majorBidi" w:hAnsiTheme="majorBidi" w:cstheme="majorBidi"/>
                <w:sz w:val="20"/>
                <w:szCs w:val="20"/>
              </w:rPr>
            </w:pPr>
            <w:r>
              <w:rPr>
                <w:rFonts w:asciiTheme="majorBidi" w:hAnsiTheme="majorBidi"/>
                <w:sz w:val="20"/>
              </w:rPr>
              <w:t>Planificación</w:t>
            </w:r>
            <w:r w:rsidR="00B85E6A">
              <w:rPr>
                <w:rFonts w:asciiTheme="majorBidi" w:hAnsiTheme="majorBidi"/>
                <w:sz w:val="20"/>
              </w:rPr>
              <w:t xml:space="preserve"> </w:t>
            </w:r>
            <w:r>
              <w:rPr>
                <w:rFonts w:asciiTheme="majorBidi" w:hAnsiTheme="majorBidi"/>
                <w:sz w:val="20"/>
              </w:rPr>
              <w:t>–Aprobación</w:t>
            </w:r>
          </w:p>
        </w:tc>
        <w:tc>
          <w:tcPr>
            <w:tcW w:w="1150" w:type="pct"/>
            <w:tcMar>
              <w:left w:w="29" w:type="dxa"/>
              <w:right w:w="29" w:type="dxa"/>
            </w:tcMar>
            <w:hideMark/>
          </w:tcPr>
          <w:p w14:paraId="28A3C92C" w14:textId="77777777" w:rsidR="00602AF5" w:rsidRPr="00CF388D" w:rsidRDefault="00602AF5" w:rsidP="00374BF2">
            <w:pPr>
              <w:keepNext/>
              <w:jc w:val="left"/>
              <w:rPr>
                <w:rFonts w:asciiTheme="majorBidi" w:hAnsiTheme="majorBidi" w:cstheme="majorBidi"/>
                <w:sz w:val="20"/>
                <w:szCs w:val="20"/>
              </w:rPr>
            </w:pPr>
            <w:r>
              <w:rPr>
                <w:rFonts w:asciiTheme="majorBidi" w:hAnsiTheme="majorBidi"/>
                <w:sz w:val="20"/>
              </w:rPr>
              <w:t>Tramos aprobados</w:t>
            </w:r>
          </w:p>
        </w:tc>
        <w:tc>
          <w:tcPr>
            <w:tcW w:w="2300" w:type="pct"/>
            <w:tcMar>
              <w:left w:w="29" w:type="dxa"/>
              <w:right w:w="29" w:type="dxa"/>
            </w:tcMar>
            <w:hideMark/>
          </w:tcPr>
          <w:p w14:paraId="2E6955EE" w14:textId="77777777" w:rsidR="00602AF5" w:rsidRPr="00CF388D" w:rsidRDefault="00602AF5" w:rsidP="00374BF2">
            <w:pPr>
              <w:keepNext/>
              <w:jc w:val="left"/>
              <w:rPr>
                <w:rFonts w:asciiTheme="majorBidi" w:hAnsiTheme="majorBidi" w:cstheme="majorBidi"/>
                <w:sz w:val="20"/>
                <w:szCs w:val="20"/>
              </w:rPr>
            </w:pPr>
            <w:r>
              <w:rPr>
                <w:rFonts w:asciiTheme="majorBidi" w:hAnsiTheme="majorBidi"/>
                <w:sz w:val="20"/>
              </w:rPr>
              <w:t>Número de tramos aprobados en comparación con los previstos*</w:t>
            </w:r>
          </w:p>
        </w:tc>
        <w:tc>
          <w:tcPr>
            <w:tcW w:w="767" w:type="pct"/>
            <w:tcMar>
              <w:left w:w="29" w:type="dxa"/>
              <w:right w:w="29" w:type="dxa"/>
            </w:tcMar>
          </w:tcPr>
          <w:p w14:paraId="1A12671A" w14:textId="0F798E64" w:rsidR="00602AF5" w:rsidRPr="00CF388D" w:rsidRDefault="00283C55" w:rsidP="00374BF2">
            <w:pPr>
              <w:keepNext/>
              <w:jc w:val="right"/>
              <w:rPr>
                <w:rFonts w:asciiTheme="majorBidi" w:hAnsiTheme="majorBidi" w:cstheme="majorBidi"/>
                <w:sz w:val="20"/>
                <w:szCs w:val="20"/>
              </w:rPr>
            </w:pPr>
            <w:r>
              <w:rPr>
                <w:rFonts w:asciiTheme="majorBidi" w:hAnsiTheme="majorBidi"/>
                <w:sz w:val="20"/>
              </w:rPr>
              <w:t>73</w:t>
            </w:r>
          </w:p>
        </w:tc>
      </w:tr>
      <w:tr w:rsidR="00CF388D" w:rsidRPr="00CF388D" w14:paraId="30E080A0" w14:textId="77777777" w:rsidTr="008851E3">
        <w:trPr>
          <w:trHeight w:val="228"/>
        </w:trPr>
        <w:tc>
          <w:tcPr>
            <w:tcW w:w="783" w:type="pct"/>
            <w:tcMar>
              <w:left w:w="29" w:type="dxa"/>
              <w:right w:w="29" w:type="dxa"/>
            </w:tcMar>
            <w:hideMark/>
          </w:tcPr>
          <w:p w14:paraId="4F1CDCB5" w14:textId="2F888A31" w:rsidR="00602AF5" w:rsidRPr="00CF388D" w:rsidRDefault="00602AF5" w:rsidP="00B85E6A">
            <w:pPr>
              <w:jc w:val="left"/>
              <w:rPr>
                <w:rFonts w:asciiTheme="majorBidi" w:hAnsiTheme="majorBidi" w:cstheme="majorBidi"/>
                <w:sz w:val="20"/>
                <w:szCs w:val="20"/>
              </w:rPr>
            </w:pPr>
            <w:r>
              <w:rPr>
                <w:rFonts w:asciiTheme="majorBidi" w:hAnsiTheme="majorBidi"/>
                <w:sz w:val="20"/>
              </w:rPr>
              <w:t>Planificación</w:t>
            </w:r>
            <w:r w:rsidR="00B85E6A">
              <w:rPr>
                <w:rFonts w:asciiTheme="majorBidi" w:hAnsiTheme="majorBidi"/>
                <w:sz w:val="20"/>
              </w:rPr>
              <w:t xml:space="preserve"> </w:t>
            </w:r>
            <w:r>
              <w:rPr>
                <w:rFonts w:asciiTheme="majorBidi" w:hAnsiTheme="majorBidi"/>
                <w:sz w:val="20"/>
              </w:rPr>
              <w:t>–Aprobación</w:t>
            </w:r>
          </w:p>
        </w:tc>
        <w:tc>
          <w:tcPr>
            <w:tcW w:w="1150" w:type="pct"/>
            <w:tcMar>
              <w:left w:w="29" w:type="dxa"/>
              <w:right w:w="29" w:type="dxa"/>
            </w:tcMar>
            <w:hideMark/>
          </w:tcPr>
          <w:p w14:paraId="214BE2F9" w14:textId="77777777" w:rsidR="00602AF5" w:rsidRPr="00CF388D" w:rsidRDefault="00602AF5" w:rsidP="00374BF2">
            <w:pPr>
              <w:keepNext/>
              <w:ind w:right="-75"/>
              <w:jc w:val="left"/>
              <w:rPr>
                <w:rFonts w:asciiTheme="majorBidi" w:hAnsiTheme="majorBidi" w:cstheme="majorBidi"/>
                <w:sz w:val="20"/>
                <w:szCs w:val="20"/>
              </w:rPr>
            </w:pPr>
            <w:r>
              <w:rPr>
                <w:rFonts w:asciiTheme="majorBidi" w:hAnsiTheme="majorBidi"/>
                <w:sz w:val="20"/>
              </w:rPr>
              <w:t>Proyectos/actividades individuales aprobados</w:t>
            </w:r>
          </w:p>
        </w:tc>
        <w:tc>
          <w:tcPr>
            <w:tcW w:w="2300" w:type="pct"/>
            <w:tcMar>
              <w:left w:w="29" w:type="dxa"/>
              <w:right w:w="29" w:type="dxa"/>
            </w:tcMar>
            <w:hideMark/>
          </w:tcPr>
          <w:p w14:paraId="774F2E6A" w14:textId="512D3F95" w:rsidR="00602AF5" w:rsidRPr="00CF388D" w:rsidRDefault="00602AF5" w:rsidP="00B85E6A">
            <w:pPr>
              <w:keepNext/>
              <w:ind w:right="-151"/>
              <w:jc w:val="left"/>
              <w:rPr>
                <w:rFonts w:asciiTheme="majorBidi" w:hAnsiTheme="majorBidi" w:cstheme="majorBidi"/>
                <w:sz w:val="20"/>
                <w:szCs w:val="20"/>
              </w:rPr>
            </w:pPr>
            <w:r>
              <w:rPr>
                <w:rFonts w:asciiTheme="majorBidi" w:hAnsiTheme="majorBidi"/>
                <w:sz w:val="20"/>
              </w:rPr>
              <w:t>Número de proyectos/actividades aprobados en comparación con los previstos (incluye actividades de</w:t>
            </w:r>
            <w:r w:rsidR="00B85E6A">
              <w:rPr>
                <w:rFonts w:asciiTheme="majorBidi" w:hAnsiTheme="majorBidi"/>
                <w:sz w:val="20"/>
              </w:rPr>
              <w:t> </w:t>
            </w:r>
            <w:r>
              <w:rPr>
                <w:rFonts w:asciiTheme="majorBidi" w:hAnsiTheme="majorBidi"/>
                <w:sz w:val="20"/>
              </w:rPr>
              <w:t>preparación de proyectos)</w:t>
            </w:r>
          </w:p>
        </w:tc>
        <w:tc>
          <w:tcPr>
            <w:tcW w:w="767" w:type="pct"/>
            <w:tcMar>
              <w:left w:w="29" w:type="dxa"/>
              <w:right w:w="29" w:type="dxa"/>
            </w:tcMar>
          </w:tcPr>
          <w:p w14:paraId="33B48F0C" w14:textId="3307599C" w:rsidR="00602AF5" w:rsidRPr="00CF388D" w:rsidRDefault="008C6070" w:rsidP="00374BF2">
            <w:pPr>
              <w:keepNext/>
              <w:jc w:val="right"/>
              <w:rPr>
                <w:rFonts w:asciiTheme="majorBidi" w:hAnsiTheme="majorBidi" w:cstheme="majorBidi"/>
                <w:sz w:val="20"/>
                <w:szCs w:val="20"/>
              </w:rPr>
            </w:pPr>
            <w:r>
              <w:rPr>
                <w:rFonts w:asciiTheme="majorBidi" w:hAnsiTheme="majorBidi"/>
                <w:sz w:val="20"/>
              </w:rPr>
              <w:t>75</w:t>
            </w:r>
          </w:p>
        </w:tc>
      </w:tr>
      <w:tr w:rsidR="00CF388D" w:rsidRPr="00CF388D" w14:paraId="5E6F83E8" w14:textId="77777777" w:rsidTr="008851E3">
        <w:trPr>
          <w:trHeight w:val="79"/>
        </w:trPr>
        <w:tc>
          <w:tcPr>
            <w:tcW w:w="783" w:type="pct"/>
            <w:tcMar>
              <w:left w:w="29" w:type="dxa"/>
              <w:right w:w="29" w:type="dxa"/>
            </w:tcMar>
            <w:hideMark/>
          </w:tcPr>
          <w:p w14:paraId="2FB3359F" w14:textId="77777777" w:rsidR="00602AF5" w:rsidRPr="00CF388D" w:rsidRDefault="00602AF5" w:rsidP="00B85E6A">
            <w:pPr>
              <w:jc w:val="left"/>
              <w:rPr>
                <w:rFonts w:asciiTheme="majorBidi" w:hAnsiTheme="majorBidi" w:cstheme="majorBidi"/>
                <w:sz w:val="20"/>
                <w:szCs w:val="20"/>
              </w:rPr>
            </w:pPr>
            <w:r>
              <w:rPr>
                <w:rFonts w:asciiTheme="majorBidi" w:hAnsiTheme="majorBidi"/>
                <w:sz w:val="20"/>
              </w:rPr>
              <w:t>Ejecución</w:t>
            </w:r>
          </w:p>
        </w:tc>
        <w:tc>
          <w:tcPr>
            <w:tcW w:w="1150" w:type="pct"/>
            <w:tcMar>
              <w:left w:w="29" w:type="dxa"/>
              <w:right w:w="29" w:type="dxa"/>
            </w:tcMar>
            <w:hideMark/>
          </w:tcPr>
          <w:p w14:paraId="091CD0C8"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Fondos desembolsados</w:t>
            </w:r>
          </w:p>
        </w:tc>
        <w:tc>
          <w:tcPr>
            <w:tcW w:w="2300" w:type="pct"/>
            <w:tcMar>
              <w:left w:w="29" w:type="dxa"/>
              <w:right w:w="29" w:type="dxa"/>
            </w:tcMar>
            <w:hideMark/>
          </w:tcPr>
          <w:p w14:paraId="31824F17" w14:textId="74CEF2CB" w:rsidR="00602AF5" w:rsidRPr="00CF388D" w:rsidRDefault="00602AF5" w:rsidP="005B564F">
            <w:pPr>
              <w:jc w:val="left"/>
              <w:rPr>
                <w:rFonts w:asciiTheme="majorBidi" w:hAnsiTheme="majorBidi" w:cstheme="majorBidi"/>
                <w:sz w:val="20"/>
                <w:szCs w:val="20"/>
              </w:rPr>
            </w:pPr>
            <w:r>
              <w:rPr>
                <w:rFonts w:asciiTheme="majorBidi" w:hAnsiTheme="majorBidi"/>
                <w:sz w:val="20"/>
              </w:rPr>
              <w:t>Basado en el desembolso estimado en l</w:t>
            </w:r>
            <w:r w:rsidR="005B564F">
              <w:rPr>
                <w:rFonts w:asciiTheme="majorBidi" w:hAnsiTheme="majorBidi"/>
                <w:sz w:val="20"/>
              </w:rPr>
              <w:t>os</w:t>
            </w:r>
            <w:r>
              <w:rPr>
                <w:rFonts w:asciiTheme="majorBidi" w:hAnsiTheme="majorBidi"/>
                <w:sz w:val="20"/>
              </w:rPr>
              <w:t xml:space="preserve"> informe</w:t>
            </w:r>
            <w:r w:rsidR="005B564F">
              <w:rPr>
                <w:rFonts w:asciiTheme="majorBidi" w:hAnsiTheme="majorBidi"/>
                <w:sz w:val="20"/>
              </w:rPr>
              <w:t>s</w:t>
            </w:r>
            <w:r>
              <w:rPr>
                <w:rFonts w:asciiTheme="majorBidi" w:hAnsiTheme="majorBidi"/>
                <w:sz w:val="20"/>
              </w:rPr>
              <w:t xml:space="preserve"> sobre la marcha de las actividades</w:t>
            </w:r>
          </w:p>
        </w:tc>
        <w:tc>
          <w:tcPr>
            <w:tcW w:w="767" w:type="pct"/>
            <w:tcMar>
              <w:left w:w="29" w:type="dxa"/>
              <w:right w:w="29" w:type="dxa"/>
            </w:tcMar>
          </w:tcPr>
          <w:p w14:paraId="6F20F54D" w14:textId="07BAF64E" w:rsidR="00602AF5" w:rsidRPr="00CF388D" w:rsidRDefault="008C6070" w:rsidP="00374BF2">
            <w:pPr>
              <w:jc w:val="right"/>
              <w:rPr>
                <w:rFonts w:asciiTheme="majorBidi" w:hAnsiTheme="majorBidi" w:cstheme="majorBidi"/>
                <w:sz w:val="20"/>
                <w:szCs w:val="20"/>
              </w:rPr>
            </w:pPr>
            <w:r>
              <w:rPr>
                <w:rFonts w:asciiTheme="majorBidi" w:hAnsiTheme="majorBidi"/>
                <w:sz w:val="20"/>
              </w:rPr>
              <w:t>27.232.727</w:t>
            </w:r>
          </w:p>
        </w:tc>
      </w:tr>
      <w:tr w:rsidR="00CF388D" w:rsidRPr="00CF388D" w14:paraId="357A0243" w14:textId="77777777" w:rsidTr="008851E3">
        <w:trPr>
          <w:trHeight w:val="270"/>
        </w:trPr>
        <w:tc>
          <w:tcPr>
            <w:tcW w:w="783" w:type="pct"/>
            <w:tcMar>
              <w:left w:w="29" w:type="dxa"/>
              <w:right w:w="29" w:type="dxa"/>
            </w:tcMar>
            <w:hideMark/>
          </w:tcPr>
          <w:p w14:paraId="77243BB6" w14:textId="77777777" w:rsidR="00602AF5" w:rsidRPr="00CF388D" w:rsidRDefault="00602AF5" w:rsidP="00B85E6A">
            <w:pPr>
              <w:jc w:val="left"/>
              <w:rPr>
                <w:rFonts w:asciiTheme="majorBidi" w:hAnsiTheme="majorBidi" w:cstheme="majorBidi"/>
                <w:sz w:val="20"/>
                <w:szCs w:val="20"/>
              </w:rPr>
            </w:pPr>
            <w:r>
              <w:rPr>
                <w:rFonts w:asciiTheme="majorBidi" w:hAnsiTheme="majorBidi"/>
                <w:sz w:val="20"/>
              </w:rPr>
              <w:t>Ejecución</w:t>
            </w:r>
          </w:p>
        </w:tc>
        <w:tc>
          <w:tcPr>
            <w:tcW w:w="1150" w:type="pct"/>
            <w:tcMar>
              <w:left w:w="29" w:type="dxa"/>
              <w:right w:w="29" w:type="dxa"/>
            </w:tcMar>
            <w:hideMark/>
          </w:tcPr>
          <w:p w14:paraId="4413AC8E"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Eliminación de SAO en proyectos relativos a los HCFC</w:t>
            </w:r>
          </w:p>
        </w:tc>
        <w:tc>
          <w:tcPr>
            <w:tcW w:w="2300" w:type="pct"/>
            <w:tcMar>
              <w:left w:w="29" w:type="dxa"/>
              <w:right w:w="29" w:type="dxa"/>
            </w:tcMar>
            <w:hideMark/>
          </w:tcPr>
          <w:p w14:paraId="41CF8BBE" w14:textId="54B883FA" w:rsidR="00602AF5" w:rsidRPr="00E52639" w:rsidRDefault="00602AF5" w:rsidP="00374BF2">
            <w:pPr>
              <w:jc w:val="left"/>
              <w:rPr>
                <w:rFonts w:asciiTheme="majorBidi" w:hAnsiTheme="majorBidi" w:cstheme="majorBidi"/>
                <w:spacing w:val="-2"/>
                <w:sz w:val="20"/>
                <w:szCs w:val="20"/>
              </w:rPr>
            </w:pPr>
            <w:r w:rsidRPr="00E52639">
              <w:rPr>
                <w:rFonts w:asciiTheme="majorBidi" w:hAnsiTheme="majorBidi"/>
                <w:spacing w:val="-2"/>
                <w:sz w:val="20"/>
              </w:rPr>
              <w:t xml:space="preserve">Eliminación de SAO en proyectos relativos a </w:t>
            </w:r>
            <w:r w:rsidR="00E52639" w:rsidRPr="00E52639">
              <w:rPr>
                <w:rFonts w:asciiTheme="majorBidi" w:hAnsiTheme="majorBidi"/>
                <w:spacing w:val="-2"/>
                <w:sz w:val="20"/>
              </w:rPr>
              <w:t xml:space="preserve">los </w:t>
            </w:r>
            <w:r w:rsidRPr="00E52639">
              <w:rPr>
                <w:rFonts w:asciiTheme="majorBidi" w:hAnsiTheme="majorBidi"/>
                <w:spacing w:val="-2"/>
                <w:sz w:val="20"/>
              </w:rPr>
              <w:t>HCFC, en toneladas PAO, en comparación con lo previsto en los informes sobre la marcha de las actividades</w:t>
            </w:r>
          </w:p>
        </w:tc>
        <w:tc>
          <w:tcPr>
            <w:tcW w:w="767" w:type="pct"/>
            <w:tcMar>
              <w:left w:w="29" w:type="dxa"/>
              <w:right w:w="29" w:type="dxa"/>
            </w:tcMar>
          </w:tcPr>
          <w:p w14:paraId="5230CECA" w14:textId="70DFC5B5" w:rsidR="00602AF5" w:rsidRPr="00CF388D" w:rsidRDefault="00076EA9" w:rsidP="00374BF2">
            <w:pPr>
              <w:jc w:val="right"/>
              <w:rPr>
                <w:rFonts w:asciiTheme="majorBidi" w:hAnsiTheme="majorBidi" w:cstheme="majorBidi"/>
                <w:sz w:val="20"/>
                <w:szCs w:val="20"/>
              </w:rPr>
            </w:pPr>
            <w:r>
              <w:rPr>
                <w:rFonts w:asciiTheme="majorBidi" w:hAnsiTheme="majorBidi"/>
                <w:sz w:val="20"/>
              </w:rPr>
              <w:t>268,5 tons. PAO</w:t>
            </w:r>
          </w:p>
        </w:tc>
      </w:tr>
      <w:tr w:rsidR="00CF388D" w:rsidRPr="00CF388D" w14:paraId="4A99507F" w14:textId="77777777" w:rsidTr="008851E3">
        <w:trPr>
          <w:trHeight w:val="276"/>
        </w:trPr>
        <w:tc>
          <w:tcPr>
            <w:tcW w:w="783" w:type="pct"/>
            <w:tcMar>
              <w:left w:w="29" w:type="dxa"/>
              <w:right w:w="29" w:type="dxa"/>
            </w:tcMar>
          </w:tcPr>
          <w:p w14:paraId="24B586E1" w14:textId="77777777" w:rsidR="00602AF5" w:rsidRPr="00CF388D" w:rsidRDefault="00602AF5" w:rsidP="00B85E6A">
            <w:pPr>
              <w:jc w:val="left"/>
              <w:rPr>
                <w:rFonts w:asciiTheme="majorBidi" w:hAnsiTheme="majorBidi" w:cstheme="majorBidi"/>
                <w:sz w:val="20"/>
                <w:szCs w:val="20"/>
              </w:rPr>
            </w:pPr>
            <w:r>
              <w:rPr>
                <w:rFonts w:asciiTheme="majorBidi" w:hAnsiTheme="majorBidi"/>
                <w:sz w:val="20"/>
              </w:rPr>
              <w:t>Ejecución</w:t>
            </w:r>
          </w:p>
        </w:tc>
        <w:tc>
          <w:tcPr>
            <w:tcW w:w="1150" w:type="pct"/>
            <w:tcMar>
              <w:left w:w="29" w:type="dxa"/>
              <w:right w:w="29" w:type="dxa"/>
            </w:tcMar>
          </w:tcPr>
          <w:p w14:paraId="6304249A"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Reducción de HFC en proyectos relativos a los HFC</w:t>
            </w:r>
          </w:p>
        </w:tc>
        <w:tc>
          <w:tcPr>
            <w:tcW w:w="2300" w:type="pct"/>
            <w:tcMar>
              <w:left w:w="29" w:type="dxa"/>
              <w:right w:w="29" w:type="dxa"/>
            </w:tcMar>
          </w:tcPr>
          <w:p w14:paraId="30FD10FF"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Reducción de HFC en proyectos relativos a los HFC en toneladas de CO</w:t>
            </w:r>
            <w:r>
              <w:rPr>
                <w:rFonts w:asciiTheme="majorBidi" w:hAnsiTheme="majorBidi"/>
                <w:sz w:val="20"/>
                <w:vertAlign w:val="subscript"/>
              </w:rPr>
              <w:t>2</w:t>
            </w:r>
            <w:r>
              <w:rPr>
                <w:rFonts w:asciiTheme="majorBidi" w:hAnsiTheme="majorBidi"/>
                <w:sz w:val="20"/>
              </w:rPr>
              <w:t xml:space="preserve"> equivalente, en comparación con lo previsto en los informes sobre la marcha de las actividades</w:t>
            </w:r>
          </w:p>
        </w:tc>
        <w:tc>
          <w:tcPr>
            <w:tcW w:w="767" w:type="pct"/>
            <w:tcMar>
              <w:left w:w="29" w:type="dxa"/>
              <w:right w:w="29" w:type="dxa"/>
            </w:tcMar>
          </w:tcPr>
          <w:p w14:paraId="7781D36F" w14:textId="43F907B1" w:rsidR="00602AF5" w:rsidRPr="00CF388D" w:rsidRDefault="00076EA9" w:rsidP="00374BF2">
            <w:pPr>
              <w:jc w:val="right"/>
              <w:rPr>
                <w:rFonts w:asciiTheme="majorBidi" w:hAnsiTheme="majorBidi" w:cstheme="majorBidi"/>
                <w:sz w:val="20"/>
                <w:szCs w:val="20"/>
              </w:rPr>
            </w:pPr>
            <w:r>
              <w:rPr>
                <w:rFonts w:asciiTheme="majorBidi" w:hAnsiTheme="majorBidi"/>
                <w:sz w:val="20"/>
              </w:rPr>
              <w:t>682.544 tons. de CO</w:t>
            </w:r>
            <w:r>
              <w:rPr>
                <w:rFonts w:asciiTheme="majorBidi" w:hAnsiTheme="majorBidi"/>
                <w:sz w:val="20"/>
                <w:vertAlign w:val="subscript"/>
              </w:rPr>
              <w:t>2</w:t>
            </w:r>
            <w:r>
              <w:rPr>
                <w:rFonts w:asciiTheme="majorBidi" w:hAnsiTheme="majorBidi"/>
                <w:sz w:val="20"/>
              </w:rPr>
              <w:t xml:space="preserve"> equivalente </w:t>
            </w:r>
          </w:p>
        </w:tc>
      </w:tr>
      <w:tr w:rsidR="00CF388D" w:rsidRPr="00CF388D" w14:paraId="69B94D10" w14:textId="77777777" w:rsidTr="008851E3">
        <w:trPr>
          <w:trHeight w:val="550"/>
        </w:trPr>
        <w:tc>
          <w:tcPr>
            <w:tcW w:w="783" w:type="pct"/>
            <w:tcMar>
              <w:left w:w="29" w:type="dxa"/>
              <w:right w:w="29" w:type="dxa"/>
            </w:tcMar>
            <w:hideMark/>
          </w:tcPr>
          <w:p w14:paraId="76B1E5AF" w14:textId="77777777" w:rsidR="00602AF5" w:rsidRPr="00CF388D" w:rsidRDefault="00602AF5" w:rsidP="00B85E6A">
            <w:pPr>
              <w:jc w:val="left"/>
              <w:rPr>
                <w:rFonts w:asciiTheme="majorBidi" w:hAnsiTheme="majorBidi" w:cstheme="majorBidi"/>
                <w:sz w:val="20"/>
                <w:szCs w:val="20"/>
              </w:rPr>
            </w:pPr>
            <w:r>
              <w:rPr>
                <w:rFonts w:asciiTheme="majorBidi" w:hAnsiTheme="majorBidi"/>
                <w:sz w:val="20"/>
              </w:rPr>
              <w:t>Ejecución</w:t>
            </w:r>
          </w:p>
        </w:tc>
        <w:tc>
          <w:tcPr>
            <w:tcW w:w="1150" w:type="pct"/>
            <w:tcMar>
              <w:left w:w="29" w:type="dxa"/>
              <w:right w:w="29" w:type="dxa"/>
            </w:tcMar>
            <w:hideMark/>
          </w:tcPr>
          <w:p w14:paraId="21C56AB4"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Cierre operativo del proyecto</w:t>
            </w:r>
          </w:p>
        </w:tc>
        <w:tc>
          <w:tcPr>
            <w:tcW w:w="2300" w:type="pct"/>
            <w:tcMar>
              <w:left w:w="29" w:type="dxa"/>
              <w:right w:w="29" w:type="dxa"/>
            </w:tcMar>
            <w:hideMark/>
          </w:tcPr>
          <w:p w14:paraId="2D9B463F"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Cierre operativo del proyecto en comparación con lo previsto en los informes sobre la marcha de las actividades para todas las actividades (con exclusión de preparación de proyectos)**</w:t>
            </w:r>
          </w:p>
        </w:tc>
        <w:tc>
          <w:tcPr>
            <w:tcW w:w="767" w:type="pct"/>
            <w:tcMar>
              <w:left w:w="29" w:type="dxa"/>
              <w:right w:w="29" w:type="dxa"/>
            </w:tcMar>
          </w:tcPr>
          <w:p w14:paraId="38E2A3F9" w14:textId="42977931" w:rsidR="00602AF5" w:rsidRPr="00CF388D" w:rsidRDefault="0015706B" w:rsidP="00374BF2">
            <w:pPr>
              <w:jc w:val="right"/>
              <w:rPr>
                <w:rFonts w:asciiTheme="majorBidi" w:hAnsiTheme="majorBidi" w:cstheme="majorBidi"/>
                <w:sz w:val="20"/>
                <w:szCs w:val="20"/>
              </w:rPr>
            </w:pPr>
            <w:r>
              <w:rPr>
                <w:rFonts w:asciiTheme="majorBidi" w:hAnsiTheme="majorBidi"/>
                <w:sz w:val="20"/>
              </w:rPr>
              <w:t>146</w:t>
            </w:r>
          </w:p>
        </w:tc>
      </w:tr>
      <w:tr w:rsidR="00CF388D" w:rsidRPr="00CF388D" w14:paraId="7342075E" w14:textId="77777777" w:rsidTr="008851E3">
        <w:trPr>
          <w:trHeight w:val="306"/>
        </w:trPr>
        <w:tc>
          <w:tcPr>
            <w:tcW w:w="783" w:type="pct"/>
            <w:tcMar>
              <w:left w:w="29" w:type="dxa"/>
              <w:right w:w="29" w:type="dxa"/>
            </w:tcMar>
          </w:tcPr>
          <w:p w14:paraId="04CE5534" w14:textId="77777777" w:rsidR="00602AF5" w:rsidRPr="00CF388D" w:rsidRDefault="00602AF5" w:rsidP="00B85E6A">
            <w:pPr>
              <w:jc w:val="left"/>
              <w:rPr>
                <w:rFonts w:asciiTheme="majorBidi" w:hAnsiTheme="majorBidi" w:cstheme="majorBidi"/>
                <w:sz w:val="20"/>
                <w:szCs w:val="20"/>
              </w:rPr>
            </w:pPr>
            <w:r>
              <w:rPr>
                <w:rFonts w:asciiTheme="majorBidi" w:hAnsiTheme="majorBidi"/>
                <w:sz w:val="20"/>
              </w:rPr>
              <w:t>Ejecución</w:t>
            </w:r>
          </w:p>
        </w:tc>
        <w:tc>
          <w:tcPr>
            <w:tcW w:w="1150" w:type="pct"/>
            <w:tcMar>
              <w:left w:w="29" w:type="dxa"/>
              <w:right w:w="29" w:type="dxa"/>
            </w:tcMar>
          </w:tcPr>
          <w:p w14:paraId="7AA75F10"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Integración de la perspectiva de género</w:t>
            </w:r>
          </w:p>
        </w:tc>
        <w:tc>
          <w:tcPr>
            <w:tcW w:w="2300" w:type="pct"/>
            <w:tcMar>
              <w:left w:w="29" w:type="dxa"/>
              <w:right w:w="29" w:type="dxa"/>
            </w:tcMar>
          </w:tcPr>
          <w:p w14:paraId="01F6EB57" w14:textId="0AA20EAE" w:rsidR="00602AF5" w:rsidRPr="00CF388D" w:rsidRDefault="00602AF5" w:rsidP="00E52639">
            <w:pPr>
              <w:jc w:val="left"/>
              <w:rPr>
                <w:rFonts w:asciiTheme="majorBidi" w:hAnsiTheme="majorBidi" w:cstheme="majorBidi"/>
                <w:sz w:val="20"/>
                <w:szCs w:val="20"/>
              </w:rPr>
            </w:pPr>
            <w:r>
              <w:rPr>
                <w:rFonts w:asciiTheme="majorBidi" w:hAnsiTheme="majorBidi"/>
                <w:sz w:val="20"/>
              </w:rPr>
              <w:t xml:space="preserve">Aplicación de la política operativa sobre integración de la perspectiva de género </w:t>
            </w:r>
            <w:r w:rsidR="00E52639">
              <w:rPr>
                <w:rFonts w:asciiTheme="majorBidi" w:hAnsiTheme="majorBidi"/>
                <w:sz w:val="20"/>
              </w:rPr>
              <w:t>en</w:t>
            </w:r>
            <w:r>
              <w:rPr>
                <w:rFonts w:asciiTheme="majorBidi" w:hAnsiTheme="majorBidi"/>
                <w:sz w:val="20"/>
              </w:rPr>
              <w:t xml:space="preserve"> todos los proyectos aprobados</w:t>
            </w:r>
          </w:p>
        </w:tc>
        <w:tc>
          <w:tcPr>
            <w:tcW w:w="767" w:type="pct"/>
            <w:tcMar>
              <w:left w:w="29" w:type="dxa"/>
              <w:right w:w="29" w:type="dxa"/>
            </w:tcMar>
          </w:tcPr>
          <w:p w14:paraId="78AF2C43" w14:textId="77777777" w:rsidR="00602AF5" w:rsidRPr="00CF388D" w:rsidRDefault="00602AF5" w:rsidP="00374BF2">
            <w:pPr>
              <w:jc w:val="right"/>
              <w:rPr>
                <w:rFonts w:asciiTheme="majorBidi" w:hAnsiTheme="majorBidi" w:cstheme="majorBidi"/>
                <w:sz w:val="20"/>
                <w:szCs w:val="20"/>
              </w:rPr>
            </w:pPr>
            <w:r>
              <w:rPr>
                <w:rFonts w:asciiTheme="majorBidi" w:hAnsiTheme="majorBidi"/>
                <w:sz w:val="20"/>
              </w:rPr>
              <w:t>100%</w:t>
            </w:r>
          </w:p>
        </w:tc>
      </w:tr>
      <w:tr w:rsidR="00CF388D" w:rsidRPr="00CF388D" w14:paraId="64F86583" w14:textId="77777777" w:rsidTr="008851E3">
        <w:trPr>
          <w:trHeight w:val="316"/>
        </w:trPr>
        <w:tc>
          <w:tcPr>
            <w:tcW w:w="783" w:type="pct"/>
            <w:tcMar>
              <w:left w:w="29" w:type="dxa"/>
              <w:right w:w="29" w:type="dxa"/>
            </w:tcMar>
            <w:hideMark/>
          </w:tcPr>
          <w:p w14:paraId="472189D3" w14:textId="77777777" w:rsidR="00602AF5" w:rsidRPr="00CF388D" w:rsidRDefault="00602AF5" w:rsidP="00B85E6A">
            <w:pPr>
              <w:jc w:val="left"/>
              <w:rPr>
                <w:rFonts w:asciiTheme="majorBidi" w:hAnsiTheme="majorBidi" w:cstheme="majorBidi"/>
                <w:sz w:val="20"/>
                <w:szCs w:val="20"/>
              </w:rPr>
            </w:pPr>
            <w:r>
              <w:rPr>
                <w:rFonts w:asciiTheme="majorBidi" w:hAnsiTheme="majorBidi"/>
                <w:sz w:val="20"/>
              </w:rPr>
              <w:t>Administrativo</w:t>
            </w:r>
          </w:p>
        </w:tc>
        <w:tc>
          <w:tcPr>
            <w:tcW w:w="1150" w:type="pct"/>
            <w:tcMar>
              <w:left w:w="29" w:type="dxa"/>
              <w:right w:w="29" w:type="dxa"/>
            </w:tcMar>
            <w:hideMark/>
          </w:tcPr>
          <w:p w14:paraId="6CB1340C"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Diligencia en el cierre financiero</w:t>
            </w:r>
          </w:p>
        </w:tc>
        <w:tc>
          <w:tcPr>
            <w:tcW w:w="2300" w:type="pct"/>
            <w:tcMar>
              <w:left w:w="29" w:type="dxa"/>
              <w:right w:w="29" w:type="dxa"/>
            </w:tcMar>
            <w:hideMark/>
          </w:tcPr>
          <w:p w14:paraId="6526ACBD" w14:textId="7C7DB2F4" w:rsidR="00602AF5" w:rsidRPr="00CF388D" w:rsidRDefault="00B85E6A" w:rsidP="00B85E6A">
            <w:pPr>
              <w:jc w:val="left"/>
              <w:rPr>
                <w:rFonts w:asciiTheme="majorBidi" w:hAnsiTheme="majorBidi" w:cstheme="majorBidi"/>
                <w:sz w:val="20"/>
                <w:szCs w:val="20"/>
              </w:rPr>
            </w:pPr>
            <w:r>
              <w:rPr>
                <w:rFonts w:asciiTheme="majorBidi" w:hAnsiTheme="majorBidi"/>
                <w:sz w:val="20"/>
              </w:rPr>
              <w:t xml:space="preserve">Grado </w:t>
            </w:r>
            <w:r w:rsidR="00602AF5">
              <w:rPr>
                <w:rFonts w:asciiTheme="majorBidi" w:hAnsiTheme="majorBidi"/>
                <w:sz w:val="20"/>
              </w:rPr>
              <w:t>e</w:t>
            </w:r>
            <w:r>
              <w:rPr>
                <w:rFonts w:asciiTheme="majorBidi" w:hAnsiTheme="majorBidi"/>
                <w:sz w:val="20"/>
              </w:rPr>
              <w:t>n que se c</w:t>
            </w:r>
            <w:r w:rsidR="00602AF5">
              <w:rPr>
                <w:rFonts w:asciiTheme="majorBidi" w:hAnsiTheme="majorBidi"/>
                <w:sz w:val="20"/>
              </w:rPr>
              <w:t>err</w:t>
            </w:r>
            <w:r>
              <w:rPr>
                <w:rFonts w:asciiTheme="majorBidi" w:hAnsiTheme="majorBidi"/>
                <w:sz w:val="20"/>
              </w:rPr>
              <w:t>aron</w:t>
            </w:r>
            <w:r w:rsidR="00602AF5">
              <w:rPr>
                <w:rFonts w:asciiTheme="majorBidi" w:hAnsiTheme="majorBidi"/>
                <w:sz w:val="20"/>
              </w:rPr>
              <w:t xml:space="preserve"> financier</w:t>
            </w:r>
            <w:r>
              <w:rPr>
                <w:rFonts w:asciiTheme="majorBidi" w:hAnsiTheme="majorBidi"/>
                <w:sz w:val="20"/>
              </w:rPr>
              <w:t>ament</w:t>
            </w:r>
            <w:r w:rsidR="00602AF5">
              <w:rPr>
                <w:rFonts w:asciiTheme="majorBidi" w:hAnsiTheme="majorBidi"/>
                <w:sz w:val="20"/>
              </w:rPr>
              <w:t xml:space="preserve">e los proyectos </w:t>
            </w:r>
            <w:r>
              <w:rPr>
                <w:rFonts w:asciiTheme="majorBidi" w:hAnsiTheme="majorBidi"/>
                <w:sz w:val="20"/>
              </w:rPr>
              <w:t>dentro</w:t>
            </w:r>
            <w:r w:rsidR="00602AF5">
              <w:rPr>
                <w:rFonts w:asciiTheme="majorBidi" w:hAnsiTheme="majorBidi"/>
                <w:sz w:val="20"/>
              </w:rPr>
              <w:t xml:space="preserve"> los 12 meses posteriores al cierre operativo del proyecto</w:t>
            </w:r>
          </w:p>
        </w:tc>
        <w:tc>
          <w:tcPr>
            <w:tcW w:w="767" w:type="pct"/>
            <w:tcMar>
              <w:left w:w="29" w:type="dxa"/>
              <w:right w:w="29" w:type="dxa"/>
            </w:tcMar>
          </w:tcPr>
          <w:p w14:paraId="17BDBC95" w14:textId="2C588D48" w:rsidR="00602AF5" w:rsidRPr="00CF388D" w:rsidRDefault="00602AF5" w:rsidP="00823C1B">
            <w:pPr>
              <w:ind w:left="-70"/>
              <w:jc w:val="right"/>
              <w:rPr>
                <w:rFonts w:asciiTheme="majorBidi" w:hAnsiTheme="majorBidi" w:cstheme="majorBidi"/>
                <w:sz w:val="20"/>
                <w:szCs w:val="20"/>
              </w:rPr>
            </w:pPr>
            <w:r>
              <w:rPr>
                <w:rFonts w:asciiTheme="majorBidi" w:hAnsiTheme="majorBidi"/>
                <w:sz w:val="20"/>
              </w:rPr>
              <w:t>12 meses</w:t>
            </w:r>
            <w:r w:rsidR="00823C1B">
              <w:rPr>
                <w:rFonts w:asciiTheme="majorBidi" w:hAnsiTheme="majorBidi"/>
                <w:sz w:val="20"/>
              </w:rPr>
              <w:br/>
            </w:r>
            <w:r w:rsidR="00B85E6A">
              <w:rPr>
                <w:rFonts w:asciiTheme="majorBidi" w:hAnsiTheme="majorBidi"/>
                <w:sz w:val="20"/>
              </w:rPr>
              <w:t>después del</w:t>
            </w:r>
            <w:r w:rsidR="00823C1B">
              <w:rPr>
                <w:rFonts w:asciiTheme="majorBidi" w:hAnsiTheme="majorBidi"/>
                <w:sz w:val="20"/>
              </w:rPr>
              <w:br/>
            </w:r>
            <w:r>
              <w:rPr>
                <w:rFonts w:asciiTheme="majorBidi" w:hAnsiTheme="majorBidi"/>
                <w:sz w:val="20"/>
              </w:rPr>
              <w:t>cierre operativo</w:t>
            </w:r>
          </w:p>
        </w:tc>
      </w:tr>
      <w:tr w:rsidR="00CF388D" w:rsidRPr="00CF388D" w14:paraId="7A79A623" w14:textId="77777777" w:rsidTr="008851E3">
        <w:trPr>
          <w:trHeight w:val="226"/>
        </w:trPr>
        <w:tc>
          <w:tcPr>
            <w:tcW w:w="783" w:type="pct"/>
            <w:tcMar>
              <w:left w:w="29" w:type="dxa"/>
              <w:right w:w="29" w:type="dxa"/>
            </w:tcMar>
            <w:hideMark/>
          </w:tcPr>
          <w:p w14:paraId="285B3413" w14:textId="77777777" w:rsidR="00602AF5" w:rsidRPr="00CF388D" w:rsidRDefault="00602AF5" w:rsidP="00B85E6A">
            <w:pPr>
              <w:jc w:val="left"/>
              <w:rPr>
                <w:rFonts w:asciiTheme="majorBidi" w:hAnsiTheme="majorBidi" w:cstheme="majorBidi"/>
                <w:sz w:val="20"/>
                <w:szCs w:val="20"/>
              </w:rPr>
            </w:pPr>
            <w:r>
              <w:rPr>
                <w:rFonts w:asciiTheme="majorBidi" w:hAnsiTheme="majorBidi"/>
                <w:sz w:val="20"/>
              </w:rPr>
              <w:t>Administrativo</w:t>
            </w:r>
          </w:p>
        </w:tc>
        <w:tc>
          <w:tcPr>
            <w:tcW w:w="1150" w:type="pct"/>
            <w:tcMar>
              <w:left w:w="29" w:type="dxa"/>
              <w:right w:w="29" w:type="dxa"/>
            </w:tcMar>
            <w:hideMark/>
          </w:tcPr>
          <w:p w14:paraId="4DE97C71" w14:textId="1329A803" w:rsidR="00602AF5" w:rsidRPr="00CF388D" w:rsidRDefault="00602AF5" w:rsidP="005B564F">
            <w:pPr>
              <w:jc w:val="left"/>
              <w:rPr>
                <w:rFonts w:asciiTheme="majorBidi" w:hAnsiTheme="majorBidi" w:cstheme="majorBidi"/>
                <w:sz w:val="20"/>
                <w:szCs w:val="20"/>
              </w:rPr>
            </w:pPr>
            <w:r>
              <w:rPr>
                <w:rFonts w:asciiTheme="majorBidi" w:hAnsiTheme="majorBidi"/>
                <w:sz w:val="20"/>
              </w:rPr>
              <w:t xml:space="preserve">Entrega </w:t>
            </w:r>
            <w:r w:rsidR="00E52639">
              <w:rPr>
                <w:rFonts w:asciiTheme="majorBidi" w:hAnsiTheme="majorBidi"/>
                <w:sz w:val="20"/>
              </w:rPr>
              <w:t>e</w:t>
            </w:r>
            <w:r>
              <w:rPr>
                <w:rFonts w:asciiTheme="majorBidi" w:hAnsiTheme="majorBidi"/>
                <w:sz w:val="20"/>
              </w:rPr>
              <w:t>n</w:t>
            </w:r>
            <w:r w:rsidR="00E52639">
              <w:rPr>
                <w:rFonts w:asciiTheme="majorBidi" w:hAnsiTheme="majorBidi"/>
                <w:sz w:val="20"/>
              </w:rPr>
              <w:t xml:space="preserve"> fech</w:t>
            </w:r>
            <w:r>
              <w:rPr>
                <w:rFonts w:asciiTheme="majorBidi" w:hAnsiTheme="majorBidi"/>
                <w:sz w:val="20"/>
              </w:rPr>
              <w:t>a de informes de finalización de</w:t>
            </w:r>
            <w:r w:rsidR="005B564F">
              <w:rPr>
                <w:rFonts w:asciiTheme="majorBidi" w:hAnsiTheme="majorBidi"/>
                <w:sz w:val="20"/>
              </w:rPr>
              <w:t> </w:t>
            </w:r>
            <w:r>
              <w:rPr>
                <w:rFonts w:asciiTheme="majorBidi" w:hAnsiTheme="majorBidi"/>
                <w:sz w:val="20"/>
              </w:rPr>
              <w:t>proyecto</w:t>
            </w:r>
          </w:p>
        </w:tc>
        <w:tc>
          <w:tcPr>
            <w:tcW w:w="2300" w:type="pct"/>
            <w:tcMar>
              <w:left w:w="29" w:type="dxa"/>
              <w:right w:w="29" w:type="dxa"/>
            </w:tcMar>
            <w:hideMark/>
          </w:tcPr>
          <w:p w14:paraId="1157D618"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Presentación en fecha de los informes de finalización de proyecto según el informe sobre la marcha de las actividades</w:t>
            </w:r>
          </w:p>
        </w:tc>
        <w:tc>
          <w:tcPr>
            <w:tcW w:w="767" w:type="pct"/>
            <w:tcMar>
              <w:left w:w="29" w:type="dxa"/>
              <w:right w:w="29" w:type="dxa"/>
            </w:tcMar>
          </w:tcPr>
          <w:p w14:paraId="71BCFE6E" w14:textId="573D59A4" w:rsidR="00602AF5" w:rsidRPr="00CF388D" w:rsidRDefault="0015706B" w:rsidP="00374BF2">
            <w:pPr>
              <w:jc w:val="right"/>
              <w:rPr>
                <w:rFonts w:asciiTheme="majorBidi" w:hAnsiTheme="majorBidi" w:cstheme="majorBidi"/>
                <w:sz w:val="20"/>
                <w:szCs w:val="20"/>
              </w:rPr>
            </w:pPr>
            <w:r>
              <w:rPr>
                <w:rFonts w:asciiTheme="majorBidi" w:hAnsiTheme="majorBidi"/>
                <w:sz w:val="20"/>
              </w:rPr>
              <w:t>0</w:t>
            </w:r>
          </w:p>
        </w:tc>
      </w:tr>
      <w:tr w:rsidR="00CF388D" w:rsidRPr="00CF388D" w14:paraId="11BEF687" w14:textId="77777777" w:rsidTr="008851E3">
        <w:trPr>
          <w:trHeight w:val="488"/>
        </w:trPr>
        <w:tc>
          <w:tcPr>
            <w:tcW w:w="783" w:type="pct"/>
            <w:tcMar>
              <w:left w:w="29" w:type="dxa"/>
              <w:right w:w="29" w:type="dxa"/>
            </w:tcMar>
            <w:hideMark/>
          </w:tcPr>
          <w:p w14:paraId="27E78760" w14:textId="77777777" w:rsidR="00602AF5" w:rsidRPr="00CF388D" w:rsidRDefault="00602AF5" w:rsidP="00B85E6A">
            <w:pPr>
              <w:jc w:val="left"/>
              <w:rPr>
                <w:rFonts w:asciiTheme="majorBidi" w:hAnsiTheme="majorBidi" w:cstheme="majorBidi"/>
                <w:sz w:val="20"/>
                <w:szCs w:val="20"/>
              </w:rPr>
            </w:pPr>
            <w:r>
              <w:rPr>
                <w:rFonts w:asciiTheme="majorBidi" w:hAnsiTheme="majorBidi"/>
                <w:sz w:val="20"/>
              </w:rPr>
              <w:t>Administrativo</w:t>
            </w:r>
          </w:p>
        </w:tc>
        <w:tc>
          <w:tcPr>
            <w:tcW w:w="1150" w:type="pct"/>
            <w:tcMar>
              <w:left w:w="29" w:type="dxa"/>
              <w:right w:w="29" w:type="dxa"/>
            </w:tcMar>
            <w:hideMark/>
          </w:tcPr>
          <w:p w14:paraId="78412EAF" w14:textId="77777777" w:rsidR="00602AF5" w:rsidRPr="00B85E6A" w:rsidRDefault="00602AF5" w:rsidP="00374BF2">
            <w:pPr>
              <w:jc w:val="left"/>
              <w:rPr>
                <w:rFonts w:asciiTheme="majorBidi" w:hAnsiTheme="majorBidi" w:cstheme="majorBidi"/>
                <w:spacing w:val="-2"/>
                <w:sz w:val="20"/>
                <w:szCs w:val="20"/>
              </w:rPr>
            </w:pPr>
            <w:r w:rsidRPr="00B85E6A">
              <w:rPr>
                <w:rFonts w:asciiTheme="majorBidi" w:hAnsiTheme="majorBidi"/>
                <w:spacing w:val="-2"/>
                <w:sz w:val="20"/>
              </w:rPr>
              <w:t>Presentación en fecha de los informes sobre la marcha de las actividades y los planes administrativos</w:t>
            </w:r>
          </w:p>
        </w:tc>
        <w:tc>
          <w:tcPr>
            <w:tcW w:w="2300" w:type="pct"/>
            <w:tcMar>
              <w:left w:w="29" w:type="dxa"/>
              <w:right w:w="29" w:type="dxa"/>
            </w:tcMar>
            <w:hideMark/>
          </w:tcPr>
          <w:p w14:paraId="77A8F458" w14:textId="77777777" w:rsidR="00602AF5" w:rsidRPr="00CF388D" w:rsidRDefault="00602AF5" w:rsidP="00374BF2">
            <w:pPr>
              <w:jc w:val="left"/>
              <w:rPr>
                <w:rFonts w:asciiTheme="majorBidi" w:hAnsiTheme="majorBidi" w:cstheme="majorBidi"/>
                <w:sz w:val="20"/>
                <w:szCs w:val="20"/>
              </w:rPr>
            </w:pPr>
            <w:r>
              <w:rPr>
                <w:rFonts w:asciiTheme="majorBidi" w:hAnsiTheme="majorBidi"/>
                <w:sz w:val="20"/>
              </w:rPr>
              <w:t>Presentación en fecha de los informes sobre la marcha de las actividades, los planes administrativos y las respuestas, a menos que se haya acordado otra cosa</w:t>
            </w:r>
          </w:p>
        </w:tc>
        <w:tc>
          <w:tcPr>
            <w:tcW w:w="767" w:type="pct"/>
            <w:tcMar>
              <w:left w:w="29" w:type="dxa"/>
              <w:right w:w="29" w:type="dxa"/>
            </w:tcMar>
          </w:tcPr>
          <w:p w14:paraId="27B2CF14" w14:textId="165617CB" w:rsidR="00602AF5" w:rsidRPr="00CF388D" w:rsidRDefault="00B85E6A" w:rsidP="00630875">
            <w:pPr>
              <w:jc w:val="right"/>
              <w:rPr>
                <w:rFonts w:asciiTheme="majorBidi" w:hAnsiTheme="majorBidi" w:cstheme="majorBidi"/>
                <w:sz w:val="20"/>
                <w:szCs w:val="20"/>
              </w:rPr>
            </w:pPr>
            <w:r>
              <w:rPr>
                <w:rFonts w:asciiTheme="majorBidi" w:hAnsiTheme="majorBidi"/>
                <w:sz w:val="20"/>
              </w:rPr>
              <w:t>En fecha</w:t>
            </w:r>
          </w:p>
        </w:tc>
      </w:tr>
    </w:tbl>
    <w:p w14:paraId="66045EB9" w14:textId="50BAEFBA" w:rsidR="00602AF5" w:rsidRPr="00CF388D" w:rsidRDefault="00602AF5" w:rsidP="00602AF5">
      <w:pPr>
        <w:pStyle w:val="StyleHeader4Para4Left0Firstline0"/>
        <w:numPr>
          <w:ilvl w:val="0"/>
          <w:numId w:val="0"/>
        </w:numPr>
        <w:spacing w:after="0"/>
        <w:rPr>
          <w:rFonts w:asciiTheme="majorBidi" w:hAnsiTheme="majorBidi" w:cstheme="majorBidi"/>
          <w:sz w:val="18"/>
          <w:szCs w:val="18"/>
        </w:rPr>
      </w:pPr>
      <w:r>
        <w:rPr>
          <w:rFonts w:asciiTheme="majorBidi" w:hAnsiTheme="majorBidi"/>
          <w:sz w:val="18"/>
        </w:rPr>
        <w:t xml:space="preserve">* Las metas de un organismo se podrán reducir cuando este se vea imposibilitado de presentar un tramo por motivos imputables a otro organismo principal o cooperante, o bien cuando el </w:t>
      </w:r>
      <w:r w:rsidR="00823C1B">
        <w:rPr>
          <w:rFonts w:asciiTheme="majorBidi" w:hAnsiTheme="majorBidi"/>
          <w:sz w:val="18"/>
        </w:rPr>
        <w:t>plan de gestión para la eliminación de HCFC o el</w:t>
      </w:r>
      <w:r>
        <w:rPr>
          <w:rFonts w:asciiTheme="majorBidi" w:hAnsiTheme="majorBidi"/>
          <w:sz w:val="18"/>
        </w:rPr>
        <w:t xml:space="preserve"> plan de aplicación de la Enmienda de Kigali presentado a</w:t>
      </w:r>
      <w:r w:rsidR="00823C1B">
        <w:rPr>
          <w:rFonts w:asciiTheme="majorBidi" w:hAnsiTheme="majorBidi"/>
          <w:sz w:val="18"/>
        </w:rPr>
        <w:t xml:space="preserve"> consideración de</w:t>
      </w:r>
      <w:r>
        <w:rPr>
          <w:rFonts w:asciiTheme="majorBidi" w:hAnsiTheme="majorBidi"/>
          <w:sz w:val="18"/>
        </w:rPr>
        <w:t>l Comité Ejecutivo no fuese</w:t>
      </w:r>
      <w:r w:rsidR="00823C1B">
        <w:rPr>
          <w:rFonts w:asciiTheme="majorBidi" w:hAnsiTheme="majorBidi"/>
          <w:sz w:val="18"/>
        </w:rPr>
        <w:t xml:space="preserve"> aprobado</w:t>
      </w:r>
      <w:r>
        <w:rPr>
          <w:rFonts w:asciiTheme="majorBidi" w:hAnsiTheme="majorBidi"/>
          <w:sz w:val="18"/>
        </w:rPr>
        <w:t xml:space="preserve"> por motivos no imputables a la oficina nacional del ozono </w:t>
      </w:r>
      <w:r w:rsidR="00823C1B">
        <w:rPr>
          <w:rFonts w:asciiTheme="majorBidi" w:hAnsiTheme="majorBidi"/>
          <w:sz w:val="18"/>
        </w:rPr>
        <w:t>y</w:t>
      </w:r>
      <w:r>
        <w:rPr>
          <w:rFonts w:asciiTheme="majorBidi" w:hAnsiTheme="majorBidi"/>
          <w:sz w:val="18"/>
        </w:rPr>
        <w:t xml:space="preserve"> al organismo.</w:t>
      </w:r>
    </w:p>
    <w:p w14:paraId="50B2DC90" w14:textId="42CC068C" w:rsidR="00602AF5" w:rsidRPr="00CF388D" w:rsidRDefault="00602AF5" w:rsidP="00602AF5">
      <w:pPr>
        <w:pStyle w:val="StyleHeader4Para4Left0Firstline0"/>
        <w:numPr>
          <w:ilvl w:val="0"/>
          <w:numId w:val="0"/>
        </w:numPr>
        <w:spacing w:after="0"/>
        <w:rPr>
          <w:rFonts w:asciiTheme="majorBidi" w:hAnsiTheme="majorBidi" w:cstheme="majorBidi"/>
          <w:sz w:val="18"/>
          <w:szCs w:val="18"/>
        </w:rPr>
      </w:pPr>
      <w:r>
        <w:rPr>
          <w:rFonts w:asciiTheme="majorBidi" w:hAnsiTheme="majorBidi"/>
          <w:sz w:val="18"/>
        </w:rPr>
        <w:t xml:space="preserve">** Las metas de un organismo se podrán reducir cuando el Comité Ejecutivo acuerde prorrogar la fecha de </w:t>
      </w:r>
      <w:r w:rsidR="00823C1B">
        <w:rPr>
          <w:rFonts w:asciiTheme="majorBidi" w:hAnsiTheme="majorBidi"/>
          <w:sz w:val="18"/>
        </w:rPr>
        <w:t>f</w:t>
      </w:r>
      <w:r>
        <w:rPr>
          <w:rFonts w:asciiTheme="majorBidi" w:hAnsiTheme="majorBidi"/>
          <w:sz w:val="18"/>
        </w:rPr>
        <w:t>i</w:t>
      </w:r>
      <w:r w:rsidR="00823C1B">
        <w:rPr>
          <w:rFonts w:asciiTheme="majorBidi" w:hAnsiTheme="majorBidi"/>
          <w:sz w:val="18"/>
        </w:rPr>
        <w:t>nalización</w:t>
      </w:r>
      <w:r>
        <w:rPr>
          <w:rFonts w:asciiTheme="majorBidi" w:hAnsiTheme="majorBidi"/>
          <w:sz w:val="18"/>
        </w:rPr>
        <w:t>.</w:t>
      </w:r>
    </w:p>
    <w:p w14:paraId="4F16F315" w14:textId="77777777" w:rsidR="005B564F" w:rsidRDefault="005B564F" w:rsidP="00C43141">
      <w:pPr>
        <w:pStyle w:val="sub-title"/>
        <w:keepNext/>
        <w:spacing w:after="240"/>
        <w:rPr>
          <w:sz w:val="24"/>
        </w:rPr>
      </w:pPr>
    </w:p>
    <w:p w14:paraId="2416029B" w14:textId="0FABDBAB" w:rsidR="00C43141" w:rsidRPr="00CF388D" w:rsidRDefault="00C43141" w:rsidP="00C43141">
      <w:pPr>
        <w:pStyle w:val="sub-title"/>
        <w:keepNext/>
        <w:spacing w:after="240"/>
        <w:rPr>
          <w:noProof w:val="0"/>
          <w:sz w:val="24"/>
          <w:szCs w:val="24"/>
        </w:rPr>
      </w:pPr>
      <w:r>
        <w:rPr>
          <w:sz w:val="24"/>
        </w:rPr>
        <w:t>V.</w:t>
      </w:r>
      <w:r>
        <w:rPr>
          <w:sz w:val="24"/>
        </w:rPr>
        <w:tab/>
        <w:t>Cuestiones relativas a políticas</w:t>
      </w:r>
    </w:p>
    <w:p w14:paraId="7813F579" w14:textId="3678C618" w:rsidR="00420E49" w:rsidRPr="00CF388D" w:rsidRDefault="00EC783D" w:rsidP="0061209B">
      <w:pPr>
        <w:pStyle w:val="Heading1"/>
      </w:pPr>
      <w:bookmarkStart w:id="1" w:name="_Hlk213080678"/>
      <w:r>
        <w:t>El PNUMA presenta las siguientes cuestiones relativas a políticas para consideración del Comité Ejecutivo, respecto de la preparación para la etapa II de los P</w:t>
      </w:r>
      <w:r w:rsidR="008D3C2C">
        <w:t>AK</w:t>
      </w:r>
      <w:r>
        <w:t xml:space="preserve">. Esta cuestión se considera en el plan administrativo </w:t>
      </w:r>
      <w:r w:rsidR="005B564F">
        <w:t>co</w:t>
      </w:r>
      <w:r>
        <w:t>n</w:t>
      </w:r>
      <w:r w:rsidR="005B564F">
        <w:t>sol</w:t>
      </w:r>
      <w:r>
        <w:t>i</w:t>
      </w:r>
      <w:r w:rsidR="005B564F">
        <w:t>da</w:t>
      </w:r>
      <w:r>
        <w:t>do del Fondo Multilateral para</w:t>
      </w:r>
      <w:r w:rsidR="005B564F">
        <w:t xml:space="preserve"> el período</w:t>
      </w:r>
      <w:r>
        <w:t xml:space="preserve"> 2026-2028</w:t>
      </w:r>
      <w:r w:rsidR="00AC254D" w:rsidRPr="00CF388D">
        <w:rPr>
          <w:rStyle w:val="FootnoteReference"/>
          <w:lang w:val="en-US"/>
        </w:rPr>
        <w:footnoteReference w:id="7"/>
      </w:r>
      <w:r>
        <w:t>.</w:t>
      </w:r>
    </w:p>
    <w:p w14:paraId="3B6B1FD1" w14:textId="5EA68DCC" w:rsidR="006A2804" w:rsidRPr="00CF388D" w:rsidRDefault="006A2804" w:rsidP="006A2804">
      <w:pPr>
        <w:pStyle w:val="Heading1"/>
      </w:pPr>
      <w:r>
        <w:lastRenderedPageBreak/>
        <w:t>El PNUMA inclu</w:t>
      </w:r>
      <w:r w:rsidR="005B564F">
        <w:t>yó</w:t>
      </w:r>
      <w:r>
        <w:t xml:space="preserve"> varias solicitudes de preparación de proy</w:t>
      </w:r>
      <w:r w:rsidR="008D3C2C">
        <w:t xml:space="preserve">ectos para la etapa II de los </w:t>
      </w:r>
      <w:r>
        <w:t>P</w:t>
      </w:r>
      <w:r w:rsidR="008D3C2C">
        <w:t>AK</w:t>
      </w:r>
      <w:r>
        <w:t xml:space="preserve"> en su plan administrativo inicial para</w:t>
      </w:r>
      <w:r w:rsidR="005B564F">
        <w:t xml:space="preserve"> el período</w:t>
      </w:r>
      <w:r>
        <w:t xml:space="preserve"> 2026-2028. Sin embargo, por el momento no hay ninguna decisión que permita la inclusión de tales actividades en el plan administrativo. Por consiguiente, la Secretaría ha eliminado dichas solicitudes de la presentación. El PNUMA solicita orientación al Comité Ejecutivo respecto </w:t>
      </w:r>
      <w:r w:rsidR="005B564F">
        <w:t>d</w:t>
      </w:r>
      <w:r>
        <w:t xml:space="preserve"> cuál sería el momento adecuado para incluir actividades de preparación de proyectos para la etapa II de los P</w:t>
      </w:r>
      <w:r w:rsidR="008D3C2C">
        <w:t>AK</w:t>
      </w:r>
      <w:r>
        <w:t xml:space="preserve"> en su plan administrativo. </w:t>
      </w:r>
    </w:p>
    <w:bookmarkEnd w:id="1"/>
    <w:p w14:paraId="1F19C379" w14:textId="2865D987" w:rsidR="00602AF5" w:rsidRPr="00CF388D" w:rsidRDefault="00602AF5" w:rsidP="00602AF5">
      <w:pPr>
        <w:pStyle w:val="sub-title"/>
        <w:keepNext/>
        <w:keepLines/>
        <w:spacing w:after="240"/>
        <w:rPr>
          <w:noProof w:val="0"/>
          <w:sz w:val="24"/>
          <w:szCs w:val="24"/>
        </w:rPr>
      </w:pPr>
      <w:r>
        <w:rPr>
          <w:sz w:val="24"/>
        </w:rPr>
        <w:t>VI.</w:t>
      </w:r>
      <w:r>
        <w:rPr>
          <w:sz w:val="24"/>
        </w:rPr>
        <w:tab/>
        <w:t>Recomendación</w:t>
      </w:r>
    </w:p>
    <w:p w14:paraId="3A6CB905" w14:textId="77777777" w:rsidR="00602AF5" w:rsidRPr="00CF388D" w:rsidRDefault="00602AF5" w:rsidP="00602AF5">
      <w:pPr>
        <w:pStyle w:val="Heading1"/>
      </w:pPr>
      <w:r>
        <w:t>El Comité Ejecutivo podría estimar oportuno:</w:t>
      </w:r>
    </w:p>
    <w:p w14:paraId="7802DA44" w14:textId="5C05530F" w:rsidR="00602AF5" w:rsidRPr="00CF388D" w:rsidRDefault="00602AF5" w:rsidP="00823C1B">
      <w:pPr>
        <w:pStyle w:val="Heading2"/>
        <w:numPr>
          <w:ilvl w:val="1"/>
          <w:numId w:val="24"/>
        </w:numPr>
      </w:pPr>
      <w:r>
        <w:t>Tomar nota del plan administrativo del PNUMA para</w:t>
      </w:r>
      <w:r w:rsidR="00823C1B">
        <w:t xml:space="preserve"> el período</w:t>
      </w:r>
      <w:r>
        <w:t xml:space="preserve"> 2026-2028 que se recoge en el documento UNEP/OzL.Pro/ExCom/97/23; y</w:t>
      </w:r>
    </w:p>
    <w:p w14:paraId="207C60A9" w14:textId="42C4B437" w:rsidR="00602AF5" w:rsidRPr="00CF388D" w:rsidRDefault="00602AF5" w:rsidP="00823C1B">
      <w:pPr>
        <w:pStyle w:val="Heading2"/>
        <w:numPr>
          <w:ilvl w:val="1"/>
          <w:numId w:val="24"/>
        </w:numPr>
      </w:pPr>
      <w:r>
        <w:t>Aprobar los indicadores de desempeño para el PNUMA que se indican en el cuadro 4 del documento UNEP/OzL.Pro/ExCom/97/23.</w:t>
      </w:r>
    </w:p>
    <w:tbl>
      <w:tblPr>
        <w:tblStyle w:val="TableGrid"/>
        <w:tblW w:w="0" w:type="auto"/>
        <w:tblLook w:val="04A0" w:firstRow="1" w:lastRow="0" w:firstColumn="1" w:lastColumn="0" w:noHBand="0" w:noVBand="1"/>
      </w:tblPr>
      <w:tblGrid>
        <w:gridCol w:w="1871"/>
        <w:gridCol w:w="1872"/>
        <w:gridCol w:w="1872"/>
        <w:gridCol w:w="1872"/>
        <w:gridCol w:w="1873"/>
      </w:tblGrid>
      <w:tr w:rsidR="00E85409" w:rsidRPr="00CF388D" w14:paraId="497A2A82" w14:textId="77777777" w:rsidTr="00602AF5">
        <w:tc>
          <w:tcPr>
            <w:tcW w:w="1871" w:type="dxa"/>
          </w:tcPr>
          <w:p w14:paraId="02843B91" w14:textId="77777777" w:rsidR="00E85409" w:rsidRPr="00CF388D" w:rsidRDefault="00E85409" w:rsidP="00374BF2"/>
        </w:tc>
        <w:tc>
          <w:tcPr>
            <w:tcW w:w="1872" w:type="dxa"/>
          </w:tcPr>
          <w:p w14:paraId="25EDC9F9" w14:textId="77777777" w:rsidR="00E85409" w:rsidRPr="00CF388D" w:rsidRDefault="00E85409" w:rsidP="00374BF2"/>
        </w:tc>
        <w:tc>
          <w:tcPr>
            <w:tcW w:w="1872" w:type="dxa"/>
            <w:tcBorders>
              <w:bottom w:val="single" w:sz="4" w:space="0" w:color="auto"/>
            </w:tcBorders>
          </w:tcPr>
          <w:p w14:paraId="2E6A13F3" w14:textId="77777777" w:rsidR="00E85409" w:rsidRPr="00CF388D" w:rsidRDefault="00E85409" w:rsidP="00374BF2"/>
        </w:tc>
        <w:tc>
          <w:tcPr>
            <w:tcW w:w="1872" w:type="dxa"/>
          </w:tcPr>
          <w:p w14:paraId="368C2E7D" w14:textId="77777777" w:rsidR="00E85409" w:rsidRPr="00CF388D" w:rsidRDefault="00E85409" w:rsidP="00374BF2"/>
        </w:tc>
        <w:tc>
          <w:tcPr>
            <w:tcW w:w="1873" w:type="dxa"/>
          </w:tcPr>
          <w:p w14:paraId="3AE049C0" w14:textId="77777777" w:rsidR="00E85409" w:rsidRPr="00CF388D" w:rsidRDefault="00E85409" w:rsidP="00374BF2"/>
        </w:tc>
      </w:tr>
    </w:tbl>
    <w:p w14:paraId="6EBD9C4F" w14:textId="77777777" w:rsidR="00E85409" w:rsidRPr="00CF388D" w:rsidRDefault="00E85409" w:rsidP="004E7F9C">
      <w:pPr>
        <w:rPr>
          <w:sz w:val="16"/>
          <w:szCs w:val="16"/>
        </w:rPr>
      </w:pPr>
    </w:p>
    <w:sectPr w:rsidR="00E85409" w:rsidRPr="00CF388D"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BA94A" w14:textId="77777777" w:rsidR="00ED13E0" w:rsidRDefault="00ED13E0" w:rsidP="004A504B">
      <w:r>
        <w:separator/>
      </w:r>
    </w:p>
  </w:endnote>
  <w:endnote w:type="continuationSeparator" w:id="0">
    <w:p w14:paraId="1AF5CB3C" w14:textId="77777777" w:rsidR="00ED13E0" w:rsidRDefault="00ED13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C8DE" w14:textId="776839CD" w:rsidR="00A658FA" w:rsidRPr="0033525D" w:rsidRDefault="00A658FA">
    <w:pPr>
      <w:jc w:val="center"/>
    </w:pPr>
    <w:r>
      <w:fldChar w:fldCharType="begin"/>
    </w:r>
    <w:r>
      <w:instrText xml:space="preserve"> PAGE </w:instrText>
    </w:r>
    <w:r>
      <w:fldChar w:fldCharType="separate"/>
    </w:r>
    <w:r w:rsidR="006D2C71">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A698" w14:textId="6A55B10D" w:rsidR="00A658FA" w:rsidRPr="0033525D" w:rsidRDefault="00A658FA">
    <w:pPr>
      <w:jc w:val="center"/>
    </w:pPr>
    <w:r>
      <w:fldChar w:fldCharType="begin"/>
    </w:r>
    <w:r>
      <w:instrText xml:space="preserve"> PAGE </w:instrText>
    </w:r>
    <w:r>
      <w:fldChar w:fldCharType="separate"/>
    </w:r>
    <w:r w:rsidR="006D2C71">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C5E9" w14:textId="66E56205" w:rsidR="00A658FA" w:rsidRDefault="00A658FA"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75908" w14:textId="77777777" w:rsidR="00ED13E0" w:rsidRDefault="00ED13E0" w:rsidP="004A504B">
      <w:r>
        <w:separator/>
      </w:r>
    </w:p>
  </w:footnote>
  <w:footnote w:type="continuationSeparator" w:id="0">
    <w:p w14:paraId="5FBA8FFF" w14:textId="77777777" w:rsidR="00ED13E0" w:rsidRDefault="00ED13E0" w:rsidP="004A504B">
      <w:r>
        <w:continuationSeparator/>
      </w:r>
    </w:p>
  </w:footnote>
  <w:footnote w:id="1">
    <w:p w14:paraId="4F34EA81" w14:textId="77777777" w:rsidR="00A658FA" w:rsidRPr="001E1147" w:rsidRDefault="00A658FA" w:rsidP="0079781A">
      <w:pPr>
        <w:pStyle w:val="FootnoteText"/>
      </w:pPr>
      <w:r>
        <w:rPr>
          <w:rStyle w:val="FootnoteReference"/>
        </w:rPr>
        <w:footnoteRef/>
      </w:r>
      <w:r>
        <w:t xml:space="preserve"> UNEP/OzL.Pro/ExCom/97/1</w:t>
      </w:r>
    </w:p>
  </w:footnote>
  <w:footnote w:id="2">
    <w:p w14:paraId="02F2DAC1" w14:textId="05AF760E" w:rsidR="00B473E0" w:rsidRPr="004763DA" w:rsidRDefault="00B473E0" w:rsidP="00B473E0">
      <w:pPr>
        <w:pStyle w:val="FootnoteText"/>
      </w:pPr>
      <w:r w:rsidRPr="004763DA">
        <w:rPr>
          <w:rStyle w:val="FootnoteReference"/>
        </w:rPr>
        <w:footnoteRef/>
      </w:r>
      <w:r>
        <w:t> </w:t>
      </w:r>
      <w:r w:rsidRPr="00B473E0">
        <w:t xml:space="preserve">La decisión 89/6 permitió que los organismos bilaterales y de ejecución, al presentar las etapas actuales y futuras de los PGEH para países BVC, incluyeran el financiamiento asociado a la necesidad de introducir alternativas a los HCFC </w:t>
      </w:r>
      <w:r>
        <w:t>que tuvieran</w:t>
      </w:r>
      <w:r w:rsidRPr="00B473E0">
        <w:t xml:space="preserve"> bajo o nulo potencial de calentamiento atmosférico y </w:t>
      </w:r>
      <w:r>
        <w:t xml:space="preserve">de </w:t>
      </w:r>
      <w:r w:rsidRPr="00B473E0">
        <w:t>mantener la eficiencia energética en el sector de servicio técnico de equipos de refrigeración</w:t>
      </w:r>
      <w:r w:rsidRPr="004763DA">
        <w:t>.</w:t>
      </w:r>
    </w:p>
  </w:footnote>
  <w:footnote w:id="3">
    <w:p w14:paraId="135DF42F" w14:textId="1269CB3B" w:rsidR="00A658FA" w:rsidRPr="00EC1F41" w:rsidRDefault="00A658FA" w:rsidP="00602AF5">
      <w:pPr>
        <w:pStyle w:val="FootnoteText"/>
      </w:pPr>
      <w:r>
        <w:rPr>
          <w:rStyle w:val="FootnoteReference"/>
        </w:rPr>
        <w:footnoteRef/>
      </w:r>
      <w:r>
        <w:t xml:space="preserve"> El Comité Ejecutivo estableció una ventana de financiamiento y criterios para proyectos piloto destinados a mantener y/o potenciar la eficiencia energética de equipos y tecnologías sustitutivas en el contexto de la reducción de los HFC. El plazo de la ventana para la presentación de proyectos en el marco de la decisión 91/65, únicamente para actividades de servicio técnico, se prorrogó hasta la 100</w:t>
      </w:r>
      <w:r>
        <w:rPr>
          <w:vertAlign w:val="superscript"/>
        </w:rPr>
        <w:t>a</w:t>
      </w:r>
      <w:r>
        <w:t> reunión, inclusive (decisión 95/87 d)).</w:t>
      </w:r>
    </w:p>
  </w:footnote>
  <w:footnote w:id="4">
    <w:p w14:paraId="757AE5F5" w14:textId="616FD446" w:rsidR="00A658FA" w:rsidRPr="00EC1F41" w:rsidRDefault="00A658FA" w:rsidP="00602AF5">
      <w:pPr>
        <w:pStyle w:val="FootnoteText"/>
      </w:pPr>
      <w:r>
        <w:rPr>
          <w:rStyle w:val="FootnoteReference"/>
        </w:rPr>
        <w:footnoteRef/>
      </w:r>
      <w:r>
        <w:t xml:space="preserve"> UNEP/OzL.Pro/ExCom/97/83</w:t>
      </w:r>
    </w:p>
  </w:footnote>
  <w:footnote w:id="5">
    <w:p w14:paraId="06D4EF41" w14:textId="71F01BE7" w:rsidR="00A658FA" w:rsidRPr="00EC1F41" w:rsidRDefault="00A658FA" w:rsidP="00602AF5">
      <w:pPr>
        <w:pStyle w:val="FootnoteText"/>
      </w:pPr>
      <w:r>
        <w:rPr>
          <w:rStyle w:val="FootnoteReference"/>
        </w:rPr>
        <w:footnoteRef/>
      </w:r>
      <w:r>
        <w:t xml:space="preserve"> UNEP/OzL.Pro/ExCom/97/20</w:t>
      </w:r>
    </w:p>
  </w:footnote>
  <w:footnote w:id="6">
    <w:p w14:paraId="31EB3ED8" w14:textId="77777777" w:rsidR="00A658FA" w:rsidRPr="00EC1F41" w:rsidRDefault="00A658FA" w:rsidP="00602AF5">
      <w:pPr>
        <w:pStyle w:val="FootnoteText"/>
      </w:pPr>
      <w:r>
        <w:rPr>
          <w:rStyle w:val="FootnoteReference"/>
        </w:rPr>
        <w:footnoteRef/>
      </w:r>
      <w:r>
        <w:t xml:space="preserve"> La decisión 93/8 d) no incluye indicadores de desempeño para el PAC del PNUMA.</w:t>
      </w:r>
    </w:p>
  </w:footnote>
  <w:footnote w:id="7">
    <w:p w14:paraId="53C52EDD" w14:textId="0B76487B" w:rsidR="00A658FA" w:rsidRPr="00AC254D" w:rsidRDefault="00A658FA">
      <w:pPr>
        <w:pStyle w:val="FootnoteText"/>
      </w:pPr>
      <w:r>
        <w:rPr>
          <w:rStyle w:val="FootnoteReference"/>
        </w:rPr>
        <w:footnoteRef/>
      </w:r>
      <w:r>
        <w:t xml:space="preserve"> UNEP/OzL.Pro/ExCom/97/20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45F9" w14:textId="138D15C8" w:rsidR="00A658FA" w:rsidRPr="0033525D" w:rsidRDefault="00A658FA">
    <w:fldSimple w:instr=" DOCPROPERTY &quot;Document number&quot;  \* MERGEFORMAT ">
      <w:r>
        <w:t>UNEP/OzL.Pro/ExCom/97/23</w:t>
      </w:r>
    </w:fldSimple>
  </w:p>
  <w:p w14:paraId="40576E8C" w14:textId="77777777" w:rsidR="00A658FA" w:rsidRPr="0033525D" w:rsidRDefault="00A658FA"/>
  <w:p w14:paraId="7538CBE5" w14:textId="77777777" w:rsidR="00A658FA" w:rsidRPr="0033525D" w:rsidRDefault="00A658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78D1" w14:textId="7FC7DBD6" w:rsidR="00A658FA" w:rsidRPr="0033525D" w:rsidRDefault="00A658FA">
    <w:pPr>
      <w:jc w:val="right"/>
    </w:pPr>
    <w:fldSimple w:instr=" DOCPROPERTY &quot;Document number&quot;  \* MERGEFORMAT ">
      <w:r>
        <w:t>UNEP/OzL.Pro/ExCom/97/23</w:t>
      </w:r>
    </w:fldSimple>
  </w:p>
  <w:p w14:paraId="28F8CC15" w14:textId="77777777" w:rsidR="00A658FA" w:rsidRPr="0033525D" w:rsidRDefault="00A658FA"/>
  <w:p w14:paraId="6BBA19AB" w14:textId="77777777" w:rsidR="00A658FA" w:rsidRPr="0033525D" w:rsidRDefault="00A65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4DADE1A"/>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04234E5"/>
    <w:multiLevelType w:val="multilevel"/>
    <w:tmpl w:val="C2CA3FD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hAnsi="Times New Roman"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31896330">
    <w:abstractNumId w:val="10"/>
  </w:num>
  <w:num w:numId="2" w16cid:durableId="1215581900">
    <w:abstractNumId w:val="10"/>
  </w:num>
  <w:num w:numId="3" w16cid:durableId="340812469">
    <w:abstractNumId w:val="10"/>
  </w:num>
  <w:num w:numId="4" w16cid:durableId="1128812798">
    <w:abstractNumId w:val="10"/>
  </w:num>
  <w:num w:numId="5" w16cid:durableId="1578133037">
    <w:abstractNumId w:val="10"/>
  </w:num>
  <w:num w:numId="6" w16cid:durableId="176816571">
    <w:abstractNumId w:val="9"/>
  </w:num>
  <w:num w:numId="7" w16cid:durableId="1663925282">
    <w:abstractNumId w:val="7"/>
  </w:num>
  <w:num w:numId="8" w16cid:durableId="2047488065">
    <w:abstractNumId w:val="6"/>
  </w:num>
  <w:num w:numId="9" w16cid:durableId="386144907">
    <w:abstractNumId w:val="5"/>
  </w:num>
  <w:num w:numId="10" w16cid:durableId="412701030">
    <w:abstractNumId w:val="4"/>
  </w:num>
  <w:num w:numId="11" w16cid:durableId="109512413">
    <w:abstractNumId w:val="8"/>
  </w:num>
  <w:num w:numId="12" w16cid:durableId="1521818909">
    <w:abstractNumId w:val="3"/>
  </w:num>
  <w:num w:numId="13" w16cid:durableId="1614284025">
    <w:abstractNumId w:val="2"/>
  </w:num>
  <w:num w:numId="14" w16cid:durableId="805977578">
    <w:abstractNumId w:val="1"/>
  </w:num>
  <w:num w:numId="15" w16cid:durableId="1036199404">
    <w:abstractNumId w:val="0"/>
  </w:num>
  <w:num w:numId="16" w16cid:durableId="1928146315">
    <w:abstractNumId w:val="12"/>
  </w:num>
  <w:num w:numId="17" w16cid:durableId="65343305">
    <w:abstractNumId w:val="14"/>
  </w:num>
  <w:num w:numId="18" w16cid:durableId="1859075395">
    <w:abstractNumId w:val="15"/>
  </w:num>
  <w:num w:numId="19" w16cid:durableId="1111318433">
    <w:abstractNumId w:val="17"/>
  </w:num>
  <w:num w:numId="20" w16cid:durableId="373239150">
    <w:abstractNumId w:val="13"/>
  </w:num>
  <w:num w:numId="21" w16cid:durableId="946622881">
    <w:abstractNumId w:val="13"/>
    <w:lvlOverride w:ilvl="0">
      <w:startOverride w:val="1"/>
    </w:lvlOverride>
  </w:num>
  <w:num w:numId="22" w16cid:durableId="1019626315">
    <w:abstractNumId w:val="16"/>
  </w:num>
  <w:num w:numId="23" w16cid:durableId="969361057">
    <w:abstractNumId w:val="10"/>
  </w:num>
  <w:num w:numId="24" w16cid:durableId="99360911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02AF5"/>
    <w:rsid w:val="00000FED"/>
    <w:rsid w:val="0000434E"/>
    <w:rsid w:val="00004548"/>
    <w:rsid w:val="00015289"/>
    <w:rsid w:val="0001788F"/>
    <w:rsid w:val="000211A9"/>
    <w:rsid w:val="00021238"/>
    <w:rsid w:val="0002147B"/>
    <w:rsid w:val="00022071"/>
    <w:rsid w:val="00022B68"/>
    <w:rsid w:val="0002365F"/>
    <w:rsid w:val="00026119"/>
    <w:rsid w:val="00031260"/>
    <w:rsid w:val="0003681A"/>
    <w:rsid w:val="000372B7"/>
    <w:rsid w:val="000461AC"/>
    <w:rsid w:val="00050F6E"/>
    <w:rsid w:val="00061EC2"/>
    <w:rsid w:val="00064B69"/>
    <w:rsid w:val="00066CE8"/>
    <w:rsid w:val="00067607"/>
    <w:rsid w:val="0007129D"/>
    <w:rsid w:val="00076EA9"/>
    <w:rsid w:val="00080ED0"/>
    <w:rsid w:val="0008316D"/>
    <w:rsid w:val="00085B8F"/>
    <w:rsid w:val="00087A81"/>
    <w:rsid w:val="00090073"/>
    <w:rsid w:val="00090481"/>
    <w:rsid w:val="00092038"/>
    <w:rsid w:val="000A3826"/>
    <w:rsid w:val="000A6C26"/>
    <w:rsid w:val="000B36C8"/>
    <w:rsid w:val="000B4756"/>
    <w:rsid w:val="000B6368"/>
    <w:rsid w:val="000C497E"/>
    <w:rsid w:val="000D1C7E"/>
    <w:rsid w:val="000D261F"/>
    <w:rsid w:val="000D52A4"/>
    <w:rsid w:val="000E07BC"/>
    <w:rsid w:val="000E11CE"/>
    <w:rsid w:val="000E2E21"/>
    <w:rsid w:val="000F1CD4"/>
    <w:rsid w:val="000F3FFB"/>
    <w:rsid w:val="000F4103"/>
    <w:rsid w:val="000F46BB"/>
    <w:rsid w:val="000F70A7"/>
    <w:rsid w:val="001024E5"/>
    <w:rsid w:val="00107A3F"/>
    <w:rsid w:val="00113CCA"/>
    <w:rsid w:val="00122F25"/>
    <w:rsid w:val="00130388"/>
    <w:rsid w:val="00135980"/>
    <w:rsid w:val="0013786F"/>
    <w:rsid w:val="0014314A"/>
    <w:rsid w:val="001546F1"/>
    <w:rsid w:val="0015706B"/>
    <w:rsid w:val="00162D93"/>
    <w:rsid w:val="00164719"/>
    <w:rsid w:val="00166FC4"/>
    <w:rsid w:val="001677AC"/>
    <w:rsid w:val="001751C6"/>
    <w:rsid w:val="00176B46"/>
    <w:rsid w:val="001804EA"/>
    <w:rsid w:val="00180A0A"/>
    <w:rsid w:val="00190A61"/>
    <w:rsid w:val="0019273E"/>
    <w:rsid w:val="00197179"/>
    <w:rsid w:val="001A2215"/>
    <w:rsid w:val="001A3342"/>
    <w:rsid w:val="001A3E3D"/>
    <w:rsid w:val="001A7049"/>
    <w:rsid w:val="001B1E40"/>
    <w:rsid w:val="001C3F57"/>
    <w:rsid w:val="001C764E"/>
    <w:rsid w:val="001D78AF"/>
    <w:rsid w:val="001E1052"/>
    <w:rsid w:val="001E21B1"/>
    <w:rsid w:val="001E2F93"/>
    <w:rsid w:val="001E4554"/>
    <w:rsid w:val="001E61E5"/>
    <w:rsid w:val="001F2159"/>
    <w:rsid w:val="001F53FD"/>
    <w:rsid w:val="002024B6"/>
    <w:rsid w:val="002055A2"/>
    <w:rsid w:val="002055E0"/>
    <w:rsid w:val="002066D0"/>
    <w:rsid w:val="00206ADB"/>
    <w:rsid w:val="00210B8B"/>
    <w:rsid w:val="00214863"/>
    <w:rsid w:val="002156B4"/>
    <w:rsid w:val="00223291"/>
    <w:rsid w:val="00224FCD"/>
    <w:rsid w:val="00227C7F"/>
    <w:rsid w:val="00234ED7"/>
    <w:rsid w:val="0025033C"/>
    <w:rsid w:val="00253222"/>
    <w:rsid w:val="00261C13"/>
    <w:rsid w:val="00262847"/>
    <w:rsid w:val="002675E4"/>
    <w:rsid w:val="0027136D"/>
    <w:rsid w:val="00271B25"/>
    <w:rsid w:val="0027238A"/>
    <w:rsid w:val="00281BB2"/>
    <w:rsid w:val="00283483"/>
    <w:rsid w:val="00283C55"/>
    <w:rsid w:val="002A03C3"/>
    <w:rsid w:val="002B254E"/>
    <w:rsid w:val="002B4CE8"/>
    <w:rsid w:val="002B5D88"/>
    <w:rsid w:val="002B72E9"/>
    <w:rsid w:val="002C32FC"/>
    <w:rsid w:val="002C7998"/>
    <w:rsid w:val="002E01C7"/>
    <w:rsid w:val="002E1023"/>
    <w:rsid w:val="002F1E53"/>
    <w:rsid w:val="002F2CAA"/>
    <w:rsid w:val="002F7217"/>
    <w:rsid w:val="0030052C"/>
    <w:rsid w:val="003044F3"/>
    <w:rsid w:val="00306A51"/>
    <w:rsid w:val="00307952"/>
    <w:rsid w:val="00311E25"/>
    <w:rsid w:val="003306E1"/>
    <w:rsid w:val="00331524"/>
    <w:rsid w:val="003320E4"/>
    <w:rsid w:val="0033525D"/>
    <w:rsid w:val="00337078"/>
    <w:rsid w:val="003414F3"/>
    <w:rsid w:val="0034266D"/>
    <w:rsid w:val="003509C4"/>
    <w:rsid w:val="0035613E"/>
    <w:rsid w:val="00363702"/>
    <w:rsid w:val="00363EE9"/>
    <w:rsid w:val="0037061B"/>
    <w:rsid w:val="00371252"/>
    <w:rsid w:val="00374BF2"/>
    <w:rsid w:val="00376128"/>
    <w:rsid w:val="0037742E"/>
    <w:rsid w:val="00377D56"/>
    <w:rsid w:val="0038245A"/>
    <w:rsid w:val="003840E6"/>
    <w:rsid w:val="00385CFC"/>
    <w:rsid w:val="00386B39"/>
    <w:rsid w:val="0039337A"/>
    <w:rsid w:val="0039764E"/>
    <w:rsid w:val="003A0B91"/>
    <w:rsid w:val="003A3189"/>
    <w:rsid w:val="003A3CA7"/>
    <w:rsid w:val="003A5627"/>
    <w:rsid w:val="003B031B"/>
    <w:rsid w:val="003B1FBF"/>
    <w:rsid w:val="003B33BD"/>
    <w:rsid w:val="003B569D"/>
    <w:rsid w:val="003C083E"/>
    <w:rsid w:val="003C2AFA"/>
    <w:rsid w:val="003C3C0E"/>
    <w:rsid w:val="003C61EB"/>
    <w:rsid w:val="003D42A6"/>
    <w:rsid w:val="003D4F21"/>
    <w:rsid w:val="003D4FAC"/>
    <w:rsid w:val="003E1885"/>
    <w:rsid w:val="003E3962"/>
    <w:rsid w:val="003E7906"/>
    <w:rsid w:val="003F000F"/>
    <w:rsid w:val="003F3C50"/>
    <w:rsid w:val="003F4B60"/>
    <w:rsid w:val="004058DA"/>
    <w:rsid w:val="00406202"/>
    <w:rsid w:val="00406A6A"/>
    <w:rsid w:val="00406B22"/>
    <w:rsid w:val="00407147"/>
    <w:rsid w:val="004078FA"/>
    <w:rsid w:val="00410D00"/>
    <w:rsid w:val="00414788"/>
    <w:rsid w:val="00414B4E"/>
    <w:rsid w:val="00420E49"/>
    <w:rsid w:val="00424F21"/>
    <w:rsid w:val="00431E08"/>
    <w:rsid w:val="004328A7"/>
    <w:rsid w:val="00434C74"/>
    <w:rsid w:val="00454737"/>
    <w:rsid w:val="00456EB4"/>
    <w:rsid w:val="00457827"/>
    <w:rsid w:val="00466551"/>
    <w:rsid w:val="004718F3"/>
    <w:rsid w:val="00475040"/>
    <w:rsid w:val="004763DA"/>
    <w:rsid w:val="00490C06"/>
    <w:rsid w:val="00491126"/>
    <w:rsid w:val="00493D40"/>
    <w:rsid w:val="00493EE3"/>
    <w:rsid w:val="004967B6"/>
    <w:rsid w:val="004971B7"/>
    <w:rsid w:val="004A504B"/>
    <w:rsid w:val="004A6911"/>
    <w:rsid w:val="004B2710"/>
    <w:rsid w:val="004B3652"/>
    <w:rsid w:val="004B54E0"/>
    <w:rsid w:val="004B7384"/>
    <w:rsid w:val="004C10C2"/>
    <w:rsid w:val="004C4269"/>
    <w:rsid w:val="004C44E3"/>
    <w:rsid w:val="004D2757"/>
    <w:rsid w:val="004D6236"/>
    <w:rsid w:val="004D63C2"/>
    <w:rsid w:val="004D7244"/>
    <w:rsid w:val="004D7F90"/>
    <w:rsid w:val="004E4DBB"/>
    <w:rsid w:val="004E4E41"/>
    <w:rsid w:val="004E73DB"/>
    <w:rsid w:val="004E7F9C"/>
    <w:rsid w:val="004F3493"/>
    <w:rsid w:val="004F5143"/>
    <w:rsid w:val="004F5DFE"/>
    <w:rsid w:val="00506C62"/>
    <w:rsid w:val="00512B09"/>
    <w:rsid w:val="005179B3"/>
    <w:rsid w:val="0052135F"/>
    <w:rsid w:val="005220ED"/>
    <w:rsid w:val="005274E6"/>
    <w:rsid w:val="00527A3E"/>
    <w:rsid w:val="00530628"/>
    <w:rsid w:val="00533796"/>
    <w:rsid w:val="00535742"/>
    <w:rsid w:val="00535E79"/>
    <w:rsid w:val="00537343"/>
    <w:rsid w:val="00542BF5"/>
    <w:rsid w:val="00543C5C"/>
    <w:rsid w:val="0054431D"/>
    <w:rsid w:val="005516F3"/>
    <w:rsid w:val="00555D75"/>
    <w:rsid w:val="00560DF0"/>
    <w:rsid w:val="00566F17"/>
    <w:rsid w:val="0056759C"/>
    <w:rsid w:val="0059513E"/>
    <w:rsid w:val="005A6AA4"/>
    <w:rsid w:val="005A6D9F"/>
    <w:rsid w:val="005A75E9"/>
    <w:rsid w:val="005A7E99"/>
    <w:rsid w:val="005B0542"/>
    <w:rsid w:val="005B48FF"/>
    <w:rsid w:val="005B564F"/>
    <w:rsid w:val="005B5AF5"/>
    <w:rsid w:val="005C1E32"/>
    <w:rsid w:val="005C670D"/>
    <w:rsid w:val="005C6EFF"/>
    <w:rsid w:val="005D363F"/>
    <w:rsid w:val="005F4644"/>
    <w:rsid w:val="00602AF5"/>
    <w:rsid w:val="00603CA0"/>
    <w:rsid w:val="00604C15"/>
    <w:rsid w:val="0061209B"/>
    <w:rsid w:val="006158D5"/>
    <w:rsid w:val="006225A7"/>
    <w:rsid w:val="00625D83"/>
    <w:rsid w:val="00630875"/>
    <w:rsid w:val="00630F6A"/>
    <w:rsid w:val="00631927"/>
    <w:rsid w:val="00631AB3"/>
    <w:rsid w:val="00644E5D"/>
    <w:rsid w:val="00651396"/>
    <w:rsid w:val="00651984"/>
    <w:rsid w:val="006623E7"/>
    <w:rsid w:val="00662B80"/>
    <w:rsid w:val="0066768F"/>
    <w:rsid w:val="00670F6C"/>
    <w:rsid w:val="006730F4"/>
    <w:rsid w:val="006731E3"/>
    <w:rsid w:val="00676E58"/>
    <w:rsid w:val="00677A2B"/>
    <w:rsid w:val="006822CB"/>
    <w:rsid w:val="006852C7"/>
    <w:rsid w:val="006852CE"/>
    <w:rsid w:val="00692D14"/>
    <w:rsid w:val="00697069"/>
    <w:rsid w:val="006A2804"/>
    <w:rsid w:val="006A5153"/>
    <w:rsid w:val="006A7A3B"/>
    <w:rsid w:val="006B1EAB"/>
    <w:rsid w:val="006B4E69"/>
    <w:rsid w:val="006B65C7"/>
    <w:rsid w:val="006B6FA1"/>
    <w:rsid w:val="006B75E0"/>
    <w:rsid w:val="006C1727"/>
    <w:rsid w:val="006C32FD"/>
    <w:rsid w:val="006C39CE"/>
    <w:rsid w:val="006C6A75"/>
    <w:rsid w:val="006D0FCC"/>
    <w:rsid w:val="006D21F5"/>
    <w:rsid w:val="006D2C71"/>
    <w:rsid w:val="006D3089"/>
    <w:rsid w:val="006E126D"/>
    <w:rsid w:val="006E1FC3"/>
    <w:rsid w:val="006F46FF"/>
    <w:rsid w:val="00702431"/>
    <w:rsid w:val="00704CE9"/>
    <w:rsid w:val="00705C1C"/>
    <w:rsid w:val="0070616B"/>
    <w:rsid w:val="00706295"/>
    <w:rsid w:val="00706FDA"/>
    <w:rsid w:val="00711F9A"/>
    <w:rsid w:val="00713810"/>
    <w:rsid w:val="0072356F"/>
    <w:rsid w:val="00725784"/>
    <w:rsid w:val="0072588C"/>
    <w:rsid w:val="007303A5"/>
    <w:rsid w:val="00730B3E"/>
    <w:rsid w:val="00731F7B"/>
    <w:rsid w:val="0073420B"/>
    <w:rsid w:val="00736367"/>
    <w:rsid w:val="0074760E"/>
    <w:rsid w:val="007514BB"/>
    <w:rsid w:val="0075233D"/>
    <w:rsid w:val="00753866"/>
    <w:rsid w:val="00753D71"/>
    <w:rsid w:val="0075457D"/>
    <w:rsid w:val="007548C4"/>
    <w:rsid w:val="00754ABA"/>
    <w:rsid w:val="007624A2"/>
    <w:rsid w:val="00773551"/>
    <w:rsid w:val="00773F30"/>
    <w:rsid w:val="00782B0D"/>
    <w:rsid w:val="0078474C"/>
    <w:rsid w:val="0079781A"/>
    <w:rsid w:val="007A1546"/>
    <w:rsid w:val="007A228C"/>
    <w:rsid w:val="007A368E"/>
    <w:rsid w:val="007A5868"/>
    <w:rsid w:val="007B04CE"/>
    <w:rsid w:val="007B2497"/>
    <w:rsid w:val="007B6871"/>
    <w:rsid w:val="007B7A2F"/>
    <w:rsid w:val="007C2B69"/>
    <w:rsid w:val="007C3295"/>
    <w:rsid w:val="007C32EE"/>
    <w:rsid w:val="007C3D33"/>
    <w:rsid w:val="007C6C04"/>
    <w:rsid w:val="007D294A"/>
    <w:rsid w:val="007D47D2"/>
    <w:rsid w:val="007D6EC0"/>
    <w:rsid w:val="007D7E1D"/>
    <w:rsid w:val="007E297B"/>
    <w:rsid w:val="007E503C"/>
    <w:rsid w:val="008019EF"/>
    <w:rsid w:val="008021CD"/>
    <w:rsid w:val="00802DEC"/>
    <w:rsid w:val="0080345C"/>
    <w:rsid w:val="00812941"/>
    <w:rsid w:val="0081342C"/>
    <w:rsid w:val="00813EAF"/>
    <w:rsid w:val="008170D3"/>
    <w:rsid w:val="00823C1B"/>
    <w:rsid w:val="00824EDE"/>
    <w:rsid w:val="0082522F"/>
    <w:rsid w:val="0083169F"/>
    <w:rsid w:val="00831979"/>
    <w:rsid w:val="00841598"/>
    <w:rsid w:val="0084159C"/>
    <w:rsid w:val="00851352"/>
    <w:rsid w:val="00857077"/>
    <w:rsid w:val="008613DA"/>
    <w:rsid w:val="00863230"/>
    <w:rsid w:val="00865BD0"/>
    <w:rsid w:val="00865FAE"/>
    <w:rsid w:val="00866406"/>
    <w:rsid w:val="008717D8"/>
    <w:rsid w:val="0087215C"/>
    <w:rsid w:val="00874B34"/>
    <w:rsid w:val="00875D25"/>
    <w:rsid w:val="008777BB"/>
    <w:rsid w:val="00880E35"/>
    <w:rsid w:val="00881976"/>
    <w:rsid w:val="008851DE"/>
    <w:rsid w:val="008851E3"/>
    <w:rsid w:val="008875FE"/>
    <w:rsid w:val="00887F8E"/>
    <w:rsid w:val="00896234"/>
    <w:rsid w:val="00897E43"/>
    <w:rsid w:val="008A2350"/>
    <w:rsid w:val="008A38A7"/>
    <w:rsid w:val="008C222B"/>
    <w:rsid w:val="008C3A20"/>
    <w:rsid w:val="008C5738"/>
    <w:rsid w:val="008C6070"/>
    <w:rsid w:val="008C7EAD"/>
    <w:rsid w:val="008D0CFE"/>
    <w:rsid w:val="008D3C2C"/>
    <w:rsid w:val="008D6152"/>
    <w:rsid w:val="008E08D2"/>
    <w:rsid w:val="008E4905"/>
    <w:rsid w:val="008E7BA9"/>
    <w:rsid w:val="008F0F81"/>
    <w:rsid w:val="008F27BF"/>
    <w:rsid w:val="008F2E64"/>
    <w:rsid w:val="0090288C"/>
    <w:rsid w:val="009060FF"/>
    <w:rsid w:val="009142EC"/>
    <w:rsid w:val="009145E4"/>
    <w:rsid w:val="009154C3"/>
    <w:rsid w:val="009210A0"/>
    <w:rsid w:val="00923425"/>
    <w:rsid w:val="00923540"/>
    <w:rsid w:val="00926767"/>
    <w:rsid w:val="009276E2"/>
    <w:rsid w:val="009361D5"/>
    <w:rsid w:val="009428A4"/>
    <w:rsid w:val="0094370E"/>
    <w:rsid w:val="009544E9"/>
    <w:rsid w:val="009659F4"/>
    <w:rsid w:val="00970D60"/>
    <w:rsid w:val="00981C46"/>
    <w:rsid w:val="009874D0"/>
    <w:rsid w:val="0099390E"/>
    <w:rsid w:val="00995E9F"/>
    <w:rsid w:val="009960E5"/>
    <w:rsid w:val="009A7ADC"/>
    <w:rsid w:val="009B0D30"/>
    <w:rsid w:val="009B3522"/>
    <w:rsid w:val="009B3FEC"/>
    <w:rsid w:val="009B50A5"/>
    <w:rsid w:val="009C19B7"/>
    <w:rsid w:val="009C3502"/>
    <w:rsid w:val="009C5ABB"/>
    <w:rsid w:val="009D2146"/>
    <w:rsid w:val="009D795A"/>
    <w:rsid w:val="009D7C51"/>
    <w:rsid w:val="009E1319"/>
    <w:rsid w:val="009E196C"/>
    <w:rsid w:val="009E2EB0"/>
    <w:rsid w:val="009E6A0A"/>
    <w:rsid w:val="009E7EE8"/>
    <w:rsid w:val="009F36BF"/>
    <w:rsid w:val="00A111B6"/>
    <w:rsid w:val="00A112DA"/>
    <w:rsid w:val="00A11780"/>
    <w:rsid w:val="00A149D5"/>
    <w:rsid w:val="00A23EDE"/>
    <w:rsid w:val="00A26D27"/>
    <w:rsid w:val="00A30706"/>
    <w:rsid w:val="00A320C7"/>
    <w:rsid w:val="00A36917"/>
    <w:rsid w:val="00A36C54"/>
    <w:rsid w:val="00A376EE"/>
    <w:rsid w:val="00A42A99"/>
    <w:rsid w:val="00A5151A"/>
    <w:rsid w:val="00A533CF"/>
    <w:rsid w:val="00A57E0A"/>
    <w:rsid w:val="00A658FA"/>
    <w:rsid w:val="00A778A9"/>
    <w:rsid w:val="00A77919"/>
    <w:rsid w:val="00A77F99"/>
    <w:rsid w:val="00A80E6B"/>
    <w:rsid w:val="00A823F6"/>
    <w:rsid w:val="00A8719E"/>
    <w:rsid w:val="00A905F3"/>
    <w:rsid w:val="00AA0A89"/>
    <w:rsid w:val="00AA5368"/>
    <w:rsid w:val="00AA6429"/>
    <w:rsid w:val="00AA7B10"/>
    <w:rsid w:val="00AB4B6D"/>
    <w:rsid w:val="00AC01AA"/>
    <w:rsid w:val="00AC254D"/>
    <w:rsid w:val="00AC3EE9"/>
    <w:rsid w:val="00AC4626"/>
    <w:rsid w:val="00AC4F72"/>
    <w:rsid w:val="00AC5041"/>
    <w:rsid w:val="00AE482E"/>
    <w:rsid w:val="00AE5C4D"/>
    <w:rsid w:val="00AE7A6F"/>
    <w:rsid w:val="00AF1B39"/>
    <w:rsid w:val="00AF67D8"/>
    <w:rsid w:val="00AF741A"/>
    <w:rsid w:val="00B01ADB"/>
    <w:rsid w:val="00B02907"/>
    <w:rsid w:val="00B04161"/>
    <w:rsid w:val="00B056F9"/>
    <w:rsid w:val="00B11E3D"/>
    <w:rsid w:val="00B14D2C"/>
    <w:rsid w:val="00B17E82"/>
    <w:rsid w:val="00B22541"/>
    <w:rsid w:val="00B311DA"/>
    <w:rsid w:val="00B35FCB"/>
    <w:rsid w:val="00B407A0"/>
    <w:rsid w:val="00B44417"/>
    <w:rsid w:val="00B4575A"/>
    <w:rsid w:val="00B473E0"/>
    <w:rsid w:val="00B51D38"/>
    <w:rsid w:val="00B575BA"/>
    <w:rsid w:val="00B579C9"/>
    <w:rsid w:val="00B7122D"/>
    <w:rsid w:val="00B71608"/>
    <w:rsid w:val="00B76429"/>
    <w:rsid w:val="00B85E6A"/>
    <w:rsid w:val="00B86471"/>
    <w:rsid w:val="00B956D4"/>
    <w:rsid w:val="00B97446"/>
    <w:rsid w:val="00BA0A53"/>
    <w:rsid w:val="00BA7432"/>
    <w:rsid w:val="00BA7E59"/>
    <w:rsid w:val="00BB2324"/>
    <w:rsid w:val="00BB2764"/>
    <w:rsid w:val="00BC1AA0"/>
    <w:rsid w:val="00BC2495"/>
    <w:rsid w:val="00BC314A"/>
    <w:rsid w:val="00BC3C3C"/>
    <w:rsid w:val="00BC7EB9"/>
    <w:rsid w:val="00BD2643"/>
    <w:rsid w:val="00BD56B1"/>
    <w:rsid w:val="00BD6558"/>
    <w:rsid w:val="00BD768B"/>
    <w:rsid w:val="00BE18F1"/>
    <w:rsid w:val="00BE35A1"/>
    <w:rsid w:val="00BE47F8"/>
    <w:rsid w:val="00BF2AD7"/>
    <w:rsid w:val="00BF2F76"/>
    <w:rsid w:val="00BF3022"/>
    <w:rsid w:val="00BF3214"/>
    <w:rsid w:val="00BF5573"/>
    <w:rsid w:val="00C00F9F"/>
    <w:rsid w:val="00C14C0C"/>
    <w:rsid w:val="00C14F17"/>
    <w:rsid w:val="00C15867"/>
    <w:rsid w:val="00C16BE5"/>
    <w:rsid w:val="00C1776A"/>
    <w:rsid w:val="00C17BC9"/>
    <w:rsid w:val="00C22398"/>
    <w:rsid w:val="00C2296D"/>
    <w:rsid w:val="00C23155"/>
    <w:rsid w:val="00C247A5"/>
    <w:rsid w:val="00C40C41"/>
    <w:rsid w:val="00C43141"/>
    <w:rsid w:val="00C45885"/>
    <w:rsid w:val="00C47322"/>
    <w:rsid w:val="00C50358"/>
    <w:rsid w:val="00C50F22"/>
    <w:rsid w:val="00C524A7"/>
    <w:rsid w:val="00C53DE5"/>
    <w:rsid w:val="00C57971"/>
    <w:rsid w:val="00C65BD7"/>
    <w:rsid w:val="00C66C06"/>
    <w:rsid w:val="00C76BA4"/>
    <w:rsid w:val="00C83A48"/>
    <w:rsid w:val="00C85865"/>
    <w:rsid w:val="00C85E85"/>
    <w:rsid w:val="00C926C8"/>
    <w:rsid w:val="00C94AEE"/>
    <w:rsid w:val="00C967FE"/>
    <w:rsid w:val="00CA2EAE"/>
    <w:rsid w:val="00CA47ED"/>
    <w:rsid w:val="00CA4AC1"/>
    <w:rsid w:val="00CA59FB"/>
    <w:rsid w:val="00CA65D5"/>
    <w:rsid w:val="00CB0316"/>
    <w:rsid w:val="00CB0B11"/>
    <w:rsid w:val="00CB1DBA"/>
    <w:rsid w:val="00CB426A"/>
    <w:rsid w:val="00CB5354"/>
    <w:rsid w:val="00CB7D8A"/>
    <w:rsid w:val="00CC3C9E"/>
    <w:rsid w:val="00CC6A14"/>
    <w:rsid w:val="00CC70A3"/>
    <w:rsid w:val="00CD4442"/>
    <w:rsid w:val="00CD53C3"/>
    <w:rsid w:val="00CD574E"/>
    <w:rsid w:val="00CE3A47"/>
    <w:rsid w:val="00CE4C22"/>
    <w:rsid w:val="00CE76E5"/>
    <w:rsid w:val="00CF388D"/>
    <w:rsid w:val="00CF41EC"/>
    <w:rsid w:val="00CF5AC8"/>
    <w:rsid w:val="00CF5D04"/>
    <w:rsid w:val="00D014A1"/>
    <w:rsid w:val="00D04DE4"/>
    <w:rsid w:val="00D063F1"/>
    <w:rsid w:val="00D11735"/>
    <w:rsid w:val="00D128C4"/>
    <w:rsid w:val="00D14F22"/>
    <w:rsid w:val="00D26D68"/>
    <w:rsid w:val="00D473F9"/>
    <w:rsid w:val="00D4741C"/>
    <w:rsid w:val="00D57918"/>
    <w:rsid w:val="00D72CC0"/>
    <w:rsid w:val="00D73DC6"/>
    <w:rsid w:val="00D74C1A"/>
    <w:rsid w:val="00D754C1"/>
    <w:rsid w:val="00D77393"/>
    <w:rsid w:val="00D77A35"/>
    <w:rsid w:val="00D81B3E"/>
    <w:rsid w:val="00D90018"/>
    <w:rsid w:val="00D90C70"/>
    <w:rsid w:val="00D90E49"/>
    <w:rsid w:val="00D91DE0"/>
    <w:rsid w:val="00D961C7"/>
    <w:rsid w:val="00D96ADE"/>
    <w:rsid w:val="00DA0CE2"/>
    <w:rsid w:val="00DA2018"/>
    <w:rsid w:val="00DA2387"/>
    <w:rsid w:val="00DA5E57"/>
    <w:rsid w:val="00DC6A10"/>
    <w:rsid w:val="00DC7B1C"/>
    <w:rsid w:val="00DE4278"/>
    <w:rsid w:val="00DE657E"/>
    <w:rsid w:val="00DF4704"/>
    <w:rsid w:val="00E019B8"/>
    <w:rsid w:val="00E024AA"/>
    <w:rsid w:val="00E130BB"/>
    <w:rsid w:val="00E13AB2"/>
    <w:rsid w:val="00E15C77"/>
    <w:rsid w:val="00E1693E"/>
    <w:rsid w:val="00E17CA3"/>
    <w:rsid w:val="00E250F1"/>
    <w:rsid w:val="00E26C72"/>
    <w:rsid w:val="00E3550D"/>
    <w:rsid w:val="00E471D1"/>
    <w:rsid w:val="00E517B8"/>
    <w:rsid w:val="00E52639"/>
    <w:rsid w:val="00E52838"/>
    <w:rsid w:val="00E56265"/>
    <w:rsid w:val="00E614E0"/>
    <w:rsid w:val="00E72DE0"/>
    <w:rsid w:val="00E73F7F"/>
    <w:rsid w:val="00E753E8"/>
    <w:rsid w:val="00E807DB"/>
    <w:rsid w:val="00E85409"/>
    <w:rsid w:val="00E9339B"/>
    <w:rsid w:val="00EA429F"/>
    <w:rsid w:val="00EA4F9E"/>
    <w:rsid w:val="00EA63CA"/>
    <w:rsid w:val="00EA6D3B"/>
    <w:rsid w:val="00EA7EF0"/>
    <w:rsid w:val="00EB00AD"/>
    <w:rsid w:val="00EB136C"/>
    <w:rsid w:val="00EB480E"/>
    <w:rsid w:val="00EB5EC6"/>
    <w:rsid w:val="00EB7FC9"/>
    <w:rsid w:val="00EC0727"/>
    <w:rsid w:val="00EC6384"/>
    <w:rsid w:val="00EC783D"/>
    <w:rsid w:val="00ED0C17"/>
    <w:rsid w:val="00ED13E0"/>
    <w:rsid w:val="00ED27E8"/>
    <w:rsid w:val="00ED2DDD"/>
    <w:rsid w:val="00ED48B5"/>
    <w:rsid w:val="00ED7137"/>
    <w:rsid w:val="00EE0157"/>
    <w:rsid w:val="00EE2AF4"/>
    <w:rsid w:val="00EE2FA2"/>
    <w:rsid w:val="00EE2FDE"/>
    <w:rsid w:val="00EF06EA"/>
    <w:rsid w:val="00EF7268"/>
    <w:rsid w:val="00EF791C"/>
    <w:rsid w:val="00F052C8"/>
    <w:rsid w:val="00F071A7"/>
    <w:rsid w:val="00F07604"/>
    <w:rsid w:val="00F10452"/>
    <w:rsid w:val="00F21088"/>
    <w:rsid w:val="00F23142"/>
    <w:rsid w:val="00F27DE1"/>
    <w:rsid w:val="00F326BF"/>
    <w:rsid w:val="00F327E7"/>
    <w:rsid w:val="00F35746"/>
    <w:rsid w:val="00F447C7"/>
    <w:rsid w:val="00F44A09"/>
    <w:rsid w:val="00F44DC3"/>
    <w:rsid w:val="00F459B4"/>
    <w:rsid w:val="00F5211B"/>
    <w:rsid w:val="00F554A9"/>
    <w:rsid w:val="00F55F7A"/>
    <w:rsid w:val="00F56D2E"/>
    <w:rsid w:val="00F62798"/>
    <w:rsid w:val="00F62D42"/>
    <w:rsid w:val="00F716FD"/>
    <w:rsid w:val="00F77D5A"/>
    <w:rsid w:val="00F80355"/>
    <w:rsid w:val="00F83333"/>
    <w:rsid w:val="00F87C43"/>
    <w:rsid w:val="00F95B5C"/>
    <w:rsid w:val="00FA0F89"/>
    <w:rsid w:val="00FA5722"/>
    <w:rsid w:val="00FA622E"/>
    <w:rsid w:val="00FB0C81"/>
    <w:rsid w:val="00FB5143"/>
    <w:rsid w:val="00FC2200"/>
    <w:rsid w:val="00FC2540"/>
    <w:rsid w:val="00FE1106"/>
    <w:rsid w:val="00FF0204"/>
    <w:rsid w:val="00FF0986"/>
    <w:rsid w:val="00FF3AED"/>
    <w:rsid w:val="00FF4C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0E1DB"/>
  <w15:docId w15:val="{A1C63A70-DDFD-4652-A79C-7D2FE265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tcBorders>
      <w:shd w:val="pct25" w:color="808000" w:fill="FFFFFF"/>
    </w:tc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uiPriority w:val="99"/>
    <w:rsid w:val="00602AF5"/>
    <w:pPr>
      <w:jc w:val="center"/>
      <w:outlineLvl w:val="0"/>
    </w:pPr>
    <w:rPr>
      <w:b/>
      <w:caps/>
      <w:sz w:val="22"/>
      <w:szCs w:val="22"/>
    </w:rPr>
  </w:style>
  <w:style w:type="paragraph" w:customStyle="1" w:styleId="subhead">
    <w:name w:val="subhead"/>
    <w:basedOn w:val="Normal"/>
    <w:next w:val="Normal"/>
    <w:uiPriority w:val="99"/>
    <w:rsid w:val="00602AF5"/>
    <w:pPr>
      <w:tabs>
        <w:tab w:val="left" w:pos="-720"/>
        <w:tab w:val="left" w:pos="0"/>
        <w:tab w:val="left" w:pos="720"/>
        <w:tab w:val="left" w:pos="1440"/>
        <w:tab w:val="left" w:pos="2160"/>
        <w:tab w:val="left" w:pos="2880"/>
        <w:tab w:val="left" w:pos="3600"/>
      </w:tabs>
      <w:jc w:val="center"/>
    </w:pPr>
    <w:rPr>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602AF5"/>
    <w:rPr>
      <w:sz w:val="22"/>
      <w:szCs w:val="22"/>
      <w:lang w:val="es-ES"/>
    </w:rPr>
  </w:style>
  <w:style w:type="paragraph" w:styleId="ListParagraph">
    <w:name w:val="List Paragraph"/>
    <w:basedOn w:val="Normal"/>
    <w:uiPriority w:val="34"/>
    <w:qFormat/>
    <w:rsid w:val="00602AF5"/>
    <w:pPr>
      <w:ind w:left="720"/>
      <w:contextualSpacing/>
    </w:pPr>
  </w:style>
  <w:style w:type="paragraph" w:styleId="Revision">
    <w:name w:val="Revision"/>
    <w:hidden/>
    <w:uiPriority w:val="99"/>
    <w:semiHidden/>
    <w:rsid w:val="00CA65D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AE69E29B-C261-4B06-8FA9-DE2F0523C6CA}">
  <ds:schemaRefs>
    <ds:schemaRef ds:uri="http://schemas.openxmlformats.org/officeDocument/2006/bibliography"/>
  </ds:schemaRefs>
</ds:datastoreItem>
</file>

<file path=customXml/itemProps3.xml><?xml version="1.0" encoding="utf-8"?>
<ds:datastoreItem xmlns:ds="http://schemas.openxmlformats.org/officeDocument/2006/customXml" ds:itemID="{4B13C594-EFB8-485F-893D-A12F24431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138</TotalTime>
  <Pages>6</Pages>
  <Words>2076</Words>
  <Characters>11482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UNEP business plan for 2026–2028</vt:lpstr>
    </vt:vector>
  </TitlesOfParts>
  <Company>UNMFS</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2026–2028</dc:title>
  <dc:creator>Ngoc Thuy Duong</dc:creator>
  <cp:lastModifiedBy>Angela Xue He Yan</cp:lastModifiedBy>
  <cp:revision>33</cp:revision>
  <cp:lastPrinted>2025-11-05T18:51:00Z</cp:lastPrinted>
  <dcterms:created xsi:type="dcterms:W3CDTF">2025-11-05T18:11:00Z</dcterms:created>
  <dcterms:modified xsi:type="dcterms:W3CDTF">2025-11-08T23:01:00Z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UNEP/OzL.Pro/ExCom/97/23</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