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A43009" w14:paraId="7821541D" w14:textId="77777777" w:rsidTr="00213D8F">
        <w:trPr>
          <w:trHeight w:val="720"/>
        </w:trPr>
        <w:tc>
          <w:tcPr>
            <w:tcW w:w="4410" w:type="dxa"/>
            <w:gridSpan w:val="2"/>
            <w:tcBorders>
              <w:bottom w:val="single" w:sz="18" w:space="0" w:color="auto"/>
            </w:tcBorders>
          </w:tcPr>
          <w:p w14:paraId="481882DC" w14:textId="77777777" w:rsidR="00A43009" w:rsidRDefault="00A43009" w:rsidP="006A0ABC">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F61059D" w14:textId="77777777" w:rsidR="00A43009" w:rsidRDefault="00A43009" w:rsidP="006A0ABC">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A43009" w14:paraId="00970ECB" w14:textId="77777777" w:rsidTr="00201C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31A4D4F2" w14:textId="6E1DAFE6" w:rsidR="00A43009" w:rsidRDefault="00A43009" w:rsidP="00201C77">
            <w:pPr>
              <w:jc w:val="left"/>
              <w:rPr>
                <w:lang w:val="en-US" w:bidi="ar-LB"/>
              </w:rPr>
            </w:pPr>
            <w:r>
              <w:rPr>
                <w:lang w:val="en-US" w:bidi="ar-LB"/>
              </w:rPr>
              <w:t>Distr.</w:t>
            </w:r>
          </w:p>
          <w:p w14:paraId="1B8A1DDC" w14:textId="77777777" w:rsidR="00A43009" w:rsidRDefault="00A43009" w:rsidP="00201C77">
            <w:pPr>
              <w:jc w:val="left"/>
              <w:rPr>
                <w:lang w:val="en-US" w:bidi="ar-LB"/>
              </w:rPr>
            </w:pPr>
            <w:r>
              <w:rPr>
                <w:lang w:val="en-US" w:bidi="ar-LB"/>
              </w:rPr>
              <w:t>GENERAL</w:t>
            </w:r>
          </w:p>
          <w:p w14:paraId="1CA84183" w14:textId="77777777" w:rsidR="00A43009" w:rsidRDefault="00A43009" w:rsidP="00201C77">
            <w:pPr>
              <w:jc w:val="left"/>
              <w:rPr>
                <w:lang w:val="en-US" w:bidi="ar-LB"/>
              </w:rPr>
            </w:pPr>
          </w:p>
          <w:p w14:paraId="2BEF2AB5" w14:textId="3451A33D" w:rsidR="00A43009" w:rsidRPr="00FC3112" w:rsidRDefault="00A43009" w:rsidP="00201C77">
            <w:pPr>
              <w:rPr>
                <w:lang w:bidi="ar-LB"/>
              </w:rPr>
            </w:pPr>
            <w:r w:rsidRPr="00FC3112">
              <w:rPr>
                <w:lang w:bidi="ar-LB"/>
              </w:rPr>
              <w:fldChar w:fldCharType="begin"/>
            </w:r>
            <w:r w:rsidRPr="00FC3112">
              <w:rPr>
                <w:lang w:bidi="ar-LB"/>
              </w:rPr>
              <w:instrText xml:space="preserve"> DOCPROPERTY "Document number"  \* MERGEFORMAT </w:instrText>
            </w:r>
            <w:r w:rsidRPr="00FC3112">
              <w:rPr>
                <w:lang w:bidi="ar-LB"/>
              </w:rPr>
              <w:fldChar w:fldCharType="separate"/>
            </w:r>
            <w:r w:rsidR="00922682">
              <w:rPr>
                <w:lang w:bidi="ar-LB"/>
              </w:rPr>
              <w:t>UNEP/OzL.Pro/ExCom/94/13</w:t>
            </w:r>
            <w:r w:rsidRPr="00FC3112">
              <w:rPr>
                <w:lang w:bidi="ar-LB"/>
              </w:rPr>
              <w:fldChar w:fldCharType="end"/>
            </w:r>
          </w:p>
          <w:p w14:paraId="11461994" w14:textId="77777777" w:rsidR="00A43009" w:rsidRPr="00FC3112" w:rsidRDefault="00A43009" w:rsidP="00201C77">
            <w:pPr>
              <w:rPr>
                <w:lang w:bidi="ar-LB"/>
              </w:rPr>
            </w:pPr>
            <w:r w:rsidRPr="00FC3112">
              <w:rPr>
                <w:lang w:bidi="ar-LB"/>
              </w:rPr>
              <w:fldChar w:fldCharType="begin"/>
            </w:r>
            <w:r w:rsidRPr="00FC3112">
              <w:rPr>
                <w:lang w:bidi="ar-LB"/>
              </w:rPr>
              <w:instrText xml:space="preserve"> DOCPROPERTY "Revision date" \@ "d MMMM YYYY"  \* MERGEFORMAT </w:instrText>
            </w:r>
            <w:r w:rsidRPr="00FC3112">
              <w:rPr>
                <w:lang w:bidi="ar-LB"/>
              </w:rPr>
              <w:fldChar w:fldCharType="separate"/>
            </w:r>
            <w:r w:rsidRPr="00FC3112">
              <w:rPr>
                <w:lang w:bidi="ar-LB"/>
              </w:rPr>
              <w:t>26 April 2024</w:t>
            </w:r>
            <w:r w:rsidRPr="00FC3112">
              <w:rPr>
                <w:lang w:bidi="ar-LB"/>
              </w:rPr>
              <w:fldChar w:fldCharType="end"/>
            </w:r>
          </w:p>
          <w:p w14:paraId="4950029B" w14:textId="77777777" w:rsidR="00A43009" w:rsidRPr="00A43009" w:rsidRDefault="00A43009" w:rsidP="00201C77">
            <w:pPr>
              <w:rPr>
                <w:caps/>
                <w:lang w:val="en-US" w:bidi="ar-LB"/>
              </w:rPr>
            </w:pPr>
          </w:p>
          <w:p w14:paraId="0A6F59A0" w14:textId="77777777" w:rsidR="00A43009" w:rsidRDefault="00A43009" w:rsidP="00201C77">
            <w:pPr>
              <w:jc w:val="left"/>
              <w:rPr>
                <w:lang w:val="en-US" w:bidi="ar-LB"/>
              </w:rPr>
            </w:pPr>
            <w:r>
              <w:rPr>
                <w:lang w:val="en-US" w:bidi="ar-LB"/>
              </w:rPr>
              <w:t>ARABIC</w:t>
            </w:r>
          </w:p>
          <w:p w14:paraId="6CCDFBEE" w14:textId="77777777" w:rsidR="00A43009" w:rsidRDefault="00A43009" w:rsidP="00201C77">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546CB21" w14:textId="77777777" w:rsidR="00A43009" w:rsidRDefault="00A43009" w:rsidP="006A0AB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77EB7997" w14:textId="77777777" w:rsidR="00A43009" w:rsidRDefault="00A43009" w:rsidP="006A0AB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082BEE7A" w14:textId="3F9DD982" w:rsidR="00A43009" w:rsidRDefault="00A43009" w:rsidP="00201C77">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1868831B" w14:textId="03F1F961" w:rsidR="00A43009" w:rsidRDefault="00201C77" w:rsidP="006A0ABC">
            <w:pPr>
              <w:rPr>
                <w:caps/>
                <w:lang w:val="en-US" w:bidi="ar-LB"/>
              </w:rPr>
            </w:pPr>
            <w:r>
              <w:rPr>
                <w:noProof/>
                <w:lang w:eastAsia="en-CA" w:bidi="ar-LB"/>
              </w:rPr>
              <w:drawing>
                <wp:anchor distT="0" distB="0" distL="114300" distR="114300" simplePos="0" relativeHeight="251660288" behindDoc="1" locked="0" layoutInCell="0" allowOverlap="1" wp14:anchorId="2019C00C" wp14:editId="24BCECC6">
                  <wp:simplePos x="0" y="0"/>
                  <wp:positionH relativeFrom="column">
                    <wp:posOffset>220980</wp:posOffset>
                  </wp:positionH>
                  <wp:positionV relativeFrom="paragraph">
                    <wp:posOffset>74295</wp:posOffset>
                  </wp:positionV>
                  <wp:extent cx="532130" cy="515620"/>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2130"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7A72E7" w14:textId="77777777" w:rsidR="00A43009" w:rsidRDefault="00A43009" w:rsidP="006A0ABC">
            <w:pPr>
              <w:rPr>
                <w:lang w:val="en-US" w:bidi="ar-LB"/>
              </w:rPr>
            </w:pPr>
            <w:r>
              <w:rPr>
                <w:noProof/>
                <w:lang w:eastAsia="en-CA" w:bidi="ar-LB"/>
              </w:rPr>
              <w:drawing>
                <wp:anchor distT="0" distB="0" distL="114300" distR="114300" simplePos="0" relativeHeight="251661312" behindDoc="0" locked="0" layoutInCell="0" allowOverlap="1" wp14:anchorId="0D11E89E" wp14:editId="09AFE471">
                  <wp:simplePos x="0" y="0"/>
                  <wp:positionH relativeFrom="column">
                    <wp:posOffset>220980</wp:posOffset>
                  </wp:positionH>
                  <wp:positionV relativeFrom="paragraph">
                    <wp:posOffset>466090</wp:posOffset>
                  </wp:positionV>
                  <wp:extent cx="530225" cy="539712"/>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0225" cy="539712"/>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E1F336D" w14:textId="77777777" w:rsidR="00A43009" w:rsidRDefault="00A43009" w:rsidP="00A43009">
      <w:pPr>
        <w:pStyle w:val="Caption"/>
        <w:spacing w:line="200" w:lineRule="exact"/>
        <w:ind w:left="187" w:right="187" w:hanging="187"/>
        <w:jc w:val="both"/>
        <w:rPr>
          <w:rFonts w:cs="Akhbar MT"/>
          <w:b/>
          <w:bCs/>
          <w:sz w:val="28"/>
          <w:szCs w:val="28"/>
          <w:rtl/>
          <w:lang w:bidi="ar-LB"/>
        </w:rPr>
      </w:pPr>
    </w:p>
    <w:p w14:paraId="4E04A07C" w14:textId="77777777" w:rsidR="00A43009" w:rsidRDefault="00A43009" w:rsidP="00A43009">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28D89B8" w14:textId="77777777" w:rsidR="00A43009" w:rsidRDefault="00A43009" w:rsidP="00A43009">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2AE91510" w14:textId="77777777" w:rsidR="00A43009" w:rsidRPr="0032579D" w:rsidRDefault="00A43009" w:rsidP="00A43009">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4AD9C9A6" w14:textId="4D29A8F0" w:rsidR="00A43009" w:rsidRDefault="00A43009" w:rsidP="00A43009">
      <w:pPr>
        <w:bidi/>
        <w:jc w:val="left"/>
        <w:rPr>
          <w:rtl/>
          <w:lang w:bidi="ar-LB"/>
        </w:rPr>
      </w:pPr>
      <w:r w:rsidRPr="0003197D">
        <w:rPr>
          <w:sz w:val="28"/>
          <w:szCs w:val="28"/>
          <w:rtl/>
          <w:lang w:val="en-US" w:eastAsia="en-CA" w:bidi="ar-LB"/>
        </w:rPr>
        <w:t>مونتريال، 27-31 مايو</w:t>
      </w:r>
      <w:r>
        <w:rPr>
          <w:sz w:val="28"/>
          <w:szCs w:val="28"/>
          <w:rtl/>
          <w:lang w:val="en-US" w:eastAsia="en-CA" w:bidi="ar-LB"/>
        </w:rPr>
        <w:t xml:space="preserve">/أيار </w:t>
      </w:r>
      <w:r w:rsidRPr="0003197D">
        <w:rPr>
          <w:sz w:val="28"/>
          <w:szCs w:val="28"/>
          <w:rtl/>
          <w:lang w:val="en-US" w:eastAsia="en-CA" w:bidi="ar-LB"/>
        </w:rPr>
        <w:t>2024</w:t>
      </w:r>
    </w:p>
    <w:p w14:paraId="17E6158B" w14:textId="77777777" w:rsidR="00A43009" w:rsidRPr="00AD471D" w:rsidRDefault="00A43009" w:rsidP="00A43009">
      <w:pPr>
        <w:pStyle w:val="0Heading0"/>
        <w:bidi/>
        <w:ind w:left="4"/>
        <w:rPr>
          <w:sz w:val="28"/>
          <w:szCs w:val="28"/>
          <w:rtl/>
          <w:lang w:bidi="ar-LB"/>
        </w:rPr>
      </w:pPr>
      <w:r>
        <w:rPr>
          <w:sz w:val="28"/>
          <w:szCs w:val="28"/>
          <w:rtl/>
          <w:lang w:val="en-US" w:eastAsia="en-CA" w:bidi="ar-LB"/>
        </w:rPr>
        <w:t xml:space="preserve">البند 8(ب) </w:t>
      </w:r>
      <w:r w:rsidRPr="00AD471D">
        <w:rPr>
          <w:sz w:val="28"/>
          <w:szCs w:val="28"/>
          <w:rtl/>
          <w:lang w:bidi="ar-LB"/>
        </w:rPr>
        <w:t>من جدول الأعمال المؤقت</w:t>
      </w:r>
      <w:r>
        <w:rPr>
          <w:rStyle w:val="FootnoteReference"/>
          <w:sz w:val="28"/>
          <w:szCs w:val="28"/>
          <w:rtl/>
          <w:lang w:bidi="ar-LB"/>
        </w:rPr>
        <w:footnoteReference w:id="2"/>
      </w:r>
    </w:p>
    <w:p w14:paraId="5242D74D" w14:textId="70D537A8" w:rsidR="00A43009" w:rsidRPr="002D058D" w:rsidRDefault="00A43009" w:rsidP="002D058D">
      <w:pPr>
        <w:bidi/>
        <w:jc w:val="left"/>
        <w:rPr>
          <w:sz w:val="26"/>
          <w:szCs w:val="26"/>
          <w:rtl/>
          <w:lang w:bidi="ar-LB"/>
        </w:rPr>
      </w:pPr>
    </w:p>
    <w:p w14:paraId="65F50332" w14:textId="77777777" w:rsidR="009145E4" w:rsidRPr="002D058D" w:rsidRDefault="009145E4" w:rsidP="002D058D">
      <w:pPr>
        <w:pStyle w:val="Heading1"/>
        <w:numPr>
          <w:ilvl w:val="0"/>
          <w:numId w:val="0"/>
        </w:numPr>
        <w:bidi/>
        <w:spacing w:after="0"/>
        <w:rPr>
          <w:sz w:val="26"/>
          <w:szCs w:val="26"/>
          <w:lang w:bidi="ar-LB"/>
        </w:rPr>
      </w:pPr>
    </w:p>
    <w:p w14:paraId="20917A11" w14:textId="556A5519" w:rsidR="007457FD" w:rsidRPr="00732EDE" w:rsidRDefault="00732EDE" w:rsidP="002D058D">
      <w:pPr>
        <w:pStyle w:val="Title1"/>
        <w:bidi/>
        <w:rPr>
          <w:b w:val="0"/>
          <w:bCs/>
          <w:sz w:val="28"/>
          <w:szCs w:val="28"/>
          <w:rtl/>
          <w:lang w:val="en-US" w:bidi="ar-LB"/>
        </w:rPr>
      </w:pPr>
      <w:r w:rsidRPr="00732EDE">
        <w:rPr>
          <w:b w:val="0"/>
          <w:bCs/>
          <w:sz w:val="28"/>
          <w:szCs w:val="28"/>
          <w:rtl/>
          <w:lang w:val="en-CA" w:bidi="ar-LB"/>
        </w:rPr>
        <w:t>تأخيرات تقديم الشرائح</w:t>
      </w:r>
    </w:p>
    <w:p w14:paraId="361A59E3" w14:textId="0CEF3162" w:rsidR="007457FD" w:rsidRDefault="00732EDE" w:rsidP="002D058D">
      <w:pPr>
        <w:bidi/>
        <w:rPr>
          <w:b/>
          <w:bCs/>
          <w:sz w:val="28"/>
          <w:szCs w:val="28"/>
          <w:lang w:bidi="ar-LB"/>
        </w:rPr>
      </w:pPr>
      <w:r>
        <w:rPr>
          <w:b/>
          <w:bCs/>
          <w:sz w:val="28"/>
          <w:szCs w:val="28"/>
          <w:rtl/>
          <w:lang w:bidi="ar-LB"/>
        </w:rPr>
        <w:t>مقدمة</w:t>
      </w:r>
    </w:p>
    <w:p w14:paraId="2BF72F42" w14:textId="77777777" w:rsidR="007457FD" w:rsidRPr="002D058D" w:rsidRDefault="007457FD" w:rsidP="002D058D">
      <w:pPr>
        <w:bidi/>
        <w:jc w:val="left"/>
        <w:rPr>
          <w:sz w:val="26"/>
          <w:szCs w:val="26"/>
          <w:lang w:bidi="ar-LB"/>
        </w:rPr>
      </w:pPr>
    </w:p>
    <w:p w14:paraId="2C2610D2" w14:textId="664B65E0" w:rsidR="002D058D" w:rsidRPr="00732EDE" w:rsidRDefault="00732EDE" w:rsidP="00732EDE">
      <w:pPr>
        <w:pStyle w:val="Heading1"/>
        <w:numPr>
          <w:ilvl w:val="0"/>
          <w:numId w:val="25"/>
        </w:numPr>
        <w:bidi/>
        <w:spacing w:line="288" w:lineRule="auto"/>
        <w:rPr>
          <w:sz w:val="26"/>
          <w:szCs w:val="26"/>
          <w:lang w:bidi="ar-LB"/>
        </w:rPr>
      </w:pPr>
      <w:r w:rsidRPr="00732EDE">
        <w:rPr>
          <w:sz w:val="26"/>
          <w:szCs w:val="26"/>
          <w:rtl/>
          <w:lang w:bidi="ar-LB"/>
        </w:rPr>
        <w:t>أعدت الأمانة هذه الوثيقة عملاً بالمقرر 47/50(د)</w:t>
      </w:r>
      <w:r>
        <w:rPr>
          <w:rStyle w:val="FootnoteReference"/>
          <w:sz w:val="26"/>
          <w:szCs w:val="26"/>
          <w:rtl/>
          <w:lang w:bidi="ar-LB"/>
        </w:rPr>
        <w:footnoteReference w:id="3"/>
      </w:r>
      <w:r w:rsidRPr="00732EDE">
        <w:rPr>
          <w:sz w:val="26"/>
          <w:szCs w:val="26"/>
          <w:rtl/>
          <w:lang w:bidi="ar-LB"/>
        </w:rPr>
        <w:t>. وتعرض الإجراءات التي تم اتخاذها استجابة للقرارات المتعلقة بتأخيرات تقديم الشرائح التي المعتمدة في الاجتماع الثالث والتسعين؛ وتحليل لكل شريحة من الشرائح التي كانت مستحقة ولكن لم يتم تقديمها إلى الاجتماع الرابع والتسعين فضلاً عن الشرائح التي تم تقديمها ولكن تم سحبها لاحقاً أثناء عملية مراجعة المشروع. كما تُقدم لمحة عامة بشأن أسباب التأخير وتأثير ذلك على امتثال التزام البلدان بموجب بروتوكول مونتريال، وتوصية الأمانة.</w:t>
      </w:r>
    </w:p>
    <w:p w14:paraId="1F611156" w14:textId="411675FF" w:rsidR="00A3517D" w:rsidRPr="00A3517D" w:rsidRDefault="00A3517D" w:rsidP="00A3517D">
      <w:pPr>
        <w:bidi/>
        <w:rPr>
          <w:b/>
          <w:bCs/>
          <w:sz w:val="28"/>
          <w:szCs w:val="28"/>
          <w:rtl/>
          <w:lang w:bidi="ar-LB"/>
        </w:rPr>
      </w:pPr>
      <w:r>
        <w:rPr>
          <w:b/>
          <w:bCs/>
          <w:sz w:val="28"/>
          <w:szCs w:val="28"/>
          <w:rtl/>
          <w:lang w:bidi="ar-LB"/>
        </w:rPr>
        <w:t>أولاً-</w:t>
      </w:r>
      <w:r>
        <w:rPr>
          <w:b/>
          <w:bCs/>
          <w:sz w:val="28"/>
          <w:szCs w:val="28"/>
          <w:rtl/>
          <w:lang w:bidi="ar-LB"/>
        </w:rPr>
        <w:tab/>
      </w:r>
      <w:r w:rsidR="00732EDE" w:rsidRPr="00732EDE">
        <w:rPr>
          <w:b/>
          <w:bCs/>
          <w:sz w:val="28"/>
          <w:szCs w:val="28"/>
          <w:rtl/>
          <w:lang w:bidi="ar-LB"/>
        </w:rPr>
        <w:t>متابعة القرارات المتخذة بشأن تأخيرات تقديم الشرائح في الاجتماع الثالث والتسعين</w:t>
      </w:r>
    </w:p>
    <w:p w14:paraId="1147412D" w14:textId="77777777" w:rsidR="007457FD" w:rsidRPr="002D058D" w:rsidRDefault="007457FD" w:rsidP="00A3517D">
      <w:pPr>
        <w:keepNext/>
        <w:keepLines/>
        <w:bidi/>
        <w:rPr>
          <w:sz w:val="26"/>
          <w:szCs w:val="26"/>
          <w:lang w:bidi="ar-LB"/>
        </w:rPr>
      </w:pPr>
    </w:p>
    <w:p w14:paraId="037BE9DA" w14:textId="4B5F090E" w:rsidR="00A3517D" w:rsidRPr="00371DFB" w:rsidRDefault="00371DFB" w:rsidP="00371DFB">
      <w:pPr>
        <w:pStyle w:val="Heading1"/>
        <w:numPr>
          <w:ilvl w:val="0"/>
          <w:numId w:val="25"/>
        </w:numPr>
        <w:bidi/>
        <w:spacing w:line="288" w:lineRule="auto"/>
        <w:rPr>
          <w:sz w:val="26"/>
          <w:szCs w:val="26"/>
          <w:lang w:bidi="ar-LB"/>
        </w:rPr>
      </w:pPr>
      <w:r w:rsidRPr="00371DFB">
        <w:rPr>
          <w:sz w:val="26"/>
          <w:szCs w:val="26"/>
          <w:rtl/>
          <w:lang w:bidi="ar-LB"/>
        </w:rPr>
        <w:t>لم تقم 15</w:t>
      </w:r>
      <w:r w:rsidR="00EF69F0">
        <w:rPr>
          <w:rStyle w:val="FootnoteReference"/>
          <w:sz w:val="26"/>
          <w:szCs w:val="26"/>
          <w:rtl/>
          <w:lang w:bidi="ar-LB"/>
        </w:rPr>
        <w:footnoteReference w:id="4"/>
      </w:r>
      <w:r w:rsidR="00EF69F0">
        <w:rPr>
          <w:sz w:val="26"/>
          <w:szCs w:val="26"/>
          <w:rtl/>
          <w:lang w:bidi="ar-LB"/>
        </w:rPr>
        <w:t xml:space="preserve"> </w:t>
      </w:r>
      <w:r w:rsidRPr="00371DFB">
        <w:rPr>
          <w:sz w:val="26"/>
          <w:szCs w:val="26"/>
          <w:rtl/>
          <w:lang w:bidi="ar-LB"/>
        </w:rPr>
        <w:t>دولة من أصل 31 دولة بالتقديم في الوقت المحدد، إذ كان من المقرر أن تقدم طلبات الشرائح في الاجتماع الثالث والتسعين، وهو ما يمثل معدل عدم تقديم قدره 48 في المائة. وبالتالي، طلبت اللجنة التنفيذية، من ضمن جملة أمور أخرى، من الأمانة أن ترسل خطابات إلى الحكومات المعنية بشأن المقررات المتعلقة بتأخيرات تقديم الشرائح الواردة في المرفق التاسع من تقرير الاجتماع الثالث والتسعين (المقرر 93/27(ب)).</w:t>
      </w:r>
    </w:p>
    <w:p w14:paraId="52449B94" w14:textId="1F074A0C" w:rsidR="00A3517D" w:rsidRPr="00371DFB" w:rsidRDefault="00EF69F0" w:rsidP="00371DFB">
      <w:pPr>
        <w:pStyle w:val="Heading1"/>
        <w:numPr>
          <w:ilvl w:val="0"/>
          <w:numId w:val="25"/>
        </w:numPr>
        <w:bidi/>
        <w:spacing w:line="288" w:lineRule="auto"/>
        <w:rPr>
          <w:sz w:val="26"/>
          <w:szCs w:val="26"/>
          <w:lang w:bidi="ar-LB"/>
        </w:rPr>
      </w:pPr>
      <w:r w:rsidRPr="00EF69F0">
        <w:rPr>
          <w:sz w:val="26"/>
          <w:szCs w:val="26"/>
          <w:rtl/>
          <w:lang w:bidi="ar-LB"/>
        </w:rPr>
        <w:t>وعملاً بالمقرر 93/27(ب)، أرسلت الأمانة خطابات إلى حكومات 17 بلداً من البلدان العاملة بموجب المادة 5</w:t>
      </w:r>
      <w:r>
        <w:rPr>
          <w:rStyle w:val="FootnoteReference"/>
          <w:sz w:val="26"/>
          <w:szCs w:val="26"/>
          <w:rtl/>
          <w:lang w:bidi="ar-LB"/>
        </w:rPr>
        <w:footnoteReference w:id="5"/>
      </w:r>
      <w:r w:rsidRPr="00EF69F0">
        <w:rPr>
          <w:sz w:val="26"/>
          <w:szCs w:val="26"/>
          <w:rtl/>
          <w:lang w:bidi="ar-LB"/>
        </w:rPr>
        <w:t xml:space="preserve"> لحثها على تقديم الشريحة التالية من خطط إدارة إزالة المواد الهيدروكلوروفلوروكربونية. وبناء عليه، قدمت </w:t>
      </w:r>
      <w:r w:rsidRPr="00EF69F0">
        <w:rPr>
          <w:sz w:val="26"/>
          <w:szCs w:val="26"/>
          <w:rtl/>
          <w:lang w:bidi="ar-LB"/>
        </w:rPr>
        <w:lastRenderedPageBreak/>
        <w:t>حكومات البوسنة والهرسك</w:t>
      </w:r>
      <w:r>
        <w:rPr>
          <w:rStyle w:val="FootnoteReference"/>
          <w:sz w:val="26"/>
          <w:szCs w:val="26"/>
          <w:rtl/>
          <w:lang w:bidi="ar-LB"/>
        </w:rPr>
        <w:footnoteReference w:id="6"/>
      </w:r>
      <w:r w:rsidRPr="00EF69F0">
        <w:rPr>
          <w:sz w:val="26"/>
          <w:szCs w:val="26"/>
          <w:rtl/>
          <w:lang w:bidi="ar-LB"/>
        </w:rPr>
        <w:t>، والصين</w:t>
      </w:r>
      <w:r>
        <w:rPr>
          <w:rStyle w:val="FootnoteReference"/>
          <w:sz w:val="26"/>
          <w:szCs w:val="26"/>
          <w:rtl/>
          <w:lang w:bidi="ar-LB"/>
        </w:rPr>
        <w:footnoteReference w:id="7"/>
      </w:r>
      <w:r w:rsidRPr="00EF69F0">
        <w:rPr>
          <w:sz w:val="26"/>
          <w:szCs w:val="26"/>
          <w:rtl/>
          <w:lang w:bidi="ar-LB"/>
        </w:rPr>
        <w:t>، ومصر</w:t>
      </w:r>
      <w:r>
        <w:rPr>
          <w:rStyle w:val="FootnoteReference"/>
          <w:sz w:val="26"/>
          <w:szCs w:val="26"/>
          <w:rtl/>
          <w:lang w:bidi="ar-LB"/>
        </w:rPr>
        <w:footnoteReference w:id="8"/>
      </w:r>
      <w:r w:rsidRPr="00EF69F0">
        <w:rPr>
          <w:sz w:val="26"/>
          <w:szCs w:val="26"/>
          <w:rtl/>
          <w:lang w:bidi="ar-LB"/>
        </w:rPr>
        <w:t>، وإيران (جمهورية - الإسلامية)</w:t>
      </w:r>
      <w:r>
        <w:rPr>
          <w:rStyle w:val="FootnoteReference"/>
          <w:sz w:val="26"/>
          <w:szCs w:val="26"/>
          <w:rtl/>
          <w:lang w:bidi="ar-LB"/>
        </w:rPr>
        <w:footnoteReference w:id="9"/>
      </w:r>
      <w:r w:rsidRPr="00EF69F0">
        <w:rPr>
          <w:sz w:val="26"/>
          <w:szCs w:val="26"/>
          <w:rtl/>
          <w:lang w:bidi="ar-LB"/>
        </w:rPr>
        <w:t>، وجمهورية لاو الديمقراطية الشعبية</w:t>
      </w:r>
      <w:r>
        <w:rPr>
          <w:rStyle w:val="FootnoteReference"/>
          <w:sz w:val="26"/>
          <w:szCs w:val="26"/>
          <w:rtl/>
          <w:lang w:bidi="ar-LB"/>
        </w:rPr>
        <w:footnoteReference w:id="10"/>
      </w:r>
      <w:r w:rsidRPr="00EF69F0">
        <w:rPr>
          <w:sz w:val="26"/>
          <w:szCs w:val="26"/>
          <w:rtl/>
          <w:lang w:bidi="ar-LB"/>
        </w:rPr>
        <w:t>، وسري لانكا</w:t>
      </w:r>
      <w:r>
        <w:rPr>
          <w:rStyle w:val="FootnoteReference"/>
          <w:sz w:val="26"/>
          <w:szCs w:val="26"/>
          <w:rtl/>
          <w:lang w:bidi="ar-LB"/>
        </w:rPr>
        <w:footnoteReference w:id="11"/>
      </w:r>
      <w:r w:rsidRPr="00EF69F0">
        <w:rPr>
          <w:sz w:val="26"/>
          <w:szCs w:val="26"/>
          <w:rtl/>
          <w:lang w:bidi="ar-LB"/>
        </w:rPr>
        <w:t>، وتيمور- ليشتي</w:t>
      </w:r>
      <w:r>
        <w:rPr>
          <w:rStyle w:val="FootnoteReference"/>
          <w:sz w:val="26"/>
          <w:szCs w:val="26"/>
          <w:rtl/>
          <w:lang w:bidi="ar-LB"/>
        </w:rPr>
        <w:footnoteReference w:id="12"/>
      </w:r>
      <w:r w:rsidRPr="00EF69F0">
        <w:rPr>
          <w:sz w:val="26"/>
          <w:szCs w:val="26"/>
          <w:rtl/>
          <w:lang w:bidi="ar-LB"/>
        </w:rPr>
        <w:t>، الشرائح الخاصة بها من خطط إدارة إزالة المواد الهيدروكلوروفلوروكربونية إلى الاجتماع الرابع والتسعين.</w:t>
      </w:r>
    </w:p>
    <w:p w14:paraId="156CE15C" w14:textId="2B45C8BC" w:rsidR="00A3517D" w:rsidRPr="00EF69F0" w:rsidRDefault="002D79AE" w:rsidP="00EF69F0">
      <w:pPr>
        <w:pStyle w:val="Heading1"/>
        <w:numPr>
          <w:ilvl w:val="0"/>
          <w:numId w:val="25"/>
        </w:numPr>
        <w:bidi/>
        <w:spacing w:line="288" w:lineRule="auto"/>
        <w:rPr>
          <w:sz w:val="26"/>
          <w:szCs w:val="26"/>
          <w:lang w:bidi="ar-LB"/>
        </w:rPr>
      </w:pPr>
      <w:r w:rsidRPr="002D79AE">
        <w:rPr>
          <w:sz w:val="26"/>
          <w:szCs w:val="26"/>
          <w:rtl/>
          <w:lang w:bidi="ar-LB"/>
        </w:rPr>
        <w:t>ومع ذلك، لم تقدم حكومات أفغانستان</w:t>
      </w:r>
      <w:r>
        <w:rPr>
          <w:rStyle w:val="FootnoteReference"/>
          <w:sz w:val="26"/>
          <w:szCs w:val="26"/>
          <w:rtl/>
          <w:lang w:bidi="ar-LB"/>
        </w:rPr>
        <w:footnoteReference w:id="13"/>
      </w:r>
      <w:r w:rsidRPr="002D79AE">
        <w:rPr>
          <w:sz w:val="26"/>
          <w:szCs w:val="26"/>
          <w:rtl/>
          <w:lang w:bidi="ar-LB"/>
        </w:rPr>
        <w:t>، والجزائر، وبوتسوانا، ودومينيكا، والعراق، وكينيا، والكويت وموريشيوس، ونيبال، والسنغال، طلباتها الخاصة بالشريحة.</w:t>
      </w:r>
    </w:p>
    <w:p w14:paraId="71852D07" w14:textId="6B55CF23" w:rsidR="00A3517D" w:rsidRPr="00A3517D" w:rsidRDefault="00A3517D" w:rsidP="00A3517D">
      <w:pPr>
        <w:bidi/>
        <w:rPr>
          <w:b/>
          <w:bCs/>
          <w:sz w:val="28"/>
          <w:szCs w:val="28"/>
          <w:lang w:bidi="ar-LB"/>
        </w:rPr>
      </w:pPr>
      <w:r>
        <w:rPr>
          <w:b/>
          <w:bCs/>
          <w:sz w:val="28"/>
          <w:szCs w:val="28"/>
          <w:rtl/>
          <w:lang w:bidi="ar-LB"/>
        </w:rPr>
        <w:t>ثانياً-</w:t>
      </w:r>
      <w:r>
        <w:rPr>
          <w:b/>
          <w:bCs/>
          <w:sz w:val="28"/>
          <w:szCs w:val="28"/>
          <w:rtl/>
          <w:lang w:bidi="ar-LB"/>
        </w:rPr>
        <w:tab/>
      </w:r>
      <w:r w:rsidR="00FA760B" w:rsidRPr="00FA760B">
        <w:rPr>
          <w:b/>
          <w:bCs/>
          <w:sz w:val="28"/>
          <w:szCs w:val="28"/>
          <w:rtl/>
          <w:lang w:bidi="ar-LB"/>
        </w:rPr>
        <w:t>تحليل الشرائح التي لم يتم تقديمها إلى الاجتماع الرابع والتسعين</w:t>
      </w:r>
    </w:p>
    <w:p w14:paraId="4C517666" w14:textId="77777777" w:rsidR="007457FD" w:rsidRPr="00A3517D" w:rsidRDefault="007457FD" w:rsidP="00A3517D">
      <w:pPr>
        <w:keepNext/>
        <w:keepLines/>
        <w:bidi/>
        <w:rPr>
          <w:sz w:val="26"/>
          <w:szCs w:val="26"/>
          <w:lang w:bidi="ar-LB"/>
        </w:rPr>
      </w:pPr>
    </w:p>
    <w:p w14:paraId="5B20BFF8" w14:textId="2E4E0E4C" w:rsidR="00A3517D" w:rsidRPr="00FA760B" w:rsidRDefault="001D1359" w:rsidP="00FA760B">
      <w:pPr>
        <w:pStyle w:val="Heading1"/>
        <w:numPr>
          <w:ilvl w:val="0"/>
          <w:numId w:val="25"/>
        </w:numPr>
        <w:bidi/>
        <w:spacing w:line="288" w:lineRule="auto"/>
        <w:rPr>
          <w:sz w:val="26"/>
          <w:szCs w:val="26"/>
          <w:lang w:bidi="ar-LB"/>
        </w:rPr>
      </w:pPr>
      <w:r w:rsidRPr="001D1359">
        <w:rPr>
          <w:sz w:val="26"/>
          <w:szCs w:val="26"/>
          <w:rtl/>
          <w:lang w:bidi="ar-LB"/>
        </w:rPr>
        <w:t>لم يتم تقديم ثمانية وعشرين نشاطاً مرتبطاً بشرائح خطط إدارة إزالة المواد الهيدروكلوروفلوروكربونية لـ 17 بلداً بما في ذلك تلك المشار إليها في الفقرة 4، بقيمة إجمالية قدرها 10,120,181 دولار أمريكي (وتتضمن تكاليف دعم الوكالة)، المقرر تقديمها إلى الاجتماع الرابع والتسعين، على النحو الموضح في المرفق الأول بهذه الوثيقة</w:t>
      </w:r>
      <w:r>
        <w:rPr>
          <w:rStyle w:val="FootnoteReference"/>
          <w:sz w:val="26"/>
          <w:szCs w:val="26"/>
          <w:rtl/>
          <w:lang w:bidi="ar-LB"/>
        </w:rPr>
        <w:footnoteReference w:id="14"/>
      </w:r>
      <w:r w:rsidRPr="001D1359">
        <w:rPr>
          <w:sz w:val="26"/>
          <w:szCs w:val="26"/>
          <w:rtl/>
          <w:lang w:bidi="ar-LB"/>
        </w:rPr>
        <w:t>.</w:t>
      </w:r>
    </w:p>
    <w:p w14:paraId="5008B596" w14:textId="6C1FEACD" w:rsidR="00A3517D" w:rsidRPr="00A3517D" w:rsidRDefault="00A3517D" w:rsidP="00A3517D">
      <w:pPr>
        <w:bidi/>
        <w:rPr>
          <w:b/>
          <w:bCs/>
          <w:sz w:val="28"/>
          <w:szCs w:val="28"/>
          <w:lang w:bidi="ar-LB"/>
        </w:rPr>
      </w:pPr>
      <w:r>
        <w:rPr>
          <w:b/>
          <w:bCs/>
          <w:sz w:val="28"/>
          <w:szCs w:val="28"/>
          <w:rtl/>
          <w:lang w:bidi="ar-LB"/>
        </w:rPr>
        <w:t>ثالثاً-</w:t>
      </w:r>
      <w:r>
        <w:rPr>
          <w:b/>
          <w:bCs/>
          <w:sz w:val="28"/>
          <w:szCs w:val="28"/>
          <w:rtl/>
          <w:lang w:bidi="ar-LB"/>
        </w:rPr>
        <w:tab/>
      </w:r>
      <w:r w:rsidR="002C7ED8" w:rsidRPr="002C7ED8">
        <w:rPr>
          <w:b/>
          <w:bCs/>
          <w:sz w:val="28"/>
          <w:szCs w:val="28"/>
          <w:rtl/>
          <w:lang w:bidi="ar-LB"/>
        </w:rPr>
        <w:t>أسباب التأخيرات وتأثيرها على الامتثال</w:t>
      </w:r>
    </w:p>
    <w:p w14:paraId="768C3C16" w14:textId="77777777" w:rsidR="007457FD" w:rsidRPr="00A3517D" w:rsidRDefault="007457FD" w:rsidP="00A3517D">
      <w:pPr>
        <w:keepNext/>
        <w:keepLines/>
        <w:bidi/>
        <w:rPr>
          <w:sz w:val="26"/>
          <w:szCs w:val="26"/>
          <w:lang w:bidi="ar-LB"/>
        </w:rPr>
      </w:pPr>
    </w:p>
    <w:p w14:paraId="12632CCD" w14:textId="643FF880" w:rsidR="00A3517D" w:rsidRPr="002C7ED8" w:rsidRDefault="002C7ED8" w:rsidP="002C7ED8">
      <w:pPr>
        <w:pStyle w:val="Heading1"/>
        <w:numPr>
          <w:ilvl w:val="0"/>
          <w:numId w:val="25"/>
        </w:numPr>
        <w:bidi/>
        <w:spacing w:line="288" w:lineRule="auto"/>
        <w:rPr>
          <w:sz w:val="26"/>
          <w:szCs w:val="26"/>
          <w:lang w:bidi="ar-LB"/>
        </w:rPr>
      </w:pPr>
      <w:r w:rsidRPr="002C7ED8">
        <w:rPr>
          <w:sz w:val="26"/>
          <w:szCs w:val="26"/>
          <w:rtl/>
          <w:lang w:bidi="ar-LB"/>
        </w:rPr>
        <w:t>تشمل أسباب التأخيرات في تقديم شرائح خطط إدارة إزالة المواد الهيدروكلوروفلوروكربونية ما يلي: عتبة الصرف دون نسبة 20 في المائة من الأموال الموافق عليها للشريحة السابقة (15)؛ والقرارات الحكومية و/أو موافقاتها و/أو التغييرات في وحدة الأوزون الوطنية و/أو التغيير الهيكلي (12)؛ والأموال الكافية من الشريحة السابقة الموافق عليها (6)؛ والصعوبات الداخلية أو الخارجية (2)؛ وتقديم التقارير المرحلية والمالية (2)؛ وعدم وجود تقرير التحقق (2)؛ والتأخيرات المؤسسية (1)؛ وعدم جهوزية الوكالة الرئيسية أو المتعاونة (1)؛ وتوقيع الاتفاقية أو وثيقة المشروع (1)؛ والمسائل التقنية (1)؛ وبطء التنفيذ (1)؛ وتأخيرات المشتريات (1)؛ والمكون الاستثماري (1). قد ينطبق أكثر من سبب حيال التأخيرات في عمليات التقديم.</w:t>
      </w:r>
    </w:p>
    <w:p w14:paraId="1C883155" w14:textId="479BDED5" w:rsidR="00A3517D" w:rsidRPr="002C7ED8" w:rsidRDefault="002C7ED8" w:rsidP="002C7ED8">
      <w:pPr>
        <w:pStyle w:val="Heading1"/>
        <w:numPr>
          <w:ilvl w:val="0"/>
          <w:numId w:val="25"/>
        </w:numPr>
        <w:bidi/>
        <w:spacing w:line="288" w:lineRule="auto"/>
        <w:rPr>
          <w:sz w:val="26"/>
          <w:szCs w:val="26"/>
          <w:lang w:bidi="ar-LB"/>
        </w:rPr>
      </w:pPr>
      <w:r w:rsidRPr="002C7ED8">
        <w:rPr>
          <w:sz w:val="26"/>
          <w:szCs w:val="26"/>
          <w:rtl/>
          <w:lang w:bidi="ar-LB"/>
        </w:rPr>
        <w:t>وحسبما أفادت الوكالات المنفذة ذات الصلة، فلن تنطوي التأخيرات في تقديم الشرائح التي فات موعد استحقاقها على أي تأثير على امتثال البلدان لالتزاماتها بموجب بروتوكول مونتريال. ومن المتوقع تقديم جميع الشرائح المعلقة إلى الاجتماع الخامس والتسعين، باستثناء الجزائر، التي لن تطلب الشرائح المتبقية من المرحلة الأولى من خطة إدارة إزالة المواد الهيدروكلوروفلوروكربونية، بناءً على الرسالة الواردة من الحكومة في 15 أبريل/نيسان 2024.</w:t>
      </w:r>
    </w:p>
    <w:p w14:paraId="2B04E1DE" w14:textId="4F30AC6E" w:rsidR="00A3517D" w:rsidRPr="00A3517D" w:rsidRDefault="00A3517D" w:rsidP="00E3367B">
      <w:pPr>
        <w:keepNext/>
        <w:keepLines/>
        <w:bidi/>
        <w:rPr>
          <w:b/>
          <w:bCs/>
          <w:sz w:val="28"/>
          <w:szCs w:val="28"/>
          <w:lang w:bidi="ar-LB"/>
        </w:rPr>
      </w:pPr>
      <w:r>
        <w:rPr>
          <w:b/>
          <w:bCs/>
          <w:sz w:val="28"/>
          <w:szCs w:val="28"/>
          <w:rtl/>
          <w:lang w:bidi="ar-LB"/>
        </w:rPr>
        <w:lastRenderedPageBreak/>
        <w:t>رابعاً</w:t>
      </w:r>
      <w:r w:rsidR="002C7ED8">
        <w:rPr>
          <w:b/>
          <w:bCs/>
          <w:sz w:val="28"/>
          <w:szCs w:val="28"/>
          <w:rtl/>
          <w:lang w:bidi="ar-LB"/>
        </w:rPr>
        <w:t>-</w:t>
      </w:r>
      <w:r w:rsidR="002C7ED8">
        <w:rPr>
          <w:b/>
          <w:bCs/>
          <w:sz w:val="28"/>
          <w:szCs w:val="28"/>
          <w:rtl/>
          <w:lang w:bidi="ar-LB"/>
        </w:rPr>
        <w:tab/>
        <w:t>التوصية</w:t>
      </w:r>
    </w:p>
    <w:p w14:paraId="73844713" w14:textId="77777777" w:rsidR="007457FD" w:rsidRPr="00A3517D" w:rsidRDefault="007457FD" w:rsidP="00E3367B">
      <w:pPr>
        <w:keepNext/>
        <w:keepLines/>
        <w:bidi/>
        <w:rPr>
          <w:sz w:val="26"/>
          <w:szCs w:val="26"/>
          <w:lang w:bidi="ar-LB"/>
        </w:rPr>
      </w:pPr>
    </w:p>
    <w:p w14:paraId="51647ED5" w14:textId="047C91F0" w:rsidR="00A3517D" w:rsidRPr="002C7ED8" w:rsidRDefault="002C7ED8" w:rsidP="00E3367B">
      <w:pPr>
        <w:pStyle w:val="Heading1"/>
        <w:keepNext/>
        <w:keepLines/>
        <w:numPr>
          <w:ilvl w:val="0"/>
          <w:numId w:val="25"/>
        </w:numPr>
        <w:bidi/>
        <w:spacing w:line="288" w:lineRule="auto"/>
        <w:rPr>
          <w:sz w:val="26"/>
          <w:szCs w:val="26"/>
          <w:lang w:bidi="ar-LB"/>
        </w:rPr>
      </w:pPr>
      <w:r w:rsidRPr="002C7ED8">
        <w:rPr>
          <w:sz w:val="26"/>
          <w:szCs w:val="26"/>
          <w:rtl/>
          <w:lang w:bidi="ar-LB"/>
        </w:rPr>
        <w:t>قد ترغب اللجنة التنفيذية في:</w:t>
      </w:r>
    </w:p>
    <w:p w14:paraId="394992D4" w14:textId="0F9457D8" w:rsidR="00A3517D" w:rsidRPr="00A3517D" w:rsidRDefault="002C7ED8" w:rsidP="0096393F">
      <w:pPr>
        <w:pStyle w:val="Heading2"/>
        <w:keepNext/>
        <w:keepLines/>
        <w:numPr>
          <w:ilvl w:val="0"/>
          <w:numId w:val="36"/>
        </w:numPr>
        <w:bidi/>
        <w:spacing w:line="288" w:lineRule="auto"/>
        <w:ind w:left="1440" w:hanging="720"/>
        <w:rPr>
          <w:sz w:val="26"/>
          <w:szCs w:val="26"/>
          <w:rtl/>
          <w:lang w:bidi="ar-LB"/>
        </w:rPr>
      </w:pPr>
      <w:r w:rsidRPr="002C7ED8">
        <w:rPr>
          <w:sz w:val="26"/>
          <w:szCs w:val="26"/>
          <w:rtl/>
          <w:lang w:bidi="ar-LB"/>
        </w:rPr>
        <w:t>الإحاطة علماً بما يلي:</w:t>
      </w:r>
    </w:p>
    <w:p w14:paraId="7D8B26B5" w14:textId="3EA59FE5" w:rsidR="00A3517D" w:rsidRPr="00A3517D" w:rsidRDefault="002C7ED8" w:rsidP="0096393F">
      <w:pPr>
        <w:pStyle w:val="ListParagraph"/>
        <w:numPr>
          <w:ilvl w:val="0"/>
          <w:numId w:val="37"/>
        </w:numPr>
        <w:bidi/>
        <w:spacing w:after="240" w:line="288" w:lineRule="auto"/>
        <w:ind w:left="2160" w:hanging="720"/>
        <w:contextualSpacing w:val="0"/>
        <w:rPr>
          <w:sz w:val="26"/>
          <w:szCs w:val="26"/>
          <w:lang w:val="en-US" w:bidi="ar-LB"/>
        </w:rPr>
      </w:pPr>
      <w:r w:rsidRPr="002C7ED8">
        <w:rPr>
          <w:sz w:val="26"/>
          <w:szCs w:val="26"/>
          <w:rtl/>
          <w:lang w:val="en-US" w:bidi="ar-LB"/>
        </w:rPr>
        <w:t xml:space="preserve">التقرير بشأن التأخيرات في تقديم الشرائح الوارد في الوثيقة </w:t>
      </w:r>
      <w:r w:rsidRPr="002C7ED8">
        <w:rPr>
          <w:sz w:val="26"/>
          <w:szCs w:val="26"/>
          <w:lang w:val="en-US" w:bidi="ar-LB"/>
        </w:rPr>
        <w:t>UNEP/OzL.Pro/ExCom/94/13</w:t>
      </w:r>
      <w:r w:rsidRPr="002C7ED8">
        <w:rPr>
          <w:sz w:val="26"/>
          <w:szCs w:val="26"/>
          <w:rtl/>
          <w:lang w:val="en-US" w:bidi="ar-LB"/>
        </w:rPr>
        <w:t>؛</w:t>
      </w:r>
    </w:p>
    <w:p w14:paraId="24944FA8" w14:textId="1ECEE23A" w:rsidR="00C57DBB" w:rsidRPr="00C57DBB" w:rsidRDefault="0096393F" w:rsidP="0096393F">
      <w:pPr>
        <w:pStyle w:val="ListParagraph"/>
        <w:numPr>
          <w:ilvl w:val="0"/>
          <w:numId w:val="37"/>
        </w:numPr>
        <w:bidi/>
        <w:spacing w:after="240" w:line="288" w:lineRule="auto"/>
        <w:ind w:left="2160" w:hanging="720"/>
        <w:contextualSpacing w:val="0"/>
        <w:rPr>
          <w:sz w:val="26"/>
          <w:szCs w:val="26"/>
          <w:lang w:val="en-US" w:bidi="ar-LB"/>
        </w:rPr>
      </w:pPr>
      <w:r w:rsidRPr="0096393F">
        <w:rPr>
          <w:sz w:val="26"/>
          <w:szCs w:val="26"/>
          <w:rtl/>
          <w:lang w:val="en-US" w:bidi="ar-LB"/>
        </w:rPr>
        <w:t>المعلومات المتعلقة بالتأخيرات في تقديم الشرائح بموجب خطط إدارة إزالة المواد الهيدروكلوروفلوروكربونية المقدمة من حكومتي فرنسا وألمانيا واليوئنديبي واليونيب واليونيدو؛</w:t>
      </w:r>
    </w:p>
    <w:p w14:paraId="434BA155" w14:textId="51157E66" w:rsidR="00C57DBB" w:rsidRPr="00C57DBB" w:rsidRDefault="0096393F" w:rsidP="0096393F">
      <w:pPr>
        <w:pStyle w:val="ListParagraph"/>
        <w:numPr>
          <w:ilvl w:val="0"/>
          <w:numId w:val="37"/>
        </w:numPr>
        <w:bidi/>
        <w:spacing w:after="240" w:line="288" w:lineRule="auto"/>
        <w:ind w:left="2160" w:hanging="720"/>
        <w:contextualSpacing w:val="0"/>
        <w:rPr>
          <w:sz w:val="26"/>
          <w:szCs w:val="26"/>
          <w:lang w:val="en-US" w:bidi="ar-LB"/>
        </w:rPr>
      </w:pPr>
      <w:r w:rsidRPr="0096393F">
        <w:rPr>
          <w:sz w:val="26"/>
          <w:szCs w:val="26"/>
          <w:rtl/>
          <w:lang w:val="en-US" w:bidi="ar-LB"/>
        </w:rPr>
        <w:t>أنه تم تقديم 32 نشاطاً من أصل 60 نشاطاً (18 من 35 بلداً) تتعلق بشرائح خطط إدارة إزالة المواد الهيدروكلوروفلوروكربونية المزمع تقديمها إلى الاجتماع الرابع والتسعين في الوقت المحدد؛</w:t>
      </w:r>
    </w:p>
    <w:p w14:paraId="0AE22C6D" w14:textId="10D5D15A" w:rsidR="00C57DBB" w:rsidRPr="00C57DBB" w:rsidRDefault="0096393F" w:rsidP="0096393F">
      <w:pPr>
        <w:pStyle w:val="ListParagraph"/>
        <w:numPr>
          <w:ilvl w:val="0"/>
          <w:numId w:val="37"/>
        </w:numPr>
        <w:bidi/>
        <w:spacing w:after="240" w:line="288" w:lineRule="auto"/>
        <w:ind w:left="2160" w:hanging="720"/>
        <w:contextualSpacing w:val="0"/>
        <w:rPr>
          <w:sz w:val="26"/>
          <w:szCs w:val="26"/>
          <w:lang w:val="en-US" w:bidi="ar-LB"/>
        </w:rPr>
      </w:pPr>
      <w:r w:rsidRPr="0096393F">
        <w:rPr>
          <w:sz w:val="26"/>
          <w:szCs w:val="26"/>
          <w:rtl/>
          <w:lang w:val="en-US" w:bidi="ar-LB"/>
        </w:rPr>
        <w:t>أن الوكالات الثنائية والمنفذة ذات الصلة قد أشارت إلى أن التأخر في تقديم شرائح خطط إدارة إزالة المواد الهيدروكلوروفلوروكربونية المقرر تقديمها في الاجتماع الأول لعام 2024 لن ينطوي على أي تأثير على امتثال البلدان لبروتوكول مونتريال، وأنه لا يوجد ما يشير إلى أن أياً من البلدان المعنية كانت في حالة عدم امتثال لتدابير الرقابة المنصوص عليها في بروتوكول مونتريال؛ و</w:t>
      </w:r>
    </w:p>
    <w:p w14:paraId="1C842CC7" w14:textId="1630BD13" w:rsidR="00C57DBB" w:rsidRPr="00C57DBB" w:rsidRDefault="0096393F" w:rsidP="0096393F">
      <w:pPr>
        <w:pStyle w:val="Heading2"/>
        <w:keepNext/>
        <w:keepLines/>
        <w:numPr>
          <w:ilvl w:val="0"/>
          <w:numId w:val="36"/>
        </w:numPr>
        <w:bidi/>
        <w:spacing w:line="288" w:lineRule="auto"/>
        <w:ind w:left="1440" w:hanging="720"/>
        <w:rPr>
          <w:sz w:val="26"/>
          <w:szCs w:val="26"/>
          <w:lang w:bidi="ar-LB"/>
        </w:rPr>
      </w:pPr>
      <w:r w:rsidRPr="0096393F">
        <w:rPr>
          <w:sz w:val="26"/>
          <w:szCs w:val="26"/>
          <w:rtl/>
          <w:lang w:bidi="ar-LB"/>
        </w:rPr>
        <w:t>أن تطلب من الأمانة إرسال خطابات إلى الحكومات المعنية بشأن القرارات المتعلقة بتأخيرات تقديم الشرائح الواردة في المرفق الأول بهذا التقرير.</w:t>
      </w:r>
    </w:p>
    <w:p w14:paraId="58A0B1AF" w14:textId="77777777" w:rsidR="007457FD" w:rsidRPr="00A16EAD" w:rsidRDefault="007457FD" w:rsidP="00A16EAD">
      <w:pPr>
        <w:bidi/>
        <w:rPr>
          <w:sz w:val="26"/>
          <w:szCs w:val="26"/>
          <w:lang w:bidi="ar-LB"/>
        </w:rPr>
      </w:pPr>
    </w:p>
    <w:p w14:paraId="10E0E72D" w14:textId="77777777" w:rsidR="007457FD" w:rsidRPr="00A16EAD" w:rsidRDefault="007457FD" w:rsidP="00A16EAD">
      <w:pPr>
        <w:bidi/>
        <w:rPr>
          <w:sz w:val="26"/>
          <w:szCs w:val="26"/>
          <w:lang w:bidi="ar-LB"/>
        </w:rPr>
      </w:pPr>
    </w:p>
    <w:p w14:paraId="7B9DF43B" w14:textId="77777777" w:rsidR="007457FD" w:rsidRPr="00A16EAD" w:rsidRDefault="007457FD" w:rsidP="00A16EAD">
      <w:pPr>
        <w:bidi/>
        <w:rPr>
          <w:sz w:val="26"/>
          <w:szCs w:val="26"/>
          <w:lang w:bidi="ar-LB"/>
        </w:rPr>
      </w:pPr>
    </w:p>
    <w:p w14:paraId="0596AF6E" w14:textId="77777777" w:rsidR="007457FD" w:rsidRPr="00A16EAD" w:rsidRDefault="007457FD" w:rsidP="00A16EAD">
      <w:pPr>
        <w:bidi/>
        <w:rPr>
          <w:sz w:val="26"/>
          <w:szCs w:val="26"/>
          <w:lang w:bidi="ar-LB"/>
        </w:rPr>
        <w:sectPr w:rsidR="007457FD" w:rsidRPr="00A16EAD" w:rsidSect="000B2D7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0D4C85C" w14:textId="32BE2FAC" w:rsidR="007457FD" w:rsidRPr="00F14134" w:rsidRDefault="0091359A" w:rsidP="00F14134">
      <w:pPr>
        <w:bidi/>
        <w:jc w:val="center"/>
        <w:rPr>
          <w:b/>
          <w:bCs/>
          <w:sz w:val="26"/>
          <w:szCs w:val="26"/>
          <w:rtl/>
          <w:lang w:bidi="ar-LB"/>
        </w:rPr>
      </w:pPr>
      <w:r>
        <w:rPr>
          <w:b/>
          <w:bCs/>
          <w:sz w:val="26"/>
          <w:szCs w:val="26"/>
          <w:rtl/>
          <w:lang w:bidi="ar-LB"/>
        </w:rPr>
        <w:lastRenderedPageBreak/>
        <w:t xml:space="preserve">المرفق </w:t>
      </w:r>
      <w:r w:rsidR="00AC1EEC">
        <w:rPr>
          <w:rFonts w:hint="cs"/>
          <w:b/>
          <w:bCs/>
          <w:sz w:val="26"/>
          <w:szCs w:val="26"/>
          <w:rtl/>
          <w:lang w:bidi="ar-LB"/>
        </w:rPr>
        <w:t>الاول</w:t>
      </w:r>
    </w:p>
    <w:p w14:paraId="7E172A24" w14:textId="77777777" w:rsidR="007457FD" w:rsidRPr="00F14134" w:rsidRDefault="007457FD" w:rsidP="00F14134">
      <w:pPr>
        <w:bidi/>
        <w:jc w:val="center"/>
        <w:rPr>
          <w:b/>
          <w:bCs/>
          <w:sz w:val="26"/>
          <w:szCs w:val="26"/>
          <w:lang w:bidi="ar-LB"/>
        </w:rPr>
      </w:pPr>
    </w:p>
    <w:p w14:paraId="59B8942C" w14:textId="525D9A18" w:rsidR="007457FD" w:rsidRPr="00F14134" w:rsidRDefault="00615621" w:rsidP="00F14134">
      <w:pPr>
        <w:bidi/>
        <w:jc w:val="center"/>
        <w:rPr>
          <w:b/>
          <w:bCs/>
          <w:sz w:val="26"/>
          <w:szCs w:val="26"/>
          <w:rtl/>
          <w:lang w:bidi="ar-LB"/>
        </w:rPr>
      </w:pPr>
      <w:r>
        <w:rPr>
          <w:b/>
          <w:bCs/>
          <w:sz w:val="26"/>
          <w:szCs w:val="26"/>
          <w:rtl/>
          <w:lang w:bidi="ar-LB"/>
        </w:rPr>
        <w:t>الشرائح التي لم يتم تقديمها إلى الاجتماع الرابع والتسعين</w:t>
      </w:r>
    </w:p>
    <w:p w14:paraId="333F5AF7" w14:textId="7EE6A86C" w:rsidR="007457FD" w:rsidRDefault="007457FD" w:rsidP="00F14134">
      <w:pPr>
        <w:bidi/>
        <w:rPr>
          <w:sz w:val="26"/>
          <w:szCs w:val="26"/>
          <w:rtl/>
          <w:lang w:bidi="ar-LB"/>
        </w:rPr>
      </w:pPr>
    </w:p>
    <w:tbl>
      <w:tblPr>
        <w:bidiVisual/>
        <w:tblW w:w="14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2"/>
        <w:gridCol w:w="858"/>
        <w:gridCol w:w="879"/>
        <w:gridCol w:w="1275"/>
        <w:gridCol w:w="3402"/>
        <w:gridCol w:w="5913"/>
      </w:tblGrid>
      <w:tr w:rsidR="00FC3112" w:rsidRPr="00F0448E" w14:paraId="4C6A2079" w14:textId="77777777" w:rsidTr="002F7551">
        <w:trPr>
          <w:tblHeader/>
        </w:trPr>
        <w:tc>
          <w:tcPr>
            <w:tcW w:w="1972" w:type="dxa"/>
            <w:tcMar>
              <w:left w:w="72" w:type="dxa"/>
              <w:right w:w="72" w:type="dxa"/>
            </w:tcMar>
            <w:vAlign w:val="center"/>
            <w:hideMark/>
          </w:tcPr>
          <w:p w14:paraId="45586F76" w14:textId="4272D841" w:rsidR="007457FD" w:rsidRPr="00F0448E" w:rsidRDefault="00F14134" w:rsidP="00E3367B">
            <w:pPr>
              <w:bidi/>
              <w:spacing w:before="40" w:after="40"/>
              <w:ind w:left="-108" w:firstLine="108"/>
              <w:jc w:val="left"/>
              <w:rPr>
                <w:rFonts w:asciiTheme="majorBidi" w:hAnsiTheme="majorBidi" w:cstheme="majorBidi"/>
                <w:b/>
                <w:bCs/>
                <w:sz w:val="20"/>
                <w:szCs w:val="20"/>
                <w:rtl/>
                <w:lang w:val="en-US" w:eastAsia="en-CA" w:bidi="ar-LB"/>
              </w:rPr>
            </w:pPr>
            <w:r w:rsidRPr="00F0448E">
              <w:rPr>
                <w:rFonts w:asciiTheme="majorBidi" w:hAnsiTheme="majorBidi" w:cstheme="majorBidi"/>
                <w:b/>
                <w:bCs/>
                <w:sz w:val="20"/>
                <w:szCs w:val="20"/>
                <w:rtl/>
                <w:lang w:eastAsia="en-CA" w:bidi="ar-LB"/>
              </w:rPr>
              <w:t>البلد</w:t>
            </w:r>
          </w:p>
        </w:tc>
        <w:tc>
          <w:tcPr>
            <w:tcW w:w="858" w:type="dxa"/>
            <w:tcMar>
              <w:left w:w="72" w:type="dxa"/>
              <w:right w:w="72" w:type="dxa"/>
            </w:tcMar>
            <w:vAlign w:val="center"/>
            <w:hideMark/>
          </w:tcPr>
          <w:p w14:paraId="6CB8CE84" w14:textId="6C098B35" w:rsidR="007457FD" w:rsidRPr="00F0448E" w:rsidRDefault="00F14134" w:rsidP="00E3367B">
            <w:pPr>
              <w:bidi/>
              <w:spacing w:before="40" w:after="40"/>
              <w:jc w:val="center"/>
              <w:rPr>
                <w:rFonts w:asciiTheme="majorBidi" w:hAnsiTheme="majorBidi" w:cstheme="majorBidi"/>
                <w:b/>
                <w:bCs/>
                <w:sz w:val="20"/>
                <w:szCs w:val="20"/>
                <w:rtl/>
                <w:lang w:eastAsia="en-CA" w:bidi="ar-LB"/>
              </w:rPr>
            </w:pPr>
            <w:r w:rsidRPr="00F0448E">
              <w:rPr>
                <w:rFonts w:asciiTheme="majorBidi" w:hAnsiTheme="majorBidi" w:cstheme="majorBidi"/>
                <w:b/>
                <w:bCs/>
                <w:sz w:val="20"/>
                <w:szCs w:val="20"/>
                <w:rtl/>
                <w:lang w:eastAsia="en-CA" w:bidi="ar-LB"/>
              </w:rPr>
              <w:t>الوكالة</w:t>
            </w:r>
          </w:p>
        </w:tc>
        <w:tc>
          <w:tcPr>
            <w:tcW w:w="879" w:type="dxa"/>
            <w:tcMar>
              <w:left w:w="72" w:type="dxa"/>
              <w:right w:w="72" w:type="dxa"/>
            </w:tcMar>
            <w:vAlign w:val="center"/>
            <w:hideMark/>
          </w:tcPr>
          <w:p w14:paraId="08D79731" w14:textId="649207C8" w:rsidR="007457FD" w:rsidRPr="00F0448E" w:rsidRDefault="00F14134" w:rsidP="00E3367B">
            <w:pPr>
              <w:bidi/>
              <w:spacing w:before="40" w:after="40"/>
              <w:ind w:left="-108" w:right="-128"/>
              <w:jc w:val="center"/>
              <w:rPr>
                <w:rFonts w:asciiTheme="majorBidi" w:hAnsiTheme="majorBidi" w:cstheme="majorBidi"/>
                <w:b/>
                <w:bCs/>
                <w:sz w:val="20"/>
                <w:szCs w:val="20"/>
                <w:rtl/>
                <w:lang w:eastAsia="en-CA" w:bidi="ar-LB"/>
              </w:rPr>
            </w:pPr>
            <w:r w:rsidRPr="00F0448E">
              <w:rPr>
                <w:rFonts w:asciiTheme="majorBidi" w:hAnsiTheme="majorBidi" w:cstheme="majorBidi"/>
                <w:b/>
                <w:bCs/>
                <w:sz w:val="20"/>
                <w:szCs w:val="20"/>
                <w:rtl/>
                <w:lang w:eastAsia="en-CA" w:bidi="ar-LB"/>
              </w:rPr>
              <w:t>الشريحة</w:t>
            </w:r>
          </w:p>
        </w:tc>
        <w:tc>
          <w:tcPr>
            <w:tcW w:w="1275" w:type="dxa"/>
            <w:tcMar>
              <w:left w:w="72" w:type="dxa"/>
              <w:right w:w="72" w:type="dxa"/>
            </w:tcMar>
            <w:vAlign w:val="center"/>
            <w:hideMark/>
          </w:tcPr>
          <w:p w14:paraId="51CFE261" w14:textId="562FFE10" w:rsidR="007457FD" w:rsidRPr="00F0448E" w:rsidRDefault="00F14134" w:rsidP="00E3367B">
            <w:pPr>
              <w:bidi/>
              <w:spacing w:before="40" w:after="40"/>
              <w:ind w:left="-108" w:right="-108"/>
              <w:jc w:val="center"/>
              <w:rPr>
                <w:rFonts w:asciiTheme="majorBidi" w:hAnsiTheme="majorBidi" w:cstheme="majorBidi"/>
                <w:b/>
                <w:bCs/>
                <w:sz w:val="20"/>
                <w:szCs w:val="20"/>
                <w:rtl/>
                <w:lang w:eastAsia="en-CA" w:bidi="ar-LB"/>
              </w:rPr>
            </w:pPr>
            <w:r w:rsidRPr="00F0448E">
              <w:rPr>
                <w:rFonts w:asciiTheme="majorBidi" w:hAnsiTheme="majorBidi" w:cstheme="majorBidi"/>
                <w:b/>
                <w:bCs/>
                <w:sz w:val="20"/>
                <w:szCs w:val="20"/>
                <w:rtl/>
                <w:lang w:eastAsia="en-CA" w:bidi="ar-LB"/>
              </w:rPr>
              <w:t>المبلغ (مع تكاليف الدعم</w:t>
            </w:r>
          </w:p>
          <w:p w14:paraId="2F2C8A31" w14:textId="2D59BD34" w:rsidR="007457FD" w:rsidRPr="00F0448E" w:rsidRDefault="00F14134" w:rsidP="00E3367B">
            <w:pPr>
              <w:bidi/>
              <w:spacing w:before="40" w:after="40"/>
              <w:jc w:val="center"/>
              <w:rPr>
                <w:rFonts w:asciiTheme="majorBidi" w:hAnsiTheme="majorBidi" w:cstheme="majorBidi"/>
                <w:b/>
                <w:bCs/>
                <w:sz w:val="20"/>
                <w:szCs w:val="20"/>
                <w:lang w:eastAsia="en-CA" w:bidi="ar-LB"/>
              </w:rPr>
            </w:pPr>
            <w:r w:rsidRPr="00F0448E">
              <w:rPr>
                <w:rFonts w:asciiTheme="majorBidi" w:hAnsiTheme="majorBidi" w:cstheme="majorBidi"/>
                <w:b/>
                <w:bCs/>
                <w:sz w:val="20"/>
                <w:szCs w:val="20"/>
                <w:rtl/>
                <w:lang w:eastAsia="en-CA" w:bidi="ar-LB"/>
              </w:rPr>
              <w:t>(دولار أمريكي)</w:t>
            </w:r>
          </w:p>
        </w:tc>
        <w:tc>
          <w:tcPr>
            <w:tcW w:w="3402" w:type="dxa"/>
            <w:tcMar>
              <w:left w:w="72" w:type="dxa"/>
              <w:right w:w="72" w:type="dxa"/>
            </w:tcMar>
            <w:vAlign w:val="center"/>
            <w:hideMark/>
          </w:tcPr>
          <w:p w14:paraId="5ABE434E" w14:textId="4CF7B35F" w:rsidR="00F14134" w:rsidRPr="00F0448E" w:rsidRDefault="00F14134" w:rsidP="00E3367B">
            <w:pPr>
              <w:bidi/>
              <w:spacing w:before="40" w:after="40"/>
              <w:jc w:val="center"/>
              <w:rPr>
                <w:rFonts w:asciiTheme="majorBidi" w:hAnsiTheme="majorBidi" w:cstheme="majorBidi"/>
                <w:b/>
                <w:bCs/>
                <w:sz w:val="20"/>
                <w:szCs w:val="20"/>
                <w:rtl/>
                <w:lang w:val="en-US" w:eastAsia="en-CA" w:bidi="ar-LB"/>
              </w:rPr>
            </w:pPr>
            <w:r w:rsidRPr="00F0448E">
              <w:rPr>
                <w:rFonts w:asciiTheme="majorBidi" w:hAnsiTheme="majorBidi" w:cstheme="majorBidi"/>
                <w:b/>
                <w:bCs/>
                <w:sz w:val="20"/>
                <w:szCs w:val="20"/>
                <w:rtl/>
                <w:lang w:val="en-US" w:eastAsia="en-CA" w:bidi="ar-LB"/>
              </w:rPr>
              <w:t>سبب التأخير/</w:t>
            </w:r>
            <w:r w:rsidR="00BE1491" w:rsidRPr="00F0448E">
              <w:rPr>
                <w:rFonts w:asciiTheme="majorBidi" w:hAnsiTheme="majorBidi" w:cstheme="majorBidi"/>
                <w:b/>
                <w:bCs/>
                <w:sz w:val="20"/>
                <w:szCs w:val="20"/>
                <w:rtl/>
                <w:lang w:val="en-US" w:eastAsia="en-CA" w:bidi="ar-LB"/>
              </w:rPr>
              <w:t>الانسحاب</w:t>
            </w:r>
          </w:p>
        </w:tc>
        <w:tc>
          <w:tcPr>
            <w:tcW w:w="5913" w:type="dxa"/>
            <w:tcMar>
              <w:left w:w="72" w:type="dxa"/>
              <w:right w:w="72" w:type="dxa"/>
            </w:tcMar>
            <w:vAlign w:val="center"/>
          </w:tcPr>
          <w:p w14:paraId="5028E871" w14:textId="4918EB63" w:rsidR="00F14134" w:rsidRPr="00F0448E" w:rsidRDefault="00F14134" w:rsidP="00E3367B">
            <w:pPr>
              <w:bidi/>
              <w:spacing w:before="40" w:after="40"/>
              <w:jc w:val="center"/>
              <w:rPr>
                <w:rFonts w:asciiTheme="majorBidi" w:hAnsiTheme="majorBidi" w:cstheme="majorBidi"/>
                <w:bCs/>
                <w:sz w:val="20"/>
                <w:szCs w:val="20"/>
                <w:rtl/>
                <w:lang w:val="en-US" w:eastAsia="en-CA" w:bidi="ar-LB"/>
              </w:rPr>
            </w:pPr>
            <w:r w:rsidRPr="00F0448E">
              <w:rPr>
                <w:rFonts w:asciiTheme="majorBidi" w:hAnsiTheme="majorBidi" w:cstheme="majorBidi"/>
                <w:bCs/>
                <w:sz w:val="20"/>
                <w:szCs w:val="20"/>
                <w:rtl/>
                <w:lang w:val="en-US" w:bidi="ar-LB"/>
              </w:rPr>
              <w:t>التوصيات</w:t>
            </w:r>
          </w:p>
        </w:tc>
      </w:tr>
      <w:tr w:rsidR="00FC3112" w:rsidRPr="00F0448E" w14:paraId="4AD6FBA8" w14:textId="77777777" w:rsidTr="002F7551">
        <w:tc>
          <w:tcPr>
            <w:tcW w:w="1972" w:type="dxa"/>
            <w:tcMar>
              <w:left w:w="72" w:type="dxa"/>
              <w:right w:w="72" w:type="dxa"/>
            </w:tcMar>
          </w:tcPr>
          <w:p w14:paraId="569AB44F" w14:textId="4A6D1EA1" w:rsidR="002E495D" w:rsidRPr="00F0448E" w:rsidRDefault="00F074DA" w:rsidP="00E3367B">
            <w:pPr>
              <w:bidi/>
              <w:spacing w:before="40" w:after="40"/>
              <w:ind w:right="-131"/>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الجزائر</w:t>
            </w:r>
            <w:r w:rsidR="007457FD" w:rsidRPr="00F0448E">
              <w:rPr>
                <w:rFonts w:asciiTheme="majorBidi" w:hAnsiTheme="majorBidi" w:cstheme="majorBidi"/>
                <w:sz w:val="20"/>
                <w:szCs w:val="20"/>
                <w:lang w:eastAsia="en-CA" w:bidi="ar-LB"/>
              </w:rPr>
              <w:t xml:space="preserve"> </w:t>
            </w:r>
          </w:p>
          <w:p w14:paraId="4FA8D14E" w14:textId="7E203B1D" w:rsidR="007457FD" w:rsidRPr="00F0448E" w:rsidRDefault="009F5EC9" w:rsidP="00E3367B">
            <w:pPr>
              <w:bidi/>
              <w:spacing w:before="40" w:after="40"/>
              <w:ind w:right="-131"/>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الأولى)</w:t>
            </w:r>
          </w:p>
        </w:tc>
        <w:tc>
          <w:tcPr>
            <w:tcW w:w="858" w:type="dxa"/>
            <w:tcMar>
              <w:left w:w="72" w:type="dxa"/>
              <w:right w:w="72" w:type="dxa"/>
            </w:tcMar>
          </w:tcPr>
          <w:p w14:paraId="1A727681" w14:textId="33D75AB6" w:rsidR="007457FD" w:rsidRPr="00F0448E" w:rsidRDefault="00F1413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اليونيدو</w:t>
            </w:r>
          </w:p>
        </w:tc>
        <w:tc>
          <w:tcPr>
            <w:tcW w:w="879" w:type="dxa"/>
            <w:tcMar>
              <w:left w:w="72" w:type="dxa"/>
              <w:right w:w="72" w:type="dxa"/>
            </w:tcMar>
          </w:tcPr>
          <w:p w14:paraId="071E2879" w14:textId="1919C429" w:rsidR="00DC7CA9" w:rsidRPr="00F0448E" w:rsidRDefault="00DC7CA9" w:rsidP="00E3367B">
            <w:pPr>
              <w:bidi/>
              <w:spacing w:before="40" w:after="40"/>
              <w:ind w:left="-83" w:right="-108"/>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2014</w:t>
            </w:r>
            <w:r w:rsidRPr="00F0448E">
              <w:rPr>
                <w:rFonts w:asciiTheme="majorBidi" w:hAnsiTheme="majorBidi" w:cstheme="majorBidi"/>
                <w:sz w:val="20"/>
                <w:szCs w:val="20"/>
                <w:rtl/>
                <w:lang w:eastAsia="en-CA" w:bidi="ar-LB"/>
              </w:rPr>
              <w:t xml:space="preserve"> و</w:t>
            </w:r>
            <w:r w:rsidRPr="00F0448E">
              <w:rPr>
                <w:rFonts w:asciiTheme="majorBidi" w:hAnsiTheme="majorBidi"/>
                <w:sz w:val="20"/>
                <w:szCs w:val="20"/>
                <w:rtl/>
                <w:lang w:eastAsia="en-CA" w:bidi="ar-LB"/>
              </w:rPr>
              <w:t>2017</w:t>
            </w:r>
          </w:p>
          <w:p w14:paraId="3438EC2F" w14:textId="5BDB4CCC" w:rsidR="00DC7CA9" w:rsidRPr="00F0448E" w:rsidRDefault="00DC7CA9" w:rsidP="00E3367B">
            <w:pPr>
              <w:bidi/>
              <w:spacing w:before="40" w:after="40"/>
              <w:ind w:left="-83" w:right="-108"/>
              <w:jc w:val="center"/>
              <w:rPr>
                <w:rFonts w:asciiTheme="majorBidi" w:hAnsiTheme="majorBidi" w:cstheme="majorBidi"/>
                <w:sz w:val="20"/>
                <w:szCs w:val="20"/>
                <w:lang w:eastAsia="en-CA" w:bidi="ar-LB"/>
              </w:rPr>
            </w:pPr>
          </w:p>
        </w:tc>
        <w:tc>
          <w:tcPr>
            <w:tcW w:w="1275" w:type="dxa"/>
            <w:tcMar>
              <w:left w:w="72" w:type="dxa"/>
              <w:right w:w="72" w:type="dxa"/>
            </w:tcMar>
          </w:tcPr>
          <w:p w14:paraId="06C99F32" w14:textId="51B7B6DD" w:rsidR="007457FD"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197,898</w:t>
            </w:r>
          </w:p>
        </w:tc>
        <w:tc>
          <w:tcPr>
            <w:tcW w:w="3402" w:type="dxa"/>
            <w:tcMar>
              <w:left w:w="72" w:type="dxa"/>
              <w:right w:w="72" w:type="dxa"/>
            </w:tcMar>
          </w:tcPr>
          <w:p w14:paraId="7FECE5A7" w14:textId="344B5A5C" w:rsidR="00E27EBB" w:rsidRPr="00F0448E" w:rsidRDefault="00E27EBB" w:rsidP="00E3367B">
            <w:pPr>
              <w:bidi/>
              <w:spacing w:before="40" w:after="40"/>
              <w:ind w:right="-47"/>
              <w:jc w:val="left"/>
              <w:rPr>
                <w:rFonts w:asciiTheme="majorBidi" w:hAnsiTheme="majorBidi" w:cstheme="majorBidi"/>
                <w:sz w:val="20"/>
                <w:szCs w:val="20"/>
                <w:lang w:val="en-US" w:eastAsia="en-CA" w:bidi="ar-LB"/>
              </w:rPr>
            </w:pPr>
            <w:r w:rsidRPr="00F0448E">
              <w:rPr>
                <w:rFonts w:asciiTheme="majorBidi" w:hAnsiTheme="majorBidi"/>
                <w:sz w:val="20"/>
                <w:szCs w:val="20"/>
                <w:rtl/>
                <w:lang w:val="en-US" w:eastAsia="en-CA" w:bidi="ar-LB"/>
              </w:rPr>
              <w:t>التأخيرات المؤسسية/القرارات الحكومية/موافقاتها/التغييرات في وحدة الأوزون الوطنية</w:t>
            </w:r>
          </w:p>
        </w:tc>
        <w:tc>
          <w:tcPr>
            <w:tcW w:w="5913" w:type="dxa"/>
            <w:shd w:val="clear" w:color="auto" w:fill="auto"/>
            <w:tcMar>
              <w:left w:w="72" w:type="dxa"/>
              <w:right w:w="72" w:type="dxa"/>
            </w:tcMar>
          </w:tcPr>
          <w:p w14:paraId="3E33231E" w14:textId="62D11678" w:rsidR="00B36C82" w:rsidRPr="00F0448E" w:rsidRDefault="000B2CF3" w:rsidP="00E3367B">
            <w:pPr>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بالتأخيرات المؤسسية بسبب التحديات في تصنيع وحدات تكييف الهواء القائمة على الهيدروفلوروكربون-32 وأن حكومة الجزائر لن تطلب الشرائح المتبقية من المرحلة الأولى من خطة إدارة إزالة المواد الهيدروكلوروفلوروكربونية (الشريحة الثالثة (2014) والشريحة الرابعة (2017))* وحث حكومة الجزائر على تقديم تقرير مفصل بشأن جميع الأنشطة الجارية المتبقية في إطار المرحلة الأولى من خطة إدارة إزالة المواد الهيدروكلوروفلوروكربونية إلى الاجتماع الخامس والتسعين.</w:t>
            </w:r>
          </w:p>
        </w:tc>
      </w:tr>
      <w:tr w:rsidR="00FC3112" w:rsidRPr="00F0448E" w14:paraId="47B611AD" w14:textId="77777777" w:rsidTr="002F7551">
        <w:tc>
          <w:tcPr>
            <w:tcW w:w="1972" w:type="dxa"/>
            <w:tcMar>
              <w:left w:w="72" w:type="dxa"/>
              <w:right w:w="72" w:type="dxa"/>
            </w:tcMar>
          </w:tcPr>
          <w:p w14:paraId="324C05FE" w14:textId="77777777" w:rsidR="00D66D84" w:rsidRPr="00F0448E" w:rsidRDefault="00F074DA" w:rsidP="00E3367B">
            <w:pPr>
              <w:bidi/>
              <w:spacing w:before="40" w:after="40"/>
              <w:ind w:right="-131"/>
              <w:jc w:val="left"/>
              <w:rPr>
                <w:rFonts w:asciiTheme="majorBidi" w:hAnsiTheme="majorBidi"/>
                <w:sz w:val="20"/>
                <w:szCs w:val="20"/>
                <w:rtl/>
                <w:lang w:eastAsia="en-CA" w:bidi="ar-LB"/>
              </w:rPr>
            </w:pPr>
            <w:r w:rsidRPr="00F0448E">
              <w:rPr>
                <w:rFonts w:asciiTheme="majorBidi" w:hAnsiTheme="majorBidi"/>
                <w:sz w:val="20"/>
                <w:szCs w:val="20"/>
                <w:rtl/>
                <w:lang w:eastAsia="en-CA" w:bidi="ar-LB"/>
              </w:rPr>
              <w:t>الأرجنتين</w:t>
            </w:r>
          </w:p>
          <w:p w14:paraId="693C1DAB" w14:textId="298E9DF8" w:rsidR="00661FAE" w:rsidRPr="00F0448E" w:rsidRDefault="002F7551" w:rsidP="00D66D84">
            <w:pPr>
              <w:bidi/>
              <w:spacing w:before="40" w:after="40"/>
              <w:ind w:right="-131"/>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(ضبط انبعاثات الهيدروفلوروكربون-23 المتولد عن إنتاج الهيدروكلوروفلوروكربون-22 في منشأة فريو إندوسترياس أرجنتينا)</w:t>
            </w:r>
          </w:p>
        </w:tc>
        <w:tc>
          <w:tcPr>
            <w:tcW w:w="858" w:type="dxa"/>
            <w:tcMar>
              <w:left w:w="72" w:type="dxa"/>
              <w:right w:w="72" w:type="dxa"/>
            </w:tcMar>
          </w:tcPr>
          <w:p w14:paraId="424B0CA0" w14:textId="43F7E069" w:rsidR="00661FAE" w:rsidRPr="00F0448E" w:rsidRDefault="00F1413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اليونيدو</w:t>
            </w:r>
          </w:p>
        </w:tc>
        <w:tc>
          <w:tcPr>
            <w:tcW w:w="879" w:type="dxa"/>
            <w:tcMar>
              <w:left w:w="72" w:type="dxa"/>
              <w:right w:w="72" w:type="dxa"/>
            </w:tcMar>
          </w:tcPr>
          <w:p w14:paraId="5430385B" w14:textId="0541E4BF" w:rsidR="00661FAE" w:rsidRPr="00F0448E" w:rsidRDefault="009F5EC9" w:rsidP="00E3367B">
            <w:pPr>
              <w:bidi/>
              <w:spacing w:before="40" w:after="40"/>
              <w:ind w:left="-83" w:right="-108"/>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58EED9EB" w14:textId="03AAB0C9" w:rsidR="00661FAE"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13,650</w:t>
            </w:r>
          </w:p>
        </w:tc>
        <w:tc>
          <w:tcPr>
            <w:tcW w:w="3402" w:type="dxa"/>
            <w:tcMar>
              <w:left w:w="72" w:type="dxa"/>
              <w:right w:w="72" w:type="dxa"/>
            </w:tcMar>
          </w:tcPr>
          <w:p w14:paraId="5E2AE48F" w14:textId="11415F8D" w:rsidR="00E27EBB" w:rsidRPr="00F0448E" w:rsidRDefault="00E27EBB" w:rsidP="00E3367B">
            <w:pPr>
              <w:bidi/>
              <w:spacing w:before="40" w:after="40"/>
              <w:ind w:right="-47"/>
              <w:jc w:val="left"/>
              <w:rPr>
                <w:rFonts w:asciiTheme="majorBidi" w:hAnsiTheme="majorBidi" w:cstheme="majorBidi"/>
                <w:sz w:val="20"/>
                <w:szCs w:val="20"/>
                <w:lang w:bidi="ar-LB"/>
              </w:rPr>
            </w:pPr>
            <w:r w:rsidRPr="00F0448E">
              <w:rPr>
                <w:rFonts w:asciiTheme="majorBidi" w:hAnsiTheme="majorBidi"/>
                <w:sz w:val="20"/>
                <w:szCs w:val="20"/>
                <w:rtl/>
                <w:lang w:bidi="ar-LB"/>
              </w:rPr>
              <w:t>مسائل تقنية</w:t>
            </w:r>
          </w:p>
        </w:tc>
        <w:tc>
          <w:tcPr>
            <w:tcW w:w="5913" w:type="dxa"/>
            <w:shd w:val="clear" w:color="auto" w:fill="auto"/>
            <w:tcMar>
              <w:left w:w="72" w:type="dxa"/>
              <w:right w:w="72" w:type="dxa"/>
            </w:tcMar>
          </w:tcPr>
          <w:p w14:paraId="2E8F3A23" w14:textId="5BD910DE" w:rsidR="000B2CF3" w:rsidRPr="00F0448E" w:rsidRDefault="00437069" w:rsidP="00E3367B">
            <w:pPr>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بالتأخير الناجم عن تسليم المعدات وحث حكومة الأرجنتين على العمل مع اليونيدو بحيث يتسنى تقديم الشريحة الثانية (2024) من مشروع ضبط انبعاثات الهيدروفلوروكربون-23 المتولدة عن إنتاج الهيدروكلوروفلوروكربون-22 في منشأة فريو إندوسترياس أرجنتينا إلى الاجتماع الخامس والتسعين.</w:t>
            </w:r>
          </w:p>
        </w:tc>
      </w:tr>
      <w:tr w:rsidR="00FC3112" w:rsidRPr="00F0448E" w14:paraId="6A86C397" w14:textId="77777777" w:rsidTr="002F7551">
        <w:trPr>
          <w:trHeight w:val="640"/>
        </w:trPr>
        <w:tc>
          <w:tcPr>
            <w:tcW w:w="1972" w:type="dxa"/>
            <w:vMerge w:val="restart"/>
            <w:tcMar>
              <w:left w:w="72" w:type="dxa"/>
              <w:right w:w="72" w:type="dxa"/>
            </w:tcMar>
          </w:tcPr>
          <w:p w14:paraId="478E2F50" w14:textId="13A95E67" w:rsidR="00863B08" w:rsidRPr="00F0448E" w:rsidRDefault="00F074DA" w:rsidP="00E3367B">
            <w:pPr>
              <w:bidi/>
              <w:spacing w:before="40" w:after="40"/>
              <w:ind w:right="-131"/>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البحرين</w:t>
            </w:r>
            <w:r w:rsidR="00863B08" w:rsidRPr="00F0448E">
              <w:rPr>
                <w:rFonts w:asciiTheme="majorBidi" w:hAnsiTheme="majorBidi" w:cstheme="majorBidi"/>
                <w:sz w:val="20"/>
                <w:szCs w:val="20"/>
                <w:lang w:eastAsia="en-CA" w:bidi="ar-LB"/>
              </w:rPr>
              <w:t xml:space="preserve"> </w:t>
            </w:r>
          </w:p>
          <w:p w14:paraId="348139FE" w14:textId="4BE76ED4" w:rsidR="00863B08" w:rsidRPr="00F0448E" w:rsidRDefault="009F5EC9" w:rsidP="00E3367B">
            <w:pPr>
              <w:bidi/>
              <w:spacing w:before="40" w:after="40"/>
              <w:ind w:right="-131"/>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tcMar>
              <w:left w:w="72" w:type="dxa"/>
              <w:right w:w="72" w:type="dxa"/>
            </w:tcMar>
          </w:tcPr>
          <w:p w14:paraId="5C9A9692" w14:textId="0C1711AE" w:rsidR="00863B08" w:rsidRPr="00F0448E" w:rsidRDefault="00F1413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bidi="ar-LB"/>
              </w:rPr>
              <w:t>اليونيب</w:t>
            </w:r>
          </w:p>
        </w:tc>
        <w:tc>
          <w:tcPr>
            <w:tcW w:w="879" w:type="dxa"/>
            <w:tcMar>
              <w:left w:w="72" w:type="dxa"/>
              <w:right w:w="72" w:type="dxa"/>
            </w:tcMar>
          </w:tcPr>
          <w:p w14:paraId="318F3BF4" w14:textId="60BFFD73" w:rsidR="00863B08"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5EFBBC1B" w14:textId="2ABC6A0A" w:rsidR="00863B08"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62,150</w:t>
            </w:r>
          </w:p>
        </w:tc>
        <w:tc>
          <w:tcPr>
            <w:tcW w:w="3402" w:type="dxa"/>
            <w:tcMar>
              <w:left w:w="72" w:type="dxa"/>
              <w:right w:w="72" w:type="dxa"/>
            </w:tcMar>
          </w:tcPr>
          <w:p w14:paraId="7A6C480C" w14:textId="79E0553D" w:rsidR="00863B08" w:rsidRPr="00F0448E" w:rsidRDefault="00E27EBB" w:rsidP="00E3367B">
            <w:pPr>
              <w:bidi/>
              <w:spacing w:before="40" w:after="40"/>
              <w:jc w:val="left"/>
              <w:rPr>
                <w:rFonts w:asciiTheme="majorBidi" w:hAnsiTheme="majorBidi" w:cstheme="majorBidi"/>
                <w:sz w:val="20"/>
                <w:szCs w:val="20"/>
                <w:lang w:bidi="ar-LB"/>
              </w:rPr>
            </w:pPr>
            <w:r w:rsidRPr="00F0448E">
              <w:rPr>
                <w:rFonts w:asciiTheme="majorBidi" w:hAnsiTheme="majorBidi"/>
                <w:sz w:val="20"/>
                <w:szCs w:val="20"/>
                <w:rtl/>
                <w:lang w:bidi="ar-LB"/>
              </w:rPr>
              <w:t>عتبة صرف 20 في المائة/أموال كافية من الشريحة السابقة الموافق عليها</w:t>
            </w:r>
            <w:r w:rsidR="00863B08" w:rsidRPr="00F0448E">
              <w:rPr>
                <w:rFonts w:asciiTheme="majorBidi" w:hAnsiTheme="majorBidi" w:cstheme="majorBidi"/>
                <w:sz w:val="20"/>
                <w:szCs w:val="20"/>
                <w:lang w:bidi="ar-LB"/>
              </w:rPr>
              <w:t xml:space="preserve"> </w:t>
            </w:r>
          </w:p>
        </w:tc>
        <w:tc>
          <w:tcPr>
            <w:tcW w:w="5913" w:type="dxa"/>
            <w:vMerge w:val="restart"/>
            <w:shd w:val="clear" w:color="auto" w:fill="auto"/>
            <w:tcMar>
              <w:left w:w="72" w:type="dxa"/>
              <w:right w:w="72" w:type="dxa"/>
            </w:tcMar>
          </w:tcPr>
          <w:p w14:paraId="2714F84F" w14:textId="38779CD4" w:rsidR="002722EF" w:rsidRPr="00F0448E" w:rsidRDefault="002722EF" w:rsidP="00E3367B">
            <w:pPr>
              <w:keepNext/>
              <w:bidi/>
              <w:spacing w:before="40" w:after="40"/>
              <w:rPr>
                <w:rFonts w:asciiTheme="majorBidi" w:hAnsiTheme="majorBidi"/>
                <w:sz w:val="20"/>
                <w:szCs w:val="20"/>
                <w:lang w:val="en-US" w:bidi="ar-LB"/>
              </w:rPr>
            </w:pPr>
            <w:r w:rsidRPr="00F0448E">
              <w:rPr>
                <w:rFonts w:asciiTheme="majorBidi" w:hAnsiTheme="majorBidi"/>
                <w:sz w:val="20"/>
                <w:szCs w:val="20"/>
                <w:rtl/>
                <w:lang w:val="en-US" w:bidi="ar-LB"/>
              </w:rPr>
              <w:t>الإحاطة علماً بأن معدل الصرف الإجمالي للشريحة الثانية (2023) من المرحلة الثانية من خطة إدارة إزالة المواد الهيدروكلوروفلوروكربونية كان دون عتبة الصرف البالغة 20 في المائة، وحث حكومة البحرين على العمل مع اليونيب واليونيدو بحيث يتسنى تقديم الشريحة الثالثة (2024) من المرحلة الثانية من خطة إدارة إزالة المواد الهيدروكلوروفلوروكربونية إلى الاجتماع الخامس والتسعين، على أساس أن عتبة الصرف البالغة 20 في المائة لتمويل الشريحة السابقة قد تم تحقيقها.</w:t>
            </w:r>
          </w:p>
        </w:tc>
      </w:tr>
      <w:tr w:rsidR="00FC3112" w:rsidRPr="00F0448E" w14:paraId="39FE4068" w14:textId="77777777" w:rsidTr="002F7551">
        <w:tc>
          <w:tcPr>
            <w:tcW w:w="1972" w:type="dxa"/>
            <w:vMerge/>
            <w:tcMar>
              <w:left w:w="72" w:type="dxa"/>
              <w:right w:w="72" w:type="dxa"/>
            </w:tcMar>
          </w:tcPr>
          <w:p w14:paraId="4F32E41E" w14:textId="77777777" w:rsidR="00863B08" w:rsidRPr="00F0448E" w:rsidRDefault="00863B08" w:rsidP="00E3367B">
            <w:pPr>
              <w:bidi/>
              <w:spacing w:before="40" w:after="40"/>
              <w:ind w:right="-131"/>
              <w:jc w:val="left"/>
              <w:rPr>
                <w:rFonts w:asciiTheme="majorBidi" w:hAnsiTheme="majorBidi" w:cstheme="majorBidi"/>
                <w:sz w:val="20"/>
                <w:szCs w:val="20"/>
                <w:lang w:eastAsia="en-CA" w:bidi="ar-LB"/>
              </w:rPr>
            </w:pPr>
          </w:p>
        </w:tc>
        <w:tc>
          <w:tcPr>
            <w:tcW w:w="858" w:type="dxa"/>
            <w:tcMar>
              <w:left w:w="72" w:type="dxa"/>
              <w:right w:w="72" w:type="dxa"/>
            </w:tcMar>
          </w:tcPr>
          <w:p w14:paraId="6E663653" w14:textId="3024BC8F" w:rsidR="00863B08" w:rsidRPr="00F0448E" w:rsidRDefault="00F1413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bidi="ar-LB"/>
              </w:rPr>
              <w:t>اليونيدو</w:t>
            </w:r>
          </w:p>
        </w:tc>
        <w:tc>
          <w:tcPr>
            <w:tcW w:w="879" w:type="dxa"/>
            <w:tcMar>
              <w:left w:w="72" w:type="dxa"/>
              <w:right w:w="72" w:type="dxa"/>
            </w:tcMar>
          </w:tcPr>
          <w:p w14:paraId="623F0FC7" w14:textId="3729EC62" w:rsidR="00863B08"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284D286D" w14:textId="79E2A947" w:rsidR="00863B08"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22,470</w:t>
            </w:r>
          </w:p>
        </w:tc>
        <w:tc>
          <w:tcPr>
            <w:tcW w:w="3402" w:type="dxa"/>
            <w:tcMar>
              <w:left w:w="72" w:type="dxa"/>
              <w:right w:w="72" w:type="dxa"/>
            </w:tcMar>
          </w:tcPr>
          <w:p w14:paraId="33149CFD" w14:textId="45ECA5CB" w:rsidR="00E27EBB" w:rsidRPr="00F0448E" w:rsidRDefault="00E27EBB" w:rsidP="00E3367B">
            <w:pPr>
              <w:bidi/>
              <w:spacing w:before="40" w:after="40"/>
              <w:jc w:val="left"/>
              <w:rPr>
                <w:rFonts w:asciiTheme="majorBidi" w:hAnsiTheme="majorBidi" w:cstheme="majorBidi"/>
                <w:sz w:val="20"/>
                <w:szCs w:val="20"/>
                <w:lang w:bidi="ar-LB"/>
              </w:rPr>
            </w:pPr>
            <w:r w:rsidRPr="00F0448E">
              <w:rPr>
                <w:rFonts w:asciiTheme="majorBidi" w:hAnsiTheme="majorBidi"/>
                <w:sz w:val="20"/>
                <w:szCs w:val="20"/>
                <w:rtl/>
                <w:lang w:bidi="ar-LB"/>
              </w:rPr>
              <w:t>عتبة صرف 20 في المائة</w:t>
            </w:r>
          </w:p>
        </w:tc>
        <w:tc>
          <w:tcPr>
            <w:tcW w:w="5913" w:type="dxa"/>
            <w:vMerge/>
            <w:shd w:val="clear" w:color="auto" w:fill="auto"/>
            <w:tcMar>
              <w:left w:w="72" w:type="dxa"/>
              <w:right w:w="72" w:type="dxa"/>
            </w:tcMar>
          </w:tcPr>
          <w:p w14:paraId="38D76303" w14:textId="77777777" w:rsidR="00863B08" w:rsidRPr="00F0448E" w:rsidRDefault="00863B08" w:rsidP="00E3367B">
            <w:pPr>
              <w:keepNext/>
              <w:bidi/>
              <w:spacing w:before="40" w:after="40"/>
              <w:rPr>
                <w:rFonts w:asciiTheme="majorBidi" w:hAnsiTheme="majorBidi"/>
                <w:sz w:val="20"/>
                <w:szCs w:val="20"/>
                <w:lang w:val="en-US" w:bidi="ar-LB"/>
              </w:rPr>
            </w:pPr>
          </w:p>
        </w:tc>
      </w:tr>
      <w:tr w:rsidR="00FC3112" w:rsidRPr="00F0448E" w14:paraId="4C0A148F" w14:textId="77777777" w:rsidTr="002F7551">
        <w:trPr>
          <w:trHeight w:val="319"/>
        </w:trPr>
        <w:tc>
          <w:tcPr>
            <w:tcW w:w="1972" w:type="dxa"/>
            <w:vMerge w:val="restart"/>
            <w:tcMar>
              <w:left w:w="72" w:type="dxa"/>
              <w:right w:w="72" w:type="dxa"/>
            </w:tcMar>
          </w:tcPr>
          <w:p w14:paraId="4F0A7057" w14:textId="663039B2" w:rsidR="001363E1" w:rsidRPr="00F0448E" w:rsidRDefault="00F074DA" w:rsidP="00E3367B">
            <w:pPr>
              <w:bidi/>
              <w:spacing w:before="40" w:after="40"/>
              <w:ind w:right="-131"/>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بوتسوانا</w:t>
            </w:r>
            <w:r w:rsidR="001363E1" w:rsidRPr="00F0448E">
              <w:rPr>
                <w:rFonts w:asciiTheme="majorBidi" w:hAnsiTheme="majorBidi" w:cstheme="majorBidi"/>
                <w:sz w:val="20"/>
                <w:szCs w:val="20"/>
                <w:lang w:eastAsia="en-CA" w:bidi="ar-LB"/>
              </w:rPr>
              <w:t xml:space="preserve"> </w:t>
            </w:r>
          </w:p>
          <w:p w14:paraId="5E849671" w14:textId="1EE28872" w:rsidR="001363E1" w:rsidRPr="00F0448E" w:rsidRDefault="009F5EC9" w:rsidP="00E3367B">
            <w:pPr>
              <w:bidi/>
              <w:spacing w:before="40" w:after="40"/>
              <w:ind w:right="-131"/>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tcMar>
              <w:left w:w="72" w:type="dxa"/>
              <w:right w:w="72" w:type="dxa"/>
            </w:tcMar>
          </w:tcPr>
          <w:p w14:paraId="1F8C48EA" w14:textId="6F334E22" w:rsidR="001363E1" w:rsidRPr="00F0448E" w:rsidRDefault="00F1413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اليونيب</w:t>
            </w:r>
          </w:p>
        </w:tc>
        <w:tc>
          <w:tcPr>
            <w:tcW w:w="879" w:type="dxa"/>
            <w:tcMar>
              <w:left w:w="72" w:type="dxa"/>
              <w:right w:w="72" w:type="dxa"/>
            </w:tcMar>
          </w:tcPr>
          <w:p w14:paraId="63D60702" w14:textId="7C2F0747" w:rsidR="001363E1"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2023</w:t>
            </w:r>
          </w:p>
        </w:tc>
        <w:tc>
          <w:tcPr>
            <w:tcW w:w="1275" w:type="dxa"/>
            <w:tcMar>
              <w:left w:w="72" w:type="dxa"/>
              <w:right w:w="72" w:type="dxa"/>
            </w:tcMar>
          </w:tcPr>
          <w:p w14:paraId="24D7B4F0" w14:textId="7A328BE1" w:rsidR="001363E1"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216,683</w:t>
            </w:r>
          </w:p>
        </w:tc>
        <w:tc>
          <w:tcPr>
            <w:tcW w:w="3402" w:type="dxa"/>
            <w:tcMar>
              <w:left w:w="72" w:type="dxa"/>
              <w:right w:w="72" w:type="dxa"/>
            </w:tcMar>
          </w:tcPr>
          <w:p w14:paraId="02453388" w14:textId="27324BCC" w:rsidR="00E27EBB" w:rsidRPr="00F0448E" w:rsidRDefault="00E27EBB" w:rsidP="00E3367B">
            <w:pPr>
              <w:bidi/>
              <w:spacing w:before="40" w:after="40"/>
              <w:jc w:val="left"/>
              <w:rPr>
                <w:rFonts w:asciiTheme="majorBidi" w:hAnsiTheme="majorBidi" w:cstheme="majorBidi"/>
                <w:sz w:val="20"/>
                <w:szCs w:val="20"/>
                <w:lang w:val="en-US" w:bidi="ar-LB"/>
              </w:rPr>
            </w:pPr>
            <w:r w:rsidRPr="00F0448E">
              <w:rPr>
                <w:rFonts w:asciiTheme="majorBidi" w:hAnsiTheme="majorBidi"/>
                <w:sz w:val="20"/>
                <w:szCs w:val="20"/>
                <w:rtl/>
                <w:lang w:val="en-US" w:bidi="ar-LB"/>
              </w:rPr>
              <w:t>القرارات الحكومية/موافقاتها/التغييرات في وحدة الأوزون الوطنية</w:t>
            </w:r>
          </w:p>
        </w:tc>
        <w:tc>
          <w:tcPr>
            <w:tcW w:w="5913" w:type="dxa"/>
            <w:vMerge w:val="restart"/>
            <w:shd w:val="clear" w:color="auto" w:fill="auto"/>
            <w:tcMar>
              <w:left w:w="72" w:type="dxa"/>
              <w:right w:w="72" w:type="dxa"/>
            </w:tcMar>
          </w:tcPr>
          <w:p w14:paraId="33D6A1CD" w14:textId="2D7AED8E" w:rsidR="003E6522" w:rsidRPr="00F0448E" w:rsidRDefault="003E6522" w:rsidP="00E3367B">
            <w:pPr>
              <w:keepNext/>
              <w:bidi/>
              <w:spacing w:before="40" w:after="40"/>
              <w:rPr>
                <w:rFonts w:asciiTheme="majorBidi" w:hAnsiTheme="majorBidi"/>
                <w:sz w:val="20"/>
                <w:szCs w:val="20"/>
                <w:lang w:val="en-US" w:bidi="ar-LB"/>
              </w:rPr>
            </w:pPr>
            <w:r w:rsidRPr="00F0448E">
              <w:rPr>
                <w:rFonts w:asciiTheme="majorBidi" w:hAnsiTheme="majorBidi"/>
                <w:sz w:val="20"/>
                <w:szCs w:val="20"/>
                <w:rtl/>
                <w:lang w:val="en-US" w:bidi="ar-LB"/>
              </w:rPr>
              <w:t>الإحاطة علماً بالتأخيرات الناجمة عن التغييرات في وحدة الأوزون الوطنية، وحث حكومة بوتسوانا على العمل مع اليونيب واليونيدو بحيث يتسنى تقديم الشريحة الثانية (2023) من المرحلة الثانية من خطة إدارة إزالة المواد الهيدروكلوروفلوروكربونية إلى الاجتماع الخامس والتسعين مع خطة عمل منقحة تأخذ في عين الاعتبار إعادة تخصيص شرائح 2023 والشرائح اللاحقة.</w:t>
            </w:r>
          </w:p>
        </w:tc>
      </w:tr>
      <w:tr w:rsidR="00FC3112" w:rsidRPr="00F0448E" w14:paraId="49A8D701" w14:textId="77777777" w:rsidTr="002F7551">
        <w:trPr>
          <w:trHeight w:val="553"/>
        </w:trPr>
        <w:tc>
          <w:tcPr>
            <w:tcW w:w="1972" w:type="dxa"/>
            <w:vMerge/>
            <w:tcMar>
              <w:left w:w="72" w:type="dxa"/>
              <w:right w:w="72" w:type="dxa"/>
            </w:tcMar>
          </w:tcPr>
          <w:p w14:paraId="39C38FAF" w14:textId="77777777" w:rsidR="001363E1" w:rsidRPr="00F0448E" w:rsidRDefault="001363E1" w:rsidP="00E3367B">
            <w:pPr>
              <w:bidi/>
              <w:spacing w:before="40" w:after="40"/>
              <w:ind w:right="-131"/>
              <w:jc w:val="left"/>
              <w:rPr>
                <w:rFonts w:asciiTheme="majorBidi" w:hAnsiTheme="majorBidi" w:cstheme="majorBidi"/>
                <w:sz w:val="20"/>
                <w:szCs w:val="20"/>
                <w:lang w:eastAsia="en-CA" w:bidi="ar-LB"/>
              </w:rPr>
            </w:pPr>
          </w:p>
        </w:tc>
        <w:tc>
          <w:tcPr>
            <w:tcW w:w="858" w:type="dxa"/>
            <w:tcMar>
              <w:left w:w="72" w:type="dxa"/>
              <w:right w:w="72" w:type="dxa"/>
            </w:tcMar>
          </w:tcPr>
          <w:p w14:paraId="1E6C0F55" w14:textId="387F8F96" w:rsidR="001363E1" w:rsidRPr="00F0448E" w:rsidRDefault="00F1413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اليونيدو</w:t>
            </w:r>
          </w:p>
        </w:tc>
        <w:tc>
          <w:tcPr>
            <w:tcW w:w="879" w:type="dxa"/>
            <w:tcMar>
              <w:left w:w="72" w:type="dxa"/>
              <w:right w:w="72" w:type="dxa"/>
            </w:tcMar>
          </w:tcPr>
          <w:p w14:paraId="3294F2CB" w14:textId="6DA82119" w:rsidR="001363E1"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2023</w:t>
            </w:r>
          </w:p>
        </w:tc>
        <w:tc>
          <w:tcPr>
            <w:tcW w:w="1275" w:type="dxa"/>
            <w:tcMar>
              <w:left w:w="72" w:type="dxa"/>
              <w:right w:w="72" w:type="dxa"/>
            </w:tcMar>
          </w:tcPr>
          <w:p w14:paraId="17331118" w14:textId="1765DDB0" w:rsidR="001363E1"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160,500</w:t>
            </w:r>
          </w:p>
        </w:tc>
        <w:tc>
          <w:tcPr>
            <w:tcW w:w="3402" w:type="dxa"/>
            <w:tcMar>
              <w:left w:w="72" w:type="dxa"/>
              <w:right w:w="72" w:type="dxa"/>
            </w:tcMar>
          </w:tcPr>
          <w:p w14:paraId="1D2373CD" w14:textId="2196B8FE" w:rsidR="00E27EBB" w:rsidRPr="00F0448E" w:rsidRDefault="00E27EBB" w:rsidP="00E3367B">
            <w:pPr>
              <w:bidi/>
              <w:spacing w:before="40" w:after="40"/>
              <w:jc w:val="left"/>
              <w:rPr>
                <w:rFonts w:asciiTheme="majorBidi" w:hAnsiTheme="majorBidi" w:cstheme="majorBidi"/>
                <w:sz w:val="20"/>
                <w:szCs w:val="20"/>
                <w:lang w:val="en-US" w:bidi="ar-LB"/>
              </w:rPr>
            </w:pPr>
            <w:r w:rsidRPr="00F0448E">
              <w:rPr>
                <w:rFonts w:asciiTheme="majorBidi" w:hAnsiTheme="majorBidi"/>
                <w:sz w:val="20"/>
                <w:szCs w:val="20"/>
                <w:rtl/>
                <w:lang w:val="en-US" w:bidi="ar-LB"/>
              </w:rPr>
              <w:t>القرارات الحكومية/موافقاتها/التغييرات في وحدة الأوزون الوطنية/عتبة صرف 20 في المائة</w:t>
            </w:r>
          </w:p>
        </w:tc>
        <w:tc>
          <w:tcPr>
            <w:tcW w:w="5913" w:type="dxa"/>
            <w:vMerge/>
            <w:shd w:val="clear" w:color="auto" w:fill="auto"/>
            <w:tcMar>
              <w:left w:w="72" w:type="dxa"/>
              <w:right w:w="72" w:type="dxa"/>
            </w:tcMar>
          </w:tcPr>
          <w:p w14:paraId="741E4E25" w14:textId="77777777" w:rsidR="001363E1" w:rsidRPr="00F0448E" w:rsidRDefault="001363E1" w:rsidP="00E3367B">
            <w:pPr>
              <w:bidi/>
              <w:spacing w:before="40" w:after="40"/>
              <w:ind w:right="-84"/>
              <w:jc w:val="left"/>
              <w:rPr>
                <w:rFonts w:asciiTheme="majorBidi" w:hAnsiTheme="majorBidi" w:cstheme="majorBidi"/>
                <w:sz w:val="20"/>
                <w:szCs w:val="20"/>
                <w:lang w:bidi="ar-LB"/>
              </w:rPr>
            </w:pPr>
          </w:p>
        </w:tc>
      </w:tr>
      <w:tr w:rsidR="00FC3112" w:rsidRPr="00F0448E" w14:paraId="1A4F7004" w14:textId="77777777" w:rsidTr="002F7551">
        <w:trPr>
          <w:trHeight w:val="704"/>
        </w:trPr>
        <w:tc>
          <w:tcPr>
            <w:tcW w:w="1972" w:type="dxa"/>
            <w:vMerge w:val="restart"/>
            <w:tcMar>
              <w:left w:w="72" w:type="dxa"/>
              <w:right w:w="72" w:type="dxa"/>
            </w:tcMar>
          </w:tcPr>
          <w:p w14:paraId="49ACA121" w14:textId="6F2E1725" w:rsidR="001C7602" w:rsidRPr="00F0448E" w:rsidRDefault="00F074DA"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lastRenderedPageBreak/>
              <w:t>جمهورية الكونغو الديمقراطية</w:t>
            </w:r>
          </w:p>
          <w:p w14:paraId="6D4D1B0D" w14:textId="39F961C7" w:rsidR="001C7602" w:rsidRPr="00F0448E" w:rsidRDefault="009F5EC9"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tcMar>
              <w:left w:w="72" w:type="dxa"/>
              <w:right w:w="72" w:type="dxa"/>
            </w:tcMar>
          </w:tcPr>
          <w:p w14:paraId="4213ABD2" w14:textId="7E0CBE67" w:rsidR="001C7602" w:rsidRPr="00F0448E" w:rsidRDefault="00F1413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bidi="ar-LB"/>
              </w:rPr>
              <w:t>اليونيب</w:t>
            </w:r>
            <w:r w:rsidR="001B320A" w:rsidRPr="00F0448E">
              <w:rPr>
                <w:rFonts w:asciiTheme="majorBidi" w:hAnsiTheme="majorBidi" w:cstheme="majorBidi"/>
                <w:sz w:val="20"/>
                <w:szCs w:val="20"/>
                <w:lang w:bidi="ar-LB"/>
              </w:rPr>
              <w:t xml:space="preserve"> </w:t>
            </w:r>
          </w:p>
        </w:tc>
        <w:tc>
          <w:tcPr>
            <w:tcW w:w="879" w:type="dxa"/>
            <w:tcMar>
              <w:left w:w="72" w:type="dxa"/>
              <w:right w:w="72" w:type="dxa"/>
            </w:tcMar>
          </w:tcPr>
          <w:p w14:paraId="07B378ED" w14:textId="35ADA44E" w:rsidR="001C7602"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0B32C337" w14:textId="27990155" w:rsidR="001C7602"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180,267</w:t>
            </w:r>
          </w:p>
        </w:tc>
        <w:tc>
          <w:tcPr>
            <w:tcW w:w="3402" w:type="dxa"/>
            <w:tcMar>
              <w:left w:w="72" w:type="dxa"/>
              <w:right w:w="72" w:type="dxa"/>
            </w:tcMar>
          </w:tcPr>
          <w:p w14:paraId="3577C16A" w14:textId="54954295" w:rsidR="00E27EBB" w:rsidRPr="00F0448E" w:rsidRDefault="00E27EBB" w:rsidP="00E3367B">
            <w:pPr>
              <w:widowControl w:val="0"/>
              <w:bidi/>
              <w:spacing w:before="40" w:after="40"/>
              <w:jc w:val="left"/>
              <w:rPr>
                <w:rFonts w:asciiTheme="majorBidi" w:hAnsiTheme="majorBidi" w:cstheme="majorBidi"/>
                <w:sz w:val="20"/>
                <w:szCs w:val="20"/>
                <w:lang w:val="en-US" w:bidi="ar-LB"/>
              </w:rPr>
            </w:pPr>
            <w:r w:rsidRPr="00F0448E">
              <w:rPr>
                <w:rFonts w:asciiTheme="majorBidi" w:hAnsiTheme="majorBidi"/>
                <w:sz w:val="20"/>
                <w:szCs w:val="20"/>
                <w:rtl/>
                <w:lang w:val="en-US" w:bidi="ar-LB"/>
              </w:rPr>
              <w:t>عتبة صرف 20 في المائة/ أموال كافية من الشريحة السابقة الموافق عليها</w:t>
            </w:r>
          </w:p>
        </w:tc>
        <w:tc>
          <w:tcPr>
            <w:tcW w:w="5913" w:type="dxa"/>
            <w:vMerge w:val="restart"/>
            <w:tcMar>
              <w:left w:w="72" w:type="dxa"/>
              <w:right w:w="72" w:type="dxa"/>
            </w:tcMar>
          </w:tcPr>
          <w:p w14:paraId="4E43CE55" w14:textId="09A02D66" w:rsidR="003E6522" w:rsidRPr="00F0448E" w:rsidRDefault="003E6522" w:rsidP="00E3367B">
            <w:pPr>
              <w:keepNext/>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بأن معدل الصرف الإجمالي للشريحة الأولى (2021) من المرحلة الثانية من خطة إدارة إزالة المواد الهيدروكلوروفلوروكربونية كان دون عتبة الصرف البالغة 20 في المائة، وحث حكومة جمهورية الكونغو الديمقراطية على العمل مع اليونيب واليوئنديبي بحيث يتسنى تقديم الشريحة الثانية (2024) من المرحلة الثانية من خطة إدارة إزالة المواد الهيدروكلوروفلوروكربونية إلى الاجتماع الخامس والتسعين، على أساس أن عتبة الصرف البالغة 20 في المائة لتمويل الشريحة السابقة قد تم تحقيقها.</w:t>
            </w:r>
          </w:p>
        </w:tc>
      </w:tr>
      <w:tr w:rsidR="00FC3112" w:rsidRPr="00F0448E" w14:paraId="4653707C" w14:textId="77777777" w:rsidTr="002F7551">
        <w:trPr>
          <w:trHeight w:val="698"/>
        </w:trPr>
        <w:tc>
          <w:tcPr>
            <w:tcW w:w="1972" w:type="dxa"/>
            <w:vMerge/>
            <w:tcMar>
              <w:left w:w="72" w:type="dxa"/>
              <w:right w:w="72" w:type="dxa"/>
            </w:tcMar>
          </w:tcPr>
          <w:p w14:paraId="74891AD3" w14:textId="77777777" w:rsidR="001C7602" w:rsidRPr="00F0448E" w:rsidRDefault="001C7602" w:rsidP="00E3367B">
            <w:pPr>
              <w:widowControl w:val="0"/>
              <w:bidi/>
              <w:spacing w:before="40" w:after="40"/>
              <w:jc w:val="left"/>
              <w:rPr>
                <w:rFonts w:asciiTheme="majorBidi" w:hAnsiTheme="majorBidi" w:cstheme="majorBidi"/>
                <w:sz w:val="20"/>
                <w:szCs w:val="20"/>
                <w:lang w:eastAsia="en-CA" w:bidi="ar-LB"/>
              </w:rPr>
            </w:pPr>
          </w:p>
        </w:tc>
        <w:tc>
          <w:tcPr>
            <w:tcW w:w="858" w:type="dxa"/>
            <w:tcMar>
              <w:left w:w="72" w:type="dxa"/>
              <w:right w:w="72" w:type="dxa"/>
            </w:tcMar>
          </w:tcPr>
          <w:p w14:paraId="4AD6F488" w14:textId="7932095D" w:rsidR="001C7602" w:rsidRPr="00F0448E" w:rsidRDefault="00E065A0"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bidi="ar-LB"/>
              </w:rPr>
              <w:t>اليوئنديبي</w:t>
            </w:r>
          </w:p>
        </w:tc>
        <w:tc>
          <w:tcPr>
            <w:tcW w:w="879" w:type="dxa"/>
            <w:tcMar>
              <w:left w:w="72" w:type="dxa"/>
              <w:right w:w="72" w:type="dxa"/>
            </w:tcMar>
          </w:tcPr>
          <w:p w14:paraId="336FE431" w14:textId="66D528B4" w:rsidR="001C7602" w:rsidRPr="00F0448E" w:rsidRDefault="009F5EC9" w:rsidP="00E3367B">
            <w:pPr>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6691FD05" w14:textId="7A84CAF3" w:rsidR="001C7602"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225,235</w:t>
            </w:r>
          </w:p>
        </w:tc>
        <w:tc>
          <w:tcPr>
            <w:tcW w:w="3402" w:type="dxa"/>
            <w:tcMar>
              <w:left w:w="72" w:type="dxa"/>
              <w:right w:w="72" w:type="dxa"/>
            </w:tcMar>
          </w:tcPr>
          <w:p w14:paraId="09A4A520" w14:textId="6190C0BC" w:rsidR="00E27EBB" w:rsidRPr="00F0448E" w:rsidRDefault="00E27EBB" w:rsidP="00E3367B">
            <w:pPr>
              <w:widowControl w:val="0"/>
              <w:bidi/>
              <w:spacing w:before="40" w:after="40"/>
              <w:jc w:val="left"/>
              <w:rPr>
                <w:rFonts w:asciiTheme="majorBidi" w:hAnsiTheme="majorBidi" w:cstheme="majorBidi"/>
                <w:sz w:val="20"/>
                <w:szCs w:val="20"/>
                <w:rtl/>
                <w:lang w:eastAsia="en-CA" w:bidi="ar-LB"/>
              </w:rPr>
            </w:pPr>
            <w:r w:rsidRPr="00F0448E">
              <w:rPr>
                <w:rFonts w:asciiTheme="majorBidi" w:hAnsiTheme="majorBidi"/>
                <w:sz w:val="20"/>
                <w:szCs w:val="20"/>
                <w:rtl/>
                <w:lang w:eastAsia="en-CA" w:bidi="ar-LB"/>
              </w:rPr>
              <w:t>عتبة صرف 20 في المائة</w:t>
            </w:r>
          </w:p>
        </w:tc>
        <w:tc>
          <w:tcPr>
            <w:tcW w:w="5913" w:type="dxa"/>
            <w:vMerge/>
            <w:tcMar>
              <w:left w:w="72" w:type="dxa"/>
              <w:right w:w="72" w:type="dxa"/>
            </w:tcMar>
          </w:tcPr>
          <w:p w14:paraId="0C5F7D37" w14:textId="77777777" w:rsidR="001C7602" w:rsidRPr="00F0448E" w:rsidRDefault="001C7602" w:rsidP="00E3367B">
            <w:pPr>
              <w:widowControl w:val="0"/>
              <w:bidi/>
              <w:spacing w:before="40" w:after="40"/>
              <w:jc w:val="left"/>
              <w:rPr>
                <w:rFonts w:asciiTheme="majorBidi" w:hAnsiTheme="majorBidi" w:cstheme="majorBidi"/>
                <w:sz w:val="20"/>
                <w:szCs w:val="20"/>
                <w:lang w:bidi="ar-LB"/>
              </w:rPr>
            </w:pPr>
          </w:p>
        </w:tc>
      </w:tr>
      <w:tr w:rsidR="00FC3112" w:rsidRPr="00F0448E" w14:paraId="09AA76D2" w14:textId="77777777" w:rsidTr="002F7551">
        <w:tc>
          <w:tcPr>
            <w:tcW w:w="1972" w:type="dxa"/>
            <w:tcMar>
              <w:left w:w="72" w:type="dxa"/>
              <w:right w:w="72" w:type="dxa"/>
            </w:tcMar>
          </w:tcPr>
          <w:p w14:paraId="0A0F2628" w14:textId="41340995" w:rsidR="007457FD" w:rsidRPr="00F0448E" w:rsidRDefault="00F074DA"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دومينيكا</w:t>
            </w:r>
            <w:r w:rsidR="007457FD" w:rsidRPr="00F0448E">
              <w:rPr>
                <w:rFonts w:asciiTheme="majorBidi" w:hAnsiTheme="majorBidi" w:cstheme="majorBidi"/>
                <w:sz w:val="20"/>
                <w:szCs w:val="20"/>
                <w:lang w:eastAsia="en-CA" w:bidi="ar-LB"/>
              </w:rPr>
              <w:t xml:space="preserve"> </w:t>
            </w:r>
          </w:p>
          <w:p w14:paraId="02378F99" w14:textId="7F76AEC5" w:rsidR="007457FD" w:rsidRPr="00F0448E" w:rsidRDefault="009F5EC9"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الأولى)</w:t>
            </w:r>
          </w:p>
        </w:tc>
        <w:tc>
          <w:tcPr>
            <w:tcW w:w="858" w:type="dxa"/>
            <w:tcMar>
              <w:left w:w="72" w:type="dxa"/>
              <w:right w:w="72" w:type="dxa"/>
            </w:tcMar>
          </w:tcPr>
          <w:p w14:paraId="288C8380" w14:textId="50C9B49B" w:rsidR="007457FD" w:rsidRPr="00F0448E" w:rsidRDefault="00F1413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اليونيب</w:t>
            </w:r>
          </w:p>
        </w:tc>
        <w:tc>
          <w:tcPr>
            <w:tcW w:w="879" w:type="dxa"/>
            <w:tcMar>
              <w:left w:w="72" w:type="dxa"/>
              <w:right w:w="72" w:type="dxa"/>
            </w:tcMar>
          </w:tcPr>
          <w:p w14:paraId="319D91B5" w14:textId="2AC3A334" w:rsidR="007457FD"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2020</w:t>
            </w:r>
          </w:p>
        </w:tc>
        <w:tc>
          <w:tcPr>
            <w:tcW w:w="1275" w:type="dxa"/>
            <w:tcMar>
              <w:left w:w="72" w:type="dxa"/>
              <w:right w:w="72" w:type="dxa"/>
            </w:tcMar>
          </w:tcPr>
          <w:p w14:paraId="04EB8CD2" w14:textId="7949F8DC" w:rsidR="007457FD"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18,588</w:t>
            </w:r>
          </w:p>
        </w:tc>
        <w:tc>
          <w:tcPr>
            <w:tcW w:w="3402" w:type="dxa"/>
            <w:tcMar>
              <w:left w:w="72" w:type="dxa"/>
              <w:right w:w="72" w:type="dxa"/>
            </w:tcMar>
          </w:tcPr>
          <w:p w14:paraId="5B861361" w14:textId="6715DCD0" w:rsidR="007457FD" w:rsidRPr="00F0448E" w:rsidRDefault="002B0A46"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القرارات الحكومة/موافقاتها/التغييرات في وحدة الأوزون الوطنية/عدم وجود تقرير التحقق/تقديم التقارير المرحلية والمالية/صعوبات داخلية أو خارجية</w:t>
            </w:r>
          </w:p>
        </w:tc>
        <w:tc>
          <w:tcPr>
            <w:tcW w:w="5913" w:type="dxa"/>
            <w:tcMar>
              <w:left w:w="72" w:type="dxa"/>
              <w:right w:w="72" w:type="dxa"/>
            </w:tcMar>
          </w:tcPr>
          <w:p w14:paraId="41A247D4" w14:textId="35E4269A" w:rsidR="001B1D14" w:rsidRPr="00F0448E" w:rsidRDefault="001B1D14" w:rsidP="00E3367B">
            <w:pPr>
              <w:keepNext/>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بالتأخيرات الناجمة عن التغييرات في وحدة الأوزون الوطنية وعدم تقديم التقارير المرحلية والمالية، وعدم استكمال التحقق الإلزامي من أهداف استهلاك الهيدروكلوروفلوروكربون، وحث حكومة دومينيكا على تقديم التقارير المرحلية والمالية المطلوبة والعمل مع اليونيب لاستكمال عملية التحقق بحيث يتسنى تقديم الشريحة الثالثة (2020) من المرحلة الأولى من خطة إدارة إزالة المواد الهيدروكلوروفلوروكربونية إلى الاجتماع الخامس والتسعين مع خطة عمل منقحة تأخذ في عين الاعتبار إعادة تخصيص شريحة 2020.</w:t>
            </w:r>
          </w:p>
        </w:tc>
      </w:tr>
      <w:tr w:rsidR="00FC3112" w:rsidRPr="00F0448E" w14:paraId="02EEFBCF" w14:textId="77777777" w:rsidTr="002F7551">
        <w:trPr>
          <w:trHeight w:val="435"/>
        </w:trPr>
        <w:tc>
          <w:tcPr>
            <w:tcW w:w="1972" w:type="dxa"/>
            <w:vMerge w:val="restart"/>
            <w:tcMar>
              <w:left w:w="72" w:type="dxa"/>
              <w:right w:w="72" w:type="dxa"/>
            </w:tcMar>
          </w:tcPr>
          <w:p w14:paraId="4CCE2308" w14:textId="4491D8B1" w:rsidR="00866686" w:rsidRPr="00F0448E" w:rsidRDefault="00F074DA"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إثيوبيا</w:t>
            </w:r>
            <w:r w:rsidR="00866686" w:rsidRPr="00F0448E">
              <w:rPr>
                <w:rFonts w:asciiTheme="majorBidi" w:hAnsiTheme="majorBidi" w:cstheme="majorBidi"/>
                <w:sz w:val="20"/>
                <w:szCs w:val="20"/>
                <w:lang w:eastAsia="en-CA" w:bidi="ar-LB"/>
              </w:rPr>
              <w:t xml:space="preserve"> </w:t>
            </w:r>
          </w:p>
          <w:p w14:paraId="6B9D11DB" w14:textId="231A7FB7" w:rsidR="00866686" w:rsidRPr="00F0448E" w:rsidRDefault="009F5EC9"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tcMar>
              <w:left w:w="72" w:type="dxa"/>
              <w:right w:w="72" w:type="dxa"/>
            </w:tcMar>
          </w:tcPr>
          <w:p w14:paraId="03C2E7E9" w14:textId="78D21FAB" w:rsidR="00866686" w:rsidRPr="00F0448E" w:rsidRDefault="00F1413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bidi="ar-LB"/>
              </w:rPr>
              <w:t>اليونيب</w:t>
            </w:r>
          </w:p>
        </w:tc>
        <w:tc>
          <w:tcPr>
            <w:tcW w:w="879" w:type="dxa"/>
            <w:tcMar>
              <w:left w:w="72" w:type="dxa"/>
              <w:right w:w="72" w:type="dxa"/>
            </w:tcMar>
          </w:tcPr>
          <w:p w14:paraId="6747981B" w14:textId="581B236E" w:rsidR="00866686"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40A32212" w14:textId="7F1BDEF4" w:rsidR="00866686"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113,000</w:t>
            </w:r>
          </w:p>
        </w:tc>
        <w:tc>
          <w:tcPr>
            <w:tcW w:w="3402" w:type="dxa"/>
            <w:tcMar>
              <w:left w:w="72" w:type="dxa"/>
              <w:right w:w="72" w:type="dxa"/>
            </w:tcMar>
          </w:tcPr>
          <w:p w14:paraId="4D5ED359" w14:textId="0AD82B3F" w:rsidR="002B0A46" w:rsidRPr="00F0448E" w:rsidRDefault="002B0A46"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val="en-US" w:bidi="ar-LB"/>
              </w:rPr>
              <w:t>القرارات الحكومية/موافقاتها/التغييرات في وحدة الأوزون الوطنية</w:t>
            </w:r>
          </w:p>
        </w:tc>
        <w:tc>
          <w:tcPr>
            <w:tcW w:w="5913" w:type="dxa"/>
            <w:vMerge w:val="restart"/>
            <w:tcMar>
              <w:left w:w="72" w:type="dxa"/>
              <w:right w:w="72" w:type="dxa"/>
            </w:tcMar>
          </w:tcPr>
          <w:p w14:paraId="49DEC9C2" w14:textId="31E93326" w:rsidR="00CD3913" w:rsidRPr="00F0448E" w:rsidRDefault="00CD3913" w:rsidP="00E3367B">
            <w:pPr>
              <w:keepNext/>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بالتأخير في تنفيذ الأنشطة من قبل الحكومة، وحث حكومة إثيوبيا على العمل مع اليونيب واليونيدو بحيث يتسنى تقديم الشريحة الثانية (2024) من المرحلة الثانية من خطة إدارة إزالة المواد الهيدروكلوروفلوروكربونية إلى الاجتماع الخامس والتسعين.</w:t>
            </w:r>
          </w:p>
        </w:tc>
      </w:tr>
      <w:tr w:rsidR="00FC3112" w:rsidRPr="00F0448E" w14:paraId="78431FD7" w14:textId="77777777" w:rsidTr="002F7551">
        <w:trPr>
          <w:trHeight w:val="668"/>
        </w:trPr>
        <w:tc>
          <w:tcPr>
            <w:tcW w:w="1972" w:type="dxa"/>
            <w:vMerge/>
            <w:tcMar>
              <w:left w:w="72" w:type="dxa"/>
              <w:right w:w="72" w:type="dxa"/>
            </w:tcMar>
          </w:tcPr>
          <w:p w14:paraId="253EEFFE" w14:textId="77777777" w:rsidR="00866686" w:rsidRPr="00F0448E" w:rsidRDefault="00866686" w:rsidP="00E3367B">
            <w:pPr>
              <w:bidi/>
              <w:spacing w:before="40" w:after="40"/>
              <w:jc w:val="left"/>
              <w:rPr>
                <w:rFonts w:asciiTheme="majorBidi" w:hAnsiTheme="majorBidi" w:cstheme="majorBidi"/>
                <w:sz w:val="20"/>
                <w:szCs w:val="20"/>
                <w:lang w:eastAsia="en-CA" w:bidi="ar-LB"/>
              </w:rPr>
            </w:pPr>
          </w:p>
        </w:tc>
        <w:tc>
          <w:tcPr>
            <w:tcW w:w="858" w:type="dxa"/>
            <w:tcMar>
              <w:left w:w="72" w:type="dxa"/>
              <w:right w:w="72" w:type="dxa"/>
            </w:tcMar>
          </w:tcPr>
          <w:p w14:paraId="7A89BB2A" w14:textId="6FE1F0E2" w:rsidR="00866686" w:rsidRPr="00F0448E" w:rsidRDefault="00F1413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bidi="ar-LB"/>
              </w:rPr>
              <w:t>اليونيدو</w:t>
            </w:r>
          </w:p>
        </w:tc>
        <w:tc>
          <w:tcPr>
            <w:tcW w:w="879" w:type="dxa"/>
            <w:tcMar>
              <w:left w:w="72" w:type="dxa"/>
              <w:right w:w="72" w:type="dxa"/>
            </w:tcMar>
          </w:tcPr>
          <w:p w14:paraId="10DE2D93" w14:textId="68812F62" w:rsidR="00866686" w:rsidRPr="00F0448E" w:rsidRDefault="009F5EC9" w:rsidP="00E3367B">
            <w:pPr>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368728DC" w14:textId="3BE251D5" w:rsidR="00866686"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98,100</w:t>
            </w:r>
          </w:p>
        </w:tc>
        <w:tc>
          <w:tcPr>
            <w:tcW w:w="3402" w:type="dxa"/>
            <w:tcMar>
              <w:left w:w="72" w:type="dxa"/>
              <w:right w:w="72" w:type="dxa"/>
            </w:tcMar>
          </w:tcPr>
          <w:p w14:paraId="7A374C32" w14:textId="40D5ABC8" w:rsidR="002B0A46" w:rsidRPr="00F0448E" w:rsidRDefault="002B0A46" w:rsidP="00E3367B">
            <w:pPr>
              <w:bidi/>
              <w:spacing w:before="40" w:after="40"/>
              <w:jc w:val="left"/>
              <w:rPr>
                <w:rFonts w:asciiTheme="majorBidi" w:hAnsiTheme="majorBidi" w:cstheme="majorBidi"/>
                <w:sz w:val="20"/>
                <w:szCs w:val="20"/>
                <w:rtl/>
                <w:lang w:val="en-US" w:eastAsia="en-CA" w:bidi="ar-LB"/>
              </w:rPr>
            </w:pPr>
            <w:r w:rsidRPr="00F0448E">
              <w:rPr>
                <w:rFonts w:asciiTheme="majorBidi" w:hAnsiTheme="majorBidi"/>
                <w:sz w:val="20"/>
                <w:szCs w:val="20"/>
                <w:rtl/>
                <w:lang w:val="en-US" w:eastAsia="en-CA" w:bidi="ar-LB"/>
              </w:rPr>
              <w:t>القرارات الحكومية/موافقاتها/تغييرات في وحدة الأوزون الوطنية/عتبة صرف 20 في المائة</w:t>
            </w:r>
          </w:p>
        </w:tc>
        <w:tc>
          <w:tcPr>
            <w:tcW w:w="5913" w:type="dxa"/>
            <w:vMerge/>
            <w:tcMar>
              <w:left w:w="72" w:type="dxa"/>
              <w:right w:w="72" w:type="dxa"/>
            </w:tcMar>
          </w:tcPr>
          <w:p w14:paraId="367316EC" w14:textId="77777777" w:rsidR="00866686" w:rsidRPr="00F0448E" w:rsidRDefault="00866686" w:rsidP="00E3367B">
            <w:pPr>
              <w:bidi/>
              <w:spacing w:before="40" w:after="40"/>
              <w:jc w:val="left"/>
              <w:rPr>
                <w:rFonts w:asciiTheme="majorBidi" w:hAnsiTheme="majorBidi" w:cstheme="majorBidi"/>
                <w:sz w:val="20"/>
                <w:szCs w:val="20"/>
                <w:lang w:bidi="ar-LB"/>
              </w:rPr>
            </w:pPr>
          </w:p>
        </w:tc>
      </w:tr>
      <w:tr w:rsidR="00FC3112" w:rsidRPr="00F0448E" w14:paraId="1A4AB1F4" w14:textId="77777777" w:rsidTr="002F7551">
        <w:trPr>
          <w:trHeight w:val="539"/>
        </w:trPr>
        <w:tc>
          <w:tcPr>
            <w:tcW w:w="1972" w:type="dxa"/>
            <w:tcMar>
              <w:left w:w="72" w:type="dxa"/>
              <w:right w:w="72" w:type="dxa"/>
            </w:tcMar>
          </w:tcPr>
          <w:p w14:paraId="760E0392" w14:textId="7712F93A" w:rsidR="00EB6F45" w:rsidRPr="00F0448E" w:rsidRDefault="00F074DA"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جورجيا</w:t>
            </w:r>
            <w:r w:rsidR="00EB6F45" w:rsidRPr="00F0448E">
              <w:rPr>
                <w:rFonts w:asciiTheme="majorBidi" w:hAnsiTheme="majorBidi" w:cstheme="majorBidi"/>
                <w:sz w:val="20"/>
                <w:szCs w:val="20"/>
                <w:lang w:eastAsia="en-CA" w:bidi="ar-LB"/>
              </w:rPr>
              <w:t xml:space="preserve"> </w:t>
            </w:r>
          </w:p>
          <w:p w14:paraId="412F1F20" w14:textId="1973E35C" w:rsidR="00EB6F45" w:rsidRPr="00F0448E" w:rsidRDefault="009F5EC9"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tcMar>
              <w:left w:w="72" w:type="dxa"/>
              <w:right w:w="72" w:type="dxa"/>
            </w:tcMar>
          </w:tcPr>
          <w:p w14:paraId="0F93B78C" w14:textId="44DF0E96" w:rsidR="00EB6F45" w:rsidRPr="00F0448E" w:rsidRDefault="00E065A0" w:rsidP="00E3367B">
            <w:pPr>
              <w:bidi/>
              <w:spacing w:before="40" w:after="40"/>
              <w:jc w:val="left"/>
              <w:rPr>
                <w:rFonts w:asciiTheme="majorBidi" w:hAnsiTheme="majorBidi" w:cstheme="majorBidi"/>
                <w:sz w:val="20"/>
                <w:szCs w:val="20"/>
                <w:lang w:bidi="ar-LB"/>
              </w:rPr>
            </w:pPr>
            <w:r w:rsidRPr="00F0448E">
              <w:rPr>
                <w:rFonts w:asciiTheme="majorBidi" w:hAnsiTheme="majorBidi" w:cstheme="majorBidi"/>
                <w:sz w:val="20"/>
                <w:szCs w:val="20"/>
                <w:rtl/>
                <w:lang w:bidi="ar-LB"/>
              </w:rPr>
              <w:t>اليوئنديبي</w:t>
            </w:r>
          </w:p>
          <w:p w14:paraId="47C9E88A" w14:textId="77777777" w:rsidR="00EB6F45" w:rsidRPr="00F0448E" w:rsidRDefault="00EB6F45" w:rsidP="00E3367B">
            <w:pPr>
              <w:keepNext/>
              <w:bidi/>
              <w:spacing w:before="40" w:after="40"/>
              <w:jc w:val="left"/>
              <w:rPr>
                <w:rFonts w:asciiTheme="majorBidi" w:hAnsiTheme="majorBidi" w:cstheme="majorBidi"/>
                <w:sz w:val="20"/>
                <w:szCs w:val="20"/>
                <w:lang w:eastAsia="en-CA" w:bidi="ar-LB"/>
              </w:rPr>
            </w:pPr>
          </w:p>
        </w:tc>
        <w:tc>
          <w:tcPr>
            <w:tcW w:w="879" w:type="dxa"/>
            <w:tcMar>
              <w:left w:w="72" w:type="dxa"/>
              <w:right w:w="72" w:type="dxa"/>
            </w:tcMar>
          </w:tcPr>
          <w:p w14:paraId="27EACEC6" w14:textId="32537238" w:rsidR="00EB6F45"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760B5732" w14:textId="5CAE022A" w:rsidR="00EB6F45"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252,479</w:t>
            </w:r>
          </w:p>
        </w:tc>
        <w:tc>
          <w:tcPr>
            <w:tcW w:w="3402" w:type="dxa"/>
            <w:tcMar>
              <w:left w:w="72" w:type="dxa"/>
              <w:right w:w="72" w:type="dxa"/>
            </w:tcMar>
          </w:tcPr>
          <w:p w14:paraId="2C1D0E21" w14:textId="48DFBCDE" w:rsidR="00EB6F45" w:rsidRPr="00F0448E" w:rsidRDefault="002B0A46" w:rsidP="00E3367B">
            <w:pPr>
              <w:keepNext/>
              <w:bidi/>
              <w:spacing w:before="40" w:after="40"/>
              <w:jc w:val="left"/>
              <w:rPr>
                <w:rFonts w:asciiTheme="majorBidi" w:hAnsiTheme="majorBidi" w:cstheme="majorBidi"/>
                <w:sz w:val="20"/>
                <w:szCs w:val="20"/>
                <w:lang w:bidi="ar-LB"/>
              </w:rPr>
            </w:pPr>
            <w:r w:rsidRPr="00F0448E">
              <w:rPr>
                <w:rFonts w:asciiTheme="majorBidi" w:hAnsiTheme="majorBidi"/>
                <w:sz w:val="20"/>
                <w:szCs w:val="20"/>
                <w:rtl/>
                <w:lang w:bidi="ar-LB"/>
              </w:rPr>
              <w:t>عدم وجود تقرير التحقق</w:t>
            </w:r>
          </w:p>
        </w:tc>
        <w:tc>
          <w:tcPr>
            <w:tcW w:w="5913" w:type="dxa"/>
            <w:tcMar>
              <w:left w:w="72" w:type="dxa"/>
              <w:right w:w="72" w:type="dxa"/>
            </w:tcMar>
          </w:tcPr>
          <w:p w14:paraId="71B3D04B" w14:textId="46520D69" w:rsidR="00CD3913" w:rsidRPr="00F0448E" w:rsidRDefault="00CD3913" w:rsidP="00E3367B">
            <w:pPr>
              <w:keepNext/>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بالتأخيرات الناجمة عن عدم استكمال التحقق الإلزامي من أهداف استهلاك الهيدروكلوروفلوروكربون، وحث حكومة جورجيا على العمل مع اليوئنديبي لاستكمال عملية التحقق بحيث يتسنى تقديم الشريحة الثانية (2024) من المرحلة الثانية من خطة إدارة إزالة المواد الهيدروكلوروفلوروكربونية إلى الاجتماع الخامس والتسعين.</w:t>
            </w:r>
          </w:p>
        </w:tc>
      </w:tr>
      <w:tr w:rsidR="00FC3112" w:rsidRPr="00F0448E" w14:paraId="4B6A659F" w14:textId="77777777" w:rsidTr="002F7551">
        <w:trPr>
          <w:trHeight w:val="568"/>
        </w:trPr>
        <w:tc>
          <w:tcPr>
            <w:tcW w:w="1972" w:type="dxa"/>
            <w:vMerge w:val="restart"/>
            <w:tcMar>
              <w:left w:w="72" w:type="dxa"/>
              <w:right w:w="72" w:type="dxa"/>
            </w:tcMar>
          </w:tcPr>
          <w:p w14:paraId="20B436E0" w14:textId="67AC97C0" w:rsidR="00C57E51" w:rsidRPr="00F0448E" w:rsidRDefault="00F074DA"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غانا</w:t>
            </w:r>
            <w:r w:rsidR="00C57E51" w:rsidRPr="00F0448E">
              <w:rPr>
                <w:rFonts w:asciiTheme="majorBidi" w:hAnsiTheme="majorBidi" w:cstheme="majorBidi"/>
                <w:sz w:val="20"/>
                <w:szCs w:val="20"/>
                <w:lang w:eastAsia="en-CA" w:bidi="ar-LB"/>
              </w:rPr>
              <w:t xml:space="preserve"> </w:t>
            </w:r>
          </w:p>
          <w:p w14:paraId="7F0A3C7F" w14:textId="0BD5E4D9" w:rsidR="00C57E51" w:rsidRPr="00F0448E" w:rsidRDefault="009F5EC9"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tcMar>
              <w:left w:w="72" w:type="dxa"/>
              <w:right w:w="72" w:type="dxa"/>
            </w:tcMar>
          </w:tcPr>
          <w:p w14:paraId="46BFBEE9" w14:textId="67D0B132" w:rsidR="00C57E51" w:rsidRPr="00F0448E" w:rsidRDefault="00E065A0" w:rsidP="00E3367B">
            <w:pPr>
              <w:bidi/>
              <w:spacing w:before="40" w:after="40"/>
              <w:jc w:val="left"/>
              <w:rPr>
                <w:rFonts w:asciiTheme="majorBidi" w:hAnsiTheme="majorBidi" w:cstheme="majorBidi"/>
                <w:sz w:val="20"/>
                <w:szCs w:val="20"/>
                <w:lang w:bidi="ar-LB"/>
              </w:rPr>
            </w:pPr>
            <w:r w:rsidRPr="00F0448E">
              <w:rPr>
                <w:rFonts w:asciiTheme="majorBidi" w:hAnsiTheme="majorBidi" w:cstheme="majorBidi"/>
                <w:sz w:val="20"/>
                <w:szCs w:val="20"/>
                <w:rtl/>
                <w:lang w:bidi="ar-LB"/>
              </w:rPr>
              <w:t>اليوئنديبي</w:t>
            </w:r>
          </w:p>
        </w:tc>
        <w:tc>
          <w:tcPr>
            <w:tcW w:w="879" w:type="dxa"/>
            <w:tcMar>
              <w:left w:w="72" w:type="dxa"/>
              <w:right w:w="72" w:type="dxa"/>
            </w:tcMar>
          </w:tcPr>
          <w:p w14:paraId="450BC457" w14:textId="66BDC03E" w:rsidR="00C57E51" w:rsidRPr="00F0448E" w:rsidRDefault="009F5EC9" w:rsidP="00E3367B">
            <w:pPr>
              <w:keepNext/>
              <w:bidi/>
              <w:spacing w:before="40" w:after="40"/>
              <w:jc w:val="center"/>
              <w:rPr>
                <w:rFonts w:asciiTheme="majorBidi" w:hAnsiTheme="majorBidi" w:cstheme="majorBidi"/>
                <w:sz w:val="20"/>
                <w:szCs w:val="20"/>
                <w:lang w:bidi="ar-LB"/>
              </w:rPr>
            </w:pPr>
            <w:r w:rsidRPr="00F0448E">
              <w:rPr>
                <w:rFonts w:asciiTheme="majorBidi" w:hAnsiTheme="majorBidi"/>
                <w:sz w:val="20"/>
                <w:szCs w:val="20"/>
                <w:rtl/>
                <w:lang w:bidi="ar-LB"/>
              </w:rPr>
              <w:t>2024</w:t>
            </w:r>
          </w:p>
        </w:tc>
        <w:tc>
          <w:tcPr>
            <w:tcW w:w="1275" w:type="dxa"/>
            <w:tcMar>
              <w:left w:w="72" w:type="dxa"/>
              <w:right w:w="72" w:type="dxa"/>
            </w:tcMar>
          </w:tcPr>
          <w:p w14:paraId="6F781352" w14:textId="6B9600AC" w:rsidR="00C57E51" w:rsidRPr="00F0448E" w:rsidRDefault="00077004" w:rsidP="00E3367B">
            <w:pPr>
              <w:keepNext/>
              <w:bidi/>
              <w:spacing w:before="40" w:after="40"/>
              <w:jc w:val="left"/>
              <w:rPr>
                <w:rFonts w:asciiTheme="majorBidi" w:hAnsiTheme="majorBidi" w:cstheme="majorBidi"/>
                <w:sz w:val="20"/>
                <w:szCs w:val="20"/>
                <w:lang w:bidi="ar-LB"/>
              </w:rPr>
            </w:pPr>
            <w:r w:rsidRPr="00F0448E">
              <w:rPr>
                <w:rFonts w:asciiTheme="majorBidi" w:hAnsiTheme="majorBidi"/>
                <w:sz w:val="20"/>
                <w:szCs w:val="20"/>
                <w:rtl/>
                <w:lang w:bidi="ar-LB"/>
              </w:rPr>
              <w:t>253,103</w:t>
            </w:r>
          </w:p>
        </w:tc>
        <w:tc>
          <w:tcPr>
            <w:tcW w:w="3402" w:type="dxa"/>
            <w:tcMar>
              <w:left w:w="72" w:type="dxa"/>
              <w:right w:w="72" w:type="dxa"/>
            </w:tcMar>
          </w:tcPr>
          <w:p w14:paraId="6C8A2932" w14:textId="0A5DC4D6" w:rsidR="002B0A46" w:rsidRPr="00F0448E" w:rsidRDefault="002B0A46" w:rsidP="00E3367B">
            <w:pPr>
              <w:bidi/>
              <w:spacing w:before="40" w:after="40"/>
              <w:jc w:val="left"/>
              <w:rPr>
                <w:rFonts w:asciiTheme="majorBidi" w:hAnsiTheme="majorBidi" w:cstheme="majorBidi"/>
                <w:sz w:val="20"/>
                <w:szCs w:val="20"/>
                <w:lang w:val="en-US" w:bidi="ar-LB"/>
              </w:rPr>
            </w:pPr>
            <w:r w:rsidRPr="00F0448E">
              <w:rPr>
                <w:rFonts w:asciiTheme="majorBidi" w:hAnsiTheme="majorBidi"/>
                <w:sz w:val="20"/>
                <w:szCs w:val="20"/>
                <w:rtl/>
                <w:lang w:val="en-US" w:bidi="ar-LB"/>
              </w:rPr>
              <w:t>القرارات الحكومية/موافقاتها/التغييرات في وحدة الأوزون الوطنية</w:t>
            </w:r>
          </w:p>
        </w:tc>
        <w:tc>
          <w:tcPr>
            <w:tcW w:w="5913" w:type="dxa"/>
            <w:vMerge w:val="restart"/>
            <w:tcMar>
              <w:left w:w="72" w:type="dxa"/>
              <w:right w:w="72" w:type="dxa"/>
            </w:tcMar>
          </w:tcPr>
          <w:p w14:paraId="0B5B5F79" w14:textId="28D00D1E" w:rsidR="00CD3913" w:rsidRPr="00F0448E" w:rsidRDefault="001F0D01" w:rsidP="00E3367B">
            <w:pPr>
              <w:keepNext/>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بالتأخير في تنفيذ الأنشطة وأن حكومة غانا قررت تقديم طلب الشريحة الثانية (2024) إلى الاجتماع الخامس والتسعين، وحث حكومة غانا على العمل مع اليوئنديبي واليونيب بحيث يتسنى تقديم الشريحة الثانية (2024) من المرحلة الثانية من خطة إدارة إزالة المواد الهيدروكلوروفلوروكربونية إلى الاجتماع الخامس والتسعين.</w:t>
            </w:r>
          </w:p>
        </w:tc>
      </w:tr>
      <w:tr w:rsidR="00FC3112" w:rsidRPr="00F0448E" w14:paraId="77A368AF" w14:textId="77777777" w:rsidTr="002F7551">
        <w:trPr>
          <w:trHeight w:val="569"/>
        </w:trPr>
        <w:tc>
          <w:tcPr>
            <w:tcW w:w="1972" w:type="dxa"/>
            <w:vMerge/>
            <w:tcMar>
              <w:left w:w="72" w:type="dxa"/>
              <w:right w:w="72" w:type="dxa"/>
            </w:tcMar>
          </w:tcPr>
          <w:p w14:paraId="28C2DAAF" w14:textId="77777777" w:rsidR="00C57E51" w:rsidRPr="00F0448E" w:rsidRDefault="00C57E51" w:rsidP="00E3367B">
            <w:pPr>
              <w:keepNext/>
              <w:bidi/>
              <w:spacing w:before="40" w:after="40"/>
              <w:jc w:val="left"/>
              <w:rPr>
                <w:rFonts w:asciiTheme="majorBidi" w:hAnsiTheme="majorBidi" w:cstheme="majorBidi"/>
                <w:sz w:val="20"/>
                <w:szCs w:val="20"/>
                <w:lang w:eastAsia="en-CA" w:bidi="ar-LB"/>
              </w:rPr>
            </w:pPr>
          </w:p>
        </w:tc>
        <w:tc>
          <w:tcPr>
            <w:tcW w:w="858" w:type="dxa"/>
            <w:tcMar>
              <w:left w:w="72" w:type="dxa"/>
              <w:right w:w="72" w:type="dxa"/>
            </w:tcMar>
          </w:tcPr>
          <w:p w14:paraId="564C2365" w14:textId="52209FF0" w:rsidR="00C57E51" w:rsidRPr="00F0448E" w:rsidRDefault="00F14134" w:rsidP="00E3367B">
            <w:pPr>
              <w:bidi/>
              <w:spacing w:before="40" w:after="40"/>
              <w:jc w:val="left"/>
              <w:rPr>
                <w:rFonts w:asciiTheme="majorBidi" w:hAnsiTheme="majorBidi" w:cstheme="majorBidi"/>
                <w:sz w:val="20"/>
                <w:szCs w:val="20"/>
                <w:lang w:bidi="ar-LB"/>
              </w:rPr>
            </w:pPr>
            <w:r w:rsidRPr="00F0448E">
              <w:rPr>
                <w:rFonts w:asciiTheme="majorBidi" w:hAnsiTheme="majorBidi" w:cstheme="majorBidi"/>
                <w:sz w:val="20"/>
                <w:szCs w:val="20"/>
                <w:rtl/>
                <w:lang w:bidi="ar-LB"/>
              </w:rPr>
              <w:t>اليونيب</w:t>
            </w:r>
          </w:p>
        </w:tc>
        <w:tc>
          <w:tcPr>
            <w:tcW w:w="879" w:type="dxa"/>
            <w:tcMar>
              <w:left w:w="72" w:type="dxa"/>
              <w:right w:w="72" w:type="dxa"/>
            </w:tcMar>
          </w:tcPr>
          <w:p w14:paraId="41F6BFE5" w14:textId="59F31E59" w:rsidR="00C57E51" w:rsidRPr="00F0448E" w:rsidRDefault="009F5EC9" w:rsidP="00E3367B">
            <w:pPr>
              <w:keepNext/>
              <w:bidi/>
              <w:spacing w:before="40" w:after="40"/>
              <w:jc w:val="center"/>
              <w:rPr>
                <w:rFonts w:asciiTheme="majorBidi" w:hAnsiTheme="majorBidi" w:cstheme="majorBidi"/>
                <w:sz w:val="20"/>
                <w:szCs w:val="20"/>
                <w:lang w:bidi="ar-LB"/>
              </w:rPr>
            </w:pPr>
            <w:r w:rsidRPr="00F0448E">
              <w:rPr>
                <w:rFonts w:asciiTheme="majorBidi" w:hAnsiTheme="majorBidi"/>
                <w:sz w:val="20"/>
                <w:szCs w:val="20"/>
                <w:rtl/>
                <w:lang w:bidi="ar-LB"/>
              </w:rPr>
              <w:t>2024</w:t>
            </w:r>
          </w:p>
        </w:tc>
        <w:tc>
          <w:tcPr>
            <w:tcW w:w="1275" w:type="dxa"/>
            <w:tcMar>
              <w:left w:w="72" w:type="dxa"/>
              <w:right w:w="72" w:type="dxa"/>
            </w:tcMar>
          </w:tcPr>
          <w:p w14:paraId="322C84BE" w14:textId="30DF8CF8" w:rsidR="00C57E51" w:rsidRPr="00F0448E" w:rsidRDefault="00077004" w:rsidP="00E3367B">
            <w:pPr>
              <w:keepNext/>
              <w:bidi/>
              <w:spacing w:before="40" w:after="40"/>
              <w:jc w:val="left"/>
              <w:rPr>
                <w:rFonts w:asciiTheme="majorBidi" w:hAnsiTheme="majorBidi" w:cstheme="majorBidi"/>
                <w:sz w:val="20"/>
                <w:szCs w:val="20"/>
                <w:lang w:bidi="ar-LB"/>
              </w:rPr>
            </w:pPr>
            <w:r w:rsidRPr="00F0448E">
              <w:rPr>
                <w:rFonts w:asciiTheme="majorBidi" w:hAnsiTheme="majorBidi"/>
                <w:sz w:val="20"/>
                <w:szCs w:val="20"/>
                <w:rtl/>
                <w:lang w:bidi="ar-LB"/>
              </w:rPr>
              <w:t>181,443</w:t>
            </w:r>
          </w:p>
        </w:tc>
        <w:tc>
          <w:tcPr>
            <w:tcW w:w="3402" w:type="dxa"/>
            <w:tcMar>
              <w:left w:w="72" w:type="dxa"/>
              <w:right w:w="72" w:type="dxa"/>
            </w:tcMar>
          </w:tcPr>
          <w:p w14:paraId="70ED2A9D" w14:textId="560483E7" w:rsidR="002B0A46" w:rsidRPr="00F0448E" w:rsidRDefault="002B0A46" w:rsidP="00E3367B">
            <w:pPr>
              <w:bidi/>
              <w:spacing w:before="40" w:after="40"/>
              <w:jc w:val="left"/>
              <w:rPr>
                <w:rFonts w:asciiTheme="majorBidi" w:hAnsiTheme="majorBidi" w:cstheme="majorBidi"/>
                <w:sz w:val="20"/>
                <w:szCs w:val="20"/>
                <w:lang w:bidi="ar-LB"/>
              </w:rPr>
            </w:pPr>
            <w:r w:rsidRPr="00F0448E">
              <w:rPr>
                <w:rFonts w:asciiTheme="majorBidi" w:hAnsiTheme="majorBidi"/>
                <w:sz w:val="20"/>
                <w:szCs w:val="20"/>
                <w:rtl/>
                <w:lang w:val="en-US" w:bidi="ar-LB"/>
              </w:rPr>
              <w:t>القرارات الحكومية/موافقاتها/التغييرات في وحدة الأوزون الوطنية</w:t>
            </w:r>
          </w:p>
        </w:tc>
        <w:tc>
          <w:tcPr>
            <w:tcW w:w="5913" w:type="dxa"/>
            <w:vMerge/>
            <w:tcMar>
              <w:left w:w="72" w:type="dxa"/>
              <w:right w:w="72" w:type="dxa"/>
            </w:tcMar>
          </w:tcPr>
          <w:p w14:paraId="5588AEB6" w14:textId="77777777" w:rsidR="00C57E51" w:rsidRPr="00F0448E" w:rsidRDefault="00C57E51" w:rsidP="00E3367B">
            <w:pPr>
              <w:keepNext/>
              <w:bidi/>
              <w:spacing w:before="40" w:after="40"/>
              <w:jc w:val="left"/>
              <w:rPr>
                <w:rFonts w:asciiTheme="majorBidi" w:hAnsiTheme="majorBidi" w:cstheme="majorBidi"/>
                <w:sz w:val="20"/>
                <w:szCs w:val="20"/>
                <w:lang w:bidi="ar-LB"/>
              </w:rPr>
            </w:pPr>
          </w:p>
        </w:tc>
      </w:tr>
      <w:tr w:rsidR="00FC3112" w:rsidRPr="00F0448E" w14:paraId="02B638AB" w14:textId="77777777" w:rsidTr="002F7551">
        <w:trPr>
          <w:trHeight w:val="655"/>
        </w:trPr>
        <w:tc>
          <w:tcPr>
            <w:tcW w:w="1972" w:type="dxa"/>
            <w:vMerge w:val="restart"/>
            <w:tcMar>
              <w:left w:w="72" w:type="dxa"/>
              <w:right w:w="72" w:type="dxa"/>
            </w:tcMar>
          </w:tcPr>
          <w:p w14:paraId="58C7DE08" w14:textId="7E9FBA41" w:rsidR="00590827" w:rsidRPr="00F0448E" w:rsidRDefault="00F074DA"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العراق</w:t>
            </w:r>
            <w:r w:rsidR="00E76F9E" w:rsidRPr="00F0448E">
              <w:rPr>
                <w:rFonts w:asciiTheme="majorBidi" w:hAnsiTheme="majorBidi" w:cstheme="majorBidi"/>
                <w:sz w:val="20"/>
                <w:szCs w:val="20"/>
                <w:lang w:eastAsia="en-CA" w:bidi="ar-LB"/>
              </w:rPr>
              <w:t xml:space="preserve"> </w:t>
            </w:r>
          </w:p>
          <w:p w14:paraId="28AE20C2" w14:textId="47E0EC79" w:rsidR="00E76F9E" w:rsidRPr="00F0448E" w:rsidRDefault="009F5EC9"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tcMar>
              <w:left w:w="72" w:type="dxa"/>
              <w:right w:w="72" w:type="dxa"/>
            </w:tcMar>
          </w:tcPr>
          <w:p w14:paraId="3B2B795C" w14:textId="6C374911" w:rsidR="00E76F9E" w:rsidRPr="00F0448E" w:rsidRDefault="00F14134" w:rsidP="00E3367B">
            <w:pPr>
              <w:bidi/>
              <w:spacing w:before="40" w:after="40"/>
              <w:jc w:val="left"/>
              <w:rPr>
                <w:rFonts w:asciiTheme="majorBidi" w:hAnsiTheme="majorBidi" w:cstheme="majorBidi"/>
                <w:sz w:val="20"/>
                <w:szCs w:val="20"/>
                <w:lang w:bidi="ar-LB"/>
              </w:rPr>
            </w:pPr>
            <w:r w:rsidRPr="00F0448E">
              <w:rPr>
                <w:rFonts w:asciiTheme="majorBidi" w:hAnsiTheme="majorBidi" w:cstheme="majorBidi"/>
                <w:sz w:val="20"/>
                <w:szCs w:val="20"/>
                <w:rtl/>
                <w:lang w:bidi="ar-LB"/>
              </w:rPr>
              <w:t>اليونيب</w:t>
            </w:r>
          </w:p>
        </w:tc>
        <w:tc>
          <w:tcPr>
            <w:tcW w:w="879" w:type="dxa"/>
            <w:tcMar>
              <w:left w:w="72" w:type="dxa"/>
              <w:right w:w="72" w:type="dxa"/>
            </w:tcMar>
          </w:tcPr>
          <w:p w14:paraId="6493B630" w14:textId="6521013B" w:rsidR="00DC7CA9" w:rsidRPr="00F0448E" w:rsidRDefault="00DC7CA9" w:rsidP="00E3367B">
            <w:pPr>
              <w:bidi/>
              <w:spacing w:before="40" w:after="40"/>
              <w:ind w:left="-83" w:right="-108"/>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2022</w:t>
            </w:r>
            <w:r w:rsidRPr="00F0448E">
              <w:rPr>
                <w:rFonts w:asciiTheme="majorBidi" w:hAnsiTheme="majorBidi" w:cstheme="majorBidi"/>
                <w:sz w:val="20"/>
                <w:szCs w:val="20"/>
                <w:rtl/>
                <w:lang w:eastAsia="en-CA" w:bidi="ar-LB"/>
              </w:rPr>
              <w:t xml:space="preserve"> و</w:t>
            </w:r>
            <w:r w:rsidRPr="00F0448E">
              <w:rPr>
                <w:rFonts w:asciiTheme="majorBidi" w:hAnsiTheme="majorBidi"/>
                <w:sz w:val="20"/>
                <w:szCs w:val="20"/>
                <w:rtl/>
                <w:lang w:eastAsia="en-CA" w:bidi="ar-LB"/>
              </w:rPr>
              <w:t>2023</w:t>
            </w:r>
          </w:p>
          <w:p w14:paraId="0DDB91D2" w14:textId="170F574D" w:rsidR="00DC7CA9" w:rsidRPr="00F0448E" w:rsidRDefault="00DC7CA9" w:rsidP="00E3367B">
            <w:pPr>
              <w:keepNext/>
              <w:bidi/>
              <w:spacing w:before="40" w:after="40"/>
              <w:jc w:val="center"/>
              <w:rPr>
                <w:rFonts w:asciiTheme="majorBidi" w:hAnsiTheme="majorBidi" w:cstheme="majorBidi"/>
                <w:sz w:val="20"/>
                <w:szCs w:val="20"/>
                <w:lang w:val="en-US" w:eastAsia="en-CA" w:bidi="ar-LB"/>
              </w:rPr>
            </w:pPr>
          </w:p>
        </w:tc>
        <w:tc>
          <w:tcPr>
            <w:tcW w:w="1275" w:type="dxa"/>
            <w:tcMar>
              <w:left w:w="72" w:type="dxa"/>
              <w:right w:w="72" w:type="dxa"/>
            </w:tcMar>
          </w:tcPr>
          <w:p w14:paraId="3B75DF22" w14:textId="697779AA" w:rsidR="00E76F9E"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1,383,139</w:t>
            </w:r>
          </w:p>
        </w:tc>
        <w:tc>
          <w:tcPr>
            <w:tcW w:w="3402" w:type="dxa"/>
            <w:tcMar>
              <w:left w:w="72" w:type="dxa"/>
              <w:right w:w="72" w:type="dxa"/>
            </w:tcMar>
          </w:tcPr>
          <w:p w14:paraId="33FDFDE2" w14:textId="76EAC948" w:rsidR="002B0A46" w:rsidRPr="00F0448E" w:rsidRDefault="002B0A46" w:rsidP="00E3367B">
            <w:pPr>
              <w:keepNext/>
              <w:bidi/>
              <w:spacing w:before="40" w:after="40"/>
              <w:jc w:val="left"/>
              <w:rPr>
                <w:rFonts w:asciiTheme="majorBidi" w:hAnsiTheme="majorBidi" w:cstheme="majorBidi"/>
                <w:sz w:val="20"/>
                <w:szCs w:val="20"/>
                <w:lang w:val="en-US" w:eastAsia="en-CA" w:bidi="ar-LB"/>
              </w:rPr>
            </w:pPr>
            <w:r w:rsidRPr="00F0448E">
              <w:rPr>
                <w:rFonts w:asciiTheme="majorBidi" w:hAnsiTheme="majorBidi"/>
                <w:sz w:val="20"/>
                <w:szCs w:val="20"/>
                <w:rtl/>
                <w:lang w:val="en-US" w:eastAsia="en-CA" w:bidi="ar-LB"/>
              </w:rPr>
              <w:t>عدم جهوزية الوكالة الرئيسية أو المتعاونة للتقديم/لعنصر الاستثمار</w:t>
            </w:r>
          </w:p>
        </w:tc>
        <w:tc>
          <w:tcPr>
            <w:tcW w:w="5913" w:type="dxa"/>
            <w:vMerge w:val="restart"/>
            <w:tcMar>
              <w:left w:w="72" w:type="dxa"/>
              <w:right w:w="72" w:type="dxa"/>
            </w:tcMar>
          </w:tcPr>
          <w:p w14:paraId="32019B79" w14:textId="139D2334" w:rsidR="001F0D01" w:rsidRPr="00F0448E" w:rsidRDefault="001F0D01" w:rsidP="00E3367B">
            <w:pPr>
              <w:keepNext/>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بالتأخير الناجم عن عدم جهوزية الوكالة المتعاونة للتقديم، وحث حكومة العراق على العمل مع اليونيب واليونيدو بحيث يتسنى تقديم الشريحتين الثانية (2022) والثالثة (2023) من المرحلة الثانية من خطة إدارة إزالة المواد الهيدروكلوروفلوروكربونية إلى الاجتماع الخامس والتسعين مع خطة عمل منقحة تأخذ في عين الاعتبار إعادة تخصيص شرائح عام 2022 والشرائح اللاحقة.</w:t>
            </w:r>
          </w:p>
        </w:tc>
      </w:tr>
      <w:tr w:rsidR="00FC3112" w:rsidRPr="00F0448E" w14:paraId="640A1307" w14:textId="77777777" w:rsidTr="002F7551">
        <w:trPr>
          <w:trHeight w:val="655"/>
        </w:trPr>
        <w:tc>
          <w:tcPr>
            <w:tcW w:w="1972" w:type="dxa"/>
            <w:vMerge/>
            <w:tcMar>
              <w:left w:w="72" w:type="dxa"/>
              <w:right w:w="72" w:type="dxa"/>
            </w:tcMar>
          </w:tcPr>
          <w:p w14:paraId="23A8A515" w14:textId="77777777" w:rsidR="00E76F9E" w:rsidRPr="00F0448E" w:rsidRDefault="00E76F9E" w:rsidP="00E3367B">
            <w:pPr>
              <w:bidi/>
              <w:spacing w:before="40" w:after="40"/>
              <w:jc w:val="left"/>
              <w:rPr>
                <w:rFonts w:asciiTheme="majorBidi" w:hAnsiTheme="majorBidi" w:cstheme="majorBidi"/>
                <w:sz w:val="20"/>
                <w:szCs w:val="20"/>
                <w:lang w:eastAsia="en-CA" w:bidi="ar-LB"/>
              </w:rPr>
            </w:pPr>
          </w:p>
        </w:tc>
        <w:tc>
          <w:tcPr>
            <w:tcW w:w="858" w:type="dxa"/>
            <w:tcMar>
              <w:left w:w="72" w:type="dxa"/>
              <w:right w:w="72" w:type="dxa"/>
            </w:tcMar>
          </w:tcPr>
          <w:p w14:paraId="17D1C983" w14:textId="257505D9" w:rsidR="00E76F9E" w:rsidRPr="00F0448E" w:rsidRDefault="00F14134" w:rsidP="00E3367B">
            <w:pPr>
              <w:bidi/>
              <w:spacing w:before="40" w:after="40"/>
              <w:jc w:val="left"/>
              <w:rPr>
                <w:rFonts w:asciiTheme="majorBidi" w:hAnsiTheme="majorBidi" w:cstheme="majorBidi"/>
                <w:sz w:val="20"/>
                <w:szCs w:val="20"/>
                <w:lang w:bidi="ar-LB"/>
              </w:rPr>
            </w:pPr>
            <w:r w:rsidRPr="00F0448E">
              <w:rPr>
                <w:rFonts w:asciiTheme="majorBidi" w:hAnsiTheme="majorBidi" w:cstheme="majorBidi"/>
                <w:sz w:val="20"/>
                <w:szCs w:val="20"/>
                <w:rtl/>
                <w:lang w:bidi="ar-LB"/>
              </w:rPr>
              <w:t>اليونيدو</w:t>
            </w:r>
          </w:p>
        </w:tc>
        <w:tc>
          <w:tcPr>
            <w:tcW w:w="879" w:type="dxa"/>
            <w:tcMar>
              <w:left w:w="72" w:type="dxa"/>
              <w:right w:w="72" w:type="dxa"/>
            </w:tcMar>
          </w:tcPr>
          <w:p w14:paraId="20FF7477" w14:textId="77777777" w:rsidR="00DC7CA9" w:rsidRPr="00F0448E" w:rsidRDefault="00DC7CA9" w:rsidP="00E3367B">
            <w:pPr>
              <w:bidi/>
              <w:spacing w:before="40" w:after="40"/>
              <w:ind w:left="-83" w:right="-108"/>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2022</w:t>
            </w:r>
            <w:r w:rsidRPr="00F0448E">
              <w:rPr>
                <w:rFonts w:asciiTheme="majorBidi" w:hAnsiTheme="majorBidi" w:cstheme="majorBidi"/>
                <w:sz w:val="20"/>
                <w:szCs w:val="20"/>
                <w:rtl/>
                <w:lang w:eastAsia="en-CA" w:bidi="ar-LB"/>
              </w:rPr>
              <w:t xml:space="preserve"> و</w:t>
            </w:r>
            <w:r w:rsidRPr="00F0448E">
              <w:rPr>
                <w:rFonts w:asciiTheme="majorBidi" w:hAnsiTheme="majorBidi"/>
                <w:sz w:val="20"/>
                <w:szCs w:val="20"/>
                <w:rtl/>
                <w:lang w:eastAsia="en-CA" w:bidi="ar-LB"/>
              </w:rPr>
              <w:t>2023</w:t>
            </w:r>
          </w:p>
          <w:p w14:paraId="662C5784" w14:textId="2F1057A7" w:rsidR="00E76F9E" w:rsidRPr="00F0448E" w:rsidRDefault="00E76F9E" w:rsidP="00E3367B">
            <w:pPr>
              <w:keepNext/>
              <w:bidi/>
              <w:spacing w:before="40" w:after="40"/>
              <w:jc w:val="center"/>
              <w:rPr>
                <w:rFonts w:asciiTheme="majorBidi" w:hAnsiTheme="majorBidi" w:cstheme="majorBidi"/>
                <w:sz w:val="20"/>
                <w:szCs w:val="20"/>
                <w:lang w:eastAsia="en-CA" w:bidi="ar-LB"/>
              </w:rPr>
            </w:pPr>
          </w:p>
        </w:tc>
        <w:tc>
          <w:tcPr>
            <w:tcW w:w="1275" w:type="dxa"/>
            <w:tcMar>
              <w:left w:w="72" w:type="dxa"/>
              <w:right w:w="72" w:type="dxa"/>
            </w:tcMar>
          </w:tcPr>
          <w:p w14:paraId="4E26543F" w14:textId="3FFC698C" w:rsidR="00E76F9E"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722,250</w:t>
            </w:r>
          </w:p>
        </w:tc>
        <w:tc>
          <w:tcPr>
            <w:tcW w:w="3402" w:type="dxa"/>
            <w:tcMar>
              <w:left w:w="72" w:type="dxa"/>
              <w:right w:w="72" w:type="dxa"/>
            </w:tcMar>
          </w:tcPr>
          <w:p w14:paraId="2F7AC0F1" w14:textId="4688DD40" w:rsidR="002B0A46" w:rsidRPr="00F0448E" w:rsidRDefault="002B0A46" w:rsidP="00E3367B">
            <w:pPr>
              <w:keepNext/>
              <w:bidi/>
              <w:spacing w:before="40" w:after="40"/>
              <w:jc w:val="left"/>
              <w:rPr>
                <w:rFonts w:asciiTheme="majorBidi" w:hAnsiTheme="majorBidi" w:cstheme="majorBidi"/>
                <w:sz w:val="20"/>
                <w:szCs w:val="20"/>
                <w:lang w:val="en-US" w:eastAsia="en-CA" w:bidi="ar-LB"/>
              </w:rPr>
            </w:pPr>
            <w:r w:rsidRPr="00F0448E">
              <w:rPr>
                <w:rFonts w:asciiTheme="majorBidi" w:hAnsiTheme="majorBidi"/>
                <w:sz w:val="20"/>
                <w:szCs w:val="20"/>
                <w:rtl/>
                <w:lang w:val="en-US" w:eastAsia="en-CA" w:bidi="ar-LB"/>
              </w:rPr>
              <w:t>القرارات الحكومية/موافقاتها/تغييرات في وحدة الأوزون الوطنية/عتبة صرف 20 في المائة</w:t>
            </w:r>
          </w:p>
        </w:tc>
        <w:tc>
          <w:tcPr>
            <w:tcW w:w="5913" w:type="dxa"/>
            <w:vMerge/>
            <w:tcMar>
              <w:left w:w="72" w:type="dxa"/>
              <w:right w:w="72" w:type="dxa"/>
            </w:tcMar>
          </w:tcPr>
          <w:p w14:paraId="13489F0B" w14:textId="77777777" w:rsidR="00E76F9E" w:rsidRPr="00F0448E" w:rsidRDefault="00E76F9E" w:rsidP="00E3367B">
            <w:pPr>
              <w:keepNext/>
              <w:bidi/>
              <w:spacing w:before="40" w:after="40"/>
              <w:jc w:val="left"/>
              <w:rPr>
                <w:rFonts w:asciiTheme="majorBidi" w:hAnsiTheme="majorBidi" w:cstheme="majorBidi"/>
                <w:sz w:val="20"/>
                <w:szCs w:val="20"/>
                <w:lang w:bidi="ar-LB"/>
              </w:rPr>
            </w:pPr>
          </w:p>
        </w:tc>
      </w:tr>
      <w:tr w:rsidR="00FC3112" w:rsidRPr="00F0448E" w14:paraId="5FF79563" w14:textId="77777777" w:rsidTr="002F7551">
        <w:tc>
          <w:tcPr>
            <w:tcW w:w="1972" w:type="dxa"/>
            <w:tcMar>
              <w:left w:w="72" w:type="dxa"/>
              <w:right w:w="72" w:type="dxa"/>
            </w:tcMar>
          </w:tcPr>
          <w:p w14:paraId="6F5167D8" w14:textId="73016C2D" w:rsidR="00590827" w:rsidRPr="00F0448E" w:rsidRDefault="00F074DA"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lastRenderedPageBreak/>
              <w:t>كينيا</w:t>
            </w:r>
            <w:r w:rsidR="00EB6F45" w:rsidRPr="00F0448E">
              <w:rPr>
                <w:rFonts w:asciiTheme="majorBidi" w:hAnsiTheme="majorBidi" w:cstheme="majorBidi"/>
                <w:sz w:val="20"/>
                <w:szCs w:val="20"/>
                <w:lang w:eastAsia="en-CA" w:bidi="ar-LB"/>
              </w:rPr>
              <w:t xml:space="preserve"> </w:t>
            </w:r>
          </w:p>
          <w:p w14:paraId="7188EFEC" w14:textId="49A3E8EF" w:rsidR="00EB6F45" w:rsidRPr="00F0448E" w:rsidRDefault="009F5EC9"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tcMar>
              <w:left w:w="72" w:type="dxa"/>
              <w:right w:w="72" w:type="dxa"/>
            </w:tcMar>
          </w:tcPr>
          <w:p w14:paraId="2D691EA8" w14:textId="4B53B9CD" w:rsidR="00EB6F45" w:rsidRPr="00F0448E" w:rsidRDefault="00E065A0"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فرنسا</w:t>
            </w:r>
          </w:p>
        </w:tc>
        <w:tc>
          <w:tcPr>
            <w:tcW w:w="879" w:type="dxa"/>
            <w:tcMar>
              <w:left w:w="72" w:type="dxa"/>
              <w:right w:w="72" w:type="dxa"/>
            </w:tcMar>
          </w:tcPr>
          <w:p w14:paraId="34C9D87E" w14:textId="482E1BCE" w:rsidR="00EB6F45"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2023</w:t>
            </w:r>
          </w:p>
        </w:tc>
        <w:tc>
          <w:tcPr>
            <w:tcW w:w="1275" w:type="dxa"/>
            <w:tcMar>
              <w:left w:w="72" w:type="dxa"/>
              <w:right w:w="72" w:type="dxa"/>
            </w:tcMar>
          </w:tcPr>
          <w:p w14:paraId="3E831BDC" w14:textId="42915116" w:rsidR="00EB6F45"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671,075</w:t>
            </w:r>
          </w:p>
        </w:tc>
        <w:tc>
          <w:tcPr>
            <w:tcW w:w="3402" w:type="dxa"/>
            <w:tcMar>
              <w:left w:w="72" w:type="dxa"/>
              <w:right w:w="72" w:type="dxa"/>
            </w:tcMar>
          </w:tcPr>
          <w:p w14:paraId="46D0A8B4" w14:textId="5FAF09BA" w:rsidR="002B0A46" w:rsidRPr="00F0448E" w:rsidRDefault="002B0A46" w:rsidP="00E3367B">
            <w:pPr>
              <w:bidi/>
              <w:spacing w:before="40" w:after="40"/>
              <w:jc w:val="left"/>
              <w:rPr>
                <w:rFonts w:asciiTheme="majorBidi" w:hAnsiTheme="majorBidi" w:cstheme="majorBidi"/>
                <w:sz w:val="20"/>
                <w:szCs w:val="20"/>
                <w:lang w:val="en-US" w:eastAsia="en-CA" w:bidi="ar-LB"/>
              </w:rPr>
            </w:pPr>
            <w:r w:rsidRPr="00F0448E">
              <w:rPr>
                <w:rFonts w:asciiTheme="majorBidi" w:hAnsiTheme="majorBidi"/>
                <w:sz w:val="20"/>
                <w:szCs w:val="20"/>
                <w:rtl/>
                <w:lang w:val="en-US" w:eastAsia="en-CA" w:bidi="ar-LB"/>
              </w:rPr>
              <w:t>عتبة صرف 20 في المائة</w:t>
            </w:r>
          </w:p>
        </w:tc>
        <w:tc>
          <w:tcPr>
            <w:tcW w:w="5913" w:type="dxa"/>
            <w:tcMar>
              <w:left w:w="72" w:type="dxa"/>
              <w:right w:w="72" w:type="dxa"/>
            </w:tcMar>
          </w:tcPr>
          <w:p w14:paraId="4DE4DCCD" w14:textId="3BE3E841" w:rsidR="001F0D01" w:rsidRPr="00F0448E" w:rsidRDefault="001F0D01" w:rsidP="00E3367B">
            <w:pPr>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بأن معدل الصرف الإجمالي للشريحة الثانية (2020) من المرحلة الثانية من خطة إدارة إزالة المواد الهيدروكلوروفلوروكربونية كان دون عتبة الصرف البالغة 20 في المائة، وحث حكومة كينيا على العمل مع حكومة فرنسا بحيث يتسنى تقديم الشريحة الثالثة (2023) من المرحلة الثانية من خطة إدارة إزالة المواد الهيدروكلوروفلوروكربونية إلى الاجتماع الخامس والتسعين مع خطة عمل منقحة تأخذُ في عين الاعتبار إعادة تخصيص شرائح 2023 والشرائح اللاحقة، على أساس أن عتبة الصرف البالغ 20 في المائة لتمويل الشريحة السابقة قد تم تحقيقها.</w:t>
            </w:r>
          </w:p>
        </w:tc>
      </w:tr>
      <w:tr w:rsidR="00FC3112" w:rsidRPr="00F0448E" w14:paraId="601A0606" w14:textId="77777777" w:rsidTr="002F7551">
        <w:trPr>
          <w:trHeight w:val="1087"/>
        </w:trPr>
        <w:tc>
          <w:tcPr>
            <w:tcW w:w="1972" w:type="dxa"/>
            <w:vMerge w:val="restart"/>
            <w:tcMar>
              <w:left w:w="72" w:type="dxa"/>
              <w:right w:w="72" w:type="dxa"/>
            </w:tcMar>
            <w:hideMark/>
          </w:tcPr>
          <w:p w14:paraId="0C6001B4" w14:textId="694477F9" w:rsidR="00590827" w:rsidRPr="00F0448E" w:rsidRDefault="00F074DA" w:rsidP="00E3367B">
            <w:pPr>
              <w:keepNext/>
              <w:keepLines/>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الكويت</w:t>
            </w:r>
            <w:r w:rsidR="000E2212" w:rsidRPr="00F0448E">
              <w:rPr>
                <w:rFonts w:asciiTheme="majorBidi" w:hAnsiTheme="majorBidi" w:cstheme="majorBidi"/>
                <w:sz w:val="20"/>
                <w:szCs w:val="20"/>
                <w:lang w:eastAsia="en-CA" w:bidi="ar-LB"/>
              </w:rPr>
              <w:t xml:space="preserve"> </w:t>
            </w:r>
          </w:p>
          <w:p w14:paraId="382AECE7" w14:textId="7C03182F" w:rsidR="000E2212" w:rsidRPr="00F0448E" w:rsidRDefault="009F5EC9" w:rsidP="00E3367B">
            <w:pPr>
              <w:keepNext/>
              <w:keepLines/>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tcMar>
              <w:left w:w="72" w:type="dxa"/>
              <w:right w:w="72" w:type="dxa"/>
            </w:tcMar>
            <w:hideMark/>
          </w:tcPr>
          <w:p w14:paraId="61CF3002" w14:textId="05BE654B" w:rsidR="000E2212" w:rsidRPr="00F0448E" w:rsidRDefault="00E065A0" w:rsidP="00E3367B">
            <w:pPr>
              <w:keepNext/>
              <w:keepLines/>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اليونيب</w:t>
            </w:r>
          </w:p>
        </w:tc>
        <w:tc>
          <w:tcPr>
            <w:tcW w:w="879" w:type="dxa"/>
            <w:tcMar>
              <w:left w:w="72" w:type="dxa"/>
              <w:right w:w="72" w:type="dxa"/>
            </w:tcMar>
            <w:hideMark/>
          </w:tcPr>
          <w:p w14:paraId="6471B19D" w14:textId="665445B7" w:rsidR="000E2212" w:rsidRPr="00F0448E" w:rsidRDefault="009F5EC9" w:rsidP="00E3367B">
            <w:pPr>
              <w:keepNext/>
              <w:keepLines/>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2023</w:t>
            </w:r>
          </w:p>
        </w:tc>
        <w:tc>
          <w:tcPr>
            <w:tcW w:w="1275" w:type="dxa"/>
            <w:tcMar>
              <w:left w:w="72" w:type="dxa"/>
              <w:right w:w="72" w:type="dxa"/>
            </w:tcMar>
          </w:tcPr>
          <w:p w14:paraId="78B7BBA8" w14:textId="79F87FEE" w:rsidR="000E2212" w:rsidRPr="00F0448E" w:rsidRDefault="00077004" w:rsidP="00E3367B">
            <w:pPr>
              <w:keepNext/>
              <w:keepLines/>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1,130,242</w:t>
            </w:r>
          </w:p>
        </w:tc>
        <w:tc>
          <w:tcPr>
            <w:tcW w:w="3402" w:type="dxa"/>
            <w:tcMar>
              <w:left w:w="72" w:type="dxa"/>
              <w:right w:w="72" w:type="dxa"/>
            </w:tcMar>
            <w:hideMark/>
          </w:tcPr>
          <w:p w14:paraId="3BA72440" w14:textId="68588569" w:rsidR="002B0A46" w:rsidRPr="00F0448E" w:rsidRDefault="002B0A46" w:rsidP="00E3367B">
            <w:pPr>
              <w:keepNext/>
              <w:keepLines/>
              <w:bidi/>
              <w:spacing w:before="40" w:after="40"/>
              <w:jc w:val="left"/>
              <w:rPr>
                <w:rFonts w:asciiTheme="majorBidi" w:hAnsiTheme="majorBidi" w:cstheme="majorBidi"/>
                <w:sz w:val="20"/>
                <w:szCs w:val="20"/>
                <w:lang w:val="en-US" w:eastAsia="en-CA" w:bidi="ar-LB"/>
              </w:rPr>
            </w:pPr>
            <w:r w:rsidRPr="00F0448E">
              <w:rPr>
                <w:rFonts w:asciiTheme="majorBidi" w:hAnsiTheme="majorBidi"/>
                <w:sz w:val="20"/>
                <w:szCs w:val="20"/>
                <w:rtl/>
                <w:lang w:val="en-US" w:eastAsia="en-CA" w:bidi="ar-LB"/>
              </w:rPr>
              <w:t>عتبة صرف 20 في المائة/ أموال كافية من الشريحة السابقة الموافق عليها/ تقديم التقارير المرحلية والمالية</w:t>
            </w:r>
          </w:p>
        </w:tc>
        <w:tc>
          <w:tcPr>
            <w:tcW w:w="5913" w:type="dxa"/>
            <w:vMerge w:val="restart"/>
            <w:tcMar>
              <w:left w:w="72" w:type="dxa"/>
              <w:right w:w="72" w:type="dxa"/>
            </w:tcMar>
          </w:tcPr>
          <w:p w14:paraId="16268DC9" w14:textId="03F1A302" w:rsidR="001F0D01" w:rsidRPr="00F0448E" w:rsidRDefault="001F0D01" w:rsidP="00E3367B">
            <w:pPr>
              <w:keepNext/>
              <w:keepLines/>
              <w:bidi/>
              <w:spacing w:before="40" w:after="40"/>
              <w:rPr>
                <w:rFonts w:asciiTheme="majorBidi" w:hAnsiTheme="majorBidi" w:cstheme="majorBidi"/>
                <w:sz w:val="20"/>
                <w:szCs w:val="20"/>
                <w:lang w:val="en-US" w:eastAsia="en-CA" w:bidi="ar-LB"/>
              </w:rPr>
            </w:pPr>
            <w:r w:rsidRPr="00F0448E">
              <w:rPr>
                <w:rFonts w:asciiTheme="majorBidi" w:hAnsiTheme="majorBidi"/>
                <w:sz w:val="20"/>
                <w:szCs w:val="20"/>
                <w:rtl/>
                <w:lang w:val="en-US" w:eastAsia="en-CA" w:bidi="ar-LB"/>
              </w:rPr>
              <w:t>الإحاطة علماُ بالتأخيرات الناجمة عن عدم تقديم التقارير المرحلية والمالية وأن معدل الصرف الإجمالي للشريحة الأولى (2021) من المرحلة الثانية من خطة إدارة إزالة المواد الهيدروكلوروفلوروكربونية كان دون عتبة الصرف البالغة 20 في المائة، وحث حكومة الكويت على تقديم التقارير المرحلية والمالية المطلوبة والعمل مع اليونيب واليونيدو بحيث يتسنى تقديم الشريحة الثانية (2023) من المرحلة الثانية من خطة إدارة إزالة المواد الهيدروكلوروفلوروكربونية إلى الاجتماع الخامس والتسعين مع خطة عمل منقحة تأخذ في عين الاعتبار إعادة تخصيص شرائح 2023 والشرائح اللاحقة، على أساس  أن عتبة الصرف البالغة 20 في المائة لتمويل الشريحة السابقة قد تم تحقيقها.</w:t>
            </w:r>
          </w:p>
        </w:tc>
      </w:tr>
      <w:tr w:rsidR="00FC3112" w:rsidRPr="00F0448E" w14:paraId="74A7006F" w14:textId="77777777" w:rsidTr="002F7551">
        <w:trPr>
          <w:trHeight w:val="1088"/>
        </w:trPr>
        <w:tc>
          <w:tcPr>
            <w:tcW w:w="1972" w:type="dxa"/>
            <w:vMerge/>
            <w:tcMar>
              <w:left w:w="72" w:type="dxa"/>
              <w:right w:w="72" w:type="dxa"/>
            </w:tcMar>
            <w:hideMark/>
          </w:tcPr>
          <w:p w14:paraId="6166023F" w14:textId="77777777" w:rsidR="000E2212" w:rsidRPr="00F0448E" w:rsidRDefault="000E2212" w:rsidP="00E3367B">
            <w:pPr>
              <w:bidi/>
              <w:spacing w:before="40" w:after="40"/>
              <w:jc w:val="left"/>
              <w:rPr>
                <w:rFonts w:asciiTheme="majorBidi" w:hAnsiTheme="majorBidi" w:cstheme="majorBidi"/>
                <w:sz w:val="20"/>
                <w:szCs w:val="20"/>
                <w:lang w:eastAsia="en-CA" w:bidi="ar-LB"/>
              </w:rPr>
            </w:pPr>
          </w:p>
        </w:tc>
        <w:tc>
          <w:tcPr>
            <w:tcW w:w="858" w:type="dxa"/>
            <w:tcMar>
              <w:left w:w="72" w:type="dxa"/>
              <w:right w:w="72" w:type="dxa"/>
            </w:tcMar>
            <w:hideMark/>
          </w:tcPr>
          <w:p w14:paraId="21712493" w14:textId="3C2DED6E" w:rsidR="000E2212" w:rsidRPr="00F0448E" w:rsidRDefault="00F1413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اليونيدو</w:t>
            </w:r>
          </w:p>
        </w:tc>
        <w:tc>
          <w:tcPr>
            <w:tcW w:w="879" w:type="dxa"/>
            <w:tcMar>
              <w:left w:w="72" w:type="dxa"/>
              <w:right w:w="72" w:type="dxa"/>
            </w:tcMar>
            <w:hideMark/>
          </w:tcPr>
          <w:p w14:paraId="0C94CE48" w14:textId="113B7059" w:rsidR="000E2212" w:rsidRPr="00F0448E" w:rsidRDefault="009F5EC9" w:rsidP="00E3367B">
            <w:pPr>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2023</w:t>
            </w:r>
          </w:p>
        </w:tc>
        <w:tc>
          <w:tcPr>
            <w:tcW w:w="1275" w:type="dxa"/>
            <w:tcMar>
              <w:left w:w="72" w:type="dxa"/>
              <w:right w:w="72" w:type="dxa"/>
            </w:tcMar>
          </w:tcPr>
          <w:p w14:paraId="43BA6072" w14:textId="181BF8DE" w:rsidR="000E2212"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307,732</w:t>
            </w:r>
          </w:p>
        </w:tc>
        <w:tc>
          <w:tcPr>
            <w:tcW w:w="3402" w:type="dxa"/>
            <w:tcMar>
              <w:left w:w="72" w:type="dxa"/>
              <w:right w:w="72" w:type="dxa"/>
            </w:tcMar>
            <w:hideMark/>
          </w:tcPr>
          <w:p w14:paraId="6012C968" w14:textId="06DB43A6" w:rsidR="002B0A46" w:rsidRPr="00F0448E" w:rsidRDefault="002B0A46" w:rsidP="00E3367B">
            <w:pPr>
              <w:bidi/>
              <w:spacing w:before="40" w:after="40"/>
              <w:jc w:val="left"/>
              <w:rPr>
                <w:rFonts w:asciiTheme="majorBidi" w:hAnsiTheme="majorBidi" w:cstheme="majorBidi"/>
                <w:sz w:val="20"/>
                <w:szCs w:val="20"/>
                <w:lang w:val="en-US" w:eastAsia="en-CA" w:bidi="ar-LB"/>
              </w:rPr>
            </w:pPr>
            <w:r w:rsidRPr="00F0448E">
              <w:rPr>
                <w:rFonts w:asciiTheme="majorBidi" w:hAnsiTheme="majorBidi"/>
                <w:sz w:val="20"/>
                <w:szCs w:val="20"/>
                <w:rtl/>
                <w:lang w:val="en-US" w:eastAsia="en-CA" w:bidi="ar-LB"/>
              </w:rPr>
              <w:t>عتبة صرف 20 في المائة</w:t>
            </w:r>
          </w:p>
        </w:tc>
        <w:tc>
          <w:tcPr>
            <w:tcW w:w="5913" w:type="dxa"/>
            <w:vMerge/>
            <w:tcMar>
              <w:left w:w="72" w:type="dxa"/>
              <w:right w:w="72" w:type="dxa"/>
            </w:tcMar>
          </w:tcPr>
          <w:p w14:paraId="4BC58C5F" w14:textId="77777777" w:rsidR="000E2212" w:rsidRPr="00F0448E" w:rsidRDefault="000E2212" w:rsidP="00E3367B">
            <w:pPr>
              <w:bidi/>
              <w:spacing w:before="40" w:after="40"/>
              <w:jc w:val="left"/>
              <w:rPr>
                <w:rFonts w:asciiTheme="majorBidi" w:hAnsiTheme="majorBidi" w:cstheme="majorBidi"/>
                <w:sz w:val="20"/>
                <w:szCs w:val="20"/>
                <w:lang w:eastAsia="en-CA" w:bidi="ar-LB"/>
              </w:rPr>
            </w:pPr>
          </w:p>
        </w:tc>
      </w:tr>
      <w:tr w:rsidR="00FC3112" w:rsidRPr="00F0448E" w14:paraId="72EFA5BF" w14:textId="77777777" w:rsidTr="002F7551">
        <w:trPr>
          <w:trHeight w:val="1733"/>
        </w:trPr>
        <w:tc>
          <w:tcPr>
            <w:tcW w:w="1972" w:type="dxa"/>
            <w:tcMar>
              <w:left w:w="72" w:type="dxa"/>
              <w:right w:w="72" w:type="dxa"/>
            </w:tcMar>
          </w:tcPr>
          <w:p w14:paraId="0157F3CF" w14:textId="1C7FC943" w:rsidR="007D6537" w:rsidRPr="00F0448E" w:rsidRDefault="00F074DA" w:rsidP="00E3367B">
            <w:pPr>
              <w:keepNext/>
              <w:bidi/>
              <w:spacing w:before="40" w:after="40"/>
              <w:ind w:right="-131"/>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موريشيوس</w:t>
            </w:r>
            <w:r w:rsidR="00EB6F45" w:rsidRPr="00F0448E">
              <w:rPr>
                <w:rFonts w:asciiTheme="majorBidi" w:hAnsiTheme="majorBidi" w:cstheme="majorBidi"/>
                <w:sz w:val="20"/>
                <w:szCs w:val="20"/>
                <w:lang w:eastAsia="en-CA" w:bidi="ar-LB"/>
              </w:rPr>
              <w:t xml:space="preserve"> </w:t>
            </w:r>
          </w:p>
          <w:p w14:paraId="2349391C" w14:textId="3B6A5046" w:rsidR="00EB6F45" w:rsidRPr="00F0448E" w:rsidRDefault="00EB6F45" w:rsidP="00E3367B">
            <w:pPr>
              <w:keepNext/>
              <w:bidi/>
              <w:spacing w:before="40" w:after="40"/>
              <w:ind w:right="-131"/>
              <w:jc w:val="left"/>
              <w:rPr>
                <w:rFonts w:asciiTheme="majorBidi" w:hAnsiTheme="majorBidi" w:cstheme="majorBidi"/>
                <w:sz w:val="20"/>
                <w:szCs w:val="20"/>
                <w:lang w:eastAsia="en-CA" w:bidi="ar-LB"/>
              </w:rPr>
            </w:pPr>
          </w:p>
        </w:tc>
        <w:tc>
          <w:tcPr>
            <w:tcW w:w="858" w:type="dxa"/>
            <w:tcMar>
              <w:left w:w="72" w:type="dxa"/>
              <w:right w:w="72" w:type="dxa"/>
            </w:tcMar>
          </w:tcPr>
          <w:p w14:paraId="4B209B66" w14:textId="5AD70452" w:rsidR="00EB6F45" w:rsidRPr="00F0448E" w:rsidRDefault="00E065A0" w:rsidP="00E3367B">
            <w:pPr>
              <w:bidi/>
              <w:spacing w:before="40" w:after="40"/>
              <w:jc w:val="left"/>
              <w:rPr>
                <w:rFonts w:asciiTheme="majorBidi" w:hAnsiTheme="majorBidi" w:cstheme="majorBidi"/>
                <w:sz w:val="20"/>
                <w:szCs w:val="20"/>
                <w:rtl/>
                <w:lang w:eastAsia="en-CA" w:bidi="ar-LB"/>
              </w:rPr>
            </w:pPr>
            <w:r w:rsidRPr="00F0448E">
              <w:rPr>
                <w:rFonts w:asciiTheme="majorBidi" w:hAnsiTheme="majorBidi" w:cstheme="majorBidi"/>
                <w:sz w:val="20"/>
                <w:szCs w:val="20"/>
                <w:rtl/>
                <w:lang w:eastAsia="en-CA" w:bidi="ar-LB"/>
              </w:rPr>
              <w:t>ألمانيا</w:t>
            </w:r>
          </w:p>
        </w:tc>
        <w:tc>
          <w:tcPr>
            <w:tcW w:w="879" w:type="dxa"/>
            <w:tcMar>
              <w:left w:w="72" w:type="dxa"/>
              <w:right w:w="72" w:type="dxa"/>
            </w:tcMar>
          </w:tcPr>
          <w:p w14:paraId="3CF662AF" w14:textId="10E9330D" w:rsidR="00EB6F45"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2023</w:t>
            </w:r>
          </w:p>
        </w:tc>
        <w:tc>
          <w:tcPr>
            <w:tcW w:w="1275" w:type="dxa"/>
            <w:tcMar>
              <w:left w:w="72" w:type="dxa"/>
              <w:right w:w="72" w:type="dxa"/>
            </w:tcMar>
          </w:tcPr>
          <w:p w14:paraId="5334AA1E" w14:textId="052FEEF9" w:rsidR="00EB6F45"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75,343</w:t>
            </w:r>
          </w:p>
        </w:tc>
        <w:tc>
          <w:tcPr>
            <w:tcW w:w="3402" w:type="dxa"/>
            <w:tcMar>
              <w:left w:w="72" w:type="dxa"/>
              <w:right w:w="72" w:type="dxa"/>
            </w:tcMar>
          </w:tcPr>
          <w:p w14:paraId="266F12DF" w14:textId="547C76A5" w:rsidR="00EB6F45" w:rsidRPr="00F0448E" w:rsidRDefault="002B0A46" w:rsidP="00E3367B">
            <w:pPr>
              <w:keepNext/>
              <w:bidi/>
              <w:spacing w:before="40" w:after="40"/>
              <w:jc w:val="left"/>
              <w:rPr>
                <w:rFonts w:asciiTheme="majorBidi" w:hAnsiTheme="majorBidi" w:cstheme="majorBidi"/>
                <w:sz w:val="20"/>
                <w:szCs w:val="20"/>
                <w:lang w:bidi="ar-LB"/>
              </w:rPr>
            </w:pPr>
            <w:r w:rsidRPr="00F0448E">
              <w:rPr>
                <w:rFonts w:asciiTheme="majorBidi" w:hAnsiTheme="majorBidi"/>
                <w:sz w:val="20"/>
                <w:szCs w:val="20"/>
                <w:rtl/>
                <w:lang w:bidi="ar-LB"/>
              </w:rPr>
              <w:t>بطء التنفيذ/عتبة صرف 20 في المائة</w:t>
            </w:r>
          </w:p>
        </w:tc>
        <w:tc>
          <w:tcPr>
            <w:tcW w:w="5913" w:type="dxa"/>
            <w:tcMar>
              <w:left w:w="72" w:type="dxa"/>
              <w:right w:w="72" w:type="dxa"/>
            </w:tcMar>
          </w:tcPr>
          <w:p w14:paraId="0E33C3EA" w14:textId="493F9F7E" w:rsidR="001F0D01" w:rsidRPr="00F0448E" w:rsidRDefault="001F0D01" w:rsidP="00E3367B">
            <w:pPr>
              <w:keepNext/>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بأن معدل الصرف الإجمالي للشريحة الرابعة (2020) من خطة إدارة إزالة المواد الهيدروكلوروفلوروكربونية كان دون عتبة الصرف البالغة 20 في المائة، وحث حكومة موريشيوس على العمل مع حكومة ألمانيا بحيث يتسنى تقديم الشريحة الخامسة (2023) من خطة إدارة إزالة المواد الهيدروكلوروفلوروكربونية إلى الاجتماع الخامس والتسعين مع خطة عمل منقحة تأخذ في عين الاعتبار إعادة تخصيص شريحة 2023 والشرائح اللاحقة، على أساس أن عتبة الصرف البالغة 20 في المائة لتمويل الشريحة السابقة قد تم تحقيقها.</w:t>
            </w:r>
          </w:p>
        </w:tc>
      </w:tr>
      <w:tr w:rsidR="00FC3112" w:rsidRPr="00F0448E" w14:paraId="520363AB" w14:textId="77777777" w:rsidTr="002F7551">
        <w:trPr>
          <w:trHeight w:val="541"/>
        </w:trPr>
        <w:tc>
          <w:tcPr>
            <w:tcW w:w="1972" w:type="dxa"/>
            <w:vMerge w:val="restart"/>
            <w:tcMar>
              <w:left w:w="72" w:type="dxa"/>
              <w:right w:w="72" w:type="dxa"/>
            </w:tcMar>
          </w:tcPr>
          <w:p w14:paraId="4E47ADBE" w14:textId="70B9B5FC" w:rsidR="009133EE" w:rsidRPr="00F0448E" w:rsidRDefault="00F074DA"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نيبال</w:t>
            </w:r>
            <w:r w:rsidR="009133EE" w:rsidRPr="00F0448E">
              <w:rPr>
                <w:rFonts w:asciiTheme="majorBidi" w:hAnsiTheme="majorBidi" w:cstheme="majorBidi"/>
                <w:sz w:val="20"/>
                <w:szCs w:val="20"/>
                <w:lang w:eastAsia="en-CA" w:bidi="ar-LB"/>
              </w:rPr>
              <w:t xml:space="preserve"> </w:t>
            </w:r>
          </w:p>
          <w:p w14:paraId="6EB68400" w14:textId="2FB78FD1" w:rsidR="009133EE" w:rsidRPr="00F0448E" w:rsidRDefault="009F5EC9"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shd w:val="clear" w:color="auto" w:fill="auto"/>
            <w:tcMar>
              <w:left w:w="72" w:type="dxa"/>
              <w:right w:w="72" w:type="dxa"/>
            </w:tcMar>
          </w:tcPr>
          <w:p w14:paraId="6AF2D854" w14:textId="7099F015" w:rsidR="009133EE" w:rsidRPr="00F0448E" w:rsidRDefault="00E065A0"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اليونيب</w:t>
            </w:r>
            <w:r w:rsidR="00D50679" w:rsidRPr="00F0448E">
              <w:rPr>
                <w:rFonts w:asciiTheme="majorBidi" w:hAnsiTheme="majorBidi" w:cstheme="majorBidi"/>
                <w:sz w:val="20"/>
                <w:szCs w:val="20"/>
                <w:lang w:eastAsia="en-CA" w:bidi="ar-LB"/>
              </w:rPr>
              <w:t xml:space="preserve"> </w:t>
            </w:r>
          </w:p>
        </w:tc>
        <w:tc>
          <w:tcPr>
            <w:tcW w:w="879" w:type="dxa"/>
            <w:shd w:val="clear" w:color="auto" w:fill="auto"/>
            <w:tcMar>
              <w:left w:w="72" w:type="dxa"/>
              <w:right w:w="72" w:type="dxa"/>
            </w:tcMar>
          </w:tcPr>
          <w:p w14:paraId="0161F0C0" w14:textId="7B83410B" w:rsidR="009133EE"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2023</w:t>
            </w:r>
          </w:p>
        </w:tc>
        <w:tc>
          <w:tcPr>
            <w:tcW w:w="1275" w:type="dxa"/>
            <w:shd w:val="clear" w:color="auto" w:fill="auto"/>
            <w:tcMar>
              <w:left w:w="72" w:type="dxa"/>
              <w:right w:w="72" w:type="dxa"/>
            </w:tcMar>
          </w:tcPr>
          <w:p w14:paraId="255DAE53" w14:textId="3C23846D" w:rsidR="009133EE"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75,710</w:t>
            </w:r>
          </w:p>
        </w:tc>
        <w:tc>
          <w:tcPr>
            <w:tcW w:w="3402" w:type="dxa"/>
            <w:shd w:val="clear" w:color="auto" w:fill="auto"/>
            <w:tcMar>
              <w:left w:w="72" w:type="dxa"/>
              <w:right w:w="72" w:type="dxa"/>
            </w:tcMar>
          </w:tcPr>
          <w:p w14:paraId="15F55EF4" w14:textId="2C5BC275" w:rsidR="002B0A46" w:rsidRPr="00F0448E" w:rsidRDefault="002B0A46" w:rsidP="00E3367B">
            <w:pPr>
              <w:keepNext/>
              <w:bidi/>
              <w:spacing w:before="40" w:after="40"/>
              <w:jc w:val="left"/>
              <w:rPr>
                <w:rFonts w:asciiTheme="majorBidi" w:hAnsiTheme="majorBidi" w:cstheme="majorBidi"/>
                <w:sz w:val="20"/>
                <w:szCs w:val="20"/>
                <w:lang w:bidi="ar-LB"/>
              </w:rPr>
            </w:pPr>
            <w:r w:rsidRPr="00F0448E">
              <w:rPr>
                <w:rFonts w:asciiTheme="majorBidi" w:hAnsiTheme="majorBidi"/>
                <w:sz w:val="20"/>
                <w:szCs w:val="20"/>
                <w:rtl/>
                <w:lang w:val="en-US" w:bidi="ar-LB"/>
              </w:rPr>
              <w:t>القرارات الحكومية/موافقاتها/التغييرات في وحدة الأوزون الوطنية</w:t>
            </w:r>
          </w:p>
        </w:tc>
        <w:tc>
          <w:tcPr>
            <w:tcW w:w="5913" w:type="dxa"/>
            <w:vMerge w:val="restart"/>
            <w:shd w:val="clear" w:color="auto" w:fill="auto"/>
            <w:tcMar>
              <w:left w:w="72" w:type="dxa"/>
              <w:right w:w="72" w:type="dxa"/>
            </w:tcMar>
          </w:tcPr>
          <w:p w14:paraId="0148697C" w14:textId="65311FFD" w:rsidR="001F0D01" w:rsidRPr="00F0448E" w:rsidRDefault="001F0D01" w:rsidP="00E3367B">
            <w:pPr>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بالتأخيرات الناجمة عن المشتريات والتغييرات في وحدة الأوزون الوطنية، وحث حكومة نيبال على العمل مع اليونيب واليوئنديبي بحيث يتسنى تقديم الشريحة الثانية (2023) من المرحلة الثانية من خطة إدارة إزالة المواد الهيدروكلوروفلوروكربونية إلى الاجتماع الخامس والتسعين مع خطة عمل منقحة تأخذ في عين الاعتبار إعادة تخصيص شرائح 2023 والشرائح اللاحقة.</w:t>
            </w:r>
          </w:p>
        </w:tc>
      </w:tr>
      <w:tr w:rsidR="00FC3112" w:rsidRPr="00F0448E" w14:paraId="7D60EE8D" w14:textId="77777777" w:rsidTr="002F7551">
        <w:trPr>
          <w:trHeight w:val="541"/>
        </w:trPr>
        <w:tc>
          <w:tcPr>
            <w:tcW w:w="1972" w:type="dxa"/>
            <w:vMerge/>
            <w:tcMar>
              <w:left w:w="72" w:type="dxa"/>
              <w:right w:w="72" w:type="dxa"/>
            </w:tcMar>
          </w:tcPr>
          <w:p w14:paraId="6713805B" w14:textId="77777777" w:rsidR="009133EE" w:rsidRPr="00F0448E" w:rsidRDefault="009133EE" w:rsidP="00E3367B">
            <w:pPr>
              <w:bidi/>
              <w:spacing w:before="40" w:after="40"/>
              <w:jc w:val="left"/>
              <w:rPr>
                <w:rFonts w:asciiTheme="majorBidi" w:hAnsiTheme="majorBidi" w:cstheme="majorBidi"/>
                <w:sz w:val="20"/>
                <w:szCs w:val="20"/>
                <w:lang w:eastAsia="en-CA" w:bidi="ar-LB"/>
              </w:rPr>
            </w:pPr>
          </w:p>
        </w:tc>
        <w:tc>
          <w:tcPr>
            <w:tcW w:w="858" w:type="dxa"/>
            <w:tcMar>
              <w:left w:w="72" w:type="dxa"/>
              <w:right w:w="72" w:type="dxa"/>
            </w:tcMar>
          </w:tcPr>
          <w:p w14:paraId="72301FF6" w14:textId="1E0E2640" w:rsidR="009133EE" w:rsidRPr="00F0448E" w:rsidRDefault="00E065A0"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اليوئنديبي</w:t>
            </w:r>
          </w:p>
        </w:tc>
        <w:tc>
          <w:tcPr>
            <w:tcW w:w="879" w:type="dxa"/>
            <w:tcMar>
              <w:left w:w="72" w:type="dxa"/>
              <w:right w:w="72" w:type="dxa"/>
            </w:tcMar>
          </w:tcPr>
          <w:p w14:paraId="3B4718B4" w14:textId="7A2B254E" w:rsidR="009133EE" w:rsidRPr="00F0448E" w:rsidRDefault="009F5EC9" w:rsidP="00E3367B">
            <w:pPr>
              <w:keepNext/>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2023</w:t>
            </w:r>
          </w:p>
        </w:tc>
        <w:tc>
          <w:tcPr>
            <w:tcW w:w="1275" w:type="dxa"/>
            <w:tcMar>
              <w:left w:w="72" w:type="dxa"/>
              <w:right w:w="72" w:type="dxa"/>
            </w:tcMar>
          </w:tcPr>
          <w:p w14:paraId="318B8071" w14:textId="1A4EAC0D" w:rsidR="009133EE" w:rsidRPr="00F0448E" w:rsidRDefault="00077004" w:rsidP="00E3367B">
            <w:pPr>
              <w:keepNext/>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137,340</w:t>
            </w:r>
          </w:p>
        </w:tc>
        <w:tc>
          <w:tcPr>
            <w:tcW w:w="3402" w:type="dxa"/>
            <w:tcMar>
              <w:left w:w="72" w:type="dxa"/>
              <w:right w:w="72" w:type="dxa"/>
            </w:tcMar>
          </w:tcPr>
          <w:p w14:paraId="4FCB3ABA" w14:textId="0C87465C" w:rsidR="002B0A46" w:rsidRPr="00F0448E" w:rsidRDefault="002B0A46" w:rsidP="00E3367B">
            <w:pPr>
              <w:keepNext/>
              <w:bidi/>
              <w:spacing w:before="40" w:after="40"/>
              <w:jc w:val="left"/>
              <w:rPr>
                <w:rFonts w:asciiTheme="majorBidi" w:hAnsiTheme="majorBidi" w:cstheme="majorBidi"/>
                <w:sz w:val="20"/>
                <w:szCs w:val="20"/>
                <w:lang w:val="en-US" w:bidi="ar-LB"/>
              </w:rPr>
            </w:pPr>
            <w:r w:rsidRPr="00F0448E">
              <w:rPr>
                <w:rFonts w:asciiTheme="majorBidi" w:hAnsiTheme="majorBidi"/>
                <w:sz w:val="20"/>
                <w:szCs w:val="20"/>
                <w:rtl/>
                <w:lang w:val="en-US" w:bidi="ar-LB"/>
              </w:rPr>
              <w:t>تأخيرات المشتريات</w:t>
            </w:r>
          </w:p>
        </w:tc>
        <w:tc>
          <w:tcPr>
            <w:tcW w:w="5913" w:type="dxa"/>
            <w:vMerge/>
            <w:tcMar>
              <w:left w:w="72" w:type="dxa"/>
              <w:right w:w="72" w:type="dxa"/>
            </w:tcMar>
          </w:tcPr>
          <w:p w14:paraId="4298DCF1" w14:textId="77777777" w:rsidR="009133EE" w:rsidRPr="00F0448E" w:rsidRDefault="009133EE" w:rsidP="00E3367B">
            <w:pPr>
              <w:bidi/>
              <w:spacing w:before="40" w:after="40"/>
              <w:jc w:val="left"/>
              <w:rPr>
                <w:rFonts w:asciiTheme="majorBidi" w:hAnsiTheme="majorBidi" w:cstheme="majorBidi"/>
                <w:sz w:val="20"/>
                <w:szCs w:val="20"/>
                <w:lang w:bidi="ar-LB"/>
              </w:rPr>
            </w:pPr>
          </w:p>
        </w:tc>
      </w:tr>
      <w:tr w:rsidR="00FC3112" w:rsidRPr="00F0448E" w14:paraId="2B7F3C2A" w14:textId="77777777" w:rsidTr="002F7551">
        <w:trPr>
          <w:trHeight w:val="188"/>
        </w:trPr>
        <w:tc>
          <w:tcPr>
            <w:tcW w:w="1972" w:type="dxa"/>
            <w:vMerge w:val="restart"/>
            <w:tcMar>
              <w:left w:w="72" w:type="dxa"/>
              <w:right w:w="72" w:type="dxa"/>
            </w:tcMar>
          </w:tcPr>
          <w:p w14:paraId="5057A92A" w14:textId="1A666309" w:rsidR="0049646F" w:rsidRPr="00F0448E" w:rsidRDefault="00F074DA"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باكستان</w:t>
            </w:r>
            <w:r w:rsidR="0049646F" w:rsidRPr="00F0448E">
              <w:rPr>
                <w:rFonts w:asciiTheme="majorBidi" w:hAnsiTheme="majorBidi" w:cstheme="majorBidi"/>
                <w:sz w:val="20"/>
                <w:szCs w:val="20"/>
                <w:lang w:eastAsia="en-CA" w:bidi="ar-LB"/>
              </w:rPr>
              <w:t xml:space="preserve"> </w:t>
            </w:r>
          </w:p>
          <w:p w14:paraId="1117FFEC" w14:textId="7F1E84F5" w:rsidR="0049646F" w:rsidRPr="00F0448E" w:rsidRDefault="009F5EC9"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الثانية)</w:t>
            </w:r>
          </w:p>
        </w:tc>
        <w:tc>
          <w:tcPr>
            <w:tcW w:w="858" w:type="dxa"/>
            <w:tcMar>
              <w:left w:w="72" w:type="dxa"/>
              <w:right w:w="72" w:type="dxa"/>
            </w:tcMar>
          </w:tcPr>
          <w:p w14:paraId="60C1B0D6" w14:textId="4757843A" w:rsidR="0049646F" w:rsidRPr="00F0448E" w:rsidRDefault="00F1413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اليونيدو</w:t>
            </w:r>
            <w:r w:rsidR="00C65E03" w:rsidRPr="00F0448E">
              <w:rPr>
                <w:rFonts w:asciiTheme="majorBidi" w:hAnsiTheme="majorBidi" w:cstheme="majorBidi"/>
                <w:sz w:val="20"/>
                <w:szCs w:val="20"/>
                <w:lang w:eastAsia="en-CA" w:bidi="ar-LB"/>
              </w:rPr>
              <w:t xml:space="preserve"> </w:t>
            </w:r>
          </w:p>
        </w:tc>
        <w:tc>
          <w:tcPr>
            <w:tcW w:w="879" w:type="dxa"/>
            <w:tcMar>
              <w:left w:w="72" w:type="dxa"/>
              <w:right w:w="72" w:type="dxa"/>
            </w:tcMar>
          </w:tcPr>
          <w:p w14:paraId="01A9F31D" w14:textId="5DC8CC50" w:rsidR="0049646F" w:rsidRPr="00F0448E" w:rsidRDefault="009F5EC9" w:rsidP="00E3367B">
            <w:pPr>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6FE04C31" w14:textId="01D2A56B" w:rsidR="0049646F"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1,123,286</w:t>
            </w:r>
          </w:p>
        </w:tc>
        <w:tc>
          <w:tcPr>
            <w:tcW w:w="3402" w:type="dxa"/>
            <w:tcMar>
              <w:left w:w="72" w:type="dxa"/>
              <w:right w:w="72" w:type="dxa"/>
            </w:tcMar>
          </w:tcPr>
          <w:p w14:paraId="0AD7D789" w14:textId="68DEFD29" w:rsidR="002B0A46" w:rsidRPr="00F0448E" w:rsidRDefault="002B0A46" w:rsidP="00E3367B">
            <w:pPr>
              <w:keepNext/>
              <w:bidi/>
              <w:spacing w:before="40" w:after="40"/>
              <w:jc w:val="left"/>
              <w:rPr>
                <w:rFonts w:asciiTheme="majorBidi" w:hAnsiTheme="majorBidi" w:cstheme="majorBidi"/>
                <w:sz w:val="20"/>
                <w:szCs w:val="20"/>
                <w:lang w:val="en-US" w:bidi="ar-LB"/>
              </w:rPr>
            </w:pPr>
            <w:r w:rsidRPr="00F0448E">
              <w:rPr>
                <w:rFonts w:asciiTheme="majorBidi" w:hAnsiTheme="majorBidi"/>
                <w:sz w:val="20"/>
                <w:szCs w:val="20"/>
                <w:rtl/>
                <w:lang w:val="en-US" w:eastAsia="en-CA" w:bidi="ar-LB"/>
              </w:rPr>
              <w:t>عتبة صرف 20 في المائة</w:t>
            </w:r>
          </w:p>
        </w:tc>
        <w:tc>
          <w:tcPr>
            <w:tcW w:w="5913" w:type="dxa"/>
            <w:vMerge w:val="restart"/>
            <w:tcMar>
              <w:left w:w="72" w:type="dxa"/>
              <w:right w:w="72" w:type="dxa"/>
            </w:tcMar>
          </w:tcPr>
          <w:p w14:paraId="157458CC" w14:textId="316E4BDF" w:rsidR="001F0D01" w:rsidRPr="00F0448E" w:rsidRDefault="001F0D01" w:rsidP="00E3367B">
            <w:pPr>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 xml:space="preserve">الإحاطة علماً بأن معدل الصرف الإجمالي للشريحة الأولى (2022) من المرحلة الثالثة من خطة إدارة إزالة المواد الهيدروكلوروفلوروكربونية كان دون عتبة الصرف البالغة 20 في المائة، وحث حكومة باكستان على العمل مع اليونيدو واليونيب بحيث يتسنى تقديم الشريحة الثانية (2024) من المرحلة الثالثة من خطة إدارة إزالة المواد الهيدروكلوروفلوروكربونية إلى </w:t>
            </w:r>
            <w:r w:rsidRPr="00F0448E">
              <w:rPr>
                <w:rFonts w:asciiTheme="majorBidi" w:hAnsiTheme="majorBidi"/>
                <w:sz w:val="20"/>
                <w:szCs w:val="20"/>
                <w:rtl/>
                <w:lang w:val="en-US" w:bidi="ar-LB"/>
              </w:rPr>
              <w:lastRenderedPageBreak/>
              <w:t>الاجتماع الخامس والتسعين، على أساس أن عتبة الصرف البالغة 20 في المائة لتمويل الشريحة السابقة قد تم تحقيقها.</w:t>
            </w:r>
          </w:p>
        </w:tc>
      </w:tr>
      <w:tr w:rsidR="00FC3112" w:rsidRPr="00F0448E" w14:paraId="57363EE5" w14:textId="77777777" w:rsidTr="002F7551">
        <w:trPr>
          <w:trHeight w:val="192"/>
        </w:trPr>
        <w:tc>
          <w:tcPr>
            <w:tcW w:w="1972" w:type="dxa"/>
            <w:vMerge/>
            <w:tcMar>
              <w:left w:w="72" w:type="dxa"/>
              <w:right w:w="72" w:type="dxa"/>
            </w:tcMar>
          </w:tcPr>
          <w:p w14:paraId="21E9CBB6" w14:textId="77777777" w:rsidR="0049646F" w:rsidRPr="00F0448E" w:rsidRDefault="0049646F" w:rsidP="00E3367B">
            <w:pPr>
              <w:bidi/>
              <w:spacing w:before="40" w:after="40"/>
              <w:jc w:val="left"/>
              <w:rPr>
                <w:rFonts w:asciiTheme="majorBidi" w:hAnsiTheme="majorBidi" w:cstheme="majorBidi"/>
                <w:sz w:val="20"/>
                <w:szCs w:val="20"/>
                <w:lang w:eastAsia="en-CA" w:bidi="ar-LB"/>
              </w:rPr>
            </w:pPr>
          </w:p>
        </w:tc>
        <w:tc>
          <w:tcPr>
            <w:tcW w:w="858" w:type="dxa"/>
            <w:tcMar>
              <w:left w:w="72" w:type="dxa"/>
              <w:right w:w="72" w:type="dxa"/>
            </w:tcMar>
          </w:tcPr>
          <w:p w14:paraId="2138CAE1" w14:textId="70235156" w:rsidR="0049646F" w:rsidRPr="00F0448E" w:rsidRDefault="00E065A0"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اليونيب</w:t>
            </w:r>
          </w:p>
        </w:tc>
        <w:tc>
          <w:tcPr>
            <w:tcW w:w="879" w:type="dxa"/>
            <w:tcMar>
              <w:left w:w="72" w:type="dxa"/>
              <w:right w:w="72" w:type="dxa"/>
            </w:tcMar>
          </w:tcPr>
          <w:p w14:paraId="1ACBD156" w14:textId="75C67F28" w:rsidR="0049646F" w:rsidRPr="00F0448E" w:rsidRDefault="009F5EC9" w:rsidP="00E3367B">
            <w:pPr>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182AA18B" w14:textId="7CBCD598" w:rsidR="0049646F"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821,853</w:t>
            </w:r>
          </w:p>
        </w:tc>
        <w:tc>
          <w:tcPr>
            <w:tcW w:w="3402" w:type="dxa"/>
            <w:tcMar>
              <w:left w:w="72" w:type="dxa"/>
              <w:right w:w="72" w:type="dxa"/>
            </w:tcMar>
          </w:tcPr>
          <w:p w14:paraId="3684080B" w14:textId="4654B085" w:rsidR="002B0A46" w:rsidRPr="00F0448E" w:rsidRDefault="002B0A46" w:rsidP="00E3367B">
            <w:pPr>
              <w:keepNext/>
              <w:bidi/>
              <w:spacing w:before="40" w:after="40"/>
              <w:jc w:val="left"/>
              <w:rPr>
                <w:rFonts w:asciiTheme="majorBidi" w:hAnsiTheme="majorBidi" w:cstheme="majorBidi"/>
                <w:sz w:val="20"/>
                <w:szCs w:val="20"/>
                <w:lang w:val="en-US" w:bidi="ar-LB"/>
              </w:rPr>
            </w:pPr>
            <w:r w:rsidRPr="00F0448E">
              <w:rPr>
                <w:rFonts w:asciiTheme="majorBidi" w:hAnsiTheme="majorBidi"/>
                <w:sz w:val="20"/>
                <w:szCs w:val="20"/>
                <w:rtl/>
                <w:lang w:val="en-US" w:bidi="ar-LB"/>
              </w:rPr>
              <w:t>القرارات الحكومية/موافقاتها/التغييرات في وحدة الأوزون الوطنية/توقيع الاتفاق/أموال كافية من الشريحة السابقة الموافق عليها/عتبة صرف 20 في المائة</w:t>
            </w:r>
          </w:p>
        </w:tc>
        <w:tc>
          <w:tcPr>
            <w:tcW w:w="5913" w:type="dxa"/>
            <w:vMerge/>
            <w:tcMar>
              <w:left w:w="72" w:type="dxa"/>
              <w:right w:w="72" w:type="dxa"/>
            </w:tcMar>
          </w:tcPr>
          <w:p w14:paraId="023570D5" w14:textId="77777777" w:rsidR="0049646F" w:rsidRPr="00F0448E" w:rsidRDefault="0049646F" w:rsidP="00E3367B">
            <w:pPr>
              <w:bidi/>
              <w:spacing w:before="40" w:after="40"/>
              <w:jc w:val="left"/>
              <w:rPr>
                <w:rFonts w:asciiTheme="majorBidi" w:hAnsiTheme="majorBidi" w:cstheme="majorBidi"/>
                <w:sz w:val="20"/>
                <w:szCs w:val="20"/>
                <w:lang w:bidi="ar-LB"/>
              </w:rPr>
            </w:pPr>
          </w:p>
        </w:tc>
      </w:tr>
      <w:tr w:rsidR="00FC3112" w:rsidRPr="00F0448E" w14:paraId="394C6546" w14:textId="77777777" w:rsidTr="002F7551">
        <w:trPr>
          <w:trHeight w:val="759"/>
        </w:trPr>
        <w:tc>
          <w:tcPr>
            <w:tcW w:w="1972" w:type="dxa"/>
            <w:vMerge w:val="restart"/>
            <w:tcMar>
              <w:left w:w="72" w:type="dxa"/>
              <w:right w:w="72" w:type="dxa"/>
            </w:tcMar>
          </w:tcPr>
          <w:p w14:paraId="59DB877B" w14:textId="126801B2" w:rsidR="00CF77CD" w:rsidRPr="00F0448E" w:rsidRDefault="00F074DA"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السنغال</w:t>
            </w:r>
            <w:r w:rsidR="00CF77CD" w:rsidRPr="00F0448E">
              <w:rPr>
                <w:rFonts w:asciiTheme="majorBidi" w:hAnsiTheme="majorBidi" w:cstheme="majorBidi"/>
                <w:sz w:val="20"/>
                <w:szCs w:val="20"/>
                <w:lang w:eastAsia="en-CA" w:bidi="ar-LB"/>
              </w:rPr>
              <w:t xml:space="preserve"> </w:t>
            </w:r>
          </w:p>
          <w:p w14:paraId="0AAC91BC" w14:textId="4C6CAF65" w:rsidR="00CF77CD" w:rsidRPr="00F0448E" w:rsidRDefault="009F5EC9"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(المرحلة الثالثة)</w:t>
            </w:r>
          </w:p>
        </w:tc>
        <w:tc>
          <w:tcPr>
            <w:tcW w:w="858" w:type="dxa"/>
            <w:tcMar>
              <w:left w:w="72" w:type="dxa"/>
              <w:right w:w="72" w:type="dxa"/>
            </w:tcMar>
          </w:tcPr>
          <w:p w14:paraId="195F8C2D" w14:textId="5712AA81" w:rsidR="00CF77CD" w:rsidRPr="00F0448E" w:rsidRDefault="00E065A0" w:rsidP="00E3367B">
            <w:pPr>
              <w:bidi/>
              <w:spacing w:before="40" w:after="40"/>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اليونيب</w:t>
            </w:r>
          </w:p>
        </w:tc>
        <w:tc>
          <w:tcPr>
            <w:tcW w:w="879" w:type="dxa"/>
            <w:tcMar>
              <w:left w:w="72" w:type="dxa"/>
              <w:right w:w="72" w:type="dxa"/>
            </w:tcMar>
          </w:tcPr>
          <w:p w14:paraId="01915AA4" w14:textId="5DD8EBF0" w:rsidR="00CF77CD" w:rsidRPr="00F0448E" w:rsidRDefault="009F5EC9" w:rsidP="00E3367B">
            <w:pPr>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2023</w:t>
            </w:r>
          </w:p>
        </w:tc>
        <w:tc>
          <w:tcPr>
            <w:tcW w:w="1275" w:type="dxa"/>
            <w:tcMar>
              <w:left w:w="72" w:type="dxa"/>
              <w:right w:w="72" w:type="dxa"/>
            </w:tcMar>
          </w:tcPr>
          <w:p w14:paraId="404EF336" w14:textId="10615498" w:rsidR="00CF77CD"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202,835</w:t>
            </w:r>
          </w:p>
        </w:tc>
        <w:tc>
          <w:tcPr>
            <w:tcW w:w="3402" w:type="dxa"/>
            <w:tcMar>
              <w:left w:w="72" w:type="dxa"/>
              <w:right w:w="72" w:type="dxa"/>
            </w:tcMar>
          </w:tcPr>
          <w:p w14:paraId="2FD529D9" w14:textId="11C98FF2" w:rsidR="002B0A46" w:rsidRPr="00F0448E" w:rsidRDefault="002B0A46" w:rsidP="00E3367B">
            <w:pPr>
              <w:keepNext/>
              <w:bidi/>
              <w:spacing w:before="40" w:after="40"/>
              <w:jc w:val="left"/>
              <w:rPr>
                <w:rFonts w:asciiTheme="majorBidi" w:hAnsiTheme="majorBidi" w:cstheme="majorBidi"/>
                <w:sz w:val="20"/>
                <w:szCs w:val="20"/>
                <w:lang w:bidi="ar-LB"/>
              </w:rPr>
            </w:pPr>
            <w:r w:rsidRPr="00F0448E">
              <w:rPr>
                <w:rFonts w:asciiTheme="majorBidi" w:hAnsiTheme="majorBidi"/>
                <w:sz w:val="20"/>
                <w:szCs w:val="20"/>
                <w:rtl/>
                <w:lang w:bidi="ar-LB"/>
              </w:rPr>
              <w:t>أموال كافية من الشريحة السابقة الموافق عليها</w:t>
            </w:r>
          </w:p>
        </w:tc>
        <w:tc>
          <w:tcPr>
            <w:tcW w:w="5913" w:type="dxa"/>
            <w:vMerge w:val="restart"/>
            <w:tcMar>
              <w:left w:w="72" w:type="dxa"/>
              <w:right w:w="72" w:type="dxa"/>
            </w:tcMar>
          </w:tcPr>
          <w:p w14:paraId="1FB336DC" w14:textId="539E4009" w:rsidR="001F0D01" w:rsidRPr="00F0448E" w:rsidRDefault="001F0D01" w:rsidP="00E3367B">
            <w:pPr>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بالتأخير الناجم عن الصعوبات الداخلية أو الخارجية في قضايا سلسلة التوريد في مرحلة ما بعد جائحة كوفيد-19، وأن هناك أموالاً كافية من الشريحة السابقة الموافق عليها، وحث حكومة السنغال على العمل مع اليونيب واليونيدو بحيث يتسنى تقديم الشريحة الثانية (2023) من المرحلة الثانية من خطة إدارة إزالة المواد</w:t>
            </w:r>
            <w:r w:rsidRPr="00F0448E">
              <w:rPr>
                <w:rFonts w:asciiTheme="majorBidi" w:hAnsiTheme="majorBidi" w:cstheme="majorBidi"/>
                <w:sz w:val="20"/>
                <w:szCs w:val="20"/>
                <w:rtl/>
                <w:lang w:val="en-US" w:bidi="ar-LB"/>
              </w:rPr>
              <w:t xml:space="preserve"> </w:t>
            </w:r>
            <w:r w:rsidRPr="00F0448E">
              <w:rPr>
                <w:rFonts w:asciiTheme="majorBidi" w:hAnsiTheme="majorBidi"/>
                <w:sz w:val="20"/>
                <w:szCs w:val="20"/>
                <w:rtl/>
                <w:lang w:val="en-US" w:bidi="ar-LB"/>
              </w:rPr>
              <w:t>الهيدروكلوروفلوروكربونية إلى الاجتماع الخامس والتسعين مع خطة عمل منقحة تأخذ في عين الاعتبار إعادة تخصيص شرائح 2023 والشرائح اللاحقة.</w:t>
            </w:r>
          </w:p>
        </w:tc>
      </w:tr>
      <w:tr w:rsidR="00FC3112" w:rsidRPr="00F0448E" w14:paraId="339FF43E" w14:textId="77777777" w:rsidTr="002F7551">
        <w:trPr>
          <w:trHeight w:val="760"/>
        </w:trPr>
        <w:tc>
          <w:tcPr>
            <w:tcW w:w="1972" w:type="dxa"/>
            <w:vMerge/>
            <w:tcMar>
              <w:left w:w="72" w:type="dxa"/>
              <w:right w:w="72" w:type="dxa"/>
            </w:tcMar>
          </w:tcPr>
          <w:p w14:paraId="42D5EF9E" w14:textId="77777777" w:rsidR="00CF77CD" w:rsidRPr="00F0448E" w:rsidRDefault="00CF77CD" w:rsidP="00E3367B">
            <w:pPr>
              <w:bidi/>
              <w:spacing w:before="40" w:after="40"/>
              <w:jc w:val="left"/>
              <w:rPr>
                <w:rFonts w:asciiTheme="majorBidi" w:hAnsiTheme="majorBidi" w:cstheme="majorBidi"/>
                <w:sz w:val="20"/>
                <w:szCs w:val="20"/>
                <w:lang w:eastAsia="en-CA" w:bidi="ar-LB"/>
              </w:rPr>
            </w:pPr>
          </w:p>
        </w:tc>
        <w:tc>
          <w:tcPr>
            <w:tcW w:w="858" w:type="dxa"/>
            <w:tcMar>
              <w:left w:w="72" w:type="dxa"/>
              <w:right w:w="72" w:type="dxa"/>
            </w:tcMar>
          </w:tcPr>
          <w:p w14:paraId="24565B4A" w14:textId="406D2508" w:rsidR="00CF77CD" w:rsidRPr="00F0448E" w:rsidRDefault="00F14134" w:rsidP="00E3367B">
            <w:pPr>
              <w:bidi/>
              <w:spacing w:before="40" w:after="40"/>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اليونيدو</w:t>
            </w:r>
          </w:p>
        </w:tc>
        <w:tc>
          <w:tcPr>
            <w:tcW w:w="879" w:type="dxa"/>
            <w:tcMar>
              <w:left w:w="72" w:type="dxa"/>
              <w:right w:w="72" w:type="dxa"/>
            </w:tcMar>
          </w:tcPr>
          <w:p w14:paraId="1FF8E606" w14:textId="0DB62CF3" w:rsidR="00CF77CD" w:rsidRPr="00F0448E" w:rsidRDefault="009F5EC9" w:rsidP="00E3367B">
            <w:pPr>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2023</w:t>
            </w:r>
          </w:p>
        </w:tc>
        <w:tc>
          <w:tcPr>
            <w:tcW w:w="1275" w:type="dxa"/>
            <w:tcMar>
              <w:left w:w="72" w:type="dxa"/>
              <w:right w:w="72" w:type="dxa"/>
            </w:tcMar>
          </w:tcPr>
          <w:p w14:paraId="2A9D3A3D" w14:textId="771D3B44" w:rsidR="00CF77CD"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103,550</w:t>
            </w:r>
          </w:p>
        </w:tc>
        <w:tc>
          <w:tcPr>
            <w:tcW w:w="3402" w:type="dxa"/>
            <w:tcMar>
              <w:left w:w="72" w:type="dxa"/>
              <w:right w:w="72" w:type="dxa"/>
            </w:tcMar>
          </w:tcPr>
          <w:p w14:paraId="6CD009A1" w14:textId="4412D8A6" w:rsidR="002B0A46" w:rsidRPr="00F0448E" w:rsidRDefault="002B0A46" w:rsidP="00E3367B">
            <w:pPr>
              <w:keepNext/>
              <w:bidi/>
              <w:spacing w:before="40" w:after="40"/>
              <w:jc w:val="left"/>
              <w:rPr>
                <w:rFonts w:asciiTheme="majorBidi" w:hAnsiTheme="majorBidi" w:cstheme="majorBidi"/>
                <w:sz w:val="20"/>
                <w:szCs w:val="20"/>
                <w:lang w:val="en-US" w:bidi="ar-LB"/>
              </w:rPr>
            </w:pPr>
            <w:r w:rsidRPr="00F0448E">
              <w:rPr>
                <w:rFonts w:asciiTheme="majorBidi" w:hAnsiTheme="majorBidi"/>
                <w:sz w:val="20"/>
                <w:szCs w:val="20"/>
                <w:rtl/>
                <w:lang w:val="en-US" w:bidi="ar-LB"/>
              </w:rPr>
              <w:t>صعوبات داخلية أو خارجية</w:t>
            </w:r>
          </w:p>
        </w:tc>
        <w:tc>
          <w:tcPr>
            <w:tcW w:w="5913" w:type="dxa"/>
            <w:vMerge/>
            <w:tcMar>
              <w:left w:w="72" w:type="dxa"/>
              <w:right w:w="72" w:type="dxa"/>
            </w:tcMar>
          </w:tcPr>
          <w:p w14:paraId="040E4CAB" w14:textId="77777777" w:rsidR="00CF77CD" w:rsidRPr="00F0448E" w:rsidRDefault="00CF77CD" w:rsidP="00E3367B">
            <w:pPr>
              <w:bidi/>
              <w:spacing w:before="40" w:after="40"/>
              <w:jc w:val="left"/>
              <w:rPr>
                <w:rFonts w:asciiTheme="majorBidi" w:hAnsiTheme="majorBidi" w:cstheme="majorBidi"/>
                <w:sz w:val="20"/>
                <w:szCs w:val="20"/>
                <w:lang w:bidi="ar-LB"/>
              </w:rPr>
            </w:pPr>
          </w:p>
        </w:tc>
      </w:tr>
      <w:tr w:rsidR="00FC3112" w:rsidRPr="00F0448E" w14:paraId="6C4AED30" w14:textId="77777777" w:rsidTr="002F7551">
        <w:trPr>
          <w:trHeight w:val="869"/>
        </w:trPr>
        <w:tc>
          <w:tcPr>
            <w:tcW w:w="1972" w:type="dxa"/>
            <w:vMerge w:val="restart"/>
            <w:tcMar>
              <w:left w:w="72" w:type="dxa"/>
              <w:right w:w="72" w:type="dxa"/>
            </w:tcMar>
          </w:tcPr>
          <w:p w14:paraId="036FE6C7" w14:textId="77777777" w:rsidR="00F074DA" w:rsidRPr="00F0448E" w:rsidRDefault="00F074DA"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 xml:space="preserve">الجمهورية العربية السورية </w:t>
            </w:r>
          </w:p>
          <w:p w14:paraId="1A69CA3D" w14:textId="06AD7002" w:rsidR="00C35A30" w:rsidRPr="00F0448E" w:rsidRDefault="009F5EC9"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cstheme="majorBidi"/>
                <w:sz w:val="20"/>
                <w:szCs w:val="20"/>
                <w:rtl/>
                <w:lang w:eastAsia="en-CA" w:bidi="ar-LB"/>
              </w:rPr>
              <w:t>(المرحلة الأولى)</w:t>
            </w:r>
          </w:p>
        </w:tc>
        <w:tc>
          <w:tcPr>
            <w:tcW w:w="858" w:type="dxa"/>
            <w:tcMar>
              <w:left w:w="72" w:type="dxa"/>
              <w:right w:w="72" w:type="dxa"/>
            </w:tcMar>
          </w:tcPr>
          <w:p w14:paraId="67804639" w14:textId="39E40366" w:rsidR="00C35A30" w:rsidRPr="00F0448E" w:rsidRDefault="00E065A0" w:rsidP="00E3367B">
            <w:pPr>
              <w:bidi/>
              <w:spacing w:before="40" w:after="40"/>
              <w:rPr>
                <w:rFonts w:asciiTheme="majorBidi" w:hAnsiTheme="majorBidi" w:cstheme="majorBidi"/>
                <w:sz w:val="20"/>
                <w:szCs w:val="20"/>
                <w:lang w:eastAsia="en-CA" w:bidi="ar-LB"/>
              </w:rPr>
            </w:pPr>
            <w:r w:rsidRPr="00F0448E">
              <w:rPr>
                <w:rFonts w:asciiTheme="majorBidi" w:hAnsiTheme="majorBidi" w:cstheme="majorBidi"/>
                <w:sz w:val="20"/>
                <w:szCs w:val="20"/>
                <w:rtl/>
                <w:lang w:bidi="ar-LB"/>
              </w:rPr>
              <w:t>اليونيب</w:t>
            </w:r>
          </w:p>
        </w:tc>
        <w:tc>
          <w:tcPr>
            <w:tcW w:w="879" w:type="dxa"/>
            <w:tcMar>
              <w:left w:w="72" w:type="dxa"/>
              <w:right w:w="72" w:type="dxa"/>
            </w:tcMar>
          </w:tcPr>
          <w:p w14:paraId="3F12DE29" w14:textId="0320DB1B" w:rsidR="00C35A30" w:rsidRPr="00F0448E" w:rsidRDefault="009F5EC9" w:rsidP="00E3367B">
            <w:pPr>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51E1A27C" w14:textId="73B869D1" w:rsidR="00C35A30"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445,295</w:t>
            </w:r>
          </w:p>
        </w:tc>
        <w:tc>
          <w:tcPr>
            <w:tcW w:w="3402" w:type="dxa"/>
            <w:tcMar>
              <w:left w:w="72" w:type="dxa"/>
              <w:right w:w="72" w:type="dxa"/>
            </w:tcMar>
          </w:tcPr>
          <w:p w14:paraId="582355D9" w14:textId="0A9544C5" w:rsidR="002B0A46" w:rsidRPr="00F0448E" w:rsidRDefault="002B0A46" w:rsidP="00E3367B">
            <w:pPr>
              <w:bidi/>
              <w:spacing w:before="40" w:after="40"/>
              <w:jc w:val="left"/>
              <w:rPr>
                <w:rFonts w:asciiTheme="majorBidi" w:hAnsiTheme="majorBidi" w:cstheme="majorBidi"/>
                <w:sz w:val="20"/>
                <w:szCs w:val="20"/>
                <w:lang w:val="en-US" w:eastAsia="en-CA" w:bidi="ar-LB"/>
              </w:rPr>
            </w:pPr>
            <w:r w:rsidRPr="00F0448E">
              <w:rPr>
                <w:rFonts w:asciiTheme="majorBidi" w:hAnsiTheme="majorBidi"/>
                <w:sz w:val="20"/>
                <w:szCs w:val="20"/>
                <w:rtl/>
                <w:lang w:val="en-US" w:eastAsia="en-CA" w:bidi="ar-LB"/>
              </w:rPr>
              <w:t>القرارات الحكومية/موافقاتها/التغييرات في وحدة الأوزون الوطنية/أموال كافية من الشريحة السابقة الموافق عليها/عتبة صرف 20 في المائة</w:t>
            </w:r>
          </w:p>
        </w:tc>
        <w:tc>
          <w:tcPr>
            <w:tcW w:w="5913" w:type="dxa"/>
            <w:vMerge w:val="restart"/>
            <w:tcMar>
              <w:left w:w="72" w:type="dxa"/>
              <w:right w:w="72" w:type="dxa"/>
            </w:tcMar>
          </w:tcPr>
          <w:p w14:paraId="5EA147C3" w14:textId="78005E48" w:rsidR="001F0D01" w:rsidRPr="00F0448E" w:rsidRDefault="001F0D01" w:rsidP="00E3367B">
            <w:pPr>
              <w:bidi/>
              <w:spacing w:before="40" w:after="40"/>
              <w:rPr>
                <w:rFonts w:asciiTheme="majorBidi" w:hAnsiTheme="majorBidi" w:cstheme="majorBidi"/>
                <w:sz w:val="20"/>
                <w:szCs w:val="20"/>
                <w:lang w:val="en-US" w:bidi="ar-LB"/>
              </w:rPr>
            </w:pPr>
            <w:r w:rsidRPr="00F0448E">
              <w:rPr>
                <w:rFonts w:asciiTheme="majorBidi" w:hAnsiTheme="majorBidi"/>
                <w:sz w:val="20"/>
                <w:szCs w:val="20"/>
                <w:rtl/>
                <w:lang w:val="en-US" w:bidi="ar-LB"/>
              </w:rPr>
              <w:t>الإحاطة علماً بأن معدل الصرف الإجمالي للشريحة الثانية (2022) من المرحلة الأولى من خطة إدارة إزالة المواد الهيدروكلوروفلوروكربونية كان دون عتبة الصرف البالغة 20 في المائة، وحث حكومة الجمهورية العربية السورية على العمل مع اليونيب واليونيدو بحيث يتسنى تقديم الشريحة الثالثة (2024) من المرحلة الأولى من خطة إدارة إزالة المواد الهيدروكلوروفلوروكربونية إلى الاجتماع الخامس والتسعين، على أساس أن عتبة الصرف البالغة 20 في المائة لتمويل الشريحة السابقة قد تم تحقيقها.</w:t>
            </w:r>
          </w:p>
        </w:tc>
      </w:tr>
      <w:tr w:rsidR="00FC3112" w:rsidRPr="00F0448E" w14:paraId="73D68E8F" w14:textId="77777777" w:rsidTr="002F7551">
        <w:trPr>
          <w:trHeight w:val="554"/>
        </w:trPr>
        <w:tc>
          <w:tcPr>
            <w:tcW w:w="1972" w:type="dxa"/>
            <w:vMerge/>
            <w:tcMar>
              <w:left w:w="72" w:type="dxa"/>
              <w:right w:w="72" w:type="dxa"/>
            </w:tcMar>
          </w:tcPr>
          <w:p w14:paraId="117A331E" w14:textId="77777777" w:rsidR="00C35A30" w:rsidRPr="00F0448E" w:rsidRDefault="00C35A30" w:rsidP="00E3367B">
            <w:pPr>
              <w:bidi/>
              <w:spacing w:before="40" w:after="40"/>
              <w:jc w:val="left"/>
              <w:rPr>
                <w:rFonts w:asciiTheme="majorBidi" w:hAnsiTheme="majorBidi" w:cstheme="majorBidi"/>
                <w:sz w:val="20"/>
                <w:szCs w:val="20"/>
                <w:lang w:eastAsia="en-CA" w:bidi="ar-LB"/>
              </w:rPr>
            </w:pPr>
          </w:p>
        </w:tc>
        <w:tc>
          <w:tcPr>
            <w:tcW w:w="858" w:type="dxa"/>
            <w:tcMar>
              <w:left w:w="72" w:type="dxa"/>
              <w:right w:w="72" w:type="dxa"/>
            </w:tcMar>
          </w:tcPr>
          <w:p w14:paraId="1807AFF0" w14:textId="4B7629E4" w:rsidR="00C35A30" w:rsidRPr="00F0448E" w:rsidRDefault="00F14134" w:rsidP="00E3367B">
            <w:pPr>
              <w:bidi/>
              <w:spacing w:before="40" w:after="40"/>
              <w:rPr>
                <w:rFonts w:asciiTheme="majorBidi" w:hAnsiTheme="majorBidi" w:cstheme="majorBidi"/>
                <w:sz w:val="20"/>
                <w:szCs w:val="20"/>
                <w:lang w:eastAsia="en-CA" w:bidi="ar-LB"/>
              </w:rPr>
            </w:pPr>
            <w:r w:rsidRPr="00F0448E">
              <w:rPr>
                <w:rFonts w:asciiTheme="majorBidi" w:hAnsiTheme="majorBidi" w:cstheme="majorBidi"/>
                <w:sz w:val="20"/>
                <w:szCs w:val="20"/>
                <w:rtl/>
                <w:lang w:bidi="ar-LB"/>
              </w:rPr>
              <w:t>اليونيدو</w:t>
            </w:r>
          </w:p>
        </w:tc>
        <w:tc>
          <w:tcPr>
            <w:tcW w:w="879" w:type="dxa"/>
            <w:tcMar>
              <w:left w:w="72" w:type="dxa"/>
              <w:right w:w="72" w:type="dxa"/>
            </w:tcMar>
          </w:tcPr>
          <w:p w14:paraId="79F539D7" w14:textId="67E8F057" w:rsidR="00C35A30" w:rsidRPr="00F0448E" w:rsidRDefault="009F5EC9" w:rsidP="00E3367B">
            <w:pPr>
              <w:bidi/>
              <w:spacing w:before="40" w:after="40"/>
              <w:jc w:val="center"/>
              <w:rPr>
                <w:rFonts w:asciiTheme="majorBidi" w:hAnsiTheme="majorBidi" w:cstheme="majorBidi"/>
                <w:sz w:val="20"/>
                <w:szCs w:val="20"/>
                <w:lang w:eastAsia="en-CA" w:bidi="ar-LB"/>
              </w:rPr>
            </w:pPr>
            <w:r w:rsidRPr="00F0448E">
              <w:rPr>
                <w:rFonts w:asciiTheme="majorBidi" w:hAnsiTheme="majorBidi"/>
                <w:sz w:val="20"/>
                <w:szCs w:val="20"/>
                <w:rtl/>
                <w:lang w:eastAsia="en-CA" w:bidi="ar-LB"/>
              </w:rPr>
              <w:t>2024</w:t>
            </w:r>
          </w:p>
        </w:tc>
        <w:tc>
          <w:tcPr>
            <w:tcW w:w="1275" w:type="dxa"/>
            <w:tcMar>
              <w:left w:w="72" w:type="dxa"/>
              <w:right w:w="72" w:type="dxa"/>
            </w:tcMar>
          </w:tcPr>
          <w:p w14:paraId="4FB8DB06" w14:textId="122A941E" w:rsidR="00C35A30" w:rsidRPr="00F0448E" w:rsidRDefault="00077004" w:rsidP="00E3367B">
            <w:pPr>
              <w:bidi/>
              <w:spacing w:before="40" w:after="40"/>
              <w:jc w:val="left"/>
              <w:rPr>
                <w:rFonts w:asciiTheme="majorBidi" w:hAnsiTheme="majorBidi" w:cstheme="majorBidi"/>
                <w:sz w:val="20"/>
                <w:szCs w:val="20"/>
                <w:lang w:eastAsia="en-CA" w:bidi="ar-LB"/>
              </w:rPr>
            </w:pPr>
            <w:r w:rsidRPr="00F0448E">
              <w:rPr>
                <w:rFonts w:asciiTheme="majorBidi" w:hAnsiTheme="majorBidi"/>
                <w:sz w:val="20"/>
                <w:szCs w:val="20"/>
                <w:rtl/>
                <w:lang w:eastAsia="en-CA" w:bidi="ar-LB"/>
              </w:rPr>
              <w:t>924,965</w:t>
            </w:r>
          </w:p>
        </w:tc>
        <w:tc>
          <w:tcPr>
            <w:tcW w:w="3402" w:type="dxa"/>
            <w:tcMar>
              <w:left w:w="72" w:type="dxa"/>
              <w:right w:w="72" w:type="dxa"/>
            </w:tcMar>
          </w:tcPr>
          <w:p w14:paraId="01B76101" w14:textId="70C9B609" w:rsidR="002B0A46" w:rsidRPr="00F0448E" w:rsidRDefault="002B0A46" w:rsidP="00E3367B">
            <w:pPr>
              <w:bidi/>
              <w:spacing w:before="40" w:after="40"/>
              <w:jc w:val="left"/>
              <w:rPr>
                <w:rFonts w:asciiTheme="majorBidi" w:hAnsiTheme="majorBidi" w:cstheme="majorBidi"/>
                <w:sz w:val="20"/>
                <w:szCs w:val="20"/>
                <w:rtl/>
                <w:lang w:eastAsia="en-CA" w:bidi="ar-LB"/>
              </w:rPr>
            </w:pPr>
            <w:r w:rsidRPr="00F0448E">
              <w:rPr>
                <w:rFonts w:asciiTheme="majorBidi" w:hAnsiTheme="majorBidi"/>
                <w:sz w:val="20"/>
                <w:szCs w:val="20"/>
                <w:rtl/>
                <w:lang w:eastAsia="en-CA" w:bidi="ar-LB"/>
              </w:rPr>
              <w:t>عتبة صرف 20 في المائة</w:t>
            </w:r>
          </w:p>
        </w:tc>
        <w:tc>
          <w:tcPr>
            <w:tcW w:w="5913" w:type="dxa"/>
            <w:vMerge/>
            <w:tcMar>
              <w:left w:w="72" w:type="dxa"/>
              <w:right w:w="72" w:type="dxa"/>
            </w:tcMar>
          </w:tcPr>
          <w:p w14:paraId="73112572" w14:textId="77777777" w:rsidR="00C35A30" w:rsidRPr="00F0448E" w:rsidRDefault="00C35A30" w:rsidP="00E3367B">
            <w:pPr>
              <w:bidi/>
              <w:spacing w:before="40" w:after="40"/>
              <w:jc w:val="left"/>
              <w:rPr>
                <w:rFonts w:asciiTheme="majorBidi" w:hAnsiTheme="majorBidi" w:cstheme="majorBidi"/>
                <w:sz w:val="20"/>
                <w:szCs w:val="20"/>
                <w:lang w:bidi="ar-LB"/>
              </w:rPr>
            </w:pPr>
          </w:p>
        </w:tc>
      </w:tr>
      <w:tr w:rsidR="00FC3112" w:rsidRPr="00F0448E" w14:paraId="4FC69728" w14:textId="77777777" w:rsidTr="002F7551">
        <w:tc>
          <w:tcPr>
            <w:tcW w:w="1972" w:type="dxa"/>
            <w:tcMar>
              <w:left w:w="72" w:type="dxa"/>
              <w:right w:w="72" w:type="dxa"/>
            </w:tcMar>
            <w:hideMark/>
          </w:tcPr>
          <w:p w14:paraId="2345996B" w14:textId="5913CF58" w:rsidR="0049646F" w:rsidRPr="00F0448E" w:rsidRDefault="00F074DA" w:rsidP="00E3367B">
            <w:pPr>
              <w:keepNext/>
              <w:bidi/>
              <w:spacing w:before="40" w:after="40"/>
              <w:jc w:val="left"/>
              <w:rPr>
                <w:rFonts w:asciiTheme="majorBidi" w:hAnsiTheme="majorBidi" w:cstheme="majorBidi"/>
                <w:bCs/>
                <w:sz w:val="20"/>
                <w:szCs w:val="20"/>
                <w:rtl/>
                <w:lang w:eastAsia="en-CA" w:bidi="ar-LB"/>
              </w:rPr>
            </w:pPr>
            <w:r w:rsidRPr="00F0448E">
              <w:rPr>
                <w:rFonts w:asciiTheme="majorBidi" w:hAnsiTheme="majorBidi" w:cstheme="majorBidi"/>
                <w:bCs/>
                <w:sz w:val="20"/>
                <w:szCs w:val="20"/>
                <w:rtl/>
                <w:lang w:eastAsia="en-CA" w:bidi="ar-LB"/>
              </w:rPr>
              <w:t>المجموع</w:t>
            </w:r>
          </w:p>
        </w:tc>
        <w:tc>
          <w:tcPr>
            <w:tcW w:w="858" w:type="dxa"/>
            <w:tcMar>
              <w:left w:w="72" w:type="dxa"/>
              <w:right w:w="72" w:type="dxa"/>
            </w:tcMar>
          </w:tcPr>
          <w:p w14:paraId="401B5FF5" w14:textId="77777777" w:rsidR="0049646F" w:rsidRPr="00F0448E" w:rsidRDefault="0049646F" w:rsidP="00E3367B">
            <w:pPr>
              <w:keepNext/>
              <w:bidi/>
              <w:spacing w:before="40" w:after="40"/>
              <w:jc w:val="center"/>
              <w:rPr>
                <w:rFonts w:asciiTheme="majorBidi" w:hAnsiTheme="majorBidi" w:cstheme="majorBidi"/>
                <w:b/>
                <w:sz w:val="20"/>
                <w:szCs w:val="20"/>
                <w:lang w:eastAsia="en-CA" w:bidi="ar-LB"/>
              </w:rPr>
            </w:pPr>
          </w:p>
        </w:tc>
        <w:tc>
          <w:tcPr>
            <w:tcW w:w="879" w:type="dxa"/>
            <w:tcMar>
              <w:left w:w="72" w:type="dxa"/>
              <w:right w:w="72" w:type="dxa"/>
            </w:tcMar>
          </w:tcPr>
          <w:p w14:paraId="753D1BC8" w14:textId="77777777" w:rsidR="0049646F" w:rsidRPr="00F0448E" w:rsidRDefault="0049646F" w:rsidP="00E3367B">
            <w:pPr>
              <w:keepNext/>
              <w:bidi/>
              <w:spacing w:before="40" w:after="40"/>
              <w:jc w:val="center"/>
              <w:rPr>
                <w:rFonts w:asciiTheme="majorBidi" w:hAnsiTheme="majorBidi" w:cstheme="majorBidi"/>
                <w:b/>
                <w:sz w:val="20"/>
                <w:szCs w:val="20"/>
                <w:lang w:eastAsia="en-CA" w:bidi="ar-LB"/>
              </w:rPr>
            </w:pPr>
          </w:p>
        </w:tc>
        <w:tc>
          <w:tcPr>
            <w:tcW w:w="1275" w:type="dxa"/>
            <w:tcMar>
              <w:left w:w="72" w:type="dxa"/>
              <w:right w:w="72" w:type="dxa"/>
            </w:tcMar>
          </w:tcPr>
          <w:p w14:paraId="445FC96F" w14:textId="74BA8816" w:rsidR="0049646F" w:rsidRPr="00F0448E" w:rsidRDefault="00077004" w:rsidP="00E3367B">
            <w:pPr>
              <w:bidi/>
              <w:spacing w:before="40" w:after="40"/>
              <w:jc w:val="left"/>
              <w:rPr>
                <w:rFonts w:asciiTheme="majorBidi" w:hAnsiTheme="majorBidi" w:cstheme="majorBidi"/>
                <w:b/>
                <w:bCs/>
                <w:sz w:val="20"/>
                <w:szCs w:val="20"/>
                <w:lang w:val="en-US" w:bidi="ar-LB"/>
              </w:rPr>
            </w:pPr>
            <w:r w:rsidRPr="00F0448E">
              <w:rPr>
                <w:rFonts w:asciiTheme="majorBidi" w:hAnsiTheme="majorBidi"/>
                <w:b/>
                <w:bCs/>
                <w:sz w:val="20"/>
                <w:szCs w:val="20"/>
                <w:rtl/>
                <w:lang w:bidi="ar-LB"/>
              </w:rPr>
              <w:t>10,120,181</w:t>
            </w:r>
          </w:p>
        </w:tc>
        <w:tc>
          <w:tcPr>
            <w:tcW w:w="3402" w:type="dxa"/>
            <w:tcMar>
              <w:left w:w="72" w:type="dxa"/>
              <w:right w:w="72" w:type="dxa"/>
            </w:tcMar>
          </w:tcPr>
          <w:p w14:paraId="29BF71E1" w14:textId="77777777" w:rsidR="0049646F" w:rsidRPr="00F0448E" w:rsidRDefault="0049646F" w:rsidP="00E3367B">
            <w:pPr>
              <w:keepNext/>
              <w:bidi/>
              <w:spacing w:before="40" w:after="40"/>
              <w:jc w:val="left"/>
              <w:rPr>
                <w:rFonts w:asciiTheme="majorBidi" w:hAnsiTheme="majorBidi" w:cstheme="majorBidi"/>
                <w:b/>
                <w:sz w:val="20"/>
                <w:szCs w:val="20"/>
                <w:lang w:eastAsia="en-CA" w:bidi="ar-LB"/>
              </w:rPr>
            </w:pPr>
          </w:p>
        </w:tc>
        <w:tc>
          <w:tcPr>
            <w:tcW w:w="5913" w:type="dxa"/>
            <w:tcMar>
              <w:left w:w="72" w:type="dxa"/>
              <w:right w:w="72" w:type="dxa"/>
            </w:tcMar>
          </w:tcPr>
          <w:p w14:paraId="30809450" w14:textId="77777777" w:rsidR="0049646F" w:rsidRPr="00F0448E" w:rsidRDefault="0049646F" w:rsidP="00E3367B">
            <w:pPr>
              <w:keepNext/>
              <w:bidi/>
              <w:spacing w:before="40" w:after="40"/>
              <w:jc w:val="left"/>
              <w:rPr>
                <w:rFonts w:asciiTheme="majorBidi" w:hAnsiTheme="majorBidi" w:cstheme="majorBidi"/>
                <w:b/>
                <w:sz w:val="20"/>
                <w:szCs w:val="20"/>
                <w:lang w:eastAsia="en-CA" w:bidi="ar-LB"/>
              </w:rPr>
            </w:pPr>
          </w:p>
        </w:tc>
      </w:tr>
    </w:tbl>
    <w:p w14:paraId="1987B550" w14:textId="55DAB186" w:rsidR="001F0D01" w:rsidRPr="00E3367B" w:rsidRDefault="00AE20EB" w:rsidP="001F0D01">
      <w:pPr>
        <w:bidi/>
        <w:jc w:val="left"/>
        <w:rPr>
          <w:sz w:val="20"/>
          <w:szCs w:val="20"/>
          <w:lang w:val="en-US" w:bidi="ar-LB"/>
        </w:rPr>
      </w:pPr>
      <w:r w:rsidRPr="00E3367B">
        <w:rPr>
          <w:sz w:val="20"/>
          <w:szCs w:val="20"/>
          <w:rtl/>
          <w:lang w:val="en-US" w:bidi="ar-LB"/>
        </w:rPr>
        <w:t>* بناءً على الرسالة الواردة من حكومة الجزائر بتاريخ 15 أبريل 2024.</w:t>
      </w:r>
    </w:p>
    <w:p w14:paraId="29D428F4" w14:textId="77777777" w:rsidR="004E7F9C" w:rsidRPr="001F1070" w:rsidRDefault="004E7F9C" w:rsidP="001F1070">
      <w:pPr>
        <w:bidi/>
        <w:rPr>
          <w:lang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FC3112" w14:paraId="519AB997" w14:textId="77777777" w:rsidTr="007457FD">
        <w:trPr>
          <w:jc w:val="center"/>
        </w:trPr>
        <w:tc>
          <w:tcPr>
            <w:tcW w:w="1915" w:type="dxa"/>
          </w:tcPr>
          <w:p w14:paraId="048E312A" w14:textId="77777777" w:rsidR="00E85409" w:rsidRPr="00FC3112" w:rsidRDefault="00E85409">
            <w:pPr>
              <w:rPr>
                <w:lang w:bidi="ar-LB"/>
              </w:rPr>
            </w:pPr>
          </w:p>
        </w:tc>
        <w:tc>
          <w:tcPr>
            <w:tcW w:w="1915" w:type="dxa"/>
          </w:tcPr>
          <w:p w14:paraId="5E00D7CC" w14:textId="77777777" w:rsidR="00E85409" w:rsidRPr="00FC3112" w:rsidRDefault="00E85409">
            <w:pPr>
              <w:rPr>
                <w:lang w:bidi="ar-LB"/>
              </w:rPr>
            </w:pPr>
          </w:p>
        </w:tc>
        <w:tc>
          <w:tcPr>
            <w:tcW w:w="1915" w:type="dxa"/>
            <w:tcBorders>
              <w:bottom w:val="single" w:sz="4" w:space="0" w:color="auto"/>
            </w:tcBorders>
          </w:tcPr>
          <w:p w14:paraId="61638825" w14:textId="77777777" w:rsidR="00E85409" w:rsidRPr="00FC3112" w:rsidRDefault="00E85409">
            <w:pPr>
              <w:rPr>
                <w:lang w:bidi="ar-LB"/>
              </w:rPr>
            </w:pPr>
          </w:p>
        </w:tc>
        <w:tc>
          <w:tcPr>
            <w:tcW w:w="1915" w:type="dxa"/>
          </w:tcPr>
          <w:p w14:paraId="426AE7E1" w14:textId="77777777" w:rsidR="00E85409" w:rsidRPr="00FC3112" w:rsidRDefault="00E85409">
            <w:pPr>
              <w:rPr>
                <w:lang w:bidi="ar-LB"/>
              </w:rPr>
            </w:pPr>
          </w:p>
        </w:tc>
        <w:tc>
          <w:tcPr>
            <w:tcW w:w="1916" w:type="dxa"/>
          </w:tcPr>
          <w:p w14:paraId="1A4E86EC" w14:textId="77777777" w:rsidR="00E85409" w:rsidRPr="00FC3112" w:rsidRDefault="00E85409">
            <w:pPr>
              <w:rPr>
                <w:lang w:bidi="ar-LB"/>
              </w:rPr>
            </w:pPr>
          </w:p>
        </w:tc>
      </w:tr>
    </w:tbl>
    <w:p w14:paraId="37CEB5FD" w14:textId="77777777" w:rsidR="00E85409" w:rsidRPr="00FC3112" w:rsidRDefault="00E85409" w:rsidP="001F1070">
      <w:pPr>
        <w:bidi/>
        <w:rPr>
          <w:lang w:bidi="ar-LB"/>
        </w:rPr>
      </w:pPr>
    </w:p>
    <w:sectPr w:rsidR="00E85409" w:rsidRPr="00FC3112" w:rsidSect="000B2D73">
      <w:headerReference w:type="even" r:id="rId18"/>
      <w:headerReference w:type="default"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7FC9BA" w14:textId="77777777" w:rsidR="000B2D73" w:rsidRDefault="000B2D73" w:rsidP="004A504B">
      <w:r>
        <w:separator/>
      </w:r>
    </w:p>
  </w:endnote>
  <w:endnote w:type="continuationSeparator" w:id="0">
    <w:p w14:paraId="55BF25DD" w14:textId="77777777" w:rsidR="000B2D73" w:rsidRDefault="000B2D73" w:rsidP="004A504B">
      <w:r>
        <w:continuationSeparator/>
      </w:r>
    </w:p>
  </w:endnote>
  <w:endnote w:type="continuationNotice" w:id="1">
    <w:p w14:paraId="5D32BD2E" w14:textId="77777777" w:rsidR="000B2D73" w:rsidRDefault="000B2D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D236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ABA6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4E55B" w14:textId="77777777" w:rsidR="00F14134" w:rsidRPr="004D50DB" w:rsidRDefault="00F14134" w:rsidP="004D50DB">
    <w:pPr>
      <w:pBdr>
        <w:top w:val="single" w:sz="4" w:space="0" w:color="auto"/>
        <w:left w:val="single" w:sz="4" w:space="0" w:color="auto"/>
        <w:bottom w:val="single" w:sz="4" w:space="1" w:color="auto"/>
        <w:right w:val="single" w:sz="4" w:space="0" w:color="auto"/>
      </w:pBdr>
      <w:bidi/>
      <w:jc w:val="center"/>
      <w:rPr>
        <w:rFonts w:cs="Arabic Transparent"/>
        <w:sz w:val="14"/>
        <w:szCs w:val="14"/>
        <w:rtl/>
        <w:lang w:bidi="ar-AE"/>
      </w:rPr>
    </w:pPr>
  </w:p>
  <w:p w14:paraId="1F3DF67A" w14:textId="58B003F6" w:rsidR="00F14134" w:rsidRPr="004D50DB" w:rsidRDefault="00F14134" w:rsidP="004D50DB">
    <w:pPr>
      <w:pBdr>
        <w:top w:val="single" w:sz="4" w:space="0" w:color="auto"/>
        <w:left w:val="single" w:sz="4" w:space="0" w:color="auto"/>
        <w:bottom w:val="single" w:sz="4" w:space="1" w:color="auto"/>
        <w:right w:val="single" w:sz="4" w:space="0" w:color="auto"/>
      </w:pBdr>
      <w:bidi/>
      <w:jc w:val="center"/>
      <w:rPr>
        <w:rFonts w:cs="Arabic Transparent"/>
        <w:sz w:val="20"/>
        <w:szCs w:val="20"/>
        <w:rtl/>
      </w:rPr>
    </w:pPr>
    <w:r w:rsidRPr="004D50DB">
      <w:rPr>
        <w:rFonts w:cs="Arabic Transparent" w:hint="cs"/>
        <w:sz w:val="20"/>
        <w:szCs w:val="20"/>
        <w:rtl/>
      </w:rPr>
      <w:t>إن وثائق ما قبل دورات اللجنة التنفيذية للصندوق المتعدد الأطراف لتنفيذ بروتوكول مونتريال</w:t>
    </w:r>
    <w:r w:rsidRPr="004D50DB">
      <w:rPr>
        <w:rFonts w:cs="Arabic Transparent"/>
        <w:sz w:val="20"/>
        <w:szCs w:val="20"/>
      </w:rPr>
      <w:t xml:space="preserve"> </w:t>
    </w:r>
  </w:p>
  <w:p w14:paraId="48527065" w14:textId="553E78E0" w:rsidR="004E7F9C" w:rsidRPr="004D50DB" w:rsidRDefault="00F14134" w:rsidP="004D50DB">
    <w:pPr>
      <w:pBdr>
        <w:top w:val="single" w:sz="4" w:space="0" w:color="auto"/>
        <w:left w:val="single" w:sz="4" w:space="0" w:color="auto"/>
        <w:bottom w:val="single" w:sz="4" w:space="1" w:color="auto"/>
        <w:right w:val="single" w:sz="4" w:space="0" w:color="auto"/>
      </w:pBdr>
      <w:bidi/>
      <w:jc w:val="center"/>
      <w:rPr>
        <w:rFonts w:cs="Arabic Transparent"/>
        <w:sz w:val="20"/>
        <w:szCs w:val="20"/>
      </w:rPr>
    </w:pPr>
    <w:r w:rsidRPr="004D50DB">
      <w:rPr>
        <w:rFonts w:cs="Arabic Transparent" w:hint="cs"/>
        <w:sz w:val="20"/>
        <w:szCs w:val="20"/>
        <w:rtl/>
      </w:rPr>
      <w:t>قد تصدر دون إخلال بأي قرار تتخذه اللجنة التنفيذية بعد صدورها.</w:t>
    </w:r>
    <w:r w:rsidRPr="004D50DB">
      <w:rPr>
        <w:rFonts w:cs="Arabic Transparent"/>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10A2E" w14:textId="77777777" w:rsidR="007457FD" w:rsidRPr="0033525D" w:rsidRDefault="007457FD">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125943"/>
      <w:docPartObj>
        <w:docPartGallery w:val="Page Numbers (Bottom of Page)"/>
        <w:docPartUnique/>
      </w:docPartObj>
    </w:sdtPr>
    <w:sdtEndPr>
      <w:rPr>
        <w:noProof/>
      </w:rPr>
    </w:sdtEndPr>
    <w:sdtContent>
      <w:p w14:paraId="2B6D9800" w14:textId="5A51715E" w:rsidR="007457FD" w:rsidRDefault="007457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288CBA" w14:textId="77777777" w:rsidR="007457FD" w:rsidRPr="007457FD" w:rsidRDefault="007457FD" w:rsidP="00745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A63231" w14:textId="77777777" w:rsidR="000B2D73" w:rsidRDefault="000B2D73" w:rsidP="00732EDE">
      <w:pPr>
        <w:bidi/>
      </w:pPr>
      <w:r>
        <w:separator/>
      </w:r>
    </w:p>
  </w:footnote>
  <w:footnote w:type="continuationSeparator" w:id="0">
    <w:p w14:paraId="1FEE744F" w14:textId="77777777" w:rsidR="000B2D73" w:rsidRDefault="000B2D73" w:rsidP="004A504B">
      <w:r>
        <w:continuationSeparator/>
      </w:r>
    </w:p>
  </w:footnote>
  <w:footnote w:type="continuationNotice" w:id="1">
    <w:p w14:paraId="43F487E3" w14:textId="77777777" w:rsidR="000B2D73" w:rsidRDefault="000B2D73"/>
  </w:footnote>
  <w:footnote w:id="2">
    <w:p w14:paraId="3EC510C8" w14:textId="4A057A8C" w:rsidR="00A43009" w:rsidRPr="00AD471D" w:rsidRDefault="00A43009" w:rsidP="00A43009">
      <w:pPr>
        <w:pStyle w:val="FootnoteText"/>
        <w:bidi/>
        <w:rPr>
          <w:rtl/>
          <w:lang w:bidi="ar-AE"/>
        </w:rPr>
      </w:pPr>
      <w:r>
        <w:rPr>
          <w:rStyle w:val="FootnoteReference"/>
        </w:rPr>
        <w:footnoteRef/>
      </w:r>
      <w:r>
        <w:t xml:space="preserve"> </w:t>
      </w:r>
      <w:r>
        <w:rPr>
          <w:rFonts w:hint="cs"/>
          <w:rtl/>
          <w:lang w:bidi="ar-AE"/>
        </w:rPr>
        <w:t xml:space="preserve">الوثيقة: </w:t>
      </w:r>
      <w:r w:rsidRPr="00A43009">
        <w:rPr>
          <w:lang w:bidi="ar-AE"/>
        </w:rPr>
        <w:t>UNEP/OzL.Pro/ExCom/94/1</w:t>
      </w:r>
      <w:r>
        <w:rPr>
          <w:rFonts w:hint="cs"/>
          <w:rtl/>
          <w:lang w:bidi="ar-AE"/>
        </w:rPr>
        <w:t>.</w:t>
      </w:r>
    </w:p>
  </w:footnote>
  <w:footnote w:id="3">
    <w:p w14:paraId="230FA7AB" w14:textId="640F0B74" w:rsidR="00732EDE" w:rsidRPr="00732EDE" w:rsidRDefault="00732EDE" w:rsidP="00732EDE">
      <w:pPr>
        <w:pStyle w:val="FootnoteText"/>
        <w:bidi/>
        <w:rPr>
          <w:rtl/>
          <w:lang w:val="en-US" w:bidi="ar-AE"/>
        </w:rPr>
      </w:pPr>
      <w:r>
        <w:rPr>
          <w:rStyle w:val="FootnoteReference"/>
        </w:rPr>
        <w:footnoteRef/>
      </w:r>
      <w:r>
        <w:t xml:space="preserve"> </w:t>
      </w:r>
      <w:r w:rsidRPr="00732EDE">
        <w:rPr>
          <w:rtl/>
          <w:lang w:val="en-US" w:bidi="ar-AE"/>
        </w:rPr>
        <w:t>قررت اللجنة التنفيذية إدراج بند فرعي منفصل في جدول الأعمال بشأن التأخيرات في تقديم الشرائح السنوية وصرف الأموال للشرائح والالتزامات في الاجتماعات المقبلة.</w:t>
      </w:r>
    </w:p>
  </w:footnote>
  <w:footnote w:id="4">
    <w:p w14:paraId="14BFA3B4" w14:textId="3209575A" w:rsidR="00EF69F0" w:rsidRPr="00EF69F0" w:rsidRDefault="00EF69F0" w:rsidP="00EF69F0">
      <w:pPr>
        <w:pStyle w:val="FootnoteText"/>
        <w:bidi/>
        <w:rPr>
          <w:rtl/>
          <w:lang w:bidi="ar-AE"/>
        </w:rPr>
      </w:pPr>
      <w:r>
        <w:rPr>
          <w:rStyle w:val="FootnoteReference"/>
        </w:rPr>
        <w:footnoteRef/>
      </w:r>
      <w:r>
        <w:t xml:space="preserve"> </w:t>
      </w:r>
      <w:r w:rsidR="002D79AE" w:rsidRPr="002D79AE">
        <w:rPr>
          <w:rtl/>
          <w:lang w:bidi="ar-AE"/>
        </w:rPr>
        <w:t>باستثناء الصين في خطة قطاع تصنيع مكيفات هواء الغرف وسخانات المياه بمضخات الحرارة، وجمهورية إيران الإسلامية، التي تم تقديم طلباتها الخاصة بالشريحة إلى الاجتماع الثالث والتسعين ولكن تم سحبها لاحقاً.</w:t>
      </w:r>
    </w:p>
  </w:footnote>
  <w:footnote w:id="5">
    <w:p w14:paraId="377F5D3E" w14:textId="65AA83F8" w:rsidR="00EF69F0" w:rsidRPr="00EF69F0" w:rsidRDefault="00EF69F0" w:rsidP="00EF69F0">
      <w:pPr>
        <w:pStyle w:val="FootnoteText"/>
        <w:bidi/>
        <w:rPr>
          <w:rtl/>
          <w:lang w:bidi="ar-AE"/>
        </w:rPr>
      </w:pPr>
      <w:r>
        <w:rPr>
          <w:rStyle w:val="FootnoteReference"/>
        </w:rPr>
        <w:footnoteRef/>
      </w:r>
      <w:r>
        <w:t xml:space="preserve"> </w:t>
      </w:r>
      <w:r w:rsidR="002D79AE" w:rsidRPr="002D79AE">
        <w:rPr>
          <w:rtl/>
          <w:lang w:bidi="ar-AE"/>
        </w:rPr>
        <w:t>بما في ذلك دولتان قدمتا طلبيهما الخاص بالشريحة ولكنهما سحبتاه لاحقاً.</w:t>
      </w:r>
    </w:p>
  </w:footnote>
  <w:footnote w:id="6">
    <w:p w14:paraId="7045A456" w14:textId="2F95A9F1" w:rsidR="00EF69F0" w:rsidRPr="00EF69F0" w:rsidRDefault="00EF69F0" w:rsidP="00EF69F0">
      <w:pPr>
        <w:pStyle w:val="FootnoteText"/>
        <w:bidi/>
        <w:rPr>
          <w:rtl/>
          <w:lang w:bidi="ar-AE"/>
        </w:rPr>
      </w:pPr>
      <w:r>
        <w:rPr>
          <w:rStyle w:val="FootnoteReference"/>
        </w:rPr>
        <w:footnoteRef/>
      </w:r>
      <w:r>
        <w:t xml:space="preserve"> </w:t>
      </w:r>
      <w:r w:rsidR="002D79AE">
        <w:rPr>
          <w:rFonts w:hint="cs"/>
          <w:rtl/>
          <w:lang w:bidi="ar-AE"/>
        </w:rPr>
        <w:t xml:space="preserve">الوثيقة: </w:t>
      </w:r>
      <w:r w:rsidR="002D79AE" w:rsidRPr="002D79AE">
        <w:rPr>
          <w:lang w:bidi="ar-AE"/>
        </w:rPr>
        <w:t>UNEP/OzL.Pro/ExCom/94/24</w:t>
      </w:r>
      <w:r w:rsidR="002D79AE">
        <w:rPr>
          <w:rFonts w:hint="cs"/>
          <w:rtl/>
          <w:lang w:bidi="ar-AE"/>
        </w:rPr>
        <w:t>.</w:t>
      </w:r>
    </w:p>
  </w:footnote>
  <w:footnote w:id="7">
    <w:p w14:paraId="686B6524" w14:textId="7EA32DF4" w:rsidR="00EF69F0" w:rsidRPr="00EF69F0" w:rsidRDefault="00EF69F0" w:rsidP="00EF69F0">
      <w:pPr>
        <w:pStyle w:val="FootnoteText"/>
        <w:bidi/>
        <w:rPr>
          <w:rtl/>
          <w:lang w:bidi="ar-AE"/>
        </w:rPr>
      </w:pPr>
      <w:r>
        <w:rPr>
          <w:rStyle w:val="FootnoteReference"/>
        </w:rPr>
        <w:footnoteRef/>
      </w:r>
      <w:r>
        <w:t xml:space="preserve"> </w:t>
      </w:r>
      <w:r w:rsidR="002D79AE">
        <w:rPr>
          <w:rFonts w:hint="cs"/>
          <w:rtl/>
          <w:lang w:bidi="ar-AE"/>
        </w:rPr>
        <w:t xml:space="preserve">الوثيقة: </w:t>
      </w:r>
      <w:r w:rsidR="002D79AE" w:rsidRPr="002D79AE">
        <w:rPr>
          <w:lang w:bidi="ar-AE"/>
        </w:rPr>
        <w:t>UNEP/OzL.Pro/ExCom/94/29</w:t>
      </w:r>
      <w:r w:rsidR="002D79AE">
        <w:rPr>
          <w:rFonts w:hint="cs"/>
          <w:rtl/>
          <w:lang w:bidi="ar-AE"/>
        </w:rPr>
        <w:t>.</w:t>
      </w:r>
    </w:p>
  </w:footnote>
  <w:footnote w:id="8">
    <w:p w14:paraId="1D6E1B02" w14:textId="213BE46F" w:rsidR="00EF69F0" w:rsidRPr="00EF69F0" w:rsidRDefault="00EF69F0" w:rsidP="00EF69F0">
      <w:pPr>
        <w:pStyle w:val="FootnoteText"/>
        <w:bidi/>
        <w:rPr>
          <w:rtl/>
          <w:lang w:bidi="ar-AE"/>
        </w:rPr>
      </w:pPr>
      <w:r>
        <w:rPr>
          <w:rStyle w:val="FootnoteReference"/>
        </w:rPr>
        <w:footnoteRef/>
      </w:r>
      <w:r>
        <w:t xml:space="preserve"> </w:t>
      </w:r>
      <w:r w:rsidR="002D79AE">
        <w:rPr>
          <w:rFonts w:hint="cs"/>
          <w:rtl/>
          <w:lang w:bidi="ar-AE"/>
        </w:rPr>
        <w:t xml:space="preserve">الوثيقة: </w:t>
      </w:r>
      <w:r w:rsidR="002D79AE" w:rsidRPr="002D79AE">
        <w:rPr>
          <w:lang w:bidi="ar-AE"/>
        </w:rPr>
        <w:t>UNEP/OzL.Pro/ExCom/94/33</w:t>
      </w:r>
      <w:r w:rsidR="002D79AE">
        <w:rPr>
          <w:rFonts w:hint="cs"/>
          <w:rtl/>
          <w:lang w:bidi="ar-AE"/>
        </w:rPr>
        <w:t>.</w:t>
      </w:r>
    </w:p>
  </w:footnote>
  <w:footnote w:id="9">
    <w:p w14:paraId="3D92B571" w14:textId="4985F3E9" w:rsidR="00EF69F0" w:rsidRPr="00EF69F0" w:rsidRDefault="00EF69F0" w:rsidP="00EF69F0">
      <w:pPr>
        <w:pStyle w:val="FootnoteText"/>
        <w:bidi/>
        <w:rPr>
          <w:rtl/>
          <w:lang w:bidi="ar-AE"/>
        </w:rPr>
      </w:pPr>
      <w:r>
        <w:rPr>
          <w:rStyle w:val="FootnoteReference"/>
        </w:rPr>
        <w:footnoteRef/>
      </w:r>
      <w:r>
        <w:t xml:space="preserve"> </w:t>
      </w:r>
      <w:r w:rsidR="002D79AE">
        <w:rPr>
          <w:rFonts w:hint="cs"/>
          <w:rtl/>
          <w:lang w:bidi="ar-AE"/>
        </w:rPr>
        <w:t xml:space="preserve">الوثيقة: </w:t>
      </w:r>
      <w:r w:rsidR="002D79AE" w:rsidRPr="002D79AE">
        <w:rPr>
          <w:lang w:bidi="ar-AE"/>
        </w:rPr>
        <w:t>UNEP/OzL.Pro/ExCom/94/39</w:t>
      </w:r>
      <w:r w:rsidR="002D79AE">
        <w:rPr>
          <w:rFonts w:hint="cs"/>
          <w:rtl/>
          <w:lang w:bidi="ar-AE"/>
        </w:rPr>
        <w:t>.</w:t>
      </w:r>
    </w:p>
  </w:footnote>
  <w:footnote w:id="10">
    <w:p w14:paraId="12EEE14C" w14:textId="2F3BB357" w:rsidR="00EF69F0" w:rsidRPr="00EF69F0" w:rsidRDefault="00EF69F0" w:rsidP="00EF69F0">
      <w:pPr>
        <w:pStyle w:val="FootnoteText"/>
        <w:bidi/>
        <w:rPr>
          <w:rtl/>
          <w:lang w:bidi="ar-AE"/>
        </w:rPr>
      </w:pPr>
      <w:r>
        <w:rPr>
          <w:rStyle w:val="FootnoteReference"/>
        </w:rPr>
        <w:footnoteRef/>
      </w:r>
      <w:r>
        <w:t xml:space="preserve"> </w:t>
      </w:r>
      <w:r w:rsidR="002D79AE">
        <w:rPr>
          <w:rFonts w:hint="cs"/>
          <w:rtl/>
          <w:lang w:bidi="ar-AE"/>
        </w:rPr>
        <w:t xml:space="preserve">الوثيقة: </w:t>
      </w:r>
      <w:r w:rsidR="002D79AE" w:rsidRPr="002D79AE">
        <w:rPr>
          <w:lang w:bidi="ar-AE"/>
        </w:rPr>
        <w:t>UNEP/OzL.Pro/ExCom/94/40</w:t>
      </w:r>
      <w:r w:rsidR="002D79AE">
        <w:rPr>
          <w:rFonts w:hint="cs"/>
          <w:rtl/>
          <w:lang w:bidi="ar-AE"/>
        </w:rPr>
        <w:t>.</w:t>
      </w:r>
    </w:p>
  </w:footnote>
  <w:footnote w:id="11">
    <w:p w14:paraId="2E6D0BB8" w14:textId="51E6A8E0" w:rsidR="00EF69F0" w:rsidRPr="00EF69F0" w:rsidRDefault="00EF69F0" w:rsidP="00EF69F0">
      <w:pPr>
        <w:pStyle w:val="FootnoteText"/>
        <w:bidi/>
        <w:rPr>
          <w:rtl/>
          <w:lang w:bidi="ar-AE"/>
        </w:rPr>
      </w:pPr>
      <w:r>
        <w:rPr>
          <w:rStyle w:val="FootnoteReference"/>
        </w:rPr>
        <w:footnoteRef/>
      </w:r>
      <w:r>
        <w:t xml:space="preserve"> </w:t>
      </w:r>
      <w:r w:rsidR="002D79AE">
        <w:rPr>
          <w:rFonts w:hint="cs"/>
          <w:rtl/>
          <w:lang w:bidi="ar-AE"/>
        </w:rPr>
        <w:t xml:space="preserve">الوثيقة: </w:t>
      </w:r>
      <w:r w:rsidR="002D79AE" w:rsidRPr="002D79AE">
        <w:rPr>
          <w:lang w:bidi="ar-AE"/>
        </w:rPr>
        <w:t>UNEP/OzL.Pro/ExCom/94/54</w:t>
      </w:r>
      <w:r w:rsidR="002D79AE">
        <w:rPr>
          <w:rFonts w:hint="cs"/>
          <w:rtl/>
          <w:lang w:bidi="ar-AE"/>
        </w:rPr>
        <w:t>.</w:t>
      </w:r>
    </w:p>
  </w:footnote>
  <w:footnote w:id="12">
    <w:p w14:paraId="75B0608F" w14:textId="5EBA92EA" w:rsidR="00EF69F0" w:rsidRPr="00EF69F0" w:rsidRDefault="00EF69F0" w:rsidP="00EF69F0">
      <w:pPr>
        <w:pStyle w:val="FootnoteText"/>
        <w:bidi/>
        <w:rPr>
          <w:rtl/>
          <w:lang w:bidi="ar-AE"/>
        </w:rPr>
      </w:pPr>
      <w:r>
        <w:rPr>
          <w:rStyle w:val="FootnoteReference"/>
        </w:rPr>
        <w:footnoteRef/>
      </w:r>
      <w:r>
        <w:t xml:space="preserve"> </w:t>
      </w:r>
      <w:r w:rsidR="002D79AE">
        <w:rPr>
          <w:rFonts w:hint="cs"/>
          <w:rtl/>
          <w:lang w:bidi="ar-AE"/>
        </w:rPr>
        <w:t xml:space="preserve">الوثيقة: </w:t>
      </w:r>
      <w:r w:rsidR="002D79AE" w:rsidRPr="002D79AE">
        <w:rPr>
          <w:lang w:bidi="ar-AE"/>
        </w:rPr>
        <w:t>UNEP/OzL.Pro/ExCom/94/55</w:t>
      </w:r>
      <w:r w:rsidR="002D79AE">
        <w:rPr>
          <w:rFonts w:hint="cs"/>
          <w:rtl/>
          <w:lang w:bidi="ar-AE"/>
        </w:rPr>
        <w:t>.</w:t>
      </w:r>
    </w:p>
  </w:footnote>
  <w:footnote w:id="13">
    <w:p w14:paraId="2F329017" w14:textId="0320C71E" w:rsidR="002D79AE" w:rsidRPr="002D79AE" w:rsidRDefault="002D79AE" w:rsidP="002D79AE">
      <w:pPr>
        <w:pStyle w:val="FootnoteText"/>
        <w:bidi/>
        <w:rPr>
          <w:rtl/>
          <w:lang w:bidi="ar-AE"/>
        </w:rPr>
      </w:pPr>
      <w:r>
        <w:rPr>
          <w:rStyle w:val="FootnoteReference"/>
        </w:rPr>
        <w:footnoteRef/>
      </w:r>
      <w:r>
        <w:t xml:space="preserve"> </w:t>
      </w:r>
      <w:r w:rsidR="00DA0487" w:rsidRPr="00DA0487">
        <w:rPr>
          <w:rtl/>
          <w:lang w:bidi="ar-AE"/>
        </w:rPr>
        <w:t xml:space="preserve">يمكن تقديم الشريحة الخاصة بأفغانستان إلى الاجتماع الخامس والتسعين (المرفق التاسع بالوثيقة </w:t>
      </w:r>
      <w:r w:rsidR="00DA0487" w:rsidRPr="00DA0487">
        <w:rPr>
          <w:lang w:bidi="ar-AE"/>
        </w:rPr>
        <w:t>UNEP/OzL.Pro/ExCom/93/105</w:t>
      </w:r>
      <w:r w:rsidR="00DA0487" w:rsidRPr="00DA0487">
        <w:rPr>
          <w:rtl/>
          <w:lang w:bidi="ar-AE"/>
        </w:rPr>
        <w:t>).</w:t>
      </w:r>
    </w:p>
  </w:footnote>
  <w:footnote w:id="14">
    <w:p w14:paraId="0387419F" w14:textId="63F479C8" w:rsidR="001D1359" w:rsidRDefault="001D1359" w:rsidP="001D1359">
      <w:pPr>
        <w:pStyle w:val="FootnoteText"/>
        <w:bidi/>
        <w:rPr>
          <w:rtl/>
          <w:lang w:bidi="ar-AE"/>
        </w:rPr>
      </w:pPr>
      <w:r>
        <w:rPr>
          <w:rStyle w:val="FootnoteReference"/>
        </w:rPr>
        <w:footnoteRef/>
      </w:r>
      <w:r>
        <w:t xml:space="preserve"> </w:t>
      </w:r>
      <w:r w:rsidRPr="001D1359">
        <w:rPr>
          <w:rtl/>
          <w:lang w:bidi="ar-AE"/>
        </w:rPr>
        <w:t>على سبيل المقارنة، في الاجتماع الثالث والتسعين، لم يتم تقديم 25 شريحة كانت مستحقة لـ 15 دولة.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5165" w14:textId="0469771C" w:rsidR="00DC6A10" w:rsidRPr="0033525D" w:rsidRDefault="00201C77" w:rsidP="00A71292">
    <w:pPr>
      <w:jc w:val="right"/>
    </w:pPr>
    <w:r>
      <w:fldChar w:fldCharType="begin"/>
    </w:r>
    <w:r>
      <w:instrText xml:space="preserve"> DOCPROPERTY "Document number"  \* MERGEFORMAT </w:instrText>
    </w:r>
    <w:r>
      <w:fldChar w:fldCharType="separate"/>
    </w:r>
    <w:r w:rsidR="00337759">
      <w:t>UNEP/OzL.Pro/ExCom/94/13</w:t>
    </w:r>
    <w:r>
      <w:fldChar w:fldCharType="end"/>
    </w:r>
  </w:p>
  <w:p w14:paraId="2EDB8A20" w14:textId="77777777" w:rsidR="00DC6A10" w:rsidRPr="0033525D" w:rsidRDefault="00DC6A10"/>
  <w:p w14:paraId="374EBFF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9A73D" w14:textId="0D2FE628" w:rsidR="00DC6A10" w:rsidRPr="0033525D" w:rsidRDefault="00201C77" w:rsidP="00A71292">
    <w:pPr>
      <w:jc w:val="left"/>
    </w:pPr>
    <w:r>
      <w:fldChar w:fldCharType="begin"/>
    </w:r>
    <w:r>
      <w:instrText xml:space="preserve"> DOCPROPERTY "Document number"  \* MERGEFORMAT </w:instrText>
    </w:r>
    <w:r>
      <w:fldChar w:fldCharType="separate"/>
    </w:r>
    <w:r w:rsidR="00337759">
      <w:t>UNEP/OzL.Pro/ExCom/94/13</w:t>
    </w:r>
    <w:r>
      <w:fldChar w:fldCharType="end"/>
    </w:r>
  </w:p>
  <w:p w14:paraId="0F06392B" w14:textId="77777777" w:rsidR="007457FD" w:rsidRPr="0033525D" w:rsidRDefault="007457FD" w:rsidP="007457FD">
    <w:pPr>
      <w:jc w:val="right"/>
    </w:pPr>
  </w:p>
  <w:p w14:paraId="3571E6F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99A37" w14:textId="0737AF37" w:rsidR="007457FD" w:rsidRPr="0033525D" w:rsidRDefault="00201C77">
    <w:r>
      <w:fldChar w:fldCharType="begin"/>
    </w:r>
    <w:r>
      <w:instrText xml:space="preserve"> DOCPROPERTY "Document number"  \* MERGEFORMAT </w:instrText>
    </w:r>
    <w:r>
      <w:fldChar w:fldCharType="separate"/>
    </w:r>
    <w:r w:rsidR="00337759">
      <w:t>UNEP/OzL.Pro/ExCom/94/13</w:t>
    </w:r>
    <w:r>
      <w:fldChar w:fldCharType="end"/>
    </w:r>
  </w:p>
  <w:p w14:paraId="664E0360" w14:textId="4634EEE2" w:rsidR="007457FD" w:rsidRDefault="007457FD">
    <w:r>
      <w:t>Annex I</w:t>
    </w:r>
  </w:p>
  <w:p w14:paraId="2D67C171" w14:textId="77777777" w:rsidR="007457FD" w:rsidRPr="0033525D" w:rsidRDefault="007457FD"/>
  <w:p w14:paraId="59E45A15" w14:textId="77777777" w:rsidR="007457FD" w:rsidRPr="0033525D" w:rsidRDefault="007457F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E2368" w14:textId="65265CC7" w:rsidR="007457FD" w:rsidRPr="0033525D" w:rsidRDefault="00201C77">
    <w:pPr>
      <w:jc w:val="right"/>
    </w:pPr>
    <w:r>
      <w:fldChar w:fldCharType="begin"/>
    </w:r>
    <w:r>
      <w:instrText xml:space="preserve"> DOCPROPERTY "Document number"  \* MERGEFORMAT </w:instrText>
    </w:r>
    <w:r>
      <w:fldChar w:fldCharType="separate"/>
    </w:r>
    <w:r w:rsidR="00337759">
      <w:t>UNEP/OzL.Pro/ExCom/94/13</w:t>
    </w:r>
    <w:r>
      <w:fldChar w:fldCharType="end"/>
    </w:r>
  </w:p>
  <w:p w14:paraId="34115141" w14:textId="77777777" w:rsidR="007457FD" w:rsidRDefault="007457FD" w:rsidP="007457FD">
    <w:pPr>
      <w:jc w:val="right"/>
    </w:pPr>
    <w:r>
      <w:t>Annex I</w:t>
    </w:r>
  </w:p>
  <w:p w14:paraId="176709DA" w14:textId="77777777" w:rsidR="007457FD" w:rsidRPr="0033525D" w:rsidRDefault="007457FD" w:rsidP="007457FD">
    <w:pPr>
      <w:jc w:val="right"/>
    </w:pPr>
  </w:p>
  <w:p w14:paraId="66F19E80" w14:textId="77777777" w:rsidR="007457FD" w:rsidRPr="0033525D" w:rsidRDefault="007457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BF4E2" w14:textId="3599A32C" w:rsidR="007457FD" w:rsidRPr="0033525D" w:rsidRDefault="00201C77" w:rsidP="007457FD">
    <w:pPr>
      <w:jc w:val="right"/>
    </w:pPr>
    <w:r>
      <w:fldChar w:fldCharType="begin"/>
    </w:r>
    <w:r>
      <w:instrText xml:space="preserve"> DOCPROPERTY "Document number"  \* MERGEFORMAT </w:instrText>
    </w:r>
    <w:r>
      <w:fldChar w:fldCharType="separate"/>
    </w:r>
    <w:r w:rsidR="00337759">
      <w:t>UNEP/OzL.Pro/ExCom/94/13</w:t>
    </w:r>
    <w:r>
      <w:fldChar w:fldCharType="end"/>
    </w:r>
  </w:p>
  <w:p w14:paraId="17319230" w14:textId="5A6FD4D6" w:rsidR="007457FD" w:rsidRDefault="007457FD" w:rsidP="007457FD">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7F80154"/>
    <w:lvl w:ilvl="0">
      <w:start w:val="1"/>
      <w:numFmt w:val="decimal"/>
      <w:pStyle w:val="Heading1"/>
      <w:lvlText w:val="%1."/>
      <w:lvlJc w:val="left"/>
      <w:pPr>
        <w:tabs>
          <w:tab w:val="num" w:pos="0"/>
        </w:tabs>
        <w:ind w:left="0" w:firstLine="0"/>
      </w:pPr>
      <w:rPr>
        <w:sz w:val="26"/>
        <w:szCs w:val="26"/>
      </w:rPr>
    </w:lvl>
    <w:lvl w:ilvl="1">
      <w:start w:val="1"/>
      <w:numFmt w:val="lowerLetter"/>
      <w:pStyle w:val="Heading2"/>
      <w:lvlText w:val="(%2)"/>
      <w:lvlJc w:val="left"/>
      <w:pPr>
        <w:tabs>
          <w:tab w:val="num" w:pos="0"/>
        </w:tabs>
        <w:ind w:left="1440" w:hanging="720"/>
      </w:pPr>
      <w:rPr>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444C43"/>
    <w:multiLevelType w:val="hybridMultilevel"/>
    <w:tmpl w:val="20DC0706"/>
    <w:lvl w:ilvl="0" w:tplc="CE1CB188">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91525B"/>
    <w:multiLevelType w:val="hybridMultilevel"/>
    <w:tmpl w:val="8D102AB8"/>
    <w:lvl w:ilvl="0" w:tplc="80E437C8">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4"/>
  </w:num>
  <w:num w:numId="21" w16cid:durableId="1706254949">
    <w:abstractNumId w:val="17"/>
  </w:num>
  <w:num w:numId="22" w16cid:durableId="58751910">
    <w:abstractNumId w:val="10"/>
  </w:num>
  <w:num w:numId="23" w16cid:durableId="2133477639">
    <w:abstractNumId w:val="10"/>
  </w:num>
  <w:num w:numId="24" w16cid:durableId="15530360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0106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1004588">
    <w:abstractNumId w:val="10"/>
  </w:num>
  <w:num w:numId="27" w16cid:durableId="2061634476">
    <w:abstractNumId w:val="10"/>
  </w:num>
  <w:num w:numId="28" w16cid:durableId="1010135336">
    <w:abstractNumId w:val="10"/>
  </w:num>
  <w:num w:numId="29" w16cid:durableId="305668198">
    <w:abstractNumId w:val="10"/>
  </w:num>
  <w:num w:numId="30" w16cid:durableId="1326085205">
    <w:abstractNumId w:val="10"/>
  </w:num>
  <w:num w:numId="31" w16cid:durableId="1676179881">
    <w:abstractNumId w:val="10"/>
  </w:num>
  <w:num w:numId="32" w16cid:durableId="76288688">
    <w:abstractNumId w:val="10"/>
  </w:num>
  <w:num w:numId="33" w16cid:durableId="1204489466">
    <w:abstractNumId w:val="10"/>
  </w:num>
  <w:num w:numId="34" w16cid:durableId="1329821752">
    <w:abstractNumId w:val="10"/>
  </w:num>
  <w:num w:numId="35" w16cid:durableId="1091584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52072286">
    <w:abstractNumId w:val="11"/>
  </w:num>
  <w:num w:numId="37" w16cid:durableId="843394769">
    <w:abstractNumId w:val="13"/>
  </w:num>
  <w:num w:numId="38" w16cid:durableId="1305312140">
    <w:abstractNumId w:val="10"/>
  </w:num>
  <w:num w:numId="39" w16cid:durableId="506553034">
    <w:abstractNumId w:val="10"/>
  </w:num>
  <w:num w:numId="40" w16cid:durableId="1021518290">
    <w:abstractNumId w:val="10"/>
  </w:num>
  <w:num w:numId="41" w16cid:durableId="1792017144">
    <w:abstractNumId w:val="10"/>
  </w:num>
  <w:num w:numId="42" w16cid:durableId="1837571267">
    <w:abstractNumId w:val="10"/>
  </w:num>
  <w:num w:numId="43" w16cid:durableId="1716347879">
    <w:abstractNumId w:val="10"/>
  </w:num>
  <w:num w:numId="44" w16cid:durableId="1333530340">
    <w:abstractNumId w:val="10"/>
  </w:num>
  <w:num w:numId="45" w16cid:durableId="1237596149">
    <w:abstractNumId w:val="10"/>
  </w:num>
  <w:num w:numId="46" w16cid:durableId="71273447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457FD"/>
    <w:rsid w:val="00000FED"/>
    <w:rsid w:val="0000434E"/>
    <w:rsid w:val="000211A9"/>
    <w:rsid w:val="00021238"/>
    <w:rsid w:val="00021C07"/>
    <w:rsid w:val="00022071"/>
    <w:rsid w:val="00031260"/>
    <w:rsid w:val="00035FDC"/>
    <w:rsid w:val="00036716"/>
    <w:rsid w:val="0003681A"/>
    <w:rsid w:val="000372B7"/>
    <w:rsid w:val="00040121"/>
    <w:rsid w:val="0004104E"/>
    <w:rsid w:val="00041609"/>
    <w:rsid w:val="00050F6E"/>
    <w:rsid w:val="0006125D"/>
    <w:rsid w:val="00061B93"/>
    <w:rsid w:val="00061EC2"/>
    <w:rsid w:val="00066CE8"/>
    <w:rsid w:val="00077004"/>
    <w:rsid w:val="00080ED0"/>
    <w:rsid w:val="00085B8F"/>
    <w:rsid w:val="00090481"/>
    <w:rsid w:val="00090562"/>
    <w:rsid w:val="000A1477"/>
    <w:rsid w:val="000A3470"/>
    <w:rsid w:val="000A3826"/>
    <w:rsid w:val="000A6C26"/>
    <w:rsid w:val="000B2CF3"/>
    <w:rsid w:val="000B2D73"/>
    <w:rsid w:val="000B36C8"/>
    <w:rsid w:val="000B4734"/>
    <w:rsid w:val="000C4F52"/>
    <w:rsid w:val="000C6565"/>
    <w:rsid w:val="000D06B5"/>
    <w:rsid w:val="000D52A4"/>
    <w:rsid w:val="000E07BC"/>
    <w:rsid w:val="000E2212"/>
    <w:rsid w:val="000E2E21"/>
    <w:rsid w:val="000F1CD4"/>
    <w:rsid w:val="000F4103"/>
    <w:rsid w:val="000F6BCF"/>
    <w:rsid w:val="000F70A7"/>
    <w:rsid w:val="001031D7"/>
    <w:rsid w:val="00113CCA"/>
    <w:rsid w:val="00122F25"/>
    <w:rsid w:val="00135980"/>
    <w:rsid w:val="001363E1"/>
    <w:rsid w:val="0013786F"/>
    <w:rsid w:val="00155400"/>
    <w:rsid w:val="0015578C"/>
    <w:rsid w:val="00161E71"/>
    <w:rsid w:val="00161F7D"/>
    <w:rsid w:val="00164719"/>
    <w:rsid w:val="00166FC4"/>
    <w:rsid w:val="001670F4"/>
    <w:rsid w:val="001677AC"/>
    <w:rsid w:val="00173561"/>
    <w:rsid w:val="001804EA"/>
    <w:rsid w:val="0018228B"/>
    <w:rsid w:val="00182723"/>
    <w:rsid w:val="00183172"/>
    <w:rsid w:val="00190A61"/>
    <w:rsid w:val="00194B5C"/>
    <w:rsid w:val="00195BFC"/>
    <w:rsid w:val="00197179"/>
    <w:rsid w:val="001A2215"/>
    <w:rsid w:val="001A3342"/>
    <w:rsid w:val="001A3E3D"/>
    <w:rsid w:val="001A469E"/>
    <w:rsid w:val="001A7049"/>
    <w:rsid w:val="001B1D14"/>
    <w:rsid w:val="001B1E40"/>
    <w:rsid w:val="001B320A"/>
    <w:rsid w:val="001B4A22"/>
    <w:rsid w:val="001C3653"/>
    <w:rsid w:val="001C7602"/>
    <w:rsid w:val="001C764E"/>
    <w:rsid w:val="001D1359"/>
    <w:rsid w:val="001D45CC"/>
    <w:rsid w:val="001E1052"/>
    <w:rsid w:val="001E21B1"/>
    <w:rsid w:val="001E2F93"/>
    <w:rsid w:val="001E4554"/>
    <w:rsid w:val="001E61E5"/>
    <w:rsid w:val="001F0D01"/>
    <w:rsid w:val="001F1070"/>
    <w:rsid w:val="001F2159"/>
    <w:rsid w:val="001F53FD"/>
    <w:rsid w:val="00201C77"/>
    <w:rsid w:val="00204319"/>
    <w:rsid w:val="002060EC"/>
    <w:rsid w:val="00206617"/>
    <w:rsid w:val="002073B9"/>
    <w:rsid w:val="00210B8B"/>
    <w:rsid w:val="00212B71"/>
    <w:rsid w:val="002134E4"/>
    <w:rsid w:val="00213D8F"/>
    <w:rsid w:val="00214863"/>
    <w:rsid w:val="002156B4"/>
    <w:rsid w:val="002207AF"/>
    <w:rsid w:val="00224CB1"/>
    <w:rsid w:val="00224FCD"/>
    <w:rsid w:val="00233CBF"/>
    <w:rsid w:val="00246571"/>
    <w:rsid w:val="00252216"/>
    <w:rsid w:val="00252C67"/>
    <w:rsid w:val="00253222"/>
    <w:rsid w:val="00261C13"/>
    <w:rsid w:val="00262847"/>
    <w:rsid w:val="002722EF"/>
    <w:rsid w:val="00273272"/>
    <w:rsid w:val="00274410"/>
    <w:rsid w:val="00281BB2"/>
    <w:rsid w:val="0028341E"/>
    <w:rsid w:val="002A03C3"/>
    <w:rsid w:val="002A76C7"/>
    <w:rsid w:val="002A7749"/>
    <w:rsid w:val="002B0A46"/>
    <w:rsid w:val="002B254E"/>
    <w:rsid w:val="002B4CE8"/>
    <w:rsid w:val="002B6DBC"/>
    <w:rsid w:val="002B72E9"/>
    <w:rsid w:val="002C7998"/>
    <w:rsid w:val="002C7ED8"/>
    <w:rsid w:val="002D058D"/>
    <w:rsid w:val="002D4B68"/>
    <w:rsid w:val="002D79AE"/>
    <w:rsid w:val="002E495D"/>
    <w:rsid w:val="002E67E5"/>
    <w:rsid w:val="002F0238"/>
    <w:rsid w:val="002F1844"/>
    <w:rsid w:val="002F1B76"/>
    <w:rsid w:val="002F1E53"/>
    <w:rsid w:val="002F2CAA"/>
    <w:rsid w:val="002F7551"/>
    <w:rsid w:val="0030052C"/>
    <w:rsid w:val="003062B5"/>
    <w:rsid w:val="00307350"/>
    <w:rsid w:val="003109D0"/>
    <w:rsid w:val="00316DFF"/>
    <w:rsid w:val="003306E1"/>
    <w:rsid w:val="003320E4"/>
    <w:rsid w:val="00332B35"/>
    <w:rsid w:val="003339D8"/>
    <w:rsid w:val="0033525D"/>
    <w:rsid w:val="00336A71"/>
    <w:rsid w:val="00337759"/>
    <w:rsid w:val="003414F3"/>
    <w:rsid w:val="00346207"/>
    <w:rsid w:val="003531B8"/>
    <w:rsid w:val="0035613E"/>
    <w:rsid w:val="00363EE9"/>
    <w:rsid w:val="0036512C"/>
    <w:rsid w:val="0036646D"/>
    <w:rsid w:val="00366611"/>
    <w:rsid w:val="00371DFB"/>
    <w:rsid w:val="00376128"/>
    <w:rsid w:val="0037742E"/>
    <w:rsid w:val="00377D56"/>
    <w:rsid w:val="0038245A"/>
    <w:rsid w:val="00383AF0"/>
    <w:rsid w:val="003840E6"/>
    <w:rsid w:val="00385CFC"/>
    <w:rsid w:val="0039337A"/>
    <w:rsid w:val="003A3189"/>
    <w:rsid w:val="003A3CA7"/>
    <w:rsid w:val="003A4CD8"/>
    <w:rsid w:val="003B33BD"/>
    <w:rsid w:val="003B416C"/>
    <w:rsid w:val="003B569D"/>
    <w:rsid w:val="003B695D"/>
    <w:rsid w:val="003C09EC"/>
    <w:rsid w:val="003C3C0E"/>
    <w:rsid w:val="003C6E93"/>
    <w:rsid w:val="003D19A1"/>
    <w:rsid w:val="003D35D4"/>
    <w:rsid w:val="003D42A6"/>
    <w:rsid w:val="003D4F21"/>
    <w:rsid w:val="003D4FAC"/>
    <w:rsid w:val="003D50EF"/>
    <w:rsid w:val="003E1885"/>
    <w:rsid w:val="003E31C1"/>
    <w:rsid w:val="003E6522"/>
    <w:rsid w:val="003E7906"/>
    <w:rsid w:val="003F000F"/>
    <w:rsid w:val="003F3C50"/>
    <w:rsid w:val="00406202"/>
    <w:rsid w:val="00406A6A"/>
    <w:rsid w:val="00406B22"/>
    <w:rsid w:val="00407147"/>
    <w:rsid w:val="004078FA"/>
    <w:rsid w:val="00411966"/>
    <w:rsid w:val="00411A49"/>
    <w:rsid w:val="00417CE7"/>
    <w:rsid w:val="00431E08"/>
    <w:rsid w:val="004328A7"/>
    <w:rsid w:val="00434C74"/>
    <w:rsid w:val="00437069"/>
    <w:rsid w:val="004507CD"/>
    <w:rsid w:val="004512E7"/>
    <w:rsid w:val="00456EB4"/>
    <w:rsid w:val="00457016"/>
    <w:rsid w:val="00457827"/>
    <w:rsid w:val="004624A9"/>
    <w:rsid w:val="0046576C"/>
    <w:rsid w:val="004718F3"/>
    <w:rsid w:val="00475040"/>
    <w:rsid w:val="00480809"/>
    <w:rsid w:val="00490C06"/>
    <w:rsid w:val="0049233C"/>
    <w:rsid w:val="00493D40"/>
    <w:rsid w:val="00493EE3"/>
    <w:rsid w:val="00494BC8"/>
    <w:rsid w:val="00495165"/>
    <w:rsid w:val="0049646F"/>
    <w:rsid w:val="004967B6"/>
    <w:rsid w:val="00497D4F"/>
    <w:rsid w:val="004A105E"/>
    <w:rsid w:val="004A504B"/>
    <w:rsid w:val="004A6911"/>
    <w:rsid w:val="004A7D2C"/>
    <w:rsid w:val="004B0F15"/>
    <w:rsid w:val="004B230B"/>
    <w:rsid w:val="004B3652"/>
    <w:rsid w:val="004B54E0"/>
    <w:rsid w:val="004B7384"/>
    <w:rsid w:val="004C4269"/>
    <w:rsid w:val="004D50DB"/>
    <w:rsid w:val="004D6236"/>
    <w:rsid w:val="004D7F90"/>
    <w:rsid w:val="004E1BD1"/>
    <w:rsid w:val="004E29D8"/>
    <w:rsid w:val="004E4DBB"/>
    <w:rsid w:val="004E4E41"/>
    <w:rsid w:val="004E6DB3"/>
    <w:rsid w:val="004E73DB"/>
    <w:rsid w:val="004E7F9C"/>
    <w:rsid w:val="004F3493"/>
    <w:rsid w:val="004F3C42"/>
    <w:rsid w:val="004F508F"/>
    <w:rsid w:val="004F5143"/>
    <w:rsid w:val="00512B09"/>
    <w:rsid w:val="005220ED"/>
    <w:rsid w:val="00523C8A"/>
    <w:rsid w:val="00526447"/>
    <w:rsid w:val="00527947"/>
    <w:rsid w:val="0053079B"/>
    <w:rsid w:val="00530838"/>
    <w:rsid w:val="00533796"/>
    <w:rsid w:val="00537343"/>
    <w:rsid w:val="00542720"/>
    <w:rsid w:val="00542CC0"/>
    <w:rsid w:val="005430FC"/>
    <w:rsid w:val="00544CCA"/>
    <w:rsid w:val="005516F3"/>
    <w:rsid w:val="00555D75"/>
    <w:rsid w:val="00560DF0"/>
    <w:rsid w:val="0056759C"/>
    <w:rsid w:val="005715C4"/>
    <w:rsid w:val="00571D86"/>
    <w:rsid w:val="00572026"/>
    <w:rsid w:val="00583653"/>
    <w:rsid w:val="00586CDF"/>
    <w:rsid w:val="00590827"/>
    <w:rsid w:val="00594F66"/>
    <w:rsid w:val="0059513E"/>
    <w:rsid w:val="005952DE"/>
    <w:rsid w:val="005A4CF2"/>
    <w:rsid w:val="005A6AA4"/>
    <w:rsid w:val="005A6D9F"/>
    <w:rsid w:val="005B48FF"/>
    <w:rsid w:val="005C1E32"/>
    <w:rsid w:val="005C306D"/>
    <w:rsid w:val="005C670D"/>
    <w:rsid w:val="005C7828"/>
    <w:rsid w:val="005D363F"/>
    <w:rsid w:val="005D41E0"/>
    <w:rsid w:val="005D4C4C"/>
    <w:rsid w:val="005E6BC9"/>
    <w:rsid w:val="005E6C0C"/>
    <w:rsid w:val="005F4D69"/>
    <w:rsid w:val="006022A1"/>
    <w:rsid w:val="00604C15"/>
    <w:rsid w:val="00615621"/>
    <w:rsid w:val="006158D5"/>
    <w:rsid w:val="00615CF4"/>
    <w:rsid w:val="006175BA"/>
    <w:rsid w:val="0062021D"/>
    <w:rsid w:val="00625D83"/>
    <w:rsid w:val="006310F4"/>
    <w:rsid w:val="0063170A"/>
    <w:rsid w:val="00632143"/>
    <w:rsid w:val="00644327"/>
    <w:rsid w:val="00650A29"/>
    <w:rsid w:val="00651984"/>
    <w:rsid w:val="00661FAE"/>
    <w:rsid w:val="006623E7"/>
    <w:rsid w:val="00662B80"/>
    <w:rsid w:val="0066768F"/>
    <w:rsid w:val="00670761"/>
    <w:rsid w:val="00670F6C"/>
    <w:rsid w:val="0067587B"/>
    <w:rsid w:val="00676E58"/>
    <w:rsid w:val="00682B94"/>
    <w:rsid w:val="006852C7"/>
    <w:rsid w:val="006852CE"/>
    <w:rsid w:val="00690E91"/>
    <w:rsid w:val="00692D14"/>
    <w:rsid w:val="006A1150"/>
    <w:rsid w:val="006A7A3B"/>
    <w:rsid w:val="006B02A9"/>
    <w:rsid w:val="006B0C3B"/>
    <w:rsid w:val="006B65C7"/>
    <w:rsid w:val="006C1727"/>
    <w:rsid w:val="006C3171"/>
    <w:rsid w:val="006C32FD"/>
    <w:rsid w:val="006C39CE"/>
    <w:rsid w:val="006C5F82"/>
    <w:rsid w:val="006C669F"/>
    <w:rsid w:val="006D0626"/>
    <w:rsid w:val="006D0FCC"/>
    <w:rsid w:val="006D21F5"/>
    <w:rsid w:val="006D3089"/>
    <w:rsid w:val="006E126D"/>
    <w:rsid w:val="006E169A"/>
    <w:rsid w:val="006E1FC3"/>
    <w:rsid w:val="006F3C36"/>
    <w:rsid w:val="006F6B4A"/>
    <w:rsid w:val="006F7199"/>
    <w:rsid w:val="007030F9"/>
    <w:rsid w:val="007047EF"/>
    <w:rsid w:val="00704CE9"/>
    <w:rsid w:val="0070616B"/>
    <w:rsid w:val="00706295"/>
    <w:rsid w:val="00706FDA"/>
    <w:rsid w:val="00711F9A"/>
    <w:rsid w:val="00713810"/>
    <w:rsid w:val="00715067"/>
    <w:rsid w:val="007152F8"/>
    <w:rsid w:val="0072061C"/>
    <w:rsid w:val="00726BC9"/>
    <w:rsid w:val="007303A5"/>
    <w:rsid w:val="00730B3E"/>
    <w:rsid w:val="00732EDE"/>
    <w:rsid w:val="0073420B"/>
    <w:rsid w:val="00736367"/>
    <w:rsid w:val="007457FD"/>
    <w:rsid w:val="0074760E"/>
    <w:rsid w:val="007531F8"/>
    <w:rsid w:val="00754ABA"/>
    <w:rsid w:val="00771024"/>
    <w:rsid w:val="00782B0D"/>
    <w:rsid w:val="0079781A"/>
    <w:rsid w:val="007A1546"/>
    <w:rsid w:val="007A1BFD"/>
    <w:rsid w:val="007A228C"/>
    <w:rsid w:val="007A368E"/>
    <w:rsid w:val="007A5868"/>
    <w:rsid w:val="007A7AE4"/>
    <w:rsid w:val="007B04CE"/>
    <w:rsid w:val="007B1458"/>
    <w:rsid w:val="007B1E08"/>
    <w:rsid w:val="007B56E2"/>
    <w:rsid w:val="007B6871"/>
    <w:rsid w:val="007B7A2F"/>
    <w:rsid w:val="007C3115"/>
    <w:rsid w:val="007C32EE"/>
    <w:rsid w:val="007C3CE1"/>
    <w:rsid w:val="007C3D33"/>
    <w:rsid w:val="007C7D83"/>
    <w:rsid w:val="007D294A"/>
    <w:rsid w:val="007D3B79"/>
    <w:rsid w:val="007D47D2"/>
    <w:rsid w:val="007D63DC"/>
    <w:rsid w:val="007D6537"/>
    <w:rsid w:val="007D6EC0"/>
    <w:rsid w:val="007D7E1D"/>
    <w:rsid w:val="007E0D22"/>
    <w:rsid w:val="007E4703"/>
    <w:rsid w:val="007E503C"/>
    <w:rsid w:val="007E631E"/>
    <w:rsid w:val="007F06E8"/>
    <w:rsid w:val="007F3F6B"/>
    <w:rsid w:val="007F6BA0"/>
    <w:rsid w:val="00802433"/>
    <w:rsid w:val="0080345C"/>
    <w:rsid w:val="00810A1D"/>
    <w:rsid w:val="0082522F"/>
    <w:rsid w:val="00831979"/>
    <w:rsid w:val="00844AA6"/>
    <w:rsid w:val="008461C9"/>
    <w:rsid w:val="00851352"/>
    <w:rsid w:val="0085516D"/>
    <w:rsid w:val="00857077"/>
    <w:rsid w:val="00857F80"/>
    <w:rsid w:val="008624B3"/>
    <w:rsid w:val="00863230"/>
    <w:rsid w:val="00863B08"/>
    <w:rsid w:val="008647A0"/>
    <w:rsid w:val="00865BD0"/>
    <w:rsid w:val="00866686"/>
    <w:rsid w:val="00866F78"/>
    <w:rsid w:val="008717D8"/>
    <w:rsid w:val="0087215C"/>
    <w:rsid w:val="00875D25"/>
    <w:rsid w:val="00877EDA"/>
    <w:rsid w:val="00880E35"/>
    <w:rsid w:val="0088224C"/>
    <w:rsid w:val="0088326B"/>
    <w:rsid w:val="00884574"/>
    <w:rsid w:val="008875FE"/>
    <w:rsid w:val="00887F8E"/>
    <w:rsid w:val="00891B4F"/>
    <w:rsid w:val="00891F0C"/>
    <w:rsid w:val="00896234"/>
    <w:rsid w:val="00897E43"/>
    <w:rsid w:val="008A7F04"/>
    <w:rsid w:val="008C222B"/>
    <w:rsid w:val="008C2578"/>
    <w:rsid w:val="008C5738"/>
    <w:rsid w:val="008C7EAD"/>
    <w:rsid w:val="008D0CFE"/>
    <w:rsid w:val="008D6152"/>
    <w:rsid w:val="008E0961"/>
    <w:rsid w:val="008E4672"/>
    <w:rsid w:val="008E7ABC"/>
    <w:rsid w:val="008E7BA9"/>
    <w:rsid w:val="008F061F"/>
    <w:rsid w:val="008F0F81"/>
    <w:rsid w:val="008F27BF"/>
    <w:rsid w:val="008F2E64"/>
    <w:rsid w:val="008F34E4"/>
    <w:rsid w:val="008F353B"/>
    <w:rsid w:val="00902211"/>
    <w:rsid w:val="009028C6"/>
    <w:rsid w:val="009133EE"/>
    <w:rsid w:val="0091359A"/>
    <w:rsid w:val="009142EC"/>
    <w:rsid w:val="009145E4"/>
    <w:rsid w:val="009154C3"/>
    <w:rsid w:val="00922682"/>
    <w:rsid w:val="00923540"/>
    <w:rsid w:val="00926767"/>
    <w:rsid w:val="0093173C"/>
    <w:rsid w:val="009361D5"/>
    <w:rsid w:val="009428A4"/>
    <w:rsid w:val="009462A3"/>
    <w:rsid w:val="00954461"/>
    <w:rsid w:val="009574F9"/>
    <w:rsid w:val="0096393F"/>
    <w:rsid w:val="00963D5C"/>
    <w:rsid w:val="009659F4"/>
    <w:rsid w:val="009674E2"/>
    <w:rsid w:val="00970D60"/>
    <w:rsid w:val="00975AC8"/>
    <w:rsid w:val="00977F4A"/>
    <w:rsid w:val="00982C02"/>
    <w:rsid w:val="0098552C"/>
    <w:rsid w:val="00986692"/>
    <w:rsid w:val="0099390E"/>
    <w:rsid w:val="00995B2E"/>
    <w:rsid w:val="009960E5"/>
    <w:rsid w:val="009A7ADC"/>
    <w:rsid w:val="009B0D30"/>
    <w:rsid w:val="009B7C14"/>
    <w:rsid w:val="009C19B7"/>
    <w:rsid w:val="009C5ABB"/>
    <w:rsid w:val="009D271F"/>
    <w:rsid w:val="009D4752"/>
    <w:rsid w:val="009D5A8D"/>
    <w:rsid w:val="009D7C51"/>
    <w:rsid w:val="009E196C"/>
    <w:rsid w:val="009E6A0A"/>
    <w:rsid w:val="009F0D4B"/>
    <w:rsid w:val="009F36BF"/>
    <w:rsid w:val="009F5EC9"/>
    <w:rsid w:val="009F74F0"/>
    <w:rsid w:val="00A10174"/>
    <w:rsid w:val="00A111B6"/>
    <w:rsid w:val="00A1643B"/>
    <w:rsid w:val="00A16EAD"/>
    <w:rsid w:val="00A17EE5"/>
    <w:rsid w:val="00A21C7E"/>
    <w:rsid w:val="00A23296"/>
    <w:rsid w:val="00A24187"/>
    <w:rsid w:val="00A2607E"/>
    <w:rsid w:val="00A26D27"/>
    <w:rsid w:val="00A3517D"/>
    <w:rsid w:val="00A376EE"/>
    <w:rsid w:val="00A421A5"/>
    <w:rsid w:val="00A42A99"/>
    <w:rsid w:val="00A43009"/>
    <w:rsid w:val="00A46F0E"/>
    <w:rsid w:val="00A5151A"/>
    <w:rsid w:val="00A52691"/>
    <w:rsid w:val="00A56EB7"/>
    <w:rsid w:val="00A57E0A"/>
    <w:rsid w:val="00A62F1C"/>
    <w:rsid w:val="00A71292"/>
    <w:rsid w:val="00A7137D"/>
    <w:rsid w:val="00A72BD9"/>
    <w:rsid w:val="00A731C2"/>
    <w:rsid w:val="00A77919"/>
    <w:rsid w:val="00A80890"/>
    <w:rsid w:val="00A823F6"/>
    <w:rsid w:val="00A8719E"/>
    <w:rsid w:val="00AA0A89"/>
    <w:rsid w:val="00AA0B5A"/>
    <w:rsid w:val="00AA5368"/>
    <w:rsid w:val="00AA6429"/>
    <w:rsid w:val="00AC01AA"/>
    <w:rsid w:val="00AC1E3F"/>
    <w:rsid w:val="00AC1EEC"/>
    <w:rsid w:val="00AC24B0"/>
    <w:rsid w:val="00AC2BE7"/>
    <w:rsid w:val="00AC4896"/>
    <w:rsid w:val="00AC4F72"/>
    <w:rsid w:val="00AC5041"/>
    <w:rsid w:val="00AC669A"/>
    <w:rsid w:val="00AC7D66"/>
    <w:rsid w:val="00AE0136"/>
    <w:rsid w:val="00AE20EB"/>
    <w:rsid w:val="00AE264D"/>
    <w:rsid w:val="00AE4484"/>
    <w:rsid w:val="00AE482E"/>
    <w:rsid w:val="00AF741A"/>
    <w:rsid w:val="00B01ADB"/>
    <w:rsid w:val="00B04161"/>
    <w:rsid w:val="00B056F9"/>
    <w:rsid w:val="00B11E3D"/>
    <w:rsid w:val="00B14111"/>
    <w:rsid w:val="00B14D2C"/>
    <w:rsid w:val="00B17E82"/>
    <w:rsid w:val="00B31B3C"/>
    <w:rsid w:val="00B36C82"/>
    <w:rsid w:val="00B4403F"/>
    <w:rsid w:val="00B446E9"/>
    <w:rsid w:val="00B44883"/>
    <w:rsid w:val="00B4575A"/>
    <w:rsid w:val="00B536A7"/>
    <w:rsid w:val="00B537F4"/>
    <w:rsid w:val="00B56508"/>
    <w:rsid w:val="00B575BA"/>
    <w:rsid w:val="00B65069"/>
    <w:rsid w:val="00B673E3"/>
    <w:rsid w:val="00B71608"/>
    <w:rsid w:val="00B71757"/>
    <w:rsid w:val="00B7331C"/>
    <w:rsid w:val="00B73D65"/>
    <w:rsid w:val="00B76429"/>
    <w:rsid w:val="00B86471"/>
    <w:rsid w:val="00B91A6B"/>
    <w:rsid w:val="00B956D4"/>
    <w:rsid w:val="00B97446"/>
    <w:rsid w:val="00BA2502"/>
    <w:rsid w:val="00BA3AC8"/>
    <w:rsid w:val="00BA5852"/>
    <w:rsid w:val="00BA6BAF"/>
    <w:rsid w:val="00BA7432"/>
    <w:rsid w:val="00BB2764"/>
    <w:rsid w:val="00BB49D2"/>
    <w:rsid w:val="00BC1AA0"/>
    <w:rsid w:val="00BC23FC"/>
    <w:rsid w:val="00BC2495"/>
    <w:rsid w:val="00BC26EF"/>
    <w:rsid w:val="00BC314A"/>
    <w:rsid w:val="00BC4247"/>
    <w:rsid w:val="00BC7EB9"/>
    <w:rsid w:val="00BD2643"/>
    <w:rsid w:val="00BD56B1"/>
    <w:rsid w:val="00BD6558"/>
    <w:rsid w:val="00BE1491"/>
    <w:rsid w:val="00BE57DA"/>
    <w:rsid w:val="00BF2737"/>
    <w:rsid w:val="00BF2AD7"/>
    <w:rsid w:val="00BF2F76"/>
    <w:rsid w:val="00BF3022"/>
    <w:rsid w:val="00BF3214"/>
    <w:rsid w:val="00BF5573"/>
    <w:rsid w:val="00C04E9E"/>
    <w:rsid w:val="00C0654F"/>
    <w:rsid w:val="00C126C8"/>
    <w:rsid w:val="00C15867"/>
    <w:rsid w:val="00C17F6E"/>
    <w:rsid w:val="00C20DBF"/>
    <w:rsid w:val="00C21312"/>
    <w:rsid w:val="00C22398"/>
    <w:rsid w:val="00C2296D"/>
    <w:rsid w:val="00C23155"/>
    <w:rsid w:val="00C265F7"/>
    <w:rsid w:val="00C35A30"/>
    <w:rsid w:val="00C37652"/>
    <w:rsid w:val="00C40C41"/>
    <w:rsid w:val="00C436F8"/>
    <w:rsid w:val="00C44D1E"/>
    <w:rsid w:val="00C45885"/>
    <w:rsid w:val="00C50385"/>
    <w:rsid w:val="00C50F22"/>
    <w:rsid w:val="00C532FA"/>
    <w:rsid w:val="00C57971"/>
    <w:rsid w:val="00C57DBB"/>
    <w:rsid w:val="00C57E51"/>
    <w:rsid w:val="00C65BD7"/>
    <w:rsid w:val="00C65E03"/>
    <w:rsid w:val="00C76BA4"/>
    <w:rsid w:val="00C77AD3"/>
    <w:rsid w:val="00C83A48"/>
    <w:rsid w:val="00C85128"/>
    <w:rsid w:val="00C85865"/>
    <w:rsid w:val="00C85E85"/>
    <w:rsid w:val="00CA07C2"/>
    <w:rsid w:val="00CA2EAE"/>
    <w:rsid w:val="00CA4AC1"/>
    <w:rsid w:val="00CA59FB"/>
    <w:rsid w:val="00CA7316"/>
    <w:rsid w:val="00CB0316"/>
    <w:rsid w:val="00CB0B11"/>
    <w:rsid w:val="00CB1DBA"/>
    <w:rsid w:val="00CB426A"/>
    <w:rsid w:val="00CB5354"/>
    <w:rsid w:val="00CC0D4D"/>
    <w:rsid w:val="00CC1CA3"/>
    <w:rsid w:val="00CC3C9E"/>
    <w:rsid w:val="00CC6A14"/>
    <w:rsid w:val="00CC70A3"/>
    <w:rsid w:val="00CD0636"/>
    <w:rsid w:val="00CD3913"/>
    <w:rsid w:val="00CD3E52"/>
    <w:rsid w:val="00CD4442"/>
    <w:rsid w:val="00CD53C3"/>
    <w:rsid w:val="00CD574E"/>
    <w:rsid w:val="00CD760B"/>
    <w:rsid w:val="00CE4317"/>
    <w:rsid w:val="00CE4C22"/>
    <w:rsid w:val="00CE76E5"/>
    <w:rsid w:val="00CF41EC"/>
    <w:rsid w:val="00CF55FB"/>
    <w:rsid w:val="00CF5D04"/>
    <w:rsid w:val="00CF77CD"/>
    <w:rsid w:val="00D00813"/>
    <w:rsid w:val="00D04DE4"/>
    <w:rsid w:val="00D0551C"/>
    <w:rsid w:val="00D063F1"/>
    <w:rsid w:val="00D12891"/>
    <w:rsid w:val="00D12DCD"/>
    <w:rsid w:val="00D14F22"/>
    <w:rsid w:val="00D23D65"/>
    <w:rsid w:val="00D368AB"/>
    <w:rsid w:val="00D37391"/>
    <w:rsid w:val="00D41FE7"/>
    <w:rsid w:val="00D43FD1"/>
    <w:rsid w:val="00D4741C"/>
    <w:rsid w:val="00D50679"/>
    <w:rsid w:val="00D545D8"/>
    <w:rsid w:val="00D57918"/>
    <w:rsid w:val="00D65D91"/>
    <w:rsid w:val="00D66D84"/>
    <w:rsid w:val="00D73DC6"/>
    <w:rsid w:val="00D740FA"/>
    <w:rsid w:val="00D74C1A"/>
    <w:rsid w:val="00D754C1"/>
    <w:rsid w:val="00D75F80"/>
    <w:rsid w:val="00D77393"/>
    <w:rsid w:val="00D77A35"/>
    <w:rsid w:val="00D81B3E"/>
    <w:rsid w:val="00D83D00"/>
    <w:rsid w:val="00D90C70"/>
    <w:rsid w:val="00D90E49"/>
    <w:rsid w:val="00D93EE4"/>
    <w:rsid w:val="00D9517F"/>
    <w:rsid w:val="00D96ADE"/>
    <w:rsid w:val="00D9768E"/>
    <w:rsid w:val="00DA0487"/>
    <w:rsid w:val="00DA0CE2"/>
    <w:rsid w:val="00DA2387"/>
    <w:rsid w:val="00DA3418"/>
    <w:rsid w:val="00DC6A10"/>
    <w:rsid w:val="00DC7CA9"/>
    <w:rsid w:val="00DD0D05"/>
    <w:rsid w:val="00DD309D"/>
    <w:rsid w:val="00DE300D"/>
    <w:rsid w:val="00DE5E8D"/>
    <w:rsid w:val="00DE657E"/>
    <w:rsid w:val="00DF4704"/>
    <w:rsid w:val="00E024AA"/>
    <w:rsid w:val="00E065A0"/>
    <w:rsid w:val="00E15C77"/>
    <w:rsid w:val="00E17990"/>
    <w:rsid w:val="00E20C73"/>
    <w:rsid w:val="00E250F1"/>
    <w:rsid w:val="00E27EBB"/>
    <w:rsid w:val="00E31CEE"/>
    <w:rsid w:val="00E333A3"/>
    <w:rsid w:val="00E3367B"/>
    <w:rsid w:val="00E3550D"/>
    <w:rsid w:val="00E471C8"/>
    <w:rsid w:val="00E513BA"/>
    <w:rsid w:val="00E52838"/>
    <w:rsid w:val="00E614E0"/>
    <w:rsid w:val="00E65BE5"/>
    <w:rsid w:val="00E6770B"/>
    <w:rsid w:val="00E73F7F"/>
    <w:rsid w:val="00E753E8"/>
    <w:rsid w:val="00E76F9E"/>
    <w:rsid w:val="00E85409"/>
    <w:rsid w:val="00EA3CF1"/>
    <w:rsid w:val="00EA429F"/>
    <w:rsid w:val="00EA4F9E"/>
    <w:rsid w:val="00EA63CA"/>
    <w:rsid w:val="00EA6D3B"/>
    <w:rsid w:val="00EB00AD"/>
    <w:rsid w:val="00EB136C"/>
    <w:rsid w:val="00EB480E"/>
    <w:rsid w:val="00EB5EC6"/>
    <w:rsid w:val="00EB6F45"/>
    <w:rsid w:val="00EB792D"/>
    <w:rsid w:val="00EB7FC9"/>
    <w:rsid w:val="00ED27E8"/>
    <w:rsid w:val="00ED4DAF"/>
    <w:rsid w:val="00ED7137"/>
    <w:rsid w:val="00EE28A7"/>
    <w:rsid w:val="00EE2FA2"/>
    <w:rsid w:val="00EE6A96"/>
    <w:rsid w:val="00EF06EA"/>
    <w:rsid w:val="00EF69F0"/>
    <w:rsid w:val="00F0448E"/>
    <w:rsid w:val="00F04E7D"/>
    <w:rsid w:val="00F04E88"/>
    <w:rsid w:val="00F069DB"/>
    <w:rsid w:val="00F074DA"/>
    <w:rsid w:val="00F07604"/>
    <w:rsid w:val="00F07DE7"/>
    <w:rsid w:val="00F14134"/>
    <w:rsid w:val="00F150B8"/>
    <w:rsid w:val="00F21088"/>
    <w:rsid w:val="00F261B0"/>
    <w:rsid w:val="00F326BF"/>
    <w:rsid w:val="00F327E7"/>
    <w:rsid w:val="00F35746"/>
    <w:rsid w:val="00F41C0A"/>
    <w:rsid w:val="00F447C7"/>
    <w:rsid w:val="00F459B4"/>
    <w:rsid w:val="00F46056"/>
    <w:rsid w:val="00F5211B"/>
    <w:rsid w:val="00F554A9"/>
    <w:rsid w:val="00F56909"/>
    <w:rsid w:val="00F63A0F"/>
    <w:rsid w:val="00F716FD"/>
    <w:rsid w:val="00F80355"/>
    <w:rsid w:val="00F87C43"/>
    <w:rsid w:val="00FA180A"/>
    <w:rsid w:val="00FA3EB9"/>
    <w:rsid w:val="00FA5722"/>
    <w:rsid w:val="00FA6012"/>
    <w:rsid w:val="00FA760B"/>
    <w:rsid w:val="00FB0824"/>
    <w:rsid w:val="00FB0C81"/>
    <w:rsid w:val="00FB3F9F"/>
    <w:rsid w:val="00FB711C"/>
    <w:rsid w:val="00FB7D28"/>
    <w:rsid w:val="00FC2200"/>
    <w:rsid w:val="00FC2540"/>
    <w:rsid w:val="00FC3112"/>
    <w:rsid w:val="00FC712E"/>
    <w:rsid w:val="00FC777E"/>
    <w:rsid w:val="00FD1560"/>
    <w:rsid w:val="00FD44E4"/>
    <w:rsid w:val="00FD7186"/>
    <w:rsid w:val="00FD7CD2"/>
    <w:rsid w:val="00FE3648"/>
    <w:rsid w:val="00FE536F"/>
    <w:rsid w:val="00FE70EC"/>
    <w:rsid w:val="00FF0204"/>
    <w:rsid w:val="00FF3AED"/>
    <w:rsid w:val="00FF559B"/>
    <w:rsid w:val="00FF6B19"/>
    <w:rsid w:val="00FF6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0033E"/>
  <w15:docId w15:val="{3F7B8E78-6F38-42E2-833A-2A8A01352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7457FD"/>
    <w:pPr>
      <w:ind w:left="720"/>
      <w:contextualSpacing/>
    </w:pPr>
  </w:style>
  <w:style w:type="character" w:customStyle="1" w:styleId="FooterChar">
    <w:name w:val="Footer Char"/>
    <w:basedOn w:val="DefaultParagraphFont"/>
    <w:link w:val="Footer"/>
    <w:uiPriority w:val="99"/>
    <w:rsid w:val="007457FD"/>
    <w:rPr>
      <w:sz w:val="22"/>
      <w:szCs w:val="22"/>
      <w:lang w:val="en-CA"/>
    </w:rPr>
  </w:style>
  <w:style w:type="character" w:customStyle="1" w:styleId="ui-provider">
    <w:name w:val="ui-provider"/>
    <w:basedOn w:val="DefaultParagraphFont"/>
    <w:rsid w:val="00274410"/>
  </w:style>
  <w:style w:type="paragraph" w:styleId="Revision">
    <w:name w:val="Revision"/>
    <w:hidden/>
    <w:uiPriority w:val="99"/>
    <w:semiHidden/>
    <w:rsid w:val="009574F9"/>
    <w:rPr>
      <w:sz w:val="22"/>
      <w:szCs w:val="22"/>
      <w:lang w:val="en-CA"/>
    </w:rPr>
  </w:style>
  <w:style w:type="paragraph" w:styleId="Caption">
    <w:name w:val="caption"/>
    <w:basedOn w:val="Normal"/>
    <w:next w:val="Normal"/>
    <w:qFormat/>
    <w:rsid w:val="00A43009"/>
    <w:pPr>
      <w:bidi/>
      <w:ind w:left="180" w:hanging="180"/>
      <w:jc w:val="lowKashida"/>
    </w:pPr>
    <w:rPr>
      <w:rFonts w:cs="Simplified Arabic"/>
      <w:sz w:val="24"/>
      <w:szCs w:val="32"/>
      <w:lang w:val="en-US" w:eastAsia="en-CA"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43009"/>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7433932">
      <w:bodyDiv w:val="1"/>
      <w:marLeft w:val="0"/>
      <w:marRight w:val="0"/>
      <w:marTop w:val="0"/>
      <w:marBottom w:val="0"/>
      <w:divBdr>
        <w:top w:val="none" w:sz="0" w:space="0" w:color="auto"/>
        <w:left w:val="none" w:sz="0" w:space="0" w:color="auto"/>
        <w:bottom w:val="none" w:sz="0" w:space="0" w:color="auto"/>
        <w:right w:val="none" w:sz="0" w:space="0" w:color="auto"/>
      </w:divBdr>
    </w:div>
    <w:div w:id="491995628">
      <w:bodyDiv w:val="1"/>
      <w:marLeft w:val="0"/>
      <w:marRight w:val="0"/>
      <w:marTop w:val="0"/>
      <w:marBottom w:val="0"/>
      <w:divBdr>
        <w:top w:val="none" w:sz="0" w:space="0" w:color="auto"/>
        <w:left w:val="none" w:sz="0" w:space="0" w:color="auto"/>
        <w:bottom w:val="none" w:sz="0" w:space="0" w:color="auto"/>
        <w:right w:val="none" w:sz="0" w:space="0" w:color="auto"/>
      </w:divBdr>
    </w:div>
    <w:div w:id="6969290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1157957">
      <w:bodyDiv w:val="1"/>
      <w:marLeft w:val="0"/>
      <w:marRight w:val="0"/>
      <w:marTop w:val="0"/>
      <w:marBottom w:val="0"/>
      <w:divBdr>
        <w:top w:val="none" w:sz="0" w:space="0" w:color="auto"/>
        <w:left w:val="none" w:sz="0" w:space="0" w:color="auto"/>
        <w:bottom w:val="none" w:sz="0" w:space="0" w:color="auto"/>
        <w:right w:val="none" w:sz="0" w:space="0" w:color="auto"/>
      </w:divBdr>
    </w:div>
    <w:div w:id="998382444">
      <w:bodyDiv w:val="1"/>
      <w:marLeft w:val="0"/>
      <w:marRight w:val="0"/>
      <w:marTop w:val="0"/>
      <w:marBottom w:val="0"/>
      <w:divBdr>
        <w:top w:val="none" w:sz="0" w:space="0" w:color="auto"/>
        <w:left w:val="none" w:sz="0" w:space="0" w:color="auto"/>
        <w:bottom w:val="none" w:sz="0" w:space="0" w:color="auto"/>
        <w:right w:val="none" w:sz="0" w:space="0" w:color="auto"/>
      </w:divBdr>
    </w:div>
    <w:div w:id="11042295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8397700">
      <w:bodyDiv w:val="1"/>
      <w:marLeft w:val="0"/>
      <w:marRight w:val="0"/>
      <w:marTop w:val="0"/>
      <w:marBottom w:val="0"/>
      <w:divBdr>
        <w:top w:val="none" w:sz="0" w:space="0" w:color="auto"/>
        <w:left w:val="none" w:sz="0" w:space="0" w:color="auto"/>
        <w:bottom w:val="none" w:sz="0" w:space="0" w:color="auto"/>
        <w:right w:val="none" w:sz="0" w:space="0" w:color="auto"/>
      </w:divBdr>
    </w:div>
    <w:div w:id="199270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8008680303B9D4A92022B57B713436D" ma:contentTypeVersion="5" ma:contentTypeDescription="Create a new document." ma:contentTypeScope="" ma:versionID="4df4237e34723313ab98c3f8207f6c0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2A2362C0-672B-4325-8DBB-807BAD10E481}"/>
</file>

<file path=docProps/app.xml><?xml version="1.0" encoding="utf-8"?>
<Properties xmlns="http://schemas.openxmlformats.org/officeDocument/2006/extended-properties" xmlns:vt="http://schemas.openxmlformats.org/officeDocument/2006/docPropsVTypes">
  <Template>Eec94G</Template>
  <TotalTime>63</TotalTime>
  <Pages>8</Pages>
  <Words>2190</Words>
  <Characters>12484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تأخيرات تقديم الشرائح</vt:lpstr>
    </vt:vector>
  </TitlesOfParts>
  <Company>UNMFS</Company>
  <LinksUpToDate>false</LinksUpToDate>
  <CharactersWithSpaces>14645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تأخيرات تقديم الشرائح                                                                                                                                                                                                  .</dc:title>
  <dc:subject/>
  <dc:creator>Muriel Aguiar</dc:creator>
  <cp:keywords/>
  <cp:lastModifiedBy>Angela Xue He Yan</cp:lastModifiedBy>
  <cp:revision>18</cp:revision>
  <cp:lastPrinted>2024-04-28T18:28:00Z</cp:lastPrinted>
  <dcterms:created xsi:type="dcterms:W3CDTF">2024-04-27T22:44:00Z</dcterms:created>
  <dcterms:modified xsi:type="dcterms:W3CDTF">2024-05-20T13:57:00Z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UNEP/OzL.Pro/ExCom/94/13</vt:lpwstr>
  </property>
  <property fmtid="{D5CDD505-2E9C-101B-9397-08002B2CF9AE}" pid="3" name="Revision date">
    <vt:lpwstr>4/26/2024</vt:lpwstr>
  </property>
  <property fmtid="{D5CDD505-2E9C-101B-9397-08002B2CF9AE}" pid="4" name="ContentTypeId">
    <vt:lpwstr>0x010100E8008680303B9D4A92022B57B713436D</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