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7577D4" w14:paraId="6CC9254D" w14:textId="77777777">
        <w:trPr>
          <w:trHeight w:val="720"/>
        </w:trPr>
        <w:tc>
          <w:tcPr>
            <w:tcW w:w="6494" w:type="dxa"/>
            <w:gridSpan w:val="2"/>
            <w:tcBorders>
              <w:bottom w:val="single" w:sz="18" w:space="0" w:color="auto"/>
            </w:tcBorders>
          </w:tcPr>
          <w:p w14:paraId="2C310015" w14:textId="77777777" w:rsidR="0087455A" w:rsidRPr="007577D4" w:rsidRDefault="0024162E">
            <w:pPr>
              <w:rPr>
                <w:rFonts w:ascii="Univers" w:hAnsi="Univers"/>
                <w:b/>
                <w:sz w:val="28"/>
                <w:szCs w:val="28"/>
                <w:lang w:val="es-MX"/>
              </w:rPr>
            </w:pPr>
            <w:bookmarkStart w:id="0" w:name="_Hlk25865558"/>
            <w:r w:rsidRPr="007577D4">
              <w:rPr>
                <w:rFonts w:ascii="Univers" w:hAnsi="Univers"/>
                <w:b/>
                <w:sz w:val="28"/>
                <w:szCs w:val="28"/>
                <w:lang w:val="es-MX"/>
              </w:rPr>
              <w:t>NACIONES</w:t>
            </w:r>
          </w:p>
          <w:p w14:paraId="6EDCFD5E" w14:textId="77777777" w:rsidR="0087455A" w:rsidRPr="007577D4" w:rsidRDefault="0024162E">
            <w:pPr>
              <w:rPr>
                <w:rFonts w:ascii="Univers" w:hAnsi="Univers"/>
                <w:b/>
                <w:sz w:val="28"/>
                <w:szCs w:val="28"/>
                <w:lang w:val="es-MX"/>
              </w:rPr>
            </w:pPr>
            <w:r w:rsidRPr="007577D4">
              <w:rPr>
                <w:rFonts w:ascii="Univers" w:hAnsi="Univers"/>
                <w:b/>
                <w:sz w:val="28"/>
                <w:szCs w:val="28"/>
                <w:lang w:val="es-MX"/>
              </w:rPr>
              <w:t>UNIDAS</w:t>
            </w:r>
          </w:p>
        </w:tc>
        <w:tc>
          <w:tcPr>
            <w:tcW w:w="4590" w:type="dxa"/>
            <w:tcBorders>
              <w:bottom w:val="single" w:sz="18" w:space="0" w:color="auto"/>
            </w:tcBorders>
          </w:tcPr>
          <w:p w14:paraId="2EF0F3E3" w14:textId="77777777" w:rsidR="0087455A" w:rsidRPr="007577D4" w:rsidRDefault="0024162E">
            <w:pPr>
              <w:jc w:val="right"/>
              <w:rPr>
                <w:rFonts w:asciiTheme="minorBidi" w:hAnsiTheme="minorBidi" w:cstheme="minorBidi"/>
                <w:sz w:val="52"/>
                <w:szCs w:val="52"/>
                <w:lang w:val="es-MX"/>
              </w:rPr>
            </w:pPr>
            <w:r w:rsidRPr="007577D4">
              <w:rPr>
                <w:rFonts w:asciiTheme="minorBidi" w:hAnsiTheme="minorBidi" w:cstheme="minorBidi"/>
                <w:b/>
                <w:sz w:val="72"/>
                <w:lang w:val="es-MX"/>
              </w:rPr>
              <w:t>EP</w:t>
            </w:r>
          </w:p>
        </w:tc>
      </w:tr>
      <w:tr w:rsidR="0087455A" w:rsidRPr="007577D4" w14:paraId="23D09F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A8F301" w14:textId="77777777" w:rsidR="0087455A" w:rsidRPr="007577D4" w:rsidRDefault="0024162E">
            <w:pPr>
              <w:spacing w:before="120"/>
              <w:rPr>
                <w:lang w:val="es-MX"/>
              </w:rPr>
            </w:pPr>
            <w:r w:rsidRPr="007577D4">
              <w:rPr>
                <w:noProof/>
                <w:lang w:val="en-CA" w:eastAsia="en-CA"/>
              </w:rPr>
              <w:drawing>
                <wp:anchor distT="0" distB="0" distL="114300" distR="114300" simplePos="0" relativeHeight="251660288" behindDoc="0" locked="0" layoutInCell="1" allowOverlap="1" wp14:anchorId="52B5217A" wp14:editId="0978C01B">
                  <wp:simplePos x="0" y="0"/>
                  <wp:positionH relativeFrom="column">
                    <wp:posOffset>12438</wp:posOffset>
                  </wp:positionH>
                  <wp:positionV relativeFrom="paragraph">
                    <wp:posOffset>976257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577D4">
              <w:rPr>
                <w:noProof/>
                <w:lang w:val="en-CA" w:eastAsia="en-CA"/>
              </w:rPr>
              <w:drawing>
                <wp:anchor distT="0" distB="0" distL="114300" distR="114300" simplePos="0" relativeHeight="251661312" behindDoc="1" locked="0" layoutInCell="0" allowOverlap="1" wp14:anchorId="5FA5BB2C" wp14:editId="740A7D5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B7F6D45" w14:textId="77777777" w:rsidR="0087455A" w:rsidRPr="007577D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28FA5F2" w14:textId="77777777" w:rsidR="0087455A" w:rsidRPr="007577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577D4">
              <w:rPr>
                <w:rFonts w:ascii="Univers" w:hAnsi="Univers"/>
                <w:b/>
                <w:sz w:val="32"/>
                <w:lang w:val="es-MX"/>
              </w:rPr>
              <w:t>Programa de las</w:t>
            </w:r>
          </w:p>
          <w:p w14:paraId="5BDDD907" w14:textId="77777777" w:rsidR="0087455A" w:rsidRPr="007577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577D4">
              <w:rPr>
                <w:rFonts w:ascii="Univers" w:hAnsi="Univers"/>
                <w:b/>
                <w:sz w:val="32"/>
                <w:lang w:val="es-MX"/>
              </w:rPr>
              <w:t>Naciones Unidas</w:t>
            </w:r>
          </w:p>
          <w:p w14:paraId="68DBD083" w14:textId="77777777" w:rsidR="0087455A" w:rsidRPr="007577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577D4">
              <w:rPr>
                <w:rFonts w:ascii="Univers" w:hAnsi="Univers"/>
                <w:b/>
                <w:sz w:val="32"/>
                <w:lang w:val="es-MX"/>
              </w:rPr>
              <w:t>para el Medio Ambiente</w:t>
            </w:r>
          </w:p>
          <w:p w14:paraId="53DB22CE" w14:textId="77777777" w:rsidR="0087455A" w:rsidRPr="007577D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8D32449" w14:textId="77777777" w:rsidR="0087455A" w:rsidRPr="007577D4" w:rsidRDefault="0087455A">
            <w:pPr>
              <w:spacing w:before="720"/>
              <w:ind w:left="158"/>
              <w:rPr>
                <w:lang w:val="es-MX"/>
              </w:rPr>
            </w:pPr>
          </w:p>
        </w:tc>
        <w:tc>
          <w:tcPr>
            <w:tcW w:w="4590" w:type="dxa"/>
            <w:tcBorders>
              <w:top w:val="nil"/>
              <w:left w:val="nil"/>
              <w:bottom w:val="single" w:sz="36" w:space="0" w:color="auto"/>
              <w:right w:val="nil"/>
            </w:tcBorders>
          </w:tcPr>
          <w:p w14:paraId="7723CA20" w14:textId="77777777" w:rsidR="0087455A" w:rsidRPr="007577D4" w:rsidRDefault="0087455A">
            <w:pPr>
              <w:rPr>
                <w:lang w:val="es-MX"/>
              </w:rPr>
            </w:pPr>
          </w:p>
          <w:p w14:paraId="330E2403" w14:textId="77777777" w:rsidR="0087455A" w:rsidRPr="007577D4" w:rsidRDefault="0024162E">
            <w:pPr>
              <w:rPr>
                <w:lang w:val="es-MX"/>
              </w:rPr>
            </w:pPr>
            <w:r w:rsidRPr="007577D4">
              <w:rPr>
                <w:lang w:val="es-MX"/>
              </w:rPr>
              <w:t>Distr.</w:t>
            </w:r>
          </w:p>
          <w:p w14:paraId="408860A1" w14:textId="77777777" w:rsidR="0087455A" w:rsidRPr="007577D4" w:rsidRDefault="0024162E">
            <w:pPr>
              <w:rPr>
                <w:lang w:val="es-MX"/>
              </w:rPr>
            </w:pPr>
            <w:r w:rsidRPr="007577D4">
              <w:rPr>
                <w:lang w:val="es-MX"/>
              </w:rPr>
              <w:t>GENERAL</w:t>
            </w:r>
          </w:p>
          <w:p w14:paraId="4AEFDCA6" w14:textId="77777777" w:rsidR="0087455A" w:rsidRPr="007577D4" w:rsidRDefault="0087455A">
            <w:pPr>
              <w:rPr>
                <w:lang w:val="es-MX"/>
              </w:rPr>
            </w:pPr>
          </w:p>
          <w:p w14:paraId="6EF0B62D" w14:textId="2816596E" w:rsidR="0087455A" w:rsidRPr="007577D4" w:rsidRDefault="0024162E">
            <w:pPr>
              <w:rPr>
                <w:lang w:val="es-MX"/>
              </w:rPr>
            </w:pPr>
            <w:r w:rsidRPr="007577D4">
              <w:rPr>
                <w:lang w:val="es-MX"/>
              </w:rPr>
              <w:fldChar w:fldCharType="begin"/>
            </w:r>
            <w:r w:rsidRPr="007577D4">
              <w:rPr>
                <w:lang w:val="es-MX"/>
              </w:rPr>
              <w:instrText xml:space="preserve"> DOCPROPERTY "Document number"  \* MERGEFORMAT </w:instrText>
            </w:r>
            <w:r w:rsidRPr="007577D4">
              <w:rPr>
                <w:lang w:val="es-MX"/>
              </w:rPr>
              <w:fldChar w:fldCharType="separate"/>
            </w:r>
            <w:r w:rsidR="009F79F5">
              <w:rPr>
                <w:lang w:val="es-MX"/>
              </w:rPr>
              <w:t>UNEP/</w:t>
            </w:r>
            <w:proofErr w:type="spellStart"/>
            <w:r w:rsidR="009F79F5">
              <w:rPr>
                <w:lang w:val="es-MX"/>
              </w:rPr>
              <w:t>OzL.Pro</w:t>
            </w:r>
            <w:proofErr w:type="spellEnd"/>
            <w:r w:rsidR="009F79F5">
              <w:rPr>
                <w:lang w:val="es-MX"/>
              </w:rPr>
              <w:t>/</w:t>
            </w:r>
            <w:proofErr w:type="spellStart"/>
            <w:r w:rsidR="009F79F5">
              <w:rPr>
                <w:lang w:val="es-MX"/>
              </w:rPr>
              <w:t>ExCom</w:t>
            </w:r>
            <w:proofErr w:type="spellEnd"/>
            <w:r w:rsidR="009F79F5">
              <w:rPr>
                <w:lang w:val="es-MX"/>
              </w:rPr>
              <w:t>/84/3</w:t>
            </w:r>
            <w:r w:rsidRPr="007577D4">
              <w:rPr>
                <w:lang w:val="es-MX"/>
              </w:rPr>
              <w:fldChar w:fldCharType="end"/>
            </w:r>
            <w:bookmarkStart w:id="1" w:name="_GoBack"/>
            <w:bookmarkEnd w:id="1"/>
          </w:p>
          <w:p w14:paraId="2389CF71" w14:textId="3AD8E086" w:rsidR="0087455A" w:rsidRPr="007577D4" w:rsidRDefault="009F0093" w:rsidP="00F10CD9">
            <w:pPr>
              <w:rPr>
                <w:caps/>
                <w:lang w:val="es-MX"/>
              </w:rPr>
            </w:pPr>
            <w:r w:rsidRPr="007577D4">
              <w:rPr>
                <w:caps/>
                <w:lang w:val="es-MX"/>
              </w:rPr>
              <w:t>27</w:t>
            </w:r>
            <w:r w:rsidR="00114CAA" w:rsidRPr="007577D4">
              <w:rPr>
                <w:caps/>
                <w:lang w:val="es-MX"/>
              </w:rPr>
              <w:t xml:space="preserve"> </w:t>
            </w:r>
            <w:r w:rsidR="00114CAA" w:rsidRPr="007577D4">
              <w:rPr>
                <w:lang w:val="es-MX"/>
              </w:rPr>
              <w:t xml:space="preserve">de </w:t>
            </w:r>
            <w:r w:rsidRPr="007577D4">
              <w:rPr>
                <w:lang w:val="es-MX"/>
              </w:rPr>
              <w:t xml:space="preserve">noviembre </w:t>
            </w:r>
            <w:r w:rsidR="00114CAA" w:rsidRPr="007577D4">
              <w:rPr>
                <w:lang w:val="es-MX"/>
              </w:rPr>
              <w:t xml:space="preserve">de </w:t>
            </w:r>
            <w:r w:rsidR="001C2D22" w:rsidRPr="007577D4">
              <w:rPr>
                <w:caps/>
                <w:lang w:val="es-MX"/>
              </w:rPr>
              <w:t>2019</w:t>
            </w:r>
          </w:p>
          <w:p w14:paraId="78E7D586" w14:textId="77777777" w:rsidR="00114CAA" w:rsidRPr="007577D4" w:rsidRDefault="00114CAA">
            <w:pPr>
              <w:rPr>
                <w:caps/>
                <w:lang w:val="es-MX"/>
              </w:rPr>
            </w:pPr>
          </w:p>
          <w:p w14:paraId="70F76DB6" w14:textId="77777777" w:rsidR="0087455A" w:rsidRPr="007577D4" w:rsidRDefault="0024162E">
            <w:pPr>
              <w:rPr>
                <w:lang w:val="es-MX"/>
              </w:rPr>
            </w:pPr>
            <w:r w:rsidRPr="007577D4">
              <w:rPr>
                <w:lang w:val="es-MX"/>
              </w:rPr>
              <w:t xml:space="preserve">ESPAÑOL </w:t>
            </w:r>
          </w:p>
          <w:p w14:paraId="5F38DF05" w14:textId="77777777" w:rsidR="0087455A" w:rsidRPr="007577D4" w:rsidRDefault="0024162E">
            <w:pPr>
              <w:rPr>
                <w:lang w:val="es-MX"/>
              </w:rPr>
            </w:pPr>
            <w:r w:rsidRPr="007577D4">
              <w:rPr>
                <w:lang w:val="es-MX"/>
              </w:rPr>
              <w:t>ORIGINAL: INGLÉS</w:t>
            </w:r>
          </w:p>
        </w:tc>
      </w:tr>
    </w:tbl>
    <w:p w14:paraId="1572A691" w14:textId="77777777" w:rsidR="0087455A" w:rsidRPr="007577D4" w:rsidRDefault="0087455A">
      <w:pPr>
        <w:jc w:val="left"/>
        <w:rPr>
          <w:lang w:val="es-MX"/>
        </w:rPr>
      </w:pPr>
    </w:p>
    <w:p w14:paraId="6A6CD147" w14:textId="77777777" w:rsidR="0087455A" w:rsidRPr="007577D4" w:rsidRDefault="0024162E">
      <w:pPr>
        <w:jc w:val="left"/>
        <w:rPr>
          <w:lang w:val="es-MX"/>
        </w:rPr>
      </w:pPr>
      <w:r w:rsidRPr="007577D4">
        <w:rPr>
          <w:lang w:val="es-MX"/>
        </w:rPr>
        <w:t>COMITÉ EJECUTIVO DEL FONDO MULTILATERAL</w:t>
      </w:r>
      <w:r w:rsidRPr="007577D4">
        <w:rPr>
          <w:lang w:val="es-MX"/>
        </w:rPr>
        <w:br/>
        <w:t xml:space="preserve">  PARA LA APLICACIÓN DEL</w:t>
      </w:r>
      <w:r w:rsidRPr="007577D4">
        <w:rPr>
          <w:lang w:val="es-MX"/>
        </w:rPr>
        <w:br/>
        <w:t xml:space="preserve">  PROTOCOLO DE MONTREAL</w:t>
      </w:r>
    </w:p>
    <w:p w14:paraId="6BA5915E" w14:textId="77777777" w:rsidR="00106F6E" w:rsidRPr="007577D4" w:rsidRDefault="00106F6E" w:rsidP="001F4047">
      <w:pPr>
        <w:jc w:val="left"/>
        <w:rPr>
          <w:lang w:val="es-MX"/>
        </w:rPr>
      </w:pPr>
      <w:r w:rsidRPr="007577D4">
        <w:rPr>
          <w:lang w:val="es-MX"/>
        </w:rPr>
        <w:t xml:space="preserve">Octogésima </w:t>
      </w:r>
      <w:r w:rsidR="003863A4" w:rsidRPr="007577D4">
        <w:rPr>
          <w:lang w:val="es-MX"/>
        </w:rPr>
        <w:t>cuarta Reunión</w:t>
      </w:r>
      <w:r w:rsidR="003863A4" w:rsidRPr="007577D4">
        <w:rPr>
          <w:lang w:val="es-MX"/>
        </w:rPr>
        <w:br/>
        <w:t xml:space="preserve">Montreal, 16 </w:t>
      </w:r>
      <w:r w:rsidRPr="007577D4">
        <w:rPr>
          <w:lang w:val="es-MX"/>
        </w:rPr>
        <w:t xml:space="preserve">– </w:t>
      </w:r>
      <w:r w:rsidR="003863A4" w:rsidRPr="007577D4">
        <w:rPr>
          <w:lang w:val="es-MX"/>
        </w:rPr>
        <w:t>20</w:t>
      </w:r>
      <w:r w:rsidRPr="007577D4">
        <w:rPr>
          <w:lang w:val="es-MX"/>
        </w:rPr>
        <w:t xml:space="preserve"> de </w:t>
      </w:r>
      <w:r w:rsidR="001F4047" w:rsidRPr="007577D4">
        <w:rPr>
          <w:lang w:val="es-MX"/>
        </w:rPr>
        <w:t>diciembre</w:t>
      </w:r>
      <w:r w:rsidR="001C2D22" w:rsidRPr="007577D4">
        <w:rPr>
          <w:lang w:val="es-MX"/>
        </w:rPr>
        <w:t xml:space="preserve"> de 2019</w:t>
      </w:r>
    </w:p>
    <w:p w14:paraId="49C6B7A9" w14:textId="77777777" w:rsidR="00106F6E" w:rsidRPr="007577D4" w:rsidRDefault="00106F6E" w:rsidP="00106F6E">
      <w:pPr>
        <w:jc w:val="left"/>
        <w:rPr>
          <w:lang w:val="es-MX"/>
        </w:rPr>
      </w:pPr>
    </w:p>
    <w:p w14:paraId="6780B99D" w14:textId="6B130C12" w:rsidR="0087455A" w:rsidRDefault="0087455A">
      <w:pPr>
        <w:jc w:val="left"/>
        <w:rPr>
          <w:lang w:val="es-MX"/>
        </w:rPr>
      </w:pPr>
    </w:p>
    <w:p w14:paraId="496D5766" w14:textId="77777777" w:rsidR="00AC735E" w:rsidRPr="007577D4" w:rsidRDefault="00AC735E" w:rsidP="00AC735E">
      <w:pPr>
        <w:pStyle w:val="0Heading0"/>
        <w:spacing w:line="360" w:lineRule="auto"/>
        <w:jc w:val="center"/>
        <w:rPr>
          <w:b/>
          <w:bCs/>
          <w:lang w:val="es-MX"/>
        </w:rPr>
      </w:pPr>
      <w:r w:rsidRPr="007577D4">
        <w:rPr>
          <w:b/>
          <w:bCs/>
          <w:lang w:val="es-MX"/>
        </w:rPr>
        <w:t>SITUACIÓN DE LAS CONTRIBUCIONES Y LOS DESEMBOLSOS</w:t>
      </w:r>
    </w:p>
    <w:p w14:paraId="02BEC863" w14:textId="77777777" w:rsidR="00AC735E" w:rsidRPr="007577D4" w:rsidRDefault="00AC735E" w:rsidP="00AC735E">
      <w:pPr>
        <w:pStyle w:val="0Heading0"/>
        <w:spacing w:line="360" w:lineRule="auto"/>
        <w:jc w:val="center"/>
        <w:rPr>
          <w:b/>
          <w:bCs/>
          <w:lang w:val="es-MX"/>
        </w:rPr>
      </w:pPr>
      <w:r w:rsidRPr="007577D4">
        <w:rPr>
          <w:b/>
          <w:bCs/>
          <w:lang w:val="es-MX"/>
        </w:rPr>
        <w:t>Informe del Tesorero</w:t>
      </w:r>
    </w:p>
    <w:p w14:paraId="6C1A39C1" w14:textId="77777777" w:rsidR="00AC735E" w:rsidRPr="007577D4" w:rsidRDefault="00AC735E" w:rsidP="00AC735E">
      <w:pPr>
        <w:pStyle w:val="0Heading0"/>
        <w:spacing w:line="360" w:lineRule="auto"/>
        <w:jc w:val="center"/>
        <w:rPr>
          <w:bCs/>
          <w:lang w:val="es-MX"/>
        </w:rPr>
      </w:pPr>
    </w:p>
    <w:p w14:paraId="45269F5F" w14:textId="77777777" w:rsidR="00AC735E" w:rsidRPr="007577D4" w:rsidRDefault="00AC735E" w:rsidP="00AC735E">
      <w:pPr>
        <w:pStyle w:val="0Heading0"/>
        <w:numPr>
          <w:ilvl w:val="0"/>
          <w:numId w:val="22"/>
        </w:numPr>
        <w:tabs>
          <w:tab w:val="left" w:pos="0"/>
        </w:tabs>
        <w:spacing w:after="240"/>
        <w:ind w:left="0" w:firstLine="0"/>
        <w:jc w:val="both"/>
        <w:rPr>
          <w:lang w:val="es-MX"/>
        </w:rPr>
      </w:pPr>
      <w:r w:rsidRPr="007577D4">
        <w:rPr>
          <w:lang w:val="es-MX"/>
        </w:rPr>
        <w:t>El presente documento proporciona información sobre la situación del Fondo</w:t>
      </w:r>
      <w:r w:rsidRPr="007577D4">
        <w:rPr>
          <w:rStyle w:val="FootnoteReference"/>
          <w:lang w:val="es-MX"/>
        </w:rPr>
        <w:footnoteReference w:id="1"/>
      </w:r>
      <w:r w:rsidRPr="007577D4">
        <w:rPr>
          <w:lang w:val="es-MX"/>
        </w:rPr>
        <w:t xml:space="preserve"> según lo registrado en el PNUMA al 26 de noviembre de 2019. El Anexo I del presente documento contiene los siguientes cuadros:</w:t>
      </w:r>
    </w:p>
    <w:p w14:paraId="75BCCC76" w14:textId="77777777" w:rsidR="00AC735E" w:rsidRPr="007577D4" w:rsidRDefault="00AC735E" w:rsidP="00AC735E">
      <w:pPr>
        <w:pStyle w:val="0Heading0"/>
        <w:numPr>
          <w:ilvl w:val="0"/>
          <w:numId w:val="21"/>
        </w:numPr>
        <w:tabs>
          <w:tab w:val="clear" w:pos="2500"/>
        </w:tabs>
        <w:ind w:left="1440" w:hanging="720"/>
        <w:rPr>
          <w:lang w:val="es-MX"/>
        </w:rPr>
      </w:pPr>
      <w:r w:rsidRPr="007577D4">
        <w:rPr>
          <w:lang w:val="es-MX"/>
        </w:rPr>
        <w:t>Cuadro 1: Situación del Fondo entre 1991 y 2020</w:t>
      </w:r>
    </w:p>
    <w:p w14:paraId="66FCB99C"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2: Resumen de la situación de las contribuciones y otros ingresos, 1991 - 2020</w:t>
      </w:r>
    </w:p>
    <w:p w14:paraId="0869817F" w14:textId="77777777" w:rsidR="00AC735E" w:rsidRPr="007577D4" w:rsidRDefault="00AC735E" w:rsidP="00AC735E">
      <w:pPr>
        <w:pStyle w:val="0Heading0"/>
        <w:numPr>
          <w:ilvl w:val="0"/>
          <w:numId w:val="21"/>
        </w:numPr>
        <w:tabs>
          <w:tab w:val="clear" w:pos="2500"/>
        </w:tabs>
        <w:ind w:left="1440" w:hanging="720"/>
        <w:rPr>
          <w:lang w:val="es-MX"/>
        </w:rPr>
      </w:pPr>
      <w:r w:rsidRPr="007577D4">
        <w:rPr>
          <w:lang w:val="es-MX"/>
        </w:rPr>
        <w:t>Cuadro 3: Resumen de la situación de las contribuciones, 1991 - 2020</w:t>
      </w:r>
    </w:p>
    <w:p w14:paraId="5299A739"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4: Situación de las contribuciones para 2018 - 2020</w:t>
      </w:r>
    </w:p>
    <w:p w14:paraId="6BB1177C"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5: Situación de las Contribuciones para 2020</w:t>
      </w:r>
    </w:p>
    <w:p w14:paraId="03DEF1D4"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6: Situación de las Contribuciones para 2019</w:t>
      </w:r>
    </w:p>
    <w:p w14:paraId="1AEFF635"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7: Situación de las Contribuciones para 2018</w:t>
      </w:r>
    </w:p>
    <w:p w14:paraId="02C51ED5"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8: Situación de las contribuciones para 2015 - 2017</w:t>
      </w:r>
    </w:p>
    <w:p w14:paraId="5F3C811B"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9: Situación de las Contribuciones para 2017</w:t>
      </w:r>
    </w:p>
    <w:p w14:paraId="2F31DDB3"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10: Situación de las Contribuciones para 2016</w:t>
      </w:r>
    </w:p>
    <w:p w14:paraId="2712F44B"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11: Situación de las Contribuciones para 2015</w:t>
      </w:r>
    </w:p>
    <w:p w14:paraId="1D32BA0A"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12: Resumen de la situación de las contribuciones para 2012 - 2014</w:t>
      </w:r>
    </w:p>
    <w:p w14:paraId="3E17CE7A"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lang w:val="es-MX"/>
        </w:rPr>
        <w:t>Cuadro 13: Situación de las Contribuciones para 2014</w:t>
      </w:r>
    </w:p>
    <w:p w14:paraId="3258E4AE" w14:textId="77777777" w:rsidR="00AC735E" w:rsidRPr="007577D4" w:rsidRDefault="00AC735E" w:rsidP="00AC735E">
      <w:pPr>
        <w:pStyle w:val="0Heading0"/>
        <w:numPr>
          <w:ilvl w:val="0"/>
          <w:numId w:val="21"/>
        </w:numPr>
        <w:tabs>
          <w:tab w:val="clear" w:pos="2500"/>
        </w:tabs>
        <w:ind w:left="1440" w:hanging="720"/>
        <w:jc w:val="both"/>
        <w:rPr>
          <w:lang w:val="es-MX"/>
        </w:rPr>
      </w:pPr>
      <w:r w:rsidRPr="007577D4">
        <w:rPr>
          <w:color w:val="000000"/>
          <w:lang w:val="es-MX"/>
        </w:rPr>
        <w:lastRenderedPageBreak/>
        <w:t>Cuadro 14: Libro de contabilidad de pagarés, 2004 -2019</w:t>
      </w:r>
      <w:r w:rsidRPr="007577D4">
        <w:rPr>
          <w:rStyle w:val="FootnoteReference"/>
          <w:lang w:val="es-MX"/>
        </w:rPr>
        <w:footnoteReference w:id="2"/>
      </w:r>
    </w:p>
    <w:p w14:paraId="1749B032" w14:textId="77777777" w:rsidR="00AC735E" w:rsidRPr="007577D4" w:rsidRDefault="00AC735E" w:rsidP="00AC735E">
      <w:pPr>
        <w:pStyle w:val="0Heading0"/>
        <w:ind w:left="1440"/>
        <w:jc w:val="both"/>
        <w:rPr>
          <w:lang w:val="es-MX"/>
        </w:rPr>
      </w:pPr>
    </w:p>
    <w:p w14:paraId="3D14AB3C" w14:textId="77777777" w:rsidR="00AC735E" w:rsidRPr="007577D4" w:rsidRDefault="00AC735E" w:rsidP="00AC735E">
      <w:pPr>
        <w:pStyle w:val="0Heading0"/>
        <w:tabs>
          <w:tab w:val="left" w:pos="709"/>
        </w:tabs>
        <w:jc w:val="both"/>
        <w:rPr>
          <w:b/>
          <w:lang w:val="es-MX"/>
        </w:rPr>
      </w:pPr>
    </w:p>
    <w:p w14:paraId="5CF9E6E6" w14:textId="77777777" w:rsidR="00AC735E" w:rsidRPr="007577D4" w:rsidRDefault="00AC735E" w:rsidP="00AC735E">
      <w:pPr>
        <w:pStyle w:val="0Heading0"/>
        <w:tabs>
          <w:tab w:val="left" w:pos="709"/>
        </w:tabs>
        <w:jc w:val="both"/>
        <w:rPr>
          <w:b/>
          <w:lang w:val="es-MX"/>
        </w:rPr>
      </w:pPr>
      <w:r w:rsidRPr="007577D4">
        <w:rPr>
          <w:b/>
          <w:lang w:val="es-MX"/>
        </w:rPr>
        <w:t xml:space="preserve">Situación del Fondo </w:t>
      </w:r>
    </w:p>
    <w:p w14:paraId="7A1BF80B" w14:textId="77777777" w:rsidR="00AC735E" w:rsidRPr="007577D4" w:rsidRDefault="00AC735E" w:rsidP="00AC735E">
      <w:pPr>
        <w:pStyle w:val="0Heading0"/>
        <w:tabs>
          <w:tab w:val="left" w:pos="709"/>
        </w:tabs>
        <w:jc w:val="both"/>
        <w:rPr>
          <w:lang w:val="es-MX"/>
        </w:rPr>
      </w:pPr>
    </w:p>
    <w:p w14:paraId="1E07ACD1" w14:textId="77777777" w:rsidR="00AC735E" w:rsidRPr="007577D4" w:rsidRDefault="00AC735E" w:rsidP="00AC735E">
      <w:pPr>
        <w:pStyle w:val="0Heading0"/>
        <w:numPr>
          <w:ilvl w:val="0"/>
          <w:numId w:val="22"/>
        </w:numPr>
        <w:tabs>
          <w:tab w:val="left" w:pos="0"/>
        </w:tabs>
        <w:spacing w:after="240"/>
        <w:ind w:left="0" w:firstLine="0"/>
        <w:jc w:val="both"/>
        <w:rPr>
          <w:lang w:val="es-MX"/>
        </w:rPr>
      </w:pPr>
      <w:r w:rsidRPr="007577D4">
        <w:rPr>
          <w:lang w:val="es-MX"/>
        </w:rPr>
        <w:t xml:space="preserve">A día de 26 de noviembre de 2019, el saldo de fondos asciende a 219.542.509 $EUA en efectivo tras tener en cuenta todos los fondos aprobados por el Comité Ejecutivo hasta la 83ª reunión inclusive. No hay más pagarés pendientes de cobro. </w:t>
      </w:r>
    </w:p>
    <w:p w14:paraId="277D9A48" w14:textId="77777777" w:rsidR="00AC735E" w:rsidRPr="007577D4" w:rsidRDefault="00AC735E" w:rsidP="00AC735E">
      <w:pPr>
        <w:pStyle w:val="ListParagraph"/>
        <w:numPr>
          <w:ilvl w:val="0"/>
          <w:numId w:val="22"/>
        </w:numPr>
        <w:tabs>
          <w:tab w:val="left" w:pos="0"/>
        </w:tabs>
        <w:ind w:left="0" w:firstLine="0"/>
        <w:rPr>
          <w:lang w:val="es-MX"/>
        </w:rPr>
      </w:pPr>
      <w:r w:rsidRPr="007577D4">
        <w:rPr>
          <w:lang w:val="es-MX"/>
        </w:rPr>
        <w:t>Treinta y nueve Partes han abonado total o parcialmente sus contribuciones de 2019, lo que representa el 86 por ciento de pagos con respecto a todas las promesas de 2019.</w:t>
      </w:r>
      <w:r w:rsidRPr="007577D4">
        <w:rPr>
          <w:rStyle w:val="FootnoteReference"/>
          <w:lang w:val="es-MX"/>
        </w:rPr>
        <w:footnoteReference w:id="3"/>
      </w:r>
      <w:r w:rsidRPr="007577D4">
        <w:rPr>
          <w:lang w:val="es-MX"/>
        </w:rPr>
        <w:t xml:space="preserve"> </w:t>
      </w:r>
    </w:p>
    <w:p w14:paraId="18947328" w14:textId="77777777" w:rsidR="00AC735E" w:rsidRPr="007577D4" w:rsidRDefault="00AC735E" w:rsidP="00AC735E">
      <w:pPr>
        <w:pStyle w:val="ListParagraph"/>
        <w:ind w:left="851"/>
        <w:rPr>
          <w:lang w:val="es-MX"/>
        </w:rPr>
      </w:pPr>
    </w:p>
    <w:p w14:paraId="12128573" w14:textId="77777777" w:rsidR="00AC735E" w:rsidRPr="007577D4" w:rsidRDefault="00AC735E" w:rsidP="00AC735E">
      <w:pPr>
        <w:pStyle w:val="ListParagraph"/>
        <w:numPr>
          <w:ilvl w:val="0"/>
          <w:numId w:val="22"/>
        </w:numPr>
        <w:tabs>
          <w:tab w:val="left" w:pos="0"/>
        </w:tabs>
        <w:ind w:left="0" w:firstLine="0"/>
        <w:rPr>
          <w:lang w:val="es-MX"/>
        </w:rPr>
      </w:pPr>
      <w:r w:rsidRPr="007577D4">
        <w:rPr>
          <w:lang w:val="es-MX"/>
        </w:rPr>
        <w:t>El mecanismo de tipos de cambio fijos (FERM)</w:t>
      </w:r>
      <w:r w:rsidRPr="007577D4">
        <w:rPr>
          <w:rStyle w:val="FootnoteReference"/>
          <w:lang w:val="es-MX" w:bidi="hi-IN"/>
        </w:rPr>
        <w:footnoteReference w:id="4"/>
      </w:r>
      <w:r w:rsidRPr="007577D4">
        <w:rPr>
          <w:lang w:val="es-MX"/>
        </w:rPr>
        <w:t xml:space="preserve"> se ha actualizado y refleja una pérdida debida al FERM de 32.493.656 $EUA desde sus inicios, que es inferior a los 32.777.234 $EUA que se comunicaron en la 83ª reunión. </w:t>
      </w:r>
    </w:p>
    <w:p w14:paraId="6B963DEE" w14:textId="77777777" w:rsidR="00AC735E" w:rsidRPr="007577D4" w:rsidRDefault="00AC735E" w:rsidP="00AC735E">
      <w:pPr>
        <w:autoSpaceDE w:val="0"/>
        <w:autoSpaceDN w:val="0"/>
        <w:adjustRightInd w:val="0"/>
        <w:rPr>
          <w:b/>
          <w:bCs/>
          <w:lang w:val="es-MX" w:bidi="hi-IN"/>
        </w:rPr>
      </w:pPr>
    </w:p>
    <w:p w14:paraId="7DD2B34A" w14:textId="77777777" w:rsidR="00AC735E" w:rsidRPr="007577D4" w:rsidRDefault="00AC735E" w:rsidP="00AC735E">
      <w:pPr>
        <w:autoSpaceDE w:val="0"/>
        <w:autoSpaceDN w:val="0"/>
        <w:adjustRightInd w:val="0"/>
        <w:rPr>
          <w:b/>
          <w:bCs/>
          <w:lang w:val="es-MX"/>
        </w:rPr>
      </w:pPr>
      <w:r w:rsidRPr="007577D4">
        <w:rPr>
          <w:b/>
          <w:bCs/>
          <w:lang w:val="es-MX"/>
        </w:rPr>
        <w:t>Medidas sobre las contribuciones pendientes</w:t>
      </w:r>
    </w:p>
    <w:p w14:paraId="17352A60" w14:textId="77777777" w:rsidR="00AC735E" w:rsidRPr="007577D4" w:rsidRDefault="00AC735E" w:rsidP="00AC735E">
      <w:pPr>
        <w:autoSpaceDE w:val="0"/>
        <w:autoSpaceDN w:val="0"/>
        <w:adjustRightInd w:val="0"/>
        <w:rPr>
          <w:b/>
          <w:bCs/>
          <w:lang w:val="es-MX" w:bidi="hi-IN"/>
        </w:rPr>
      </w:pPr>
    </w:p>
    <w:p w14:paraId="6DA76E87" w14:textId="77777777" w:rsidR="00AC735E" w:rsidRPr="007577D4" w:rsidRDefault="00AC735E" w:rsidP="00AC735E">
      <w:pPr>
        <w:pStyle w:val="ListParagraph"/>
        <w:numPr>
          <w:ilvl w:val="0"/>
          <w:numId w:val="22"/>
        </w:numPr>
        <w:autoSpaceDE w:val="0"/>
        <w:autoSpaceDN w:val="0"/>
        <w:adjustRightInd w:val="0"/>
        <w:spacing w:after="240"/>
        <w:ind w:left="0" w:firstLine="0"/>
        <w:rPr>
          <w:lang w:val="es-MX"/>
        </w:rPr>
      </w:pPr>
      <w:r w:rsidRPr="007577D4">
        <w:rPr>
          <w:lang w:val="es-MX"/>
        </w:rPr>
        <w:t>En febrero de 2019 y a comienzos de noviembre de 2019, el Tesorero envió facturas a todas las Partes que no operan al amparo del Artículo 5 para sus contribuciones de 2019 al Fondo, así como recordatorios a las partes con promesas pendientes.</w:t>
      </w:r>
      <w:r w:rsidRPr="007577D4">
        <w:rPr>
          <w:rStyle w:val="FootnoteReference"/>
          <w:lang w:val="es-MX"/>
        </w:rPr>
        <w:footnoteReference w:id="5"/>
      </w:r>
    </w:p>
    <w:p w14:paraId="4B482016" w14:textId="77777777" w:rsidR="00AC735E" w:rsidRPr="007577D4" w:rsidRDefault="00AC735E" w:rsidP="00AC735E">
      <w:pPr>
        <w:pStyle w:val="Heading1"/>
        <w:numPr>
          <w:ilvl w:val="0"/>
          <w:numId w:val="22"/>
        </w:numPr>
        <w:ind w:left="0" w:firstLine="0"/>
        <w:rPr>
          <w:lang w:val="es-MX"/>
        </w:rPr>
      </w:pPr>
      <w:r w:rsidRPr="007577D4">
        <w:rPr>
          <w:lang w:val="es-MX"/>
        </w:rPr>
        <w:t>Como seguimiento a la decisión 83/2 e),</w:t>
      </w:r>
      <w:r w:rsidRPr="007577D4">
        <w:rPr>
          <w:rStyle w:val="FootnoteReference"/>
          <w:lang w:val="es-MX" w:bidi="hi-IN"/>
        </w:rPr>
        <w:footnoteReference w:id="6"/>
      </w:r>
      <w:r w:rsidRPr="007577D4">
        <w:rPr>
          <w:lang w:val="es-MX"/>
        </w:rPr>
        <w:t xml:space="preserve"> el Director asistió a la reunión de redes de funcionarios de la dependencia del ozono de Europa y Asia Central</w:t>
      </w:r>
      <w:r w:rsidRPr="007577D4">
        <w:rPr>
          <w:rStyle w:val="FootnoteReference"/>
          <w:lang w:val="es-MX" w:bidi="hi-IN"/>
        </w:rPr>
        <w:footnoteReference w:id="7"/>
      </w:r>
      <w:r w:rsidRPr="007577D4">
        <w:rPr>
          <w:lang w:val="es-MX"/>
        </w:rPr>
        <w:t xml:space="preserve"> para recomenzar las conversaciones con representantes del Gobierno de Ucrania: no obstante, el Gobierno recién formado todavía no había designado al representante encargado de los asuntos relacionados con el Fondo Multilateral. Además, el Director continuó las conversaciones con los representantes de los Gobiernos de países que no operan al amparo del Artículo 5 con contribuciones pendientes de un trienio o más, para invitarlos a discusiones bilaterales con el fin de efectuar los pagos. En la 84ª reunión se proporcionará información actualizada, de haberla.</w:t>
      </w:r>
    </w:p>
    <w:p w14:paraId="4D35FF15" w14:textId="77777777" w:rsidR="00F945AD" w:rsidRDefault="00F945AD">
      <w:pPr>
        <w:jc w:val="left"/>
        <w:rPr>
          <w:b/>
          <w:bCs/>
          <w:lang w:val="es-MX"/>
        </w:rPr>
      </w:pPr>
      <w:r>
        <w:rPr>
          <w:b/>
          <w:bCs/>
          <w:lang w:val="es-MX"/>
        </w:rPr>
        <w:br w:type="page"/>
      </w:r>
    </w:p>
    <w:p w14:paraId="2903CD53" w14:textId="1C784684" w:rsidR="00AC735E" w:rsidRPr="007577D4" w:rsidRDefault="00AC735E" w:rsidP="00AC735E">
      <w:pPr>
        <w:autoSpaceDE w:val="0"/>
        <w:autoSpaceDN w:val="0"/>
        <w:adjustRightInd w:val="0"/>
        <w:rPr>
          <w:b/>
          <w:bCs/>
          <w:lang w:val="es-MX"/>
        </w:rPr>
      </w:pPr>
      <w:r w:rsidRPr="007577D4">
        <w:rPr>
          <w:b/>
          <w:bCs/>
          <w:lang w:val="es-MX"/>
        </w:rPr>
        <w:lastRenderedPageBreak/>
        <w:t>Recomendaciones</w:t>
      </w:r>
    </w:p>
    <w:p w14:paraId="11E8C11F" w14:textId="77777777" w:rsidR="00AC735E" w:rsidRPr="007577D4" w:rsidRDefault="00AC735E" w:rsidP="00AC735E">
      <w:pPr>
        <w:autoSpaceDE w:val="0"/>
        <w:autoSpaceDN w:val="0"/>
        <w:adjustRightInd w:val="0"/>
        <w:rPr>
          <w:b/>
          <w:bCs/>
          <w:sz w:val="20"/>
          <w:szCs w:val="20"/>
          <w:lang w:val="es-MX" w:bidi="hi-IN"/>
        </w:rPr>
      </w:pPr>
    </w:p>
    <w:p w14:paraId="29457F2E" w14:textId="77777777" w:rsidR="00AC735E" w:rsidRPr="007577D4" w:rsidRDefault="00AC735E" w:rsidP="00AC735E">
      <w:pPr>
        <w:pStyle w:val="ListParagraph"/>
        <w:numPr>
          <w:ilvl w:val="0"/>
          <w:numId w:val="22"/>
        </w:numPr>
        <w:autoSpaceDE w:val="0"/>
        <w:autoSpaceDN w:val="0"/>
        <w:adjustRightInd w:val="0"/>
        <w:spacing w:after="240"/>
        <w:ind w:left="0" w:firstLine="0"/>
        <w:rPr>
          <w:lang w:val="es-MX"/>
        </w:rPr>
      </w:pPr>
      <w:r w:rsidRPr="007577D4">
        <w:rPr>
          <w:lang w:val="es-MX"/>
        </w:rPr>
        <w:t>El Comité Ejecutivo puede estimar oportuno:</w:t>
      </w:r>
    </w:p>
    <w:p w14:paraId="6A2CD509" w14:textId="77777777" w:rsidR="00AC735E" w:rsidRPr="007577D4" w:rsidRDefault="00AC735E" w:rsidP="00AC735E">
      <w:pPr>
        <w:pStyle w:val="ListParagraph"/>
        <w:autoSpaceDE w:val="0"/>
        <w:autoSpaceDN w:val="0"/>
        <w:adjustRightInd w:val="0"/>
        <w:ind w:left="0"/>
        <w:rPr>
          <w:sz w:val="20"/>
          <w:szCs w:val="20"/>
          <w:lang w:val="es-MX" w:bidi="hi-IN"/>
        </w:rPr>
      </w:pPr>
    </w:p>
    <w:p w14:paraId="54F5A57E" w14:textId="77777777" w:rsidR="00AC735E" w:rsidRPr="007577D4" w:rsidRDefault="00AC735E" w:rsidP="00AC735E">
      <w:pPr>
        <w:pStyle w:val="ListParagraph"/>
        <w:numPr>
          <w:ilvl w:val="0"/>
          <w:numId w:val="23"/>
        </w:numPr>
        <w:autoSpaceDE w:val="0"/>
        <w:autoSpaceDN w:val="0"/>
        <w:adjustRightInd w:val="0"/>
        <w:ind w:left="1418" w:hanging="698"/>
        <w:rPr>
          <w:lang w:val="es-MX"/>
        </w:rPr>
      </w:pPr>
      <w:r w:rsidRPr="007577D4">
        <w:rPr>
          <w:lang w:val="es-MX"/>
        </w:rPr>
        <w:t>Tomar nota del informe del Tesorera sobre la situación de las contribuciones y los desembolsos, según figura en el Anexo I del presente documento;</w:t>
      </w:r>
    </w:p>
    <w:p w14:paraId="6EDAA9D6" w14:textId="77777777" w:rsidR="00AC735E" w:rsidRPr="007577D4" w:rsidRDefault="00AC735E" w:rsidP="00AC735E">
      <w:pPr>
        <w:pStyle w:val="ListParagraph"/>
        <w:autoSpaceDE w:val="0"/>
        <w:autoSpaceDN w:val="0"/>
        <w:adjustRightInd w:val="0"/>
        <w:ind w:left="1418"/>
        <w:rPr>
          <w:lang w:val="es-MX" w:bidi="hi-IN"/>
        </w:rPr>
      </w:pPr>
    </w:p>
    <w:p w14:paraId="55B2797E" w14:textId="77777777" w:rsidR="00AC735E" w:rsidRPr="007577D4" w:rsidRDefault="00AC735E" w:rsidP="00AC735E">
      <w:pPr>
        <w:pStyle w:val="ListParagraph"/>
        <w:numPr>
          <w:ilvl w:val="0"/>
          <w:numId w:val="23"/>
        </w:numPr>
        <w:autoSpaceDE w:val="0"/>
        <w:autoSpaceDN w:val="0"/>
        <w:adjustRightInd w:val="0"/>
        <w:ind w:left="1418" w:hanging="698"/>
        <w:rPr>
          <w:lang w:val="es-MX"/>
        </w:rPr>
      </w:pPr>
      <w:r w:rsidRPr="007577D4">
        <w:rPr>
          <w:lang w:val="es-MX"/>
        </w:rPr>
        <w:t>Instar a todas las Partes a pagar sus contribuciones al Fondo Multilateral íntegramente y lo antes posible; y</w:t>
      </w:r>
    </w:p>
    <w:p w14:paraId="3AEBAF44" w14:textId="77777777" w:rsidR="00AC735E" w:rsidRPr="007577D4" w:rsidRDefault="00AC735E" w:rsidP="00AC735E">
      <w:pPr>
        <w:pStyle w:val="ListParagraph"/>
        <w:autoSpaceDE w:val="0"/>
        <w:autoSpaceDN w:val="0"/>
        <w:adjustRightInd w:val="0"/>
        <w:ind w:left="1418"/>
        <w:rPr>
          <w:lang w:val="es-MX" w:bidi="hi-IN"/>
        </w:rPr>
      </w:pPr>
    </w:p>
    <w:p w14:paraId="7EAF8B08" w14:textId="77777777" w:rsidR="00AC735E" w:rsidRPr="007577D4" w:rsidRDefault="00AC735E" w:rsidP="00AC735E">
      <w:pPr>
        <w:pStyle w:val="ListParagraph"/>
        <w:numPr>
          <w:ilvl w:val="0"/>
          <w:numId w:val="23"/>
        </w:numPr>
        <w:ind w:left="1418" w:hanging="698"/>
        <w:rPr>
          <w:lang w:val="es-MX"/>
        </w:rPr>
      </w:pPr>
      <w:r w:rsidRPr="007577D4">
        <w:rPr>
          <w:lang w:val="es-MX"/>
        </w:rPr>
        <w:t>Pedir al Director y al Tesorero que sigan en contacto con las Partes que tengan contribuciones pendientes de un trienio o más e informen al respecto en la 85ª reunión.</w:t>
      </w:r>
    </w:p>
    <w:p w14:paraId="2F75AF1D" w14:textId="77777777" w:rsidR="00AC735E" w:rsidRPr="007577D4" w:rsidRDefault="00AC735E" w:rsidP="00AC735E">
      <w:pPr>
        <w:pStyle w:val="ListParagraph"/>
        <w:autoSpaceDE w:val="0"/>
        <w:autoSpaceDN w:val="0"/>
        <w:adjustRightInd w:val="0"/>
        <w:ind w:left="1418"/>
        <w:rPr>
          <w:lang w:val="es-MX" w:bidi="hi-IN"/>
        </w:rPr>
      </w:pPr>
    </w:p>
    <w:p w14:paraId="50CBB317" w14:textId="77777777" w:rsidR="00AC735E" w:rsidRPr="007577D4" w:rsidRDefault="00AC735E" w:rsidP="00AC735E">
      <w:pPr>
        <w:pStyle w:val="0Heading0"/>
        <w:tabs>
          <w:tab w:val="left" w:pos="6699"/>
        </w:tabs>
        <w:spacing w:line="360" w:lineRule="auto"/>
        <w:rPr>
          <w:lang w:val="es-MX"/>
        </w:rPr>
      </w:pPr>
      <w:r w:rsidRPr="007577D4">
        <w:rPr>
          <w:lang w:val="es-MX"/>
        </w:rPr>
        <w:tab/>
      </w:r>
    </w:p>
    <w:bookmarkEnd w:id="0"/>
    <w:p w14:paraId="19830720" w14:textId="77777777" w:rsidR="0087455A" w:rsidRPr="007577D4" w:rsidRDefault="0087455A" w:rsidP="00AC735E">
      <w:pPr>
        <w:pStyle w:val="Title1"/>
        <w:rPr>
          <w:b w:val="0"/>
          <w:bCs/>
          <w:lang w:val="es-MX"/>
        </w:rPr>
      </w:pPr>
    </w:p>
    <w:sectPr w:rsidR="0087455A" w:rsidRPr="007577D4" w:rsidSect="00AC735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70591" w14:textId="77777777" w:rsidR="00E07055" w:rsidRDefault="00E07055">
      <w:r>
        <w:separator/>
      </w:r>
    </w:p>
  </w:endnote>
  <w:endnote w:type="continuationSeparator" w:id="0">
    <w:p w14:paraId="64B82561" w14:textId="77777777" w:rsidR="00E07055" w:rsidRDefault="00E07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5CB12" w14:textId="5775B4F8" w:rsidR="00FC7C43" w:rsidRDefault="00FC7C43" w:rsidP="00FC7C43">
    <w:pPr>
      <w:pStyle w:val="Footer"/>
      <w:jc w:val="center"/>
    </w:pPr>
    <w:r>
      <w:fldChar w:fldCharType="begin"/>
    </w:r>
    <w:r>
      <w:instrText xml:space="preserve"> PAGE </w:instrText>
    </w:r>
    <w:r>
      <w:fldChar w:fldCharType="separate"/>
    </w:r>
    <w:r w:rsidR="009F79F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93123" w14:textId="4A45F82A" w:rsidR="00FC7C43" w:rsidRDefault="00FC7C43" w:rsidP="00FC7C43">
    <w:pPr>
      <w:pStyle w:val="Footer"/>
      <w:jc w:val="center"/>
    </w:pPr>
    <w:r>
      <w:fldChar w:fldCharType="begin"/>
    </w:r>
    <w:r>
      <w:instrText xml:space="preserve"> PAGE </w:instrText>
    </w:r>
    <w:r>
      <w:fldChar w:fldCharType="separate"/>
    </w:r>
    <w:r w:rsidR="009F79F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35C32571" w14:textId="7F8E8C13" w:rsidR="0087455A" w:rsidRPr="00AC735E" w:rsidRDefault="00AC735E" w:rsidP="00AC735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ACF00" w14:textId="77777777" w:rsidR="00E07055" w:rsidRDefault="00E07055">
      <w:r>
        <w:separator/>
      </w:r>
    </w:p>
  </w:footnote>
  <w:footnote w:type="continuationSeparator" w:id="0">
    <w:p w14:paraId="4DFE0343" w14:textId="77777777" w:rsidR="00E07055" w:rsidRDefault="00E07055">
      <w:r>
        <w:continuationSeparator/>
      </w:r>
    </w:p>
  </w:footnote>
  <w:footnote w:id="1">
    <w:p w14:paraId="31A2651B" w14:textId="11661784" w:rsidR="00AC735E" w:rsidRDefault="00AC735E" w:rsidP="00AC735E">
      <w:pPr>
        <w:pStyle w:val="FootnoteText"/>
      </w:pPr>
      <w:r>
        <w:rPr>
          <w:rStyle w:val="FootnoteReference"/>
        </w:rPr>
        <w:footnoteRef/>
      </w:r>
      <w:r>
        <w:t xml:space="preserve"> El Comité Ejecutivo pidió que la explicación de la metodología y los supuestos utilizados por el Tesorero estén disponibles en la intranet (decisión 40/2 b) i)). Este registro de los supuestos y de la metodología publicados por primera vez en el documento del informe del Tesorero UNEP/OzL.Pro/ExCom/39/3/Rev.1 todavía está disponible para consulta de los miembros del Comité Ejecutivo en el área restringida del sitio web del Fondo Multilateral.</w:t>
      </w:r>
    </w:p>
    <w:p w14:paraId="14A0CEDD" w14:textId="3026DB71" w:rsidR="00F945AD" w:rsidRDefault="00F945AD" w:rsidP="00AC735E">
      <w:pPr>
        <w:pStyle w:val="FootnoteText"/>
      </w:pPr>
    </w:p>
    <w:p w14:paraId="5DBD4921" w14:textId="77777777" w:rsidR="00F945AD" w:rsidRPr="004B5029" w:rsidRDefault="00F945AD" w:rsidP="00AC735E">
      <w:pPr>
        <w:pStyle w:val="FootnoteText"/>
      </w:pPr>
    </w:p>
  </w:footnote>
  <w:footnote w:id="2">
    <w:p w14:paraId="3E81DD36" w14:textId="3731FBE6" w:rsidR="00F945AD" w:rsidRPr="007577D4" w:rsidRDefault="00AC735E" w:rsidP="00F945AD">
      <w:pPr>
        <w:rPr>
          <w:lang w:val="es-MX"/>
        </w:rPr>
      </w:pPr>
      <w:r w:rsidRPr="007577D4">
        <w:rPr>
          <w:rStyle w:val="FootnoteReference"/>
          <w:lang w:val="es-MX"/>
        </w:rPr>
        <w:footnoteRef/>
      </w:r>
      <w:r w:rsidRPr="007577D4">
        <w:rPr>
          <w:lang w:val="es-MX"/>
        </w:rPr>
        <w:t xml:space="preserve"> </w:t>
      </w:r>
      <w:r w:rsidRPr="007577D4">
        <w:rPr>
          <w:sz w:val="20"/>
          <w:szCs w:val="20"/>
          <w:lang w:val="es-MX"/>
        </w:rPr>
        <w:t>El Comité Ejecutivo pidió al Tesorero que distribuyera a la Secretaría y a los organismos de ejecución, antes de cada reunión del Comité Ejecutivo, un libro de contabilidad que indique cuándo se transfieren, reciben y cobran los pagarés (decisión 45/59 f) i)).</w:t>
      </w:r>
    </w:p>
  </w:footnote>
  <w:footnote w:id="3">
    <w:p w14:paraId="1DCCCC0A" w14:textId="77777777" w:rsidR="00AC735E" w:rsidRPr="007577D4" w:rsidRDefault="00AC735E" w:rsidP="00AC735E">
      <w:pPr>
        <w:pStyle w:val="FootnoteText"/>
        <w:rPr>
          <w:lang w:val="es-MX"/>
        </w:rPr>
      </w:pPr>
      <w:r w:rsidRPr="007577D4">
        <w:rPr>
          <w:rStyle w:val="FootnoteReference"/>
          <w:lang w:val="es-MX"/>
        </w:rPr>
        <w:footnoteRef/>
      </w:r>
      <w:r w:rsidRPr="007577D4">
        <w:rPr>
          <w:lang w:val="es-MX"/>
        </w:rPr>
        <w:t xml:space="preserve"> En respuesta a la decisión 41/2, se podrá disponer de la lista de contribuciones pendientes para ciertos países con economías en transición si se solicita.</w:t>
      </w:r>
    </w:p>
  </w:footnote>
  <w:footnote w:id="4">
    <w:p w14:paraId="54BC69B5" w14:textId="13C93F35" w:rsidR="00AC735E" w:rsidRPr="007577D4" w:rsidRDefault="00AC735E" w:rsidP="00AC735E">
      <w:pPr>
        <w:pStyle w:val="FootnoteText"/>
        <w:rPr>
          <w:lang w:val="es-MX"/>
        </w:rPr>
      </w:pPr>
      <w:r w:rsidRPr="007577D4">
        <w:rPr>
          <w:rStyle w:val="FootnoteReference"/>
          <w:lang w:val="es-MX"/>
        </w:rPr>
        <w:footnoteRef/>
      </w:r>
      <w:r w:rsidRPr="007577D4">
        <w:rPr>
          <w:lang w:val="es-MX"/>
        </w:rPr>
        <w:t xml:space="preserve"> Un total de 14 Partes optaron por utilizar el FERM para el trienio 2018-2020, de conformidad con la decisión 81/</w:t>
      </w:r>
      <w:proofErr w:type="gramStart"/>
      <w:r w:rsidRPr="007577D4">
        <w:rPr>
          <w:lang w:val="es-MX"/>
        </w:rPr>
        <w:t>1</w:t>
      </w:r>
      <w:r w:rsidR="00C73BF7">
        <w:rPr>
          <w:lang w:val="es-MX"/>
        </w:rPr>
        <w:t> </w:t>
      </w:r>
      <w:r w:rsidRPr="007577D4">
        <w:rPr>
          <w:lang w:val="es-MX"/>
        </w:rPr>
        <w:t xml:space="preserve"> b</w:t>
      </w:r>
      <w:proofErr w:type="gramEnd"/>
      <w:r w:rsidRPr="007577D4">
        <w:rPr>
          <w:lang w:val="es-MX"/>
        </w:rPr>
        <w:t>).</w:t>
      </w:r>
    </w:p>
  </w:footnote>
  <w:footnote w:id="5">
    <w:p w14:paraId="5B3028EF" w14:textId="77777777" w:rsidR="00AC735E" w:rsidRPr="007577D4" w:rsidRDefault="00AC735E" w:rsidP="00AC735E">
      <w:pPr>
        <w:pStyle w:val="FootnoteText"/>
        <w:rPr>
          <w:lang w:val="es-MX"/>
        </w:rPr>
      </w:pPr>
      <w:r w:rsidRPr="007577D4">
        <w:rPr>
          <w:rStyle w:val="FootnoteReference"/>
          <w:lang w:val="es-MX"/>
        </w:rPr>
        <w:footnoteRef/>
      </w:r>
      <w:r w:rsidRPr="007577D4">
        <w:rPr>
          <w:lang w:val="es-MX"/>
        </w:rPr>
        <w:t xml:space="preserve"> En respuesta a la decisión XI/6, párrafo 7 (en la que se instaba a las Partes a procurar pagar sus contribuciones lo antes posible del año civil); a la decisión XVII/41, párrafo 5 (en la que se instaba a las Partes a que paguen sus contribuciones al Fondo íntegramente y lo antes posible), y a la decisión XVI/37 (en la que se instaba a determinadas Partes que nunca han pagado sus contribuciones al Fondo o lo han hecho por un importe inferior a su contribución, a hacerlo lo antes posible).</w:t>
      </w:r>
    </w:p>
  </w:footnote>
  <w:footnote w:id="6">
    <w:p w14:paraId="619F2D0B" w14:textId="77777777" w:rsidR="00AC735E" w:rsidRPr="007577D4" w:rsidRDefault="00AC735E" w:rsidP="00AC735E">
      <w:pPr>
        <w:pStyle w:val="FootnoteText"/>
        <w:rPr>
          <w:lang w:val="es-MX"/>
        </w:rPr>
      </w:pPr>
      <w:r w:rsidRPr="007577D4">
        <w:rPr>
          <w:rStyle w:val="FootnoteReference"/>
          <w:lang w:val="es-MX"/>
        </w:rPr>
        <w:footnoteRef/>
      </w:r>
      <w:r w:rsidRPr="007577D4">
        <w:rPr>
          <w:lang w:val="es-MX"/>
        </w:rPr>
        <w:t xml:space="preserve"> Se pidió al Director y al Tesorero que continúen con el seguimiento de los países que tenían contribuciones pendientes de un trienio o más y que informen al respecto en la 84ª reunión.</w:t>
      </w:r>
    </w:p>
  </w:footnote>
  <w:footnote w:id="7">
    <w:p w14:paraId="328FDF21" w14:textId="77777777" w:rsidR="00AC735E" w:rsidRPr="0050370D" w:rsidRDefault="00AC735E" w:rsidP="00AC735E">
      <w:pPr>
        <w:pStyle w:val="FootnoteText"/>
      </w:pPr>
      <w:r w:rsidRPr="007577D4">
        <w:rPr>
          <w:rStyle w:val="FootnoteReference"/>
          <w:lang w:val="es-MX"/>
        </w:rPr>
        <w:footnoteRef/>
      </w:r>
      <w:r w:rsidRPr="007577D4">
        <w:rPr>
          <w:lang w:val="es-MX"/>
        </w:rPr>
        <w:t xml:space="preserve"> Kiev, Ucrania, 23-27 de septiembre de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F512A" w14:textId="686E3054" w:rsidR="00AC735E" w:rsidRDefault="003F22D1">
    <w:pPr>
      <w:pStyle w:val="Header"/>
    </w:pPr>
    <w:r>
      <w:fldChar w:fldCharType="begin"/>
    </w:r>
    <w:r>
      <w:instrText xml:space="preserve"> DOCPROPERTY "Document number"  \* MERGEFORMAT </w:instrText>
    </w:r>
    <w:r>
      <w:fldChar w:fldCharType="separate"/>
    </w:r>
    <w:r w:rsidR="00AC735E">
      <w:t>UNEP/</w:t>
    </w:r>
    <w:proofErr w:type="spellStart"/>
    <w:r w:rsidR="00AC735E">
      <w:t>OzL.Pro</w:t>
    </w:r>
    <w:proofErr w:type="spellEnd"/>
    <w:r w:rsidR="00AC735E">
      <w:t>/</w:t>
    </w:r>
    <w:proofErr w:type="spellStart"/>
    <w:r w:rsidR="00AC735E">
      <w:t>ExCom</w:t>
    </w:r>
    <w:proofErr w:type="spellEnd"/>
    <w:r w:rsidR="00AC735E">
      <w:t>/84/</w:t>
    </w:r>
    <w:r>
      <w:fldChar w:fldCharType="end"/>
    </w:r>
    <w:r w:rsidR="00FC7C43">
      <w:t>3</w:t>
    </w:r>
  </w:p>
  <w:p w14:paraId="095B2789" w14:textId="090870E4" w:rsidR="00AC735E" w:rsidRDefault="00AC735E">
    <w:pPr>
      <w:pStyle w:val="Header"/>
    </w:pPr>
  </w:p>
  <w:p w14:paraId="23DF7E32" w14:textId="77777777" w:rsidR="00AC735E" w:rsidRDefault="00AC73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216D" w14:textId="69C327AC" w:rsidR="00AC735E" w:rsidRDefault="003F22D1" w:rsidP="00AC735E">
    <w:pPr>
      <w:pStyle w:val="Header"/>
      <w:jc w:val="right"/>
    </w:pPr>
    <w:r>
      <w:fldChar w:fldCharType="begin"/>
    </w:r>
    <w:r>
      <w:instrText xml:space="preserve"> DOCPROPERTY "Document number"  \* MERGEFORMAT </w:instrText>
    </w:r>
    <w:r>
      <w:fldChar w:fldCharType="separate"/>
    </w:r>
    <w:r w:rsidR="00AC735E">
      <w:t>UNEP/</w:t>
    </w:r>
    <w:proofErr w:type="spellStart"/>
    <w:r w:rsidR="00AC735E">
      <w:t>OzL.Pro</w:t>
    </w:r>
    <w:proofErr w:type="spellEnd"/>
    <w:r w:rsidR="00AC735E">
      <w:t>/</w:t>
    </w:r>
    <w:proofErr w:type="spellStart"/>
    <w:r w:rsidR="00AC735E">
      <w:t>ExCom</w:t>
    </w:r>
    <w:proofErr w:type="spellEnd"/>
    <w:r w:rsidR="00AC735E">
      <w:t>/84/</w:t>
    </w:r>
    <w:r>
      <w:fldChar w:fldCharType="end"/>
    </w:r>
    <w:r w:rsidR="00FC7C43">
      <w:t>3</w:t>
    </w:r>
  </w:p>
  <w:p w14:paraId="078AC06E" w14:textId="7104F341" w:rsidR="00AC735E" w:rsidRDefault="00AC735E">
    <w:pPr>
      <w:pStyle w:val="Header"/>
    </w:pPr>
  </w:p>
  <w:p w14:paraId="65F506C3" w14:textId="77777777" w:rsidR="00AC735E" w:rsidRDefault="00AC735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9E6A7" w14:textId="77777777" w:rsidR="0087455A" w:rsidRDefault="0087455A"/>
  <w:p w14:paraId="28C294B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5E807F6"/>
    <w:multiLevelType w:val="hybridMultilevel"/>
    <w:tmpl w:val="B04CCC2A"/>
    <w:lvl w:ilvl="0" w:tplc="0054DB98">
      <w:start w:val="1"/>
      <w:numFmt w:val="decimal"/>
      <w:lvlText w:val="%1."/>
      <w:lvlJc w:val="left"/>
      <w:pPr>
        <w:ind w:left="786"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5"/>
  </w:num>
  <w:num w:numId="22">
    <w:abstractNumId w:val="17"/>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0F0"/>
    <w:rsid w:val="000B4535"/>
    <w:rsid w:val="00106F6E"/>
    <w:rsid w:val="00114CAA"/>
    <w:rsid w:val="001C2D22"/>
    <w:rsid w:val="001C7E51"/>
    <w:rsid w:val="001F4047"/>
    <w:rsid w:val="00235D4C"/>
    <w:rsid w:val="0024162E"/>
    <w:rsid w:val="003730F0"/>
    <w:rsid w:val="003863A4"/>
    <w:rsid w:val="003B7115"/>
    <w:rsid w:val="003F22D1"/>
    <w:rsid w:val="00455352"/>
    <w:rsid w:val="00476E28"/>
    <w:rsid w:val="006374CB"/>
    <w:rsid w:val="007577D4"/>
    <w:rsid w:val="00831BC5"/>
    <w:rsid w:val="0087455A"/>
    <w:rsid w:val="009F0093"/>
    <w:rsid w:val="009F79F5"/>
    <w:rsid w:val="00AB56E5"/>
    <w:rsid w:val="00AC735E"/>
    <w:rsid w:val="00C14E67"/>
    <w:rsid w:val="00C73BF7"/>
    <w:rsid w:val="00DB795B"/>
    <w:rsid w:val="00E07055"/>
    <w:rsid w:val="00E17F97"/>
    <w:rsid w:val="00F10CD9"/>
    <w:rsid w:val="00F25F7C"/>
    <w:rsid w:val="00F945AD"/>
    <w:rsid w:val="00FC7C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4C9B02"/>
  <w15:docId w15:val="{F5F8ED7F-12DC-4DAD-BEF6-8382D288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AC735E"/>
    <w:pPr>
      <w:ind w:left="720"/>
      <w:contextualSpacing/>
    </w:pPr>
    <w:rPr>
      <w:lang w:val="es-ES"/>
    </w:rPr>
  </w:style>
  <w:style w:type="paragraph" w:styleId="FootnoteText">
    <w:name w:val="footnote text"/>
    <w:aliases w:val=" Char1, Char1 Char Char,Fußnotentextf"/>
    <w:basedOn w:val="Normal"/>
    <w:link w:val="FootnoteTextChar"/>
    <w:uiPriority w:val="99"/>
    <w:unhideWhenUsed/>
    <w:qFormat/>
    <w:rsid w:val="00AC735E"/>
    <w:rPr>
      <w:sz w:val="20"/>
      <w:szCs w:val="20"/>
      <w:lang w:val="es-ES"/>
    </w:rPr>
  </w:style>
  <w:style w:type="character" w:customStyle="1" w:styleId="FootnoteTextChar">
    <w:name w:val="Footnote Text Char"/>
    <w:aliases w:val=" Char1 Char, Char1 Char Char Char,Fußnotentextf Char"/>
    <w:basedOn w:val="DefaultParagraphFont"/>
    <w:link w:val="FootnoteText"/>
    <w:uiPriority w:val="99"/>
    <w:rsid w:val="00AC735E"/>
    <w:rPr>
      <w:lang w:val="es-ES"/>
    </w:rPr>
  </w:style>
  <w:style w:type="character" w:styleId="FootnoteReference">
    <w:name w:val="footnote reference"/>
    <w:aliases w:val="16 Point,Superscript 6 Point,Footnote text,Footnote Text1,Footnote Text2"/>
    <w:basedOn w:val="DefaultParagraphFont"/>
    <w:uiPriority w:val="99"/>
    <w:unhideWhenUsed/>
    <w:rsid w:val="00AC73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Document_x0020_Number>
  </documentManagement>
</p:properties>
</file>

<file path=customXml/itemProps1.xml><?xml version="1.0" encoding="utf-8"?>
<ds:datastoreItem xmlns:ds="http://schemas.openxmlformats.org/officeDocument/2006/customXml" ds:itemID="{22120BB0-9985-40CC-8FB5-CF452CBC6FB1}"/>
</file>

<file path=customXml/itemProps2.xml><?xml version="1.0" encoding="utf-8"?>
<ds:datastoreItem xmlns:ds="http://schemas.openxmlformats.org/officeDocument/2006/customXml" ds:itemID="{36C60CEF-8BD4-4D0A-82A8-C4B4AFF37529}"/>
</file>

<file path=customXml/itemProps3.xml><?xml version="1.0" encoding="utf-8"?>
<ds:datastoreItem xmlns:ds="http://schemas.openxmlformats.org/officeDocument/2006/customXml" ds:itemID="{244F54E3-C7A5-44FF-BA57-8930F92ACA3E}"/>
</file>

<file path=customXml/itemProps4.xml><?xml version="1.0" encoding="utf-8"?>
<ds:datastoreItem xmlns:ds="http://schemas.openxmlformats.org/officeDocument/2006/customXml" ds:itemID="{AFF0A308-2CAD-4AB2-B69A-AE53788356C8}"/>
</file>

<file path=docProps/app.xml><?xml version="1.0" encoding="utf-8"?>
<Properties xmlns="http://schemas.openxmlformats.org/officeDocument/2006/extended-properties" xmlns:vt="http://schemas.openxmlformats.org/officeDocument/2006/docPropsVTypes">
  <Template>S84-template</Template>
  <TotalTime>21</TotalTime>
  <Pages>3</Pages>
  <Words>588</Words>
  <Characters>3041</Characters>
  <Application>Microsoft Office Word</Application>
  <DocSecurity>0</DocSecurity>
  <Lines>92</Lines>
  <Paragraphs>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Situación de las contribuciones y los desembolsos</vt:lpstr>
      <vt:lpstr/>
    </vt:vector>
  </TitlesOfParts>
  <Company>UNMFS</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dc:title>
  <dc:creator>Alejandro Moreno-Ramos</dc:creator>
  <cp:lastModifiedBy>Saša CVIJETIĆ</cp:lastModifiedBy>
  <cp:revision>9</cp:revision>
  <cp:lastPrinted>2001-05-26T16:40:00Z</cp:lastPrinted>
  <dcterms:created xsi:type="dcterms:W3CDTF">2019-11-28T19:02:00Z</dcterms:created>
  <dcterms:modified xsi:type="dcterms:W3CDTF">2019-12-01T23:50:00Z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vt:lpwstr>
  </property>
  <property fmtid="{D5CDD505-2E9C-101B-9397-08002B2CF9AE}" pid="3" name="Revision date">
    <vt:lpwstr>11/27/2019</vt:lpwstr>
  </property>
  <property fmtid="{D5CDD505-2E9C-101B-9397-08002B2CF9AE}" pid="4" name="ContentTypeId">
    <vt:lpwstr>0x010100CF2D22381220FE4184AFB35730DED85F</vt:lpwstr>
  </property>
</Properties>
</file>