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2F6E66" w14:paraId="293A0A26" w14:textId="77777777">
        <w:trPr>
          <w:trHeight w:val="720"/>
        </w:trPr>
        <w:tc>
          <w:tcPr>
            <w:tcW w:w="5490" w:type="dxa"/>
            <w:gridSpan w:val="2"/>
            <w:tcBorders>
              <w:bottom w:val="single" w:sz="18" w:space="0" w:color="auto"/>
            </w:tcBorders>
          </w:tcPr>
          <w:p w14:paraId="799307F8" w14:textId="77777777" w:rsidR="00C15867" w:rsidRPr="002F6E66"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2F6E66">
              <w:rPr>
                <w:rFonts w:ascii="Univers" w:hAnsi="Univers"/>
                <w:b/>
                <w:sz w:val="28"/>
                <w:szCs w:val="28"/>
              </w:rPr>
              <w:t>UNITED</w:t>
            </w:r>
            <w:r w:rsidRPr="002F6E66">
              <w:rPr>
                <w:rFonts w:ascii="Univers" w:hAnsi="Univers"/>
                <w:b/>
                <w:sz w:val="28"/>
                <w:szCs w:val="28"/>
              </w:rPr>
              <w:br/>
              <w:t>NATIONS</w:t>
            </w:r>
          </w:p>
        </w:tc>
        <w:tc>
          <w:tcPr>
            <w:tcW w:w="4590" w:type="dxa"/>
            <w:tcBorders>
              <w:bottom w:val="single" w:sz="18" w:space="0" w:color="auto"/>
            </w:tcBorders>
          </w:tcPr>
          <w:p w14:paraId="18A5BC6B" w14:textId="77777777" w:rsidR="00C15867" w:rsidRPr="002F6E66" w:rsidRDefault="00C15867">
            <w:pPr>
              <w:jc w:val="right"/>
              <w:rPr>
                <w:sz w:val="52"/>
                <w:szCs w:val="52"/>
              </w:rPr>
            </w:pPr>
            <w:r w:rsidRPr="002F6E66">
              <w:rPr>
                <w:rFonts w:ascii="Univers Bold" w:hAnsi="Univers Bold"/>
                <w:b/>
                <w:sz w:val="72"/>
              </w:rPr>
              <w:t>EP</w:t>
            </w:r>
          </w:p>
        </w:tc>
      </w:tr>
      <w:tr w:rsidR="00C15867" w:rsidRPr="002F6E66" w14:paraId="269A53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2A40CE7" w14:textId="77777777" w:rsidR="00C15867" w:rsidRPr="002F6E66" w:rsidRDefault="00E52838">
            <w:pPr>
              <w:spacing w:before="120"/>
            </w:pPr>
            <w:r w:rsidRPr="002F6E66">
              <w:rPr>
                <w:noProof/>
                <w:lang w:eastAsia="zh-CN"/>
              </w:rPr>
              <mc:AlternateContent>
                <mc:Choice Requires="wpg">
                  <w:drawing>
                    <wp:anchor distT="0" distB="0" distL="114300" distR="114300" simplePos="0" relativeHeight="251658240" behindDoc="0" locked="0" layoutInCell="1" allowOverlap="1" wp14:anchorId="3029333C" wp14:editId="379F481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w16du="http://schemas.microsoft.com/office/word/2023/wordml/word16du">
                  <w:pict>
                    <v:group w14:anchorId="0A0248C1"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A8FBD21" w14:textId="77777777" w:rsidR="00C15867" w:rsidRPr="002F6E66"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2F6E66">
              <w:rPr>
                <w:rFonts w:ascii="Univers" w:hAnsi="Univers"/>
                <w:b/>
                <w:sz w:val="32"/>
              </w:rPr>
              <w:t>United Nations</w:t>
            </w:r>
          </w:p>
          <w:p w14:paraId="57577234" w14:textId="77777777" w:rsidR="00C15867" w:rsidRPr="002F6E66"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2F6E66">
              <w:rPr>
                <w:rFonts w:ascii="Univers" w:hAnsi="Univers"/>
                <w:b/>
                <w:sz w:val="32"/>
              </w:rPr>
              <w:t>Environment</w:t>
            </w:r>
          </w:p>
          <w:p w14:paraId="50C51F37" w14:textId="77777777" w:rsidR="00C15867" w:rsidRPr="002F6E66"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2F6E66">
              <w:rPr>
                <w:rFonts w:ascii="Univers" w:hAnsi="Univers"/>
                <w:b/>
                <w:sz w:val="32"/>
              </w:rPr>
              <w:t>Programme</w:t>
            </w:r>
          </w:p>
          <w:p w14:paraId="354B5128" w14:textId="77777777" w:rsidR="00C15867" w:rsidRPr="002F6E66" w:rsidRDefault="00C15867">
            <w:pPr>
              <w:spacing w:before="720"/>
              <w:ind w:left="158"/>
            </w:pPr>
          </w:p>
        </w:tc>
        <w:tc>
          <w:tcPr>
            <w:tcW w:w="4590" w:type="dxa"/>
            <w:tcBorders>
              <w:top w:val="nil"/>
              <w:left w:val="nil"/>
              <w:bottom w:val="single" w:sz="36" w:space="0" w:color="auto"/>
              <w:right w:val="nil"/>
            </w:tcBorders>
          </w:tcPr>
          <w:p w14:paraId="25752CA5" w14:textId="77777777" w:rsidR="00C15867" w:rsidRPr="002F6E66" w:rsidRDefault="00C15867">
            <w:r w:rsidRPr="002F6E66">
              <w:t>Distr.</w:t>
            </w:r>
          </w:p>
          <w:p w14:paraId="1B3E89DD" w14:textId="77777777" w:rsidR="00923540" w:rsidRPr="002F6E66" w:rsidRDefault="00923540" w:rsidP="00923540">
            <w:r w:rsidRPr="002F6E66">
              <w:t>GENERAL</w:t>
            </w:r>
          </w:p>
          <w:p w14:paraId="493BA78B" w14:textId="77777777" w:rsidR="00C15867" w:rsidRPr="002F6E66" w:rsidRDefault="00C15867"/>
          <w:p w14:paraId="10976B8C" w14:textId="77777777" w:rsidR="00C15867" w:rsidRPr="002F6E66" w:rsidRDefault="00C15867"/>
          <w:p w14:paraId="1C058A7E" w14:textId="55F5D194" w:rsidR="00C15867" w:rsidRPr="002F6E66" w:rsidRDefault="007B5E3D">
            <w:r>
              <w:fldChar w:fldCharType="begin"/>
            </w:r>
            <w:r>
              <w:instrText xml:space="preserve"> DOCPROPERTY "Document number"  \* MERGEFORMAT </w:instrText>
            </w:r>
            <w:r>
              <w:fldChar w:fldCharType="separate"/>
            </w:r>
            <w:r w:rsidR="007B102C">
              <w:t>UNEP/</w:t>
            </w:r>
            <w:proofErr w:type="spellStart"/>
            <w:r w:rsidR="007B102C">
              <w:t>OzL.Pro</w:t>
            </w:r>
            <w:proofErr w:type="spellEnd"/>
            <w:r w:rsidR="007B102C">
              <w:t>/ExCom/93/97</w:t>
            </w:r>
            <w:r>
              <w:fldChar w:fldCharType="end"/>
            </w:r>
          </w:p>
          <w:p w14:paraId="1B9EB2D5" w14:textId="2BDA27F5" w:rsidR="00C15867" w:rsidRPr="002F6E66" w:rsidRDefault="00BC2495">
            <w:r w:rsidRPr="002F6E66">
              <w:fldChar w:fldCharType="begin"/>
            </w:r>
            <w:r w:rsidR="00851352" w:rsidRPr="002F6E66">
              <w:instrText xml:space="preserve"> DOCPROPERTY "Revision date" \@ "d MMMM YYYY"  \* MERGEFORMAT </w:instrText>
            </w:r>
            <w:r w:rsidRPr="002F6E66">
              <w:fldChar w:fldCharType="separate"/>
            </w:r>
            <w:r w:rsidR="00E0416C">
              <w:t>27 October 2023</w:t>
            </w:r>
            <w:r w:rsidRPr="002F6E66">
              <w:fldChar w:fldCharType="end"/>
            </w:r>
          </w:p>
          <w:p w14:paraId="323F4B8E" w14:textId="77777777" w:rsidR="00C15867" w:rsidRPr="002F6E66" w:rsidRDefault="00C15867">
            <w:pPr>
              <w:rPr>
                <w:caps/>
              </w:rPr>
            </w:pPr>
          </w:p>
          <w:p w14:paraId="41424693" w14:textId="77777777" w:rsidR="00C15867" w:rsidRPr="002F6E66" w:rsidRDefault="00C15867">
            <w:r w:rsidRPr="002F6E66">
              <w:t>ORIGINAL: ENGLISH</w:t>
            </w:r>
          </w:p>
        </w:tc>
      </w:tr>
    </w:tbl>
    <w:p w14:paraId="61A6C01B" w14:textId="77777777" w:rsidR="00262E56" w:rsidRDefault="00C15867" w:rsidP="00262E56">
      <w:pPr>
        <w:jc w:val="left"/>
      </w:pPr>
      <w:r w:rsidRPr="002F6E66">
        <w:t>EXECUTIVE COMMITTEE OF</w:t>
      </w:r>
      <w:r w:rsidRPr="002F6E66">
        <w:br/>
        <w:t xml:space="preserve">  THE MULTILATERAL FUND FOR THE</w:t>
      </w:r>
      <w:r w:rsidRPr="002F6E66">
        <w:br/>
        <w:t xml:space="preserve">  IMPLEMENTATION OF THE MONTREAL PROTOCOL</w:t>
      </w:r>
      <w:r w:rsidRPr="002F6E66">
        <w:br/>
      </w:r>
      <w:r w:rsidR="00262E56" w:rsidRPr="00B52AA8">
        <w:t>Ninety-</w:t>
      </w:r>
      <w:r w:rsidR="00262E56">
        <w:t>third</w:t>
      </w:r>
      <w:r w:rsidR="00262E56" w:rsidRPr="00B52AA8">
        <w:t xml:space="preserve"> </w:t>
      </w:r>
      <w:r w:rsidR="00262E56">
        <w:t>Meeting</w:t>
      </w:r>
    </w:p>
    <w:p w14:paraId="5524BB3A" w14:textId="77777777" w:rsidR="00262E56" w:rsidRDefault="00262E56" w:rsidP="00262E56">
      <w:pPr>
        <w:jc w:val="left"/>
      </w:pPr>
      <w:r>
        <w:t xml:space="preserve">Montreal, </w:t>
      </w:r>
      <w:r w:rsidRPr="006A7A3B">
        <w:t>15</w:t>
      </w:r>
      <w:r>
        <w:t>-</w:t>
      </w:r>
      <w:r w:rsidRPr="006A7A3B">
        <w:t>19 December</w:t>
      </w:r>
      <w:r w:rsidRPr="00DA2387">
        <w:t xml:space="preserve"> 2023</w:t>
      </w:r>
    </w:p>
    <w:p w14:paraId="018914EE" w14:textId="7241FA37" w:rsidR="000C2F27" w:rsidRPr="002F6E66" w:rsidRDefault="00262E56" w:rsidP="00262E56">
      <w:pPr>
        <w:jc w:val="left"/>
        <w:rPr>
          <w:sz w:val="24"/>
          <w:szCs w:val="24"/>
          <w:lang w:eastAsia="en-CA"/>
        </w:rPr>
      </w:pPr>
      <w:r>
        <w:t>Item</w:t>
      </w:r>
      <w:r w:rsidR="006753C3">
        <w:t xml:space="preserve"> 10(a)</w:t>
      </w:r>
      <w:r>
        <w:t xml:space="preserve"> of the provisional agenda</w:t>
      </w:r>
      <w:r w:rsidR="000C2F27" w:rsidRPr="00126FE5">
        <w:rPr>
          <w:rStyle w:val="FootnoteReference"/>
        </w:rPr>
        <w:footnoteReference w:id="2"/>
      </w:r>
      <w:r w:rsidR="000C2F27" w:rsidRPr="002F6E66">
        <w:rPr>
          <w:sz w:val="24"/>
          <w:szCs w:val="24"/>
          <w:lang w:eastAsia="en-CA"/>
        </w:rPr>
        <w:t xml:space="preserve"> </w:t>
      </w:r>
    </w:p>
    <w:p w14:paraId="29AEA462" w14:textId="2F0E3D76" w:rsidR="00C15867" w:rsidRPr="002F6E66" w:rsidRDefault="00C15867" w:rsidP="00CA59FB">
      <w:pPr>
        <w:jc w:val="left"/>
      </w:pPr>
    </w:p>
    <w:p w14:paraId="5058A8B7" w14:textId="744D4DF1" w:rsidR="00325E33" w:rsidRPr="002F6E66" w:rsidRDefault="00325E33" w:rsidP="00CA59FB">
      <w:pPr>
        <w:jc w:val="left"/>
      </w:pPr>
    </w:p>
    <w:p w14:paraId="54B4121B" w14:textId="77777777" w:rsidR="00325E33" w:rsidRPr="002F6E66" w:rsidRDefault="00325E33" w:rsidP="00CA59FB">
      <w:pPr>
        <w:jc w:val="left"/>
      </w:pPr>
    </w:p>
    <w:p w14:paraId="24F36D4F" w14:textId="373B5FE9" w:rsidR="006F2CC2" w:rsidRPr="002F6E66" w:rsidRDefault="0027095E" w:rsidP="006F2CC2">
      <w:pPr>
        <w:jc w:val="center"/>
        <w:rPr>
          <w:b/>
        </w:rPr>
      </w:pPr>
      <w:r>
        <w:rPr>
          <w:b/>
        </w:rPr>
        <w:t xml:space="preserve">PAPER </w:t>
      </w:r>
      <w:r w:rsidR="00F21B78" w:rsidRPr="00E96FC3">
        <w:rPr>
          <w:b/>
        </w:rPr>
        <w:t>ON THE STARTING POINT FOR SUSTAINED AGGREGATE REDUCTIONS BASED ON DISCUSSIONS AT THE 91</w:t>
      </w:r>
      <w:r w:rsidR="00F21B78" w:rsidRPr="00F21B78">
        <w:rPr>
          <w:b/>
          <w:vertAlign w:val="superscript"/>
        </w:rPr>
        <w:t>ST</w:t>
      </w:r>
      <w:r w:rsidR="00F21B78">
        <w:rPr>
          <w:b/>
        </w:rPr>
        <w:t xml:space="preserve"> </w:t>
      </w:r>
      <w:r w:rsidR="00F21B78" w:rsidRPr="00E96FC3">
        <w:rPr>
          <w:b/>
        </w:rPr>
        <w:t>MEETING IN THE CONTACT GROUP ON THE COST GUIDELINES FOR THE PHASE</w:t>
      </w:r>
      <w:r w:rsidR="00826ECE">
        <w:rPr>
          <w:b/>
        </w:rPr>
        <w:noBreakHyphen/>
      </w:r>
      <w:r w:rsidR="00F21B78" w:rsidRPr="00E96FC3">
        <w:rPr>
          <w:b/>
        </w:rPr>
        <w:t xml:space="preserve">DOWN OF HFCS </w:t>
      </w:r>
      <w:r w:rsidR="0030506A">
        <w:rPr>
          <w:b/>
        </w:rPr>
        <w:t>(</w:t>
      </w:r>
      <w:r w:rsidR="00224086">
        <w:rPr>
          <w:b/>
        </w:rPr>
        <w:t>DECISION </w:t>
      </w:r>
      <w:r>
        <w:rPr>
          <w:b/>
        </w:rPr>
        <w:t>91/64(a))</w:t>
      </w:r>
    </w:p>
    <w:p w14:paraId="29B52C78" w14:textId="77777777" w:rsidR="006F2CC2" w:rsidRPr="002F6E66" w:rsidRDefault="006F2CC2" w:rsidP="006F2CC2"/>
    <w:p w14:paraId="2677B6FC" w14:textId="77777777" w:rsidR="006F2CC2" w:rsidRDefault="006F2CC2" w:rsidP="006F2CC2"/>
    <w:p w14:paraId="7A782C8E" w14:textId="571FAA17" w:rsidR="003858FB" w:rsidRDefault="00EE04C9" w:rsidP="006F2CC2">
      <w:pPr>
        <w:rPr>
          <w:b/>
          <w:bCs/>
        </w:rPr>
      </w:pPr>
      <w:r>
        <w:rPr>
          <w:b/>
          <w:bCs/>
        </w:rPr>
        <w:t>Introduction</w:t>
      </w:r>
    </w:p>
    <w:p w14:paraId="3E9DFE51" w14:textId="77777777" w:rsidR="00F35E21" w:rsidRDefault="00F35E21" w:rsidP="006F2CC2">
      <w:pPr>
        <w:rPr>
          <w:b/>
          <w:bCs/>
        </w:rPr>
      </w:pPr>
    </w:p>
    <w:p w14:paraId="07A20A2C" w14:textId="37F9C7DB" w:rsidR="00ED0FC9" w:rsidRPr="006063EC" w:rsidRDefault="00ED0FC9" w:rsidP="00ED0FC9">
      <w:pPr>
        <w:pStyle w:val="Heading1"/>
        <w:rPr>
          <w:lang w:val="en-US"/>
        </w:rPr>
      </w:pPr>
      <w:r>
        <w:t xml:space="preserve">At </w:t>
      </w:r>
      <w:r w:rsidR="00224086">
        <w:t>its</w:t>
      </w:r>
      <w:r>
        <w:t xml:space="preserve"> 91</w:t>
      </w:r>
      <w:r w:rsidRPr="006063EC">
        <w:rPr>
          <w:vertAlign w:val="superscript"/>
        </w:rPr>
        <w:t>st</w:t>
      </w:r>
      <w:r>
        <w:t xml:space="preserve"> meeting, the Executive Committee considered the </w:t>
      </w:r>
      <w:r w:rsidR="007C3F75">
        <w:t>d</w:t>
      </w:r>
      <w:r w:rsidRPr="006063EC">
        <w:t>evelopment of the cost guidelines for the phase-down of HFCs in Article 5 countries</w:t>
      </w:r>
      <w:r w:rsidR="00230ABA">
        <w:t>:</w:t>
      </w:r>
      <w:r w:rsidRPr="006063EC">
        <w:t xml:space="preserve"> </w:t>
      </w:r>
      <w:r w:rsidR="00230ABA">
        <w:t>d</w:t>
      </w:r>
      <w:r w:rsidRPr="006063EC">
        <w:t>raft criteria for funding including consideration of operationalizing paragraph 24 of decision XXVIII/2</w:t>
      </w:r>
      <w:r w:rsidR="00B137E5">
        <w:t>,</w:t>
      </w:r>
      <w:r w:rsidR="00313D3B">
        <w:rPr>
          <w:rStyle w:val="FootnoteReference"/>
        </w:rPr>
        <w:footnoteReference w:id="3"/>
      </w:r>
      <w:r>
        <w:t xml:space="preserve"> and agreed to continue its discussions on the matter in a contact group, in line with previous practice.</w:t>
      </w:r>
      <w:r w:rsidR="00224086">
        <w:rPr>
          <w:rStyle w:val="FootnoteReference"/>
        </w:rPr>
        <w:footnoteReference w:id="4"/>
      </w:r>
    </w:p>
    <w:p w14:paraId="6E6CF506" w14:textId="18F6AB7B" w:rsidR="00ED0FC9" w:rsidRDefault="00ED0FC9" w:rsidP="00ED0FC9">
      <w:pPr>
        <w:pStyle w:val="Heading1"/>
      </w:pPr>
      <w:r>
        <w:t xml:space="preserve">The contact </w:t>
      </w:r>
      <w:r w:rsidRPr="006063EC">
        <w:t>group discuss</w:t>
      </w:r>
      <w:r>
        <w:t>ed</w:t>
      </w:r>
      <w:r w:rsidRPr="006063EC">
        <w:t xml:space="preserve"> scenarios for the starting point based on a presentation prepared by the Secretariat</w:t>
      </w:r>
      <w:r>
        <w:t xml:space="preserve"> and </w:t>
      </w:r>
      <w:r w:rsidRPr="006063EC">
        <w:t>request</w:t>
      </w:r>
      <w:r w:rsidR="00001626">
        <w:t>ed</w:t>
      </w:r>
      <w:r w:rsidRPr="006063EC">
        <w:t xml:space="preserve"> the Secretariat to prepare a paper to provide an analysis of issues related to the starting point discussed by the contact group at the 91</w:t>
      </w:r>
      <w:r w:rsidRPr="0099580F">
        <w:rPr>
          <w:vertAlign w:val="superscript"/>
        </w:rPr>
        <w:t>st</w:t>
      </w:r>
      <w:r>
        <w:t xml:space="preserve"> </w:t>
      </w:r>
      <w:r w:rsidRPr="006063EC">
        <w:t>meeting, building on the illustrative examples presented to the group. The analysis should be based on a nationally aggregated starting point rather than including as options a starting point that was specified by blend or substance. The analysis should also consider a mechanism to take account of the replacement of high-</w:t>
      </w:r>
      <w:r w:rsidR="00533E3C">
        <w:t>global</w:t>
      </w:r>
      <w:r w:rsidR="00533E3C">
        <w:noBreakHyphen/>
        <w:t>warming</w:t>
      </w:r>
      <w:r w:rsidR="00533E3C">
        <w:noBreakHyphen/>
        <w:t>potential (</w:t>
      </w:r>
      <w:r w:rsidRPr="006063EC">
        <w:t>GWP</w:t>
      </w:r>
      <w:r w:rsidR="00533E3C">
        <w:t>)</w:t>
      </w:r>
      <w:r w:rsidRPr="006063EC">
        <w:t xml:space="preserve"> by lower-GWP HFC alternatives.</w:t>
      </w:r>
      <w:r>
        <w:t xml:space="preserve"> Accordingly, the Executive Committee decided to request the Secretariat to prepare for the 92</w:t>
      </w:r>
      <w:r w:rsidRPr="0099580F">
        <w:rPr>
          <w:vertAlign w:val="superscript"/>
        </w:rPr>
        <w:t>nd</w:t>
      </w:r>
      <w:r>
        <w:t xml:space="preserve"> meeting a paper on the starting point for sustained aggregate reductions based on the discussions that took place at the 91</w:t>
      </w:r>
      <w:r w:rsidRPr="0099580F">
        <w:rPr>
          <w:vertAlign w:val="superscript"/>
        </w:rPr>
        <w:t>st</w:t>
      </w:r>
      <w:r>
        <w:t xml:space="preserve"> meeting in the contact group on the cost guidelines for the phase</w:t>
      </w:r>
      <w:r w:rsidR="00D950B2">
        <w:noBreakHyphen/>
      </w:r>
      <w:r>
        <w:t>down of HFCs (decision 91/64(a)). The Secretariat prepared the present document in line with that decision.</w:t>
      </w:r>
    </w:p>
    <w:p w14:paraId="6500EC7A" w14:textId="77777777" w:rsidR="00ED0FC9" w:rsidRPr="00C111E0" w:rsidRDefault="00ED0FC9" w:rsidP="00B137E5">
      <w:pPr>
        <w:keepNext/>
        <w:spacing w:after="240"/>
        <w:rPr>
          <w:b/>
          <w:bCs/>
        </w:rPr>
      </w:pPr>
      <w:r>
        <w:rPr>
          <w:b/>
          <w:bCs/>
        </w:rPr>
        <w:t>Issues raised in illustrative examples considered at the 91</w:t>
      </w:r>
      <w:r w:rsidRPr="00821DFD">
        <w:rPr>
          <w:b/>
          <w:bCs/>
          <w:vertAlign w:val="superscript"/>
        </w:rPr>
        <w:t>st</w:t>
      </w:r>
      <w:r>
        <w:rPr>
          <w:b/>
          <w:bCs/>
        </w:rPr>
        <w:t xml:space="preserve"> </w:t>
      </w:r>
      <w:proofErr w:type="gramStart"/>
      <w:r>
        <w:rPr>
          <w:b/>
          <w:bCs/>
        </w:rPr>
        <w:t>meeting</w:t>
      </w:r>
      <w:proofErr w:type="gramEnd"/>
      <w:r>
        <w:rPr>
          <w:b/>
          <w:bCs/>
        </w:rPr>
        <w:t xml:space="preserve"> </w:t>
      </w:r>
    </w:p>
    <w:p w14:paraId="591A71F4" w14:textId="3154648F" w:rsidR="00733535" w:rsidRDefault="00141136" w:rsidP="00F8583B">
      <w:pPr>
        <w:pStyle w:val="Heading1"/>
      </w:pPr>
      <w:r>
        <w:t>Two</w:t>
      </w:r>
      <w:r w:rsidR="0069071B">
        <w:t xml:space="preserve"> of the </w:t>
      </w:r>
      <w:r w:rsidR="003D35A7">
        <w:t>main issues identified during the discussion at the 91</w:t>
      </w:r>
      <w:r w:rsidR="003D35A7" w:rsidRPr="00453651">
        <w:rPr>
          <w:vertAlign w:val="superscript"/>
        </w:rPr>
        <w:t>st</w:t>
      </w:r>
      <w:r w:rsidR="003D35A7">
        <w:t xml:space="preserve"> meeting was </w:t>
      </w:r>
      <w:r w:rsidR="00684354">
        <w:t xml:space="preserve">the need to ensure that the flexibility provided to Article 5 countries through paragraph 13 of decision XXVIII/2 was </w:t>
      </w:r>
      <w:r w:rsidR="00BE199B">
        <w:t xml:space="preserve">maintained and that, </w:t>
      </w:r>
      <w:r w:rsidR="00BA478C">
        <w:t xml:space="preserve">unlike with previous </w:t>
      </w:r>
      <w:r w:rsidR="00A228EC">
        <w:t>control measures</w:t>
      </w:r>
      <w:r w:rsidR="0093194B">
        <w:t xml:space="preserve"> that phased out </w:t>
      </w:r>
      <w:r w:rsidR="006014C9">
        <w:t>ozone depleting substances</w:t>
      </w:r>
      <w:r w:rsidR="00A228EC">
        <w:t xml:space="preserve">, the </w:t>
      </w:r>
      <w:r w:rsidR="00A228EC">
        <w:lastRenderedPageBreak/>
        <w:t>phase</w:t>
      </w:r>
      <w:r w:rsidR="00731C30">
        <w:noBreakHyphen/>
      </w:r>
      <w:r w:rsidR="00A228EC">
        <w:t>down of HFCs allows the phase</w:t>
      </w:r>
      <w:r w:rsidR="00731C30">
        <w:noBreakHyphen/>
      </w:r>
      <w:r w:rsidR="00A228EC">
        <w:t>in of lower</w:t>
      </w:r>
      <w:r w:rsidR="008D57D1">
        <w:noBreakHyphen/>
      </w:r>
      <w:r w:rsidR="00A228EC">
        <w:t>GWP HFCs</w:t>
      </w:r>
      <w:r w:rsidR="009731B4">
        <w:t>.</w:t>
      </w:r>
      <w:r w:rsidR="00CE1B53">
        <w:t xml:space="preserve"> </w:t>
      </w:r>
      <w:r w:rsidR="00DE14C5">
        <w:t xml:space="preserve">In addition, </w:t>
      </w:r>
      <w:r w:rsidR="00DE14C5" w:rsidRPr="00DE14C5">
        <w:t xml:space="preserve">while the ozone </w:t>
      </w:r>
      <w:r w:rsidR="009065BF">
        <w:t>depletion</w:t>
      </w:r>
      <w:r w:rsidR="00DE14C5" w:rsidRPr="00DE14C5">
        <w:t xml:space="preserve"> potential of the three most consumed </w:t>
      </w:r>
      <w:r w:rsidR="00B9470B">
        <w:t>HCFCs</w:t>
      </w:r>
      <w:r w:rsidR="00DE14C5" w:rsidRPr="00DE14C5">
        <w:t xml:space="preserve"> varied within a factor of 2, the range of GWP of HFCs is more than an order of magnitude</w:t>
      </w:r>
      <w:r w:rsidR="00B9470B">
        <w:t xml:space="preserve">, which </w:t>
      </w:r>
      <w:r w:rsidR="00516301">
        <w:t xml:space="preserve">means that small </w:t>
      </w:r>
      <w:r w:rsidR="00B07E93">
        <w:t>reductions in the consumption of some HFCs could more than offset large increases in consumption of other HFCs</w:t>
      </w:r>
      <w:r w:rsidR="00B7225E">
        <w:t>.</w:t>
      </w:r>
    </w:p>
    <w:p w14:paraId="04607C7D" w14:textId="1D3AF6DE" w:rsidR="00222CF5" w:rsidRDefault="003507BE" w:rsidP="00F8583B">
      <w:pPr>
        <w:pStyle w:val="Heading1"/>
      </w:pPr>
      <w:proofErr w:type="gramStart"/>
      <w:r>
        <w:t>In particular, a</w:t>
      </w:r>
      <w:proofErr w:type="gramEnd"/>
      <w:r w:rsidR="00ED0FC9">
        <w:t xml:space="preserve"> single, nationally aggregated starting point measured in metric tonnes (mt)</w:t>
      </w:r>
      <w:r w:rsidR="001D2B4D">
        <w:t xml:space="preserve"> </w:t>
      </w:r>
      <w:r w:rsidR="00E05E3C">
        <w:t>c</w:t>
      </w:r>
      <w:r w:rsidR="001D2B4D">
        <w:t xml:space="preserve">ould provide certainty in the </w:t>
      </w:r>
      <w:r w:rsidR="00ED0FC9">
        <w:t xml:space="preserve">total </w:t>
      </w:r>
      <w:r w:rsidR="00577606">
        <w:t xml:space="preserve">HFC </w:t>
      </w:r>
      <w:r w:rsidR="00ED0FC9">
        <w:t>consumption eligible for funding</w:t>
      </w:r>
      <w:r w:rsidR="00312893">
        <w:t>,</w:t>
      </w:r>
      <w:r w:rsidR="00660FCA">
        <w:t xml:space="preserve"> </w:t>
      </w:r>
      <w:r w:rsidR="00312893" w:rsidRPr="00312893">
        <w:t xml:space="preserve">noting that the levels of funding for HFC phase-down are being determined in terms of dollars per kilogram </w:t>
      </w:r>
      <w:r w:rsidR="00960859">
        <w:t xml:space="preserve">(kg) </w:t>
      </w:r>
      <w:r w:rsidR="00312893" w:rsidRPr="00312893">
        <w:t xml:space="preserve">reduced and that the reductions from the starting point </w:t>
      </w:r>
      <w:r w:rsidR="004028C2">
        <w:t>would</w:t>
      </w:r>
      <w:r w:rsidR="00312893" w:rsidRPr="00312893">
        <w:t xml:space="preserve"> also be in metric kg</w:t>
      </w:r>
      <w:r w:rsidR="00577606">
        <w:t xml:space="preserve">. However, such an approach would be inconsistent with </w:t>
      </w:r>
      <w:r w:rsidR="00242803">
        <w:t xml:space="preserve">past practice of using the same units for the starting point </w:t>
      </w:r>
      <w:r w:rsidR="005C5191">
        <w:t xml:space="preserve">for sustained aggregate reductions as used to consider compliance with the Montreal Protocol targets. Moreover, a single </w:t>
      </w:r>
      <w:r w:rsidR="00005C2E">
        <w:t>starting point in mt m</w:t>
      </w:r>
      <w:r w:rsidR="00ED0FC9">
        <w:t>ay not take into consideration the flexibility agreed in paragraph 13 of decision XXVIII/2, including that Article</w:t>
      </w:r>
      <w:r w:rsidR="00885079">
        <w:t> </w:t>
      </w:r>
      <w:r w:rsidR="00ED0FC9">
        <w:t>5 countries could meet their Montreal Protocol phase</w:t>
      </w:r>
      <w:r w:rsidR="00005C2E">
        <w:t>-</w:t>
      </w:r>
      <w:r w:rsidR="00ED0FC9">
        <w:t>down targets by phasing in lower-GWP HFCs</w:t>
      </w:r>
      <w:r w:rsidR="00266E07">
        <w:t xml:space="preserve">. This </w:t>
      </w:r>
      <w:r w:rsidR="00D41052">
        <w:t>c</w:t>
      </w:r>
      <w:r w:rsidR="00ED0FC9">
        <w:t xml:space="preserve">ould result in circumstances where </w:t>
      </w:r>
      <w:r w:rsidR="004F75F0">
        <w:t xml:space="preserve">an </w:t>
      </w:r>
      <w:proofErr w:type="gramStart"/>
      <w:r w:rsidR="00ED0FC9">
        <w:t>Article</w:t>
      </w:r>
      <w:proofErr w:type="gramEnd"/>
      <w:r w:rsidR="00ED0FC9">
        <w:t xml:space="preserve"> 5 countr</w:t>
      </w:r>
      <w:r w:rsidR="004F75F0">
        <w:t>y may</w:t>
      </w:r>
      <w:r w:rsidR="00CA45A7">
        <w:t>,</w:t>
      </w:r>
      <w:r w:rsidR="004F75F0">
        <w:t xml:space="preserve"> </w:t>
      </w:r>
      <w:r w:rsidR="00557727">
        <w:t xml:space="preserve">in subsequent stages of its Kigali HFC </w:t>
      </w:r>
      <w:r w:rsidR="00CF6828">
        <w:t>i</w:t>
      </w:r>
      <w:r w:rsidR="00557727">
        <w:t xml:space="preserve">mplementation </w:t>
      </w:r>
      <w:r w:rsidR="00CF6828">
        <w:t>p</w:t>
      </w:r>
      <w:r w:rsidR="00557727">
        <w:t xml:space="preserve">lan </w:t>
      </w:r>
      <w:r w:rsidR="00EA12A7">
        <w:t>(KIP)</w:t>
      </w:r>
      <w:r w:rsidR="00CA45A7">
        <w:t>,</w:t>
      </w:r>
      <w:r w:rsidR="00EA12A7">
        <w:t xml:space="preserve"> </w:t>
      </w:r>
      <w:r w:rsidR="00ED0FC9">
        <w:t xml:space="preserve">need to reduce </w:t>
      </w:r>
      <w:r w:rsidR="004F75F0">
        <w:t>its</w:t>
      </w:r>
      <w:r w:rsidR="00D41052">
        <w:t xml:space="preserve"> </w:t>
      </w:r>
      <w:r w:rsidR="00ED0FC9">
        <w:t>HFC consumption without assistance from the Multilateral Fund if the</w:t>
      </w:r>
      <w:r w:rsidR="004F75F0">
        <w:t xml:space="preserve"> country had </w:t>
      </w:r>
      <w:r w:rsidR="00ED0FC9">
        <w:t>insufficient remaining HFC consumption eligible for funding.</w:t>
      </w:r>
      <w:r w:rsidR="00222CF5">
        <w:t xml:space="preserve"> </w:t>
      </w:r>
    </w:p>
    <w:p w14:paraId="66EE67FB" w14:textId="6EF0AE5F" w:rsidR="00D333D4" w:rsidRPr="002F0C3A" w:rsidRDefault="00ED0FC9">
      <w:pPr>
        <w:pStyle w:val="Heading1"/>
      </w:pPr>
      <w:r>
        <w:t xml:space="preserve">A single, nationally aggregated starting point measured in </w:t>
      </w:r>
      <w:r w:rsidR="0056310D" w:rsidRPr="0056310D">
        <w:t xml:space="preserve">carbon dioxide equivalent </w:t>
      </w:r>
      <w:r>
        <w:t>(CO</w:t>
      </w:r>
      <w:r w:rsidRPr="00222CF5">
        <w:rPr>
          <w:vertAlign w:val="subscript"/>
        </w:rPr>
        <w:t>2</w:t>
      </w:r>
      <w:r w:rsidR="002B18D7">
        <w:t>-eq</w:t>
      </w:r>
      <w:r w:rsidR="00B4445D">
        <w:t>)</w:t>
      </w:r>
      <w:r w:rsidR="002B18D7">
        <w:t xml:space="preserve"> tonnes</w:t>
      </w:r>
      <w:r w:rsidR="00F8583B">
        <w:t xml:space="preserve"> is consistent with past practice of using the same units for the starting point as used to consider compliance with the Montreal Protocol </w:t>
      </w:r>
      <w:r w:rsidR="00B81770">
        <w:t>targets and</w:t>
      </w:r>
      <w:r w:rsidR="00F21CA5">
        <w:t xml:space="preserve"> would provide </w:t>
      </w:r>
      <w:r>
        <w:t xml:space="preserve">Article 5 countries with flexibility in implementing their HFC phase-down, </w:t>
      </w:r>
      <w:r w:rsidRPr="00765329">
        <w:t>including the adoption of lower-GWP HFCs</w:t>
      </w:r>
      <w:r w:rsidR="00F21CA5">
        <w:t xml:space="preserve">. </w:t>
      </w:r>
      <w:r w:rsidR="00271B7F">
        <w:t>However, for non-low-volume</w:t>
      </w:r>
      <w:r w:rsidR="0037466B">
        <w:noBreakHyphen/>
      </w:r>
      <w:r w:rsidR="00271B7F">
        <w:t xml:space="preserve">consuming </w:t>
      </w:r>
      <w:r w:rsidR="004031FC">
        <w:t xml:space="preserve">(non-LVC) </w:t>
      </w:r>
      <w:r w:rsidR="00271B7F">
        <w:t>countries</w:t>
      </w:r>
      <w:r w:rsidR="006501C5">
        <w:t xml:space="preserve">, </w:t>
      </w:r>
      <w:r>
        <w:t>the total consumption eligible for funding would be uncertain</w:t>
      </w:r>
      <w:r w:rsidR="00027B20">
        <w:t xml:space="preserve"> </w:t>
      </w:r>
      <w:r w:rsidR="00952CC8">
        <w:t xml:space="preserve">during implementation </w:t>
      </w:r>
      <w:r w:rsidR="00027B20">
        <w:t xml:space="preserve">as </w:t>
      </w:r>
      <w:r w:rsidR="005A04CD" w:rsidRPr="00CC36F5">
        <w:t xml:space="preserve">the reductions from the starting point </w:t>
      </w:r>
      <w:r w:rsidR="005A04CD">
        <w:t>would</w:t>
      </w:r>
      <w:r w:rsidR="005A04CD" w:rsidRPr="00CC36F5">
        <w:t xml:space="preserve"> be in </w:t>
      </w:r>
      <w:r w:rsidR="00B4445D">
        <w:t>CO</w:t>
      </w:r>
      <w:r w:rsidR="00B4445D" w:rsidRPr="00B4445D">
        <w:rPr>
          <w:vertAlign w:val="subscript"/>
        </w:rPr>
        <w:t>2</w:t>
      </w:r>
      <w:r w:rsidR="00B4445D">
        <w:t>-eq tonnes</w:t>
      </w:r>
      <w:r w:rsidR="00075D20">
        <w:t xml:space="preserve">, but </w:t>
      </w:r>
      <w:r w:rsidR="005A04CD">
        <w:t>such reductions could include increased consumption of lower</w:t>
      </w:r>
      <w:r w:rsidR="00C7161D">
        <w:noBreakHyphen/>
      </w:r>
      <w:r w:rsidR="005A04CD">
        <w:t>GWP HFCs in mt</w:t>
      </w:r>
      <w:r w:rsidR="00075D20">
        <w:t xml:space="preserve"> and </w:t>
      </w:r>
      <w:r w:rsidR="00CC36F5" w:rsidRPr="00CC36F5">
        <w:t xml:space="preserve">the levels of funding for </w:t>
      </w:r>
      <w:r w:rsidR="00CC36F5" w:rsidRPr="002F0C3A">
        <w:t>HFC phase-down are being determined in terms</w:t>
      </w:r>
      <w:r w:rsidR="00CC36F5" w:rsidRPr="00CC36F5">
        <w:t xml:space="preserve"> of dollars per k</w:t>
      </w:r>
      <w:r w:rsidR="005C0495">
        <w:t>g</w:t>
      </w:r>
      <w:r w:rsidR="00CC36F5" w:rsidRPr="00CC36F5">
        <w:t xml:space="preserve"> reduced</w:t>
      </w:r>
      <w:r w:rsidR="00601026" w:rsidRPr="009A7473">
        <w:t>, leading to a lack of predictability of long-term funding needs</w:t>
      </w:r>
      <w:r>
        <w:t xml:space="preserve">. </w:t>
      </w:r>
      <w:r w:rsidR="00601026">
        <w:t>In addition</w:t>
      </w:r>
      <w:r w:rsidR="00A0627A">
        <w:t xml:space="preserve">, </w:t>
      </w:r>
      <w:r>
        <w:t xml:space="preserve">the same Article 5 country would receive </w:t>
      </w:r>
      <w:r w:rsidR="00F236FB">
        <w:t xml:space="preserve">less </w:t>
      </w:r>
      <w:r>
        <w:t xml:space="preserve">funding to meet its compliance obligations by </w:t>
      </w:r>
      <w:r w:rsidR="00E56B92">
        <w:t xml:space="preserve">reducing its consumption of HFCs than by </w:t>
      </w:r>
      <w:r>
        <w:t xml:space="preserve">phasing in lower-GWP HFCs, potentially </w:t>
      </w:r>
      <w:r w:rsidR="00F65D26">
        <w:t xml:space="preserve">providing an </w:t>
      </w:r>
      <w:r w:rsidR="000D0BE8">
        <w:t xml:space="preserve">unintended </w:t>
      </w:r>
      <w:r w:rsidR="00F65D26">
        <w:t xml:space="preserve">incentive for </w:t>
      </w:r>
      <w:r w:rsidR="00B80118">
        <w:t>the phase-in of lower-GWP HFCs</w:t>
      </w:r>
      <w:r>
        <w:t>.</w:t>
      </w:r>
      <w:r w:rsidR="00B51872">
        <w:t xml:space="preserve"> </w:t>
      </w:r>
      <w:r w:rsidR="00A15453">
        <w:t>Moreover, f</w:t>
      </w:r>
      <w:r>
        <w:t>or Article</w:t>
      </w:r>
      <w:r w:rsidR="0042507D">
        <w:t> </w:t>
      </w:r>
      <w:r>
        <w:t xml:space="preserve">5 countries with HFC consumption in </w:t>
      </w:r>
      <w:r w:rsidR="00A15453">
        <w:t xml:space="preserve">both </w:t>
      </w:r>
      <w:r>
        <w:t xml:space="preserve">the manufacturing </w:t>
      </w:r>
      <w:r w:rsidR="00A15453">
        <w:t xml:space="preserve">and servicing </w:t>
      </w:r>
      <w:r>
        <w:t>sector</w:t>
      </w:r>
      <w:r w:rsidR="00A15453">
        <w:t>s</w:t>
      </w:r>
      <w:r>
        <w:t>, there is a risk that consumption at ineligible manufacturing enterprises (e.g., non</w:t>
      </w:r>
      <w:r w:rsidR="001F090B">
        <w:noBreakHyphen/>
      </w:r>
      <w:r>
        <w:t>Article</w:t>
      </w:r>
      <w:r w:rsidR="001F090B">
        <w:noBreakHyphen/>
      </w:r>
      <w:r>
        <w:t>5-owned, established after the cut</w:t>
      </w:r>
      <w:r w:rsidR="008D5B92">
        <w:noBreakHyphen/>
      </w:r>
      <w:r>
        <w:t>off date) and ineligible consumption (e.g., due to exports to non-Article</w:t>
      </w:r>
      <w:r w:rsidR="001F090B">
        <w:noBreakHyphen/>
      </w:r>
      <w:r>
        <w:t xml:space="preserve">5 countries) would be </w:t>
      </w:r>
      <w:r w:rsidR="00783031">
        <w:t>“</w:t>
      </w:r>
      <w:r>
        <w:t>transferred</w:t>
      </w:r>
      <w:r w:rsidR="00783031">
        <w:t>”</w:t>
      </w:r>
      <w:r>
        <w:t xml:space="preserve"> to the servicing sector, undermining the sustainability of the phase-down achieved in the servicing sector</w:t>
      </w:r>
      <w:r w:rsidR="00453C4B">
        <w:t xml:space="preserve"> as </w:t>
      </w:r>
      <w:r w:rsidR="00585347">
        <w:t xml:space="preserve">such </w:t>
      </w:r>
      <w:r w:rsidR="00453C4B">
        <w:t>increase</w:t>
      </w:r>
      <w:r w:rsidR="00ED12C4">
        <w:t>d</w:t>
      </w:r>
      <w:r w:rsidR="00453C4B">
        <w:t xml:space="preserve"> consumption could </w:t>
      </w:r>
      <w:r w:rsidR="00585347">
        <w:t xml:space="preserve">again be funded </w:t>
      </w:r>
      <w:r w:rsidR="00095676">
        <w:t>under the country’s</w:t>
      </w:r>
      <w:r w:rsidR="00585347">
        <w:t xml:space="preserve"> phase-down</w:t>
      </w:r>
      <w:r>
        <w:t xml:space="preserve">. </w:t>
      </w:r>
      <w:r w:rsidR="00DF08F6" w:rsidRPr="002F0C3A">
        <w:t xml:space="preserve">These issues are addressed in the mechanism described in paragraphs </w:t>
      </w:r>
      <w:r w:rsidR="00612C9B" w:rsidRPr="002F0C3A">
        <w:t>8</w:t>
      </w:r>
      <w:r w:rsidR="009844CC" w:rsidRPr="002F0C3A">
        <w:t xml:space="preserve"> to </w:t>
      </w:r>
      <w:r w:rsidR="00DF08F6" w:rsidRPr="002F0C3A">
        <w:t>1</w:t>
      </w:r>
      <w:r w:rsidR="00612C9B" w:rsidRPr="002F0C3A">
        <w:t>5</w:t>
      </w:r>
      <w:r w:rsidR="00DF08F6" w:rsidRPr="002F0C3A">
        <w:t xml:space="preserve"> below.</w:t>
      </w:r>
    </w:p>
    <w:p w14:paraId="4FBB84E7" w14:textId="23520545" w:rsidR="004719E0" w:rsidRPr="00453651" w:rsidRDefault="004D5FA5" w:rsidP="004719E0">
      <w:pPr>
        <w:rPr>
          <w:b/>
          <w:bCs/>
        </w:rPr>
      </w:pPr>
      <w:r>
        <w:rPr>
          <w:b/>
          <w:bCs/>
        </w:rPr>
        <w:t>Analysis</w:t>
      </w:r>
    </w:p>
    <w:p w14:paraId="4ED60840" w14:textId="77777777" w:rsidR="004719E0" w:rsidRPr="004719E0" w:rsidRDefault="004719E0" w:rsidP="00453651"/>
    <w:p w14:paraId="41D27A84" w14:textId="0EB7DF2D" w:rsidR="005F0307" w:rsidRDefault="00A97973" w:rsidP="005631DA">
      <w:pPr>
        <w:pStyle w:val="Heading1"/>
      </w:pPr>
      <w:r w:rsidRPr="002F0C3A">
        <w:t>Different approaches can be used to address t</w:t>
      </w:r>
      <w:r w:rsidR="004719E0" w:rsidRPr="002F0C3A">
        <w:t>he</w:t>
      </w:r>
      <w:r w:rsidR="00826777" w:rsidRPr="002F0C3A">
        <w:t xml:space="preserve"> issues </w:t>
      </w:r>
      <w:r w:rsidR="009844CC" w:rsidRPr="002F0C3A">
        <w:t xml:space="preserve">identified in paragraphs 3 to 5 and </w:t>
      </w:r>
      <w:r w:rsidR="00826777" w:rsidRPr="002F0C3A">
        <w:t>raised at</w:t>
      </w:r>
      <w:r w:rsidR="00826777">
        <w:t xml:space="preserve"> the 91</w:t>
      </w:r>
      <w:r w:rsidR="00826777" w:rsidRPr="00453651">
        <w:rPr>
          <w:vertAlign w:val="superscript"/>
        </w:rPr>
        <w:t>st</w:t>
      </w:r>
      <w:r w:rsidR="00826777">
        <w:t xml:space="preserve"> meeting</w:t>
      </w:r>
      <w:r>
        <w:t xml:space="preserve">. </w:t>
      </w:r>
      <w:r w:rsidR="00BA24C2">
        <w:t xml:space="preserve">The Executive Committee may decide to </w:t>
      </w:r>
      <w:r>
        <w:t xml:space="preserve">define </w:t>
      </w:r>
      <w:r w:rsidR="00B1445D">
        <w:t xml:space="preserve">the starting point </w:t>
      </w:r>
      <w:r w:rsidR="005117F7">
        <w:t xml:space="preserve">as </w:t>
      </w:r>
      <w:r w:rsidR="007A5141">
        <w:t>the HFC baseline</w:t>
      </w:r>
      <w:r w:rsidR="00E65A92">
        <w:t xml:space="preserve"> for consumption</w:t>
      </w:r>
      <w:r w:rsidR="00A95D18">
        <w:t xml:space="preserve"> or less</w:t>
      </w:r>
      <w:r w:rsidR="00C01AF1">
        <w:t xml:space="preserve">, with the starting point </w:t>
      </w:r>
      <w:r w:rsidR="00E65A92">
        <w:t xml:space="preserve">measured in </w:t>
      </w:r>
      <w:r w:rsidR="00B4445D">
        <w:t>CO</w:t>
      </w:r>
      <w:r w:rsidR="00B4445D" w:rsidRPr="00B4445D">
        <w:rPr>
          <w:vertAlign w:val="subscript"/>
        </w:rPr>
        <w:t>2</w:t>
      </w:r>
      <w:r w:rsidR="00B4445D">
        <w:t>-eq</w:t>
      </w:r>
      <w:r w:rsidR="00B4445D">
        <w:rPr>
          <w:rStyle w:val="CommentReference"/>
        </w:rPr>
        <w:t xml:space="preserve"> </w:t>
      </w:r>
      <w:r w:rsidR="00174900">
        <w:t>tonnes a</w:t>
      </w:r>
      <w:r w:rsidR="001D1197">
        <w:t xml:space="preserve">nd </w:t>
      </w:r>
      <w:r w:rsidR="00B24C14">
        <w:t>with r</w:t>
      </w:r>
      <w:r w:rsidR="00E65A92">
        <w:t xml:space="preserve">eductions from a country’s remaining consumption eligible for funding calculated in </w:t>
      </w:r>
      <w:r w:rsidR="00B4445D">
        <w:t>CO</w:t>
      </w:r>
      <w:r w:rsidR="00B4445D" w:rsidRPr="00B4445D">
        <w:rPr>
          <w:vertAlign w:val="subscript"/>
        </w:rPr>
        <w:t>2</w:t>
      </w:r>
      <w:r w:rsidR="00B4445D">
        <w:t>-eq</w:t>
      </w:r>
      <w:r w:rsidR="00E23696">
        <w:t xml:space="preserve"> tonnes</w:t>
      </w:r>
      <w:r w:rsidR="00790A2D">
        <w:t>, on the understanding that</w:t>
      </w:r>
      <w:r w:rsidR="00137EB3">
        <w:t>:</w:t>
      </w:r>
      <w:r w:rsidR="00790A2D">
        <w:t xml:space="preserve"> </w:t>
      </w:r>
    </w:p>
    <w:p w14:paraId="1CBD4F7C" w14:textId="3824ED22" w:rsidR="001C1C5C" w:rsidRDefault="00335E80" w:rsidP="005F0307">
      <w:pPr>
        <w:pStyle w:val="Heading2"/>
      </w:pPr>
      <w:r>
        <w:t xml:space="preserve">The conversion of </w:t>
      </w:r>
      <w:r w:rsidR="00DB2C3D">
        <w:t>enterprises that f</w:t>
      </w:r>
      <w:r w:rsidR="00615156">
        <w:t>a</w:t>
      </w:r>
      <w:r w:rsidR="00DB2C3D">
        <w:t>ll within the meaning of paragraph 18(e) of decision</w:t>
      </w:r>
      <w:r w:rsidR="00851C44">
        <w:t> </w:t>
      </w:r>
      <w:r w:rsidR="00DB2C3D">
        <w:t>XXVIII/2</w:t>
      </w:r>
      <w:r w:rsidR="005631DA">
        <w:t xml:space="preserve"> would be eligible for funding </w:t>
      </w:r>
      <w:r w:rsidR="00337A51" w:rsidRPr="00337A51">
        <w:t xml:space="preserve">if necessary to meet the final </w:t>
      </w:r>
      <w:r w:rsidR="00851C44">
        <w:t>HFC</w:t>
      </w:r>
      <w:r w:rsidR="00337A51" w:rsidRPr="00337A51">
        <w:t xml:space="preserve"> phase</w:t>
      </w:r>
      <w:r w:rsidR="00851C44">
        <w:noBreakHyphen/>
      </w:r>
      <w:r w:rsidR="00337A51" w:rsidRPr="00337A51">
        <w:t>down step</w:t>
      </w:r>
      <w:r w:rsidR="005500B8">
        <w:t xml:space="preserve"> irrespective of whether the country concerned has </w:t>
      </w:r>
      <w:r w:rsidR="008B66B3">
        <w:t xml:space="preserve">sufficient </w:t>
      </w:r>
      <w:r w:rsidR="005500B8">
        <w:t>remaining consumption eligible for funding</w:t>
      </w:r>
      <w:r w:rsidR="008B66B3">
        <w:t xml:space="preserve"> for the conversion</w:t>
      </w:r>
      <w:r w:rsidR="005500B8">
        <w:t xml:space="preserve">, </w:t>
      </w:r>
      <w:proofErr w:type="gramStart"/>
      <w:r w:rsidR="005500B8">
        <w:t>as long as</w:t>
      </w:r>
      <w:proofErr w:type="gramEnd"/>
      <w:r w:rsidR="005500B8">
        <w:t xml:space="preserve"> such enterprises meet all other </w:t>
      </w:r>
      <w:r w:rsidR="00F50B3B">
        <w:t>agreed eligibility requirements</w:t>
      </w:r>
      <w:r w:rsidR="003179BC">
        <w:t xml:space="preserve"> (e.g., non-Article</w:t>
      </w:r>
      <w:r w:rsidR="000400B0">
        <w:noBreakHyphen/>
      </w:r>
      <w:r w:rsidR="003179BC">
        <w:t>5 ownership, exports to non</w:t>
      </w:r>
      <w:r w:rsidR="00C76BA1">
        <w:noBreakHyphen/>
      </w:r>
      <w:r w:rsidR="003179BC">
        <w:t>Article</w:t>
      </w:r>
      <w:r w:rsidR="000400B0">
        <w:noBreakHyphen/>
      </w:r>
      <w:r w:rsidR="003179BC">
        <w:t>5 countries, etc.)</w:t>
      </w:r>
      <w:r w:rsidR="00F50B3B">
        <w:t xml:space="preserve">, including those specified in </w:t>
      </w:r>
      <w:r w:rsidR="003179BC">
        <w:t>paragraph 18(e)</w:t>
      </w:r>
      <w:r w:rsidR="00AF73A4">
        <w:t xml:space="preserve">; and </w:t>
      </w:r>
    </w:p>
    <w:p w14:paraId="4B7B87F9" w14:textId="23DF9DE2" w:rsidR="00630212" w:rsidRPr="00630212" w:rsidRDefault="002059C9" w:rsidP="00453651">
      <w:pPr>
        <w:pStyle w:val="Heading2"/>
      </w:pPr>
      <w:r>
        <w:t>The</w:t>
      </w:r>
      <w:r w:rsidR="006B1A4E">
        <w:t xml:space="preserve"> </w:t>
      </w:r>
      <w:r w:rsidR="00396493">
        <w:t xml:space="preserve">mechanism proposed below </w:t>
      </w:r>
      <w:r w:rsidR="005C5B8E">
        <w:t xml:space="preserve">in paragraphs </w:t>
      </w:r>
      <w:r w:rsidR="0037421E">
        <w:t>8-</w:t>
      </w:r>
      <w:r w:rsidR="001B37A3">
        <w:t>15</w:t>
      </w:r>
      <w:r w:rsidR="005C5B8E">
        <w:t xml:space="preserve"> </w:t>
      </w:r>
      <w:r w:rsidR="00396493">
        <w:t>to take a</w:t>
      </w:r>
      <w:r w:rsidR="00396493" w:rsidRPr="006063EC">
        <w:t>ccount</w:t>
      </w:r>
      <w:r w:rsidR="00516C80">
        <w:t xml:space="preserve"> of</w:t>
      </w:r>
      <w:r w:rsidR="00396493" w:rsidRPr="006063EC">
        <w:t xml:space="preserve"> the replacement of high-GWP by lower</w:t>
      </w:r>
      <w:r w:rsidR="00E80391">
        <w:noBreakHyphen/>
      </w:r>
      <w:r w:rsidR="00396493" w:rsidRPr="006063EC">
        <w:t>GWP HFC alternatives</w:t>
      </w:r>
      <w:r w:rsidR="006B1A4E">
        <w:t xml:space="preserve"> would be implemented</w:t>
      </w:r>
      <w:r>
        <w:t>.</w:t>
      </w:r>
      <w:r w:rsidR="001C1C5C">
        <w:t xml:space="preserve"> </w:t>
      </w:r>
    </w:p>
    <w:p w14:paraId="23668C74" w14:textId="1449895C" w:rsidR="00A11CE0" w:rsidRPr="005F4346" w:rsidRDefault="00A11CE0" w:rsidP="00A11CE0">
      <w:pPr>
        <w:pStyle w:val="Heading1"/>
      </w:pPr>
      <w:r w:rsidRPr="005F4346">
        <w:lastRenderedPageBreak/>
        <w:t>In determining an appropriate level for the starting point, the Executive Committee may wish to consider that the HFC control schedule is a phase-down and not a phase-out, and that the final phase-down “tail” differs between group 1 and group 2 countries.</w:t>
      </w:r>
      <w:r w:rsidRPr="005F4346">
        <w:rPr>
          <w:rStyle w:val="FootnoteReference"/>
        </w:rPr>
        <w:footnoteReference w:id="5"/>
      </w:r>
      <w:r w:rsidRPr="005F4346">
        <w:t xml:space="preserve"> Article 5 countries do not have an obligation to phase</w:t>
      </w:r>
      <w:r w:rsidR="002026A9" w:rsidRPr="005F4346">
        <w:noBreakHyphen/>
      </w:r>
      <w:r w:rsidRPr="005F4346">
        <w:t>out their consumption in that final phase-down “tail;</w:t>
      </w:r>
      <w:r w:rsidR="005408BA">
        <w:t>”</w:t>
      </w:r>
      <w:r w:rsidRPr="005F4346">
        <w:t xml:space="preserve"> accordingly, assistance from the Multilateral Fund </w:t>
      </w:r>
      <w:r w:rsidR="00314EC3">
        <w:t>may</w:t>
      </w:r>
      <w:r w:rsidR="00314EC3" w:rsidRPr="005F4346">
        <w:t xml:space="preserve"> </w:t>
      </w:r>
      <w:r w:rsidRPr="005F4346">
        <w:t xml:space="preserve">not be required to </w:t>
      </w:r>
      <w:r w:rsidR="005408BA">
        <w:t>phase out</w:t>
      </w:r>
      <w:r w:rsidRPr="005F4346">
        <w:t xml:space="preserve"> that consumption.</w:t>
      </w:r>
    </w:p>
    <w:p w14:paraId="315D2740" w14:textId="699C11DF" w:rsidR="00ED0FC9" w:rsidRPr="00453651" w:rsidRDefault="00ED0FC9" w:rsidP="004F5843">
      <w:pPr>
        <w:keepNext/>
        <w:rPr>
          <w:u w:val="single"/>
        </w:rPr>
      </w:pPr>
      <w:r w:rsidRPr="00453651">
        <w:rPr>
          <w:u w:val="single"/>
        </w:rPr>
        <w:t xml:space="preserve">Possible mechanism to take account of the replacement of high-GWP by lower-GWP HFC </w:t>
      </w:r>
      <w:proofErr w:type="gramStart"/>
      <w:r w:rsidRPr="00453651">
        <w:rPr>
          <w:u w:val="single"/>
        </w:rPr>
        <w:t>alternatives</w:t>
      </w:r>
      <w:proofErr w:type="gramEnd"/>
    </w:p>
    <w:p w14:paraId="5DB79D96" w14:textId="77777777" w:rsidR="00ED0FC9" w:rsidRDefault="00ED0FC9" w:rsidP="00ED0FC9">
      <w:pPr>
        <w:rPr>
          <w:b/>
          <w:bCs/>
        </w:rPr>
      </w:pPr>
    </w:p>
    <w:p w14:paraId="1607C550" w14:textId="535C33AA" w:rsidR="00C534F2" w:rsidRPr="00EB33D0" w:rsidRDefault="00C534F2" w:rsidP="00C534F2">
      <w:pPr>
        <w:rPr>
          <w:i/>
          <w:iCs/>
        </w:rPr>
      </w:pPr>
      <w:r w:rsidRPr="00EB33D0">
        <w:rPr>
          <w:i/>
          <w:iCs/>
        </w:rPr>
        <w:t>Non-LVC</w:t>
      </w:r>
      <w:r w:rsidR="000503D6">
        <w:rPr>
          <w:i/>
          <w:iCs/>
        </w:rPr>
        <w:t xml:space="preserve"> countrie</w:t>
      </w:r>
      <w:r w:rsidRPr="00EB33D0">
        <w:rPr>
          <w:i/>
          <w:iCs/>
        </w:rPr>
        <w:t>s with consumption in the servicing sector only</w:t>
      </w:r>
    </w:p>
    <w:p w14:paraId="21D250A6" w14:textId="77777777" w:rsidR="00C534F2" w:rsidRPr="00C534F2" w:rsidRDefault="00C534F2" w:rsidP="00C534F2"/>
    <w:p w14:paraId="68633311" w14:textId="72F095B4" w:rsidR="007F188E" w:rsidRDefault="007F188E" w:rsidP="007F188E">
      <w:pPr>
        <w:pStyle w:val="Heading1"/>
      </w:pPr>
      <w:r>
        <w:t>For non-LVC</w:t>
      </w:r>
      <w:r w:rsidR="000503D6">
        <w:t xml:space="preserve"> countrie</w:t>
      </w:r>
      <w:r>
        <w:t>s with consumption in the servicing sector only, the following mechanism could be used to take account of the replacement of high-GWP by lower-GWP HFC alternatives:</w:t>
      </w:r>
    </w:p>
    <w:p w14:paraId="1F34FF65" w14:textId="0BDBCECB" w:rsidR="007F188E" w:rsidRPr="002B4226" w:rsidRDefault="002A3A9F">
      <w:pPr>
        <w:pStyle w:val="Heading2"/>
      </w:pPr>
      <w:r>
        <w:t>T</w:t>
      </w:r>
      <w:r w:rsidR="007F188E">
        <w:t xml:space="preserve">he agreed cost-effectiveness </w:t>
      </w:r>
      <w:r>
        <w:t xml:space="preserve">for </w:t>
      </w:r>
      <w:r w:rsidR="00202FAB">
        <w:t xml:space="preserve">the servicing sector would be converted from </w:t>
      </w:r>
      <w:r w:rsidR="007F188E">
        <w:t>US $/kg to US $/</w:t>
      </w:r>
      <w:r w:rsidR="00E23696">
        <w:t>CO</w:t>
      </w:r>
      <w:r w:rsidR="00E23696" w:rsidRPr="00B4445D">
        <w:rPr>
          <w:vertAlign w:val="subscript"/>
        </w:rPr>
        <w:t>2</w:t>
      </w:r>
      <w:r w:rsidR="00E23696">
        <w:t>-eq tonne</w:t>
      </w:r>
      <w:r w:rsidR="007F188E">
        <w:t xml:space="preserve"> based on the country’s HFC consumption in the baseline years</w:t>
      </w:r>
      <w:r w:rsidR="002B311B">
        <w:t xml:space="preserve">. </w:t>
      </w:r>
      <w:r w:rsidR="002B311B" w:rsidRPr="002B4226">
        <w:t>See Annex</w:t>
      </w:r>
      <w:r w:rsidR="00767B31" w:rsidRPr="002B4226">
        <w:t> </w:t>
      </w:r>
      <w:r w:rsidR="002B311B" w:rsidRPr="002B4226">
        <w:t>I for the step-by-step process used for this conversion</w:t>
      </w:r>
      <w:r w:rsidR="00202FAB" w:rsidRPr="002B4226">
        <w:t xml:space="preserve">; </w:t>
      </w:r>
      <w:r w:rsidR="00441B18" w:rsidRPr="002B4226">
        <w:t>and</w:t>
      </w:r>
    </w:p>
    <w:p w14:paraId="4F368E99" w14:textId="0A98FB38" w:rsidR="007F188E" w:rsidRDefault="007F188E" w:rsidP="003E1C7C">
      <w:pPr>
        <w:pStyle w:val="Heading2"/>
      </w:pPr>
      <w:r>
        <w:t xml:space="preserve">Reductions from the </w:t>
      </w:r>
      <w:r w:rsidR="005C2A64">
        <w:t xml:space="preserve">country’s </w:t>
      </w:r>
      <w:r w:rsidR="00071F61">
        <w:t>remaining consumption eligible for funding</w:t>
      </w:r>
      <w:r>
        <w:t xml:space="preserve"> are accounted for in </w:t>
      </w:r>
      <w:r w:rsidR="00E23696">
        <w:t>CO</w:t>
      </w:r>
      <w:r w:rsidR="00E23696" w:rsidRPr="00B4445D">
        <w:rPr>
          <w:vertAlign w:val="subscript"/>
        </w:rPr>
        <w:t>2</w:t>
      </w:r>
      <w:r w:rsidR="00E23696">
        <w:t>-eq tonnes</w:t>
      </w:r>
      <w:r>
        <w:t>, with funding determined based on the product of those reductions and the calculated cost-effectiveness in US $/</w:t>
      </w:r>
      <w:r w:rsidR="00E23696">
        <w:t>CO</w:t>
      </w:r>
      <w:r w:rsidR="00E23696" w:rsidRPr="00B4445D">
        <w:rPr>
          <w:vertAlign w:val="subscript"/>
        </w:rPr>
        <w:t>2</w:t>
      </w:r>
      <w:r w:rsidR="00E23696">
        <w:t>-eq tonne</w:t>
      </w:r>
      <w:r>
        <w:t xml:space="preserve"> for the country. </w:t>
      </w:r>
    </w:p>
    <w:p w14:paraId="360200B3" w14:textId="4C9342AF" w:rsidR="003E1C7C" w:rsidRDefault="004142C5">
      <w:pPr>
        <w:pStyle w:val="Heading1"/>
      </w:pPr>
      <w:r>
        <w:t xml:space="preserve">This mechanism would ensure </w:t>
      </w:r>
      <w:r w:rsidR="003C1E02">
        <w:t xml:space="preserve">(a) certainty on the </w:t>
      </w:r>
      <w:r w:rsidR="007661C4">
        <w:t>total</w:t>
      </w:r>
      <w:r w:rsidR="004179F8">
        <w:t xml:space="preserve"> </w:t>
      </w:r>
      <w:r w:rsidR="009E121D">
        <w:t xml:space="preserve">HFC </w:t>
      </w:r>
      <w:r w:rsidR="004179F8">
        <w:t xml:space="preserve">consumption </w:t>
      </w:r>
      <w:r w:rsidR="00AD7C64">
        <w:t xml:space="preserve">eligible </w:t>
      </w:r>
      <w:r w:rsidR="004179F8">
        <w:t>for funding</w:t>
      </w:r>
      <w:r w:rsidR="0097059D">
        <w:t>;</w:t>
      </w:r>
      <w:r w:rsidR="004179F8">
        <w:t xml:space="preserve"> (b)</w:t>
      </w:r>
      <w:r w:rsidR="005D5644">
        <w:t> </w:t>
      </w:r>
      <w:r w:rsidR="00F366DA">
        <w:t>the same cost effectiveness in US $/kg for all countries</w:t>
      </w:r>
      <w:r w:rsidR="00B96484">
        <w:t xml:space="preserve">, while noting that the </w:t>
      </w:r>
      <w:r w:rsidR="00F173B7">
        <w:t xml:space="preserve">cost effectiveness in </w:t>
      </w:r>
      <w:r w:rsidR="002F0332">
        <w:t>US $/CO</w:t>
      </w:r>
      <w:r w:rsidR="002F0332" w:rsidRPr="00B4445D">
        <w:rPr>
          <w:vertAlign w:val="subscript"/>
        </w:rPr>
        <w:t>2</w:t>
      </w:r>
      <w:r w:rsidR="002F0332">
        <w:t>-eq tonne</w:t>
      </w:r>
      <w:r w:rsidR="00F173B7">
        <w:t xml:space="preserve"> </w:t>
      </w:r>
      <w:r w:rsidR="00E92A26">
        <w:t>may vary across countries as it wou</w:t>
      </w:r>
      <w:r w:rsidR="00832C53">
        <w:t xml:space="preserve">ld depend on </w:t>
      </w:r>
      <w:r w:rsidR="00EB33D0">
        <w:t>the</w:t>
      </w:r>
      <w:r w:rsidR="00832C53">
        <w:t xml:space="preserve"> HFCs consumed</w:t>
      </w:r>
      <w:r w:rsidR="00EB33D0">
        <w:t xml:space="preserve"> by</w:t>
      </w:r>
      <w:r w:rsidR="00832C53">
        <w:t xml:space="preserve"> a country during the baseline years</w:t>
      </w:r>
      <w:r w:rsidR="0097059D">
        <w:t>;</w:t>
      </w:r>
      <w:r w:rsidR="00956407">
        <w:t xml:space="preserve"> and</w:t>
      </w:r>
      <w:r w:rsidR="0097059D">
        <w:t xml:space="preserve"> (c)</w:t>
      </w:r>
      <w:r w:rsidR="00956407">
        <w:t xml:space="preserve"> that </w:t>
      </w:r>
      <w:r w:rsidR="00F73FCA">
        <w:t xml:space="preserve">a </w:t>
      </w:r>
      <w:r w:rsidR="008C52F8">
        <w:t xml:space="preserve">country would receive the same funding to meet a specified reduction target </w:t>
      </w:r>
      <w:r w:rsidR="00B4445D">
        <w:t>in CO</w:t>
      </w:r>
      <w:r w:rsidR="00B4445D" w:rsidRPr="00B4445D">
        <w:rPr>
          <w:vertAlign w:val="subscript"/>
        </w:rPr>
        <w:t>2</w:t>
      </w:r>
      <w:r w:rsidR="00B4445D">
        <w:t xml:space="preserve">-eq tonnes </w:t>
      </w:r>
      <w:r w:rsidR="008C52F8">
        <w:t xml:space="preserve">irrespective of whether it did so </w:t>
      </w:r>
      <w:r w:rsidR="00C84C6B">
        <w:t>by phasing in lower</w:t>
      </w:r>
      <w:r w:rsidR="00CF006B">
        <w:noBreakHyphen/>
      </w:r>
      <w:r w:rsidR="00C84C6B">
        <w:t>GWP HFCs, by reducing its consumption of high</w:t>
      </w:r>
      <w:r w:rsidR="006F4311">
        <w:noBreakHyphen/>
      </w:r>
      <w:r w:rsidR="00C84C6B">
        <w:t xml:space="preserve">GWP HFCs, or some combination thereof. </w:t>
      </w:r>
    </w:p>
    <w:p w14:paraId="194A0083" w14:textId="593D95D8" w:rsidR="00265328" w:rsidRPr="00EB33D0" w:rsidRDefault="00265328" w:rsidP="00265328">
      <w:pPr>
        <w:rPr>
          <w:i/>
          <w:iCs/>
        </w:rPr>
      </w:pPr>
      <w:r w:rsidRPr="00EB33D0">
        <w:rPr>
          <w:i/>
          <w:iCs/>
        </w:rPr>
        <w:t>Non-LVC</w:t>
      </w:r>
      <w:r w:rsidR="000503D6">
        <w:rPr>
          <w:i/>
          <w:iCs/>
        </w:rPr>
        <w:t xml:space="preserve"> countrie</w:t>
      </w:r>
      <w:r w:rsidRPr="00EB33D0">
        <w:rPr>
          <w:i/>
          <w:iCs/>
        </w:rPr>
        <w:t xml:space="preserve">s with consumption in the servicing </w:t>
      </w:r>
      <w:r w:rsidR="00C6106E" w:rsidRPr="00EB33D0">
        <w:rPr>
          <w:i/>
          <w:iCs/>
        </w:rPr>
        <w:t xml:space="preserve">and manufacturing </w:t>
      </w:r>
      <w:r w:rsidRPr="00EB33D0">
        <w:rPr>
          <w:i/>
          <w:iCs/>
        </w:rPr>
        <w:t>sector</w:t>
      </w:r>
      <w:r w:rsidR="00C6106E" w:rsidRPr="00EB33D0">
        <w:rPr>
          <w:i/>
          <w:iCs/>
        </w:rPr>
        <w:t>s</w:t>
      </w:r>
    </w:p>
    <w:p w14:paraId="47026660" w14:textId="77777777" w:rsidR="00265328" w:rsidRPr="00C534F2" w:rsidRDefault="00265328" w:rsidP="00265328"/>
    <w:p w14:paraId="421E40F9" w14:textId="3C7D48D3" w:rsidR="00265328" w:rsidRDefault="00265328" w:rsidP="00265328">
      <w:pPr>
        <w:pStyle w:val="Heading1"/>
      </w:pPr>
      <w:r>
        <w:t>For non-LVC</w:t>
      </w:r>
      <w:r w:rsidR="000503D6">
        <w:t xml:space="preserve"> countrie</w:t>
      </w:r>
      <w:r>
        <w:t>s with consumption in both the servicing and manufacturing sectors, the following mechanism could be used to take account of the replacement of high-GWP by lower-GWP HFC alternatives:</w:t>
      </w:r>
    </w:p>
    <w:p w14:paraId="20B7014F" w14:textId="23C3AE50" w:rsidR="0041050E" w:rsidRDefault="00265328" w:rsidP="00265328">
      <w:pPr>
        <w:pStyle w:val="Heading2"/>
      </w:pPr>
      <w:r>
        <w:t>The agreed cost-effectiveness for the servicing sector would be converted from US $/kg to US $</w:t>
      </w:r>
      <w:r w:rsidR="00D96175">
        <w:t>/</w:t>
      </w:r>
      <w:r w:rsidR="00D96175" w:rsidRPr="00D96175">
        <w:t xml:space="preserve"> </w:t>
      </w:r>
      <w:r w:rsidR="00D96175">
        <w:t>CO</w:t>
      </w:r>
      <w:r w:rsidR="00D96175" w:rsidRPr="00B4445D">
        <w:rPr>
          <w:vertAlign w:val="subscript"/>
        </w:rPr>
        <w:t>2</w:t>
      </w:r>
      <w:r w:rsidR="00D96175">
        <w:t>-eq tonne</w:t>
      </w:r>
      <w:r>
        <w:t xml:space="preserve"> based on the country’s HFC consumption in the </w:t>
      </w:r>
      <w:r w:rsidR="00D90DE2">
        <w:t xml:space="preserve">servicing sector in the </w:t>
      </w:r>
      <w:r>
        <w:t>baseline years</w:t>
      </w:r>
      <w:r w:rsidR="00EB56D9">
        <w:t>, as was the case for non-LVC</w:t>
      </w:r>
      <w:r w:rsidR="000503D6">
        <w:t xml:space="preserve"> countrie</w:t>
      </w:r>
      <w:r w:rsidR="00EB56D9">
        <w:t xml:space="preserve">s with consumption in the servicing sector </w:t>
      </w:r>
      <w:proofErr w:type="gramStart"/>
      <w:r w:rsidR="00EB56D9">
        <w:t>only</w:t>
      </w:r>
      <w:r>
        <w:t>;</w:t>
      </w:r>
      <w:proofErr w:type="gramEnd"/>
    </w:p>
    <w:p w14:paraId="4D0749AF" w14:textId="1022D4F5" w:rsidR="00B509FE" w:rsidRPr="00B509FE" w:rsidRDefault="00B509FE" w:rsidP="00B509FE">
      <w:pPr>
        <w:pStyle w:val="Heading2"/>
        <w:rPr>
          <w:lang w:val="en-GB"/>
        </w:rPr>
      </w:pPr>
      <w:r w:rsidRPr="00B509FE">
        <w:rPr>
          <w:lang w:val="en-GB"/>
        </w:rPr>
        <w:t xml:space="preserve">Funding for the servicing sector would be determined by the product of the reductions in </w:t>
      </w:r>
      <w:r w:rsidR="00D96175">
        <w:t>CO</w:t>
      </w:r>
      <w:r w:rsidR="00D96175" w:rsidRPr="00B4445D">
        <w:rPr>
          <w:vertAlign w:val="subscript"/>
        </w:rPr>
        <w:t>2</w:t>
      </w:r>
      <w:r w:rsidR="00D96175">
        <w:t>-eq tonnes</w:t>
      </w:r>
      <w:r w:rsidRPr="00B509FE">
        <w:rPr>
          <w:lang w:val="en-GB"/>
        </w:rPr>
        <w:t xml:space="preserve"> to be achieved in the servicing sector and the calculated cost-effectiveness in US</w:t>
      </w:r>
      <w:r w:rsidR="0013081F">
        <w:rPr>
          <w:lang w:val="en-GB"/>
        </w:rPr>
        <w:t> </w:t>
      </w:r>
      <w:r w:rsidRPr="00B509FE">
        <w:rPr>
          <w:lang w:val="en-GB"/>
        </w:rPr>
        <w:t>$/</w:t>
      </w:r>
      <w:r w:rsidR="00D96175" w:rsidRPr="00D96175">
        <w:t xml:space="preserve"> </w:t>
      </w:r>
      <w:r w:rsidR="00D96175">
        <w:t>CO</w:t>
      </w:r>
      <w:r w:rsidR="00D96175" w:rsidRPr="00B4445D">
        <w:rPr>
          <w:vertAlign w:val="subscript"/>
        </w:rPr>
        <w:t>2</w:t>
      </w:r>
      <w:r w:rsidR="00D96175">
        <w:t>-eq tonne</w:t>
      </w:r>
      <w:r w:rsidRPr="00B509FE">
        <w:rPr>
          <w:lang w:val="en-GB"/>
        </w:rPr>
        <w:t xml:space="preserve"> for the servicing sector for the country</w:t>
      </w:r>
      <w:r w:rsidR="00A227A4">
        <w:rPr>
          <w:lang w:val="en-GB"/>
        </w:rPr>
        <w:t xml:space="preserve"> </w:t>
      </w:r>
      <w:proofErr w:type="gramStart"/>
      <w:r w:rsidR="00A227A4">
        <w:rPr>
          <w:lang w:val="en-GB"/>
        </w:rPr>
        <w:t>concerned;</w:t>
      </w:r>
      <w:proofErr w:type="gramEnd"/>
    </w:p>
    <w:p w14:paraId="2BA2A03F" w14:textId="520E239A" w:rsidR="00B509FE" w:rsidRPr="00B509FE" w:rsidRDefault="00B509FE" w:rsidP="00E81605">
      <w:pPr>
        <w:pStyle w:val="Heading2"/>
        <w:widowControl/>
        <w:rPr>
          <w:lang w:val="en-GB"/>
        </w:rPr>
      </w:pPr>
      <w:r w:rsidRPr="00B509FE">
        <w:rPr>
          <w:lang w:val="en-GB"/>
        </w:rPr>
        <w:t xml:space="preserve">Conversions in the manufacturing sector would result in reductions from the country’s remaining consumption eligible for funding in </w:t>
      </w:r>
      <w:r w:rsidR="00D96175">
        <w:t>CO</w:t>
      </w:r>
      <w:r w:rsidR="00D96175" w:rsidRPr="00B4445D">
        <w:rPr>
          <w:vertAlign w:val="subscript"/>
        </w:rPr>
        <w:t>2</w:t>
      </w:r>
      <w:r w:rsidR="00D96175">
        <w:t>-eq tonnes</w:t>
      </w:r>
      <w:r w:rsidRPr="00B509FE">
        <w:rPr>
          <w:lang w:val="en-GB"/>
        </w:rPr>
        <w:t xml:space="preserve"> based on the enterprise’s </w:t>
      </w:r>
      <w:r w:rsidRPr="00B509FE">
        <w:rPr>
          <w:lang w:val="en-GB"/>
        </w:rPr>
        <w:lastRenderedPageBreak/>
        <w:t>HFC consumption</w:t>
      </w:r>
      <w:r w:rsidR="006F5D63">
        <w:rPr>
          <w:lang w:val="en-GB"/>
        </w:rPr>
        <w:t xml:space="preserve"> (in </w:t>
      </w:r>
      <w:proofErr w:type="spellStart"/>
      <w:r w:rsidR="006F5D63">
        <w:rPr>
          <w:lang w:val="en-GB"/>
        </w:rPr>
        <w:t>mt</w:t>
      </w:r>
      <w:proofErr w:type="spellEnd"/>
      <w:r w:rsidR="006F5D63">
        <w:rPr>
          <w:lang w:val="en-GB"/>
        </w:rPr>
        <w:t xml:space="preserve"> and converted to </w:t>
      </w:r>
      <w:r w:rsidR="00D96175">
        <w:t>CO</w:t>
      </w:r>
      <w:r w:rsidR="00D96175" w:rsidRPr="00B4445D">
        <w:rPr>
          <w:vertAlign w:val="subscript"/>
        </w:rPr>
        <w:t>2</w:t>
      </w:r>
      <w:r w:rsidR="00D96175">
        <w:t>-eq tonnes</w:t>
      </w:r>
      <w:r w:rsidR="006F5D63">
        <w:t>)</w:t>
      </w:r>
      <w:r w:rsidRPr="00B509FE">
        <w:rPr>
          <w:lang w:val="en-GB"/>
        </w:rPr>
        <w:t>.</w:t>
      </w:r>
      <w:r w:rsidR="00BF4C16">
        <w:rPr>
          <w:rStyle w:val="FootnoteReference"/>
          <w:lang w:val="en-GB"/>
        </w:rPr>
        <w:footnoteReference w:id="6"/>
      </w:r>
      <w:r w:rsidRPr="00B509FE">
        <w:rPr>
          <w:lang w:val="en-GB"/>
        </w:rPr>
        <w:t xml:space="preserve"> Funding for those conversions would be determined in line with past practice</w:t>
      </w:r>
      <w:r w:rsidR="00EB33D0">
        <w:rPr>
          <w:lang w:val="en-GB"/>
        </w:rPr>
        <w:t>;</w:t>
      </w:r>
      <w:r w:rsidR="00BA1876">
        <w:rPr>
          <w:rStyle w:val="FootnoteReference"/>
          <w:lang w:val="en-GB"/>
        </w:rPr>
        <w:footnoteReference w:id="7"/>
      </w:r>
      <w:r w:rsidR="00272329">
        <w:rPr>
          <w:lang w:val="en-GB"/>
        </w:rPr>
        <w:t xml:space="preserve"> </w:t>
      </w:r>
    </w:p>
    <w:p w14:paraId="18EA4EA1" w14:textId="2454AEA5" w:rsidR="00B509FE" w:rsidRPr="00B509FE" w:rsidRDefault="00B509FE" w:rsidP="00B509FE">
      <w:pPr>
        <w:pStyle w:val="Heading2"/>
        <w:rPr>
          <w:lang w:val="en-GB"/>
        </w:rPr>
      </w:pPr>
      <w:r w:rsidRPr="00B509FE">
        <w:rPr>
          <w:lang w:val="en-GB"/>
        </w:rPr>
        <w:t xml:space="preserve">To ensure the sustainability of the reductions achieved in the servicing sector and to avoid transferring ineligible consumption from the manufacturing sector to the servicing sector, the </w:t>
      </w:r>
      <w:r w:rsidR="005E6AFD">
        <w:rPr>
          <w:lang w:val="en-GB"/>
        </w:rPr>
        <w:t xml:space="preserve">Executive Committee </w:t>
      </w:r>
      <w:r w:rsidR="00375680">
        <w:rPr>
          <w:lang w:val="en-GB"/>
        </w:rPr>
        <w:t>should consider</w:t>
      </w:r>
      <w:r w:rsidR="005E6AFD">
        <w:rPr>
          <w:lang w:val="en-GB"/>
        </w:rPr>
        <w:t xml:space="preserve"> </w:t>
      </w:r>
      <w:r w:rsidR="00C764D0">
        <w:rPr>
          <w:lang w:val="en-GB"/>
        </w:rPr>
        <w:t>the following</w:t>
      </w:r>
      <w:r w:rsidRPr="00B509FE">
        <w:rPr>
          <w:lang w:val="en-GB"/>
        </w:rPr>
        <w:t>:</w:t>
      </w:r>
    </w:p>
    <w:p w14:paraId="6FD743BD" w14:textId="1D2A45EE" w:rsidR="00B509FE" w:rsidRPr="00B509FE" w:rsidRDefault="00B509FE" w:rsidP="00B509FE">
      <w:pPr>
        <w:pStyle w:val="Heading3"/>
        <w:rPr>
          <w:lang w:val="en-GB"/>
        </w:rPr>
      </w:pPr>
      <w:r w:rsidRPr="00B509FE">
        <w:rPr>
          <w:lang w:val="en-GB"/>
        </w:rPr>
        <w:t>Consumption at ineligible manufacturing enterprises (e.g., non-Article</w:t>
      </w:r>
      <w:r w:rsidR="006012AA">
        <w:rPr>
          <w:lang w:val="en-GB"/>
        </w:rPr>
        <w:noBreakHyphen/>
      </w:r>
      <w:r w:rsidRPr="00B509FE">
        <w:rPr>
          <w:lang w:val="en-GB"/>
        </w:rPr>
        <w:t>5-owned, enterprises established after the cut-off date, etc.) and ineligible consumption (e.g., due to exports to non-Article</w:t>
      </w:r>
      <w:r w:rsidR="00F856B4">
        <w:rPr>
          <w:lang w:val="en-GB"/>
        </w:rPr>
        <w:noBreakHyphen/>
      </w:r>
      <w:r w:rsidRPr="00B509FE">
        <w:rPr>
          <w:lang w:val="en-GB"/>
        </w:rPr>
        <w:t xml:space="preserve">5 countries) </w:t>
      </w:r>
      <w:r w:rsidR="00F97C44">
        <w:rPr>
          <w:lang w:val="en-GB"/>
        </w:rPr>
        <w:t xml:space="preserve">that was included in the </w:t>
      </w:r>
      <w:r w:rsidR="00306660">
        <w:rPr>
          <w:lang w:val="en-GB"/>
        </w:rPr>
        <w:t>starting point</w:t>
      </w:r>
      <w:r w:rsidR="00F97C44">
        <w:rPr>
          <w:lang w:val="en-GB"/>
        </w:rPr>
        <w:t xml:space="preserve"> </w:t>
      </w:r>
      <w:r w:rsidRPr="00B509FE">
        <w:rPr>
          <w:lang w:val="en-GB"/>
        </w:rPr>
        <w:t xml:space="preserve">would be deducted from the country’s </w:t>
      </w:r>
      <w:r w:rsidR="002812D9">
        <w:rPr>
          <w:lang w:val="en-GB"/>
        </w:rPr>
        <w:t>remaining consumption eligible for funding</w:t>
      </w:r>
      <w:r w:rsidRPr="00B509FE">
        <w:rPr>
          <w:lang w:val="en-GB"/>
        </w:rPr>
        <w:t>. Article 5 countries and bilateral and implementing agencies would make best efforts to identify any such ineligible enterprises and ineligible consumption when the first stage of the KIP for the country was proposed, and would continue to seek to identify and report any such enterprises and consumption thereafter; and</w:t>
      </w:r>
    </w:p>
    <w:p w14:paraId="44E5AC15" w14:textId="508150C5" w:rsidR="00B509FE" w:rsidRDefault="00B509FE" w:rsidP="00B509FE">
      <w:pPr>
        <w:pStyle w:val="Heading3"/>
        <w:rPr>
          <w:lang w:val="en-GB"/>
        </w:rPr>
      </w:pPr>
      <w:r w:rsidRPr="00B509FE">
        <w:rPr>
          <w:lang w:val="en-GB"/>
        </w:rPr>
        <w:t xml:space="preserve">HFC consumption in the manufacturing sector that was </w:t>
      </w:r>
      <w:r w:rsidR="00942C67">
        <w:rPr>
          <w:lang w:val="en-GB"/>
        </w:rPr>
        <w:t xml:space="preserve">included in the </w:t>
      </w:r>
      <w:r w:rsidR="0014075F">
        <w:rPr>
          <w:lang w:val="en-GB"/>
        </w:rPr>
        <w:t xml:space="preserve">starting point </w:t>
      </w:r>
      <w:r w:rsidR="00942C67">
        <w:rPr>
          <w:lang w:val="en-GB"/>
        </w:rPr>
        <w:t xml:space="preserve">and </w:t>
      </w:r>
      <w:r w:rsidR="00E755DA">
        <w:rPr>
          <w:lang w:val="en-GB"/>
        </w:rPr>
        <w:t xml:space="preserve">that </w:t>
      </w:r>
      <w:r w:rsidR="00942C67">
        <w:rPr>
          <w:lang w:val="en-GB"/>
        </w:rPr>
        <w:t xml:space="preserve">was </w:t>
      </w:r>
      <w:r w:rsidRPr="00B509FE">
        <w:rPr>
          <w:lang w:val="en-GB"/>
        </w:rPr>
        <w:t>phased out would be deducted from the country’s remaining consumption eligible for funding irrespective of whether that phase</w:t>
      </w:r>
      <w:r w:rsidR="007B3E7F">
        <w:rPr>
          <w:lang w:val="en-GB"/>
        </w:rPr>
        <w:noBreakHyphen/>
      </w:r>
      <w:r w:rsidRPr="00B509FE">
        <w:rPr>
          <w:lang w:val="en-GB"/>
        </w:rPr>
        <w:t>out was achieved with assistance from the Multilateral Fund</w:t>
      </w:r>
      <w:r w:rsidR="00791E64">
        <w:rPr>
          <w:lang w:val="en-GB"/>
        </w:rPr>
        <w:t>.</w:t>
      </w:r>
    </w:p>
    <w:p w14:paraId="4EE9076B" w14:textId="0D66AF8B" w:rsidR="008830A2" w:rsidRPr="00453651" w:rsidRDefault="00F81DA2" w:rsidP="00453651">
      <w:pPr>
        <w:pStyle w:val="Heading1"/>
        <w:rPr>
          <w:lang w:val="en-GB"/>
        </w:rPr>
      </w:pPr>
      <w:r w:rsidRPr="00FC604B">
        <w:rPr>
          <w:lang w:val="en-GB"/>
        </w:rPr>
        <w:t xml:space="preserve">The difficulty in </w:t>
      </w:r>
      <w:r w:rsidR="007C0100" w:rsidRPr="00FC604B">
        <w:rPr>
          <w:lang w:val="en-GB"/>
        </w:rPr>
        <w:t xml:space="preserve">identifying </w:t>
      </w:r>
      <w:r w:rsidR="00EC15B9" w:rsidRPr="00FC604B">
        <w:rPr>
          <w:lang w:val="en-GB"/>
        </w:rPr>
        <w:t>ineligible enterprise</w:t>
      </w:r>
      <w:r w:rsidR="00044B39" w:rsidRPr="00FC604B">
        <w:rPr>
          <w:lang w:val="en-GB"/>
        </w:rPr>
        <w:t>s</w:t>
      </w:r>
      <w:r w:rsidR="00082E63" w:rsidRPr="00FC604B">
        <w:rPr>
          <w:lang w:val="en-GB"/>
        </w:rPr>
        <w:t>,</w:t>
      </w:r>
      <w:r w:rsidR="00EC15B9" w:rsidRPr="00FC604B">
        <w:rPr>
          <w:lang w:val="en-GB"/>
        </w:rPr>
        <w:t xml:space="preserve"> ineligible consumption, and </w:t>
      </w:r>
      <w:r w:rsidR="006B17A3" w:rsidRPr="00FC604B">
        <w:rPr>
          <w:lang w:val="en-GB"/>
        </w:rPr>
        <w:t xml:space="preserve">manufacturing </w:t>
      </w:r>
      <w:r w:rsidR="00B82AED" w:rsidRPr="00FC604B">
        <w:rPr>
          <w:lang w:val="en-GB"/>
        </w:rPr>
        <w:t>enterprises included in the starting point that had converted without assistance from the Multilateral Fund</w:t>
      </w:r>
      <w:r w:rsidR="00BD424D" w:rsidRPr="00FC604B">
        <w:rPr>
          <w:lang w:val="en-GB"/>
        </w:rPr>
        <w:t xml:space="preserve"> </w:t>
      </w:r>
      <w:r w:rsidR="00B82AED" w:rsidRPr="00FC604B">
        <w:rPr>
          <w:lang w:val="en-GB"/>
        </w:rPr>
        <w:t>will vary across countries.</w:t>
      </w:r>
      <w:r w:rsidR="00B82AED" w:rsidRPr="00453651">
        <w:rPr>
          <w:lang w:val="en-GB"/>
        </w:rPr>
        <w:t xml:space="preserve"> </w:t>
      </w:r>
      <w:r w:rsidR="00912D9D" w:rsidRPr="00453651">
        <w:rPr>
          <w:lang w:val="en-GB"/>
        </w:rPr>
        <w:t>T</w:t>
      </w:r>
      <w:r w:rsidR="007945CC" w:rsidRPr="00453651">
        <w:rPr>
          <w:lang w:val="en-GB"/>
        </w:rPr>
        <w:t xml:space="preserve">he risk that such </w:t>
      </w:r>
      <w:r w:rsidR="00281317" w:rsidRPr="00453651">
        <w:rPr>
          <w:lang w:val="en-GB"/>
        </w:rPr>
        <w:t>enterprises, consumption</w:t>
      </w:r>
      <w:r w:rsidR="009F16E6">
        <w:rPr>
          <w:lang w:val="en-GB"/>
        </w:rPr>
        <w:t>,</w:t>
      </w:r>
      <w:r w:rsidR="00281317" w:rsidRPr="00453651">
        <w:rPr>
          <w:lang w:val="en-GB"/>
        </w:rPr>
        <w:t xml:space="preserve"> and conversions would not be identified despite the best efforts of Article 5 </w:t>
      </w:r>
      <w:r w:rsidR="009305F4" w:rsidRPr="00453651">
        <w:rPr>
          <w:lang w:val="en-GB"/>
        </w:rPr>
        <w:t xml:space="preserve">countries </w:t>
      </w:r>
      <w:r w:rsidR="00281317" w:rsidRPr="00453651">
        <w:rPr>
          <w:lang w:val="en-GB"/>
        </w:rPr>
        <w:t xml:space="preserve">is smaller for countries with smaller manufacturing sectors. </w:t>
      </w:r>
      <w:r w:rsidR="00516A0C" w:rsidRPr="00453651">
        <w:rPr>
          <w:lang w:val="en-GB"/>
        </w:rPr>
        <w:t>W</w:t>
      </w:r>
      <w:r w:rsidR="0020737E" w:rsidRPr="00453651">
        <w:rPr>
          <w:lang w:val="en-GB"/>
        </w:rPr>
        <w:t xml:space="preserve">hile </w:t>
      </w:r>
      <w:r w:rsidR="00050649" w:rsidRPr="00453651">
        <w:rPr>
          <w:lang w:val="en-GB"/>
        </w:rPr>
        <w:t xml:space="preserve">Article 5 countries </w:t>
      </w:r>
      <w:r w:rsidR="0020737E" w:rsidRPr="00453651">
        <w:rPr>
          <w:lang w:val="en-GB"/>
        </w:rPr>
        <w:t xml:space="preserve">with larger manufacturing sectors will </w:t>
      </w:r>
      <w:r w:rsidR="00B759B6" w:rsidRPr="00453651">
        <w:rPr>
          <w:lang w:val="en-GB"/>
        </w:rPr>
        <w:t xml:space="preserve">be able to identify some such enterprises, consumption, and conversions, </w:t>
      </w:r>
      <w:r w:rsidR="00411FD9" w:rsidRPr="00453651">
        <w:rPr>
          <w:lang w:val="en-GB"/>
        </w:rPr>
        <w:t xml:space="preserve">particularly those associated with large enterprises, </w:t>
      </w:r>
      <w:r w:rsidR="00F64EB3" w:rsidRPr="00453651">
        <w:rPr>
          <w:lang w:val="en-GB"/>
        </w:rPr>
        <w:t xml:space="preserve">the Secretariat considers it likely that </w:t>
      </w:r>
      <w:r w:rsidR="00710836" w:rsidRPr="00453651">
        <w:rPr>
          <w:lang w:val="en-GB"/>
        </w:rPr>
        <w:t>Article 5 countries and the relevant agency will</w:t>
      </w:r>
      <w:r w:rsidR="003E7B5A">
        <w:rPr>
          <w:lang w:val="en-GB"/>
        </w:rPr>
        <w:t>,</w:t>
      </w:r>
      <w:r w:rsidR="00710836" w:rsidRPr="00453651">
        <w:rPr>
          <w:lang w:val="en-GB"/>
        </w:rPr>
        <w:t xml:space="preserve"> </w:t>
      </w:r>
      <w:r w:rsidR="00044EAE" w:rsidRPr="00453651">
        <w:rPr>
          <w:lang w:val="en-GB"/>
        </w:rPr>
        <w:t>notwithstanding best efforts</w:t>
      </w:r>
      <w:r w:rsidR="003E7B5A">
        <w:rPr>
          <w:lang w:val="en-GB"/>
        </w:rPr>
        <w:t>,</w:t>
      </w:r>
      <w:r w:rsidR="00044EAE" w:rsidRPr="00453651">
        <w:rPr>
          <w:lang w:val="en-GB"/>
        </w:rPr>
        <w:t xml:space="preserve"> </w:t>
      </w:r>
      <w:r w:rsidR="0086770D" w:rsidRPr="00453651">
        <w:rPr>
          <w:lang w:val="en-GB"/>
        </w:rPr>
        <w:t xml:space="preserve">be </w:t>
      </w:r>
      <w:r w:rsidR="00996310">
        <w:rPr>
          <w:lang w:val="en-GB"/>
        </w:rPr>
        <w:t>un</w:t>
      </w:r>
      <w:r w:rsidR="0086770D" w:rsidRPr="00453651">
        <w:rPr>
          <w:lang w:val="en-GB"/>
        </w:rPr>
        <w:t xml:space="preserve">able to identify </w:t>
      </w:r>
      <w:r w:rsidR="00044EAE" w:rsidRPr="00453651">
        <w:rPr>
          <w:lang w:val="en-GB"/>
        </w:rPr>
        <w:t xml:space="preserve">all such </w:t>
      </w:r>
      <w:r w:rsidR="00E56F86" w:rsidRPr="00453651">
        <w:rPr>
          <w:lang w:val="en-GB"/>
        </w:rPr>
        <w:t>enterprises, consumption</w:t>
      </w:r>
      <w:r w:rsidR="004453F7">
        <w:rPr>
          <w:lang w:val="en-GB"/>
        </w:rPr>
        <w:t>,</w:t>
      </w:r>
      <w:r w:rsidR="00E56F86" w:rsidRPr="00453651">
        <w:rPr>
          <w:lang w:val="en-GB"/>
        </w:rPr>
        <w:t xml:space="preserve"> and conversions</w:t>
      </w:r>
      <w:r w:rsidR="00397C91" w:rsidRPr="00453651">
        <w:rPr>
          <w:lang w:val="en-GB"/>
        </w:rPr>
        <w:t>, particularly for smaller enterprises</w:t>
      </w:r>
      <w:r w:rsidR="00E56F86" w:rsidRPr="00453651">
        <w:rPr>
          <w:lang w:val="en-GB"/>
        </w:rPr>
        <w:t xml:space="preserve">. </w:t>
      </w:r>
      <w:r w:rsidR="00085D7F" w:rsidRPr="00453651">
        <w:rPr>
          <w:lang w:val="en-GB"/>
        </w:rPr>
        <w:t xml:space="preserve">As </w:t>
      </w:r>
      <w:r w:rsidR="000F4FC4" w:rsidRPr="00453651">
        <w:rPr>
          <w:lang w:val="en-GB"/>
        </w:rPr>
        <w:t xml:space="preserve">large enterprises typically account for a larger share of a country’s consumption than smaller enterprises, </w:t>
      </w:r>
      <w:r w:rsidR="00D420DD" w:rsidRPr="00453651">
        <w:rPr>
          <w:lang w:val="en-GB"/>
        </w:rPr>
        <w:t>the risk that consumption at ineligible enterprise</w:t>
      </w:r>
      <w:r w:rsidR="007227D4" w:rsidRPr="00453651">
        <w:rPr>
          <w:lang w:val="en-GB"/>
        </w:rPr>
        <w:t>s</w:t>
      </w:r>
      <w:r w:rsidR="00D420DD" w:rsidRPr="00453651">
        <w:rPr>
          <w:lang w:val="en-GB"/>
        </w:rPr>
        <w:t>, ineligible consumption, and consumption at manufacturing enterprises</w:t>
      </w:r>
      <w:r w:rsidR="00FD2CBA">
        <w:rPr>
          <w:lang w:val="en-GB"/>
        </w:rPr>
        <w:t xml:space="preserve"> </w:t>
      </w:r>
      <w:r w:rsidR="00FD2CBA" w:rsidRPr="00F301FC">
        <w:rPr>
          <w:lang w:val="en-GB"/>
        </w:rPr>
        <w:t>that converted without assistance from the Multilateral Fund</w:t>
      </w:r>
      <w:r w:rsidR="00D420DD" w:rsidRPr="00453651">
        <w:rPr>
          <w:lang w:val="en-GB"/>
        </w:rPr>
        <w:t xml:space="preserve"> </w:t>
      </w:r>
      <w:r w:rsidR="007227D4" w:rsidRPr="00453651">
        <w:rPr>
          <w:lang w:val="en-GB"/>
        </w:rPr>
        <w:t xml:space="preserve">would be </w:t>
      </w:r>
      <w:r w:rsidR="00783031">
        <w:rPr>
          <w:lang w:val="en-GB"/>
        </w:rPr>
        <w:t>“</w:t>
      </w:r>
      <w:r w:rsidR="007227D4" w:rsidRPr="00453651">
        <w:rPr>
          <w:lang w:val="en-GB"/>
        </w:rPr>
        <w:t>transferred</w:t>
      </w:r>
      <w:r w:rsidR="00783031">
        <w:rPr>
          <w:lang w:val="en-GB"/>
        </w:rPr>
        <w:t>”</w:t>
      </w:r>
      <w:r w:rsidR="007227D4" w:rsidRPr="00453651">
        <w:rPr>
          <w:lang w:val="en-GB"/>
        </w:rPr>
        <w:t xml:space="preserve"> to the servicing sector is limited</w:t>
      </w:r>
      <w:r w:rsidR="002710F8">
        <w:rPr>
          <w:lang w:val="en-GB"/>
        </w:rPr>
        <w:t xml:space="preserve">. Furthermore, </w:t>
      </w:r>
      <w:proofErr w:type="gramStart"/>
      <w:r w:rsidR="00EC6A94">
        <w:rPr>
          <w:lang w:val="en-GB"/>
        </w:rPr>
        <w:t>past experience</w:t>
      </w:r>
      <w:proofErr w:type="gramEnd"/>
      <w:r w:rsidR="00EC6A94">
        <w:rPr>
          <w:lang w:val="en-GB"/>
        </w:rPr>
        <w:t xml:space="preserve"> in </w:t>
      </w:r>
      <w:r w:rsidR="00201032">
        <w:rPr>
          <w:lang w:val="en-GB"/>
        </w:rPr>
        <w:t xml:space="preserve">the HCFC phase-out has been </w:t>
      </w:r>
      <w:r w:rsidR="003879B1">
        <w:rPr>
          <w:lang w:val="en-GB"/>
        </w:rPr>
        <w:t xml:space="preserve">that </w:t>
      </w:r>
      <w:r w:rsidR="00201032">
        <w:rPr>
          <w:lang w:val="en-GB"/>
        </w:rPr>
        <w:t xml:space="preserve">many </w:t>
      </w:r>
      <w:r w:rsidR="00BD3F27">
        <w:rPr>
          <w:lang w:val="en-GB"/>
        </w:rPr>
        <w:t xml:space="preserve">Article 5 </w:t>
      </w:r>
      <w:r w:rsidR="00201032">
        <w:rPr>
          <w:lang w:val="en-GB"/>
        </w:rPr>
        <w:t>countries</w:t>
      </w:r>
      <w:r w:rsidR="00370E5F">
        <w:rPr>
          <w:lang w:val="en-GB"/>
        </w:rPr>
        <w:t xml:space="preserve">’ HCFC consumption has fallen more rapidly than </w:t>
      </w:r>
      <w:r w:rsidR="003879B1">
        <w:rPr>
          <w:lang w:val="en-GB"/>
        </w:rPr>
        <w:t xml:space="preserve">their remaining consumption eligible for funding. Such a </w:t>
      </w:r>
      <w:r w:rsidR="00EE07E0">
        <w:rPr>
          <w:lang w:val="en-GB"/>
        </w:rPr>
        <w:t xml:space="preserve">situation may also occur for HFCs, which would further limit the risk of </w:t>
      </w:r>
      <w:r w:rsidR="005903C1">
        <w:rPr>
          <w:lang w:val="en-GB"/>
        </w:rPr>
        <w:t xml:space="preserve">such </w:t>
      </w:r>
      <w:r w:rsidR="00783031">
        <w:rPr>
          <w:lang w:val="en-GB"/>
        </w:rPr>
        <w:t>“</w:t>
      </w:r>
      <w:r w:rsidR="005903C1">
        <w:rPr>
          <w:lang w:val="en-GB"/>
        </w:rPr>
        <w:t>transfer</w:t>
      </w:r>
      <w:r w:rsidR="007E4ABD">
        <w:rPr>
          <w:lang w:val="en-GB"/>
        </w:rPr>
        <w:t>;</w:t>
      </w:r>
      <w:r w:rsidR="00990635">
        <w:rPr>
          <w:lang w:val="en-GB"/>
        </w:rPr>
        <w:t>”</w:t>
      </w:r>
      <w:r w:rsidR="005903C1">
        <w:rPr>
          <w:lang w:val="en-GB"/>
        </w:rPr>
        <w:t xml:space="preserve"> </w:t>
      </w:r>
      <w:r w:rsidR="007E4ABD">
        <w:rPr>
          <w:lang w:val="en-GB"/>
        </w:rPr>
        <w:t xml:space="preserve">however, </w:t>
      </w:r>
      <w:r w:rsidR="005903C1">
        <w:rPr>
          <w:lang w:val="en-GB"/>
        </w:rPr>
        <w:t>the risk is n</w:t>
      </w:r>
      <w:r w:rsidR="000C5A33" w:rsidRPr="00453651">
        <w:rPr>
          <w:lang w:val="en-GB"/>
        </w:rPr>
        <w:t xml:space="preserve">ot zero. </w:t>
      </w:r>
    </w:p>
    <w:p w14:paraId="6C2284E5" w14:textId="6E27FBDE" w:rsidR="00C6106E" w:rsidRPr="00EB33D0" w:rsidRDefault="00C6106E" w:rsidP="00C6106E">
      <w:pPr>
        <w:rPr>
          <w:i/>
          <w:iCs/>
        </w:rPr>
      </w:pPr>
      <w:r w:rsidRPr="00EB33D0">
        <w:rPr>
          <w:i/>
          <w:iCs/>
        </w:rPr>
        <w:t>LVC</w:t>
      </w:r>
      <w:r w:rsidR="000503D6">
        <w:rPr>
          <w:i/>
          <w:iCs/>
        </w:rPr>
        <w:t xml:space="preserve"> countrie</w:t>
      </w:r>
      <w:r w:rsidRPr="00EB33D0">
        <w:rPr>
          <w:i/>
          <w:iCs/>
        </w:rPr>
        <w:t>s with consumption in the servicing sector only</w:t>
      </w:r>
    </w:p>
    <w:p w14:paraId="03512FE5" w14:textId="77777777" w:rsidR="00C6106E" w:rsidRDefault="00C6106E" w:rsidP="00C6106E">
      <w:pPr>
        <w:rPr>
          <w:b/>
          <w:bCs/>
        </w:rPr>
      </w:pPr>
    </w:p>
    <w:p w14:paraId="5CA70A7A" w14:textId="39F00C01" w:rsidR="00C6106E" w:rsidRDefault="00C6106E" w:rsidP="00C6106E">
      <w:pPr>
        <w:pStyle w:val="Heading1"/>
      </w:pPr>
      <w:r>
        <w:t>For HCFCs, the Executive Committee determined funding for LVC</w:t>
      </w:r>
      <w:r w:rsidR="000503D6">
        <w:t xml:space="preserve"> countrie</w:t>
      </w:r>
      <w:r>
        <w:t>s with consumption in the servicing sector only</w:t>
      </w:r>
      <w:r w:rsidR="00451A67">
        <w:t>,</w:t>
      </w:r>
      <w:r>
        <w:t xml:space="preserve"> in a different manner than for non-LVC</w:t>
      </w:r>
      <w:r w:rsidR="000503D6">
        <w:t xml:space="preserve"> countrie</w:t>
      </w:r>
      <w:r>
        <w:t xml:space="preserve">s. </w:t>
      </w:r>
      <w:proofErr w:type="gramStart"/>
      <w:r>
        <w:t>In particular, given</w:t>
      </w:r>
      <w:proofErr w:type="gramEnd"/>
      <w:r>
        <w:t xml:space="preserve"> the special conditions in LVC</w:t>
      </w:r>
      <w:r w:rsidR="000503D6">
        <w:t xml:space="preserve"> countrie</w:t>
      </w:r>
      <w:r>
        <w:t>s, funding was agreed at a higher level than for non-LVC</w:t>
      </w:r>
      <w:r w:rsidR="000503D6">
        <w:t xml:space="preserve"> countrie</w:t>
      </w:r>
      <w:r>
        <w:t>s and was determined based on the target to be met by the Article 5 country concerned and the country’s HCFC consumption in the servicing sector in the baseline years, in line with the tables in decision</w:t>
      </w:r>
      <w:r w:rsidR="00454923">
        <w:t> </w:t>
      </w:r>
      <w:r>
        <w:t>60/44(f)(xii) and decision</w:t>
      </w:r>
      <w:r w:rsidR="00454923">
        <w:t> </w:t>
      </w:r>
      <w:r>
        <w:t>74/50(c)(xii). Except in those cases where the starting point was subsequently adjusted by the Executive Committee, the country’s starting point was not relevant in determining funding for LVC</w:t>
      </w:r>
      <w:r w:rsidR="000503D6">
        <w:t xml:space="preserve"> countrie</w:t>
      </w:r>
      <w:r>
        <w:t>s with consumption in the servicing sector only. This simplified approach provided LVC</w:t>
      </w:r>
      <w:r w:rsidR="000503D6">
        <w:t xml:space="preserve"> countrie</w:t>
      </w:r>
      <w:r>
        <w:t xml:space="preserve">s with additional flexibility and allowed the Executive Committee to continue to provide the agreed levels of </w:t>
      </w:r>
      <w:r>
        <w:lastRenderedPageBreak/>
        <w:t xml:space="preserve">funding </w:t>
      </w:r>
      <w:r w:rsidRPr="002B2FF6">
        <w:t xml:space="preserve">even when </w:t>
      </w:r>
      <w:r>
        <w:t xml:space="preserve">the country’s consumption fell below the country’s </w:t>
      </w:r>
      <w:r w:rsidRPr="002B2FF6">
        <w:t>remaining consump</w:t>
      </w:r>
      <w:r>
        <w:t>t</w:t>
      </w:r>
      <w:r w:rsidRPr="002B2FF6">
        <w:t xml:space="preserve">ion </w:t>
      </w:r>
      <w:r>
        <w:t xml:space="preserve">eligible for funding, thereby helping ensure sustained reductions. </w:t>
      </w:r>
    </w:p>
    <w:p w14:paraId="35A1936E" w14:textId="7BABE416" w:rsidR="001425CB" w:rsidRDefault="00C6106E" w:rsidP="00C6106E">
      <w:pPr>
        <w:pStyle w:val="Heading1"/>
      </w:pPr>
      <w:r>
        <w:t xml:space="preserve">If the Executive Committee continues this practice for HFCs, as reflected in the tables being considered by the Executive Committee in the working text </w:t>
      </w:r>
      <w:r w:rsidRPr="00ED3282">
        <w:t>on the analysis of the level and modalities of fund</w:t>
      </w:r>
      <w:r>
        <w:t>ing for the HFC phase-down in the refrigeration servicing sector contained in Annex XXXI of document UNEP/</w:t>
      </w:r>
      <w:proofErr w:type="spellStart"/>
      <w:r>
        <w:t>OzL.Pro</w:t>
      </w:r>
      <w:proofErr w:type="spellEnd"/>
      <w:r>
        <w:t>/ExCom/91/72, the starting point will continue not to be relevant in determining funding for LVC</w:t>
      </w:r>
      <w:r w:rsidR="000503D6">
        <w:t xml:space="preserve"> countrie</w:t>
      </w:r>
      <w:r>
        <w:t xml:space="preserve">s with consumption in the servicing sector only. Accordingly, the Executive Committee could </w:t>
      </w:r>
      <w:r w:rsidR="001425CB">
        <w:t xml:space="preserve">consider </w:t>
      </w:r>
      <w:r>
        <w:t>not to define a starting point for LVC</w:t>
      </w:r>
      <w:r w:rsidR="000503D6">
        <w:t xml:space="preserve"> countrie</w:t>
      </w:r>
      <w:r>
        <w:t>s</w:t>
      </w:r>
      <w:r w:rsidR="003268BC">
        <w:t xml:space="preserve"> with consumption in the servicing sector only</w:t>
      </w:r>
      <w:r>
        <w:t xml:space="preserve">. </w:t>
      </w:r>
    </w:p>
    <w:p w14:paraId="0F49E38F" w14:textId="03099D8E" w:rsidR="00C6106E" w:rsidRDefault="00C6106E" w:rsidP="00C6106E">
      <w:pPr>
        <w:pStyle w:val="Heading1"/>
      </w:pPr>
      <w:r>
        <w:t>Funding for LVC</w:t>
      </w:r>
      <w:r w:rsidR="000503D6">
        <w:t xml:space="preserve"> countrie</w:t>
      </w:r>
      <w:r>
        <w:t xml:space="preserve">s </w:t>
      </w:r>
      <w:r w:rsidR="00EB33D0">
        <w:t xml:space="preserve">with consumption in the servicing sector only </w:t>
      </w:r>
      <w:r>
        <w:t xml:space="preserve">would be determined by the </w:t>
      </w:r>
      <w:r w:rsidR="007C31E6">
        <w:t xml:space="preserve">table for </w:t>
      </w:r>
      <w:r w:rsidR="00004120">
        <w:t>LVC</w:t>
      </w:r>
      <w:r w:rsidR="000503D6">
        <w:t xml:space="preserve"> countrie</w:t>
      </w:r>
      <w:r w:rsidR="00004120">
        <w:t>s in the HFC cost guidelines</w:t>
      </w:r>
      <w:r w:rsidR="00A63BAF">
        <w:t xml:space="preserve"> and the target the country would meet</w:t>
      </w:r>
      <w:r>
        <w:t xml:space="preserve">. Projects to reduce the country’s HFC consumption would not result in reductions from the country’s remaining consumption but would instead be reflected in reductions in the target(s) the country concerned would need to meet. </w:t>
      </w:r>
      <w:r w:rsidR="00544147" w:rsidRPr="00544147">
        <w:t xml:space="preserve">Such countries would continue to receive the agreed level of funding irrespective of whether their consumption fell below the country’s </w:t>
      </w:r>
      <w:r w:rsidR="00544147">
        <w:t>target</w:t>
      </w:r>
      <w:r w:rsidR="00544147" w:rsidRPr="00544147">
        <w:t>, thus continuing the practice used by the Executive Committee in the HCFC phase-out to provide those countries additional flexibility</w:t>
      </w:r>
      <w:r w:rsidR="008E1399">
        <w:t>.</w:t>
      </w:r>
    </w:p>
    <w:p w14:paraId="49E9483B" w14:textId="6EFB224F" w:rsidR="004A0D14" w:rsidRPr="00EB33D0" w:rsidRDefault="004A0D14" w:rsidP="004A0D14">
      <w:pPr>
        <w:rPr>
          <w:i/>
          <w:iCs/>
        </w:rPr>
      </w:pPr>
      <w:r w:rsidRPr="00EB33D0">
        <w:rPr>
          <w:i/>
          <w:iCs/>
        </w:rPr>
        <w:t>LVC</w:t>
      </w:r>
      <w:r w:rsidR="000503D6">
        <w:rPr>
          <w:i/>
          <w:iCs/>
        </w:rPr>
        <w:t xml:space="preserve"> countrie</w:t>
      </w:r>
      <w:r w:rsidRPr="00EB33D0">
        <w:rPr>
          <w:i/>
          <w:iCs/>
        </w:rPr>
        <w:t>s with consumption in the servicing and manufacturing sectors</w:t>
      </w:r>
    </w:p>
    <w:p w14:paraId="1584DD19" w14:textId="77777777" w:rsidR="004A0D14" w:rsidRDefault="004A0D14" w:rsidP="004A0D14">
      <w:pPr>
        <w:rPr>
          <w:b/>
          <w:bCs/>
        </w:rPr>
      </w:pPr>
    </w:p>
    <w:p w14:paraId="4E1B051E" w14:textId="7E7BF834" w:rsidR="00B509FE" w:rsidRDefault="001D255F">
      <w:pPr>
        <w:pStyle w:val="Heading1"/>
      </w:pPr>
      <w:r>
        <w:t>For LVC</w:t>
      </w:r>
      <w:r w:rsidR="000503D6">
        <w:t xml:space="preserve"> countrie</w:t>
      </w:r>
      <w:r>
        <w:t xml:space="preserve">s with consumption in both the manufacturing and servicing sectors, </w:t>
      </w:r>
      <w:r w:rsidR="008841BB">
        <w:t>a starting point would be required</w:t>
      </w:r>
      <w:r w:rsidR="00E416BC">
        <w:t>. C</w:t>
      </w:r>
      <w:r w:rsidR="005F3811">
        <w:t xml:space="preserve">onversions </w:t>
      </w:r>
      <w:r w:rsidR="000800AA" w:rsidRPr="00832AD5">
        <w:rPr>
          <w:lang w:val="en-GB"/>
        </w:rPr>
        <w:t xml:space="preserve">in the manufacturing sector would </w:t>
      </w:r>
      <w:r w:rsidR="00794548">
        <w:rPr>
          <w:lang w:val="en-GB"/>
        </w:rPr>
        <w:t>be handled in the same manner as non-LVC</w:t>
      </w:r>
      <w:r w:rsidR="000503D6">
        <w:rPr>
          <w:lang w:val="en-GB"/>
        </w:rPr>
        <w:t xml:space="preserve"> countrie</w:t>
      </w:r>
      <w:r w:rsidR="00794548">
        <w:rPr>
          <w:lang w:val="en-GB"/>
        </w:rPr>
        <w:t xml:space="preserve">s with manufacturing. </w:t>
      </w:r>
      <w:r w:rsidR="00C744A5" w:rsidRPr="00832AD5">
        <w:rPr>
          <w:lang w:val="en-GB"/>
        </w:rPr>
        <w:t xml:space="preserve">Funding for the servicing sector would be </w:t>
      </w:r>
      <w:r w:rsidR="004F28B5">
        <w:t xml:space="preserve">determined </w:t>
      </w:r>
      <w:r w:rsidR="00AD6671">
        <w:t xml:space="preserve">based on the </w:t>
      </w:r>
      <w:r w:rsidR="00A37898">
        <w:t>table for LVC</w:t>
      </w:r>
      <w:r w:rsidR="000503D6">
        <w:t xml:space="preserve"> countrie</w:t>
      </w:r>
      <w:r w:rsidR="00A37898">
        <w:t>s in the HFC cost guidelines</w:t>
      </w:r>
      <w:r w:rsidR="00841E16">
        <w:t xml:space="preserve"> </w:t>
      </w:r>
      <w:r w:rsidR="00B56B03">
        <w:t xml:space="preserve">and the </w:t>
      </w:r>
      <w:r w:rsidR="00367AB4">
        <w:t xml:space="preserve">national </w:t>
      </w:r>
      <w:r w:rsidR="000800AA">
        <w:t xml:space="preserve">target </w:t>
      </w:r>
      <w:r w:rsidR="00BC6400">
        <w:t xml:space="preserve">to be achieved minus </w:t>
      </w:r>
      <w:r w:rsidR="00367AB4">
        <w:t xml:space="preserve">the phase-out achieved </w:t>
      </w:r>
      <w:r w:rsidR="00832AD5">
        <w:t xml:space="preserve">in the manufacturing sector. </w:t>
      </w:r>
      <w:r w:rsidR="00577A02">
        <w:t>The reduction in the country’s remaining consumption eligible for funding</w:t>
      </w:r>
      <w:r w:rsidR="00B64F96">
        <w:t xml:space="preserve"> (in </w:t>
      </w:r>
      <w:r w:rsidR="005F7C19">
        <w:t>CO</w:t>
      </w:r>
      <w:r w:rsidR="005F7C19" w:rsidRPr="00B4445D">
        <w:rPr>
          <w:vertAlign w:val="subscript"/>
        </w:rPr>
        <w:t>2</w:t>
      </w:r>
      <w:r w:rsidR="005F7C19">
        <w:t>-eq tonnes</w:t>
      </w:r>
      <w:r w:rsidR="00B64F96">
        <w:t>)</w:t>
      </w:r>
      <w:r w:rsidR="00577A02">
        <w:t xml:space="preserve"> would thus be </w:t>
      </w:r>
      <w:r w:rsidR="00101734">
        <w:t>the difference between the country’s HFC baseline and the national target to be achieved</w:t>
      </w:r>
      <w:r w:rsidR="00B64F96">
        <w:t xml:space="preserve">. </w:t>
      </w:r>
    </w:p>
    <w:p w14:paraId="75E7C982" w14:textId="10CA7FE2" w:rsidR="00935751" w:rsidRDefault="00A97973" w:rsidP="00935751">
      <w:pPr>
        <w:rPr>
          <w:u w:val="single"/>
        </w:rPr>
      </w:pPr>
      <w:r>
        <w:rPr>
          <w:u w:val="single"/>
        </w:rPr>
        <w:t>Alternat</w:t>
      </w:r>
      <w:r w:rsidR="00AD2B1C">
        <w:rPr>
          <w:u w:val="single"/>
        </w:rPr>
        <w:t>iv</w:t>
      </w:r>
      <w:r>
        <w:rPr>
          <w:u w:val="single"/>
        </w:rPr>
        <w:t>e approach</w:t>
      </w:r>
    </w:p>
    <w:p w14:paraId="6507F24C" w14:textId="7CE74125" w:rsidR="00A97973" w:rsidRDefault="00A97973" w:rsidP="00935751">
      <w:pPr>
        <w:rPr>
          <w:u w:val="single"/>
        </w:rPr>
      </w:pPr>
    </w:p>
    <w:p w14:paraId="3226A87F" w14:textId="432BA290" w:rsidR="00AD2B1C" w:rsidRDefault="00E22CB6">
      <w:pPr>
        <w:pStyle w:val="Heading1"/>
      </w:pPr>
      <w:r>
        <w:t xml:space="preserve">As reflected in paragraph (b) of the </w:t>
      </w:r>
      <w:r w:rsidRPr="009B052C">
        <w:t xml:space="preserve">working text on the starting point contained in Annex </w:t>
      </w:r>
      <w:r w:rsidR="00B64F96" w:rsidRPr="009B052C">
        <w:t>I</w:t>
      </w:r>
      <w:r w:rsidR="00B1524F" w:rsidRPr="009B052C">
        <w:t>V</w:t>
      </w:r>
      <w:r w:rsidRPr="009B052C">
        <w:t xml:space="preserve"> of document UNEP/</w:t>
      </w:r>
      <w:proofErr w:type="spellStart"/>
      <w:r w:rsidRPr="009B052C">
        <w:t>OzL.Pro</w:t>
      </w:r>
      <w:proofErr w:type="spellEnd"/>
      <w:r w:rsidRPr="009B052C">
        <w:t>/ExCom/92/45, di</w:t>
      </w:r>
      <w:r>
        <w:t xml:space="preserve">fferent views have been expressed on an appropriate level for the starting point. If the Executive Committee </w:t>
      </w:r>
      <w:r w:rsidR="00C8188B">
        <w:t>i</w:t>
      </w:r>
      <w:r>
        <w:t>s not ready to decide on an appropriate level, an alternat</w:t>
      </w:r>
      <w:r w:rsidR="00AD2B1C">
        <w:t>iv</w:t>
      </w:r>
      <w:r>
        <w:t>e to the above approach would be</w:t>
      </w:r>
      <w:r w:rsidR="00AD2B1C">
        <w:t>:</w:t>
      </w:r>
    </w:p>
    <w:p w14:paraId="78BD918E" w14:textId="7026FBCA" w:rsidR="00650A96" w:rsidRDefault="00AD2B1C" w:rsidP="00AD2B1C">
      <w:pPr>
        <w:pStyle w:val="Heading2"/>
      </w:pPr>
      <w:r>
        <w:t>To</w:t>
      </w:r>
      <w:r w:rsidR="00E22CB6">
        <w:t xml:space="preserve"> </w:t>
      </w:r>
      <w:r w:rsidR="00AF028D">
        <w:t>consider</w:t>
      </w:r>
      <w:r w:rsidR="00E22CB6">
        <w:t xml:space="preserve"> </w:t>
      </w:r>
      <w:r w:rsidR="0006567E">
        <w:t xml:space="preserve">not to define </w:t>
      </w:r>
      <w:r w:rsidR="009E46C2">
        <w:t>a level for the starting point at the present meeting</w:t>
      </w:r>
      <w:r w:rsidR="000B6EDA">
        <w:t xml:space="preserve">, and </w:t>
      </w:r>
      <w:r>
        <w:t xml:space="preserve">to use the mechanism </w:t>
      </w:r>
      <w:r w:rsidRPr="00453651">
        <w:t>to take account of the replacement of high-GWP by lower-GWP HFC alternatives</w:t>
      </w:r>
      <w:r w:rsidR="00E22CB6" w:rsidRPr="00AD2B1C">
        <w:t xml:space="preserve"> </w:t>
      </w:r>
      <w:r>
        <w:t xml:space="preserve">outlined above for the HFC phase-down; </w:t>
      </w:r>
      <w:r w:rsidR="00AF028D">
        <w:t>and</w:t>
      </w:r>
    </w:p>
    <w:p w14:paraId="4EBB2C17" w14:textId="7C084E84" w:rsidR="00A97973" w:rsidRDefault="009E46C2">
      <w:pPr>
        <w:pStyle w:val="Heading2"/>
      </w:pPr>
      <w:r>
        <w:t>T</w:t>
      </w:r>
      <w:r w:rsidR="00650A96">
        <w:t xml:space="preserve">o consider the level </w:t>
      </w:r>
      <w:r w:rsidR="000C1C84">
        <w:t xml:space="preserve">for </w:t>
      </w:r>
      <w:r w:rsidR="00650A96">
        <w:t xml:space="preserve">the starting point at the </w:t>
      </w:r>
      <w:r w:rsidR="00D43D17">
        <w:t>second</w:t>
      </w:r>
      <w:r w:rsidR="00650A96">
        <w:t xml:space="preserve"> meeting of 2029, noting that the first reduction step for group 1 countries was 1 January 2029 and the level of HFC growth</w:t>
      </w:r>
      <w:r w:rsidR="00650A96">
        <w:rPr>
          <w:rStyle w:val="FootnoteReference"/>
        </w:rPr>
        <w:footnoteReference w:id="8"/>
      </w:r>
      <w:r w:rsidR="00650A96">
        <w:t xml:space="preserve"> of those countries would be known</w:t>
      </w:r>
      <w:r w:rsidR="00AF028D">
        <w:t>.</w:t>
      </w:r>
    </w:p>
    <w:p w14:paraId="3DAA72CF" w14:textId="77777777" w:rsidR="006E5765" w:rsidRPr="00453651" w:rsidRDefault="006E5765" w:rsidP="006E5765">
      <w:pPr>
        <w:rPr>
          <w:u w:val="single"/>
        </w:rPr>
      </w:pPr>
      <w:r w:rsidRPr="00453651">
        <w:rPr>
          <w:u w:val="single"/>
        </w:rPr>
        <w:t>Additional considerations</w:t>
      </w:r>
    </w:p>
    <w:p w14:paraId="4F034451" w14:textId="77777777" w:rsidR="006E5765" w:rsidRDefault="006E5765" w:rsidP="006E5765"/>
    <w:p w14:paraId="4B60BE74" w14:textId="3655CDC3" w:rsidR="006E5765" w:rsidRDefault="006E5765" w:rsidP="006E5765">
      <w:pPr>
        <w:pStyle w:val="Heading1"/>
      </w:pPr>
      <w:r>
        <w:t xml:space="preserve">In the HCFC phase-out, the Executive Committee decided in a few instances to adjust the starting points of Article 5 countries to take into account the demonstrated non-representative nature of the consumption data used to establish the starting point for reasons such as stockpiling, national economic difficulties, policy changes in how consumption was calculated, and/or other causes (e.g., excessive leakage rates in refrigeration equipment still in operation). For other Article 5 countries, the HCFC consumption </w:t>
      </w:r>
      <w:r>
        <w:lastRenderedPageBreak/>
        <w:t>reported after 2010 was substantially lower than the established HCFC baseline, suggesting that their HCFC consumption during the baseline years had been overestimated. In such cases, countries either agreed to additional reductions from their remaining consumption eligible for funding or to revise their HCFC starting points. The Executive Committee could continue to use this practice in the case of HFCs, except for LVC</w:t>
      </w:r>
      <w:r w:rsidR="000503D6">
        <w:t xml:space="preserve"> countrie</w:t>
      </w:r>
      <w:r>
        <w:t xml:space="preserve">s with consumption in the servicing sector only as such countries would have neither a starting point nor remaining HFC consumption eligible for funding. Instead, in such cases, the Executive Committee could on a case-by-case basis consider whether to adjust the country’s level of eligible funding based on the extent of the non-representative nature of the HFC consumption included in the baseline years and whether that extent would change the country’s funding category. </w:t>
      </w:r>
    </w:p>
    <w:p w14:paraId="5977389D" w14:textId="203B8E01" w:rsidR="006E5765" w:rsidRDefault="006E5765" w:rsidP="006E5765">
      <w:pPr>
        <w:pStyle w:val="Heading1"/>
      </w:pPr>
      <w:r>
        <w:t xml:space="preserve">During its earlier discussions on the starting point, the contact group had </w:t>
      </w:r>
      <w:r w:rsidRPr="00D220C3">
        <w:rPr>
          <w:i/>
          <w:iCs/>
        </w:rPr>
        <w:t>inter alia</w:t>
      </w:r>
      <w:r>
        <w:t xml:space="preserve"> considered the inclusion in the starting point</w:t>
      </w:r>
      <w:r w:rsidR="00474053">
        <w:t xml:space="preserve"> of</w:t>
      </w:r>
      <w:r>
        <w:t xml:space="preserve"> HFCs contained in pre-blended polyols. In addition, at the 82</w:t>
      </w:r>
      <w:r w:rsidRPr="00D220C3">
        <w:rPr>
          <w:vertAlign w:val="superscript"/>
        </w:rPr>
        <w:t>nd</w:t>
      </w:r>
      <w:r>
        <w:t xml:space="preserve"> meeting, the Executive Committee agreed to consider, during the development of cost guidelines for the phase</w:t>
      </w:r>
      <w:r w:rsidR="00816D76">
        <w:noBreakHyphen/>
      </w:r>
      <w:r>
        <w:t>down of HFCs in Article 5 countries, how an enterprise’s interim use of high</w:t>
      </w:r>
      <w:r w:rsidR="00816D76">
        <w:noBreakHyphen/>
      </w:r>
      <w:r>
        <w:t>GWP technology that was not the approved low</w:t>
      </w:r>
      <w:r w:rsidR="00816D76">
        <w:noBreakHyphen/>
      </w:r>
      <w:r>
        <w:t>GWP technology should be treated in relation to a country’s starting point for sustained aggregate reductions in HFC consumption (decision</w:t>
      </w:r>
      <w:r w:rsidR="00816D76">
        <w:t> </w:t>
      </w:r>
      <w:r>
        <w:t xml:space="preserve">82/55). The Executive Committee may wish to consider those matters at a future meeting. </w:t>
      </w:r>
    </w:p>
    <w:p w14:paraId="3592831B" w14:textId="4B0E9116" w:rsidR="00012955" w:rsidRDefault="00012955" w:rsidP="00012955">
      <w:pPr>
        <w:rPr>
          <w:b/>
          <w:bCs/>
        </w:rPr>
      </w:pPr>
      <w:r>
        <w:rPr>
          <w:b/>
          <w:bCs/>
        </w:rPr>
        <w:t>Conclusion</w:t>
      </w:r>
    </w:p>
    <w:p w14:paraId="50BC6BB7" w14:textId="77777777" w:rsidR="00012955" w:rsidRPr="00655C31" w:rsidRDefault="00012955" w:rsidP="00012955">
      <w:pPr>
        <w:rPr>
          <w:b/>
          <w:bCs/>
        </w:rPr>
      </w:pPr>
    </w:p>
    <w:p w14:paraId="79D04664" w14:textId="415347CD" w:rsidR="004F5EAC" w:rsidRDefault="002C55B3" w:rsidP="00A35F87">
      <w:pPr>
        <w:pStyle w:val="Heading1"/>
      </w:pPr>
      <w:r>
        <w:t>The proposed m</w:t>
      </w:r>
      <w:r w:rsidR="009B68EE" w:rsidRPr="006063EC">
        <w:t xml:space="preserve">echanism </w:t>
      </w:r>
      <w:r w:rsidR="009B68EE">
        <w:t>that</w:t>
      </w:r>
      <w:r w:rsidR="009B68EE" w:rsidRPr="006063EC">
        <w:t xml:space="preserve"> take</w:t>
      </w:r>
      <w:r w:rsidR="009B68EE">
        <w:t>s</w:t>
      </w:r>
      <w:r w:rsidR="009B68EE" w:rsidRPr="006063EC">
        <w:t xml:space="preserve"> account </w:t>
      </w:r>
      <w:r w:rsidR="008E28CB">
        <w:t xml:space="preserve">of </w:t>
      </w:r>
      <w:r w:rsidR="009B68EE" w:rsidRPr="006063EC">
        <w:t>the replacement of high-GWP by lower-GWP HFC alternatives</w:t>
      </w:r>
      <w:r w:rsidR="009B68EE">
        <w:t xml:space="preserve"> would allow a single starting point in </w:t>
      </w:r>
      <w:r w:rsidR="00FD5A67">
        <w:t>CO</w:t>
      </w:r>
      <w:r w:rsidR="00FD5A67" w:rsidRPr="00B4445D">
        <w:rPr>
          <w:vertAlign w:val="subscript"/>
        </w:rPr>
        <w:t>2</w:t>
      </w:r>
      <w:r w:rsidR="00FD5A67">
        <w:t>-eq tonnes</w:t>
      </w:r>
      <w:r w:rsidR="009B68EE">
        <w:t xml:space="preserve"> to be used and </w:t>
      </w:r>
      <w:r w:rsidR="005913B9">
        <w:t xml:space="preserve">ensure that Article 5 countries have flexibility in </w:t>
      </w:r>
      <w:r w:rsidR="006A3C30">
        <w:t>how they phase</w:t>
      </w:r>
      <w:r w:rsidR="002307DF">
        <w:t xml:space="preserve"> </w:t>
      </w:r>
      <w:r w:rsidR="006A3C30">
        <w:t>down their HFC consumption</w:t>
      </w:r>
      <w:r w:rsidR="009D4522">
        <w:t>, and w</w:t>
      </w:r>
      <w:r w:rsidR="009B68EE">
        <w:t xml:space="preserve">ould provide the same funding to an Article 5 </w:t>
      </w:r>
      <w:r>
        <w:t xml:space="preserve">country </w:t>
      </w:r>
      <w:r w:rsidR="009B68EE">
        <w:t xml:space="preserve">irrespective of whether it chose to meet its compliance obligations by </w:t>
      </w:r>
      <w:r w:rsidR="00AF42C0">
        <w:t xml:space="preserve">reducing its consumption of HFCs, by </w:t>
      </w:r>
      <w:r w:rsidR="009B68EE">
        <w:t>phasing in lower-GWP HFCs</w:t>
      </w:r>
      <w:r w:rsidR="00AF42C0">
        <w:t xml:space="preserve">, </w:t>
      </w:r>
      <w:r w:rsidR="003B39E2">
        <w:t>or some combination thereof</w:t>
      </w:r>
      <w:r w:rsidR="00A55ED2">
        <w:t xml:space="preserve">. The proposed mechanism would also </w:t>
      </w:r>
      <w:r w:rsidR="0028622D">
        <w:t xml:space="preserve">provide certainty in </w:t>
      </w:r>
      <w:r w:rsidR="0028622D" w:rsidRPr="00453651">
        <w:rPr>
          <w:lang w:val="en-GB"/>
        </w:rPr>
        <w:t xml:space="preserve">the </w:t>
      </w:r>
      <w:r w:rsidR="0028622D">
        <w:t>total HFC consumption eligible for funding</w:t>
      </w:r>
      <w:r w:rsidR="002B516D">
        <w:t>, and thus allow non-Article</w:t>
      </w:r>
      <w:r w:rsidR="001F3056">
        <w:noBreakHyphen/>
      </w:r>
      <w:r w:rsidR="002B516D">
        <w:t xml:space="preserve">5 countries to better </w:t>
      </w:r>
      <w:r w:rsidR="00A35F87">
        <w:t xml:space="preserve">understand and plan their funding obligations. </w:t>
      </w:r>
      <w:r w:rsidR="00E55FC6">
        <w:t xml:space="preserve">Further, </w:t>
      </w:r>
      <w:r w:rsidR="00A35F87">
        <w:t xml:space="preserve">the </w:t>
      </w:r>
      <w:r w:rsidR="00C24479">
        <w:t xml:space="preserve">mechanism </w:t>
      </w:r>
      <w:r w:rsidR="00C66312">
        <w:t xml:space="preserve">would help all countries </w:t>
      </w:r>
      <w:r w:rsidR="00012955">
        <w:t xml:space="preserve">ensure the sustainability of the phase-down achieved and limit the </w:t>
      </w:r>
      <w:r w:rsidR="00990635">
        <w:t>“</w:t>
      </w:r>
      <w:r w:rsidR="00012955">
        <w:t>transfer</w:t>
      </w:r>
      <w:r w:rsidR="00990635">
        <w:t>”</w:t>
      </w:r>
      <w:r w:rsidR="00012955">
        <w:t xml:space="preserve"> of ineligible consumption </w:t>
      </w:r>
      <w:r w:rsidR="000E5767">
        <w:t>from the manufacturing sector to the servicing sector</w:t>
      </w:r>
      <w:r w:rsidR="00012955">
        <w:t xml:space="preserve">. </w:t>
      </w:r>
    </w:p>
    <w:p w14:paraId="487E3FAE" w14:textId="7B853571" w:rsidR="00F97869" w:rsidRDefault="00F97869" w:rsidP="00F97869">
      <w:pPr>
        <w:pStyle w:val="Heading1"/>
      </w:pPr>
      <w:r>
        <w:t>A starting point would not be needed for LVC</w:t>
      </w:r>
      <w:r w:rsidR="000503D6">
        <w:t xml:space="preserve"> countrie</w:t>
      </w:r>
      <w:r>
        <w:t xml:space="preserve">s with consumption in the servicing sector only. For other Article 5 countries, the starting point could be established as the HFC baseline for consumption or </w:t>
      </w:r>
      <w:r w:rsidRPr="002F0C3A">
        <w:t>less, subject to the understanding listed in paragraph 6 of the present document. Alternatively, if the</w:t>
      </w:r>
      <w:r>
        <w:t xml:space="preserve"> Executive Committee is not ready </w:t>
      </w:r>
      <w:r w:rsidR="002F0380">
        <w:t xml:space="preserve">to </w:t>
      </w:r>
      <w:r>
        <w:t>establish a level for the starting point at the present meeting, it could consider an appropriate level in 2029</w:t>
      </w:r>
      <w:r w:rsidR="00FA6C32">
        <w:t xml:space="preserve"> and</w:t>
      </w:r>
      <w:r>
        <w:t xml:space="preserve"> </w:t>
      </w:r>
      <w:r w:rsidR="002B2AE1">
        <w:t xml:space="preserve">agree to </w:t>
      </w:r>
      <w:r>
        <w:t>use the proposed mechanism</w:t>
      </w:r>
      <w:r w:rsidR="002B2AE1">
        <w:t xml:space="preserve"> for the HFC phase-down</w:t>
      </w:r>
      <w:r w:rsidR="003E2ED7">
        <w:t>.</w:t>
      </w:r>
    </w:p>
    <w:p w14:paraId="45897DEB" w14:textId="5154E18A" w:rsidR="00012955" w:rsidRDefault="00012955" w:rsidP="00D73195">
      <w:pPr>
        <w:keepNext/>
        <w:keepLines/>
        <w:rPr>
          <w:b/>
          <w:bCs/>
        </w:rPr>
      </w:pPr>
      <w:r>
        <w:rPr>
          <w:b/>
          <w:bCs/>
        </w:rPr>
        <w:t>Recommendation</w:t>
      </w:r>
    </w:p>
    <w:p w14:paraId="46B08D04" w14:textId="77777777" w:rsidR="00012955" w:rsidRDefault="00012955" w:rsidP="00D73195">
      <w:pPr>
        <w:keepNext/>
        <w:keepLines/>
        <w:rPr>
          <w:b/>
          <w:bCs/>
        </w:rPr>
      </w:pPr>
    </w:p>
    <w:p w14:paraId="7E1EBAD3" w14:textId="50EB2F16" w:rsidR="00012955" w:rsidRDefault="00012955" w:rsidP="00D73195">
      <w:pPr>
        <w:pStyle w:val="Heading1"/>
        <w:keepNext/>
        <w:keepLines/>
      </w:pPr>
      <w:r>
        <w:t>The Executive Committee may wish:</w:t>
      </w:r>
    </w:p>
    <w:p w14:paraId="7BF231D3" w14:textId="79E080EC" w:rsidR="00012955" w:rsidRDefault="007A26C1" w:rsidP="00D73195">
      <w:pPr>
        <w:pStyle w:val="Heading2"/>
        <w:keepNext/>
        <w:keepLines/>
        <w:widowControl/>
        <w:numPr>
          <w:ilvl w:val="1"/>
          <w:numId w:val="1"/>
        </w:numPr>
      </w:pPr>
      <w:r>
        <w:t>To n</w:t>
      </w:r>
      <w:r w:rsidR="00012955">
        <w:t>ote the p</w:t>
      </w:r>
      <w:r w:rsidR="00012955" w:rsidRPr="00B01020">
        <w:t xml:space="preserve">aper on the starting point for sustained aggregate reductions in HFC </w:t>
      </w:r>
      <w:r w:rsidR="00012955">
        <w:t>c</w:t>
      </w:r>
      <w:r w:rsidR="00012955" w:rsidRPr="00B01020">
        <w:t>onsumption (decision 91/64(a))</w:t>
      </w:r>
      <w:r w:rsidR="00012955">
        <w:t xml:space="preserve"> contained in document </w:t>
      </w:r>
      <w:r w:rsidR="00012955" w:rsidRPr="00B01020">
        <w:t>UNEP/</w:t>
      </w:r>
      <w:proofErr w:type="spellStart"/>
      <w:r w:rsidR="00012955" w:rsidRPr="00B01020">
        <w:t>OzL.Pro</w:t>
      </w:r>
      <w:proofErr w:type="spellEnd"/>
      <w:r w:rsidR="00012955" w:rsidRPr="00B01020">
        <w:t>/ExCom/</w:t>
      </w:r>
      <w:r w:rsidR="00012955">
        <w:t>9</w:t>
      </w:r>
      <w:r w:rsidR="008D631F">
        <w:t>3</w:t>
      </w:r>
      <w:r w:rsidR="00012955" w:rsidRPr="00B01020">
        <w:t>/</w:t>
      </w:r>
      <w:r w:rsidR="008D631F">
        <w:t>97</w:t>
      </w:r>
      <w:r w:rsidR="00012955">
        <w:t>;</w:t>
      </w:r>
      <w:r w:rsidR="00E00299">
        <w:t xml:space="preserve"> and</w:t>
      </w:r>
    </w:p>
    <w:p w14:paraId="6A155A2A" w14:textId="3279C474" w:rsidR="009D0C66" w:rsidRDefault="007A26C1" w:rsidP="00E00299">
      <w:pPr>
        <w:pStyle w:val="Heading2"/>
      </w:pPr>
      <w:r>
        <w:t>To c</w:t>
      </w:r>
      <w:r w:rsidR="009D0C66">
        <w:t xml:space="preserve">onsider the information contained in the document referred to in subparagraph (a) above in the context of its discussions on the </w:t>
      </w:r>
      <w:r w:rsidR="009D0C66" w:rsidRPr="00B01020">
        <w:t xml:space="preserve">starting point for sustained aggregate reductions in HFC </w:t>
      </w:r>
      <w:r w:rsidR="009D0C66">
        <w:t>c</w:t>
      </w:r>
      <w:r w:rsidR="009D0C66" w:rsidRPr="00B01020">
        <w:t>onsumption</w:t>
      </w:r>
      <w:r w:rsidR="00E00299">
        <w:t>.</w:t>
      </w:r>
    </w:p>
    <w:p w14:paraId="38647DE2" w14:textId="77777777" w:rsidR="00A22967" w:rsidRDefault="00A22967" w:rsidP="00A22967"/>
    <w:p w14:paraId="6546A63E" w14:textId="77777777" w:rsidR="004C0F67" w:rsidRDefault="004C0F67" w:rsidP="00A22967"/>
    <w:p w14:paraId="737B75C4" w14:textId="7F89D1E8" w:rsidR="004C0F67" w:rsidRDefault="004C0F67" w:rsidP="00A22967">
      <w:pPr>
        <w:sectPr w:rsidR="004C0F67" w:rsidSect="00896234">
          <w:headerReference w:type="even" r:id="rId15"/>
          <w:headerReference w:type="default" r:id="rId16"/>
          <w:footerReference w:type="even" r:id="rId17"/>
          <w:footerReference w:type="default" r:id="rId18"/>
          <w:pgSz w:w="12240" w:h="15840" w:code="1"/>
          <w:pgMar w:top="720" w:right="1440" w:bottom="864" w:left="1440" w:header="720" w:footer="475" w:gutter="0"/>
          <w:cols w:space="720"/>
          <w:titlePg/>
        </w:sectPr>
      </w:pPr>
    </w:p>
    <w:p w14:paraId="28857D61" w14:textId="0A849FE3" w:rsidR="00C1411C" w:rsidRDefault="003044DE" w:rsidP="00E003AD">
      <w:pPr>
        <w:spacing w:after="240"/>
        <w:jc w:val="center"/>
        <w:rPr>
          <w:b/>
        </w:rPr>
      </w:pPr>
      <w:r w:rsidRPr="008D4984">
        <w:rPr>
          <w:b/>
        </w:rPr>
        <w:lastRenderedPageBreak/>
        <w:t>Annex I</w:t>
      </w:r>
    </w:p>
    <w:p w14:paraId="1180DB0B" w14:textId="0015A630" w:rsidR="003044DE" w:rsidRPr="00EC21C1" w:rsidRDefault="00C1411C" w:rsidP="00D21C82">
      <w:pPr>
        <w:spacing w:after="360"/>
        <w:jc w:val="center"/>
        <w:rPr>
          <w:b/>
        </w:rPr>
      </w:pPr>
      <w:r w:rsidRPr="00EC21C1">
        <w:rPr>
          <w:b/>
        </w:rPr>
        <w:t xml:space="preserve">STEP-BY-STEP GUIDE TO CONVERT US $/kg TO </w:t>
      </w:r>
      <w:r w:rsidRPr="00B4445D">
        <w:rPr>
          <w:b/>
        </w:rPr>
        <w:t>US $/</w:t>
      </w:r>
      <w:r w:rsidR="00B4445D" w:rsidRPr="00B4445D">
        <w:rPr>
          <w:b/>
        </w:rPr>
        <w:t>CO</w:t>
      </w:r>
      <w:r w:rsidR="00B4445D" w:rsidRPr="00B4445D">
        <w:rPr>
          <w:b/>
          <w:vertAlign w:val="subscript"/>
        </w:rPr>
        <w:t>2</w:t>
      </w:r>
      <w:r w:rsidR="00B4445D" w:rsidRPr="00B4445D">
        <w:rPr>
          <w:b/>
        </w:rPr>
        <w:t>-eq</w:t>
      </w:r>
      <w:r w:rsidRPr="00EC21C1">
        <w:rPr>
          <w:b/>
        </w:rPr>
        <w:t xml:space="preserve"> </w:t>
      </w:r>
      <w:r w:rsidR="00B4445D">
        <w:rPr>
          <w:b/>
        </w:rPr>
        <w:t xml:space="preserve">TONNE </w:t>
      </w:r>
      <w:r w:rsidRPr="00EC21C1">
        <w:rPr>
          <w:b/>
        </w:rPr>
        <w:t>IN THE SERVICING SECTOR</w:t>
      </w:r>
    </w:p>
    <w:p w14:paraId="49A66A37" w14:textId="252C37EE" w:rsidR="00167254" w:rsidRDefault="00905DEA" w:rsidP="00A56BEA">
      <w:pPr>
        <w:pStyle w:val="Heading1"/>
        <w:numPr>
          <w:ilvl w:val="0"/>
          <w:numId w:val="23"/>
        </w:numPr>
      </w:pPr>
      <w:r>
        <w:t>A</w:t>
      </w:r>
      <w:r w:rsidR="006C4CD1">
        <w:t>s part of a mechanism that could be used to take ac</w:t>
      </w:r>
      <w:r w:rsidR="006C4CD1" w:rsidRPr="00170234">
        <w:t>count of the replacement of high-GWP by lower-GWP HFC alternatives</w:t>
      </w:r>
      <w:r w:rsidR="006C4CD1">
        <w:t>,</w:t>
      </w:r>
      <w:r w:rsidR="00F65E09" w:rsidRPr="00170234">
        <w:t xml:space="preserve"> the agreed cost</w:t>
      </w:r>
      <w:r w:rsidR="00DC404E">
        <w:noBreakHyphen/>
      </w:r>
      <w:r w:rsidR="00F65E09" w:rsidRPr="00170234">
        <w:t xml:space="preserve">effectiveness for the servicing sector </w:t>
      </w:r>
      <w:r>
        <w:t>w</w:t>
      </w:r>
      <w:r w:rsidR="00F65E09" w:rsidRPr="00170234">
        <w:t>ould be converted from US $/kg to US $/</w:t>
      </w:r>
      <w:r w:rsidR="00B4445D">
        <w:t>CO</w:t>
      </w:r>
      <w:r w:rsidR="00B4445D" w:rsidRPr="00B4445D">
        <w:rPr>
          <w:vertAlign w:val="subscript"/>
        </w:rPr>
        <w:t>2</w:t>
      </w:r>
      <w:r w:rsidR="00B4445D">
        <w:t>-eq</w:t>
      </w:r>
      <w:r w:rsidR="00F65E09" w:rsidRPr="00170234">
        <w:t xml:space="preserve"> </w:t>
      </w:r>
      <w:r w:rsidR="00B4445D">
        <w:t xml:space="preserve">tonne </w:t>
      </w:r>
      <w:r w:rsidR="00F65E09" w:rsidRPr="00170234">
        <w:t>based on the country’s HFC consumption in the baseline years</w:t>
      </w:r>
      <w:r w:rsidR="003C738E">
        <w:t>, calculated using the following values:</w:t>
      </w:r>
    </w:p>
    <w:p w14:paraId="558EA1FE" w14:textId="6A0045A5" w:rsidR="00296EF2" w:rsidRDefault="00D10588">
      <w:pPr>
        <w:pStyle w:val="Heading2"/>
        <w:numPr>
          <w:ilvl w:val="1"/>
          <w:numId w:val="23"/>
        </w:numPr>
      </w:pPr>
      <w:r>
        <w:t>Consumption</w:t>
      </w:r>
      <w:r w:rsidR="004604DD">
        <w:t xml:space="preserve"> </w:t>
      </w:r>
      <w:r w:rsidR="001253E8">
        <w:t xml:space="preserve">of </w:t>
      </w:r>
      <w:r>
        <w:t xml:space="preserve">each </w:t>
      </w:r>
      <w:r w:rsidR="001253E8">
        <w:t xml:space="preserve">HFC </w:t>
      </w:r>
      <w:r w:rsidR="004604DD">
        <w:t>(mt)</w:t>
      </w:r>
      <w:r w:rsidR="007B6954">
        <w:t xml:space="preserve">: </w:t>
      </w:r>
      <w:r w:rsidR="00686522">
        <w:t>HFC</w:t>
      </w:r>
      <w:r w:rsidR="00686522" w:rsidRPr="00296EF2">
        <w:rPr>
          <w:vertAlign w:val="subscript"/>
        </w:rPr>
        <w:t>1</w:t>
      </w:r>
      <w:r w:rsidR="00686522">
        <w:t xml:space="preserve"> = a, HFC</w:t>
      </w:r>
      <w:r w:rsidR="00686522" w:rsidRPr="00296EF2">
        <w:rPr>
          <w:vertAlign w:val="subscript"/>
        </w:rPr>
        <w:t>2</w:t>
      </w:r>
      <w:r w:rsidR="00686522">
        <w:t xml:space="preserve"> = b, …, </w:t>
      </w:r>
      <w:proofErr w:type="spellStart"/>
      <w:r w:rsidR="00686522">
        <w:t>HFC</w:t>
      </w:r>
      <w:r w:rsidR="00686522" w:rsidRPr="00296EF2">
        <w:rPr>
          <w:vertAlign w:val="subscript"/>
        </w:rPr>
        <w:t>n</w:t>
      </w:r>
      <w:proofErr w:type="spellEnd"/>
      <w:r w:rsidR="00686522">
        <w:t xml:space="preserve"> = n</w:t>
      </w:r>
    </w:p>
    <w:p w14:paraId="61CBACB5" w14:textId="2CB483C7" w:rsidR="00296EF2" w:rsidRPr="00296EF2" w:rsidRDefault="00296EF2" w:rsidP="006C2B98">
      <w:pPr>
        <w:pStyle w:val="Heading2"/>
        <w:numPr>
          <w:ilvl w:val="1"/>
          <w:numId w:val="23"/>
        </w:numPr>
      </w:pPr>
      <w:r>
        <w:t xml:space="preserve">Consumption </w:t>
      </w:r>
      <w:r w:rsidR="001253E8">
        <w:t xml:space="preserve">of </w:t>
      </w:r>
      <w:r w:rsidR="00D10588">
        <w:t xml:space="preserve">total </w:t>
      </w:r>
      <w:r w:rsidR="001253E8">
        <w:t xml:space="preserve">HFCs </w:t>
      </w:r>
      <w:r>
        <w:t xml:space="preserve">(mt) = </w:t>
      </w:r>
      <w:r w:rsidRPr="00296EF2">
        <w:t>a</w:t>
      </w:r>
      <w:r>
        <w:t xml:space="preserve"> +</w:t>
      </w:r>
      <w:r w:rsidR="00B2547B">
        <w:t xml:space="preserve"> </w:t>
      </w:r>
      <w:r w:rsidRPr="00296EF2">
        <w:t>b</w:t>
      </w:r>
      <w:r w:rsidR="00B2547B">
        <w:t xml:space="preserve"> + </w:t>
      </w:r>
      <w:r w:rsidRPr="00100CE3">
        <w:rPr>
          <w:rFonts w:ascii="Cambria Math" w:hAnsi="Cambria Math" w:cs="Cambria Math"/>
        </w:rPr>
        <w:t>⋯</w:t>
      </w:r>
      <w:r w:rsidR="00B2547B" w:rsidRPr="00100CE3">
        <w:t xml:space="preserve"> + </w:t>
      </w:r>
      <w:r w:rsidRPr="00296EF2">
        <w:t>n</w:t>
      </w:r>
    </w:p>
    <w:p w14:paraId="0DDD3AE8" w14:textId="656103A7" w:rsidR="00152653" w:rsidRDefault="007B6954" w:rsidP="007B6954">
      <w:pPr>
        <w:pStyle w:val="Heading2"/>
        <w:numPr>
          <w:ilvl w:val="1"/>
          <w:numId w:val="23"/>
        </w:numPr>
      </w:pPr>
      <w:r>
        <w:t>GWP</w:t>
      </w:r>
      <w:r w:rsidR="00992716">
        <w:t xml:space="preserve"> </w:t>
      </w:r>
      <w:r w:rsidR="00D143F8">
        <w:t>value</w:t>
      </w:r>
      <w:r w:rsidR="001253E8">
        <w:t xml:space="preserve"> of HFCs</w:t>
      </w:r>
      <w:r>
        <w:t xml:space="preserve">: </w:t>
      </w:r>
      <w:r w:rsidR="00686522">
        <w:t>HFC</w:t>
      </w:r>
      <w:r w:rsidR="00686522" w:rsidRPr="007B6954">
        <w:rPr>
          <w:vertAlign w:val="subscript"/>
        </w:rPr>
        <w:t>1</w:t>
      </w:r>
      <w:r w:rsidR="00686522">
        <w:t xml:space="preserve"> = GWP</w:t>
      </w:r>
      <w:r w:rsidR="00686522" w:rsidRPr="007B6954">
        <w:rPr>
          <w:vertAlign w:val="subscript"/>
        </w:rPr>
        <w:t>1</w:t>
      </w:r>
      <w:r w:rsidR="00686522">
        <w:t>, HFC</w:t>
      </w:r>
      <w:r w:rsidR="00686522" w:rsidRPr="007B6954">
        <w:rPr>
          <w:vertAlign w:val="subscript"/>
        </w:rPr>
        <w:t>2</w:t>
      </w:r>
      <w:r w:rsidR="00686522">
        <w:t xml:space="preserve"> = GWP</w:t>
      </w:r>
      <w:r w:rsidR="00686522" w:rsidRPr="007B6954">
        <w:rPr>
          <w:vertAlign w:val="subscript"/>
        </w:rPr>
        <w:t>2</w:t>
      </w:r>
      <w:r w:rsidR="00686522">
        <w:t xml:space="preserve">, …, </w:t>
      </w:r>
      <w:proofErr w:type="spellStart"/>
      <w:r w:rsidR="00686522">
        <w:t>HFC</w:t>
      </w:r>
      <w:r w:rsidR="00686522" w:rsidRPr="007B6954">
        <w:rPr>
          <w:vertAlign w:val="subscript"/>
        </w:rPr>
        <w:t>n</w:t>
      </w:r>
      <w:proofErr w:type="spellEnd"/>
      <w:r w:rsidR="00686522">
        <w:t xml:space="preserve"> = </w:t>
      </w:r>
      <w:proofErr w:type="spellStart"/>
      <w:r w:rsidR="00686522">
        <w:t>GWP</w:t>
      </w:r>
      <w:r w:rsidR="00686522" w:rsidRPr="007B6954">
        <w:rPr>
          <w:vertAlign w:val="subscript"/>
        </w:rPr>
        <w:t>n</w:t>
      </w:r>
      <w:proofErr w:type="spellEnd"/>
    </w:p>
    <w:p w14:paraId="1CC00D18" w14:textId="77777777" w:rsidR="00087DA1" w:rsidRDefault="00686522" w:rsidP="00152653">
      <w:pPr>
        <w:pStyle w:val="Heading2"/>
        <w:numPr>
          <w:ilvl w:val="1"/>
          <w:numId w:val="23"/>
        </w:numPr>
      </w:pPr>
      <w:r>
        <w:t>The agreed cost</w:t>
      </w:r>
      <w:r>
        <w:noBreakHyphen/>
        <w:t xml:space="preserve">effectiveness of the servicing sector </w:t>
      </w:r>
      <w:r w:rsidR="002B0A92">
        <w:t>(</w:t>
      </w:r>
      <w:r>
        <w:t>US $/kg</w:t>
      </w:r>
      <w:r w:rsidR="002B0A92">
        <w:t>) =</w:t>
      </w:r>
      <w:r>
        <w:t xml:space="preserve"> </w:t>
      </w:r>
      <w:r w:rsidRPr="00CA33B1">
        <w:rPr>
          <w:i/>
          <w:iCs/>
        </w:rPr>
        <w:t>X</w:t>
      </w:r>
    </w:p>
    <w:p w14:paraId="0F12DEC0" w14:textId="65B0C789" w:rsidR="00686522" w:rsidRDefault="00686522" w:rsidP="000B4543">
      <w:pPr>
        <w:pStyle w:val="Heading1"/>
        <w:numPr>
          <w:ilvl w:val="0"/>
          <w:numId w:val="23"/>
        </w:numPr>
        <w:spacing w:after="160"/>
      </w:pPr>
      <w:r>
        <w:t>To convert the cost-effectiveness of the servicing sector</w:t>
      </w:r>
      <w:r w:rsidR="007664FC">
        <w:t xml:space="preserve"> </w:t>
      </w:r>
      <w:r w:rsidR="00584F76">
        <w:t>(</w:t>
      </w:r>
      <w:r w:rsidR="007664FC">
        <w:rPr>
          <w:i/>
          <w:iCs/>
        </w:rPr>
        <w:t>X</w:t>
      </w:r>
      <w:r w:rsidR="00584F76" w:rsidRPr="00584F76">
        <w:t>)</w:t>
      </w:r>
      <w:r w:rsidR="007664FC" w:rsidRPr="00584F76">
        <w:t xml:space="preserve"> </w:t>
      </w:r>
      <w:r w:rsidR="00BB7E78" w:rsidRPr="00CB194A">
        <w:t xml:space="preserve">in </w:t>
      </w:r>
      <w:r w:rsidR="007664FC">
        <w:t>US</w:t>
      </w:r>
      <w:r w:rsidR="00C919A6">
        <w:t> $</w:t>
      </w:r>
      <w:r w:rsidR="007664FC">
        <w:t>/kg</w:t>
      </w:r>
      <w:r>
        <w:t xml:space="preserve"> to US $/</w:t>
      </w:r>
      <w:r w:rsidR="00B4445D">
        <w:t>CO</w:t>
      </w:r>
      <w:r w:rsidR="00B4445D" w:rsidRPr="00B4445D">
        <w:rPr>
          <w:vertAlign w:val="subscript"/>
        </w:rPr>
        <w:t>2</w:t>
      </w:r>
      <w:r w:rsidR="00B4445D">
        <w:t>-eq tonne</w:t>
      </w:r>
      <w:r w:rsidR="00761551">
        <w:t xml:space="preserve">, the </w:t>
      </w:r>
      <w:r w:rsidR="00DF2822">
        <w:t>t</w:t>
      </w:r>
      <w:r w:rsidR="00761551" w:rsidRPr="00761551">
        <w:t xml:space="preserve">otal funding for the servicing sector </w:t>
      </w:r>
      <w:r w:rsidR="004F3997">
        <w:t>(</w:t>
      </w:r>
      <w:r w:rsidR="00761551" w:rsidRPr="00761551">
        <w:t>US $</w:t>
      </w:r>
      <w:r w:rsidR="004F3997">
        <w:t>)</w:t>
      </w:r>
      <w:r w:rsidR="00DF2822">
        <w:t xml:space="preserve"> </w:t>
      </w:r>
      <w:r w:rsidR="008A547A">
        <w:t xml:space="preserve">would be divided </w:t>
      </w:r>
      <w:r w:rsidR="00DF2822">
        <w:t xml:space="preserve">by the country’s </w:t>
      </w:r>
      <w:r w:rsidR="00A75500">
        <w:t xml:space="preserve">HFC </w:t>
      </w:r>
      <w:r w:rsidR="00DF2822">
        <w:t>c</w:t>
      </w:r>
      <w:r w:rsidR="00DF2822" w:rsidRPr="00DF2822">
        <w:t xml:space="preserve">onsumption </w:t>
      </w:r>
      <w:r w:rsidR="004F3997">
        <w:t>(</w:t>
      </w:r>
      <w:r w:rsidR="00B4445D">
        <w:t>CO</w:t>
      </w:r>
      <w:r w:rsidR="00B4445D" w:rsidRPr="00B4445D">
        <w:rPr>
          <w:vertAlign w:val="subscript"/>
        </w:rPr>
        <w:t>2</w:t>
      </w:r>
      <w:r w:rsidR="00B4445D">
        <w:t>-eq tonne</w:t>
      </w:r>
      <w:r w:rsidR="009A219E">
        <w:t>s</w:t>
      </w:r>
      <w:r w:rsidR="004F3997">
        <w:t>)</w:t>
      </w:r>
      <w:r w:rsidR="000E11E4">
        <w:t>, wher</w:t>
      </w:r>
      <w:r w:rsidR="00C46FF5">
        <w:t>e</w:t>
      </w:r>
      <w:r w:rsidR="00EC5651">
        <w:t>:</w:t>
      </w:r>
    </w:p>
    <w:p w14:paraId="3B9833FF" w14:textId="77777777" w:rsidR="008F6CE9" w:rsidRPr="0042176D" w:rsidRDefault="008F6CE9" w:rsidP="00F14748">
      <w:pPr>
        <w:spacing w:after="160"/>
        <w:ind w:left="1440"/>
        <w:rPr>
          <w:iCs/>
        </w:rPr>
      </w:pPr>
      <m:oMathPara>
        <m:oMathParaPr>
          <m:jc m:val="left"/>
        </m:oMathParaPr>
        <m:oMath>
          <m:r>
            <m:rPr>
              <m:sty m:val="p"/>
            </m:rPr>
            <w:rPr>
              <w:rFonts w:ascii="Cambria Math" w:hAnsi="Cambria Math"/>
            </w:rPr>
            <m:t>1 mt=1,000 kg</m:t>
          </m:r>
        </m:oMath>
      </m:oMathPara>
    </w:p>
    <w:p w14:paraId="5AAFD9D3" w14:textId="39D7DA8E" w:rsidR="00C46FF5" w:rsidRPr="00970F8F" w:rsidRDefault="00C46FF5" w:rsidP="0062745A">
      <w:pPr>
        <w:pStyle w:val="Heading2"/>
        <w:numPr>
          <w:ilvl w:val="0"/>
          <w:numId w:val="0"/>
        </w:numPr>
        <w:spacing w:after="160"/>
        <w:ind w:left="1440"/>
        <w:jc w:val="left"/>
        <w:rPr>
          <w:i/>
        </w:rPr>
      </w:pPr>
      <m:oMath>
        <m:r>
          <m:rPr>
            <m:sty m:val="p"/>
          </m:rPr>
          <w:rPr>
            <w:rFonts w:ascii="Cambria Math" w:hAnsi="Cambria Math"/>
          </w:rPr>
          <m:t>Total funding for the servicing sector (US $)=1,000</m:t>
        </m:r>
        <m:r>
          <w:rPr>
            <w:rFonts w:ascii="Cambria Math" w:hAnsi="Cambria Math"/>
          </w:rPr>
          <m:t>X∙</m:t>
        </m:r>
      </m:oMath>
      <w:r w:rsidRPr="00970F8F">
        <w:rPr>
          <w:i/>
        </w:rPr>
        <w:t>(</w:t>
      </w:r>
      <m:oMath>
        <m:r>
          <w:rPr>
            <w:rFonts w:ascii="Cambria Math" w:hAnsi="Cambria Math"/>
          </w:rPr>
          <m:t>a+b+…+n</m:t>
        </m:r>
      </m:oMath>
      <w:r w:rsidRPr="00970F8F">
        <w:rPr>
          <w:i/>
        </w:rPr>
        <w:t>)</w:t>
      </w:r>
    </w:p>
    <w:p w14:paraId="3D0F80EA" w14:textId="766AAD7C" w:rsidR="00E630B6" w:rsidRPr="00C3306E" w:rsidRDefault="00970F8F" w:rsidP="00A56BEA">
      <w:pPr>
        <w:pStyle w:val="Heading2"/>
        <w:numPr>
          <w:ilvl w:val="0"/>
          <w:numId w:val="0"/>
        </w:numPr>
        <w:spacing w:after="360"/>
        <w:ind w:left="1440"/>
      </w:pPr>
      <m:oMathPara>
        <m:oMathParaPr>
          <m:jc m:val="left"/>
        </m:oMathParaPr>
        <m:oMath>
          <m:r>
            <m:rPr>
              <m:sty m:val="p"/>
            </m:rPr>
            <w:rPr>
              <w:rFonts w:ascii="Cambria Math" w:hAnsi="Cambria Math"/>
            </w:rPr>
            <m:t>Consumption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-eq tonnes)=</m:t>
          </m:r>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GWP</m:t>
              </m:r>
            </m:e>
            <m:sub>
              <m:r>
                <m:rPr>
                  <m:sty m:val="p"/>
                </m:rPr>
                <w:rPr>
                  <w:rFonts w:ascii="Cambria Math" w:hAnsi="Cambria Math"/>
                </w:rPr>
                <m:t>1</m:t>
              </m:r>
            </m:sub>
          </m:sSub>
          <m:r>
            <m:rPr>
              <m:sty m:val="p"/>
            </m:rPr>
            <w:rPr>
              <w:rFonts w:ascii="Cambria Math" w:hAnsi="Cambria Math"/>
            </w:rPr>
            <m:t xml:space="preserve">+ </m:t>
          </m:r>
          <m:r>
            <w:rPr>
              <w:rFonts w:ascii="Cambria Math" w:hAnsi="Cambria Math"/>
            </w:rPr>
            <m:t>b</m:t>
          </m:r>
          <m:r>
            <m:rPr>
              <m:sty m:val="p"/>
            </m:rPr>
            <w:rPr>
              <w:rFonts w:ascii="Cambria Math" w:hAnsi="Cambria Math"/>
            </w:rPr>
            <m:t>∙</m:t>
          </m:r>
          <m:sSub>
            <m:sSubPr>
              <m:ctrlPr>
                <w:rPr>
                  <w:rFonts w:ascii="Cambria Math" w:hAnsi="Cambria Math"/>
                </w:rPr>
              </m:ctrlPr>
            </m:sSubPr>
            <m:e>
              <m:r>
                <w:rPr>
                  <w:rFonts w:ascii="Cambria Math" w:hAnsi="Cambria Math"/>
                </w:rPr>
                <m:t>GWP</m:t>
              </m:r>
            </m:e>
            <m:sub>
              <m:r>
                <m:rPr>
                  <m:sty m:val="p"/>
                </m:rPr>
                <w:rPr>
                  <w:rFonts w:ascii="Cambria Math" w:hAnsi="Cambria Math"/>
                </w:rPr>
                <m:t>2</m:t>
              </m:r>
            </m:sub>
          </m:sSub>
          <m:r>
            <m:rPr>
              <m:sty m:val="p"/>
            </m:rPr>
            <w:rPr>
              <w:rFonts w:ascii="Cambria Math" w:hAnsi="Cambria Math"/>
            </w:rPr>
            <m:t>+…+</m:t>
          </m:r>
          <m:r>
            <w:rPr>
              <w:rFonts w:ascii="Cambria Math" w:hAnsi="Cambria Math"/>
            </w:rPr>
            <m:t>n</m:t>
          </m:r>
          <m:r>
            <m:rPr>
              <m:sty m:val="p"/>
            </m:rPr>
            <w:rPr>
              <w:rFonts w:ascii="Cambria Math" w:hAnsi="Cambria Math"/>
            </w:rPr>
            <m:t>∙</m:t>
          </m:r>
          <m:sSub>
            <m:sSubPr>
              <m:ctrlPr>
                <w:rPr>
                  <w:rFonts w:ascii="Cambria Math" w:hAnsi="Cambria Math"/>
                </w:rPr>
              </m:ctrlPr>
            </m:sSubPr>
            <m:e>
              <m:r>
                <w:rPr>
                  <w:rFonts w:ascii="Cambria Math" w:hAnsi="Cambria Math"/>
                </w:rPr>
                <m:t>GWP</m:t>
              </m:r>
            </m:e>
            <m:sub>
              <m:r>
                <w:rPr>
                  <w:rFonts w:ascii="Cambria Math" w:hAnsi="Cambria Math"/>
                </w:rPr>
                <m:t>n</m:t>
              </m:r>
            </m:sub>
          </m:sSub>
        </m:oMath>
      </m:oMathPara>
    </w:p>
    <w:p w14:paraId="4590C505" w14:textId="175B0720" w:rsidR="0042176D" w:rsidRPr="00C3306E" w:rsidRDefault="000E1F42" w:rsidP="00C658D7">
      <w:pPr>
        <w:pStyle w:val="Heading1"/>
        <w:numPr>
          <w:ilvl w:val="0"/>
          <w:numId w:val="23"/>
        </w:numPr>
        <w:spacing w:after="360"/>
        <w:rPr>
          <w:iCs/>
        </w:rPr>
      </w:pPr>
      <w:r>
        <w:t>Therefore, t</w:t>
      </w:r>
      <w:r w:rsidR="0042176D">
        <w:t>he cost-effectiveness of the servicing sector in US $/</w:t>
      </w:r>
      <w:r w:rsidR="00126B2F">
        <w:t>CO</w:t>
      </w:r>
      <w:r w:rsidR="00126B2F" w:rsidRPr="00B4445D">
        <w:rPr>
          <w:vertAlign w:val="subscript"/>
        </w:rPr>
        <w:t>2</w:t>
      </w:r>
      <w:r w:rsidR="00126B2F">
        <w:t>-eq tonne</w:t>
      </w:r>
      <w:r w:rsidR="0042176D">
        <w:t xml:space="preserve"> is:</w:t>
      </w:r>
    </w:p>
    <w:p w14:paraId="3352C47C" w14:textId="4EA7A2EF" w:rsidR="003B4B1E" w:rsidRPr="00964897" w:rsidRDefault="007D587D" w:rsidP="00B9281B">
      <w:pPr>
        <w:spacing w:after="360"/>
        <w:ind w:right="-270"/>
        <w:jc w:val="left"/>
        <w:rPr>
          <w:rFonts w:hAnsi="Cambria Math"/>
        </w:rPr>
      </w:pPr>
      <m:oMathPara>
        <m:oMathParaPr>
          <m:jc m:val="left"/>
        </m:oMathParaPr>
        <m:oMath>
          <m:sSub>
            <m:sSubPr>
              <m:ctrlPr>
                <w:rPr>
                  <w:rFonts w:ascii="Cambria Math" w:hAnsi="Cambria Math"/>
                </w:rPr>
              </m:ctrlPr>
            </m:sSubPr>
            <m:e>
              <m:r>
                <m:rPr>
                  <m:sty m:val="p"/>
                </m:rPr>
                <w:rPr>
                  <w:rFonts w:ascii="Cambria Math" w:hAnsi="Cambria Math"/>
                </w:rPr>
                <m:t>Cost effectiveness</m:t>
              </m:r>
            </m:e>
            <m:sub>
              <m:r>
                <w:rPr>
                  <w:rFonts w:ascii="Cambria Math" w:hAnsi="Cambria Math"/>
                </w:rPr>
                <m:t>servicing</m:t>
              </m:r>
              <m:r>
                <m:rPr>
                  <m:sty m:val="p"/>
                </m:rPr>
                <w:rPr>
                  <w:rFonts w:ascii="Cambria Math" w:hAnsi="Cambria Math"/>
                </w:rPr>
                <m:t xml:space="preserve"> </m:t>
              </m:r>
              <m:r>
                <w:rPr>
                  <w:rFonts w:ascii="Cambria Math" w:hAnsi="Cambria Math"/>
                </w:rPr>
                <m:t>sector</m:t>
              </m:r>
            </m:sub>
          </m:sSub>
          <m:r>
            <m:rPr>
              <m:sty m:val="p"/>
            </m:rPr>
            <w:rPr>
              <w:rFonts w:ascii="Cambria Math" w:hAnsi="Cambria Math"/>
            </w:rPr>
            <m:t xml:space="preserve"> (US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 xml:space="preserve">-eq tonne)= </m:t>
          </m:r>
          <m:f>
            <m:fPr>
              <m:ctrlPr>
                <w:rPr>
                  <w:rFonts w:ascii="Cambria Math" w:hAnsi="Cambria Math"/>
                </w:rPr>
              </m:ctrlPr>
            </m:fPr>
            <m:num>
              <m:r>
                <m:rPr>
                  <m:sty m:val="p"/>
                </m:rPr>
                <w:rPr>
                  <w:rFonts w:ascii="Cambria Math" w:hAnsi="Cambria Math"/>
                </w:rPr>
                <m:t>Total funding for the servicing sector (US $)</m:t>
              </m:r>
            </m:num>
            <m:den>
              <m:r>
                <m:rPr>
                  <m:sty m:val="p"/>
                </m:rPr>
                <w:rPr>
                  <w:rFonts w:ascii="Cambria Math" w:hAnsi="Cambria Math"/>
                </w:rPr>
                <m:t>Consumption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-eq tonnes</m:t>
              </m:r>
              <m:r>
                <w:rPr>
                  <w:rFonts w:ascii="Cambria Math" w:hAnsi="Cambria Math"/>
                </w:rPr>
                <m:t>)</m:t>
              </m:r>
            </m:den>
          </m:f>
        </m:oMath>
      </m:oMathPara>
    </w:p>
    <w:p w14:paraId="1A04BBC1" w14:textId="098BAEB9" w:rsidR="001E240B" w:rsidRPr="00964897" w:rsidRDefault="007D587D" w:rsidP="000D5BB5">
      <w:pPr>
        <w:pStyle w:val="Heading2"/>
        <w:numPr>
          <w:ilvl w:val="0"/>
          <w:numId w:val="0"/>
        </w:numPr>
        <w:jc w:val="left"/>
      </w:pPr>
      <m:oMathPara>
        <m:oMathParaPr>
          <m:jc m:val="left"/>
        </m:oMathParaPr>
        <m:oMath>
          <m:sSub>
            <m:sSubPr>
              <m:ctrlPr>
                <w:rPr>
                  <w:rFonts w:ascii="Cambria Math" w:hAnsi="Cambria Math"/>
                </w:rPr>
              </m:ctrlPr>
            </m:sSubPr>
            <m:e>
              <m:r>
                <m:rPr>
                  <m:sty m:val="p"/>
                </m:rPr>
                <w:rPr>
                  <w:rFonts w:ascii="Cambria Math" w:hAnsi="Cambria Math"/>
                </w:rPr>
                <m:t>Cost effectiveness</m:t>
              </m:r>
            </m:e>
            <m:sub>
              <m:r>
                <w:rPr>
                  <w:rFonts w:ascii="Cambria Math" w:hAnsi="Cambria Math"/>
                </w:rPr>
                <m:t>servicing</m:t>
              </m:r>
              <m:r>
                <m:rPr>
                  <m:sty m:val="p"/>
                </m:rPr>
                <w:rPr>
                  <w:rFonts w:ascii="Cambria Math" w:hAnsi="Cambria Math"/>
                </w:rPr>
                <m:t xml:space="preserve"> </m:t>
              </m:r>
              <m:r>
                <w:rPr>
                  <w:rFonts w:ascii="Cambria Math" w:hAnsi="Cambria Math"/>
                </w:rPr>
                <m:t>sector</m:t>
              </m:r>
            </m:sub>
          </m:sSub>
          <m:r>
            <m:rPr>
              <m:sty m:val="p"/>
            </m:rPr>
            <w:rPr>
              <w:rFonts w:ascii="Cambria Math" w:hAnsi="Cambria Math"/>
            </w:rPr>
            <m:t xml:space="preserve"> (US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-eq tonne</m:t>
          </m:r>
          <m:r>
            <m:rPr>
              <m:sty m:val="p"/>
            </m:rPr>
            <w:rPr>
              <w:rFonts w:ascii="Cambria Math"/>
            </w:rPr>
            <m:t>)</m:t>
          </m:r>
          <m:r>
            <m:rPr>
              <m:sty m:val="p"/>
            </m:rPr>
            <w:rPr>
              <w:rFonts w:ascii="Cambria Math" w:hAnsi="Cambria Math"/>
            </w:rPr>
            <m:t xml:space="preserve">= </m:t>
          </m:r>
          <m:f>
            <m:fPr>
              <m:ctrlPr>
                <w:rPr>
                  <w:rFonts w:ascii="Cambria Math" w:hAnsi="Cambria Math"/>
                </w:rPr>
              </m:ctrlPr>
            </m:fPr>
            <m:num>
              <m:r>
                <w:rPr>
                  <w:rFonts w:ascii="Cambria Math" w:hAnsi="Cambria Math"/>
                </w:rPr>
                <m:t>1,000X</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n</m:t>
              </m:r>
              <m:r>
                <m:rPr>
                  <m:sty m:val="p"/>
                </m:rPr>
                <w:rPr>
                  <w:rFonts w:ascii="Cambria Math" w:hAnsi="Cambria Math"/>
                </w:rPr>
                <m:t>)</m:t>
              </m:r>
            </m:num>
            <m:den>
              <m:r>
                <m:rPr>
                  <m:sty m:val="p"/>
                </m:rPr>
                <w:rPr>
                  <w:rFonts w:ascii="Cambria Math" w:hAnsi="Cambria Math"/>
                </w:rPr>
                <m:t>(</m:t>
              </m:r>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GWP</m:t>
                  </m:r>
                </m:e>
                <m:sub>
                  <m:r>
                    <m:rPr>
                      <m:sty m:val="p"/>
                    </m:rPr>
                    <w:rPr>
                      <w:rFonts w:ascii="Cambria Math" w:hAnsi="Cambria Math"/>
                    </w:rPr>
                    <m:t>1</m:t>
                  </m:r>
                </m:sub>
              </m:sSub>
              <m:r>
                <m:rPr>
                  <m:sty m:val="p"/>
                </m:rPr>
                <w:rPr>
                  <w:rFonts w:ascii="Cambria Math" w:hAnsi="Cambria Math"/>
                </w:rPr>
                <m:t xml:space="preserve">+ </m:t>
              </m:r>
              <m:r>
                <w:rPr>
                  <w:rFonts w:ascii="Cambria Math" w:hAnsi="Cambria Math"/>
                </w:rPr>
                <m:t>b</m:t>
              </m:r>
              <m:r>
                <m:rPr>
                  <m:sty m:val="p"/>
                </m:rPr>
                <w:rPr>
                  <w:rFonts w:ascii="Cambria Math" w:hAnsi="Cambria Math"/>
                </w:rPr>
                <m:t>∙</m:t>
              </m:r>
              <m:sSub>
                <m:sSubPr>
                  <m:ctrlPr>
                    <w:rPr>
                      <w:rFonts w:ascii="Cambria Math" w:hAnsi="Cambria Math"/>
                    </w:rPr>
                  </m:ctrlPr>
                </m:sSubPr>
                <m:e>
                  <m:r>
                    <w:rPr>
                      <w:rFonts w:ascii="Cambria Math" w:hAnsi="Cambria Math"/>
                    </w:rPr>
                    <m:t>GWP</m:t>
                  </m:r>
                </m:e>
                <m:sub>
                  <m:r>
                    <m:rPr>
                      <m:sty m:val="p"/>
                    </m:rPr>
                    <w:rPr>
                      <w:rFonts w:ascii="Cambria Math" w:hAnsi="Cambria Math"/>
                    </w:rPr>
                    <m:t>2</m:t>
                  </m:r>
                </m:sub>
              </m:sSub>
              <m:r>
                <m:rPr>
                  <m:sty m:val="p"/>
                </m:rPr>
                <w:rPr>
                  <w:rFonts w:ascii="Cambria Math" w:hAnsi="Cambria Math"/>
                </w:rPr>
                <m:t>+…+</m:t>
              </m:r>
              <m:r>
                <w:rPr>
                  <w:rFonts w:ascii="Cambria Math" w:hAnsi="Cambria Math"/>
                </w:rPr>
                <m:t>n</m:t>
              </m:r>
              <m:r>
                <m:rPr>
                  <m:sty m:val="p"/>
                </m:rPr>
                <w:rPr>
                  <w:rFonts w:ascii="Cambria Math" w:hAnsi="Cambria Math"/>
                </w:rPr>
                <m:t>∙</m:t>
              </m:r>
              <m:sSub>
                <m:sSubPr>
                  <m:ctrlPr>
                    <w:rPr>
                      <w:rFonts w:ascii="Cambria Math" w:hAnsi="Cambria Math"/>
                    </w:rPr>
                  </m:ctrlPr>
                </m:sSubPr>
                <m:e>
                  <m:r>
                    <w:rPr>
                      <w:rFonts w:ascii="Cambria Math" w:hAnsi="Cambria Math"/>
                    </w:rPr>
                    <m:t>GWP</m:t>
                  </m:r>
                </m:e>
                <m:sub>
                  <m:r>
                    <w:rPr>
                      <w:rFonts w:ascii="Cambria Math" w:hAnsi="Cambria Math"/>
                    </w:rPr>
                    <m:t>n</m:t>
                  </m:r>
                </m:sub>
              </m:sSub>
              <m:r>
                <m:rPr>
                  <m:sty m:val="p"/>
                </m:rPr>
                <w:rPr>
                  <w:rFonts w:ascii="Cambria Math" w:hAnsi="Cambria Math"/>
                </w:rPr>
                <m:t>)</m:t>
              </m:r>
            </m:den>
          </m:f>
        </m:oMath>
      </m:oMathPara>
    </w:p>
    <w:p w14:paraId="0F55A6BB" w14:textId="35866F30" w:rsidR="00363AA0" w:rsidRDefault="00D24961" w:rsidP="00C658D7">
      <w:pPr>
        <w:pStyle w:val="Heading1"/>
        <w:spacing w:before="600" w:after="360"/>
      </w:pPr>
      <w:r>
        <w:t>For example, if a country consumes 1</w:t>
      </w:r>
      <w:r w:rsidR="00792FF5">
        <w:t>2</w:t>
      </w:r>
      <w:r>
        <w:t>0 mt of R-410A and 1</w:t>
      </w:r>
      <w:r w:rsidR="00792FF5">
        <w:t>6</w:t>
      </w:r>
      <w:r>
        <w:t>0 mt of HFC-134a</w:t>
      </w:r>
      <w:r w:rsidR="005C4DB2">
        <w:t xml:space="preserve"> in the servicing sector</w:t>
      </w:r>
      <w:r w:rsidR="00363AA0">
        <w:t>:</w:t>
      </w:r>
    </w:p>
    <w:p w14:paraId="49896C6F" w14:textId="1423D90C" w:rsidR="009A1362" w:rsidRPr="00964897" w:rsidRDefault="007D587D" w:rsidP="004A3AA4">
      <w:pPr>
        <w:pStyle w:val="Heading2"/>
        <w:numPr>
          <w:ilvl w:val="0"/>
          <w:numId w:val="0"/>
        </w:numPr>
        <w:ind w:right="-279"/>
      </w:pPr>
      <m:oMathPara>
        <m:oMathParaPr>
          <m:jc m:val="center"/>
        </m:oMathParaPr>
        <m:oMath>
          <m:sSub>
            <m:sSubPr>
              <m:ctrlPr>
                <w:rPr>
                  <w:rFonts w:ascii="Cambria Math" w:hAnsi="Cambria Math"/>
                </w:rPr>
              </m:ctrlPr>
            </m:sSubPr>
            <m:e>
              <m:r>
                <m:rPr>
                  <m:sty m:val="p"/>
                </m:rPr>
                <w:rPr>
                  <w:rFonts w:ascii="Cambria Math" w:hAnsi="Cambria Math"/>
                </w:rPr>
                <m:t>Cost effectiveness</m:t>
              </m:r>
            </m:e>
            <m:sub>
              <m:r>
                <w:rPr>
                  <w:rFonts w:ascii="Cambria Math" w:hAnsi="Cambria Math"/>
                </w:rPr>
                <m:t>servicing</m:t>
              </m:r>
              <m:r>
                <m:rPr>
                  <m:sty m:val="p"/>
                </m:rPr>
                <w:rPr>
                  <w:rFonts w:ascii="Cambria Math" w:hAnsi="Cambria Math"/>
                </w:rPr>
                <m:t xml:space="preserve"> </m:t>
              </m:r>
              <m:r>
                <w:rPr>
                  <w:rFonts w:ascii="Cambria Math" w:hAnsi="Cambria Math"/>
                </w:rPr>
                <m:t>sector</m:t>
              </m:r>
            </m:sub>
          </m:sSub>
          <m:r>
            <m:rPr>
              <m:sty m:val="p"/>
            </m:rPr>
            <w:rPr>
              <w:rFonts w:ascii="Cambria Math" w:hAnsi="Cambria Math"/>
            </w:rPr>
            <m:t xml:space="preserve">= </m:t>
          </m:r>
          <m:f>
            <m:fPr>
              <m:ctrlPr>
                <w:rPr>
                  <w:rFonts w:ascii="Cambria Math" w:hAnsi="Cambria Math"/>
                </w:rPr>
              </m:ctrlPr>
            </m:fPr>
            <m:num>
              <m:r>
                <w:rPr>
                  <w:rFonts w:ascii="Cambria Math" w:hAnsi="Cambria Math"/>
                </w:rPr>
                <m:t>1,000X</m:t>
              </m:r>
              <m:r>
                <m:rPr>
                  <m:sty m:val="p"/>
                </m:rPr>
                <w:rPr>
                  <w:rFonts w:ascii="Cambria Math" w:hAnsi="Cambria Math"/>
                </w:rPr>
                <m:t>∙(</m:t>
              </m:r>
              <m:r>
                <w:rPr>
                  <w:rFonts w:ascii="Cambria Math" w:hAnsi="Cambria Math"/>
                </w:rPr>
                <m:t>280</m:t>
              </m:r>
              <m:r>
                <m:rPr>
                  <m:sty m:val="p"/>
                </m:rPr>
                <w:rPr>
                  <w:rFonts w:ascii="Cambria Math" w:hAnsi="Cambria Math"/>
                </w:rPr>
                <m:t>)</m:t>
              </m:r>
            </m:num>
            <m:den>
              <m:r>
                <m:rPr>
                  <m:sty m:val="p"/>
                </m:rPr>
                <w:rPr>
                  <w:rFonts w:ascii="Cambria Math" w:hAnsi="Cambria Math"/>
                </w:rPr>
                <m:t>(120∙2,087.5+160∙1,430)</m:t>
              </m:r>
            </m:den>
          </m:f>
          <m:r>
            <w:rPr>
              <w:rFonts w:ascii="Cambria Math" w:hAnsi="Cambria Math"/>
            </w:rPr>
            <m:t xml:space="preserve"> = </m:t>
          </m:r>
          <m:f>
            <m:fPr>
              <m:ctrlPr>
                <w:rPr>
                  <w:rFonts w:ascii="Cambria Math" w:hAnsi="Cambria Math"/>
                  <w:i/>
                </w:rPr>
              </m:ctrlPr>
            </m:fPr>
            <m:num>
              <m:r>
                <w:rPr>
                  <w:rFonts w:ascii="Cambria Math" w:hAnsi="Cambria Math"/>
                </w:rPr>
                <m:t>280,000X</m:t>
              </m:r>
            </m:num>
            <m:den>
              <m:r>
                <w:rPr>
                  <w:rFonts w:ascii="Cambria Math" w:hAnsi="Cambria Math"/>
                </w:rPr>
                <m:t>479,300</m:t>
              </m:r>
            </m:den>
          </m:f>
          <m:r>
            <w:rPr>
              <w:rFonts w:ascii="Cambria Math" w:hAnsi="Cambria Math"/>
            </w:rPr>
            <m:t xml:space="preserve"> </m:t>
          </m:r>
          <m:r>
            <m:rPr>
              <m:sty m:val="p"/>
            </m:rPr>
            <w:rPr>
              <w:rFonts w:ascii="Cambria Math" w:hAnsi="Cambria Math"/>
            </w:rPr>
            <m:t>US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-eq tonne</m:t>
          </m:r>
        </m:oMath>
      </m:oMathPara>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F2CC2" w:rsidRPr="002F6E66" w14:paraId="3344CEAB" w14:textId="77777777">
        <w:tc>
          <w:tcPr>
            <w:tcW w:w="1871" w:type="dxa"/>
          </w:tcPr>
          <w:p w14:paraId="312BD343" w14:textId="4D9AA4EF" w:rsidR="006F2CC2" w:rsidRDefault="00A31F9F">
            <w:r>
              <w:t xml:space="preserve"> </w:t>
            </w:r>
          </w:p>
          <w:p w14:paraId="39B7490B" w14:textId="77777777" w:rsidR="00AE62CF" w:rsidRDefault="00AE62CF"/>
          <w:p w14:paraId="2B30046C" w14:textId="77777777" w:rsidR="00AE62CF" w:rsidRDefault="00AE62CF"/>
          <w:p w14:paraId="53DAA9E2" w14:textId="4779EAC3" w:rsidR="00AE62CF" w:rsidRPr="002F6E66" w:rsidRDefault="00AE62CF"/>
        </w:tc>
        <w:tc>
          <w:tcPr>
            <w:tcW w:w="1872" w:type="dxa"/>
          </w:tcPr>
          <w:p w14:paraId="06B4257C" w14:textId="77777777" w:rsidR="006F2CC2" w:rsidRPr="002F6E66" w:rsidRDefault="006F2CC2"/>
        </w:tc>
        <w:tc>
          <w:tcPr>
            <w:tcW w:w="1872" w:type="dxa"/>
            <w:tcBorders>
              <w:bottom w:val="single" w:sz="4" w:space="0" w:color="auto"/>
            </w:tcBorders>
          </w:tcPr>
          <w:p w14:paraId="480ECC7B" w14:textId="77777777" w:rsidR="006F2CC2" w:rsidRPr="002F6E66" w:rsidRDefault="006F2CC2"/>
        </w:tc>
        <w:tc>
          <w:tcPr>
            <w:tcW w:w="1872" w:type="dxa"/>
          </w:tcPr>
          <w:p w14:paraId="7AC75AA1" w14:textId="77777777" w:rsidR="006F2CC2" w:rsidRPr="002F6E66" w:rsidRDefault="006F2CC2"/>
        </w:tc>
        <w:tc>
          <w:tcPr>
            <w:tcW w:w="1873" w:type="dxa"/>
          </w:tcPr>
          <w:p w14:paraId="4CECCB6C" w14:textId="77777777" w:rsidR="006F2CC2" w:rsidRPr="002F6E66" w:rsidRDefault="006F2CC2"/>
        </w:tc>
      </w:tr>
    </w:tbl>
    <w:p w14:paraId="71B94731" w14:textId="77777777" w:rsidR="006F2CC2" w:rsidRPr="002F6E66" w:rsidRDefault="006F2CC2" w:rsidP="002F50A8"/>
    <w:sectPr w:rsidR="006F2CC2" w:rsidRPr="002F6E66" w:rsidSect="00A328B0">
      <w:headerReference w:type="even" r:id="rId19"/>
      <w:headerReference w:type="default" r:id="rId20"/>
      <w:headerReference w:type="first" r:id="rId21"/>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B523BE" w14:textId="77777777" w:rsidR="0091118A" w:rsidRDefault="0091118A" w:rsidP="004A504B">
      <w:r>
        <w:separator/>
      </w:r>
    </w:p>
  </w:endnote>
  <w:endnote w:type="continuationSeparator" w:id="0">
    <w:p w14:paraId="1C21CF58" w14:textId="77777777" w:rsidR="0091118A" w:rsidRDefault="0091118A" w:rsidP="004A504B">
      <w:r>
        <w:continuationSeparator/>
      </w:r>
    </w:p>
  </w:endnote>
  <w:endnote w:type="continuationNotice" w:id="1">
    <w:p w14:paraId="4806370E" w14:textId="77777777" w:rsidR="0091118A" w:rsidRDefault="009111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C93C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4DEA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8D2202" w14:textId="77777777" w:rsidR="0091118A" w:rsidRDefault="0091118A" w:rsidP="004A504B">
      <w:r>
        <w:separator/>
      </w:r>
    </w:p>
  </w:footnote>
  <w:footnote w:type="continuationSeparator" w:id="0">
    <w:p w14:paraId="3788A298" w14:textId="77777777" w:rsidR="0091118A" w:rsidRDefault="0091118A" w:rsidP="004A504B">
      <w:r>
        <w:continuationSeparator/>
      </w:r>
    </w:p>
  </w:footnote>
  <w:footnote w:type="continuationNotice" w:id="1">
    <w:p w14:paraId="15B9E34D" w14:textId="77777777" w:rsidR="0091118A" w:rsidRDefault="0091118A"/>
  </w:footnote>
  <w:footnote w:id="2">
    <w:p w14:paraId="02F4ACCE" w14:textId="0577E864" w:rsidR="000C2F27" w:rsidRDefault="000C2F27" w:rsidP="00313D3B">
      <w:pPr>
        <w:pStyle w:val="FootnoteText"/>
      </w:pPr>
      <w:r>
        <w:rPr>
          <w:rStyle w:val="FootnoteReference"/>
        </w:rPr>
        <w:footnoteRef/>
      </w:r>
      <w:r>
        <w:t xml:space="preserve"> UNEP/</w:t>
      </w:r>
      <w:proofErr w:type="spellStart"/>
      <w:r>
        <w:t>OzL.Pro</w:t>
      </w:r>
      <w:proofErr w:type="spellEnd"/>
      <w:r>
        <w:t>/ExCom/9</w:t>
      </w:r>
      <w:r w:rsidR="002C456D">
        <w:t>3</w:t>
      </w:r>
      <w:r>
        <w:t>/1</w:t>
      </w:r>
    </w:p>
  </w:footnote>
  <w:footnote w:id="3">
    <w:p w14:paraId="37D90EA1" w14:textId="32E91B96" w:rsidR="00313D3B" w:rsidRPr="00313D3B" w:rsidRDefault="00313D3B">
      <w:pPr>
        <w:pStyle w:val="FootnoteText"/>
        <w:rPr>
          <w:lang w:val="en-US"/>
        </w:rPr>
      </w:pPr>
      <w:r>
        <w:rPr>
          <w:rStyle w:val="FootnoteReference"/>
        </w:rPr>
        <w:footnoteRef/>
      </w:r>
      <w:r>
        <w:t xml:space="preserve"> UNEP/</w:t>
      </w:r>
      <w:proofErr w:type="spellStart"/>
      <w:r>
        <w:t>OzL.Pro</w:t>
      </w:r>
      <w:proofErr w:type="spellEnd"/>
      <w:r>
        <w:t>/ExCom/91/62</w:t>
      </w:r>
    </w:p>
  </w:footnote>
  <w:footnote w:id="4">
    <w:p w14:paraId="7BC953A4" w14:textId="2665CB3D" w:rsidR="00224086" w:rsidRPr="00224086" w:rsidRDefault="00224086" w:rsidP="00313D3B">
      <w:pPr>
        <w:pStyle w:val="FootnoteText"/>
      </w:pPr>
      <w:r>
        <w:rPr>
          <w:rStyle w:val="FootnoteReference"/>
        </w:rPr>
        <w:footnoteRef/>
      </w:r>
      <w:r>
        <w:t xml:space="preserve"> UNEP/</w:t>
      </w:r>
      <w:proofErr w:type="spellStart"/>
      <w:r>
        <w:t>OzL.Pro</w:t>
      </w:r>
      <w:proofErr w:type="spellEnd"/>
      <w:r>
        <w:t>/ExCom/91/72</w:t>
      </w:r>
    </w:p>
  </w:footnote>
  <w:footnote w:id="5">
    <w:p w14:paraId="335A0C64" w14:textId="77777777" w:rsidR="00A11CE0" w:rsidRPr="00EB33D0" w:rsidRDefault="00A11CE0" w:rsidP="00A11CE0">
      <w:pPr>
        <w:pStyle w:val="FootnoteText"/>
      </w:pPr>
      <w:r>
        <w:rPr>
          <w:rStyle w:val="FootnoteReference"/>
        </w:rPr>
        <w:footnoteRef/>
      </w:r>
      <w:r>
        <w:t xml:space="preserve"> </w:t>
      </w:r>
      <w:r w:rsidRPr="002C6B75">
        <w:t>Article 5 group 1 countries would need to phase</w:t>
      </w:r>
      <w:r>
        <w:t xml:space="preserve"> </w:t>
      </w:r>
      <w:r w:rsidRPr="002C6B75">
        <w:t>down 80 per cent of the HFC baseline by their final control step in 2045, while Article 5 group</w:t>
      </w:r>
      <w:r>
        <w:t> </w:t>
      </w:r>
      <w:r w:rsidRPr="002C6B75">
        <w:t>2 countries would need to phase</w:t>
      </w:r>
      <w:r>
        <w:t xml:space="preserve"> </w:t>
      </w:r>
      <w:r w:rsidRPr="002C6B75">
        <w:t>down 85 per cent of their HFC baseline by their final control step in 2047</w:t>
      </w:r>
      <w:r>
        <w:t>.</w:t>
      </w:r>
    </w:p>
  </w:footnote>
  <w:footnote w:id="6">
    <w:p w14:paraId="5689FA0D" w14:textId="0ECE7BD8" w:rsidR="00BF4C16" w:rsidRPr="00453651" w:rsidRDefault="00BF4C16">
      <w:pPr>
        <w:pStyle w:val="FootnoteText"/>
        <w:rPr>
          <w:lang w:val="en-US"/>
        </w:rPr>
      </w:pPr>
      <w:r>
        <w:rPr>
          <w:rStyle w:val="FootnoteReference"/>
        </w:rPr>
        <w:footnoteRef/>
      </w:r>
      <w:r>
        <w:t xml:space="preserve"> </w:t>
      </w:r>
      <w:r w:rsidR="005C397F">
        <w:rPr>
          <w:lang w:val="en-US"/>
        </w:rPr>
        <w:t>For example, an enterprise that phased ou</w:t>
      </w:r>
      <w:r w:rsidR="00093C63">
        <w:rPr>
          <w:lang w:val="en-US"/>
        </w:rPr>
        <w:t xml:space="preserve">t 10 mt of R-410A would </w:t>
      </w:r>
      <w:r w:rsidR="00FC2706">
        <w:rPr>
          <w:lang w:val="en-US"/>
        </w:rPr>
        <w:t xml:space="preserve">result in a reduction in the country’s remaining consumption </w:t>
      </w:r>
      <w:r w:rsidR="009E422C">
        <w:rPr>
          <w:lang w:val="en-US"/>
        </w:rPr>
        <w:t>eligible</w:t>
      </w:r>
      <w:r w:rsidR="00FC2706">
        <w:rPr>
          <w:lang w:val="en-US"/>
        </w:rPr>
        <w:t xml:space="preserve"> for funding of</w:t>
      </w:r>
      <w:r w:rsidR="009E422C">
        <w:rPr>
          <w:lang w:val="en-US"/>
        </w:rPr>
        <w:t xml:space="preserve"> </w:t>
      </w:r>
      <w:r w:rsidR="00AD07CF">
        <w:rPr>
          <w:lang w:val="en-US"/>
        </w:rPr>
        <w:t>20</w:t>
      </w:r>
      <w:r w:rsidR="004A0034">
        <w:rPr>
          <w:lang w:val="en-US"/>
        </w:rPr>
        <w:t>,</w:t>
      </w:r>
      <w:r w:rsidR="00AD07CF">
        <w:rPr>
          <w:lang w:val="en-US"/>
        </w:rPr>
        <w:t xml:space="preserve">875 </w:t>
      </w:r>
      <w:r w:rsidR="00E5373B">
        <w:t>CO</w:t>
      </w:r>
      <w:r w:rsidR="00E5373B" w:rsidRPr="00B4445D">
        <w:rPr>
          <w:vertAlign w:val="subscript"/>
        </w:rPr>
        <w:t>2</w:t>
      </w:r>
      <w:r w:rsidR="00E5373B">
        <w:t>-eq tonnes</w:t>
      </w:r>
      <w:r w:rsidR="00AD07CF">
        <w:rPr>
          <w:lang w:val="en-US"/>
        </w:rPr>
        <w:t>.</w:t>
      </w:r>
    </w:p>
  </w:footnote>
  <w:footnote w:id="7">
    <w:p w14:paraId="091202C3" w14:textId="62FC17F6" w:rsidR="00BA1876" w:rsidRPr="00453651" w:rsidRDefault="00BA1876">
      <w:pPr>
        <w:pStyle w:val="FootnoteText"/>
        <w:rPr>
          <w:lang w:val="en-US"/>
        </w:rPr>
      </w:pPr>
      <w:r>
        <w:rPr>
          <w:rStyle w:val="FootnoteReference"/>
        </w:rPr>
        <w:footnoteRef/>
      </w:r>
      <w:r>
        <w:t xml:space="preserve"> </w:t>
      </w:r>
      <w:r w:rsidR="0074660C">
        <w:t xml:space="preserve">Past practice in the manufacturing sector is that funding is </w:t>
      </w:r>
      <w:r w:rsidR="009A387E">
        <w:t>the eligible incremental costs (in US</w:t>
      </w:r>
      <w:r w:rsidR="002C06EB">
        <w:t> </w:t>
      </w:r>
      <w:r w:rsidR="009A387E">
        <w:t xml:space="preserve">$) or, if </w:t>
      </w:r>
      <w:r w:rsidR="007516A5">
        <w:t>a cost</w:t>
      </w:r>
      <w:r w:rsidR="006012AA">
        <w:noBreakHyphen/>
      </w:r>
      <w:r w:rsidR="007516A5">
        <w:t xml:space="preserve">effectiveness threshold for the sector was established, the lower of </w:t>
      </w:r>
      <w:r w:rsidR="00CB6DB7" w:rsidRPr="00B509FE">
        <w:rPr>
          <w:lang w:val="en-GB"/>
        </w:rPr>
        <w:t xml:space="preserve">the </w:t>
      </w:r>
      <w:r w:rsidR="00CB6DB7">
        <w:rPr>
          <w:lang w:val="en-GB"/>
        </w:rPr>
        <w:t xml:space="preserve">product of the </w:t>
      </w:r>
      <w:r w:rsidR="00CB6DB7" w:rsidRPr="00B509FE">
        <w:rPr>
          <w:lang w:val="en-GB"/>
        </w:rPr>
        <w:t>enterprise’s consumption (in kg) and the agreed cost-effectiveness threshold (in US $/kg)</w:t>
      </w:r>
      <w:r w:rsidR="00CB6DB7">
        <w:rPr>
          <w:lang w:val="en-GB"/>
        </w:rPr>
        <w:t xml:space="preserve"> or </w:t>
      </w:r>
      <w:r w:rsidR="00CB6DB7" w:rsidRPr="00B509FE">
        <w:rPr>
          <w:lang w:val="en-GB"/>
        </w:rPr>
        <w:t xml:space="preserve">the </w:t>
      </w:r>
      <w:r w:rsidR="00CB6DB7">
        <w:rPr>
          <w:lang w:val="en-GB"/>
        </w:rPr>
        <w:t xml:space="preserve">eligible </w:t>
      </w:r>
      <w:r w:rsidR="00CB6DB7" w:rsidRPr="00B509FE">
        <w:rPr>
          <w:lang w:val="en-GB"/>
        </w:rPr>
        <w:t>incremental costs</w:t>
      </w:r>
      <w:r w:rsidR="00CB6DB7">
        <w:rPr>
          <w:lang w:val="en-GB"/>
        </w:rPr>
        <w:t>.</w:t>
      </w:r>
    </w:p>
  </w:footnote>
  <w:footnote w:id="8">
    <w:p w14:paraId="7BE78851" w14:textId="5873DB30" w:rsidR="00650A96" w:rsidRPr="00D220C3" w:rsidRDefault="00650A96" w:rsidP="00650A96">
      <w:pPr>
        <w:pStyle w:val="FootnoteText"/>
        <w:rPr>
          <w:lang w:val="en-US"/>
        </w:rPr>
      </w:pPr>
      <w:r>
        <w:rPr>
          <w:rStyle w:val="FootnoteReference"/>
        </w:rPr>
        <w:footnoteRef/>
      </w:r>
      <w:r>
        <w:t xml:space="preserve"> </w:t>
      </w:r>
      <w:r>
        <w:rPr>
          <w:lang w:val="en-US"/>
        </w:rPr>
        <w:t>The level of HFC growth refers to the increase in HFC consumption beyond the HFC component of the HFC baseline.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4C70A" w14:textId="705AD49B" w:rsidR="00DC6A10" w:rsidRPr="0033525D" w:rsidRDefault="007B5E3D">
    <w:r>
      <w:fldChar w:fldCharType="begin"/>
    </w:r>
    <w:r>
      <w:instrText xml:space="preserve"> DOCPROPERTY "Document number"  \* MERGEFORMAT </w:instrText>
    </w:r>
    <w:r>
      <w:fldChar w:fldCharType="separate"/>
    </w:r>
    <w:r w:rsidR="00D9312C">
      <w:t>UNEP/</w:t>
    </w:r>
    <w:proofErr w:type="spellStart"/>
    <w:r w:rsidR="00D9312C">
      <w:t>OzL.Pro</w:t>
    </w:r>
    <w:proofErr w:type="spellEnd"/>
    <w:r w:rsidR="00D9312C">
      <w:t>/ExCom/93/97</w:t>
    </w:r>
    <w:r>
      <w:fldChar w:fldCharType="end"/>
    </w:r>
  </w:p>
  <w:p w14:paraId="008497BD" w14:textId="77777777" w:rsidR="00DC6A10" w:rsidRPr="0033525D" w:rsidRDefault="00DC6A10"/>
  <w:p w14:paraId="79BDDD9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0C31C" w14:textId="1DAC41C6" w:rsidR="00DC6A10" w:rsidRPr="0033525D" w:rsidRDefault="007B5E3D">
    <w:pPr>
      <w:jc w:val="right"/>
    </w:pPr>
    <w:r>
      <w:fldChar w:fldCharType="begin"/>
    </w:r>
    <w:r>
      <w:instrText xml:space="preserve"> DOCPROPERTY "Document number"  \* MERGEFORMAT </w:instrText>
    </w:r>
    <w:r>
      <w:fldChar w:fldCharType="separate"/>
    </w:r>
    <w:r w:rsidR="00D9312C">
      <w:t>UNEP/</w:t>
    </w:r>
    <w:proofErr w:type="spellStart"/>
    <w:r w:rsidR="00D9312C">
      <w:t>OzL.Pro</w:t>
    </w:r>
    <w:proofErr w:type="spellEnd"/>
    <w:r w:rsidR="00D9312C">
      <w:t>/ExCom/93/97</w:t>
    </w:r>
    <w:r>
      <w:fldChar w:fldCharType="end"/>
    </w:r>
  </w:p>
  <w:p w14:paraId="2959CBB6" w14:textId="77777777" w:rsidR="00DC6A10" w:rsidRPr="0033525D" w:rsidRDefault="00DC6A10"/>
  <w:p w14:paraId="74E8C3FB"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30DDE" w14:textId="5F6F9504" w:rsidR="00A328B0" w:rsidRPr="0033525D" w:rsidRDefault="007B5E3D" w:rsidP="00B96D38">
    <w:pPr>
      <w:jc w:val="right"/>
    </w:pPr>
    <w:r>
      <w:fldChar w:fldCharType="begin"/>
    </w:r>
    <w:r>
      <w:instrText xml:space="preserve"> DOCPROPERTY "Document number"  \* MERGEFORMAT </w:instrText>
    </w:r>
    <w:r>
      <w:fldChar w:fldCharType="separate"/>
    </w:r>
    <w:r w:rsidR="00B3193F">
      <w:t>UNEP/</w:t>
    </w:r>
    <w:proofErr w:type="spellStart"/>
    <w:r w:rsidR="00B3193F">
      <w:t>OzL.Pro</w:t>
    </w:r>
    <w:proofErr w:type="spellEnd"/>
    <w:r w:rsidR="00B3193F">
      <w:t>/ExCom/92/46</w:t>
    </w:r>
    <w:r>
      <w:fldChar w:fldCharType="end"/>
    </w:r>
  </w:p>
  <w:p w14:paraId="7697F42F" w14:textId="6A47A839" w:rsidR="00A328B0" w:rsidRPr="0033525D" w:rsidRDefault="00A328B0" w:rsidP="00B96D38">
    <w:pPr>
      <w:jc w:val="right"/>
    </w:pPr>
    <w:r>
      <w:t xml:space="preserve">Annex </w:t>
    </w:r>
    <w:r w:rsidR="00E003AD">
      <w:t>I</w:t>
    </w:r>
  </w:p>
  <w:p w14:paraId="3E7F968D" w14:textId="77777777" w:rsidR="00A328B0" w:rsidRDefault="00A328B0" w:rsidP="00B96D38">
    <w:pPr>
      <w:pStyle w:val="Header"/>
      <w:jc w:val="right"/>
    </w:pPr>
  </w:p>
  <w:p w14:paraId="3FBF7338" w14:textId="77777777" w:rsidR="00A328B0" w:rsidRPr="00A328B0" w:rsidRDefault="00A328B0" w:rsidP="00B96D38">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AD6EB" w14:textId="3C2A2431" w:rsidR="00A328B0" w:rsidRPr="0033525D" w:rsidRDefault="007B5E3D" w:rsidP="00A328B0">
    <w:pPr>
      <w:jc w:val="right"/>
    </w:pPr>
    <w:r>
      <w:fldChar w:fldCharType="begin"/>
    </w:r>
    <w:r>
      <w:instrText xml:space="preserve"> DOCPROPERTY "Document number"  \* MERGEFORMAT </w:instrText>
    </w:r>
    <w:r>
      <w:fldChar w:fldCharType="separate"/>
    </w:r>
    <w:r w:rsidR="00D9312C">
      <w:t>UNEP/</w:t>
    </w:r>
    <w:proofErr w:type="spellStart"/>
    <w:r w:rsidR="00D9312C">
      <w:t>OzL.Pro</w:t>
    </w:r>
    <w:proofErr w:type="spellEnd"/>
    <w:r w:rsidR="00D9312C">
      <w:t>/ExCom/93/97</w:t>
    </w:r>
    <w:r>
      <w:fldChar w:fldCharType="end"/>
    </w:r>
  </w:p>
  <w:p w14:paraId="5C03E5FD" w14:textId="24D1C043" w:rsidR="00A328B0" w:rsidRPr="0033525D" w:rsidRDefault="00A328B0" w:rsidP="00A328B0">
    <w:pPr>
      <w:jc w:val="right"/>
    </w:pPr>
    <w:r>
      <w:t>Annex I</w:t>
    </w:r>
  </w:p>
  <w:p w14:paraId="1C9AF4FA" w14:textId="77777777" w:rsidR="00A328B0" w:rsidRDefault="00A328B0" w:rsidP="00A328B0">
    <w:pPr>
      <w:pStyle w:val="Header"/>
      <w:jc w:val="right"/>
    </w:pPr>
  </w:p>
  <w:p w14:paraId="7A4511D1" w14:textId="77777777" w:rsidR="00A328B0" w:rsidRPr="00A328B0" w:rsidRDefault="00A328B0" w:rsidP="00A328B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E45E5" w14:textId="77777777" w:rsidR="00A328B0" w:rsidRDefault="00A328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47C7550"/>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rPr>
        <w:i w:val="0"/>
        <w:i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4E1EBD"/>
    <w:multiLevelType w:val="hybridMultilevel"/>
    <w:tmpl w:val="6E2AA56C"/>
    <w:lvl w:ilvl="0" w:tplc="4754CDB6">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65634790">
    <w:abstractNumId w:val="10"/>
  </w:num>
  <w:num w:numId="2" w16cid:durableId="470900695">
    <w:abstractNumId w:val="10"/>
  </w:num>
  <w:num w:numId="3" w16cid:durableId="572349130">
    <w:abstractNumId w:val="10"/>
  </w:num>
  <w:num w:numId="4" w16cid:durableId="240720765">
    <w:abstractNumId w:val="10"/>
  </w:num>
  <w:num w:numId="5" w16cid:durableId="1420833418">
    <w:abstractNumId w:val="10"/>
  </w:num>
  <w:num w:numId="6" w16cid:durableId="1037588631">
    <w:abstractNumId w:val="9"/>
  </w:num>
  <w:num w:numId="7" w16cid:durableId="26830652">
    <w:abstractNumId w:val="7"/>
  </w:num>
  <w:num w:numId="8" w16cid:durableId="1948389189">
    <w:abstractNumId w:val="6"/>
  </w:num>
  <w:num w:numId="9" w16cid:durableId="1147279726">
    <w:abstractNumId w:val="5"/>
  </w:num>
  <w:num w:numId="10" w16cid:durableId="721103687">
    <w:abstractNumId w:val="4"/>
  </w:num>
  <w:num w:numId="11" w16cid:durableId="1246299375">
    <w:abstractNumId w:val="8"/>
  </w:num>
  <w:num w:numId="12" w16cid:durableId="1381855958">
    <w:abstractNumId w:val="3"/>
  </w:num>
  <w:num w:numId="13" w16cid:durableId="590236122">
    <w:abstractNumId w:val="2"/>
  </w:num>
  <w:num w:numId="14" w16cid:durableId="1094321928">
    <w:abstractNumId w:val="1"/>
  </w:num>
  <w:num w:numId="15" w16cid:durableId="12079136">
    <w:abstractNumId w:val="0"/>
  </w:num>
  <w:num w:numId="16" w16cid:durableId="1059791479">
    <w:abstractNumId w:val="11"/>
  </w:num>
  <w:num w:numId="17" w16cid:durableId="1232697023">
    <w:abstractNumId w:val="16"/>
  </w:num>
  <w:num w:numId="18" w16cid:durableId="335235546">
    <w:abstractNumId w:val="17"/>
  </w:num>
  <w:num w:numId="19" w16cid:durableId="817963179">
    <w:abstractNumId w:val="19"/>
  </w:num>
  <w:num w:numId="20" w16cid:durableId="1173495845">
    <w:abstractNumId w:val="13"/>
  </w:num>
  <w:num w:numId="21" w16cid:durableId="1865167067">
    <w:abstractNumId w:val="18"/>
  </w:num>
  <w:num w:numId="22" w16cid:durableId="1319268956">
    <w:abstractNumId w:val="15"/>
  </w:num>
  <w:num w:numId="23" w16cid:durableId="15690721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82849766">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4180082">
    <w:abstractNumId w:val="14"/>
  </w:num>
  <w:num w:numId="26" w16cid:durableId="10887755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977360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20770190">
    <w:abstractNumId w:val="10"/>
  </w:num>
  <w:num w:numId="29" w16cid:durableId="8415465">
    <w:abstractNumId w:val="10"/>
  </w:num>
  <w:num w:numId="30" w16cid:durableId="16278537">
    <w:abstractNumId w:val="10"/>
  </w:num>
  <w:num w:numId="31" w16cid:durableId="1856072265">
    <w:abstractNumId w:val="10"/>
  </w:num>
  <w:num w:numId="32" w16cid:durableId="631981774">
    <w:abstractNumId w:val="12"/>
  </w:num>
  <w:num w:numId="33" w16cid:durableId="13979702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275633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737621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37517947">
    <w:abstractNumId w:val="10"/>
  </w:num>
  <w:num w:numId="37" w16cid:durableId="1816487523">
    <w:abstractNumId w:val="10"/>
  </w:num>
  <w:num w:numId="38" w16cid:durableId="206250893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F2CC2"/>
    <w:rsid w:val="00000245"/>
    <w:rsid w:val="00000FED"/>
    <w:rsid w:val="00001626"/>
    <w:rsid w:val="00004120"/>
    <w:rsid w:val="0000421E"/>
    <w:rsid w:val="0000434E"/>
    <w:rsid w:val="000045B7"/>
    <w:rsid w:val="00004896"/>
    <w:rsid w:val="000048DF"/>
    <w:rsid w:val="00005567"/>
    <w:rsid w:val="00005A63"/>
    <w:rsid w:val="00005C2E"/>
    <w:rsid w:val="00006A8F"/>
    <w:rsid w:val="00012451"/>
    <w:rsid w:val="00012955"/>
    <w:rsid w:val="00017089"/>
    <w:rsid w:val="00017A3F"/>
    <w:rsid w:val="000211A9"/>
    <w:rsid w:val="00021238"/>
    <w:rsid w:val="00021C49"/>
    <w:rsid w:val="00027B20"/>
    <w:rsid w:val="00027EE0"/>
    <w:rsid w:val="00031260"/>
    <w:rsid w:val="000324F3"/>
    <w:rsid w:val="00034545"/>
    <w:rsid w:val="00034C1A"/>
    <w:rsid w:val="0003681A"/>
    <w:rsid w:val="000372B7"/>
    <w:rsid w:val="000400B0"/>
    <w:rsid w:val="000400BA"/>
    <w:rsid w:val="0004241E"/>
    <w:rsid w:val="00042833"/>
    <w:rsid w:val="00042A74"/>
    <w:rsid w:val="00044B39"/>
    <w:rsid w:val="00044EAE"/>
    <w:rsid w:val="000468CD"/>
    <w:rsid w:val="000503D6"/>
    <w:rsid w:val="00050649"/>
    <w:rsid w:val="00050F6E"/>
    <w:rsid w:val="00054925"/>
    <w:rsid w:val="00055D95"/>
    <w:rsid w:val="00056C3D"/>
    <w:rsid w:val="00057356"/>
    <w:rsid w:val="00061EC2"/>
    <w:rsid w:val="0006252B"/>
    <w:rsid w:val="00063B4D"/>
    <w:rsid w:val="0006567E"/>
    <w:rsid w:val="000660C9"/>
    <w:rsid w:val="000664E7"/>
    <w:rsid w:val="00066CE8"/>
    <w:rsid w:val="00071F61"/>
    <w:rsid w:val="000734BC"/>
    <w:rsid w:val="000736F5"/>
    <w:rsid w:val="000736FE"/>
    <w:rsid w:val="00073C96"/>
    <w:rsid w:val="00074411"/>
    <w:rsid w:val="00075556"/>
    <w:rsid w:val="00075C43"/>
    <w:rsid w:val="00075D20"/>
    <w:rsid w:val="00076F6D"/>
    <w:rsid w:val="000800AA"/>
    <w:rsid w:val="00080ED0"/>
    <w:rsid w:val="000813AD"/>
    <w:rsid w:val="00082E63"/>
    <w:rsid w:val="00084E9E"/>
    <w:rsid w:val="000851A2"/>
    <w:rsid w:val="000853D8"/>
    <w:rsid w:val="00085B8F"/>
    <w:rsid w:val="00085D7F"/>
    <w:rsid w:val="00087DA1"/>
    <w:rsid w:val="00087FDD"/>
    <w:rsid w:val="00090481"/>
    <w:rsid w:val="00093C63"/>
    <w:rsid w:val="00095676"/>
    <w:rsid w:val="00095FB1"/>
    <w:rsid w:val="000979A8"/>
    <w:rsid w:val="000A3826"/>
    <w:rsid w:val="000A401E"/>
    <w:rsid w:val="000A67BB"/>
    <w:rsid w:val="000A6BF5"/>
    <w:rsid w:val="000A6C26"/>
    <w:rsid w:val="000B052C"/>
    <w:rsid w:val="000B0643"/>
    <w:rsid w:val="000B3BB7"/>
    <w:rsid w:val="000B4543"/>
    <w:rsid w:val="000B5455"/>
    <w:rsid w:val="000B680C"/>
    <w:rsid w:val="000B6EDA"/>
    <w:rsid w:val="000C1C84"/>
    <w:rsid w:val="000C2F27"/>
    <w:rsid w:val="000C5561"/>
    <w:rsid w:val="000C5A33"/>
    <w:rsid w:val="000D0244"/>
    <w:rsid w:val="000D0BE8"/>
    <w:rsid w:val="000D4DAF"/>
    <w:rsid w:val="000D52A4"/>
    <w:rsid w:val="000D5BB5"/>
    <w:rsid w:val="000D6637"/>
    <w:rsid w:val="000D6BA8"/>
    <w:rsid w:val="000E00EF"/>
    <w:rsid w:val="000E07BC"/>
    <w:rsid w:val="000E11E4"/>
    <w:rsid w:val="000E1F42"/>
    <w:rsid w:val="000E5767"/>
    <w:rsid w:val="000E5A05"/>
    <w:rsid w:val="000E69D0"/>
    <w:rsid w:val="000F1CD4"/>
    <w:rsid w:val="000F3E7E"/>
    <w:rsid w:val="000F4103"/>
    <w:rsid w:val="000F4FC4"/>
    <w:rsid w:val="000F70A7"/>
    <w:rsid w:val="0010077A"/>
    <w:rsid w:val="00100CE3"/>
    <w:rsid w:val="00101734"/>
    <w:rsid w:val="00101C81"/>
    <w:rsid w:val="00102329"/>
    <w:rsid w:val="00103627"/>
    <w:rsid w:val="00104DF8"/>
    <w:rsid w:val="00105D95"/>
    <w:rsid w:val="00106EA4"/>
    <w:rsid w:val="00106F03"/>
    <w:rsid w:val="0010719A"/>
    <w:rsid w:val="001109F2"/>
    <w:rsid w:val="00111C7D"/>
    <w:rsid w:val="0011216D"/>
    <w:rsid w:val="001135B9"/>
    <w:rsid w:val="00113CCA"/>
    <w:rsid w:val="00117218"/>
    <w:rsid w:val="00120F9B"/>
    <w:rsid w:val="00122F25"/>
    <w:rsid w:val="00123B9E"/>
    <w:rsid w:val="001249BA"/>
    <w:rsid w:val="001253E8"/>
    <w:rsid w:val="001256AA"/>
    <w:rsid w:val="00126B2F"/>
    <w:rsid w:val="00126FE5"/>
    <w:rsid w:val="0013081F"/>
    <w:rsid w:val="001349CB"/>
    <w:rsid w:val="001355AC"/>
    <w:rsid w:val="00135980"/>
    <w:rsid w:val="001367F2"/>
    <w:rsid w:val="0013786F"/>
    <w:rsid w:val="00137EB3"/>
    <w:rsid w:val="0014075F"/>
    <w:rsid w:val="00140BA2"/>
    <w:rsid w:val="00141136"/>
    <w:rsid w:val="001425CB"/>
    <w:rsid w:val="0014601E"/>
    <w:rsid w:val="001461E8"/>
    <w:rsid w:val="00146330"/>
    <w:rsid w:val="00152653"/>
    <w:rsid w:val="0015519C"/>
    <w:rsid w:val="00157044"/>
    <w:rsid w:val="001573BA"/>
    <w:rsid w:val="00157BAA"/>
    <w:rsid w:val="001619F3"/>
    <w:rsid w:val="0016459C"/>
    <w:rsid w:val="00164719"/>
    <w:rsid w:val="00165B3D"/>
    <w:rsid w:val="00166FC4"/>
    <w:rsid w:val="00167254"/>
    <w:rsid w:val="001677AC"/>
    <w:rsid w:val="00167DA9"/>
    <w:rsid w:val="00170234"/>
    <w:rsid w:val="001711E7"/>
    <w:rsid w:val="00174900"/>
    <w:rsid w:val="00174B47"/>
    <w:rsid w:val="00174E56"/>
    <w:rsid w:val="00176BE7"/>
    <w:rsid w:val="001804EA"/>
    <w:rsid w:val="00183336"/>
    <w:rsid w:val="00190A61"/>
    <w:rsid w:val="001947F6"/>
    <w:rsid w:val="001A0DCA"/>
    <w:rsid w:val="001A0E20"/>
    <w:rsid w:val="001A1758"/>
    <w:rsid w:val="001A2215"/>
    <w:rsid w:val="001A3342"/>
    <w:rsid w:val="001A3E3D"/>
    <w:rsid w:val="001A3EDF"/>
    <w:rsid w:val="001A4005"/>
    <w:rsid w:val="001A4020"/>
    <w:rsid w:val="001A47D6"/>
    <w:rsid w:val="001A7049"/>
    <w:rsid w:val="001A7F36"/>
    <w:rsid w:val="001B1E40"/>
    <w:rsid w:val="001B2802"/>
    <w:rsid w:val="001B355F"/>
    <w:rsid w:val="001B37A3"/>
    <w:rsid w:val="001B466E"/>
    <w:rsid w:val="001B70C5"/>
    <w:rsid w:val="001B7927"/>
    <w:rsid w:val="001C1C5C"/>
    <w:rsid w:val="001C1F39"/>
    <w:rsid w:val="001C764E"/>
    <w:rsid w:val="001D1197"/>
    <w:rsid w:val="001D255F"/>
    <w:rsid w:val="001D2937"/>
    <w:rsid w:val="001D2B4D"/>
    <w:rsid w:val="001D3C5D"/>
    <w:rsid w:val="001D64AB"/>
    <w:rsid w:val="001D702A"/>
    <w:rsid w:val="001D7F90"/>
    <w:rsid w:val="001E1052"/>
    <w:rsid w:val="001E10CC"/>
    <w:rsid w:val="001E21B1"/>
    <w:rsid w:val="001E240B"/>
    <w:rsid w:val="001E2F93"/>
    <w:rsid w:val="001E4554"/>
    <w:rsid w:val="001E61E5"/>
    <w:rsid w:val="001E6509"/>
    <w:rsid w:val="001E753B"/>
    <w:rsid w:val="001E7FC8"/>
    <w:rsid w:val="001F090B"/>
    <w:rsid w:val="001F0D72"/>
    <w:rsid w:val="001F2159"/>
    <w:rsid w:val="001F3056"/>
    <w:rsid w:val="001F3DE3"/>
    <w:rsid w:val="001F53FD"/>
    <w:rsid w:val="001F5EEF"/>
    <w:rsid w:val="001F721E"/>
    <w:rsid w:val="00201032"/>
    <w:rsid w:val="002026A9"/>
    <w:rsid w:val="00202FAB"/>
    <w:rsid w:val="00204AD9"/>
    <w:rsid w:val="002059C9"/>
    <w:rsid w:val="00206751"/>
    <w:rsid w:val="0020737E"/>
    <w:rsid w:val="0020743A"/>
    <w:rsid w:val="00210B21"/>
    <w:rsid w:val="00210B8B"/>
    <w:rsid w:val="00210E60"/>
    <w:rsid w:val="00212D34"/>
    <w:rsid w:val="00212D51"/>
    <w:rsid w:val="00212D61"/>
    <w:rsid w:val="00213055"/>
    <w:rsid w:val="00214863"/>
    <w:rsid w:val="00214C02"/>
    <w:rsid w:val="0021565F"/>
    <w:rsid w:val="002156B4"/>
    <w:rsid w:val="002176E7"/>
    <w:rsid w:val="0022011D"/>
    <w:rsid w:val="002209FE"/>
    <w:rsid w:val="00222CF5"/>
    <w:rsid w:val="00224086"/>
    <w:rsid w:val="00224FCD"/>
    <w:rsid w:val="00225177"/>
    <w:rsid w:val="002263D8"/>
    <w:rsid w:val="00226B5B"/>
    <w:rsid w:val="00227DC2"/>
    <w:rsid w:val="00227EF5"/>
    <w:rsid w:val="002307DF"/>
    <w:rsid w:val="00230ABA"/>
    <w:rsid w:val="00230DFA"/>
    <w:rsid w:val="002312C9"/>
    <w:rsid w:val="00232416"/>
    <w:rsid w:val="0023275C"/>
    <w:rsid w:val="0024034A"/>
    <w:rsid w:val="00242803"/>
    <w:rsid w:val="002428C2"/>
    <w:rsid w:val="0024309E"/>
    <w:rsid w:val="0025061B"/>
    <w:rsid w:val="00250E44"/>
    <w:rsid w:val="00251989"/>
    <w:rsid w:val="00253222"/>
    <w:rsid w:val="00255AED"/>
    <w:rsid w:val="00257AE4"/>
    <w:rsid w:val="00261C13"/>
    <w:rsid w:val="00262216"/>
    <w:rsid w:val="00262847"/>
    <w:rsid w:val="00262E56"/>
    <w:rsid w:val="00265328"/>
    <w:rsid w:val="00266E07"/>
    <w:rsid w:val="002672AA"/>
    <w:rsid w:val="0027095E"/>
    <w:rsid w:val="002710F8"/>
    <w:rsid w:val="00271B7F"/>
    <w:rsid w:val="00272329"/>
    <w:rsid w:val="002728E5"/>
    <w:rsid w:val="00273C02"/>
    <w:rsid w:val="00274111"/>
    <w:rsid w:val="00274C40"/>
    <w:rsid w:val="002753F5"/>
    <w:rsid w:val="00276D7F"/>
    <w:rsid w:val="002812D9"/>
    <w:rsid w:val="00281317"/>
    <w:rsid w:val="00281BB2"/>
    <w:rsid w:val="0028622D"/>
    <w:rsid w:val="00291742"/>
    <w:rsid w:val="00291F98"/>
    <w:rsid w:val="00292E4B"/>
    <w:rsid w:val="00295533"/>
    <w:rsid w:val="00295B08"/>
    <w:rsid w:val="00296EF2"/>
    <w:rsid w:val="002A03C3"/>
    <w:rsid w:val="002A0BD3"/>
    <w:rsid w:val="002A26CC"/>
    <w:rsid w:val="002A2864"/>
    <w:rsid w:val="002A3A9F"/>
    <w:rsid w:val="002A3F5C"/>
    <w:rsid w:val="002B05D2"/>
    <w:rsid w:val="002B0794"/>
    <w:rsid w:val="002B0A92"/>
    <w:rsid w:val="002B1763"/>
    <w:rsid w:val="002B18D7"/>
    <w:rsid w:val="002B254E"/>
    <w:rsid w:val="002B2AE1"/>
    <w:rsid w:val="002B311B"/>
    <w:rsid w:val="002B34E7"/>
    <w:rsid w:val="002B3C5C"/>
    <w:rsid w:val="002B4226"/>
    <w:rsid w:val="002B516D"/>
    <w:rsid w:val="002B72E9"/>
    <w:rsid w:val="002B7E05"/>
    <w:rsid w:val="002C06EB"/>
    <w:rsid w:val="002C1E6D"/>
    <w:rsid w:val="002C1F43"/>
    <w:rsid w:val="002C41C0"/>
    <w:rsid w:val="002C456D"/>
    <w:rsid w:val="002C4C59"/>
    <w:rsid w:val="002C55B3"/>
    <w:rsid w:val="002C7998"/>
    <w:rsid w:val="002D20A0"/>
    <w:rsid w:val="002D67A7"/>
    <w:rsid w:val="002D7D47"/>
    <w:rsid w:val="002E029C"/>
    <w:rsid w:val="002E0A91"/>
    <w:rsid w:val="002E0F67"/>
    <w:rsid w:val="002E311D"/>
    <w:rsid w:val="002E3C04"/>
    <w:rsid w:val="002E3F9C"/>
    <w:rsid w:val="002E61DA"/>
    <w:rsid w:val="002E7BBF"/>
    <w:rsid w:val="002F0332"/>
    <w:rsid w:val="002F0380"/>
    <w:rsid w:val="002F0C3A"/>
    <w:rsid w:val="002F1E53"/>
    <w:rsid w:val="002F2031"/>
    <w:rsid w:val="002F2CAA"/>
    <w:rsid w:val="002F365F"/>
    <w:rsid w:val="002F50A8"/>
    <w:rsid w:val="002F5F83"/>
    <w:rsid w:val="002F6E66"/>
    <w:rsid w:val="0030052C"/>
    <w:rsid w:val="00303384"/>
    <w:rsid w:val="003044DE"/>
    <w:rsid w:val="0030506A"/>
    <w:rsid w:val="00306660"/>
    <w:rsid w:val="00310D71"/>
    <w:rsid w:val="00311241"/>
    <w:rsid w:val="00312893"/>
    <w:rsid w:val="00313D3B"/>
    <w:rsid w:val="00314EC3"/>
    <w:rsid w:val="003179BC"/>
    <w:rsid w:val="00325E33"/>
    <w:rsid w:val="00326319"/>
    <w:rsid w:val="003268BC"/>
    <w:rsid w:val="00327041"/>
    <w:rsid w:val="003275BB"/>
    <w:rsid w:val="003306E1"/>
    <w:rsid w:val="0033098D"/>
    <w:rsid w:val="003320E4"/>
    <w:rsid w:val="0033525D"/>
    <w:rsid w:val="00335E80"/>
    <w:rsid w:val="00337A51"/>
    <w:rsid w:val="003414F3"/>
    <w:rsid w:val="00344029"/>
    <w:rsid w:val="00346624"/>
    <w:rsid w:val="00346AB0"/>
    <w:rsid w:val="0035002B"/>
    <w:rsid w:val="003507BE"/>
    <w:rsid w:val="003550CE"/>
    <w:rsid w:val="0035613E"/>
    <w:rsid w:val="003563A0"/>
    <w:rsid w:val="003636A4"/>
    <w:rsid w:val="0036373A"/>
    <w:rsid w:val="00363AA0"/>
    <w:rsid w:val="00363EE9"/>
    <w:rsid w:val="003670F2"/>
    <w:rsid w:val="003677B2"/>
    <w:rsid w:val="00367AB4"/>
    <w:rsid w:val="0037054E"/>
    <w:rsid w:val="00370E5F"/>
    <w:rsid w:val="003714C3"/>
    <w:rsid w:val="0037421E"/>
    <w:rsid w:val="0037466B"/>
    <w:rsid w:val="0037497C"/>
    <w:rsid w:val="00375680"/>
    <w:rsid w:val="00376128"/>
    <w:rsid w:val="0037742E"/>
    <w:rsid w:val="00377AB7"/>
    <w:rsid w:val="00377D56"/>
    <w:rsid w:val="0038065D"/>
    <w:rsid w:val="00381CE8"/>
    <w:rsid w:val="0038245A"/>
    <w:rsid w:val="0038358C"/>
    <w:rsid w:val="00383BE7"/>
    <w:rsid w:val="003840E6"/>
    <w:rsid w:val="003857D7"/>
    <w:rsid w:val="003858FB"/>
    <w:rsid w:val="00385980"/>
    <w:rsid w:val="00385CFC"/>
    <w:rsid w:val="003879B1"/>
    <w:rsid w:val="00387F11"/>
    <w:rsid w:val="00391016"/>
    <w:rsid w:val="0039337A"/>
    <w:rsid w:val="003942B9"/>
    <w:rsid w:val="00396493"/>
    <w:rsid w:val="003979D4"/>
    <w:rsid w:val="00397C82"/>
    <w:rsid w:val="00397C91"/>
    <w:rsid w:val="003A3189"/>
    <w:rsid w:val="003A3CA7"/>
    <w:rsid w:val="003A7ADC"/>
    <w:rsid w:val="003B33BD"/>
    <w:rsid w:val="003B39E2"/>
    <w:rsid w:val="003B4B1E"/>
    <w:rsid w:val="003B569D"/>
    <w:rsid w:val="003C1E02"/>
    <w:rsid w:val="003C2F87"/>
    <w:rsid w:val="003C3C0E"/>
    <w:rsid w:val="003C4ABA"/>
    <w:rsid w:val="003C59F3"/>
    <w:rsid w:val="003C615C"/>
    <w:rsid w:val="003C6C58"/>
    <w:rsid w:val="003C738E"/>
    <w:rsid w:val="003C7C9B"/>
    <w:rsid w:val="003D2671"/>
    <w:rsid w:val="003D2E52"/>
    <w:rsid w:val="003D35A7"/>
    <w:rsid w:val="003D42A6"/>
    <w:rsid w:val="003D4F21"/>
    <w:rsid w:val="003D4FAC"/>
    <w:rsid w:val="003D70CC"/>
    <w:rsid w:val="003E1C7C"/>
    <w:rsid w:val="003E254F"/>
    <w:rsid w:val="003E2762"/>
    <w:rsid w:val="003E2ED7"/>
    <w:rsid w:val="003E7906"/>
    <w:rsid w:val="003E7B5A"/>
    <w:rsid w:val="003F000F"/>
    <w:rsid w:val="003F2B8C"/>
    <w:rsid w:val="003F3C50"/>
    <w:rsid w:val="003F3F7A"/>
    <w:rsid w:val="003F42E6"/>
    <w:rsid w:val="003F48A3"/>
    <w:rsid w:val="00400E55"/>
    <w:rsid w:val="00401AD0"/>
    <w:rsid w:val="004027C6"/>
    <w:rsid w:val="004028C2"/>
    <w:rsid w:val="004031FC"/>
    <w:rsid w:val="004034D5"/>
    <w:rsid w:val="0040384D"/>
    <w:rsid w:val="00405277"/>
    <w:rsid w:val="00406202"/>
    <w:rsid w:val="00406A6A"/>
    <w:rsid w:val="00406B22"/>
    <w:rsid w:val="00406B86"/>
    <w:rsid w:val="00407FDD"/>
    <w:rsid w:val="0041050E"/>
    <w:rsid w:val="00411FD9"/>
    <w:rsid w:val="004121AB"/>
    <w:rsid w:val="00412EA4"/>
    <w:rsid w:val="0041426B"/>
    <w:rsid w:val="004142C5"/>
    <w:rsid w:val="00415CBA"/>
    <w:rsid w:val="00416231"/>
    <w:rsid w:val="004179F8"/>
    <w:rsid w:val="0042176D"/>
    <w:rsid w:val="0042413E"/>
    <w:rsid w:val="00424547"/>
    <w:rsid w:val="0042507D"/>
    <w:rsid w:val="00430819"/>
    <w:rsid w:val="00430B34"/>
    <w:rsid w:val="004328A7"/>
    <w:rsid w:val="00434C74"/>
    <w:rsid w:val="0043581E"/>
    <w:rsid w:val="00435863"/>
    <w:rsid w:val="00435A90"/>
    <w:rsid w:val="00435B43"/>
    <w:rsid w:val="00441B18"/>
    <w:rsid w:val="004453F7"/>
    <w:rsid w:val="0044551E"/>
    <w:rsid w:val="00446E33"/>
    <w:rsid w:val="004508A0"/>
    <w:rsid w:val="00451A67"/>
    <w:rsid w:val="00452D5F"/>
    <w:rsid w:val="00453651"/>
    <w:rsid w:val="00453C4B"/>
    <w:rsid w:val="00454923"/>
    <w:rsid w:val="00454E93"/>
    <w:rsid w:val="00454FB0"/>
    <w:rsid w:val="00456EB4"/>
    <w:rsid w:val="00457827"/>
    <w:rsid w:val="004604DD"/>
    <w:rsid w:val="00462DBF"/>
    <w:rsid w:val="00462FD9"/>
    <w:rsid w:val="0047119D"/>
    <w:rsid w:val="004718F3"/>
    <w:rsid w:val="004719E0"/>
    <w:rsid w:val="004722B3"/>
    <w:rsid w:val="00474053"/>
    <w:rsid w:val="0047475E"/>
    <w:rsid w:val="00475040"/>
    <w:rsid w:val="004756A9"/>
    <w:rsid w:val="00477C22"/>
    <w:rsid w:val="0048028E"/>
    <w:rsid w:val="0048055F"/>
    <w:rsid w:val="00481BBD"/>
    <w:rsid w:val="004875BC"/>
    <w:rsid w:val="00490C06"/>
    <w:rsid w:val="0049108F"/>
    <w:rsid w:val="00491835"/>
    <w:rsid w:val="00493D40"/>
    <w:rsid w:val="00493EE3"/>
    <w:rsid w:val="00493F6E"/>
    <w:rsid w:val="00495923"/>
    <w:rsid w:val="004967B6"/>
    <w:rsid w:val="00497222"/>
    <w:rsid w:val="00497740"/>
    <w:rsid w:val="004A0034"/>
    <w:rsid w:val="004A0D14"/>
    <w:rsid w:val="004A111E"/>
    <w:rsid w:val="004A3AA4"/>
    <w:rsid w:val="004A3F6A"/>
    <w:rsid w:val="004A4B71"/>
    <w:rsid w:val="004A4E03"/>
    <w:rsid w:val="004A504B"/>
    <w:rsid w:val="004A6911"/>
    <w:rsid w:val="004B0CD3"/>
    <w:rsid w:val="004B3F32"/>
    <w:rsid w:val="004B4987"/>
    <w:rsid w:val="004B4E80"/>
    <w:rsid w:val="004B54E0"/>
    <w:rsid w:val="004B5C92"/>
    <w:rsid w:val="004B7384"/>
    <w:rsid w:val="004C0F67"/>
    <w:rsid w:val="004C2629"/>
    <w:rsid w:val="004C36CD"/>
    <w:rsid w:val="004C4269"/>
    <w:rsid w:val="004D1D4D"/>
    <w:rsid w:val="004D1EC6"/>
    <w:rsid w:val="004D2A1C"/>
    <w:rsid w:val="004D5FA5"/>
    <w:rsid w:val="004D6236"/>
    <w:rsid w:val="004D7F90"/>
    <w:rsid w:val="004E06E9"/>
    <w:rsid w:val="004E282B"/>
    <w:rsid w:val="004E2975"/>
    <w:rsid w:val="004E2B52"/>
    <w:rsid w:val="004E2BE8"/>
    <w:rsid w:val="004E2FFA"/>
    <w:rsid w:val="004E30A5"/>
    <w:rsid w:val="004E4A39"/>
    <w:rsid w:val="004E4DBB"/>
    <w:rsid w:val="004E4E41"/>
    <w:rsid w:val="004E5C68"/>
    <w:rsid w:val="004E688F"/>
    <w:rsid w:val="004E73DB"/>
    <w:rsid w:val="004E75B5"/>
    <w:rsid w:val="004E7F9C"/>
    <w:rsid w:val="004F1B8A"/>
    <w:rsid w:val="004F20E5"/>
    <w:rsid w:val="004F28B5"/>
    <w:rsid w:val="004F3493"/>
    <w:rsid w:val="004F3997"/>
    <w:rsid w:val="004F3D0B"/>
    <w:rsid w:val="004F48AC"/>
    <w:rsid w:val="004F5143"/>
    <w:rsid w:val="004F5843"/>
    <w:rsid w:val="004F5EAC"/>
    <w:rsid w:val="004F75F0"/>
    <w:rsid w:val="004F7E11"/>
    <w:rsid w:val="00501788"/>
    <w:rsid w:val="00501B8F"/>
    <w:rsid w:val="00504BEC"/>
    <w:rsid w:val="00507195"/>
    <w:rsid w:val="005117F7"/>
    <w:rsid w:val="00512A5C"/>
    <w:rsid w:val="00512B09"/>
    <w:rsid w:val="005158B3"/>
    <w:rsid w:val="00516301"/>
    <w:rsid w:val="00516A0C"/>
    <w:rsid w:val="00516C80"/>
    <w:rsid w:val="00520619"/>
    <w:rsid w:val="005220ED"/>
    <w:rsid w:val="00524F34"/>
    <w:rsid w:val="0052525B"/>
    <w:rsid w:val="005268EA"/>
    <w:rsid w:val="005327B9"/>
    <w:rsid w:val="0053340A"/>
    <w:rsid w:val="00533796"/>
    <w:rsid w:val="00533C9C"/>
    <w:rsid w:val="00533E3C"/>
    <w:rsid w:val="00534752"/>
    <w:rsid w:val="00537343"/>
    <w:rsid w:val="005408BA"/>
    <w:rsid w:val="00540B9B"/>
    <w:rsid w:val="00544147"/>
    <w:rsid w:val="00544C0D"/>
    <w:rsid w:val="005460FC"/>
    <w:rsid w:val="005464F0"/>
    <w:rsid w:val="005500B8"/>
    <w:rsid w:val="005521D7"/>
    <w:rsid w:val="00553618"/>
    <w:rsid w:val="00555812"/>
    <w:rsid w:val="00555D75"/>
    <w:rsid w:val="00557727"/>
    <w:rsid w:val="00560DF0"/>
    <w:rsid w:val="00562667"/>
    <w:rsid w:val="0056310D"/>
    <w:rsid w:val="005631DA"/>
    <w:rsid w:val="00565B16"/>
    <w:rsid w:val="0056759C"/>
    <w:rsid w:val="005675A7"/>
    <w:rsid w:val="00571B50"/>
    <w:rsid w:val="005758E0"/>
    <w:rsid w:val="00577606"/>
    <w:rsid w:val="00577A02"/>
    <w:rsid w:val="00580323"/>
    <w:rsid w:val="00581EF4"/>
    <w:rsid w:val="00581F6C"/>
    <w:rsid w:val="00582807"/>
    <w:rsid w:val="0058280F"/>
    <w:rsid w:val="005837C1"/>
    <w:rsid w:val="0058396A"/>
    <w:rsid w:val="00584F76"/>
    <w:rsid w:val="00585347"/>
    <w:rsid w:val="00585A1D"/>
    <w:rsid w:val="005903C1"/>
    <w:rsid w:val="005913B9"/>
    <w:rsid w:val="005927A3"/>
    <w:rsid w:val="00593ECE"/>
    <w:rsid w:val="0059513E"/>
    <w:rsid w:val="00595F02"/>
    <w:rsid w:val="00596E1D"/>
    <w:rsid w:val="005A04CD"/>
    <w:rsid w:val="005A0EA8"/>
    <w:rsid w:val="005A1BFE"/>
    <w:rsid w:val="005A4333"/>
    <w:rsid w:val="005A4F8F"/>
    <w:rsid w:val="005A6AA4"/>
    <w:rsid w:val="005A6D9F"/>
    <w:rsid w:val="005B2E55"/>
    <w:rsid w:val="005B48FF"/>
    <w:rsid w:val="005B49A4"/>
    <w:rsid w:val="005B4F55"/>
    <w:rsid w:val="005C0495"/>
    <w:rsid w:val="005C190B"/>
    <w:rsid w:val="005C1E32"/>
    <w:rsid w:val="005C20E0"/>
    <w:rsid w:val="005C2A64"/>
    <w:rsid w:val="005C3697"/>
    <w:rsid w:val="005C397F"/>
    <w:rsid w:val="005C4DB2"/>
    <w:rsid w:val="005C5191"/>
    <w:rsid w:val="005C5B8E"/>
    <w:rsid w:val="005C7A22"/>
    <w:rsid w:val="005D363F"/>
    <w:rsid w:val="005D3F1E"/>
    <w:rsid w:val="005D46E7"/>
    <w:rsid w:val="005D5644"/>
    <w:rsid w:val="005E34EB"/>
    <w:rsid w:val="005E6AFD"/>
    <w:rsid w:val="005F0307"/>
    <w:rsid w:val="005F320A"/>
    <w:rsid w:val="005F36C0"/>
    <w:rsid w:val="005F3811"/>
    <w:rsid w:val="005F4346"/>
    <w:rsid w:val="005F64FB"/>
    <w:rsid w:val="005F749C"/>
    <w:rsid w:val="005F7C19"/>
    <w:rsid w:val="00601026"/>
    <w:rsid w:val="0060108F"/>
    <w:rsid w:val="006012AA"/>
    <w:rsid w:val="00601315"/>
    <w:rsid w:val="006014C9"/>
    <w:rsid w:val="00603B18"/>
    <w:rsid w:val="00604C15"/>
    <w:rsid w:val="0060636C"/>
    <w:rsid w:val="006104B9"/>
    <w:rsid w:val="006106FE"/>
    <w:rsid w:val="00612C9B"/>
    <w:rsid w:val="0061483F"/>
    <w:rsid w:val="00615156"/>
    <w:rsid w:val="006158D5"/>
    <w:rsid w:val="00622B73"/>
    <w:rsid w:val="00624B77"/>
    <w:rsid w:val="00625D83"/>
    <w:rsid w:val="0062698A"/>
    <w:rsid w:val="0062745A"/>
    <w:rsid w:val="00630212"/>
    <w:rsid w:val="00630DBF"/>
    <w:rsid w:val="00632A63"/>
    <w:rsid w:val="00632AB2"/>
    <w:rsid w:val="006337B4"/>
    <w:rsid w:val="00633815"/>
    <w:rsid w:val="00635A31"/>
    <w:rsid w:val="00636272"/>
    <w:rsid w:val="0063652D"/>
    <w:rsid w:val="006367FD"/>
    <w:rsid w:val="006373C8"/>
    <w:rsid w:val="00637EE0"/>
    <w:rsid w:val="006401D5"/>
    <w:rsid w:val="00641F24"/>
    <w:rsid w:val="00643031"/>
    <w:rsid w:val="00644C6E"/>
    <w:rsid w:val="0064557E"/>
    <w:rsid w:val="006501C5"/>
    <w:rsid w:val="00650454"/>
    <w:rsid w:val="00650A96"/>
    <w:rsid w:val="00651984"/>
    <w:rsid w:val="00651F2E"/>
    <w:rsid w:val="006537BB"/>
    <w:rsid w:val="00655727"/>
    <w:rsid w:val="00660FCA"/>
    <w:rsid w:val="00661683"/>
    <w:rsid w:val="00661F26"/>
    <w:rsid w:val="00661FF5"/>
    <w:rsid w:val="006623E7"/>
    <w:rsid w:val="00662B80"/>
    <w:rsid w:val="006638A5"/>
    <w:rsid w:val="00664AAC"/>
    <w:rsid w:val="00666890"/>
    <w:rsid w:val="00666F11"/>
    <w:rsid w:val="006703F4"/>
    <w:rsid w:val="00670F6C"/>
    <w:rsid w:val="00671F48"/>
    <w:rsid w:val="0067259D"/>
    <w:rsid w:val="00673F27"/>
    <w:rsid w:val="00674AFE"/>
    <w:rsid w:val="006753C3"/>
    <w:rsid w:val="00676134"/>
    <w:rsid w:val="00676E58"/>
    <w:rsid w:val="00677219"/>
    <w:rsid w:val="00677AC4"/>
    <w:rsid w:val="0068218E"/>
    <w:rsid w:val="00684354"/>
    <w:rsid w:val="006852C7"/>
    <w:rsid w:val="006852CE"/>
    <w:rsid w:val="00685514"/>
    <w:rsid w:val="00686522"/>
    <w:rsid w:val="00686DCA"/>
    <w:rsid w:val="0069071B"/>
    <w:rsid w:val="00691040"/>
    <w:rsid w:val="00692D14"/>
    <w:rsid w:val="006945DA"/>
    <w:rsid w:val="006A1A62"/>
    <w:rsid w:val="006A2754"/>
    <w:rsid w:val="006A3C30"/>
    <w:rsid w:val="006A6828"/>
    <w:rsid w:val="006A6AB1"/>
    <w:rsid w:val="006B0A79"/>
    <w:rsid w:val="006B17A3"/>
    <w:rsid w:val="006B1A4E"/>
    <w:rsid w:val="006B2CCD"/>
    <w:rsid w:val="006B61D7"/>
    <w:rsid w:val="006B65C7"/>
    <w:rsid w:val="006B7651"/>
    <w:rsid w:val="006C1727"/>
    <w:rsid w:val="006C2B98"/>
    <w:rsid w:val="006C32FD"/>
    <w:rsid w:val="006C39CE"/>
    <w:rsid w:val="006C4CD1"/>
    <w:rsid w:val="006C6B41"/>
    <w:rsid w:val="006D0FCC"/>
    <w:rsid w:val="006D21F5"/>
    <w:rsid w:val="006D3089"/>
    <w:rsid w:val="006D5E95"/>
    <w:rsid w:val="006D744C"/>
    <w:rsid w:val="006E126D"/>
    <w:rsid w:val="006E17F2"/>
    <w:rsid w:val="006E1915"/>
    <w:rsid w:val="006E19C0"/>
    <w:rsid w:val="006E1D30"/>
    <w:rsid w:val="006E1FC3"/>
    <w:rsid w:val="006E3995"/>
    <w:rsid w:val="006E4C75"/>
    <w:rsid w:val="006E5765"/>
    <w:rsid w:val="006E5E42"/>
    <w:rsid w:val="006E6696"/>
    <w:rsid w:val="006E6E56"/>
    <w:rsid w:val="006E74C0"/>
    <w:rsid w:val="006E7F59"/>
    <w:rsid w:val="006F2B01"/>
    <w:rsid w:val="006F2CC2"/>
    <w:rsid w:val="006F393F"/>
    <w:rsid w:val="006F4311"/>
    <w:rsid w:val="006F5B80"/>
    <w:rsid w:val="006F5D63"/>
    <w:rsid w:val="006F5DD4"/>
    <w:rsid w:val="006F5DE5"/>
    <w:rsid w:val="006F7499"/>
    <w:rsid w:val="006F7851"/>
    <w:rsid w:val="0070067C"/>
    <w:rsid w:val="007014A2"/>
    <w:rsid w:val="00702577"/>
    <w:rsid w:val="007048AF"/>
    <w:rsid w:val="00704CE9"/>
    <w:rsid w:val="00705059"/>
    <w:rsid w:val="0070616B"/>
    <w:rsid w:val="00706295"/>
    <w:rsid w:val="00706FDA"/>
    <w:rsid w:val="00707DBD"/>
    <w:rsid w:val="00710836"/>
    <w:rsid w:val="00711F9A"/>
    <w:rsid w:val="0071283E"/>
    <w:rsid w:val="00713810"/>
    <w:rsid w:val="00713C87"/>
    <w:rsid w:val="007207B6"/>
    <w:rsid w:val="007209A1"/>
    <w:rsid w:val="007224B7"/>
    <w:rsid w:val="007227D4"/>
    <w:rsid w:val="00726AD9"/>
    <w:rsid w:val="00726D89"/>
    <w:rsid w:val="007303A5"/>
    <w:rsid w:val="00730779"/>
    <w:rsid w:val="00730A6E"/>
    <w:rsid w:val="00730B3E"/>
    <w:rsid w:val="00731C30"/>
    <w:rsid w:val="00732733"/>
    <w:rsid w:val="0073300E"/>
    <w:rsid w:val="00733535"/>
    <w:rsid w:val="0073420B"/>
    <w:rsid w:val="0073420F"/>
    <w:rsid w:val="00736243"/>
    <w:rsid w:val="00736367"/>
    <w:rsid w:val="00740504"/>
    <w:rsid w:val="00744810"/>
    <w:rsid w:val="0074660C"/>
    <w:rsid w:val="0074740D"/>
    <w:rsid w:val="0074760E"/>
    <w:rsid w:val="007516A5"/>
    <w:rsid w:val="00752CE8"/>
    <w:rsid w:val="00753282"/>
    <w:rsid w:val="00754ABA"/>
    <w:rsid w:val="00754C54"/>
    <w:rsid w:val="007571D5"/>
    <w:rsid w:val="007578D1"/>
    <w:rsid w:val="0076135B"/>
    <w:rsid w:val="00761551"/>
    <w:rsid w:val="00761C2A"/>
    <w:rsid w:val="007653CC"/>
    <w:rsid w:val="007661C4"/>
    <w:rsid w:val="007664FC"/>
    <w:rsid w:val="00767776"/>
    <w:rsid w:val="00767B31"/>
    <w:rsid w:val="0077126A"/>
    <w:rsid w:val="00782B0D"/>
    <w:rsid w:val="00783031"/>
    <w:rsid w:val="00790348"/>
    <w:rsid w:val="00790A2D"/>
    <w:rsid w:val="00791560"/>
    <w:rsid w:val="00791E64"/>
    <w:rsid w:val="00791FAE"/>
    <w:rsid w:val="007923D6"/>
    <w:rsid w:val="00792F27"/>
    <w:rsid w:val="00792FF5"/>
    <w:rsid w:val="007935C1"/>
    <w:rsid w:val="00794162"/>
    <w:rsid w:val="00794548"/>
    <w:rsid w:val="007945CC"/>
    <w:rsid w:val="0079519B"/>
    <w:rsid w:val="00795C1E"/>
    <w:rsid w:val="00797ED6"/>
    <w:rsid w:val="007A1546"/>
    <w:rsid w:val="007A228C"/>
    <w:rsid w:val="007A26C1"/>
    <w:rsid w:val="007A368E"/>
    <w:rsid w:val="007A4CAD"/>
    <w:rsid w:val="007A5141"/>
    <w:rsid w:val="007A5868"/>
    <w:rsid w:val="007A76F6"/>
    <w:rsid w:val="007B04CE"/>
    <w:rsid w:val="007B102C"/>
    <w:rsid w:val="007B3DE8"/>
    <w:rsid w:val="007B3E7F"/>
    <w:rsid w:val="007B4E82"/>
    <w:rsid w:val="007B5E3D"/>
    <w:rsid w:val="007B6871"/>
    <w:rsid w:val="007B6954"/>
    <w:rsid w:val="007B7A2F"/>
    <w:rsid w:val="007C0100"/>
    <w:rsid w:val="007C0EC0"/>
    <w:rsid w:val="007C30D3"/>
    <w:rsid w:val="007C31E6"/>
    <w:rsid w:val="007C3D33"/>
    <w:rsid w:val="007C3F75"/>
    <w:rsid w:val="007C49A3"/>
    <w:rsid w:val="007D032A"/>
    <w:rsid w:val="007D048D"/>
    <w:rsid w:val="007D294A"/>
    <w:rsid w:val="007D2C54"/>
    <w:rsid w:val="007D47D2"/>
    <w:rsid w:val="007D4FC7"/>
    <w:rsid w:val="007D55F1"/>
    <w:rsid w:val="007D57BE"/>
    <w:rsid w:val="007D587D"/>
    <w:rsid w:val="007D6EC0"/>
    <w:rsid w:val="007D7C34"/>
    <w:rsid w:val="007D7E1D"/>
    <w:rsid w:val="007E4ABD"/>
    <w:rsid w:val="007E503A"/>
    <w:rsid w:val="007E548A"/>
    <w:rsid w:val="007E5A1B"/>
    <w:rsid w:val="007F04B1"/>
    <w:rsid w:val="007F188E"/>
    <w:rsid w:val="007F18F4"/>
    <w:rsid w:val="007F3EF3"/>
    <w:rsid w:val="007F7AC0"/>
    <w:rsid w:val="00802A1F"/>
    <w:rsid w:val="00803FCC"/>
    <w:rsid w:val="00805291"/>
    <w:rsid w:val="00807B61"/>
    <w:rsid w:val="008104D6"/>
    <w:rsid w:val="0081147C"/>
    <w:rsid w:val="00811BBD"/>
    <w:rsid w:val="00812F88"/>
    <w:rsid w:val="00815766"/>
    <w:rsid w:val="00815A42"/>
    <w:rsid w:val="008169F2"/>
    <w:rsid w:val="00816D76"/>
    <w:rsid w:val="00820209"/>
    <w:rsid w:val="00820689"/>
    <w:rsid w:val="008224DF"/>
    <w:rsid w:val="008228DA"/>
    <w:rsid w:val="00822E70"/>
    <w:rsid w:val="00826777"/>
    <w:rsid w:val="00826ECE"/>
    <w:rsid w:val="00826FDA"/>
    <w:rsid w:val="008308D3"/>
    <w:rsid w:val="00831979"/>
    <w:rsid w:val="00832AD5"/>
    <w:rsid w:val="00832C53"/>
    <w:rsid w:val="008340E8"/>
    <w:rsid w:val="00835814"/>
    <w:rsid w:val="00837809"/>
    <w:rsid w:val="00841E16"/>
    <w:rsid w:val="00846E30"/>
    <w:rsid w:val="0085024D"/>
    <w:rsid w:val="00851352"/>
    <w:rsid w:val="00851C44"/>
    <w:rsid w:val="0085397A"/>
    <w:rsid w:val="0085508B"/>
    <w:rsid w:val="008554EE"/>
    <w:rsid w:val="00855B32"/>
    <w:rsid w:val="0085706F"/>
    <w:rsid w:val="00857077"/>
    <w:rsid w:val="008606E1"/>
    <w:rsid w:val="00863230"/>
    <w:rsid w:val="008640F6"/>
    <w:rsid w:val="00864C27"/>
    <w:rsid w:val="00865BD0"/>
    <w:rsid w:val="0086770D"/>
    <w:rsid w:val="00870A77"/>
    <w:rsid w:val="008717D8"/>
    <w:rsid w:val="0087215C"/>
    <w:rsid w:val="00873E0C"/>
    <w:rsid w:val="00874378"/>
    <w:rsid w:val="00874429"/>
    <w:rsid w:val="00875319"/>
    <w:rsid w:val="00875D25"/>
    <w:rsid w:val="00877098"/>
    <w:rsid w:val="00880E35"/>
    <w:rsid w:val="008830A2"/>
    <w:rsid w:val="008841BB"/>
    <w:rsid w:val="00885079"/>
    <w:rsid w:val="00886538"/>
    <w:rsid w:val="008875FE"/>
    <w:rsid w:val="00887F8E"/>
    <w:rsid w:val="0089394A"/>
    <w:rsid w:val="00896234"/>
    <w:rsid w:val="0089637D"/>
    <w:rsid w:val="00897E43"/>
    <w:rsid w:val="008A547A"/>
    <w:rsid w:val="008A7BE8"/>
    <w:rsid w:val="008B5AF0"/>
    <w:rsid w:val="008B66B3"/>
    <w:rsid w:val="008C00D1"/>
    <w:rsid w:val="008C222B"/>
    <w:rsid w:val="008C52F8"/>
    <w:rsid w:val="008C5738"/>
    <w:rsid w:val="008C7EAD"/>
    <w:rsid w:val="008D0CFE"/>
    <w:rsid w:val="008D4984"/>
    <w:rsid w:val="008D57D1"/>
    <w:rsid w:val="008D5B92"/>
    <w:rsid w:val="008D6152"/>
    <w:rsid w:val="008D631F"/>
    <w:rsid w:val="008E05E0"/>
    <w:rsid w:val="008E1399"/>
    <w:rsid w:val="008E28CB"/>
    <w:rsid w:val="008E3A6A"/>
    <w:rsid w:val="008E42C5"/>
    <w:rsid w:val="008E5D85"/>
    <w:rsid w:val="008E6CF8"/>
    <w:rsid w:val="008E7BA9"/>
    <w:rsid w:val="008F0DE1"/>
    <w:rsid w:val="008F0F81"/>
    <w:rsid w:val="008F1311"/>
    <w:rsid w:val="008F27BF"/>
    <w:rsid w:val="008F5E61"/>
    <w:rsid w:val="008F6CE9"/>
    <w:rsid w:val="00901D62"/>
    <w:rsid w:val="00902D0F"/>
    <w:rsid w:val="00903829"/>
    <w:rsid w:val="00905DEA"/>
    <w:rsid w:val="009065BF"/>
    <w:rsid w:val="00906841"/>
    <w:rsid w:val="0091001E"/>
    <w:rsid w:val="00910081"/>
    <w:rsid w:val="00910438"/>
    <w:rsid w:val="00910FC2"/>
    <w:rsid w:val="0091118A"/>
    <w:rsid w:val="00912D9D"/>
    <w:rsid w:val="009142EC"/>
    <w:rsid w:val="009154C3"/>
    <w:rsid w:val="009159FC"/>
    <w:rsid w:val="0091642D"/>
    <w:rsid w:val="009229FB"/>
    <w:rsid w:val="00923540"/>
    <w:rsid w:val="00926767"/>
    <w:rsid w:val="00927057"/>
    <w:rsid w:val="009305F4"/>
    <w:rsid w:val="0093194B"/>
    <w:rsid w:val="009352D4"/>
    <w:rsid w:val="0093547B"/>
    <w:rsid w:val="00935751"/>
    <w:rsid w:val="009361D5"/>
    <w:rsid w:val="00937999"/>
    <w:rsid w:val="009428A4"/>
    <w:rsid w:val="00942C67"/>
    <w:rsid w:val="009437CF"/>
    <w:rsid w:val="00943840"/>
    <w:rsid w:val="009439A8"/>
    <w:rsid w:val="00947851"/>
    <w:rsid w:val="009478CC"/>
    <w:rsid w:val="009515C0"/>
    <w:rsid w:val="009521FD"/>
    <w:rsid w:val="00952BAF"/>
    <w:rsid w:val="00952CC8"/>
    <w:rsid w:val="00956407"/>
    <w:rsid w:val="00960859"/>
    <w:rsid w:val="00964897"/>
    <w:rsid w:val="009659F4"/>
    <w:rsid w:val="00966902"/>
    <w:rsid w:val="00967F74"/>
    <w:rsid w:val="0097059D"/>
    <w:rsid w:val="00970D60"/>
    <w:rsid w:val="00970F8F"/>
    <w:rsid w:val="0097173E"/>
    <w:rsid w:val="0097180C"/>
    <w:rsid w:val="009723B2"/>
    <w:rsid w:val="00972CCC"/>
    <w:rsid w:val="009731B4"/>
    <w:rsid w:val="00973857"/>
    <w:rsid w:val="00977DCC"/>
    <w:rsid w:val="0098145C"/>
    <w:rsid w:val="00981493"/>
    <w:rsid w:val="00982F31"/>
    <w:rsid w:val="009844CC"/>
    <w:rsid w:val="009844F7"/>
    <w:rsid w:val="00984E2F"/>
    <w:rsid w:val="00984ECD"/>
    <w:rsid w:val="00985A22"/>
    <w:rsid w:val="00986AE3"/>
    <w:rsid w:val="00990635"/>
    <w:rsid w:val="00990F3D"/>
    <w:rsid w:val="00991B90"/>
    <w:rsid w:val="00992716"/>
    <w:rsid w:val="00992938"/>
    <w:rsid w:val="00993103"/>
    <w:rsid w:val="00993751"/>
    <w:rsid w:val="0099390E"/>
    <w:rsid w:val="00993D17"/>
    <w:rsid w:val="00993E24"/>
    <w:rsid w:val="00994036"/>
    <w:rsid w:val="009960E5"/>
    <w:rsid w:val="00996310"/>
    <w:rsid w:val="00997E62"/>
    <w:rsid w:val="009A0260"/>
    <w:rsid w:val="009A1362"/>
    <w:rsid w:val="009A219E"/>
    <w:rsid w:val="009A36F6"/>
    <w:rsid w:val="009A387E"/>
    <w:rsid w:val="009A7ADC"/>
    <w:rsid w:val="009B052C"/>
    <w:rsid w:val="009B0D30"/>
    <w:rsid w:val="009B238E"/>
    <w:rsid w:val="009B37EA"/>
    <w:rsid w:val="009B68EE"/>
    <w:rsid w:val="009C19B7"/>
    <w:rsid w:val="009C1A05"/>
    <w:rsid w:val="009C1BCF"/>
    <w:rsid w:val="009C4821"/>
    <w:rsid w:val="009C5ABB"/>
    <w:rsid w:val="009C5B91"/>
    <w:rsid w:val="009C5D58"/>
    <w:rsid w:val="009D004D"/>
    <w:rsid w:val="009D0C66"/>
    <w:rsid w:val="009D15AA"/>
    <w:rsid w:val="009D4522"/>
    <w:rsid w:val="009D5D55"/>
    <w:rsid w:val="009D7C51"/>
    <w:rsid w:val="009E1164"/>
    <w:rsid w:val="009E121D"/>
    <w:rsid w:val="009E196C"/>
    <w:rsid w:val="009E422C"/>
    <w:rsid w:val="009E46C2"/>
    <w:rsid w:val="009E51AE"/>
    <w:rsid w:val="009E6945"/>
    <w:rsid w:val="009F16E6"/>
    <w:rsid w:val="009F2453"/>
    <w:rsid w:val="009F36BF"/>
    <w:rsid w:val="009F5C0E"/>
    <w:rsid w:val="009F6442"/>
    <w:rsid w:val="009F7115"/>
    <w:rsid w:val="009F7C95"/>
    <w:rsid w:val="00A0025C"/>
    <w:rsid w:val="00A03589"/>
    <w:rsid w:val="00A0627A"/>
    <w:rsid w:val="00A105C8"/>
    <w:rsid w:val="00A111B6"/>
    <w:rsid w:val="00A11220"/>
    <w:rsid w:val="00A11CE0"/>
    <w:rsid w:val="00A13805"/>
    <w:rsid w:val="00A15453"/>
    <w:rsid w:val="00A227A4"/>
    <w:rsid w:val="00A228EC"/>
    <w:rsid w:val="00A22967"/>
    <w:rsid w:val="00A243E9"/>
    <w:rsid w:val="00A249F7"/>
    <w:rsid w:val="00A266A8"/>
    <w:rsid w:val="00A26D27"/>
    <w:rsid w:val="00A26F61"/>
    <w:rsid w:val="00A317D6"/>
    <w:rsid w:val="00A318E8"/>
    <w:rsid w:val="00A31F9F"/>
    <w:rsid w:val="00A328B0"/>
    <w:rsid w:val="00A329B3"/>
    <w:rsid w:val="00A35F87"/>
    <w:rsid w:val="00A376EE"/>
    <w:rsid w:val="00A37898"/>
    <w:rsid w:val="00A42A99"/>
    <w:rsid w:val="00A5151A"/>
    <w:rsid w:val="00A5273E"/>
    <w:rsid w:val="00A54517"/>
    <w:rsid w:val="00A55ED2"/>
    <w:rsid w:val="00A56BEA"/>
    <w:rsid w:val="00A5735B"/>
    <w:rsid w:val="00A57E0A"/>
    <w:rsid w:val="00A63BAF"/>
    <w:rsid w:val="00A6649C"/>
    <w:rsid w:val="00A67298"/>
    <w:rsid w:val="00A67F58"/>
    <w:rsid w:val="00A71275"/>
    <w:rsid w:val="00A74908"/>
    <w:rsid w:val="00A75500"/>
    <w:rsid w:val="00A823F6"/>
    <w:rsid w:val="00A8719E"/>
    <w:rsid w:val="00A926C9"/>
    <w:rsid w:val="00A94307"/>
    <w:rsid w:val="00A95A1F"/>
    <w:rsid w:val="00A95D18"/>
    <w:rsid w:val="00A97973"/>
    <w:rsid w:val="00A97F99"/>
    <w:rsid w:val="00AA0337"/>
    <w:rsid w:val="00AA0A89"/>
    <w:rsid w:val="00AA1132"/>
    <w:rsid w:val="00AA23EE"/>
    <w:rsid w:val="00AA4264"/>
    <w:rsid w:val="00AA4DEA"/>
    <w:rsid w:val="00AA5368"/>
    <w:rsid w:val="00AA550E"/>
    <w:rsid w:val="00AA6429"/>
    <w:rsid w:val="00AB230D"/>
    <w:rsid w:val="00AB2A42"/>
    <w:rsid w:val="00AB563E"/>
    <w:rsid w:val="00AB6940"/>
    <w:rsid w:val="00AC01AA"/>
    <w:rsid w:val="00AC25ED"/>
    <w:rsid w:val="00AC331E"/>
    <w:rsid w:val="00AC404F"/>
    <w:rsid w:val="00AC40CC"/>
    <w:rsid w:val="00AC4F72"/>
    <w:rsid w:val="00AC5B44"/>
    <w:rsid w:val="00AD07CF"/>
    <w:rsid w:val="00AD0E08"/>
    <w:rsid w:val="00AD1CC7"/>
    <w:rsid w:val="00AD2719"/>
    <w:rsid w:val="00AD2B1C"/>
    <w:rsid w:val="00AD6667"/>
    <w:rsid w:val="00AD6671"/>
    <w:rsid w:val="00AD6820"/>
    <w:rsid w:val="00AD69B3"/>
    <w:rsid w:val="00AD7776"/>
    <w:rsid w:val="00AD7C64"/>
    <w:rsid w:val="00AE25CF"/>
    <w:rsid w:val="00AE4AAF"/>
    <w:rsid w:val="00AE62CF"/>
    <w:rsid w:val="00AF028D"/>
    <w:rsid w:val="00AF0B44"/>
    <w:rsid w:val="00AF2946"/>
    <w:rsid w:val="00AF42C0"/>
    <w:rsid w:val="00AF5B57"/>
    <w:rsid w:val="00AF73A4"/>
    <w:rsid w:val="00AF741A"/>
    <w:rsid w:val="00B01ADB"/>
    <w:rsid w:val="00B04161"/>
    <w:rsid w:val="00B056F9"/>
    <w:rsid w:val="00B07E93"/>
    <w:rsid w:val="00B10344"/>
    <w:rsid w:val="00B110AC"/>
    <w:rsid w:val="00B11E3D"/>
    <w:rsid w:val="00B12309"/>
    <w:rsid w:val="00B137E5"/>
    <w:rsid w:val="00B1445D"/>
    <w:rsid w:val="00B14D2C"/>
    <w:rsid w:val="00B1524F"/>
    <w:rsid w:val="00B17DC7"/>
    <w:rsid w:val="00B17E82"/>
    <w:rsid w:val="00B214F2"/>
    <w:rsid w:val="00B22279"/>
    <w:rsid w:val="00B22C50"/>
    <w:rsid w:val="00B24C14"/>
    <w:rsid w:val="00B2547B"/>
    <w:rsid w:val="00B267E9"/>
    <w:rsid w:val="00B3193F"/>
    <w:rsid w:val="00B3332F"/>
    <w:rsid w:val="00B334E7"/>
    <w:rsid w:val="00B3515D"/>
    <w:rsid w:val="00B366F2"/>
    <w:rsid w:val="00B3678B"/>
    <w:rsid w:val="00B36F6F"/>
    <w:rsid w:val="00B41016"/>
    <w:rsid w:val="00B440DC"/>
    <w:rsid w:val="00B4445D"/>
    <w:rsid w:val="00B4575A"/>
    <w:rsid w:val="00B46710"/>
    <w:rsid w:val="00B509FE"/>
    <w:rsid w:val="00B51311"/>
    <w:rsid w:val="00B51872"/>
    <w:rsid w:val="00B56B03"/>
    <w:rsid w:val="00B575BA"/>
    <w:rsid w:val="00B61CA6"/>
    <w:rsid w:val="00B6250C"/>
    <w:rsid w:val="00B64372"/>
    <w:rsid w:val="00B64F96"/>
    <w:rsid w:val="00B6581F"/>
    <w:rsid w:val="00B666EE"/>
    <w:rsid w:val="00B71608"/>
    <w:rsid w:val="00B7225E"/>
    <w:rsid w:val="00B7289A"/>
    <w:rsid w:val="00B733C8"/>
    <w:rsid w:val="00B73591"/>
    <w:rsid w:val="00B759B6"/>
    <w:rsid w:val="00B76429"/>
    <w:rsid w:val="00B764AC"/>
    <w:rsid w:val="00B77BDA"/>
    <w:rsid w:val="00B80118"/>
    <w:rsid w:val="00B803DB"/>
    <w:rsid w:val="00B81770"/>
    <w:rsid w:val="00B82AED"/>
    <w:rsid w:val="00B86471"/>
    <w:rsid w:val="00B869EA"/>
    <w:rsid w:val="00B8783D"/>
    <w:rsid w:val="00B9281B"/>
    <w:rsid w:val="00B9470B"/>
    <w:rsid w:val="00B956D4"/>
    <w:rsid w:val="00B96484"/>
    <w:rsid w:val="00B96D38"/>
    <w:rsid w:val="00B97446"/>
    <w:rsid w:val="00BA1876"/>
    <w:rsid w:val="00BA24C2"/>
    <w:rsid w:val="00BA3DA6"/>
    <w:rsid w:val="00BA478C"/>
    <w:rsid w:val="00BA58F8"/>
    <w:rsid w:val="00BA7432"/>
    <w:rsid w:val="00BA772C"/>
    <w:rsid w:val="00BB05D1"/>
    <w:rsid w:val="00BB0B39"/>
    <w:rsid w:val="00BB124A"/>
    <w:rsid w:val="00BB2764"/>
    <w:rsid w:val="00BB5202"/>
    <w:rsid w:val="00BB68C6"/>
    <w:rsid w:val="00BB6E5C"/>
    <w:rsid w:val="00BB7E78"/>
    <w:rsid w:val="00BC1AA0"/>
    <w:rsid w:val="00BC2495"/>
    <w:rsid w:val="00BC314A"/>
    <w:rsid w:val="00BC57A4"/>
    <w:rsid w:val="00BC6400"/>
    <w:rsid w:val="00BC7EB9"/>
    <w:rsid w:val="00BC7F93"/>
    <w:rsid w:val="00BD2643"/>
    <w:rsid w:val="00BD3F27"/>
    <w:rsid w:val="00BD424D"/>
    <w:rsid w:val="00BD49A1"/>
    <w:rsid w:val="00BD56B1"/>
    <w:rsid w:val="00BD64D1"/>
    <w:rsid w:val="00BD6558"/>
    <w:rsid w:val="00BD75E6"/>
    <w:rsid w:val="00BD7643"/>
    <w:rsid w:val="00BE0CDD"/>
    <w:rsid w:val="00BE0EAB"/>
    <w:rsid w:val="00BE199B"/>
    <w:rsid w:val="00BE1ACD"/>
    <w:rsid w:val="00BE4FFE"/>
    <w:rsid w:val="00BE5171"/>
    <w:rsid w:val="00BE5946"/>
    <w:rsid w:val="00BE5E21"/>
    <w:rsid w:val="00BE63B2"/>
    <w:rsid w:val="00BE7B4E"/>
    <w:rsid w:val="00BF0769"/>
    <w:rsid w:val="00BF096D"/>
    <w:rsid w:val="00BF0985"/>
    <w:rsid w:val="00BF2AD7"/>
    <w:rsid w:val="00BF2C8B"/>
    <w:rsid w:val="00BF2F76"/>
    <w:rsid w:val="00BF3022"/>
    <w:rsid w:val="00BF3214"/>
    <w:rsid w:val="00BF4C16"/>
    <w:rsid w:val="00BF5573"/>
    <w:rsid w:val="00BF7F7D"/>
    <w:rsid w:val="00C0141D"/>
    <w:rsid w:val="00C01AF1"/>
    <w:rsid w:val="00C021D9"/>
    <w:rsid w:val="00C02CFD"/>
    <w:rsid w:val="00C04D03"/>
    <w:rsid w:val="00C0547A"/>
    <w:rsid w:val="00C07620"/>
    <w:rsid w:val="00C1395F"/>
    <w:rsid w:val="00C1411C"/>
    <w:rsid w:val="00C14EC3"/>
    <w:rsid w:val="00C15867"/>
    <w:rsid w:val="00C20E6F"/>
    <w:rsid w:val="00C2296D"/>
    <w:rsid w:val="00C23155"/>
    <w:rsid w:val="00C23878"/>
    <w:rsid w:val="00C24479"/>
    <w:rsid w:val="00C3306E"/>
    <w:rsid w:val="00C40C41"/>
    <w:rsid w:val="00C436C9"/>
    <w:rsid w:val="00C4401D"/>
    <w:rsid w:val="00C45885"/>
    <w:rsid w:val="00C46FF5"/>
    <w:rsid w:val="00C500D0"/>
    <w:rsid w:val="00C50DD0"/>
    <w:rsid w:val="00C50F22"/>
    <w:rsid w:val="00C51210"/>
    <w:rsid w:val="00C515B1"/>
    <w:rsid w:val="00C517AB"/>
    <w:rsid w:val="00C534F2"/>
    <w:rsid w:val="00C53D7A"/>
    <w:rsid w:val="00C57971"/>
    <w:rsid w:val="00C603C5"/>
    <w:rsid w:val="00C6106E"/>
    <w:rsid w:val="00C658D7"/>
    <w:rsid w:val="00C65BD7"/>
    <w:rsid w:val="00C66312"/>
    <w:rsid w:val="00C671E7"/>
    <w:rsid w:val="00C70D5F"/>
    <w:rsid w:val="00C7161D"/>
    <w:rsid w:val="00C72651"/>
    <w:rsid w:val="00C72EFA"/>
    <w:rsid w:val="00C744A5"/>
    <w:rsid w:val="00C74E40"/>
    <w:rsid w:val="00C75A5F"/>
    <w:rsid w:val="00C764D0"/>
    <w:rsid w:val="00C766E4"/>
    <w:rsid w:val="00C76BA1"/>
    <w:rsid w:val="00C76BA4"/>
    <w:rsid w:val="00C76E10"/>
    <w:rsid w:val="00C770AF"/>
    <w:rsid w:val="00C8188B"/>
    <w:rsid w:val="00C83A48"/>
    <w:rsid w:val="00C84C6B"/>
    <w:rsid w:val="00C854A7"/>
    <w:rsid w:val="00C85865"/>
    <w:rsid w:val="00C85E85"/>
    <w:rsid w:val="00C919A6"/>
    <w:rsid w:val="00C94073"/>
    <w:rsid w:val="00C945AD"/>
    <w:rsid w:val="00C96585"/>
    <w:rsid w:val="00CA06B9"/>
    <w:rsid w:val="00CA136F"/>
    <w:rsid w:val="00CA2EAE"/>
    <w:rsid w:val="00CA33B1"/>
    <w:rsid w:val="00CA45A7"/>
    <w:rsid w:val="00CA49F7"/>
    <w:rsid w:val="00CA4AC1"/>
    <w:rsid w:val="00CA59FB"/>
    <w:rsid w:val="00CB0316"/>
    <w:rsid w:val="00CB0B01"/>
    <w:rsid w:val="00CB0B11"/>
    <w:rsid w:val="00CB194A"/>
    <w:rsid w:val="00CB426A"/>
    <w:rsid w:val="00CB5354"/>
    <w:rsid w:val="00CB6DB7"/>
    <w:rsid w:val="00CB6ED0"/>
    <w:rsid w:val="00CC0EB9"/>
    <w:rsid w:val="00CC36F5"/>
    <w:rsid w:val="00CC3C9E"/>
    <w:rsid w:val="00CC4713"/>
    <w:rsid w:val="00CC6A14"/>
    <w:rsid w:val="00CC70A3"/>
    <w:rsid w:val="00CD061B"/>
    <w:rsid w:val="00CD4442"/>
    <w:rsid w:val="00CD4E4A"/>
    <w:rsid w:val="00CD53C3"/>
    <w:rsid w:val="00CD574E"/>
    <w:rsid w:val="00CD664F"/>
    <w:rsid w:val="00CD770E"/>
    <w:rsid w:val="00CE1B53"/>
    <w:rsid w:val="00CE33EE"/>
    <w:rsid w:val="00CE386D"/>
    <w:rsid w:val="00CE4C22"/>
    <w:rsid w:val="00CE5103"/>
    <w:rsid w:val="00CE5AEA"/>
    <w:rsid w:val="00CE6A59"/>
    <w:rsid w:val="00CE76E5"/>
    <w:rsid w:val="00CF006B"/>
    <w:rsid w:val="00CF0B8D"/>
    <w:rsid w:val="00CF41EC"/>
    <w:rsid w:val="00CF4A1D"/>
    <w:rsid w:val="00CF4C63"/>
    <w:rsid w:val="00CF5D04"/>
    <w:rsid w:val="00CF6828"/>
    <w:rsid w:val="00D004B7"/>
    <w:rsid w:val="00D01C3B"/>
    <w:rsid w:val="00D0216A"/>
    <w:rsid w:val="00D04DE4"/>
    <w:rsid w:val="00D063F1"/>
    <w:rsid w:val="00D0716D"/>
    <w:rsid w:val="00D07DBC"/>
    <w:rsid w:val="00D10588"/>
    <w:rsid w:val="00D11029"/>
    <w:rsid w:val="00D140DD"/>
    <w:rsid w:val="00D143F8"/>
    <w:rsid w:val="00D14514"/>
    <w:rsid w:val="00D14F22"/>
    <w:rsid w:val="00D17BEF"/>
    <w:rsid w:val="00D202D0"/>
    <w:rsid w:val="00D21C82"/>
    <w:rsid w:val="00D24961"/>
    <w:rsid w:val="00D25F58"/>
    <w:rsid w:val="00D268E7"/>
    <w:rsid w:val="00D26EEE"/>
    <w:rsid w:val="00D31900"/>
    <w:rsid w:val="00D3326D"/>
    <w:rsid w:val="00D333D4"/>
    <w:rsid w:val="00D41052"/>
    <w:rsid w:val="00D420DD"/>
    <w:rsid w:val="00D436C1"/>
    <w:rsid w:val="00D43D17"/>
    <w:rsid w:val="00D459F5"/>
    <w:rsid w:val="00D46A8F"/>
    <w:rsid w:val="00D4741C"/>
    <w:rsid w:val="00D475AF"/>
    <w:rsid w:val="00D47A4F"/>
    <w:rsid w:val="00D504DC"/>
    <w:rsid w:val="00D52E1B"/>
    <w:rsid w:val="00D53C94"/>
    <w:rsid w:val="00D5480A"/>
    <w:rsid w:val="00D566CE"/>
    <w:rsid w:val="00D57189"/>
    <w:rsid w:val="00D57918"/>
    <w:rsid w:val="00D60B05"/>
    <w:rsid w:val="00D61856"/>
    <w:rsid w:val="00D62E1C"/>
    <w:rsid w:val="00D64719"/>
    <w:rsid w:val="00D6526E"/>
    <w:rsid w:val="00D679F5"/>
    <w:rsid w:val="00D67D5C"/>
    <w:rsid w:val="00D73195"/>
    <w:rsid w:val="00D73DC6"/>
    <w:rsid w:val="00D74C1A"/>
    <w:rsid w:val="00D753C3"/>
    <w:rsid w:val="00D754C1"/>
    <w:rsid w:val="00D763E5"/>
    <w:rsid w:val="00D77393"/>
    <w:rsid w:val="00D77A35"/>
    <w:rsid w:val="00D77B6F"/>
    <w:rsid w:val="00D77F91"/>
    <w:rsid w:val="00D80184"/>
    <w:rsid w:val="00D81B3E"/>
    <w:rsid w:val="00D83837"/>
    <w:rsid w:val="00D84A39"/>
    <w:rsid w:val="00D872C4"/>
    <w:rsid w:val="00D90241"/>
    <w:rsid w:val="00D90C70"/>
    <w:rsid w:val="00D90DE2"/>
    <w:rsid w:val="00D90E49"/>
    <w:rsid w:val="00D9312C"/>
    <w:rsid w:val="00D93A8F"/>
    <w:rsid w:val="00D950B2"/>
    <w:rsid w:val="00D96175"/>
    <w:rsid w:val="00D96ADE"/>
    <w:rsid w:val="00D96E4A"/>
    <w:rsid w:val="00DA0CE2"/>
    <w:rsid w:val="00DA1180"/>
    <w:rsid w:val="00DB0F22"/>
    <w:rsid w:val="00DB2C3D"/>
    <w:rsid w:val="00DB5B16"/>
    <w:rsid w:val="00DB5F7B"/>
    <w:rsid w:val="00DC140E"/>
    <w:rsid w:val="00DC1438"/>
    <w:rsid w:val="00DC168A"/>
    <w:rsid w:val="00DC2A9B"/>
    <w:rsid w:val="00DC2B3A"/>
    <w:rsid w:val="00DC404E"/>
    <w:rsid w:val="00DC6A10"/>
    <w:rsid w:val="00DC7763"/>
    <w:rsid w:val="00DD029A"/>
    <w:rsid w:val="00DD0CE6"/>
    <w:rsid w:val="00DD5360"/>
    <w:rsid w:val="00DD6711"/>
    <w:rsid w:val="00DE14C5"/>
    <w:rsid w:val="00DE2A3F"/>
    <w:rsid w:val="00DE30CB"/>
    <w:rsid w:val="00DE3D15"/>
    <w:rsid w:val="00DE45C2"/>
    <w:rsid w:val="00DE657E"/>
    <w:rsid w:val="00DE6AE8"/>
    <w:rsid w:val="00DF079A"/>
    <w:rsid w:val="00DF08F6"/>
    <w:rsid w:val="00DF119F"/>
    <w:rsid w:val="00DF2822"/>
    <w:rsid w:val="00DF45E0"/>
    <w:rsid w:val="00DF4704"/>
    <w:rsid w:val="00DF56D0"/>
    <w:rsid w:val="00DF7FF7"/>
    <w:rsid w:val="00E00299"/>
    <w:rsid w:val="00E003AD"/>
    <w:rsid w:val="00E024AA"/>
    <w:rsid w:val="00E0416C"/>
    <w:rsid w:val="00E056F8"/>
    <w:rsid w:val="00E05E3C"/>
    <w:rsid w:val="00E05E3D"/>
    <w:rsid w:val="00E065A7"/>
    <w:rsid w:val="00E0770F"/>
    <w:rsid w:val="00E07780"/>
    <w:rsid w:val="00E11708"/>
    <w:rsid w:val="00E11FCC"/>
    <w:rsid w:val="00E135C7"/>
    <w:rsid w:val="00E1526C"/>
    <w:rsid w:val="00E15C77"/>
    <w:rsid w:val="00E169D1"/>
    <w:rsid w:val="00E17173"/>
    <w:rsid w:val="00E22CB6"/>
    <w:rsid w:val="00E23613"/>
    <w:rsid w:val="00E23696"/>
    <w:rsid w:val="00E2459F"/>
    <w:rsid w:val="00E245D9"/>
    <w:rsid w:val="00E250F1"/>
    <w:rsid w:val="00E25314"/>
    <w:rsid w:val="00E253D3"/>
    <w:rsid w:val="00E26C42"/>
    <w:rsid w:val="00E3230C"/>
    <w:rsid w:val="00E3550D"/>
    <w:rsid w:val="00E35668"/>
    <w:rsid w:val="00E35E7C"/>
    <w:rsid w:val="00E416BC"/>
    <w:rsid w:val="00E46EE1"/>
    <w:rsid w:val="00E51B89"/>
    <w:rsid w:val="00E51BD7"/>
    <w:rsid w:val="00E51C70"/>
    <w:rsid w:val="00E52838"/>
    <w:rsid w:val="00E5373B"/>
    <w:rsid w:val="00E55FC6"/>
    <w:rsid w:val="00E56B92"/>
    <w:rsid w:val="00E56F86"/>
    <w:rsid w:val="00E60E85"/>
    <w:rsid w:val="00E614E0"/>
    <w:rsid w:val="00E630B6"/>
    <w:rsid w:val="00E63172"/>
    <w:rsid w:val="00E65A92"/>
    <w:rsid w:val="00E73F7F"/>
    <w:rsid w:val="00E74951"/>
    <w:rsid w:val="00E753E8"/>
    <w:rsid w:val="00E755DA"/>
    <w:rsid w:val="00E7586D"/>
    <w:rsid w:val="00E80391"/>
    <w:rsid w:val="00E81605"/>
    <w:rsid w:val="00E827F7"/>
    <w:rsid w:val="00E83382"/>
    <w:rsid w:val="00E85409"/>
    <w:rsid w:val="00E866B1"/>
    <w:rsid w:val="00E868E5"/>
    <w:rsid w:val="00E92A26"/>
    <w:rsid w:val="00E94B27"/>
    <w:rsid w:val="00E96BFC"/>
    <w:rsid w:val="00E96FC3"/>
    <w:rsid w:val="00E9702E"/>
    <w:rsid w:val="00E978C0"/>
    <w:rsid w:val="00EA12A7"/>
    <w:rsid w:val="00EA429F"/>
    <w:rsid w:val="00EA4F9E"/>
    <w:rsid w:val="00EA63CA"/>
    <w:rsid w:val="00EA66C7"/>
    <w:rsid w:val="00EA6D3B"/>
    <w:rsid w:val="00EB00AD"/>
    <w:rsid w:val="00EB136C"/>
    <w:rsid w:val="00EB158B"/>
    <w:rsid w:val="00EB170E"/>
    <w:rsid w:val="00EB2E90"/>
    <w:rsid w:val="00EB33D0"/>
    <w:rsid w:val="00EB3D7B"/>
    <w:rsid w:val="00EB480E"/>
    <w:rsid w:val="00EB5519"/>
    <w:rsid w:val="00EB56D9"/>
    <w:rsid w:val="00EB5866"/>
    <w:rsid w:val="00EB5EC6"/>
    <w:rsid w:val="00EB61FD"/>
    <w:rsid w:val="00EB7FC9"/>
    <w:rsid w:val="00EC15B9"/>
    <w:rsid w:val="00EC21C1"/>
    <w:rsid w:val="00EC2C02"/>
    <w:rsid w:val="00EC3334"/>
    <w:rsid w:val="00EC5651"/>
    <w:rsid w:val="00EC6A94"/>
    <w:rsid w:val="00ED0FC9"/>
    <w:rsid w:val="00ED12C4"/>
    <w:rsid w:val="00ED27E8"/>
    <w:rsid w:val="00ED5716"/>
    <w:rsid w:val="00ED6362"/>
    <w:rsid w:val="00ED669E"/>
    <w:rsid w:val="00ED6AE3"/>
    <w:rsid w:val="00ED6DC2"/>
    <w:rsid w:val="00ED7137"/>
    <w:rsid w:val="00EE04C9"/>
    <w:rsid w:val="00EE07E0"/>
    <w:rsid w:val="00EE0882"/>
    <w:rsid w:val="00EE0B59"/>
    <w:rsid w:val="00EE0E83"/>
    <w:rsid w:val="00EE1411"/>
    <w:rsid w:val="00EE1B05"/>
    <w:rsid w:val="00EE1C14"/>
    <w:rsid w:val="00EE1CD1"/>
    <w:rsid w:val="00EE3380"/>
    <w:rsid w:val="00EE6C5D"/>
    <w:rsid w:val="00EE7AEA"/>
    <w:rsid w:val="00EF06EA"/>
    <w:rsid w:val="00EF27BD"/>
    <w:rsid w:val="00EF36B6"/>
    <w:rsid w:val="00EF549A"/>
    <w:rsid w:val="00EF64E1"/>
    <w:rsid w:val="00EF6A8B"/>
    <w:rsid w:val="00F00A32"/>
    <w:rsid w:val="00F00C5F"/>
    <w:rsid w:val="00F013D0"/>
    <w:rsid w:val="00F0366D"/>
    <w:rsid w:val="00F038AE"/>
    <w:rsid w:val="00F10034"/>
    <w:rsid w:val="00F122E7"/>
    <w:rsid w:val="00F124C3"/>
    <w:rsid w:val="00F14748"/>
    <w:rsid w:val="00F14C44"/>
    <w:rsid w:val="00F173B7"/>
    <w:rsid w:val="00F21088"/>
    <w:rsid w:val="00F21B78"/>
    <w:rsid w:val="00F21CA5"/>
    <w:rsid w:val="00F22CF5"/>
    <w:rsid w:val="00F236FB"/>
    <w:rsid w:val="00F25A20"/>
    <w:rsid w:val="00F317AE"/>
    <w:rsid w:val="00F31F5D"/>
    <w:rsid w:val="00F327AE"/>
    <w:rsid w:val="00F327E7"/>
    <w:rsid w:val="00F33646"/>
    <w:rsid w:val="00F35352"/>
    <w:rsid w:val="00F35746"/>
    <w:rsid w:val="00F35E21"/>
    <w:rsid w:val="00F366DA"/>
    <w:rsid w:val="00F40350"/>
    <w:rsid w:val="00F42465"/>
    <w:rsid w:val="00F42DE1"/>
    <w:rsid w:val="00F447C7"/>
    <w:rsid w:val="00F459B4"/>
    <w:rsid w:val="00F478C5"/>
    <w:rsid w:val="00F50B3B"/>
    <w:rsid w:val="00F50CF8"/>
    <w:rsid w:val="00F5211B"/>
    <w:rsid w:val="00F527C7"/>
    <w:rsid w:val="00F554A9"/>
    <w:rsid w:val="00F56F19"/>
    <w:rsid w:val="00F606A7"/>
    <w:rsid w:val="00F64EB3"/>
    <w:rsid w:val="00F654F1"/>
    <w:rsid w:val="00F6581C"/>
    <w:rsid w:val="00F65D26"/>
    <w:rsid w:val="00F65E09"/>
    <w:rsid w:val="00F70E2D"/>
    <w:rsid w:val="00F716FD"/>
    <w:rsid w:val="00F73FCA"/>
    <w:rsid w:val="00F743B7"/>
    <w:rsid w:val="00F747E5"/>
    <w:rsid w:val="00F76483"/>
    <w:rsid w:val="00F76973"/>
    <w:rsid w:val="00F7779F"/>
    <w:rsid w:val="00F80355"/>
    <w:rsid w:val="00F80F10"/>
    <w:rsid w:val="00F81A6E"/>
    <w:rsid w:val="00F81DA2"/>
    <w:rsid w:val="00F84316"/>
    <w:rsid w:val="00F856B4"/>
    <w:rsid w:val="00F8583B"/>
    <w:rsid w:val="00F85B6A"/>
    <w:rsid w:val="00F87C43"/>
    <w:rsid w:val="00F87C99"/>
    <w:rsid w:val="00F87DCD"/>
    <w:rsid w:val="00F90409"/>
    <w:rsid w:val="00F90A93"/>
    <w:rsid w:val="00F956E8"/>
    <w:rsid w:val="00F97869"/>
    <w:rsid w:val="00F97C44"/>
    <w:rsid w:val="00FA1586"/>
    <w:rsid w:val="00FA495F"/>
    <w:rsid w:val="00FA5163"/>
    <w:rsid w:val="00FA51A6"/>
    <w:rsid w:val="00FA5722"/>
    <w:rsid w:val="00FA679C"/>
    <w:rsid w:val="00FA6C32"/>
    <w:rsid w:val="00FA6CBC"/>
    <w:rsid w:val="00FA735D"/>
    <w:rsid w:val="00FB090F"/>
    <w:rsid w:val="00FB0C81"/>
    <w:rsid w:val="00FB4CA9"/>
    <w:rsid w:val="00FB622B"/>
    <w:rsid w:val="00FB7DD2"/>
    <w:rsid w:val="00FC1EFB"/>
    <w:rsid w:val="00FC2200"/>
    <w:rsid w:val="00FC2540"/>
    <w:rsid w:val="00FC2706"/>
    <w:rsid w:val="00FC4868"/>
    <w:rsid w:val="00FC5C5C"/>
    <w:rsid w:val="00FC604B"/>
    <w:rsid w:val="00FC69DB"/>
    <w:rsid w:val="00FD2521"/>
    <w:rsid w:val="00FD2CBA"/>
    <w:rsid w:val="00FD4D3F"/>
    <w:rsid w:val="00FD5A67"/>
    <w:rsid w:val="00FD5DA4"/>
    <w:rsid w:val="00FD6DC9"/>
    <w:rsid w:val="00FD75B9"/>
    <w:rsid w:val="00FD7B2B"/>
    <w:rsid w:val="00FE04C6"/>
    <w:rsid w:val="00FE1FD9"/>
    <w:rsid w:val="00FE4079"/>
    <w:rsid w:val="00FE4D9D"/>
    <w:rsid w:val="00FE52F6"/>
    <w:rsid w:val="00FF0204"/>
    <w:rsid w:val="00FF3AED"/>
    <w:rsid w:val="00FF6E69"/>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3D2A7E"/>
  <w15:docId w15:val="{5E448F89-B07F-4FE6-B273-7EF818AD7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paragraph" w:styleId="ListParagraph">
    <w:name w:val="List Paragraph"/>
    <w:basedOn w:val="Normal"/>
    <w:link w:val="ListParagraphChar"/>
    <w:uiPriority w:val="34"/>
    <w:qFormat/>
    <w:rsid w:val="006F2CC2"/>
    <w:pPr>
      <w:ind w:left="720"/>
      <w:contextualSpacing/>
    </w:pPr>
    <w:rPr>
      <w:lang w:val="en-GB"/>
    </w:rPr>
  </w:style>
  <w:style w:type="character" w:customStyle="1" w:styleId="ListParagraphChar">
    <w:name w:val="List Paragraph Char"/>
    <w:basedOn w:val="DefaultParagraphFont"/>
    <w:link w:val="ListParagraph"/>
    <w:uiPriority w:val="34"/>
    <w:locked/>
    <w:rsid w:val="006F2CC2"/>
    <w:rPr>
      <w:sz w:val="22"/>
      <w:szCs w:val="22"/>
      <w:lang w:val="en-GB"/>
    </w:rPr>
  </w:style>
  <w:style w:type="paragraph" w:customStyle="1" w:styleId="Default">
    <w:name w:val="Default"/>
    <w:rsid w:val="006F2CC2"/>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6F2CC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F2CC2"/>
    <w:rPr>
      <w:sz w:val="22"/>
      <w:szCs w:val="22"/>
      <w:lang w:val="en-GB"/>
    </w:rPr>
  </w:style>
  <w:style w:type="paragraph" w:styleId="NormalWeb">
    <w:name w:val="Normal (Web)"/>
    <w:basedOn w:val="Normal"/>
    <w:uiPriority w:val="99"/>
    <w:unhideWhenUsed/>
    <w:rsid w:val="006F2CC2"/>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6F2CC2"/>
    <w:rPr>
      <w:sz w:val="20"/>
      <w:szCs w:val="20"/>
      <w:lang w:val="en-GB"/>
    </w:rPr>
  </w:style>
  <w:style w:type="character" w:customStyle="1" w:styleId="EndnoteTextChar">
    <w:name w:val="Endnote Text Char"/>
    <w:basedOn w:val="DefaultParagraphFont"/>
    <w:link w:val="EndnoteText"/>
    <w:uiPriority w:val="99"/>
    <w:semiHidden/>
    <w:rsid w:val="006F2CC2"/>
    <w:rPr>
      <w:lang w:val="en-GB"/>
    </w:rPr>
  </w:style>
  <w:style w:type="character" w:styleId="EndnoteReference">
    <w:name w:val="endnote reference"/>
    <w:basedOn w:val="DefaultParagraphFont"/>
    <w:uiPriority w:val="99"/>
    <w:semiHidden/>
    <w:unhideWhenUsed/>
    <w:rsid w:val="006F2CC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F2CC2"/>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uiPriority w:val="9"/>
    <w:rsid w:val="005D46E7"/>
    <w:rPr>
      <w:sz w:val="22"/>
      <w:szCs w:val="22"/>
      <w:lang w:val="en-CA"/>
    </w:rPr>
  </w:style>
  <w:style w:type="character" w:customStyle="1" w:styleId="Heading5Char">
    <w:name w:val="Heading 5 Char"/>
    <w:basedOn w:val="DefaultParagraphFont"/>
    <w:link w:val="Heading5"/>
    <w:rsid w:val="005D46E7"/>
    <w:rPr>
      <w:sz w:val="22"/>
      <w:szCs w:val="22"/>
      <w:lang w:val="en-CA"/>
    </w:rPr>
  </w:style>
  <w:style w:type="character" w:customStyle="1" w:styleId="Heading6Char">
    <w:name w:val="Heading 6 Char"/>
    <w:basedOn w:val="DefaultParagraphFont"/>
    <w:link w:val="Heading6"/>
    <w:uiPriority w:val="9"/>
    <w:rsid w:val="005D46E7"/>
    <w:rPr>
      <w:rFonts w:ascii="Arial" w:hAnsi="Arial"/>
      <w:i/>
      <w:sz w:val="22"/>
      <w:szCs w:val="22"/>
      <w:lang w:val="en-CA"/>
    </w:rPr>
  </w:style>
  <w:style w:type="character" w:customStyle="1" w:styleId="Heading7Char">
    <w:name w:val="Heading 7 Char"/>
    <w:basedOn w:val="DefaultParagraphFont"/>
    <w:link w:val="Heading7"/>
    <w:uiPriority w:val="99"/>
    <w:rsid w:val="005D46E7"/>
    <w:rPr>
      <w:rFonts w:ascii="Arial" w:hAnsi="Arial"/>
      <w:sz w:val="22"/>
      <w:szCs w:val="22"/>
      <w:lang w:val="en-CA"/>
    </w:rPr>
  </w:style>
  <w:style w:type="character" w:customStyle="1" w:styleId="Heading8Char">
    <w:name w:val="Heading 8 Char"/>
    <w:basedOn w:val="DefaultParagraphFont"/>
    <w:link w:val="Heading8"/>
    <w:rsid w:val="005D46E7"/>
    <w:rPr>
      <w:b/>
      <w:sz w:val="22"/>
      <w:szCs w:val="22"/>
      <w:lang w:val="en-CA"/>
    </w:rPr>
  </w:style>
  <w:style w:type="character" w:customStyle="1" w:styleId="Heading9Char">
    <w:name w:val="Heading 9 Char"/>
    <w:basedOn w:val="DefaultParagraphFont"/>
    <w:link w:val="Heading9"/>
    <w:uiPriority w:val="99"/>
    <w:rsid w:val="005D46E7"/>
    <w:rPr>
      <w:rFonts w:ascii="Arial" w:hAnsi="Arial"/>
      <w:i/>
      <w:sz w:val="18"/>
      <w:szCs w:val="22"/>
      <w:lang w:val="en-CA"/>
    </w:rPr>
  </w:style>
  <w:style w:type="character" w:customStyle="1" w:styleId="HeaderChar">
    <w:name w:val="Header Char"/>
    <w:basedOn w:val="DefaultParagraphFont"/>
    <w:link w:val="Header"/>
    <w:rsid w:val="005D46E7"/>
    <w:rPr>
      <w:sz w:val="22"/>
      <w:szCs w:val="22"/>
      <w:lang w:val="en-CA"/>
    </w:rPr>
  </w:style>
  <w:style w:type="character" w:customStyle="1" w:styleId="FooterChar">
    <w:name w:val="Footer Char"/>
    <w:basedOn w:val="DefaultParagraphFont"/>
    <w:link w:val="Footer"/>
    <w:uiPriority w:val="99"/>
    <w:rsid w:val="005D46E7"/>
    <w:rPr>
      <w:sz w:val="22"/>
      <w:szCs w:val="22"/>
      <w:lang w:val="en-CA"/>
    </w:rPr>
  </w:style>
  <w:style w:type="character" w:customStyle="1" w:styleId="BodyText3Char">
    <w:name w:val="Body Text 3 Char"/>
    <w:basedOn w:val="DefaultParagraphFont"/>
    <w:link w:val="BodyText3"/>
    <w:semiHidden/>
    <w:rsid w:val="005D46E7"/>
    <w:rPr>
      <w:sz w:val="16"/>
      <w:szCs w:val="16"/>
      <w:lang w:val="en-CA"/>
    </w:rPr>
  </w:style>
  <w:style w:type="character" w:customStyle="1" w:styleId="BodyTextIndent3Char">
    <w:name w:val="Body Text Indent 3 Char"/>
    <w:basedOn w:val="DefaultParagraphFont"/>
    <w:link w:val="BodyTextIndent3"/>
    <w:semiHidden/>
    <w:rsid w:val="005D46E7"/>
    <w:rPr>
      <w:sz w:val="16"/>
      <w:szCs w:val="16"/>
      <w:lang w:val="en-CA"/>
    </w:rPr>
  </w:style>
  <w:style w:type="character" w:customStyle="1" w:styleId="PlainTextChar">
    <w:name w:val="Plain Text Char"/>
    <w:basedOn w:val="DefaultParagraphFont"/>
    <w:link w:val="PlainText"/>
    <w:semiHidden/>
    <w:rsid w:val="005D46E7"/>
    <w:rPr>
      <w:rFonts w:ascii="Courier New" w:hAnsi="Courier New" w:cs="Courier New"/>
      <w:szCs w:val="22"/>
      <w:lang w:val="en-CA"/>
    </w:rPr>
  </w:style>
  <w:style w:type="character" w:customStyle="1" w:styleId="SubtitleChar">
    <w:name w:val="Subtitle Char"/>
    <w:basedOn w:val="DefaultParagraphFont"/>
    <w:link w:val="Subtitle"/>
    <w:rsid w:val="005D46E7"/>
    <w:rPr>
      <w:rFonts w:ascii="Arial" w:hAnsi="Arial" w:cs="Arial"/>
      <w:sz w:val="22"/>
      <w:szCs w:val="22"/>
      <w:lang w:val="en-CA"/>
    </w:rPr>
  </w:style>
  <w:style w:type="character" w:customStyle="1" w:styleId="TitleChar">
    <w:name w:val="Title Char"/>
    <w:basedOn w:val="DefaultParagraphFont"/>
    <w:link w:val="Title"/>
    <w:rsid w:val="005D46E7"/>
    <w:rPr>
      <w:rFonts w:ascii="Arial" w:hAnsi="Arial" w:cs="Arial"/>
      <w:b/>
      <w:bCs/>
      <w:kern w:val="28"/>
      <w:sz w:val="22"/>
      <w:szCs w:val="22"/>
      <w:lang w:val="en-CA"/>
    </w:rPr>
  </w:style>
  <w:style w:type="character" w:customStyle="1" w:styleId="DateChar">
    <w:name w:val="Date Char"/>
    <w:basedOn w:val="DefaultParagraphFont"/>
    <w:link w:val="Date"/>
    <w:rsid w:val="005D46E7"/>
    <w:rPr>
      <w:sz w:val="22"/>
      <w:szCs w:val="22"/>
      <w:lang w:val="en-CA"/>
    </w:rPr>
  </w:style>
  <w:style w:type="character" w:styleId="PageNumber">
    <w:name w:val="page number"/>
    <w:basedOn w:val="DefaultParagraphFont"/>
    <w:rsid w:val="00D140DD"/>
    <w:rPr>
      <w:sz w:val="22"/>
      <w:szCs w:val="22"/>
    </w:rPr>
  </w:style>
  <w:style w:type="paragraph" w:styleId="Caption">
    <w:name w:val="caption"/>
    <w:basedOn w:val="Normal"/>
    <w:next w:val="Normal"/>
    <w:uiPriority w:val="35"/>
    <w:qFormat/>
    <w:rsid w:val="00D140DD"/>
    <w:pPr>
      <w:spacing w:after="200"/>
      <w:jc w:val="left"/>
    </w:pPr>
    <w:rPr>
      <w:rFonts w:ascii="Calibri" w:eastAsia="Calibri" w:hAnsi="Calibri"/>
      <w:b/>
      <w:bCs/>
      <w:color w:val="4F81BD"/>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54442">
      <w:bodyDiv w:val="1"/>
      <w:marLeft w:val="0"/>
      <w:marRight w:val="0"/>
      <w:marTop w:val="0"/>
      <w:marBottom w:val="0"/>
      <w:divBdr>
        <w:top w:val="none" w:sz="0" w:space="0" w:color="auto"/>
        <w:left w:val="none" w:sz="0" w:space="0" w:color="auto"/>
        <w:bottom w:val="none" w:sz="0" w:space="0" w:color="auto"/>
        <w:right w:val="none" w:sz="0" w:space="0" w:color="auto"/>
      </w:divBdr>
    </w:div>
    <w:div w:id="42296873">
      <w:bodyDiv w:val="1"/>
      <w:marLeft w:val="0"/>
      <w:marRight w:val="0"/>
      <w:marTop w:val="0"/>
      <w:marBottom w:val="0"/>
      <w:divBdr>
        <w:top w:val="none" w:sz="0" w:space="0" w:color="auto"/>
        <w:left w:val="none" w:sz="0" w:space="0" w:color="auto"/>
        <w:bottom w:val="none" w:sz="0" w:space="0" w:color="auto"/>
        <w:right w:val="none" w:sz="0" w:space="0" w:color="auto"/>
      </w:divBdr>
    </w:div>
    <w:div w:id="124927453">
      <w:bodyDiv w:val="1"/>
      <w:marLeft w:val="0"/>
      <w:marRight w:val="0"/>
      <w:marTop w:val="0"/>
      <w:marBottom w:val="0"/>
      <w:divBdr>
        <w:top w:val="none" w:sz="0" w:space="0" w:color="auto"/>
        <w:left w:val="none" w:sz="0" w:space="0" w:color="auto"/>
        <w:bottom w:val="none" w:sz="0" w:space="0" w:color="auto"/>
        <w:right w:val="none" w:sz="0" w:space="0" w:color="auto"/>
      </w:divBdr>
    </w:div>
    <w:div w:id="145440181">
      <w:bodyDiv w:val="1"/>
      <w:marLeft w:val="0"/>
      <w:marRight w:val="0"/>
      <w:marTop w:val="0"/>
      <w:marBottom w:val="0"/>
      <w:divBdr>
        <w:top w:val="none" w:sz="0" w:space="0" w:color="auto"/>
        <w:left w:val="none" w:sz="0" w:space="0" w:color="auto"/>
        <w:bottom w:val="none" w:sz="0" w:space="0" w:color="auto"/>
        <w:right w:val="none" w:sz="0" w:space="0" w:color="auto"/>
      </w:divBdr>
    </w:div>
    <w:div w:id="202864842">
      <w:bodyDiv w:val="1"/>
      <w:marLeft w:val="0"/>
      <w:marRight w:val="0"/>
      <w:marTop w:val="0"/>
      <w:marBottom w:val="0"/>
      <w:divBdr>
        <w:top w:val="none" w:sz="0" w:space="0" w:color="auto"/>
        <w:left w:val="none" w:sz="0" w:space="0" w:color="auto"/>
        <w:bottom w:val="none" w:sz="0" w:space="0" w:color="auto"/>
        <w:right w:val="none" w:sz="0" w:space="0" w:color="auto"/>
      </w:divBdr>
    </w:div>
    <w:div w:id="229511234">
      <w:bodyDiv w:val="1"/>
      <w:marLeft w:val="0"/>
      <w:marRight w:val="0"/>
      <w:marTop w:val="0"/>
      <w:marBottom w:val="0"/>
      <w:divBdr>
        <w:top w:val="none" w:sz="0" w:space="0" w:color="auto"/>
        <w:left w:val="none" w:sz="0" w:space="0" w:color="auto"/>
        <w:bottom w:val="none" w:sz="0" w:space="0" w:color="auto"/>
        <w:right w:val="none" w:sz="0" w:space="0" w:color="auto"/>
      </w:divBdr>
    </w:div>
    <w:div w:id="237787464">
      <w:bodyDiv w:val="1"/>
      <w:marLeft w:val="0"/>
      <w:marRight w:val="0"/>
      <w:marTop w:val="0"/>
      <w:marBottom w:val="0"/>
      <w:divBdr>
        <w:top w:val="none" w:sz="0" w:space="0" w:color="auto"/>
        <w:left w:val="none" w:sz="0" w:space="0" w:color="auto"/>
        <w:bottom w:val="none" w:sz="0" w:space="0" w:color="auto"/>
        <w:right w:val="none" w:sz="0" w:space="0" w:color="auto"/>
      </w:divBdr>
    </w:div>
    <w:div w:id="27120907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67753734">
      <w:bodyDiv w:val="1"/>
      <w:marLeft w:val="0"/>
      <w:marRight w:val="0"/>
      <w:marTop w:val="0"/>
      <w:marBottom w:val="0"/>
      <w:divBdr>
        <w:top w:val="none" w:sz="0" w:space="0" w:color="auto"/>
        <w:left w:val="none" w:sz="0" w:space="0" w:color="auto"/>
        <w:bottom w:val="none" w:sz="0" w:space="0" w:color="auto"/>
        <w:right w:val="none" w:sz="0" w:space="0" w:color="auto"/>
      </w:divBdr>
    </w:div>
    <w:div w:id="380135359">
      <w:bodyDiv w:val="1"/>
      <w:marLeft w:val="0"/>
      <w:marRight w:val="0"/>
      <w:marTop w:val="0"/>
      <w:marBottom w:val="0"/>
      <w:divBdr>
        <w:top w:val="none" w:sz="0" w:space="0" w:color="auto"/>
        <w:left w:val="none" w:sz="0" w:space="0" w:color="auto"/>
        <w:bottom w:val="none" w:sz="0" w:space="0" w:color="auto"/>
        <w:right w:val="none" w:sz="0" w:space="0" w:color="auto"/>
      </w:divBdr>
    </w:div>
    <w:div w:id="501092893">
      <w:bodyDiv w:val="1"/>
      <w:marLeft w:val="0"/>
      <w:marRight w:val="0"/>
      <w:marTop w:val="0"/>
      <w:marBottom w:val="0"/>
      <w:divBdr>
        <w:top w:val="none" w:sz="0" w:space="0" w:color="auto"/>
        <w:left w:val="none" w:sz="0" w:space="0" w:color="auto"/>
        <w:bottom w:val="none" w:sz="0" w:space="0" w:color="auto"/>
        <w:right w:val="none" w:sz="0" w:space="0" w:color="auto"/>
      </w:divBdr>
    </w:div>
    <w:div w:id="504784096">
      <w:bodyDiv w:val="1"/>
      <w:marLeft w:val="0"/>
      <w:marRight w:val="0"/>
      <w:marTop w:val="0"/>
      <w:marBottom w:val="0"/>
      <w:divBdr>
        <w:top w:val="none" w:sz="0" w:space="0" w:color="auto"/>
        <w:left w:val="none" w:sz="0" w:space="0" w:color="auto"/>
        <w:bottom w:val="none" w:sz="0" w:space="0" w:color="auto"/>
        <w:right w:val="none" w:sz="0" w:space="0" w:color="auto"/>
      </w:divBdr>
    </w:div>
    <w:div w:id="554702200">
      <w:bodyDiv w:val="1"/>
      <w:marLeft w:val="0"/>
      <w:marRight w:val="0"/>
      <w:marTop w:val="0"/>
      <w:marBottom w:val="0"/>
      <w:divBdr>
        <w:top w:val="none" w:sz="0" w:space="0" w:color="auto"/>
        <w:left w:val="none" w:sz="0" w:space="0" w:color="auto"/>
        <w:bottom w:val="none" w:sz="0" w:space="0" w:color="auto"/>
        <w:right w:val="none" w:sz="0" w:space="0" w:color="auto"/>
      </w:divBdr>
    </w:div>
    <w:div w:id="567807995">
      <w:bodyDiv w:val="1"/>
      <w:marLeft w:val="0"/>
      <w:marRight w:val="0"/>
      <w:marTop w:val="0"/>
      <w:marBottom w:val="0"/>
      <w:divBdr>
        <w:top w:val="none" w:sz="0" w:space="0" w:color="auto"/>
        <w:left w:val="none" w:sz="0" w:space="0" w:color="auto"/>
        <w:bottom w:val="none" w:sz="0" w:space="0" w:color="auto"/>
        <w:right w:val="none" w:sz="0" w:space="0" w:color="auto"/>
      </w:divBdr>
    </w:div>
    <w:div w:id="602879517">
      <w:bodyDiv w:val="1"/>
      <w:marLeft w:val="0"/>
      <w:marRight w:val="0"/>
      <w:marTop w:val="0"/>
      <w:marBottom w:val="0"/>
      <w:divBdr>
        <w:top w:val="none" w:sz="0" w:space="0" w:color="auto"/>
        <w:left w:val="none" w:sz="0" w:space="0" w:color="auto"/>
        <w:bottom w:val="none" w:sz="0" w:space="0" w:color="auto"/>
        <w:right w:val="none" w:sz="0" w:space="0" w:color="auto"/>
      </w:divBdr>
    </w:div>
    <w:div w:id="65696011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8663063">
      <w:bodyDiv w:val="1"/>
      <w:marLeft w:val="0"/>
      <w:marRight w:val="0"/>
      <w:marTop w:val="0"/>
      <w:marBottom w:val="0"/>
      <w:divBdr>
        <w:top w:val="none" w:sz="0" w:space="0" w:color="auto"/>
        <w:left w:val="none" w:sz="0" w:space="0" w:color="auto"/>
        <w:bottom w:val="none" w:sz="0" w:space="0" w:color="auto"/>
        <w:right w:val="none" w:sz="0" w:space="0" w:color="auto"/>
      </w:divBdr>
    </w:div>
    <w:div w:id="958416301">
      <w:bodyDiv w:val="1"/>
      <w:marLeft w:val="0"/>
      <w:marRight w:val="0"/>
      <w:marTop w:val="0"/>
      <w:marBottom w:val="0"/>
      <w:divBdr>
        <w:top w:val="none" w:sz="0" w:space="0" w:color="auto"/>
        <w:left w:val="none" w:sz="0" w:space="0" w:color="auto"/>
        <w:bottom w:val="none" w:sz="0" w:space="0" w:color="auto"/>
        <w:right w:val="none" w:sz="0" w:space="0" w:color="auto"/>
      </w:divBdr>
    </w:div>
    <w:div w:id="966199119">
      <w:bodyDiv w:val="1"/>
      <w:marLeft w:val="0"/>
      <w:marRight w:val="0"/>
      <w:marTop w:val="0"/>
      <w:marBottom w:val="0"/>
      <w:divBdr>
        <w:top w:val="none" w:sz="0" w:space="0" w:color="auto"/>
        <w:left w:val="none" w:sz="0" w:space="0" w:color="auto"/>
        <w:bottom w:val="none" w:sz="0" w:space="0" w:color="auto"/>
        <w:right w:val="none" w:sz="0" w:space="0" w:color="auto"/>
      </w:divBdr>
    </w:div>
    <w:div w:id="1011839056">
      <w:bodyDiv w:val="1"/>
      <w:marLeft w:val="0"/>
      <w:marRight w:val="0"/>
      <w:marTop w:val="0"/>
      <w:marBottom w:val="0"/>
      <w:divBdr>
        <w:top w:val="none" w:sz="0" w:space="0" w:color="auto"/>
        <w:left w:val="none" w:sz="0" w:space="0" w:color="auto"/>
        <w:bottom w:val="none" w:sz="0" w:space="0" w:color="auto"/>
        <w:right w:val="none" w:sz="0" w:space="0" w:color="auto"/>
      </w:divBdr>
    </w:div>
    <w:div w:id="1132941244">
      <w:bodyDiv w:val="1"/>
      <w:marLeft w:val="0"/>
      <w:marRight w:val="0"/>
      <w:marTop w:val="0"/>
      <w:marBottom w:val="0"/>
      <w:divBdr>
        <w:top w:val="none" w:sz="0" w:space="0" w:color="auto"/>
        <w:left w:val="none" w:sz="0" w:space="0" w:color="auto"/>
        <w:bottom w:val="none" w:sz="0" w:space="0" w:color="auto"/>
        <w:right w:val="none" w:sz="0" w:space="0" w:color="auto"/>
      </w:divBdr>
    </w:div>
    <w:div w:id="1147941256">
      <w:bodyDiv w:val="1"/>
      <w:marLeft w:val="0"/>
      <w:marRight w:val="0"/>
      <w:marTop w:val="0"/>
      <w:marBottom w:val="0"/>
      <w:divBdr>
        <w:top w:val="none" w:sz="0" w:space="0" w:color="auto"/>
        <w:left w:val="none" w:sz="0" w:space="0" w:color="auto"/>
        <w:bottom w:val="none" w:sz="0" w:space="0" w:color="auto"/>
        <w:right w:val="none" w:sz="0" w:space="0" w:color="auto"/>
      </w:divBdr>
    </w:div>
    <w:div w:id="1261375497">
      <w:bodyDiv w:val="1"/>
      <w:marLeft w:val="0"/>
      <w:marRight w:val="0"/>
      <w:marTop w:val="0"/>
      <w:marBottom w:val="0"/>
      <w:divBdr>
        <w:top w:val="none" w:sz="0" w:space="0" w:color="auto"/>
        <w:left w:val="none" w:sz="0" w:space="0" w:color="auto"/>
        <w:bottom w:val="none" w:sz="0" w:space="0" w:color="auto"/>
        <w:right w:val="none" w:sz="0" w:space="0" w:color="auto"/>
      </w:divBdr>
    </w:div>
    <w:div w:id="1556699769">
      <w:bodyDiv w:val="1"/>
      <w:marLeft w:val="0"/>
      <w:marRight w:val="0"/>
      <w:marTop w:val="0"/>
      <w:marBottom w:val="0"/>
      <w:divBdr>
        <w:top w:val="none" w:sz="0" w:space="0" w:color="auto"/>
        <w:left w:val="none" w:sz="0" w:space="0" w:color="auto"/>
        <w:bottom w:val="none" w:sz="0" w:space="0" w:color="auto"/>
        <w:right w:val="none" w:sz="0" w:space="0" w:color="auto"/>
      </w:divBdr>
    </w:div>
    <w:div w:id="1637372914">
      <w:bodyDiv w:val="1"/>
      <w:marLeft w:val="0"/>
      <w:marRight w:val="0"/>
      <w:marTop w:val="0"/>
      <w:marBottom w:val="0"/>
      <w:divBdr>
        <w:top w:val="none" w:sz="0" w:space="0" w:color="auto"/>
        <w:left w:val="none" w:sz="0" w:space="0" w:color="auto"/>
        <w:bottom w:val="none" w:sz="0" w:space="0" w:color="auto"/>
        <w:right w:val="none" w:sz="0" w:space="0" w:color="auto"/>
      </w:divBdr>
    </w:div>
    <w:div w:id="1643343378">
      <w:bodyDiv w:val="1"/>
      <w:marLeft w:val="0"/>
      <w:marRight w:val="0"/>
      <w:marTop w:val="0"/>
      <w:marBottom w:val="0"/>
      <w:divBdr>
        <w:top w:val="none" w:sz="0" w:space="0" w:color="auto"/>
        <w:left w:val="none" w:sz="0" w:space="0" w:color="auto"/>
        <w:bottom w:val="none" w:sz="0" w:space="0" w:color="auto"/>
        <w:right w:val="none" w:sz="0" w:space="0" w:color="auto"/>
      </w:divBdr>
    </w:div>
    <w:div w:id="1695689931">
      <w:bodyDiv w:val="1"/>
      <w:marLeft w:val="0"/>
      <w:marRight w:val="0"/>
      <w:marTop w:val="0"/>
      <w:marBottom w:val="0"/>
      <w:divBdr>
        <w:top w:val="none" w:sz="0" w:space="0" w:color="auto"/>
        <w:left w:val="none" w:sz="0" w:space="0" w:color="auto"/>
        <w:bottom w:val="none" w:sz="0" w:space="0" w:color="auto"/>
        <w:right w:val="none" w:sz="0" w:space="0" w:color="auto"/>
      </w:divBdr>
    </w:div>
    <w:div w:id="173928607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4923449">
      <w:bodyDiv w:val="1"/>
      <w:marLeft w:val="0"/>
      <w:marRight w:val="0"/>
      <w:marTop w:val="0"/>
      <w:marBottom w:val="0"/>
      <w:divBdr>
        <w:top w:val="none" w:sz="0" w:space="0" w:color="auto"/>
        <w:left w:val="none" w:sz="0" w:space="0" w:color="auto"/>
        <w:bottom w:val="none" w:sz="0" w:space="0" w:color="auto"/>
        <w:right w:val="none" w:sz="0" w:space="0" w:color="auto"/>
      </w:divBdr>
    </w:div>
    <w:div w:id="200134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UNEP/OzL.Pro/ExCom/93/97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186A592A1F7E74AB9172403FA541F70" ma:contentTypeVersion="5" ma:contentTypeDescription="Create a new document." ma:contentTypeScope="" ma:versionID="6284184cbfe7cade49d65a1d166bbd0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0D493886-F830-4FF8-B859-0F177B362430}"/>
</file>

<file path=customXml/itemProps3.xml><?xml version="1.0" encoding="utf-8"?>
<ds:datastoreItem xmlns:ds="http://schemas.openxmlformats.org/officeDocument/2006/customXml" ds:itemID="{31CD7136-6277-45C4-BA2A-77AABD14728F}"/>
</file>

<file path=customXml/itemProps4.xml><?xml version="1.0" encoding="utf-8"?>
<ds:datastoreItem xmlns:ds="http://schemas.openxmlformats.org/officeDocument/2006/customXml" ds:itemID="{C148D0C5-65F3-4E2C-BBD0-C88CA51001E0}"/>
</file>

<file path=docProps/app.xml><?xml version="1.0" encoding="utf-8"?>
<Properties xmlns="http://schemas.openxmlformats.org/officeDocument/2006/extended-properties" xmlns:vt="http://schemas.openxmlformats.org/officeDocument/2006/docPropsVTypes">
  <Template>Normal</Template>
  <TotalTime>62</TotalTime>
  <Pages>7</Pages>
  <Words>3327</Words>
  <Characters>18719</Characters>
  <Application>Microsoft Office Word</Application>
  <DocSecurity>0</DocSecurity>
  <Lines>155</Lines>
  <Paragraphs>44</Paragraphs>
  <ScaleCrop>false</ScaleCrop>
  <HeadingPairs>
    <vt:vector size="2" baseType="variant">
      <vt:variant>
        <vt:lpstr>Title</vt:lpstr>
      </vt:variant>
      <vt:variant>
        <vt:i4>1</vt:i4>
      </vt:variant>
    </vt:vector>
  </HeadingPairs>
  <TitlesOfParts>
    <vt:vector size="1" baseType="lpstr">
      <vt:lpstr>Policy: Starting point</vt:lpstr>
    </vt:vector>
  </TitlesOfParts>
  <Company>UNMFS</Company>
  <LinksUpToDate>false</LinksUpToDate>
  <CharactersWithSpaces>22002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on the starting point for sustained aggregate reductions based on discussions at the 91st meeting in the contact group on the cost guidelines for the phase down of HFCs (decision 91/64(a)) *re-issue of document 92/46</dc:title>
  <dc:subject/>
  <dc:creator>FSM / JS</dc:creator>
  <cp:keywords>93rd ExCom</cp:keywords>
  <cp:lastModifiedBy>Kata Koppel</cp:lastModifiedBy>
  <cp:revision>46</cp:revision>
  <cp:lastPrinted>2023-04-28T17:24:00Z</cp:lastPrinted>
  <dcterms:created xsi:type="dcterms:W3CDTF">2023-04-28T23:43:00Z</dcterms:created>
  <dcterms:modified xsi:type="dcterms:W3CDTF">2023-10-27T20:14:00Z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UNEP/OzL.Pro/ExCom/93/97</vt:lpwstr>
  </property>
  <property fmtid="{D5CDD505-2E9C-101B-9397-08002B2CF9AE}" pid="3" name="Revision date">
    <vt:lpwstr>10/27/2023</vt:lpwstr>
  </property>
  <property fmtid="{D5CDD505-2E9C-101B-9397-08002B2CF9AE}" pid="4" name="ContentTypeId">
    <vt:lpwstr>0x0101008186A592A1F7E74AB9172403FA541F70</vt:lpwstr>
  </property>
  <property fmtid="{D5CDD505-2E9C-101B-9397-08002B2CF9AE}" pid="5" name="Order">
    <vt:r8>28299000</vt:r8>
  </property>
  <property fmtid="{D5CDD505-2E9C-101B-9397-08002B2CF9AE}" pid="6" name="MediaServiceImageTags">
    <vt:lpwstr/>
  </property>
  <property fmtid="{D5CDD505-2E9C-101B-9397-08002B2CF9AE}" pid="8" name="lcf76f155ced4ddcb4097134ff3c332f">
    <vt:lpwstr/>
  </property>
</Properties>
</file>