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80" w:type="dxa"/>
        <w:tblInd w:w="-360" w:type="dxa"/>
        <w:tblLayout w:type="fixed"/>
        <w:tblLook w:val="0000" w:firstRow="0" w:lastRow="0" w:firstColumn="0" w:lastColumn="0" w:noHBand="0" w:noVBand="0"/>
      </w:tblPr>
      <w:tblGrid>
        <w:gridCol w:w="2070"/>
        <w:gridCol w:w="4424"/>
        <w:gridCol w:w="3586"/>
      </w:tblGrid>
      <w:tr w:rsidR="002D2ED7" w:rsidRPr="00E55B0A" w14:paraId="0AB3B078" w14:textId="77777777" w:rsidTr="00CB5361">
        <w:trPr>
          <w:trHeight w:val="720"/>
        </w:trPr>
        <w:tc>
          <w:tcPr>
            <w:tcW w:w="6494" w:type="dxa"/>
            <w:gridSpan w:val="2"/>
            <w:tcBorders>
              <w:bottom w:val="single" w:sz="18" w:space="0" w:color="auto"/>
            </w:tcBorders>
            <w:vAlign w:val="center"/>
          </w:tcPr>
          <w:p w14:paraId="3D875D8C" w14:textId="77777777" w:rsidR="002D2ED7" w:rsidRPr="006C1E91" w:rsidRDefault="002D2ED7" w:rsidP="00CB5361">
            <w:pPr>
              <w:rPr>
                <w:rFonts w:ascii="Univers" w:hAnsi="Univers"/>
                <w:b/>
                <w:sz w:val="28"/>
                <w:szCs w:val="28"/>
              </w:rPr>
            </w:pPr>
            <w:r>
              <w:rPr>
                <w:rFonts w:ascii="Univers" w:hAnsi="Univers"/>
                <w:b/>
                <w:sz w:val="28"/>
                <w:szCs w:val="28"/>
              </w:rPr>
              <w:t>NACIONES</w:t>
            </w:r>
          </w:p>
          <w:p w14:paraId="0D1C9FBA" w14:textId="77777777" w:rsidR="002D2ED7" w:rsidRPr="006C1E91" w:rsidRDefault="002D2ED7" w:rsidP="00CB5361">
            <w:pPr>
              <w:rPr>
                <w:rFonts w:ascii="Univers" w:hAnsi="Univers"/>
                <w:b/>
                <w:sz w:val="28"/>
                <w:szCs w:val="28"/>
              </w:rPr>
            </w:pPr>
            <w:r>
              <w:rPr>
                <w:rFonts w:ascii="Univers" w:hAnsi="Univers"/>
                <w:b/>
                <w:sz w:val="28"/>
                <w:szCs w:val="28"/>
              </w:rPr>
              <w:t>UNIDAS</w:t>
            </w:r>
          </w:p>
        </w:tc>
        <w:tc>
          <w:tcPr>
            <w:tcW w:w="3586" w:type="dxa"/>
            <w:tcBorders>
              <w:bottom w:val="single" w:sz="18" w:space="0" w:color="auto"/>
            </w:tcBorders>
          </w:tcPr>
          <w:p w14:paraId="1E284A36" w14:textId="77777777" w:rsidR="002D2ED7" w:rsidRPr="00E55B0A" w:rsidRDefault="002D2ED7" w:rsidP="00CB5361">
            <w:pPr>
              <w:jc w:val="right"/>
              <w:rPr>
                <w:rFonts w:ascii="Univers" w:hAnsi="Univers" w:cstheme="minorBidi"/>
                <w:sz w:val="52"/>
                <w:szCs w:val="52"/>
              </w:rPr>
            </w:pPr>
            <w:r>
              <w:rPr>
                <w:rFonts w:ascii="Univers" w:hAnsi="Univers" w:cstheme="minorBidi"/>
                <w:b/>
                <w:sz w:val="72"/>
              </w:rPr>
              <w:t>EP</w:t>
            </w:r>
          </w:p>
        </w:tc>
      </w:tr>
      <w:tr w:rsidR="002D2ED7" w:rsidRPr="00E55B0A" w14:paraId="37F3E777" w14:textId="77777777" w:rsidTr="00CB536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47"/>
        </w:trPr>
        <w:tc>
          <w:tcPr>
            <w:tcW w:w="2070" w:type="dxa"/>
            <w:tcBorders>
              <w:top w:val="nil"/>
              <w:left w:val="nil"/>
              <w:bottom w:val="single" w:sz="36" w:space="0" w:color="auto"/>
              <w:right w:val="nil"/>
            </w:tcBorders>
          </w:tcPr>
          <w:p w14:paraId="2A859D93" w14:textId="77777777" w:rsidR="002D2ED7" w:rsidRPr="00E55B0A" w:rsidRDefault="002D2ED7" w:rsidP="00CB5361">
            <w:pPr>
              <w:spacing w:before="120"/>
            </w:pPr>
            <w:r>
              <w:rPr>
                <w:noProof/>
                <w:lang w:eastAsia="en-CA"/>
              </w:rPr>
              <w:drawing>
                <wp:anchor distT="0" distB="0" distL="114300" distR="114300" simplePos="0" relativeHeight="251659264" behindDoc="0" locked="0" layoutInCell="1" allowOverlap="1" wp14:anchorId="1C019D54" wp14:editId="04FD594A">
                  <wp:simplePos x="0" y="0"/>
                  <wp:positionH relativeFrom="column">
                    <wp:posOffset>74295</wp:posOffset>
                  </wp:positionH>
                  <wp:positionV relativeFrom="paragraph">
                    <wp:posOffset>855345</wp:posOffset>
                  </wp:positionV>
                  <wp:extent cx="781050" cy="704850"/>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srcRect/>
                          <a:stretch>
                            <a:fillRect/>
                          </a:stretch>
                        </pic:blipFill>
                        <pic:spPr bwMode="auto">
                          <a:xfrm>
                            <a:off x="0" y="0"/>
                            <a:ext cx="781050" cy="704850"/>
                          </a:xfrm>
                          <a:prstGeom prst="rect">
                            <a:avLst/>
                          </a:prstGeom>
                          <a:noFill/>
                        </pic:spPr>
                      </pic:pic>
                    </a:graphicData>
                  </a:graphic>
                  <wp14:sizeRelH relativeFrom="margin">
                    <wp14:pctWidth>0</wp14:pctWidth>
                  </wp14:sizeRelH>
                </wp:anchor>
              </w:drawing>
            </w:r>
            <w:r>
              <w:rPr>
                <w:noProof/>
                <w:lang w:eastAsia="en-CA"/>
              </w:rPr>
              <w:drawing>
                <wp:anchor distT="0" distB="0" distL="114300" distR="114300" simplePos="0" relativeHeight="251660288" behindDoc="1" locked="0" layoutInCell="0" allowOverlap="1" wp14:anchorId="06572116" wp14:editId="579CFB1E">
                  <wp:simplePos x="0" y="0"/>
                  <wp:positionH relativeFrom="column">
                    <wp:posOffset>64135</wp:posOffset>
                  </wp:positionH>
                  <wp:positionV relativeFrom="paragraph">
                    <wp:posOffset>93345</wp:posOffset>
                  </wp:positionV>
                  <wp:extent cx="790575" cy="731314"/>
                  <wp:effectExtent l="0" t="0" r="0" b="0"/>
                  <wp:wrapNone/>
                  <wp:docPr id="3" name="Picture 3" descr="A black and white logo with a globe in center  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black and white logo with a globe in center  Description automatically generated"/>
                          <pic:cNvPicPr>
                            <a:picLocks noChangeAspect="1" noChangeArrowheads="1"/>
                          </pic:cNvPicPr>
                        </pic:nvPicPr>
                        <pic:blipFill>
                          <a:blip r:embed="rId12" cstate="print"/>
                          <a:srcRect/>
                          <a:stretch>
                            <a:fillRect/>
                          </a:stretch>
                        </pic:blipFill>
                        <pic:spPr bwMode="auto">
                          <a:xfrm>
                            <a:off x="0" y="0"/>
                            <a:ext cx="790575" cy="731314"/>
                          </a:xfrm>
                          <a:prstGeom prst="rect">
                            <a:avLst/>
                          </a:prstGeom>
                          <a:noFill/>
                        </pic:spPr>
                      </pic:pic>
                    </a:graphicData>
                  </a:graphic>
                  <wp14:sizeRelH relativeFrom="margin">
                    <wp14:pctWidth>0</wp14:pctWidth>
                  </wp14:sizeRelH>
                </wp:anchor>
              </w:drawing>
            </w:r>
          </w:p>
        </w:tc>
        <w:tc>
          <w:tcPr>
            <w:tcW w:w="4424" w:type="dxa"/>
            <w:tcBorders>
              <w:top w:val="nil"/>
              <w:left w:val="nil"/>
              <w:bottom w:val="single" w:sz="36" w:space="0" w:color="auto"/>
              <w:right w:val="nil"/>
            </w:tcBorders>
          </w:tcPr>
          <w:p w14:paraId="62FAC9CC" w14:textId="77777777" w:rsidR="002D2ED7" w:rsidRPr="00355A6D" w:rsidRDefault="002D2ED7" w:rsidP="00CB536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p>
          <w:p w14:paraId="4A1C7631" w14:textId="77777777" w:rsidR="002D2ED7" w:rsidRPr="002D2ED7" w:rsidRDefault="002D2ED7" w:rsidP="00CB536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r>
              <w:rPr>
                <w:rFonts w:ascii="Univers" w:hAnsi="Univers"/>
                <w:b/>
                <w:sz w:val="32"/>
                <w:lang w:val="es-ES"/>
              </w:rPr>
              <w:t>Programa de las</w:t>
            </w:r>
          </w:p>
          <w:p w14:paraId="40EF22E6" w14:textId="77777777" w:rsidR="002D2ED7" w:rsidRPr="002D2ED7" w:rsidRDefault="002D2ED7" w:rsidP="00CB536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r>
              <w:rPr>
                <w:rFonts w:ascii="Univers" w:hAnsi="Univers"/>
                <w:b/>
                <w:sz w:val="32"/>
                <w:lang w:val="es-ES"/>
              </w:rPr>
              <w:t>Naciones Unidas</w:t>
            </w:r>
          </w:p>
          <w:p w14:paraId="311A9704" w14:textId="77777777" w:rsidR="002D2ED7" w:rsidRPr="002D2ED7" w:rsidRDefault="002D2ED7" w:rsidP="00CB536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r>
              <w:rPr>
                <w:rFonts w:ascii="Univers" w:hAnsi="Univers"/>
                <w:b/>
                <w:sz w:val="32"/>
                <w:lang w:val="es-ES"/>
              </w:rPr>
              <w:t>para el Medio Ambiente</w:t>
            </w:r>
          </w:p>
          <w:p w14:paraId="6420368A" w14:textId="77777777" w:rsidR="002D2ED7" w:rsidRPr="002D2ED7" w:rsidRDefault="002D2ED7" w:rsidP="00CB5361">
            <w:pPr>
              <w:spacing w:before="720"/>
              <w:rPr>
                <w:lang w:val="es-ES"/>
              </w:rPr>
            </w:pPr>
          </w:p>
        </w:tc>
        <w:tc>
          <w:tcPr>
            <w:tcW w:w="3586" w:type="dxa"/>
            <w:tcBorders>
              <w:top w:val="nil"/>
              <w:left w:val="nil"/>
              <w:bottom w:val="single" w:sz="36" w:space="0" w:color="auto"/>
              <w:right w:val="nil"/>
            </w:tcBorders>
          </w:tcPr>
          <w:p w14:paraId="42D92DEA" w14:textId="77777777" w:rsidR="002D2ED7" w:rsidRPr="002D2ED7" w:rsidRDefault="002D2ED7" w:rsidP="00CB5361">
            <w:pPr>
              <w:rPr>
                <w:lang w:val="es-ES"/>
              </w:rPr>
            </w:pPr>
          </w:p>
          <w:p w14:paraId="20C3456C" w14:textId="77777777" w:rsidR="002D2ED7" w:rsidRPr="002D2ED7" w:rsidRDefault="002D2ED7" w:rsidP="00CB5361">
            <w:pPr>
              <w:rPr>
                <w:lang w:val="es-ES"/>
              </w:rPr>
            </w:pPr>
            <w:r>
              <w:rPr>
                <w:lang w:val="es-ES"/>
              </w:rPr>
              <w:t>Distr.</w:t>
            </w:r>
          </w:p>
          <w:p w14:paraId="7E4B0AC9" w14:textId="77777777" w:rsidR="002D2ED7" w:rsidRPr="002D2ED7" w:rsidRDefault="002D2ED7" w:rsidP="00CB5361">
            <w:pPr>
              <w:rPr>
                <w:lang w:val="es-ES"/>
              </w:rPr>
            </w:pPr>
            <w:r>
              <w:rPr>
                <w:lang w:val="es-ES"/>
              </w:rPr>
              <w:t>GENERAL</w:t>
            </w:r>
          </w:p>
          <w:p w14:paraId="1FE9B6F5" w14:textId="77777777" w:rsidR="002D2ED7" w:rsidRPr="002D2ED7" w:rsidRDefault="002D2ED7" w:rsidP="00CB5361">
            <w:pPr>
              <w:rPr>
                <w:lang w:val="es-ES"/>
              </w:rPr>
            </w:pPr>
          </w:p>
          <w:p w14:paraId="641CAB3F" w14:textId="0BAC2C08" w:rsidR="002D2ED7" w:rsidRPr="002D2ED7" w:rsidRDefault="002D2ED7" w:rsidP="00CB5361">
            <w:pPr>
              <w:rPr>
                <w:lang w:val="es-ES"/>
              </w:rPr>
            </w:pPr>
            <w:r>
              <w:fldChar w:fldCharType="begin"/>
            </w:r>
            <w:r>
              <w:rPr>
                <w:lang w:val="es-ES"/>
              </w:rPr>
              <w:instrText xml:space="preserve"> DOCPROPERTY "Document number"  \* MERGEFORMAT </w:instrText>
            </w:r>
            <w:r>
              <w:fldChar w:fldCharType="separate"/>
            </w:r>
            <w:r>
              <w:rPr>
                <w:lang w:val="es-ES"/>
              </w:rPr>
              <w:t>UNEP/OzL.Pro/ExCom/98/46</w:t>
            </w:r>
            <w:r>
              <w:fldChar w:fldCharType="end"/>
            </w:r>
          </w:p>
          <w:p w14:paraId="3AE26C59" w14:textId="04F0C062" w:rsidR="002D2ED7" w:rsidRPr="002D2ED7" w:rsidRDefault="002D2ED7" w:rsidP="00CB5361">
            <w:pPr>
              <w:rPr>
                <w:lang w:val="es-ES"/>
              </w:rPr>
            </w:pPr>
            <w:r>
              <w:fldChar w:fldCharType="begin"/>
            </w:r>
            <w:r>
              <w:rPr>
                <w:lang w:val="es-ES"/>
              </w:rPr>
              <w:instrText xml:space="preserve"> DOCPROPERTY "Revision date" \@ "d MMMM YYYY"  \* MERGEFORMAT </w:instrText>
            </w:r>
            <w:r>
              <w:fldChar w:fldCharType="separate"/>
            </w:r>
            <w:r>
              <w:rPr>
                <w:lang w:val="es-MX"/>
              </w:rPr>
              <w:t>31</w:t>
            </w:r>
            <w:r>
              <w:rPr>
                <w:lang w:val="es-ES"/>
              </w:rPr>
              <w:t xml:space="preserve"> de mayo de 2026</w:t>
            </w:r>
            <w:r>
              <w:fldChar w:fldCharType="end"/>
            </w:r>
          </w:p>
          <w:p w14:paraId="1B6371B8" w14:textId="77777777" w:rsidR="002D2ED7" w:rsidRPr="002D2ED7" w:rsidRDefault="002D2ED7" w:rsidP="00CB5361">
            <w:pPr>
              <w:rPr>
                <w:caps/>
                <w:lang w:val="es-ES"/>
              </w:rPr>
            </w:pPr>
          </w:p>
          <w:p w14:paraId="510E5C16" w14:textId="77777777" w:rsidR="002D2ED7" w:rsidRPr="006C1E91" w:rsidRDefault="002D2ED7" w:rsidP="00CB5361">
            <w:r>
              <w:t xml:space="preserve">ESPAÑOL </w:t>
            </w:r>
          </w:p>
          <w:p w14:paraId="2EEF9355" w14:textId="77777777" w:rsidR="002D2ED7" w:rsidRPr="00E55B0A" w:rsidRDefault="002D2ED7" w:rsidP="00CB5361">
            <w:r>
              <w:t>ORIGINAL: INGLÉS</w:t>
            </w:r>
          </w:p>
        </w:tc>
      </w:tr>
    </w:tbl>
    <w:p w14:paraId="230393ED" w14:textId="77777777" w:rsidR="002D2ED7" w:rsidRPr="002D2ED7" w:rsidRDefault="002D2ED7" w:rsidP="002D2ED7">
      <w:pPr>
        <w:jc w:val="left"/>
        <w:rPr>
          <w:lang w:val="es-ES"/>
        </w:rPr>
      </w:pPr>
      <w:r>
        <w:rPr>
          <w:lang w:val="es-ES"/>
        </w:rPr>
        <w:t>COMITÉ EJECUTIVO DEL FONDO MULTILATERAL</w:t>
      </w:r>
      <w:r>
        <w:rPr>
          <w:lang w:val="es-ES"/>
        </w:rPr>
        <w:br/>
        <w:t xml:space="preserve"> PARA LA APLICACIÓN DEL</w:t>
      </w:r>
      <w:r>
        <w:rPr>
          <w:lang w:val="es-ES"/>
        </w:rPr>
        <w:br/>
        <w:t xml:space="preserve"> PROTOCOLO DE MONTREAL</w:t>
      </w:r>
      <w:r>
        <w:rPr>
          <w:lang w:val="es-ES"/>
        </w:rPr>
        <w:br/>
        <w:t>Nonagésima octava reunión</w:t>
      </w:r>
    </w:p>
    <w:p w14:paraId="5B4EC0D0" w14:textId="77777777" w:rsidR="002D2ED7" w:rsidRPr="002D2ED7" w:rsidRDefault="002D2ED7" w:rsidP="002D2ED7">
      <w:pPr>
        <w:jc w:val="left"/>
        <w:rPr>
          <w:lang w:val="es-ES"/>
        </w:rPr>
      </w:pPr>
      <w:r>
        <w:rPr>
          <w:lang w:val="es-ES"/>
        </w:rPr>
        <w:t>Montreal, 22-26 de junio de 2026</w:t>
      </w:r>
    </w:p>
    <w:p w14:paraId="7747E3F8" w14:textId="657E1C48" w:rsidR="002D2ED7" w:rsidRPr="002D2ED7" w:rsidRDefault="002D2ED7" w:rsidP="002D2ED7">
      <w:pPr>
        <w:jc w:val="left"/>
        <w:rPr>
          <w:lang w:val="es-ES"/>
        </w:rPr>
      </w:pPr>
      <w:r>
        <w:rPr>
          <w:lang w:val="es-ES"/>
        </w:rPr>
        <w:t>Punto 8 d) del orden del día provisional</w:t>
      </w:r>
      <w:r>
        <w:rPr>
          <w:rStyle w:val="FootnoteReference"/>
        </w:rPr>
        <w:footnoteReference w:id="2"/>
      </w:r>
    </w:p>
    <w:p w14:paraId="754DF0E0" w14:textId="77777777" w:rsidR="00C15867" w:rsidRPr="002D2ED7" w:rsidRDefault="00C15867" w:rsidP="001161CD">
      <w:pPr>
        <w:jc w:val="left"/>
        <w:rPr>
          <w:lang w:val="es-ES"/>
        </w:rPr>
      </w:pPr>
    </w:p>
    <w:p w14:paraId="4A1EA51B" w14:textId="77777777" w:rsidR="00563DA8" w:rsidRPr="002D2ED7" w:rsidRDefault="00563DA8" w:rsidP="001161CD">
      <w:pPr>
        <w:jc w:val="left"/>
        <w:rPr>
          <w:lang w:val="es-ES"/>
        </w:rPr>
      </w:pPr>
    </w:p>
    <w:p w14:paraId="14B0CDA9" w14:textId="77777777" w:rsidR="00D1290A" w:rsidRPr="002D2ED7" w:rsidRDefault="00D1290A" w:rsidP="001161CD">
      <w:pPr>
        <w:jc w:val="left"/>
        <w:rPr>
          <w:lang w:val="es-ES"/>
        </w:rPr>
      </w:pPr>
    </w:p>
    <w:p w14:paraId="0C5F8484" w14:textId="77777777" w:rsidR="00563DA8" w:rsidRPr="002D2ED7" w:rsidRDefault="00563DA8" w:rsidP="001161CD">
      <w:pPr>
        <w:rPr>
          <w:lang w:val="es-ES"/>
        </w:rPr>
      </w:pPr>
    </w:p>
    <w:p w14:paraId="476B61F1" w14:textId="671BCA2A" w:rsidR="00563DA8" w:rsidRPr="002D2ED7" w:rsidRDefault="00563DA8" w:rsidP="001161CD">
      <w:pPr>
        <w:jc w:val="center"/>
        <w:rPr>
          <w:b/>
          <w:lang w:val="es-ES"/>
        </w:rPr>
      </w:pPr>
      <w:r>
        <w:rPr>
          <w:b/>
          <w:lang w:val="es-ES"/>
        </w:rPr>
        <w:t>PROPUESTA DE PROYECTO: SAINT KITTS Y NEVIS</w:t>
      </w:r>
    </w:p>
    <w:p w14:paraId="7D9937E8" w14:textId="77777777" w:rsidR="00563DA8" w:rsidRPr="002D2ED7" w:rsidRDefault="00563DA8" w:rsidP="001161CD">
      <w:pPr>
        <w:rPr>
          <w:lang w:val="es-ES"/>
        </w:rPr>
      </w:pPr>
    </w:p>
    <w:p w14:paraId="7A02CBEB" w14:textId="77777777" w:rsidR="00563DA8" w:rsidRPr="002D2ED7" w:rsidRDefault="00563DA8" w:rsidP="001161CD">
      <w:pPr>
        <w:rPr>
          <w:lang w:val="es-ES"/>
        </w:rPr>
      </w:pPr>
    </w:p>
    <w:p w14:paraId="5855F453" w14:textId="358A7BB5" w:rsidR="00563DA8" w:rsidRPr="002D2ED7" w:rsidRDefault="00563DA8" w:rsidP="001161CD">
      <w:pPr>
        <w:ind w:firstLine="720"/>
        <w:rPr>
          <w:lang w:val="es-ES"/>
        </w:rPr>
      </w:pPr>
      <w:r>
        <w:rPr>
          <w:lang w:val="es-ES"/>
        </w:rPr>
        <w:t>Este documento consiste en las observaciones y la recomendación de la Secretaría sobre la siguiente propuesta de proyecto:</w:t>
      </w:r>
    </w:p>
    <w:p w14:paraId="12CD2472" w14:textId="49A38B1A" w:rsidR="00563DA8" w:rsidRDefault="00563DA8" w:rsidP="00A61A2E">
      <w:pPr>
        <w:pStyle w:val="Heading1"/>
        <w:numPr>
          <w:ilvl w:val="0"/>
          <w:numId w:val="0"/>
        </w:numPr>
        <w:spacing w:before="240" w:after="0"/>
        <w:rPr>
          <w:b/>
        </w:rPr>
      </w:pPr>
      <w:r>
        <w:rPr>
          <w:u w:val="single"/>
        </w:rPr>
        <w:t>Eliminación</w:t>
      </w:r>
    </w:p>
    <w:tbl>
      <w:tblPr>
        <w:tblStyle w:val="TableGrid"/>
        <w:tblW w:w="5074"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47"/>
        <w:gridCol w:w="2584"/>
        <w:gridCol w:w="1668"/>
      </w:tblGrid>
      <w:tr w:rsidR="00563DA8" w:rsidRPr="00EE5B08" w14:paraId="3FB32BCA" w14:textId="77777777" w:rsidTr="00A61A2E">
        <w:tc>
          <w:tcPr>
            <w:tcW w:w="2762" w:type="pct"/>
          </w:tcPr>
          <w:p w14:paraId="23D620CC" w14:textId="77777777" w:rsidR="00563DA8" w:rsidRPr="00EE5B08" w:rsidRDefault="00563DA8" w:rsidP="001161CD">
            <w:pPr>
              <w:pStyle w:val="ListParagraph"/>
              <w:jc w:val="left"/>
              <w:rPr>
                <w:lang w:val="en-CA"/>
              </w:rPr>
            </w:pPr>
          </w:p>
        </w:tc>
        <w:tc>
          <w:tcPr>
            <w:tcW w:w="1360" w:type="pct"/>
          </w:tcPr>
          <w:p w14:paraId="68B507C0" w14:textId="77777777" w:rsidR="00563DA8" w:rsidRDefault="00563DA8" w:rsidP="001161CD">
            <w:pPr>
              <w:jc w:val="center"/>
              <w:rPr>
                <w:highlight w:val="cyan"/>
              </w:rPr>
            </w:pPr>
          </w:p>
        </w:tc>
        <w:tc>
          <w:tcPr>
            <w:tcW w:w="879" w:type="pct"/>
          </w:tcPr>
          <w:p w14:paraId="03F74232" w14:textId="77777777" w:rsidR="00563DA8" w:rsidRDefault="00563DA8" w:rsidP="001161CD">
            <w:pPr>
              <w:jc w:val="right"/>
              <w:rPr>
                <w:highlight w:val="cyan"/>
              </w:rPr>
            </w:pPr>
          </w:p>
        </w:tc>
      </w:tr>
      <w:tr w:rsidR="00563DA8" w:rsidRPr="00EE5B08" w14:paraId="6BEB9A53" w14:textId="77777777" w:rsidTr="00A61A2E">
        <w:tc>
          <w:tcPr>
            <w:tcW w:w="2762" w:type="pct"/>
          </w:tcPr>
          <w:p w14:paraId="57A3C3FD" w14:textId="5CEF461B" w:rsidR="00563DA8" w:rsidRPr="002D2ED7" w:rsidRDefault="00563DA8" w:rsidP="001161CD">
            <w:pPr>
              <w:pStyle w:val="ListParagraph"/>
              <w:numPr>
                <w:ilvl w:val="0"/>
                <w:numId w:val="21"/>
              </w:numPr>
              <w:ind w:left="604" w:hanging="714"/>
              <w:jc w:val="left"/>
              <w:rPr>
                <w:lang w:val="es-ES"/>
              </w:rPr>
            </w:pPr>
            <w:r>
              <w:rPr>
                <w:lang w:val="es-ES"/>
              </w:rPr>
              <w:t xml:space="preserve">Plan de gestión para la eliminación de </w:t>
            </w:r>
            <w:r w:rsidR="00E60A01">
              <w:rPr>
                <w:lang w:val="es-ES"/>
              </w:rPr>
              <w:t xml:space="preserve">los </w:t>
            </w:r>
            <w:r>
              <w:rPr>
                <w:lang w:val="es-ES"/>
              </w:rPr>
              <w:t>HCFC (etapa II, primer tramo)</w:t>
            </w:r>
          </w:p>
        </w:tc>
        <w:tc>
          <w:tcPr>
            <w:tcW w:w="1360" w:type="pct"/>
          </w:tcPr>
          <w:p w14:paraId="40A2B86C" w14:textId="1B9C9BEF" w:rsidR="00563DA8" w:rsidRDefault="00697CB1" w:rsidP="001161CD">
            <w:pPr>
              <w:jc w:val="center"/>
              <w:rPr>
                <w:highlight w:val="cyan"/>
              </w:rPr>
            </w:pPr>
            <w:r>
              <w:t>PNUMA y ONUDI</w:t>
            </w:r>
          </w:p>
        </w:tc>
        <w:tc>
          <w:tcPr>
            <w:tcW w:w="879" w:type="pct"/>
          </w:tcPr>
          <w:p w14:paraId="3D89D636" w14:textId="77777777" w:rsidR="00563DA8" w:rsidRDefault="00563DA8" w:rsidP="001161CD">
            <w:pPr>
              <w:jc w:val="right"/>
              <w:rPr>
                <w:highlight w:val="cyan"/>
              </w:rPr>
            </w:pPr>
            <w:r>
              <w:t>Consideración individual</w:t>
            </w:r>
          </w:p>
        </w:tc>
      </w:tr>
    </w:tbl>
    <w:p w14:paraId="488C51A5" w14:textId="77777777" w:rsidR="00563DA8" w:rsidRPr="009931F4" w:rsidRDefault="00563DA8" w:rsidP="001161CD"/>
    <w:p w14:paraId="4A250B92" w14:textId="77777777" w:rsidR="00563DA8" w:rsidRPr="00996241" w:rsidRDefault="00563DA8" w:rsidP="001161CD"/>
    <w:p w14:paraId="0A39B7B5" w14:textId="77777777" w:rsidR="00563DA8" w:rsidRPr="009931F4" w:rsidRDefault="00563DA8" w:rsidP="001161CD"/>
    <w:p w14:paraId="63496229" w14:textId="77777777" w:rsidR="00563DA8" w:rsidRPr="00996241" w:rsidRDefault="00563DA8" w:rsidP="001161CD">
      <w:pPr>
        <w:jc w:val="left"/>
      </w:pPr>
    </w:p>
    <w:p w14:paraId="11479CB5" w14:textId="77777777" w:rsidR="00563DA8" w:rsidRPr="00996241" w:rsidRDefault="00563DA8" w:rsidP="001161CD">
      <w:pPr>
        <w:jc w:val="left"/>
      </w:pPr>
      <w:r>
        <w:br w:type="page"/>
      </w:r>
    </w:p>
    <w:p w14:paraId="37A630B0" w14:textId="77777777" w:rsidR="00563DA8" w:rsidRPr="002D2ED7" w:rsidRDefault="00563DA8" w:rsidP="001161CD">
      <w:pPr>
        <w:spacing w:before="120" w:after="120"/>
        <w:ind w:left="-425" w:right="-420"/>
        <w:jc w:val="center"/>
        <w:rPr>
          <w:b/>
          <w:lang w:val="es-ES"/>
        </w:rPr>
      </w:pPr>
      <w:r>
        <w:rPr>
          <w:b/>
          <w:lang w:val="es-ES"/>
        </w:rPr>
        <w:lastRenderedPageBreak/>
        <w:t>HOJA DE EVALUACIÓN DE PROYECTOS – PROYECTOS PLURIANUALES</w:t>
      </w:r>
    </w:p>
    <w:p w14:paraId="7DA6B204" w14:textId="62718175" w:rsidR="00563DA8" w:rsidRPr="00C56812" w:rsidRDefault="00697CB1" w:rsidP="008458F0">
      <w:pPr>
        <w:spacing w:before="200" w:after="200"/>
        <w:ind w:left="-425" w:right="-420"/>
        <w:jc w:val="center"/>
        <w:rPr>
          <w:b/>
        </w:rPr>
      </w:pPr>
      <w:r>
        <w:rPr>
          <w:b/>
        </w:rPr>
        <w:t>Saint Kitts y Nevis</w:t>
      </w:r>
    </w:p>
    <w:tbl>
      <w:tblPr>
        <w:tblStyle w:val="TableGrid"/>
        <w:tblW w:w="5364" w:type="pct"/>
        <w:jc w:val="center"/>
        <w:tblLayout w:type="fixed"/>
        <w:tblLook w:val="04A0" w:firstRow="1" w:lastRow="0" w:firstColumn="1" w:lastColumn="0" w:noHBand="0" w:noVBand="1"/>
      </w:tblPr>
      <w:tblGrid>
        <w:gridCol w:w="5098"/>
        <w:gridCol w:w="4933"/>
      </w:tblGrid>
      <w:tr w:rsidR="00563DA8" w:rsidRPr="00EB31E3" w14:paraId="6B55572B" w14:textId="77777777" w:rsidTr="00951FBF">
        <w:trPr>
          <w:trHeight w:val="139"/>
          <w:jc w:val="center"/>
        </w:trPr>
        <w:tc>
          <w:tcPr>
            <w:tcW w:w="2541" w:type="pct"/>
            <w:vAlign w:val="center"/>
          </w:tcPr>
          <w:p w14:paraId="7F0851BD" w14:textId="77777777" w:rsidR="00563DA8" w:rsidRPr="00996241" w:rsidRDefault="00563DA8" w:rsidP="00951FBF">
            <w:pPr>
              <w:spacing w:before="20" w:after="20"/>
              <w:jc w:val="center"/>
              <w:rPr>
                <w:b/>
                <w:sz w:val="20"/>
              </w:rPr>
            </w:pPr>
            <w:r>
              <w:rPr>
                <w:b/>
                <w:sz w:val="20"/>
              </w:rPr>
              <w:t>TÍTULO DEL PROYECTO</w:t>
            </w:r>
          </w:p>
        </w:tc>
        <w:tc>
          <w:tcPr>
            <w:tcW w:w="2459" w:type="pct"/>
            <w:vAlign w:val="center"/>
          </w:tcPr>
          <w:p w14:paraId="7D34BD76" w14:textId="61021344" w:rsidR="00563DA8" w:rsidRPr="00996241" w:rsidRDefault="00A61A2E" w:rsidP="00951FBF">
            <w:pPr>
              <w:spacing w:before="20" w:after="20"/>
              <w:jc w:val="center"/>
              <w:rPr>
                <w:b/>
                <w:sz w:val="20"/>
              </w:rPr>
            </w:pPr>
            <w:r>
              <w:rPr>
                <w:b/>
                <w:sz w:val="20"/>
              </w:rPr>
              <w:t>ORGANISMO</w:t>
            </w:r>
          </w:p>
        </w:tc>
      </w:tr>
      <w:tr w:rsidR="00563DA8" w:rsidRPr="00EB31E3" w14:paraId="51318B47" w14:textId="77777777" w:rsidTr="00951FBF">
        <w:trPr>
          <w:trHeight w:val="326"/>
          <w:jc w:val="center"/>
        </w:trPr>
        <w:tc>
          <w:tcPr>
            <w:tcW w:w="2541" w:type="pct"/>
            <w:vAlign w:val="center"/>
          </w:tcPr>
          <w:p w14:paraId="43FDFDD6" w14:textId="2D1E27A5" w:rsidR="00563DA8" w:rsidRPr="002D2ED7" w:rsidRDefault="00563DA8" w:rsidP="00E13F9A">
            <w:pPr>
              <w:spacing w:before="20" w:after="20"/>
              <w:jc w:val="center"/>
              <w:rPr>
                <w:color w:val="000000" w:themeColor="text1"/>
                <w:sz w:val="20"/>
                <w:lang w:val="es-ES"/>
              </w:rPr>
            </w:pPr>
            <w:r>
              <w:rPr>
                <w:color w:val="000000" w:themeColor="text1"/>
                <w:sz w:val="20"/>
                <w:lang w:val="es-ES"/>
              </w:rPr>
              <w:t>Plan de gestión de eliminación de los HCFC (etapa II)</w:t>
            </w:r>
          </w:p>
        </w:tc>
        <w:tc>
          <w:tcPr>
            <w:tcW w:w="2459" w:type="pct"/>
            <w:vAlign w:val="center"/>
          </w:tcPr>
          <w:p w14:paraId="01FFE645" w14:textId="21EB74AE" w:rsidR="00563DA8" w:rsidRPr="00996241" w:rsidRDefault="00697CB1" w:rsidP="00E13F9A">
            <w:pPr>
              <w:spacing w:before="20" w:after="20"/>
              <w:jc w:val="center"/>
              <w:rPr>
                <w:color w:val="000000" w:themeColor="text1"/>
                <w:sz w:val="20"/>
              </w:rPr>
            </w:pPr>
            <w:r>
              <w:rPr>
                <w:color w:val="000000" w:themeColor="text1"/>
                <w:sz w:val="20"/>
              </w:rPr>
              <w:t>PNUMA (principal), ONUDI</w:t>
            </w:r>
          </w:p>
        </w:tc>
      </w:tr>
    </w:tbl>
    <w:p w14:paraId="74B9150F" w14:textId="77777777" w:rsidR="00563DA8" w:rsidRPr="00BE2DAA" w:rsidRDefault="00563DA8" w:rsidP="001161CD">
      <w:pPr>
        <w:jc w:val="center"/>
        <w:rPr>
          <w:sz w:val="18"/>
          <w:szCs w:val="18"/>
        </w:rPr>
      </w:pPr>
    </w:p>
    <w:tbl>
      <w:tblPr>
        <w:tblStyle w:val="TableGrid"/>
        <w:tblW w:w="5364" w:type="pct"/>
        <w:jc w:val="center"/>
        <w:tblLayout w:type="fixed"/>
        <w:tblLook w:val="04A0" w:firstRow="1" w:lastRow="0" w:firstColumn="1" w:lastColumn="0" w:noHBand="0" w:noVBand="1"/>
      </w:tblPr>
      <w:tblGrid>
        <w:gridCol w:w="5097"/>
        <w:gridCol w:w="2127"/>
        <w:gridCol w:w="2807"/>
      </w:tblGrid>
      <w:tr w:rsidR="00563DA8" w:rsidRPr="00996241" w14:paraId="41DF7742" w14:textId="77777777" w:rsidTr="00951FBF">
        <w:trPr>
          <w:trHeight w:val="334"/>
          <w:jc w:val="center"/>
        </w:trPr>
        <w:tc>
          <w:tcPr>
            <w:tcW w:w="2541" w:type="pct"/>
            <w:vAlign w:val="center"/>
          </w:tcPr>
          <w:p w14:paraId="7B69D15D" w14:textId="77777777" w:rsidR="00563DA8" w:rsidRPr="002D2ED7" w:rsidRDefault="00563DA8" w:rsidP="00951FBF">
            <w:pPr>
              <w:spacing w:before="20" w:after="20"/>
              <w:jc w:val="left"/>
              <w:rPr>
                <w:b/>
                <w:sz w:val="20"/>
                <w:lang w:val="es-ES"/>
              </w:rPr>
            </w:pPr>
            <w:r>
              <w:rPr>
                <w:b/>
                <w:sz w:val="20"/>
                <w:lang w:val="es-ES"/>
              </w:rPr>
              <w:t>DATOS DEL ARTÍCULO 7 (Anexo C, Grupo I)</w:t>
            </w:r>
          </w:p>
        </w:tc>
        <w:tc>
          <w:tcPr>
            <w:tcW w:w="1060" w:type="pct"/>
            <w:vAlign w:val="center"/>
          </w:tcPr>
          <w:p w14:paraId="2591D2CD" w14:textId="05BD5D3C" w:rsidR="00563DA8" w:rsidRPr="00996241" w:rsidRDefault="00563DA8" w:rsidP="00951FBF">
            <w:pPr>
              <w:spacing w:before="20" w:after="20"/>
              <w:jc w:val="center"/>
              <w:rPr>
                <w:sz w:val="20"/>
              </w:rPr>
            </w:pPr>
            <w:r>
              <w:rPr>
                <w:b/>
                <w:bCs/>
                <w:sz w:val="20"/>
              </w:rPr>
              <w:t>Año:</w:t>
            </w:r>
            <w:r>
              <w:rPr>
                <w:b/>
                <w:bCs/>
                <w:color w:val="000000" w:themeColor="text1"/>
                <w:sz w:val="20"/>
              </w:rPr>
              <w:t xml:space="preserve"> 2024 </w:t>
            </w:r>
          </w:p>
        </w:tc>
        <w:tc>
          <w:tcPr>
            <w:tcW w:w="1399" w:type="pct"/>
            <w:vAlign w:val="center"/>
          </w:tcPr>
          <w:p w14:paraId="6650B93E" w14:textId="19FE74E0" w:rsidR="00563DA8" w:rsidRPr="00996241" w:rsidRDefault="00F53374" w:rsidP="00951FBF">
            <w:pPr>
              <w:spacing w:before="20" w:after="20"/>
              <w:jc w:val="right"/>
              <w:rPr>
                <w:sz w:val="20"/>
              </w:rPr>
            </w:pPr>
            <w:r>
              <w:rPr>
                <w:color w:val="000000" w:themeColor="text1"/>
                <w:sz w:val="20"/>
              </w:rPr>
              <w:t xml:space="preserve">0,00 </w:t>
            </w:r>
            <w:r w:rsidR="0087527C" w:rsidRPr="0087527C">
              <w:rPr>
                <w:bCs/>
                <w:sz w:val="20"/>
                <w:lang w:val="es-ES"/>
              </w:rPr>
              <w:t xml:space="preserve">tons. </w:t>
            </w:r>
            <w:r w:rsidR="0087527C" w:rsidRPr="0087527C">
              <w:rPr>
                <w:bCs/>
                <w:sz w:val="20"/>
              </w:rPr>
              <w:t>PAO</w:t>
            </w:r>
          </w:p>
        </w:tc>
      </w:tr>
    </w:tbl>
    <w:p w14:paraId="34EF02DB" w14:textId="77777777" w:rsidR="00563DA8" w:rsidRPr="00DC561D" w:rsidRDefault="00563DA8" w:rsidP="001161CD">
      <w:pPr>
        <w:jc w:val="center"/>
        <w:rPr>
          <w:sz w:val="18"/>
        </w:rPr>
      </w:pPr>
    </w:p>
    <w:tbl>
      <w:tblPr>
        <w:tblStyle w:val="TableGrid"/>
        <w:tblW w:w="5360" w:type="pct"/>
        <w:jc w:val="center"/>
        <w:tblLayout w:type="fixed"/>
        <w:tblLook w:val="04A0" w:firstRow="1" w:lastRow="0" w:firstColumn="1" w:lastColumn="0" w:noHBand="0" w:noVBand="1"/>
      </w:tblPr>
      <w:tblGrid>
        <w:gridCol w:w="1402"/>
        <w:gridCol w:w="856"/>
        <w:gridCol w:w="992"/>
        <w:gridCol w:w="1135"/>
        <w:gridCol w:w="1417"/>
        <w:gridCol w:w="1570"/>
        <w:gridCol w:w="1127"/>
        <w:gridCol w:w="710"/>
        <w:gridCol w:w="814"/>
      </w:tblGrid>
      <w:tr w:rsidR="00457AF8" w:rsidRPr="008533A5" w14:paraId="105A43C6" w14:textId="77777777" w:rsidTr="00951FBF">
        <w:trPr>
          <w:trHeight w:val="128"/>
          <w:jc w:val="center"/>
        </w:trPr>
        <w:tc>
          <w:tcPr>
            <w:tcW w:w="4240" w:type="pct"/>
            <w:gridSpan w:val="7"/>
            <w:tcBorders>
              <w:right w:val="single" w:sz="4" w:space="0" w:color="auto"/>
            </w:tcBorders>
            <w:vAlign w:val="center"/>
          </w:tcPr>
          <w:p w14:paraId="504D6A44" w14:textId="77777777" w:rsidR="00457AF8" w:rsidRPr="00996241" w:rsidRDefault="00457AF8" w:rsidP="00951FBF">
            <w:pPr>
              <w:spacing w:before="20" w:after="20"/>
              <w:jc w:val="left"/>
              <w:rPr>
                <w:b/>
                <w:sz w:val="20"/>
              </w:rPr>
            </w:pPr>
            <w:r>
              <w:rPr>
                <w:b/>
                <w:sz w:val="20"/>
                <w:lang w:val="es-ES"/>
              </w:rPr>
              <w:t xml:space="preserve">DATOS SECTORIALES DEL PROGRAMA PAÍS (tons. </w:t>
            </w:r>
            <w:r>
              <w:rPr>
                <w:b/>
                <w:sz w:val="20"/>
              </w:rPr>
              <w:t>PAO)</w:t>
            </w:r>
          </w:p>
        </w:tc>
        <w:tc>
          <w:tcPr>
            <w:tcW w:w="354" w:type="pct"/>
            <w:tcBorders>
              <w:top w:val="single" w:sz="4" w:space="0" w:color="auto"/>
              <w:left w:val="single" w:sz="4" w:space="0" w:color="auto"/>
              <w:bottom w:val="single" w:sz="4" w:space="0" w:color="auto"/>
              <w:right w:val="nil"/>
            </w:tcBorders>
            <w:vAlign w:val="center"/>
          </w:tcPr>
          <w:p w14:paraId="44F2A352" w14:textId="77777777" w:rsidR="00457AF8" w:rsidRPr="008533A5" w:rsidRDefault="00457AF8" w:rsidP="00951FBF">
            <w:pPr>
              <w:spacing w:before="20" w:after="20"/>
              <w:jc w:val="center"/>
              <w:rPr>
                <w:b/>
                <w:sz w:val="20"/>
                <w:highlight w:val="cyan"/>
              </w:rPr>
            </w:pPr>
            <w:r>
              <w:rPr>
                <w:b/>
                <w:sz w:val="20"/>
              </w:rPr>
              <w:t>Año:</w:t>
            </w:r>
          </w:p>
        </w:tc>
        <w:tc>
          <w:tcPr>
            <w:tcW w:w="406" w:type="pct"/>
            <w:tcBorders>
              <w:top w:val="single" w:sz="4" w:space="0" w:color="auto"/>
              <w:left w:val="nil"/>
              <w:bottom w:val="single" w:sz="4" w:space="0" w:color="auto"/>
              <w:right w:val="single" w:sz="4" w:space="0" w:color="auto"/>
            </w:tcBorders>
            <w:vAlign w:val="center"/>
          </w:tcPr>
          <w:p w14:paraId="2B705ADB" w14:textId="77777777" w:rsidR="00457AF8" w:rsidRPr="008533A5" w:rsidRDefault="00457AF8" w:rsidP="00951FBF">
            <w:pPr>
              <w:spacing w:before="20" w:after="20"/>
              <w:jc w:val="right"/>
              <w:rPr>
                <w:b/>
                <w:sz w:val="20"/>
                <w:highlight w:val="cyan"/>
              </w:rPr>
            </w:pPr>
            <w:r>
              <w:rPr>
                <w:b/>
                <w:color w:val="000000" w:themeColor="text1"/>
                <w:sz w:val="20"/>
              </w:rPr>
              <w:t>2025</w:t>
            </w:r>
          </w:p>
        </w:tc>
      </w:tr>
      <w:tr w:rsidR="0047515D" w:rsidRPr="00EB31E3" w14:paraId="046ED5A0" w14:textId="77777777" w:rsidTr="00191B35">
        <w:trPr>
          <w:trHeight w:val="63"/>
          <w:jc w:val="center"/>
        </w:trPr>
        <w:tc>
          <w:tcPr>
            <w:tcW w:w="700" w:type="pct"/>
            <w:vMerge w:val="restart"/>
            <w:vAlign w:val="center"/>
          </w:tcPr>
          <w:p w14:paraId="71E6CFF4" w14:textId="77777777" w:rsidR="0047515D" w:rsidRPr="009931F4" w:rsidRDefault="00B371D3" w:rsidP="00951FBF">
            <w:pPr>
              <w:spacing w:before="20" w:after="20"/>
              <w:jc w:val="center"/>
              <w:rPr>
                <w:sz w:val="20"/>
              </w:rPr>
            </w:pPr>
            <w:r>
              <w:rPr>
                <w:sz w:val="20"/>
              </w:rPr>
              <w:t>Sustancia</w:t>
            </w:r>
          </w:p>
        </w:tc>
        <w:tc>
          <w:tcPr>
            <w:tcW w:w="427" w:type="pct"/>
            <w:vMerge w:val="restart"/>
            <w:vAlign w:val="center"/>
          </w:tcPr>
          <w:p w14:paraId="3EC4B95A" w14:textId="77777777" w:rsidR="0047515D" w:rsidRPr="00996241" w:rsidRDefault="0047515D" w:rsidP="00951FBF">
            <w:pPr>
              <w:spacing w:before="20" w:after="20"/>
              <w:ind w:left="-106" w:right="-97"/>
              <w:jc w:val="center"/>
              <w:rPr>
                <w:sz w:val="20"/>
              </w:rPr>
            </w:pPr>
            <w:r>
              <w:rPr>
                <w:sz w:val="20"/>
              </w:rPr>
              <w:t>Aerosol</w:t>
            </w:r>
          </w:p>
        </w:tc>
        <w:tc>
          <w:tcPr>
            <w:tcW w:w="495" w:type="pct"/>
            <w:vMerge w:val="restart"/>
            <w:vAlign w:val="center"/>
          </w:tcPr>
          <w:p w14:paraId="1C079953" w14:textId="77777777" w:rsidR="0047515D" w:rsidRPr="00996241" w:rsidRDefault="0047515D" w:rsidP="00951FBF">
            <w:pPr>
              <w:spacing w:before="20" w:after="20"/>
              <w:jc w:val="center"/>
              <w:rPr>
                <w:sz w:val="20"/>
              </w:rPr>
            </w:pPr>
            <w:r>
              <w:rPr>
                <w:sz w:val="20"/>
              </w:rPr>
              <w:t>Espuma</w:t>
            </w:r>
          </w:p>
        </w:tc>
        <w:tc>
          <w:tcPr>
            <w:tcW w:w="566" w:type="pct"/>
            <w:vMerge w:val="restart"/>
            <w:vAlign w:val="center"/>
          </w:tcPr>
          <w:p w14:paraId="6A91C0A5" w14:textId="77777777" w:rsidR="0047515D" w:rsidRPr="00996241" w:rsidRDefault="0047515D" w:rsidP="00951FBF">
            <w:pPr>
              <w:spacing w:before="20" w:after="20"/>
              <w:ind w:left="-106" w:right="-112"/>
              <w:jc w:val="center"/>
              <w:rPr>
                <w:sz w:val="20"/>
              </w:rPr>
            </w:pPr>
            <w:r>
              <w:rPr>
                <w:sz w:val="20"/>
              </w:rPr>
              <w:t>Extinción de incendios</w:t>
            </w:r>
          </w:p>
        </w:tc>
        <w:tc>
          <w:tcPr>
            <w:tcW w:w="1490" w:type="pct"/>
            <w:gridSpan w:val="2"/>
            <w:vAlign w:val="center"/>
          </w:tcPr>
          <w:p w14:paraId="74985C52" w14:textId="77777777" w:rsidR="0047515D" w:rsidRPr="00996241" w:rsidRDefault="0047515D" w:rsidP="00951FBF">
            <w:pPr>
              <w:spacing w:before="20" w:after="20"/>
              <w:jc w:val="center"/>
              <w:rPr>
                <w:sz w:val="20"/>
              </w:rPr>
            </w:pPr>
            <w:r>
              <w:rPr>
                <w:sz w:val="20"/>
              </w:rPr>
              <w:t>Refrigeración</w:t>
            </w:r>
          </w:p>
        </w:tc>
        <w:tc>
          <w:tcPr>
            <w:tcW w:w="561" w:type="pct"/>
            <w:vMerge w:val="restart"/>
            <w:vAlign w:val="center"/>
          </w:tcPr>
          <w:p w14:paraId="141AA297" w14:textId="77777777" w:rsidR="0047515D" w:rsidRPr="00996241" w:rsidRDefault="0047515D" w:rsidP="00951FBF">
            <w:pPr>
              <w:spacing w:before="20" w:after="20"/>
              <w:ind w:left="-106" w:right="-105"/>
              <w:jc w:val="center"/>
              <w:rPr>
                <w:sz w:val="20"/>
              </w:rPr>
            </w:pPr>
            <w:r>
              <w:rPr>
                <w:sz w:val="20"/>
              </w:rPr>
              <w:t>Solvente</w:t>
            </w:r>
          </w:p>
        </w:tc>
        <w:tc>
          <w:tcPr>
            <w:tcW w:w="760" w:type="pct"/>
            <w:gridSpan w:val="2"/>
            <w:vMerge w:val="restart"/>
            <w:tcBorders>
              <w:top w:val="single" w:sz="4" w:space="0" w:color="auto"/>
            </w:tcBorders>
            <w:vAlign w:val="center"/>
          </w:tcPr>
          <w:p w14:paraId="5CDC2470" w14:textId="77777777" w:rsidR="0047515D" w:rsidRPr="00996241" w:rsidRDefault="0047515D" w:rsidP="00951FBF">
            <w:pPr>
              <w:spacing w:before="20" w:after="20"/>
              <w:jc w:val="center"/>
              <w:rPr>
                <w:sz w:val="20"/>
              </w:rPr>
            </w:pPr>
            <w:r>
              <w:rPr>
                <w:sz w:val="20"/>
              </w:rPr>
              <w:t>Consumo total del sector</w:t>
            </w:r>
          </w:p>
        </w:tc>
      </w:tr>
      <w:tr w:rsidR="0047515D" w:rsidRPr="00EB31E3" w14:paraId="01EDF5D7" w14:textId="77777777" w:rsidTr="00191B35">
        <w:trPr>
          <w:trHeight w:val="46"/>
          <w:jc w:val="center"/>
        </w:trPr>
        <w:tc>
          <w:tcPr>
            <w:tcW w:w="700" w:type="pct"/>
            <w:vMerge/>
            <w:vAlign w:val="center"/>
          </w:tcPr>
          <w:p w14:paraId="2B06150C" w14:textId="77777777" w:rsidR="0047515D" w:rsidRPr="009931F4" w:rsidRDefault="0047515D" w:rsidP="00E13F9A">
            <w:pPr>
              <w:spacing w:before="20" w:after="20"/>
              <w:jc w:val="center"/>
              <w:rPr>
                <w:sz w:val="20"/>
              </w:rPr>
            </w:pPr>
          </w:p>
        </w:tc>
        <w:tc>
          <w:tcPr>
            <w:tcW w:w="427" w:type="pct"/>
            <w:vMerge/>
            <w:vAlign w:val="center"/>
          </w:tcPr>
          <w:p w14:paraId="2362307F" w14:textId="77777777" w:rsidR="0047515D" w:rsidRPr="00996241" w:rsidRDefault="0047515D" w:rsidP="00E13F9A">
            <w:pPr>
              <w:spacing w:before="20" w:after="20"/>
              <w:ind w:left="-106" w:right="-97"/>
              <w:jc w:val="center"/>
              <w:rPr>
                <w:sz w:val="20"/>
              </w:rPr>
            </w:pPr>
          </w:p>
        </w:tc>
        <w:tc>
          <w:tcPr>
            <w:tcW w:w="495" w:type="pct"/>
            <w:vMerge/>
            <w:vAlign w:val="center"/>
          </w:tcPr>
          <w:p w14:paraId="08EB4863" w14:textId="77777777" w:rsidR="0047515D" w:rsidRPr="00996241" w:rsidRDefault="0047515D" w:rsidP="00E13F9A">
            <w:pPr>
              <w:spacing w:before="20" w:after="20"/>
              <w:jc w:val="center"/>
              <w:rPr>
                <w:sz w:val="20"/>
              </w:rPr>
            </w:pPr>
          </w:p>
        </w:tc>
        <w:tc>
          <w:tcPr>
            <w:tcW w:w="566" w:type="pct"/>
            <w:vMerge/>
            <w:vAlign w:val="center"/>
          </w:tcPr>
          <w:p w14:paraId="4544C60C" w14:textId="77777777" w:rsidR="0047515D" w:rsidRPr="00996241" w:rsidRDefault="0047515D" w:rsidP="00E13F9A">
            <w:pPr>
              <w:spacing w:before="20" w:after="20"/>
              <w:ind w:left="-106" w:right="-112"/>
              <w:jc w:val="center"/>
              <w:rPr>
                <w:sz w:val="20"/>
              </w:rPr>
            </w:pPr>
          </w:p>
        </w:tc>
        <w:tc>
          <w:tcPr>
            <w:tcW w:w="707" w:type="pct"/>
            <w:vAlign w:val="center"/>
          </w:tcPr>
          <w:p w14:paraId="7A6E8A28" w14:textId="77777777" w:rsidR="0047515D" w:rsidRPr="00996241" w:rsidRDefault="0047515D" w:rsidP="00E13F9A">
            <w:pPr>
              <w:spacing w:before="20" w:after="20"/>
              <w:jc w:val="center"/>
              <w:rPr>
                <w:sz w:val="20"/>
              </w:rPr>
            </w:pPr>
            <w:r>
              <w:rPr>
                <w:sz w:val="20"/>
              </w:rPr>
              <w:t>Fabricación</w:t>
            </w:r>
          </w:p>
        </w:tc>
        <w:tc>
          <w:tcPr>
            <w:tcW w:w="783" w:type="pct"/>
            <w:vAlign w:val="center"/>
          </w:tcPr>
          <w:p w14:paraId="7DB70B87" w14:textId="77777777" w:rsidR="0047515D" w:rsidRPr="00996241" w:rsidRDefault="0047515D" w:rsidP="00E13F9A">
            <w:pPr>
              <w:spacing w:before="20" w:after="20"/>
              <w:jc w:val="center"/>
              <w:rPr>
                <w:sz w:val="20"/>
              </w:rPr>
            </w:pPr>
            <w:r>
              <w:rPr>
                <w:sz w:val="20"/>
              </w:rPr>
              <w:t>Servicio técnico</w:t>
            </w:r>
          </w:p>
        </w:tc>
        <w:tc>
          <w:tcPr>
            <w:tcW w:w="561" w:type="pct"/>
            <w:vMerge/>
            <w:vAlign w:val="center"/>
          </w:tcPr>
          <w:p w14:paraId="72422291" w14:textId="77777777" w:rsidR="0047515D" w:rsidRPr="00996241" w:rsidRDefault="0047515D" w:rsidP="00E13F9A">
            <w:pPr>
              <w:spacing w:before="20" w:after="20"/>
              <w:ind w:left="-106" w:right="-105"/>
              <w:jc w:val="center"/>
              <w:rPr>
                <w:sz w:val="20"/>
              </w:rPr>
            </w:pPr>
          </w:p>
        </w:tc>
        <w:tc>
          <w:tcPr>
            <w:tcW w:w="760" w:type="pct"/>
            <w:gridSpan w:val="2"/>
            <w:vMerge/>
            <w:vAlign w:val="center"/>
          </w:tcPr>
          <w:p w14:paraId="6E34FD7F" w14:textId="77777777" w:rsidR="0047515D" w:rsidRPr="00996241" w:rsidRDefault="0047515D" w:rsidP="00E13F9A">
            <w:pPr>
              <w:spacing w:before="20" w:after="20"/>
              <w:jc w:val="center"/>
              <w:rPr>
                <w:sz w:val="20"/>
              </w:rPr>
            </w:pPr>
          </w:p>
        </w:tc>
      </w:tr>
      <w:tr w:rsidR="0047515D" w:rsidRPr="00EB31E3" w14:paraId="046AE9C7" w14:textId="77777777" w:rsidTr="00191B35">
        <w:trPr>
          <w:trHeight w:val="250"/>
          <w:jc w:val="center"/>
        </w:trPr>
        <w:tc>
          <w:tcPr>
            <w:tcW w:w="700" w:type="pct"/>
            <w:vAlign w:val="center"/>
          </w:tcPr>
          <w:p w14:paraId="20FCE098" w14:textId="77777777" w:rsidR="0047515D" w:rsidRPr="009931F4" w:rsidRDefault="0047515D" w:rsidP="00951FBF">
            <w:pPr>
              <w:spacing w:before="20" w:after="20"/>
              <w:jc w:val="left"/>
              <w:rPr>
                <w:sz w:val="20"/>
              </w:rPr>
            </w:pPr>
            <w:r>
              <w:rPr>
                <w:color w:val="000000" w:themeColor="text1"/>
                <w:sz w:val="20"/>
              </w:rPr>
              <w:t>HCFC-22</w:t>
            </w:r>
          </w:p>
        </w:tc>
        <w:tc>
          <w:tcPr>
            <w:tcW w:w="427" w:type="pct"/>
            <w:vAlign w:val="center"/>
          </w:tcPr>
          <w:p w14:paraId="2040F67F" w14:textId="77777777" w:rsidR="0047515D" w:rsidRPr="00996241" w:rsidRDefault="0047515D" w:rsidP="00951FBF">
            <w:pPr>
              <w:spacing w:before="20" w:after="20"/>
              <w:jc w:val="right"/>
              <w:rPr>
                <w:sz w:val="20"/>
              </w:rPr>
            </w:pPr>
          </w:p>
        </w:tc>
        <w:tc>
          <w:tcPr>
            <w:tcW w:w="495" w:type="pct"/>
            <w:vAlign w:val="center"/>
          </w:tcPr>
          <w:p w14:paraId="773D375B" w14:textId="77777777" w:rsidR="0047515D" w:rsidRPr="00996241" w:rsidRDefault="0047515D" w:rsidP="00951FBF">
            <w:pPr>
              <w:spacing w:before="20" w:after="20"/>
              <w:jc w:val="right"/>
              <w:rPr>
                <w:sz w:val="20"/>
              </w:rPr>
            </w:pPr>
          </w:p>
        </w:tc>
        <w:tc>
          <w:tcPr>
            <w:tcW w:w="566" w:type="pct"/>
            <w:vAlign w:val="center"/>
          </w:tcPr>
          <w:p w14:paraId="02819A5E" w14:textId="77777777" w:rsidR="0047515D" w:rsidRPr="00996241" w:rsidRDefault="0047515D" w:rsidP="00951FBF">
            <w:pPr>
              <w:spacing w:before="20" w:after="20"/>
              <w:jc w:val="right"/>
              <w:rPr>
                <w:sz w:val="20"/>
              </w:rPr>
            </w:pPr>
          </w:p>
        </w:tc>
        <w:tc>
          <w:tcPr>
            <w:tcW w:w="707" w:type="pct"/>
            <w:vAlign w:val="center"/>
          </w:tcPr>
          <w:p w14:paraId="410BC8D0" w14:textId="77777777" w:rsidR="0047515D" w:rsidRPr="00996241" w:rsidRDefault="0047515D" w:rsidP="00951FBF">
            <w:pPr>
              <w:spacing w:before="20" w:after="20"/>
              <w:jc w:val="right"/>
              <w:rPr>
                <w:sz w:val="20"/>
              </w:rPr>
            </w:pPr>
          </w:p>
        </w:tc>
        <w:tc>
          <w:tcPr>
            <w:tcW w:w="783" w:type="pct"/>
            <w:vAlign w:val="center"/>
          </w:tcPr>
          <w:p w14:paraId="7C23A409" w14:textId="79399ADF" w:rsidR="0047515D" w:rsidRPr="00996241" w:rsidRDefault="00191B35" w:rsidP="00951FBF">
            <w:pPr>
              <w:spacing w:before="20" w:after="20"/>
              <w:jc w:val="right"/>
              <w:rPr>
                <w:sz w:val="20"/>
              </w:rPr>
            </w:pPr>
            <w:r>
              <w:rPr>
                <w:sz w:val="20"/>
              </w:rPr>
              <w:t>0,04</w:t>
            </w:r>
          </w:p>
        </w:tc>
        <w:tc>
          <w:tcPr>
            <w:tcW w:w="561" w:type="pct"/>
            <w:vAlign w:val="center"/>
          </w:tcPr>
          <w:p w14:paraId="7E58E141" w14:textId="77777777" w:rsidR="0047515D" w:rsidRPr="00996241" w:rsidRDefault="0047515D" w:rsidP="00951FBF">
            <w:pPr>
              <w:spacing w:before="20" w:after="20"/>
              <w:jc w:val="right"/>
              <w:rPr>
                <w:sz w:val="20"/>
              </w:rPr>
            </w:pPr>
          </w:p>
        </w:tc>
        <w:tc>
          <w:tcPr>
            <w:tcW w:w="760" w:type="pct"/>
            <w:gridSpan w:val="2"/>
            <w:vAlign w:val="center"/>
          </w:tcPr>
          <w:p w14:paraId="32C681B6" w14:textId="62483F64" w:rsidR="0047515D" w:rsidRPr="00996241" w:rsidRDefault="00191B35" w:rsidP="00951FBF">
            <w:pPr>
              <w:spacing w:before="20" w:after="20"/>
              <w:jc w:val="right"/>
              <w:rPr>
                <w:sz w:val="20"/>
              </w:rPr>
            </w:pPr>
            <w:r>
              <w:rPr>
                <w:sz w:val="20"/>
              </w:rPr>
              <w:t>0,04</w:t>
            </w:r>
          </w:p>
        </w:tc>
      </w:tr>
    </w:tbl>
    <w:p w14:paraId="46856CE2" w14:textId="77777777" w:rsidR="00563DA8" w:rsidRPr="00BE2DAA" w:rsidRDefault="00563DA8" w:rsidP="001161CD">
      <w:pPr>
        <w:jc w:val="center"/>
        <w:rPr>
          <w:sz w:val="18"/>
          <w:szCs w:val="18"/>
        </w:rPr>
      </w:pPr>
    </w:p>
    <w:tbl>
      <w:tblPr>
        <w:tblStyle w:val="TableGrid"/>
        <w:tblW w:w="5364" w:type="pct"/>
        <w:jc w:val="center"/>
        <w:tblLayout w:type="fixed"/>
        <w:tblLook w:val="04A0" w:firstRow="1" w:lastRow="0" w:firstColumn="1" w:lastColumn="0" w:noHBand="0" w:noVBand="1"/>
      </w:tblPr>
      <w:tblGrid>
        <w:gridCol w:w="3146"/>
        <w:gridCol w:w="1103"/>
        <w:gridCol w:w="4251"/>
        <w:gridCol w:w="1531"/>
      </w:tblGrid>
      <w:tr w:rsidR="00563DA8" w:rsidRPr="00E60A01" w14:paraId="5D21DE1C" w14:textId="77777777" w:rsidTr="00951FBF">
        <w:trPr>
          <w:trHeight w:val="272"/>
          <w:jc w:val="center"/>
        </w:trPr>
        <w:tc>
          <w:tcPr>
            <w:tcW w:w="5000" w:type="pct"/>
            <w:gridSpan w:val="4"/>
            <w:vAlign w:val="center"/>
          </w:tcPr>
          <w:p w14:paraId="07AEEF60" w14:textId="77777777" w:rsidR="00563DA8" w:rsidRPr="002D2ED7" w:rsidRDefault="00563DA8" w:rsidP="00951FBF">
            <w:pPr>
              <w:spacing w:before="20" w:after="20"/>
              <w:jc w:val="left"/>
              <w:rPr>
                <w:b/>
                <w:sz w:val="20"/>
                <w:lang w:val="es-ES"/>
              </w:rPr>
            </w:pPr>
            <w:r>
              <w:rPr>
                <w:b/>
                <w:sz w:val="20"/>
                <w:lang w:val="es-ES"/>
              </w:rPr>
              <w:t>DATOS DE CONSUMO (tons. PAO)</w:t>
            </w:r>
          </w:p>
        </w:tc>
      </w:tr>
      <w:tr w:rsidR="00563DA8" w:rsidRPr="00EB31E3" w14:paraId="74A64B3F" w14:textId="77777777" w:rsidTr="005137D8">
        <w:trPr>
          <w:trHeight w:val="272"/>
          <w:jc w:val="center"/>
        </w:trPr>
        <w:tc>
          <w:tcPr>
            <w:tcW w:w="1568" w:type="pct"/>
            <w:vAlign w:val="center"/>
          </w:tcPr>
          <w:p w14:paraId="7752C6C3" w14:textId="7C9E4AD2" w:rsidR="00563DA8" w:rsidRPr="009931F4" w:rsidRDefault="00A11765" w:rsidP="00951FBF">
            <w:pPr>
              <w:spacing w:before="20" w:after="20"/>
              <w:jc w:val="center"/>
              <w:rPr>
                <w:sz w:val="20"/>
              </w:rPr>
            </w:pPr>
            <w:r w:rsidRPr="00A11765">
              <w:rPr>
                <w:sz w:val="20"/>
              </w:rPr>
              <w:t xml:space="preserve">Nivel básico en </w:t>
            </w:r>
            <w:r w:rsidR="00563DA8">
              <w:rPr>
                <w:sz w:val="20"/>
              </w:rPr>
              <w:t>2009-2010:</w:t>
            </w:r>
          </w:p>
        </w:tc>
        <w:tc>
          <w:tcPr>
            <w:tcW w:w="550" w:type="pct"/>
            <w:vAlign w:val="center"/>
          </w:tcPr>
          <w:p w14:paraId="3DA02AF0" w14:textId="3EA15072" w:rsidR="00563DA8" w:rsidRPr="00996241" w:rsidRDefault="00A324B6" w:rsidP="00951FBF">
            <w:pPr>
              <w:spacing w:before="20" w:after="20"/>
              <w:jc w:val="right"/>
              <w:rPr>
                <w:sz w:val="20"/>
              </w:rPr>
            </w:pPr>
            <w:r>
              <w:rPr>
                <w:sz w:val="20"/>
              </w:rPr>
              <w:t>0,50</w:t>
            </w:r>
          </w:p>
        </w:tc>
        <w:tc>
          <w:tcPr>
            <w:tcW w:w="2119" w:type="pct"/>
            <w:vAlign w:val="center"/>
          </w:tcPr>
          <w:p w14:paraId="449C1C05" w14:textId="77777777" w:rsidR="00563DA8" w:rsidRPr="002D2ED7" w:rsidRDefault="00563DA8" w:rsidP="00951FBF">
            <w:pPr>
              <w:spacing w:before="20" w:after="20"/>
              <w:jc w:val="center"/>
              <w:rPr>
                <w:sz w:val="20"/>
                <w:lang w:val="es-ES"/>
              </w:rPr>
            </w:pPr>
            <w:r>
              <w:rPr>
                <w:sz w:val="20"/>
                <w:lang w:val="es-ES"/>
              </w:rPr>
              <w:t>Punto de partida para las reducciones acumuladas sostenidas:</w:t>
            </w:r>
          </w:p>
        </w:tc>
        <w:tc>
          <w:tcPr>
            <w:tcW w:w="763" w:type="pct"/>
            <w:vAlign w:val="center"/>
          </w:tcPr>
          <w:p w14:paraId="33EBB5B2" w14:textId="61E1A32E" w:rsidR="00563DA8" w:rsidRPr="00996241" w:rsidRDefault="00A324B6" w:rsidP="00951FBF">
            <w:pPr>
              <w:spacing w:before="20" w:after="20"/>
              <w:jc w:val="right"/>
              <w:rPr>
                <w:sz w:val="20"/>
              </w:rPr>
            </w:pPr>
            <w:r>
              <w:rPr>
                <w:sz w:val="20"/>
              </w:rPr>
              <w:t>0,50</w:t>
            </w:r>
          </w:p>
        </w:tc>
      </w:tr>
      <w:tr w:rsidR="00563DA8" w:rsidRPr="00EB31E3" w14:paraId="172C9CB2" w14:textId="77777777" w:rsidTr="007E1D1A">
        <w:trPr>
          <w:trHeight w:val="163"/>
          <w:jc w:val="center"/>
        </w:trPr>
        <w:tc>
          <w:tcPr>
            <w:tcW w:w="5000" w:type="pct"/>
            <w:gridSpan w:val="4"/>
          </w:tcPr>
          <w:p w14:paraId="2AA1AB12" w14:textId="77777777" w:rsidR="00563DA8" w:rsidRPr="009931F4" w:rsidRDefault="00563DA8" w:rsidP="00E13F9A">
            <w:pPr>
              <w:tabs>
                <w:tab w:val="left" w:pos="993"/>
              </w:tabs>
              <w:spacing w:before="20" w:after="20"/>
              <w:ind w:left="426"/>
              <w:jc w:val="left"/>
              <w:rPr>
                <w:b/>
                <w:sz w:val="20"/>
              </w:rPr>
            </w:pPr>
            <w:r>
              <w:rPr>
                <w:b/>
                <w:sz w:val="20"/>
              </w:rPr>
              <w:t>CONSUMO ADMISIBLE PARA FINANCIAMIENTO</w:t>
            </w:r>
          </w:p>
        </w:tc>
      </w:tr>
      <w:tr w:rsidR="00563DA8" w:rsidRPr="00EB31E3" w14:paraId="4E34A038" w14:textId="77777777" w:rsidTr="005137D8">
        <w:trPr>
          <w:trHeight w:val="272"/>
          <w:jc w:val="center"/>
        </w:trPr>
        <w:tc>
          <w:tcPr>
            <w:tcW w:w="1568" w:type="pct"/>
            <w:vAlign w:val="center"/>
          </w:tcPr>
          <w:p w14:paraId="25841343" w14:textId="77777777" w:rsidR="00563DA8" w:rsidRPr="009931F4" w:rsidRDefault="00563DA8" w:rsidP="00951FBF">
            <w:pPr>
              <w:spacing w:before="20" w:after="20"/>
              <w:jc w:val="center"/>
              <w:rPr>
                <w:sz w:val="20"/>
              </w:rPr>
            </w:pPr>
            <w:r>
              <w:rPr>
                <w:sz w:val="20"/>
              </w:rPr>
              <w:t>Ya aprobado:</w:t>
            </w:r>
          </w:p>
        </w:tc>
        <w:tc>
          <w:tcPr>
            <w:tcW w:w="550" w:type="pct"/>
            <w:vAlign w:val="center"/>
          </w:tcPr>
          <w:p w14:paraId="56E3A677" w14:textId="5EB12001" w:rsidR="00563DA8" w:rsidRPr="00996241" w:rsidRDefault="00A324B6" w:rsidP="00951FBF">
            <w:pPr>
              <w:spacing w:before="20" w:after="20"/>
              <w:jc w:val="right"/>
              <w:rPr>
                <w:sz w:val="20"/>
              </w:rPr>
            </w:pPr>
            <w:r>
              <w:rPr>
                <w:sz w:val="20"/>
              </w:rPr>
              <w:t>0,18</w:t>
            </w:r>
          </w:p>
        </w:tc>
        <w:tc>
          <w:tcPr>
            <w:tcW w:w="2119" w:type="pct"/>
            <w:vAlign w:val="center"/>
          </w:tcPr>
          <w:p w14:paraId="7675F4C0" w14:textId="77777777" w:rsidR="00563DA8" w:rsidRPr="00996241" w:rsidRDefault="00563DA8" w:rsidP="00951FBF">
            <w:pPr>
              <w:spacing w:before="20" w:after="20"/>
              <w:jc w:val="center"/>
              <w:rPr>
                <w:sz w:val="20"/>
              </w:rPr>
            </w:pPr>
            <w:r>
              <w:rPr>
                <w:sz w:val="20"/>
              </w:rPr>
              <w:t>Remanente:</w:t>
            </w:r>
          </w:p>
        </w:tc>
        <w:tc>
          <w:tcPr>
            <w:tcW w:w="763" w:type="pct"/>
            <w:vAlign w:val="center"/>
          </w:tcPr>
          <w:p w14:paraId="263B5B91" w14:textId="0088FD38" w:rsidR="00563DA8" w:rsidRPr="00996241" w:rsidRDefault="00A324B6" w:rsidP="00951FBF">
            <w:pPr>
              <w:spacing w:before="20" w:after="20"/>
              <w:jc w:val="right"/>
              <w:rPr>
                <w:sz w:val="20"/>
              </w:rPr>
            </w:pPr>
            <w:r>
              <w:rPr>
                <w:sz w:val="20"/>
              </w:rPr>
              <w:t>0,32</w:t>
            </w:r>
          </w:p>
        </w:tc>
      </w:tr>
    </w:tbl>
    <w:p w14:paraId="53F35650" w14:textId="77777777" w:rsidR="00563DA8" w:rsidRPr="00DC561D" w:rsidRDefault="00563DA8" w:rsidP="001161CD">
      <w:pPr>
        <w:jc w:val="center"/>
        <w:rPr>
          <w:sz w:val="18"/>
        </w:rPr>
      </w:pPr>
    </w:p>
    <w:tbl>
      <w:tblPr>
        <w:tblStyle w:val="TableGrid"/>
        <w:tblW w:w="5364" w:type="pct"/>
        <w:jc w:val="center"/>
        <w:tblLayout w:type="fixed"/>
        <w:tblLook w:val="04A0" w:firstRow="1" w:lastRow="0" w:firstColumn="1" w:lastColumn="0" w:noHBand="0" w:noVBand="1"/>
      </w:tblPr>
      <w:tblGrid>
        <w:gridCol w:w="1257"/>
        <w:gridCol w:w="3003"/>
        <w:gridCol w:w="1414"/>
        <w:gridCol w:w="1414"/>
        <w:gridCol w:w="1414"/>
        <w:gridCol w:w="1529"/>
      </w:tblGrid>
      <w:tr w:rsidR="00563DA8" w:rsidRPr="00EB31E3" w14:paraId="02059A9F" w14:textId="77777777" w:rsidTr="005635ED">
        <w:trPr>
          <w:trHeight w:val="258"/>
          <w:jc w:val="center"/>
        </w:trPr>
        <w:tc>
          <w:tcPr>
            <w:tcW w:w="2122" w:type="pct"/>
            <w:gridSpan w:val="2"/>
            <w:vAlign w:val="center"/>
          </w:tcPr>
          <w:p w14:paraId="39433053" w14:textId="77777777" w:rsidR="00563DA8" w:rsidRPr="00996241" w:rsidRDefault="00563DA8" w:rsidP="00E13F9A">
            <w:pPr>
              <w:spacing w:before="20" w:after="20"/>
              <w:jc w:val="left"/>
              <w:rPr>
                <w:b/>
                <w:sz w:val="20"/>
              </w:rPr>
            </w:pPr>
            <w:r>
              <w:rPr>
                <w:b/>
                <w:sz w:val="20"/>
              </w:rPr>
              <w:t>PLAN ADMINISTRATIVO RESPALDADO</w:t>
            </w:r>
          </w:p>
        </w:tc>
        <w:tc>
          <w:tcPr>
            <w:tcW w:w="705" w:type="pct"/>
            <w:vAlign w:val="center"/>
          </w:tcPr>
          <w:p w14:paraId="61A1C441" w14:textId="77777777" w:rsidR="00563DA8" w:rsidRPr="00996241" w:rsidRDefault="00E14B1B" w:rsidP="00E13F9A">
            <w:pPr>
              <w:spacing w:before="20" w:after="20"/>
              <w:jc w:val="center"/>
              <w:rPr>
                <w:b/>
                <w:sz w:val="20"/>
              </w:rPr>
            </w:pPr>
            <w:r>
              <w:rPr>
                <w:b/>
                <w:sz w:val="20"/>
              </w:rPr>
              <w:t>2026</w:t>
            </w:r>
          </w:p>
        </w:tc>
        <w:tc>
          <w:tcPr>
            <w:tcW w:w="705" w:type="pct"/>
            <w:vAlign w:val="center"/>
          </w:tcPr>
          <w:p w14:paraId="15F2E53B" w14:textId="77777777" w:rsidR="00563DA8" w:rsidRPr="00996241" w:rsidRDefault="00E14B1B" w:rsidP="00E13F9A">
            <w:pPr>
              <w:spacing w:before="20" w:after="20"/>
              <w:jc w:val="center"/>
              <w:rPr>
                <w:b/>
                <w:sz w:val="20"/>
              </w:rPr>
            </w:pPr>
            <w:r>
              <w:rPr>
                <w:b/>
                <w:sz w:val="20"/>
              </w:rPr>
              <w:t>2027</w:t>
            </w:r>
          </w:p>
        </w:tc>
        <w:tc>
          <w:tcPr>
            <w:tcW w:w="705" w:type="pct"/>
            <w:vAlign w:val="center"/>
          </w:tcPr>
          <w:p w14:paraId="2250C654" w14:textId="77777777" w:rsidR="00563DA8" w:rsidRPr="00996241" w:rsidRDefault="00E14B1B" w:rsidP="00E13F9A">
            <w:pPr>
              <w:spacing w:before="20" w:after="20"/>
              <w:jc w:val="center"/>
              <w:rPr>
                <w:b/>
                <w:sz w:val="20"/>
              </w:rPr>
            </w:pPr>
            <w:r>
              <w:rPr>
                <w:b/>
                <w:sz w:val="20"/>
              </w:rPr>
              <w:t>2028</w:t>
            </w:r>
          </w:p>
        </w:tc>
        <w:tc>
          <w:tcPr>
            <w:tcW w:w="763" w:type="pct"/>
            <w:vAlign w:val="center"/>
          </w:tcPr>
          <w:p w14:paraId="0FD53958" w14:textId="77777777" w:rsidR="00563DA8" w:rsidRPr="00996241" w:rsidRDefault="00563DA8" w:rsidP="00E13F9A">
            <w:pPr>
              <w:spacing w:before="20" w:after="20"/>
              <w:jc w:val="center"/>
              <w:rPr>
                <w:b/>
                <w:sz w:val="20"/>
              </w:rPr>
            </w:pPr>
            <w:r>
              <w:rPr>
                <w:b/>
                <w:sz w:val="20"/>
              </w:rPr>
              <w:t>Total</w:t>
            </w:r>
          </w:p>
        </w:tc>
      </w:tr>
      <w:tr w:rsidR="005D56BB" w:rsidRPr="00EB31E3" w14:paraId="6B8AB63E" w14:textId="77777777" w:rsidTr="005635ED">
        <w:trPr>
          <w:trHeight w:val="258"/>
          <w:jc w:val="center"/>
        </w:trPr>
        <w:tc>
          <w:tcPr>
            <w:tcW w:w="626" w:type="pct"/>
            <w:vMerge w:val="restart"/>
            <w:vAlign w:val="center"/>
          </w:tcPr>
          <w:p w14:paraId="2C097B56" w14:textId="327665F5" w:rsidR="005D56BB" w:rsidRPr="00996241" w:rsidRDefault="00697CB1" w:rsidP="005D56BB">
            <w:pPr>
              <w:spacing w:before="20" w:after="20"/>
              <w:jc w:val="center"/>
              <w:rPr>
                <w:sz w:val="20"/>
              </w:rPr>
            </w:pPr>
            <w:r>
              <w:rPr>
                <w:color w:val="000000" w:themeColor="text1"/>
                <w:sz w:val="20"/>
              </w:rPr>
              <w:t>PNUMA</w:t>
            </w:r>
          </w:p>
        </w:tc>
        <w:tc>
          <w:tcPr>
            <w:tcW w:w="1497" w:type="pct"/>
            <w:vAlign w:val="center"/>
          </w:tcPr>
          <w:p w14:paraId="02CD6738" w14:textId="77777777" w:rsidR="005D56BB" w:rsidRPr="002D2ED7" w:rsidRDefault="005D56BB" w:rsidP="005D56BB">
            <w:pPr>
              <w:spacing w:before="20" w:after="20"/>
              <w:jc w:val="left"/>
              <w:rPr>
                <w:sz w:val="20"/>
                <w:lang w:val="es-ES"/>
              </w:rPr>
            </w:pPr>
            <w:r>
              <w:rPr>
                <w:sz w:val="20"/>
                <w:lang w:val="es-ES"/>
              </w:rPr>
              <w:t>Eliminación de SAO (tons. PAO)</w:t>
            </w:r>
          </w:p>
        </w:tc>
        <w:tc>
          <w:tcPr>
            <w:tcW w:w="705" w:type="pct"/>
            <w:vAlign w:val="center"/>
          </w:tcPr>
          <w:p w14:paraId="1CFD72B6" w14:textId="7B9180DE" w:rsidR="005D56BB" w:rsidRPr="00996241" w:rsidRDefault="00A32E2B" w:rsidP="005D56BB">
            <w:pPr>
              <w:spacing w:before="20" w:after="20"/>
              <w:jc w:val="right"/>
              <w:rPr>
                <w:sz w:val="20"/>
              </w:rPr>
            </w:pPr>
            <w:r>
              <w:rPr>
                <w:sz w:val="20"/>
              </w:rPr>
              <w:t>0,07</w:t>
            </w:r>
          </w:p>
        </w:tc>
        <w:tc>
          <w:tcPr>
            <w:tcW w:w="705" w:type="pct"/>
            <w:vAlign w:val="center"/>
          </w:tcPr>
          <w:p w14:paraId="42267FC5" w14:textId="3A4A38EE" w:rsidR="005D56BB" w:rsidRPr="00996241" w:rsidRDefault="00A32E2B" w:rsidP="005D56BB">
            <w:pPr>
              <w:spacing w:before="20" w:after="20"/>
              <w:jc w:val="right"/>
              <w:rPr>
                <w:sz w:val="20"/>
              </w:rPr>
            </w:pPr>
            <w:r>
              <w:rPr>
                <w:sz w:val="20"/>
              </w:rPr>
              <w:t>0,00</w:t>
            </w:r>
          </w:p>
        </w:tc>
        <w:tc>
          <w:tcPr>
            <w:tcW w:w="705" w:type="pct"/>
            <w:vAlign w:val="center"/>
          </w:tcPr>
          <w:p w14:paraId="5A007644" w14:textId="70467ACF" w:rsidR="005D56BB" w:rsidRPr="00996241" w:rsidRDefault="00B51EEA" w:rsidP="005D56BB">
            <w:pPr>
              <w:spacing w:before="20" w:after="20"/>
              <w:jc w:val="right"/>
              <w:rPr>
                <w:sz w:val="20"/>
              </w:rPr>
            </w:pPr>
            <w:r>
              <w:rPr>
                <w:sz w:val="20"/>
              </w:rPr>
              <w:t>0,00</w:t>
            </w:r>
          </w:p>
        </w:tc>
        <w:tc>
          <w:tcPr>
            <w:tcW w:w="763" w:type="pct"/>
            <w:vAlign w:val="center"/>
          </w:tcPr>
          <w:p w14:paraId="5EC5F667" w14:textId="0F365542" w:rsidR="005D56BB" w:rsidRPr="006B525D" w:rsidRDefault="00B51EEA" w:rsidP="005D56BB">
            <w:pPr>
              <w:spacing w:before="20" w:after="20"/>
              <w:jc w:val="right"/>
              <w:rPr>
                <w:sz w:val="20"/>
              </w:rPr>
            </w:pPr>
            <w:r>
              <w:rPr>
                <w:sz w:val="20"/>
              </w:rPr>
              <w:t>0,07</w:t>
            </w:r>
          </w:p>
        </w:tc>
      </w:tr>
      <w:tr w:rsidR="005D56BB" w:rsidRPr="00EB31E3" w14:paraId="5DF8E240" w14:textId="77777777" w:rsidTr="005635ED">
        <w:trPr>
          <w:trHeight w:val="258"/>
          <w:jc w:val="center"/>
        </w:trPr>
        <w:tc>
          <w:tcPr>
            <w:tcW w:w="626" w:type="pct"/>
            <w:vMerge/>
            <w:vAlign w:val="center"/>
          </w:tcPr>
          <w:p w14:paraId="437E46C9" w14:textId="77777777" w:rsidR="005D56BB" w:rsidRPr="00996241" w:rsidRDefault="005D56BB" w:rsidP="005D56BB">
            <w:pPr>
              <w:spacing w:before="20" w:after="20"/>
              <w:jc w:val="center"/>
              <w:rPr>
                <w:sz w:val="20"/>
              </w:rPr>
            </w:pPr>
          </w:p>
        </w:tc>
        <w:tc>
          <w:tcPr>
            <w:tcW w:w="1497" w:type="pct"/>
            <w:vAlign w:val="center"/>
          </w:tcPr>
          <w:p w14:paraId="5E6E53FA" w14:textId="77777777" w:rsidR="005D56BB" w:rsidRPr="00996241" w:rsidRDefault="005D56BB" w:rsidP="005D56BB">
            <w:pPr>
              <w:spacing w:before="20" w:after="20"/>
              <w:jc w:val="left"/>
              <w:rPr>
                <w:sz w:val="20"/>
              </w:rPr>
            </w:pPr>
            <w:r>
              <w:rPr>
                <w:sz w:val="20"/>
              </w:rPr>
              <w:t>Financiamiento (USD)</w:t>
            </w:r>
          </w:p>
        </w:tc>
        <w:tc>
          <w:tcPr>
            <w:tcW w:w="705" w:type="pct"/>
            <w:vAlign w:val="center"/>
          </w:tcPr>
          <w:p w14:paraId="4998782F" w14:textId="1925823A" w:rsidR="005D56BB" w:rsidRPr="00996241" w:rsidRDefault="00A32E2B" w:rsidP="005D56BB">
            <w:pPr>
              <w:spacing w:before="20" w:after="20"/>
              <w:jc w:val="right"/>
              <w:rPr>
                <w:sz w:val="20"/>
              </w:rPr>
            </w:pPr>
            <w:r>
              <w:rPr>
                <w:sz w:val="20"/>
              </w:rPr>
              <w:t>*134.677</w:t>
            </w:r>
          </w:p>
        </w:tc>
        <w:tc>
          <w:tcPr>
            <w:tcW w:w="705" w:type="pct"/>
            <w:vAlign w:val="center"/>
          </w:tcPr>
          <w:p w14:paraId="79477F28" w14:textId="4C76C2E6" w:rsidR="005D56BB" w:rsidRPr="00996241" w:rsidRDefault="00A32E2B" w:rsidP="005D56BB">
            <w:pPr>
              <w:spacing w:before="20" w:after="20"/>
              <w:jc w:val="right"/>
              <w:rPr>
                <w:sz w:val="20"/>
              </w:rPr>
            </w:pPr>
            <w:r>
              <w:rPr>
                <w:sz w:val="20"/>
              </w:rPr>
              <w:t>0</w:t>
            </w:r>
          </w:p>
        </w:tc>
        <w:tc>
          <w:tcPr>
            <w:tcW w:w="705" w:type="pct"/>
            <w:vAlign w:val="center"/>
          </w:tcPr>
          <w:p w14:paraId="46E62ACD" w14:textId="5AE2409F" w:rsidR="005D56BB" w:rsidRPr="00996241" w:rsidRDefault="00B51EEA" w:rsidP="005D56BB">
            <w:pPr>
              <w:spacing w:before="20" w:after="20"/>
              <w:jc w:val="right"/>
              <w:rPr>
                <w:sz w:val="20"/>
              </w:rPr>
            </w:pPr>
            <w:r>
              <w:rPr>
                <w:sz w:val="20"/>
              </w:rPr>
              <w:t>0</w:t>
            </w:r>
          </w:p>
        </w:tc>
        <w:tc>
          <w:tcPr>
            <w:tcW w:w="763" w:type="pct"/>
            <w:vAlign w:val="center"/>
          </w:tcPr>
          <w:p w14:paraId="0704CB53" w14:textId="775BAE7A" w:rsidR="005D56BB" w:rsidRPr="00996241" w:rsidRDefault="00B51EEA" w:rsidP="005D56BB">
            <w:pPr>
              <w:spacing w:before="20" w:after="20"/>
              <w:jc w:val="right"/>
              <w:rPr>
                <w:sz w:val="20"/>
              </w:rPr>
            </w:pPr>
            <w:r>
              <w:rPr>
                <w:sz w:val="20"/>
              </w:rPr>
              <w:t>134.677</w:t>
            </w:r>
          </w:p>
        </w:tc>
      </w:tr>
      <w:tr w:rsidR="00950076" w:rsidRPr="00EB31E3" w14:paraId="02C86334" w14:textId="77777777" w:rsidTr="005635ED">
        <w:trPr>
          <w:trHeight w:val="258"/>
          <w:jc w:val="center"/>
        </w:trPr>
        <w:tc>
          <w:tcPr>
            <w:tcW w:w="626" w:type="pct"/>
            <w:vMerge w:val="restart"/>
            <w:vAlign w:val="center"/>
          </w:tcPr>
          <w:p w14:paraId="300CACCF" w14:textId="3E5C5A01" w:rsidR="00950076" w:rsidRPr="009931F4" w:rsidRDefault="00950076" w:rsidP="00950076">
            <w:pPr>
              <w:spacing w:before="20" w:after="20"/>
              <w:jc w:val="center"/>
              <w:rPr>
                <w:sz w:val="20"/>
              </w:rPr>
            </w:pPr>
            <w:r>
              <w:rPr>
                <w:color w:val="000000" w:themeColor="text1"/>
                <w:sz w:val="20"/>
              </w:rPr>
              <w:t>ONUDI</w:t>
            </w:r>
          </w:p>
        </w:tc>
        <w:tc>
          <w:tcPr>
            <w:tcW w:w="1497" w:type="pct"/>
            <w:vAlign w:val="center"/>
          </w:tcPr>
          <w:p w14:paraId="714E48D4" w14:textId="77777777" w:rsidR="00950076" w:rsidRPr="002D2ED7" w:rsidRDefault="00950076" w:rsidP="00950076">
            <w:pPr>
              <w:spacing w:before="20" w:after="20"/>
              <w:jc w:val="left"/>
              <w:rPr>
                <w:sz w:val="20"/>
                <w:lang w:val="es-ES"/>
              </w:rPr>
            </w:pPr>
            <w:r>
              <w:rPr>
                <w:sz w:val="20"/>
                <w:lang w:val="es-ES"/>
              </w:rPr>
              <w:t>Eliminación de SAO (tons. PAO)</w:t>
            </w:r>
          </w:p>
        </w:tc>
        <w:tc>
          <w:tcPr>
            <w:tcW w:w="705" w:type="pct"/>
            <w:vAlign w:val="center"/>
          </w:tcPr>
          <w:p w14:paraId="634CDFBB" w14:textId="7AF5066D" w:rsidR="00950076" w:rsidRPr="00996241" w:rsidRDefault="00950076" w:rsidP="00950076">
            <w:pPr>
              <w:spacing w:before="20" w:after="20"/>
              <w:jc w:val="right"/>
              <w:rPr>
                <w:sz w:val="20"/>
              </w:rPr>
            </w:pPr>
            <w:r>
              <w:rPr>
                <w:sz w:val="20"/>
              </w:rPr>
              <w:t>0,10</w:t>
            </w:r>
          </w:p>
        </w:tc>
        <w:tc>
          <w:tcPr>
            <w:tcW w:w="705" w:type="pct"/>
            <w:vAlign w:val="center"/>
          </w:tcPr>
          <w:p w14:paraId="172FE65F" w14:textId="255A0E2A" w:rsidR="00950076" w:rsidRPr="00996241" w:rsidRDefault="00950076" w:rsidP="00950076">
            <w:pPr>
              <w:spacing w:before="20" w:after="20"/>
              <w:jc w:val="right"/>
              <w:rPr>
                <w:sz w:val="20"/>
              </w:rPr>
            </w:pPr>
            <w:r>
              <w:rPr>
                <w:sz w:val="20"/>
              </w:rPr>
              <w:t>0,00</w:t>
            </w:r>
          </w:p>
        </w:tc>
        <w:tc>
          <w:tcPr>
            <w:tcW w:w="705" w:type="pct"/>
            <w:vAlign w:val="center"/>
          </w:tcPr>
          <w:p w14:paraId="23A59165" w14:textId="0ADE1DA7" w:rsidR="00950076" w:rsidRPr="00996241" w:rsidRDefault="00950076" w:rsidP="00950076">
            <w:pPr>
              <w:spacing w:before="20" w:after="20"/>
              <w:jc w:val="right"/>
              <w:rPr>
                <w:sz w:val="20"/>
              </w:rPr>
            </w:pPr>
            <w:r>
              <w:rPr>
                <w:sz w:val="20"/>
              </w:rPr>
              <w:t>0,00</w:t>
            </w:r>
          </w:p>
        </w:tc>
        <w:tc>
          <w:tcPr>
            <w:tcW w:w="763" w:type="pct"/>
            <w:vAlign w:val="center"/>
          </w:tcPr>
          <w:p w14:paraId="21C7A317" w14:textId="7C8F273C" w:rsidR="00950076" w:rsidRPr="00996241" w:rsidRDefault="00950076" w:rsidP="00950076">
            <w:pPr>
              <w:spacing w:before="20" w:after="20"/>
              <w:jc w:val="right"/>
              <w:rPr>
                <w:sz w:val="20"/>
              </w:rPr>
            </w:pPr>
            <w:r>
              <w:rPr>
                <w:sz w:val="20"/>
              </w:rPr>
              <w:t>0,10</w:t>
            </w:r>
          </w:p>
        </w:tc>
      </w:tr>
      <w:tr w:rsidR="00950076" w:rsidRPr="00EB31E3" w14:paraId="4F9C36A0" w14:textId="77777777" w:rsidTr="005635ED">
        <w:trPr>
          <w:trHeight w:val="258"/>
          <w:jc w:val="center"/>
        </w:trPr>
        <w:tc>
          <w:tcPr>
            <w:tcW w:w="626" w:type="pct"/>
            <w:vMerge/>
            <w:vAlign w:val="center"/>
          </w:tcPr>
          <w:p w14:paraId="5C927E0E" w14:textId="77777777" w:rsidR="00950076" w:rsidRPr="00996241" w:rsidRDefault="00950076" w:rsidP="00950076">
            <w:pPr>
              <w:spacing w:before="20" w:after="20"/>
              <w:jc w:val="left"/>
              <w:rPr>
                <w:sz w:val="20"/>
              </w:rPr>
            </w:pPr>
          </w:p>
        </w:tc>
        <w:tc>
          <w:tcPr>
            <w:tcW w:w="1497" w:type="pct"/>
            <w:vAlign w:val="center"/>
          </w:tcPr>
          <w:p w14:paraId="7AFAD9D1" w14:textId="77777777" w:rsidR="00950076" w:rsidRPr="00996241" w:rsidRDefault="00950076" w:rsidP="00950076">
            <w:pPr>
              <w:spacing w:before="20" w:after="20"/>
              <w:jc w:val="left"/>
              <w:rPr>
                <w:sz w:val="20"/>
              </w:rPr>
            </w:pPr>
            <w:r>
              <w:rPr>
                <w:sz w:val="20"/>
              </w:rPr>
              <w:t>Financiamiento (USD)</w:t>
            </w:r>
          </w:p>
        </w:tc>
        <w:tc>
          <w:tcPr>
            <w:tcW w:w="705" w:type="pct"/>
            <w:vAlign w:val="center"/>
          </w:tcPr>
          <w:p w14:paraId="04832C01" w14:textId="31B77DC6" w:rsidR="00950076" w:rsidRPr="00996241" w:rsidRDefault="00950076" w:rsidP="00950076">
            <w:pPr>
              <w:spacing w:before="20" w:after="20"/>
              <w:jc w:val="right"/>
              <w:rPr>
                <w:sz w:val="20"/>
              </w:rPr>
            </w:pPr>
            <w:r>
              <w:rPr>
                <w:sz w:val="20"/>
              </w:rPr>
              <w:t>30.000</w:t>
            </w:r>
          </w:p>
        </w:tc>
        <w:tc>
          <w:tcPr>
            <w:tcW w:w="705" w:type="pct"/>
            <w:vAlign w:val="center"/>
          </w:tcPr>
          <w:p w14:paraId="373BC641" w14:textId="06245295" w:rsidR="00950076" w:rsidRPr="00996241" w:rsidRDefault="00950076" w:rsidP="00950076">
            <w:pPr>
              <w:spacing w:before="20" w:after="20"/>
              <w:jc w:val="right"/>
              <w:rPr>
                <w:sz w:val="20"/>
              </w:rPr>
            </w:pPr>
            <w:r>
              <w:rPr>
                <w:sz w:val="20"/>
              </w:rPr>
              <w:t>0</w:t>
            </w:r>
          </w:p>
        </w:tc>
        <w:tc>
          <w:tcPr>
            <w:tcW w:w="705" w:type="pct"/>
            <w:vAlign w:val="center"/>
          </w:tcPr>
          <w:p w14:paraId="0B3185AE" w14:textId="3A80D979" w:rsidR="00950076" w:rsidRPr="00996241" w:rsidRDefault="00950076" w:rsidP="00950076">
            <w:pPr>
              <w:spacing w:before="20" w:after="20"/>
              <w:jc w:val="right"/>
              <w:rPr>
                <w:sz w:val="20"/>
              </w:rPr>
            </w:pPr>
            <w:r>
              <w:rPr>
                <w:sz w:val="20"/>
              </w:rPr>
              <w:t>0</w:t>
            </w:r>
          </w:p>
        </w:tc>
        <w:tc>
          <w:tcPr>
            <w:tcW w:w="763" w:type="pct"/>
            <w:vAlign w:val="center"/>
          </w:tcPr>
          <w:p w14:paraId="05E2246E" w14:textId="770742EB" w:rsidR="00950076" w:rsidRPr="00996241" w:rsidRDefault="00950076" w:rsidP="00950076">
            <w:pPr>
              <w:spacing w:before="20" w:after="20"/>
              <w:jc w:val="right"/>
              <w:rPr>
                <w:sz w:val="20"/>
              </w:rPr>
            </w:pPr>
            <w:r>
              <w:rPr>
                <w:sz w:val="20"/>
              </w:rPr>
              <w:t>30.000</w:t>
            </w:r>
          </w:p>
        </w:tc>
      </w:tr>
    </w:tbl>
    <w:p w14:paraId="36E8677A" w14:textId="6051C295" w:rsidR="00563DA8" w:rsidRPr="002D2ED7" w:rsidRDefault="00563DA8" w:rsidP="001161CD">
      <w:pPr>
        <w:spacing w:after="120"/>
        <w:ind w:left="-284" w:right="-279"/>
        <w:rPr>
          <w:sz w:val="18"/>
          <w:szCs w:val="18"/>
          <w:lang w:val="es-ES"/>
        </w:rPr>
      </w:pPr>
      <w:r>
        <w:rPr>
          <w:sz w:val="18"/>
          <w:szCs w:val="18"/>
          <w:lang w:val="es-ES"/>
        </w:rPr>
        <w:t>*Incluidos USD 78.948 para el PNUMA destinados a actividades adicionales destinadas a mantener la eficiencia energética, conforme a lo dispuesto en la decisión 89/6.</w:t>
      </w:r>
    </w:p>
    <w:tbl>
      <w:tblPr>
        <w:tblStyle w:val="TableGrid"/>
        <w:tblW w:w="5360" w:type="pct"/>
        <w:jc w:val="center"/>
        <w:tblLayout w:type="fixed"/>
        <w:tblLook w:val="04A0" w:firstRow="1" w:lastRow="0" w:firstColumn="1" w:lastColumn="0" w:noHBand="0" w:noVBand="1"/>
      </w:tblPr>
      <w:tblGrid>
        <w:gridCol w:w="1579"/>
        <w:gridCol w:w="1028"/>
        <w:gridCol w:w="1810"/>
        <w:gridCol w:w="938"/>
        <w:gridCol w:w="938"/>
        <w:gridCol w:w="938"/>
        <w:gridCol w:w="938"/>
        <w:gridCol w:w="938"/>
        <w:gridCol w:w="916"/>
      </w:tblGrid>
      <w:tr w:rsidR="009A77BF" w:rsidRPr="009F3322" w14:paraId="4B770CF0" w14:textId="77777777" w:rsidTr="005635ED">
        <w:trPr>
          <w:trHeight w:val="260"/>
          <w:jc w:val="center"/>
        </w:trPr>
        <w:tc>
          <w:tcPr>
            <w:tcW w:w="2202" w:type="pct"/>
            <w:gridSpan w:val="3"/>
            <w:vAlign w:val="center"/>
          </w:tcPr>
          <w:p w14:paraId="0CD67483" w14:textId="1C067986" w:rsidR="009A77BF" w:rsidRPr="002D2ED7" w:rsidRDefault="009A77BF" w:rsidP="00330395">
            <w:pPr>
              <w:spacing w:before="20" w:after="20"/>
              <w:jc w:val="left"/>
              <w:rPr>
                <w:b/>
                <w:bCs/>
                <w:sz w:val="20"/>
                <w:szCs w:val="20"/>
                <w:lang w:val="es-ES"/>
              </w:rPr>
            </w:pPr>
            <w:r>
              <w:rPr>
                <w:b/>
                <w:sz w:val="20"/>
                <w:szCs w:val="20"/>
                <w:lang w:val="es-ES"/>
              </w:rPr>
              <w:t xml:space="preserve">DATOS DE PROYECTOS SEGÚN LO ACORDADO </w:t>
            </w:r>
          </w:p>
        </w:tc>
        <w:tc>
          <w:tcPr>
            <w:tcW w:w="468" w:type="pct"/>
            <w:vAlign w:val="center"/>
          </w:tcPr>
          <w:p w14:paraId="1A407A1E" w14:textId="3DE11C3F" w:rsidR="009A77BF" w:rsidRPr="009F3322" w:rsidRDefault="001E5EC1" w:rsidP="001161CD">
            <w:pPr>
              <w:spacing w:before="20" w:after="20"/>
              <w:jc w:val="center"/>
              <w:rPr>
                <w:b/>
                <w:sz w:val="20"/>
                <w:szCs w:val="20"/>
              </w:rPr>
            </w:pPr>
            <w:r>
              <w:rPr>
                <w:b/>
                <w:sz w:val="20"/>
                <w:szCs w:val="20"/>
              </w:rPr>
              <w:t>2026*</w:t>
            </w:r>
          </w:p>
        </w:tc>
        <w:tc>
          <w:tcPr>
            <w:tcW w:w="468" w:type="pct"/>
            <w:vAlign w:val="center"/>
          </w:tcPr>
          <w:p w14:paraId="3699910A" w14:textId="77777777" w:rsidR="009A77BF" w:rsidRPr="009F3322" w:rsidRDefault="009A77BF" w:rsidP="001161CD">
            <w:pPr>
              <w:spacing w:before="20" w:after="20"/>
              <w:jc w:val="center"/>
              <w:rPr>
                <w:b/>
                <w:sz w:val="20"/>
                <w:szCs w:val="20"/>
              </w:rPr>
            </w:pPr>
            <w:r>
              <w:rPr>
                <w:b/>
                <w:sz w:val="20"/>
                <w:szCs w:val="20"/>
              </w:rPr>
              <w:t>2027</w:t>
            </w:r>
          </w:p>
        </w:tc>
        <w:tc>
          <w:tcPr>
            <w:tcW w:w="468" w:type="pct"/>
            <w:vAlign w:val="center"/>
          </w:tcPr>
          <w:p w14:paraId="3C5DF2B1" w14:textId="77777777" w:rsidR="009A77BF" w:rsidRPr="009F3322" w:rsidRDefault="009A77BF" w:rsidP="001161CD">
            <w:pPr>
              <w:spacing w:before="20" w:after="20"/>
              <w:jc w:val="center"/>
              <w:rPr>
                <w:b/>
                <w:sz w:val="20"/>
                <w:szCs w:val="20"/>
              </w:rPr>
            </w:pPr>
            <w:r>
              <w:rPr>
                <w:b/>
                <w:sz w:val="20"/>
                <w:szCs w:val="20"/>
              </w:rPr>
              <w:t>2028</w:t>
            </w:r>
          </w:p>
        </w:tc>
        <w:tc>
          <w:tcPr>
            <w:tcW w:w="468" w:type="pct"/>
            <w:vAlign w:val="center"/>
          </w:tcPr>
          <w:p w14:paraId="7B3443C5" w14:textId="77777777" w:rsidR="009A77BF" w:rsidRPr="009F3322" w:rsidRDefault="009A77BF" w:rsidP="001161CD">
            <w:pPr>
              <w:spacing w:before="20" w:after="20"/>
              <w:jc w:val="center"/>
              <w:rPr>
                <w:b/>
                <w:sz w:val="20"/>
                <w:szCs w:val="20"/>
              </w:rPr>
            </w:pPr>
            <w:r>
              <w:rPr>
                <w:b/>
                <w:sz w:val="20"/>
                <w:szCs w:val="20"/>
              </w:rPr>
              <w:t>2029</w:t>
            </w:r>
          </w:p>
        </w:tc>
        <w:tc>
          <w:tcPr>
            <w:tcW w:w="468" w:type="pct"/>
            <w:vAlign w:val="center"/>
          </w:tcPr>
          <w:p w14:paraId="1F18C3BF" w14:textId="77777777" w:rsidR="009A77BF" w:rsidRPr="009F3322" w:rsidRDefault="009A77BF" w:rsidP="001161CD">
            <w:pPr>
              <w:spacing w:before="20" w:after="20"/>
              <w:jc w:val="center"/>
              <w:rPr>
                <w:b/>
                <w:sz w:val="20"/>
                <w:szCs w:val="20"/>
              </w:rPr>
            </w:pPr>
            <w:r>
              <w:rPr>
                <w:b/>
                <w:sz w:val="20"/>
                <w:szCs w:val="20"/>
              </w:rPr>
              <w:t>2030</w:t>
            </w:r>
          </w:p>
        </w:tc>
        <w:tc>
          <w:tcPr>
            <w:tcW w:w="458" w:type="pct"/>
            <w:vAlign w:val="center"/>
          </w:tcPr>
          <w:p w14:paraId="141A2E83" w14:textId="77777777" w:rsidR="009A77BF" w:rsidRPr="009F3322" w:rsidRDefault="009A77BF" w:rsidP="001161CD">
            <w:pPr>
              <w:spacing w:before="20" w:after="20"/>
              <w:jc w:val="center"/>
              <w:rPr>
                <w:b/>
                <w:sz w:val="20"/>
                <w:szCs w:val="20"/>
              </w:rPr>
            </w:pPr>
            <w:r>
              <w:rPr>
                <w:b/>
                <w:sz w:val="20"/>
                <w:szCs w:val="20"/>
              </w:rPr>
              <w:t>Total</w:t>
            </w:r>
          </w:p>
        </w:tc>
      </w:tr>
      <w:tr w:rsidR="00FA0E78" w:rsidRPr="009F3322" w14:paraId="45C2CBDD" w14:textId="77777777" w:rsidTr="005635ED">
        <w:trPr>
          <w:trHeight w:val="67"/>
          <w:jc w:val="center"/>
        </w:trPr>
        <w:tc>
          <w:tcPr>
            <w:tcW w:w="787" w:type="pct"/>
            <w:vMerge w:val="restart"/>
          </w:tcPr>
          <w:p w14:paraId="3138399E" w14:textId="264D00A9" w:rsidR="00FA0E78" w:rsidRPr="009F3322" w:rsidRDefault="00FA0E78" w:rsidP="00FA0E78">
            <w:pPr>
              <w:tabs>
                <w:tab w:val="left" w:pos="8280"/>
              </w:tabs>
              <w:spacing w:before="20" w:after="20"/>
              <w:ind w:right="-8"/>
              <w:jc w:val="left"/>
              <w:rPr>
                <w:sz w:val="20"/>
                <w:szCs w:val="20"/>
              </w:rPr>
            </w:pPr>
            <w:r>
              <w:rPr>
                <w:sz w:val="20"/>
                <w:szCs w:val="20"/>
              </w:rPr>
              <w:t>Consumo (tons. PAO)</w:t>
            </w:r>
          </w:p>
        </w:tc>
        <w:tc>
          <w:tcPr>
            <w:tcW w:w="1416" w:type="pct"/>
            <w:gridSpan w:val="2"/>
            <w:vAlign w:val="center"/>
          </w:tcPr>
          <w:p w14:paraId="5507217D" w14:textId="77777777" w:rsidR="00FA0E78" w:rsidRPr="002D2ED7" w:rsidRDefault="00FA0E78" w:rsidP="00FA0E78">
            <w:pPr>
              <w:tabs>
                <w:tab w:val="left" w:pos="8280"/>
              </w:tabs>
              <w:spacing w:before="20" w:after="20"/>
              <w:ind w:right="-8"/>
              <w:jc w:val="left"/>
              <w:rPr>
                <w:sz w:val="20"/>
                <w:szCs w:val="20"/>
                <w:lang w:val="es-ES"/>
              </w:rPr>
            </w:pPr>
            <w:r>
              <w:rPr>
                <w:sz w:val="20"/>
                <w:szCs w:val="20"/>
                <w:lang w:val="es-ES"/>
              </w:rPr>
              <w:t>Límites del Protocolo de Montreal</w:t>
            </w:r>
          </w:p>
        </w:tc>
        <w:tc>
          <w:tcPr>
            <w:tcW w:w="468" w:type="pct"/>
            <w:vAlign w:val="center"/>
          </w:tcPr>
          <w:p w14:paraId="0D9C9001" w14:textId="48EA0EB1" w:rsidR="00FA0E78" w:rsidRPr="009F3322" w:rsidRDefault="00FA0E78" w:rsidP="00FA0E78">
            <w:pPr>
              <w:tabs>
                <w:tab w:val="left" w:pos="8280"/>
              </w:tabs>
              <w:spacing w:before="20" w:after="20"/>
              <w:jc w:val="right"/>
              <w:rPr>
                <w:sz w:val="20"/>
                <w:szCs w:val="20"/>
              </w:rPr>
            </w:pPr>
            <w:r>
              <w:rPr>
                <w:color w:val="000000"/>
                <w:sz w:val="20"/>
                <w:szCs w:val="20"/>
              </w:rPr>
              <w:t>0,16</w:t>
            </w:r>
          </w:p>
        </w:tc>
        <w:tc>
          <w:tcPr>
            <w:tcW w:w="468" w:type="pct"/>
            <w:vAlign w:val="center"/>
          </w:tcPr>
          <w:p w14:paraId="4A4D36CD" w14:textId="56427AEF" w:rsidR="00FA0E78" w:rsidRPr="009F3322" w:rsidRDefault="00FA0E78" w:rsidP="00FA0E78">
            <w:pPr>
              <w:tabs>
                <w:tab w:val="left" w:pos="8280"/>
              </w:tabs>
              <w:spacing w:before="20" w:after="20"/>
              <w:jc w:val="right"/>
              <w:rPr>
                <w:sz w:val="20"/>
                <w:szCs w:val="20"/>
              </w:rPr>
            </w:pPr>
            <w:r>
              <w:rPr>
                <w:color w:val="000000"/>
                <w:sz w:val="20"/>
                <w:szCs w:val="20"/>
              </w:rPr>
              <w:t>0,16</w:t>
            </w:r>
          </w:p>
        </w:tc>
        <w:tc>
          <w:tcPr>
            <w:tcW w:w="468" w:type="pct"/>
            <w:vAlign w:val="center"/>
          </w:tcPr>
          <w:p w14:paraId="0F3C3868" w14:textId="4F730C79" w:rsidR="00FA0E78" w:rsidRPr="009F3322" w:rsidRDefault="00FA0E78" w:rsidP="00FA0E78">
            <w:pPr>
              <w:tabs>
                <w:tab w:val="left" w:pos="8280"/>
              </w:tabs>
              <w:spacing w:before="20" w:after="20"/>
              <w:jc w:val="right"/>
              <w:rPr>
                <w:sz w:val="20"/>
                <w:szCs w:val="20"/>
              </w:rPr>
            </w:pPr>
            <w:r>
              <w:rPr>
                <w:color w:val="000000"/>
                <w:sz w:val="20"/>
                <w:szCs w:val="20"/>
              </w:rPr>
              <w:t>0,16</w:t>
            </w:r>
          </w:p>
        </w:tc>
        <w:tc>
          <w:tcPr>
            <w:tcW w:w="468" w:type="pct"/>
            <w:vAlign w:val="center"/>
          </w:tcPr>
          <w:p w14:paraId="144CB0C5" w14:textId="0BB25C25" w:rsidR="00FA0E78" w:rsidRPr="009F3322" w:rsidRDefault="00FA0E78" w:rsidP="00FA0E78">
            <w:pPr>
              <w:tabs>
                <w:tab w:val="left" w:pos="8280"/>
              </w:tabs>
              <w:spacing w:before="20" w:after="20"/>
              <w:jc w:val="right"/>
              <w:rPr>
                <w:sz w:val="20"/>
                <w:szCs w:val="20"/>
              </w:rPr>
            </w:pPr>
            <w:r>
              <w:rPr>
                <w:color w:val="000000"/>
                <w:sz w:val="20"/>
                <w:szCs w:val="20"/>
              </w:rPr>
              <w:t>0,16</w:t>
            </w:r>
          </w:p>
        </w:tc>
        <w:tc>
          <w:tcPr>
            <w:tcW w:w="468" w:type="pct"/>
            <w:vAlign w:val="center"/>
          </w:tcPr>
          <w:p w14:paraId="5D2637E0" w14:textId="70E98451" w:rsidR="00FA0E78" w:rsidRPr="009F3322" w:rsidRDefault="00FA0E78" w:rsidP="00FA0E78">
            <w:pPr>
              <w:tabs>
                <w:tab w:val="left" w:pos="8280"/>
              </w:tabs>
              <w:spacing w:before="20" w:after="20"/>
              <w:jc w:val="right"/>
              <w:rPr>
                <w:sz w:val="20"/>
                <w:szCs w:val="20"/>
                <w:highlight w:val="cyan"/>
              </w:rPr>
            </w:pPr>
            <w:r>
              <w:rPr>
                <w:color w:val="000000"/>
                <w:sz w:val="20"/>
                <w:szCs w:val="20"/>
              </w:rPr>
              <w:t>0,00</w:t>
            </w:r>
          </w:p>
        </w:tc>
        <w:tc>
          <w:tcPr>
            <w:tcW w:w="458" w:type="pct"/>
            <w:vAlign w:val="center"/>
          </w:tcPr>
          <w:p w14:paraId="1E3A8310" w14:textId="77777777" w:rsidR="00FA0E78" w:rsidRPr="009F3322" w:rsidRDefault="00FA0E78" w:rsidP="00FA0E78">
            <w:pPr>
              <w:tabs>
                <w:tab w:val="left" w:pos="8280"/>
              </w:tabs>
              <w:spacing w:before="20" w:after="20"/>
              <w:jc w:val="right"/>
              <w:rPr>
                <w:sz w:val="20"/>
                <w:szCs w:val="20"/>
              </w:rPr>
            </w:pPr>
            <w:r>
              <w:rPr>
                <w:sz w:val="20"/>
                <w:szCs w:val="20"/>
              </w:rPr>
              <w:t>n.a.</w:t>
            </w:r>
          </w:p>
        </w:tc>
      </w:tr>
      <w:tr w:rsidR="00FA0E78" w:rsidRPr="009F3322" w14:paraId="277E47C3" w14:textId="77777777" w:rsidTr="005635ED">
        <w:trPr>
          <w:trHeight w:val="190"/>
          <w:jc w:val="center"/>
        </w:trPr>
        <w:tc>
          <w:tcPr>
            <w:tcW w:w="787" w:type="pct"/>
            <w:vMerge/>
          </w:tcPr>
          <w:p w14:paraId="5D13A8F6" w14:textId="77777777" w:rsidR="00FA0E78" w:rsidRPr="009F3322" w:rsidRDefault="00FA0E78" w:rsidP="00FA0E78">
            <w:pPr>
              <w:tabs>
                <w:tab w:val="left" w:pos="8280"/>
              </w:tabs>
              <w:spacing w:before="20" w:after="20"/>
              <w:jc w:val="left"/>
              <w:rPr>
                <w:sz w:val="20"/>
                <w:szCs w:val="20"/>
              </w:rPr>
            </w:pPr>
          </w:p>
        </w:tc>
        <w:tc>
          <w:tcPr>
            <w:tcW w:w="1416" w:type="pct"/>
            <w:gridSpan w:val="2"/>
            <w:vAlign w:val="center"/>
          </w:tcPr>
          <w:p w14:paraId="5645D0BD" w14:textId="77777777" w:rsidR="00FA0E78" w:rsidRPr="009F3322" w:rsidRDefault="00FA0E78" w:rsidP="00FA0E78">
            <w:pPr>
              <w:tabs>
                <w:tab w:val="left" w:pos="8280"/>
              </w:tabs>
              <w:spacing w:before="20" w:after="20"/>
              <w:jc w:val="left"/>
              <w:rPr>
                <w:sz w:val="20"/>
                <w:szCs w:val="20"/>
              </w:rPr>
            </w:pPr>
            <w:r>
              <w:rPr>
                <w:sz w:val="20"/>
                <w:szCs w:val="20"/>
              </w:rPr>
              <w:t>Máximo admisible</w:t>
            </w:r>
          </w:p>
        </w:tc>
        <w:tc>
          <w:tcPr>
            <w:tcW w:w="468" w:type="pct"/>
            <w:vAlign w:val="center"/>
          </w:tcPr>
          <w:p w14:paraId="4F65C7AA" w14:textId="28D515B5" w:rsidR="00FA0E78" w:rsidRPr="009F3322" w:rsidRDefault="00FA0E78" w:rsidP="00FA0E78">
            <w:pPr>
              <w:tabs>
                <w:tab w:val="left" w:pos="8280"/>
              </w:tabs>
              <w:spacing w:before="20" w:after="20"/>
              <w:jc w:val="right"/>
              <w:rPr>
                <w:sz w:val="20"/>
                <w:szCs w:val="20"/>
              </w:rPr>
            </w:pPr>
            <w:r>
              <w:rPr>
                <w:color w:val="000000"/>
                <w:sz w:val="20"/>
                <w:szCs w:val="20"/>
              </w:rPr>
              <w:t>0,16</w:t>
            </w:r>
          </w:p>
        </w:tc>
        <w:tc>
          <w:tcPr>
            <w:tcW w:w="468" w:type="pct"/>
            <w:vAlign w:val="center"/>
          </w:tcPr>
          <w:p w14:paraId="0EA998E8" w14:textId="11AE7E59" w:rsidR="00FA0E78" w:rsidRPr="009F3322" w:rsidRDefault="00FA0E78" w:rsidP="00FA0E78">
            <w:pPr>
              <w:tabs>
                <w:tab w:val="left" w:pos="8280"/>
              </w:tabs>
              <w:spacing w:before="20" w:after="20"/>
              <w:jc w:val="right"/>
              <w:rPr>
                <w:sz w:val="20"/>
                <w:szCs w:val="20"/>
              </w:rPr>
            </w:pPr>
            <w:r>
              <w:rPr>
                <w:color w:val="000000"/>
                <w:sz w:val="20"/>
                <w:szCs w:val="20"/>
              </w:rPr>
              <w:t>0,16</w:t>
            </w:r>
          </w:p>
        </w:tc>
        <w:tc>
          <w:tcPr>
            <w:tcW w:w="468" w:type="pct"/>
            <w:vAlign w:val="center"/>
          </w:tcPr>
          <w:p w14:paraId="1B5BAF16" w14:textId="6E31DBA5" w:rsidR="00FA0E78" w:rsidRPr="009F3322" w:rsidRDefault="00FA0E78" w:rsidP="00FA0E78">
            <w:pPr>
              <w:tabs>
                <w:tab w:val="left" w:pos="8280"/>
              </w:tabs>
              <w:spacing w:before="20" w:after="20"/>
              <w:jc w:val="right"/>
              <w:rPr>
                <w:sz w:val="20"/>
                <w:szCs w:val="20"/>
              </w:rPr>
            </w:pPr>
            <w:r>
              <w:rPr>
                <w:color w:val="000000"/>
                <w:sz w:val="20"/>
                <w:szCs w:val="20"/>
              </w:rPr>
              <w:t>0,16</w:t>
            </w:r>
          </w:p>
        </w:tc>
        <w:tc>
          <w:tcPr>
            <w:tcW w:w="468" w:type="pct"/>
            <w:vAlign w:val="center"/>
          </w:tcPr>
          <w:p w14:paraId="27589850" w14:textId="09C43571" w:rsidR="00FA0E78" w:rsidRPr="009F3322" w:rsidRDefault="00FA0E78" w:rsidP="00FA0E78">
            <w:pPr>
              <w:tabs>
                <w:tab w:val="left" w:pos="8280"/>
              </w:tabs>
              <w:spacing w:before="20" w:after="20"/>
              <w:jc w:val="right"/>
              <w:rPr>
                <w:sz w:val="20"/>
                <w:szCs w:val="20"/>
              </w:rPr>
            </w:pPr>
            <w:r>
              <w:rPr>
                <w:color w:val="000000"/>
                <w:sz w:val="20"/>
                <w:szCs w:val="20"/>
              </w:rPr>
              <w:t>0,16</w:t>
            </w:r>
          </w:p>
        </w:tc>
        <w:tc>
          <w:tcPr>
            <w:tcW w:w="468" w:type="pct"/>
            <w:vAlign w:val="center"/>
          </w:tcPr>
          <w:p w14:paraId="0CD80D2E" w14:textId="7F38E6C1" w:rsidR="00FA0E78" w:rsidRPr="009F3322" w:rsidRDefault="00FA0E78" w:rsidP="00FA0E78">
            <w:pPr>
              <w:tabs>
                <w:tab w:val="left" w:pos="8280"/>
              </w:tabs>
              <w:spacing w:before="20" w:after="20"/>
              <w:jc w:val="right"/>
              <w:rPr>
                <w:sz w:val="20"/>
                <w:szCs w:val="20"/>
                <w:highlight w:val="cyan"/>
              </w:rPr>
            </w:pPr>
            <w:r>
              <w:rPr>
                <w:color w:val="000000"/>
                <w:sz w:val="20"/>
                <w:szCs w:val="20"/>
              </w:rPr>
              <w:t>0,00</w:t>
            </w:r>
          </w:p>
        </w:tc>
        <w:tc>
          <w:tcPr>
            <w:tcW w:w="458" w:type="pct"/>
            <w:vAlign w:val="center"/>
          </w:tcPr>
          <w:p w14:paraId="577E6890" w14:textId="77777777" w:rsidR="00FA0E78" w:rsidRPr="009F3322" w:rsidRDefault="00FA0E78" w:rsidP="00FA0E78">
            <w:pPr>
              <w:tabs>
                <w:tab w:val="left" w:pos="8280"/>
              </w:tabs>
              <w:spacing w:before="20" w:after="20"/>
              <w:jc w:val="right"/>
              <w:rPr>
                <w:sz w:val="20"/>
                <w:szCs w:val="20"/>
              </w:rPr>
            </w:pPr>
            <w:r>
              <w:rPr>
                <w:sz w:val="20"/>
                <w:szCs w:val="20"/>
              </w:rPr>
              <w:t>n.a.</w:t>
            </w:r>
          </w:p>
        </w:tc>
      </w:tr>
      <w:tr w:rsidR="004F3F9F" w:rsidRPr="009F3322" w14:paraId="61193A46" w14:textId="77777777" w:rsidTr="005635ED">
        <w:trPr>
          <w:trHeight w:val="106"/>
          <w:jc w:val="center"/>
        </w:trPr>
        <w:tc>
          <w:tcPr>
            <w:tcW w:w="787" w:type="pct"/>
            <w:vMerge w:val="restart"/>
            <w:vAlign w:val="center"/>
          </w:tcPr>
          <w:p w14:paraId="3293C973" w14:textId="77777777" w:rsidR="004F3F9F" w:rsidRPr="002D2ED7" w:rsidRDefault="004F3F9F" w:rsidP="004F3F9F">
            <w:pPr>
              <w:tabs>
                <w:tab w:val="left" w:pos="8280"/>
              </w:tabs>
              <w:spacing w:before="20" w:after="20"/>
              <w:ind w:right="-3"/>
              <w:jc w:val="left"/>
              <w:rPr>
                <w:sz w:val="20"/>
                <w:szCs w:val="20"/>
                <w:lang w:val="es-ES"/>
              </w:rPr>
            </w:pPr>
            <w:r>
              <w:rPr>
                <w:sz w:val="20"/>
                <w:szCs w:val="20"/>
                <w:lang w:val="es-ES"/>
              </w:rPr>
              <w:t>Costos del proyecto solicitados en principio (USD)</w:t>
            </w:r>
          </w:p>
        </w:tc>
        <w:tc>
          <w:tcPr>
            <w:tcW w:w="513" w:type="pct"/>
            <w:vMerge w:val="restart"/>
            <w:vAlign w:val="center"/>
          </w:tcPr>
          <w:p w14:paraId="6AA410CC" w14:textId="07688383" w:rsidR="004F3F9F" w:rsidRPr="009F3322" w:rsidRDefault="004F3F9F" w:rsidP="004F3F9F">
            <w:pPr>
              <w:tabs>
                <w:tab w:val="left" w:pos="8280"/>
              </w:tabs>
              <w:spacing w:before="20" w:after="20"/>
              <w:jc w:val="center"/>
              <w:rPr>
                <w:sz w:val="20"/>
                <w:szCs w:val="20"/>
              </w:rPr>
            </w:pPr>
            <w:r>
              <w:rPr>
                <w:color w:val="000000" w:themeColor="text1"/>
                <w:sz w:val="20"/>
                <w:szCs w:val="20"/>
              </w:rPr>
              <w:t>PNUMA</w:t>
            </w:r>
          </w:p>
        </w:tc>
        <w:tc>
          <w:tcPr>
            <w:tcW w:w="903" w:type="pct"/>
            <w:vAlign w:val="center"/>
          </w:tcPr>
          <w:p w14:paraId="33256203" w14:textId="77777777" w:rsidR="004F3F9F" w:rsidRPr="009F3322" w:rsidRDefault="004F3F9F" w:rsidP="004F3F9F">
            <w:pPr>
              <w:tabs>
                <w:tab w:val="left" w:pos="8280"/>
              </w:tabs>
              <w:spacing w:before="20" w:after="20"/>
              <w:jc w:val="left"/>
              <w:rPr>
                <w:sz w:val="20"/>
                <w:szCs w:val="20"/>
              </w:rPr>
            </w:pPr>
            <w:r>
              <w:rPr>
                <w:sz w:val="20"/>
                <w:szCs w:val="20"/>
              </w:rPr>
              <w:t>Costos del proyecto</w:t>
            </w:r>
          </w:p>
        </w:tc>
        <w:tc>
          <w:tcPr>
            <w:tcW w:w="468" w:type="pct"/>
            <w:vAlign w:val="center"/>
          </w:tcPr>
          <w:p w14:paraId="3C2DE941" w14:textId="2C5F453F" w:rsidR="004F3F9F" w:rsidRPr="00F30178" w:rsidRDefault="004F3F9F" w:rsidP="004F3F9F">
            <w:pPr>
              <w:tabs>
                <w:tab w:val="left" w:pos="8280"/>
              </w:tabs>
              <w:spacing w:before="20" w:after="20"/>
              <w:jc w:val="right"/>
              <w:rPr>
                <w:sz w:val="20"/>
                <w:szCs w:val="20"/>
                <w:highlight w:val="yellow"/>
              </w:rPr>
            </w:pPr>
            <w:r>
              <w:rPr>
                <w:color w:val="000000"/>
                <w:sz w:val="20"/>
                <w:szCs w:val="20"/>
              </w:rPr>
              <w:t>108.900</w:t>
            </w:r>
          </w:p>
        </w:tc>
        <w:tc>
          <w:tcPr>
            <w:tcW w:w="468" w:type="pct"/>
            <w:vAlign w:val="center"/>
          </w:tcPr>
          <w:p w14:paraId="485A2620" w14:textId="7986FEBA" w:rsidR="004F3F9F" w:rsidRPr="00F30178" w:rsidRDefault="004F3F9F" w:rsidP="004F3F9F">
            <w:pPr>
              <w:tabs>
                <w:tab w:val="left" w:pos="8280"/>
              </w:tabs>
              <w:spacing w:before="20" w:after="20"/>
              <w:jc w:val="right"/>
              <w:rPr>
                <w:sz w:val="20"/>
                <w:szCs w:val="20"/>
                <w:highlight w:val="yellow"/>
              </w:rPr>
            </w:pPr>
            <w:r>
              <w:rPr>
                <w:color w:val="000000"/>
                <w:sz w:val="20"/>
                <w:szCs w:val="20"/>
              </w:rPr>
              <w:t>0</w:t>
            </w:r>
          </w:p>
        </w:tc>
        <w:tc>
          <w:tcPr>
            <w:tcW w:w="468" w:type="pct"/>
            <w:vAlign w:val="center"/>
          </w:tcPr>
          <w:p w14:paraId="4575665A" w14:textId="2036D687" w:rsidR="004F3F9F" w:rsidRPr="00F30178" w:rsidRDefault="004F3F9F" w:rsidP="004F3F9F">
            <w:pPr>
              <w:tabs>
                <w:tab w:val="left" w:pos="8280"/>
              </w:tabs>
              <w:spacing w:before="20" w:after="20"/>
              <w:jc w:val="right"/>
              <w:rPr>
                <w:sz w:val="20"/>
                <w:szCs w:val="20"/>
                <w:highlight w:val="yellow"/>
              </w:rPr>
            </w:pPr>
            <w:r>
              <w:rPr>
                <w:color w:val="000000"/>
                <w:sz w:val="20"/>
                <w:szCs w:val="20"/>
              </w:rPr>
              <w:t>111.000</w:t>
            </w:r>
          </w:p>
        </w:tc>
        <w:tc>
          <w:tcPr>
            <w:tcW w:w="468" w:type="pct"/>
            <w:vAlign w:val="center"/>
          </w:tcPr>
          <w:p w14:paraId="43E46489" w14:textId="296310C6" w:rsidR="004F3F9F" w:rsidRPr="00F30178" w:rsidRDefault="004F3F9F" w:rsidP="004F3F9F">
            <w:pPr>
              <w:tabs>
                <w:tab w:val="left" w:pos="8280"/>
              </w:tabs>
              <w:spacing w:before="20" w:after="20"/>
              <w:jc w:val="right"/>
              <w:rPr>
                <w:sz w:val="20"/>
                <w:szCs w:val="20"/>
                <w:highlight w:val="yellow"/>
              </w:rPr>
            </w:pPr>
            <w:r>
              <w:rPr>
                <w:color w:val="000000"/>
                <w:sz w:val="20"/>
                <w:szCs w:val="20"/>
              </w:rPr>
              <w:t>0</w:t>
            </w:r>
          </w:p>
        </w:tc>
        <w:tc>
          <w:tcPr>
            <w:tcW w:w="468" w:type="pct"/>
            <w:vAlign w:val="center"/>
          </w:tcPr>
          <w:p w14:paraId="2BF1AD71" w14:textId="5A3A4084" w:rsidR="004F3F9F" w:rsidRPr="00F30178" w:rsidRDefault="004F3F9F" w:rsidP="004F3F9F">
            <w:pPr>
              <w:tabs>
                <w:tab w:val="left" w:pos="8280"/>
              </w:tabs>
              <w:spacing w:before="20" w:after="20"/>
              <w:jc w:val="right"/>
              <w:rPr>
                <w:sz w:val="20"/>
                <w:szCs w:val="20"/>
                <w:highlight w:val="yellow"/>
              </w:rPr>
            </w:pPr>
            <w:r>
              <w:rPr>
                <w:color w:val="000000"/>
                <w:sz w:val="20"/>
                <w:szCs w:val="20"/>
              </w:rPr>
              <w:t>13.800</w:t>
            </w:r>
          </w:p>
        </w:tc>
        <w:tc>
          <w:tcPr>
            <w:tcW w:w="458" w:type="pct"/>
            <w:vAlign w:val="center"/>
          </w:tcPr>
          <w:p w14:paraId="7197A170" w14:textId="661EC378" w:rsidR="004F3F9F" w:rsidRPr="00F30178" w:rsidRDefault="004F3F9F" w:rsidP="004F3F9F">
            <w:pPr>
              <w:tabs>
                <w:tab w:val="left" w:pos="8280"/>
              </w:tabs>
              <w:spacing w:before="20" w:after="20"/>
              <w:jc w:val="right"/>
              <w:rPr>
                <w:sz w:val="20"/>
                <w:szCs w:val="20"/>
                <w:highlight w:val="yellow"/>
              </w:rPr>
            </w:pPr>
            <w:r>
              <w:rPr>
                <w:color w:val="000000"/>
                <w:sz w:val="20"/>
                <w:szCs w:val="20"/>
              </w:rPr>
              <w:t>233.700</w:t>
            </w:r>
          </w:p>
        </w:tc>
      </w:tr>
      <w:tr w:rsidR="004F3F9F" w:rsidRPr="009F3322" w14:paraId="6CA17D79" w14:textId="77777777" w:rsidTr="005635ED">
        <w:trPr>
          <w:trHeight w:val="46"/>
          <w:jc w:val="center"/>
        </w:trPr>
        <w:tc>
          <w:tcPr>
            <w:tcW w:w="787" w:type="pct"/>
            <w:vMerge/>
            <w:vAlign w:val="center"/>
          </w:tcPr>
          <w:p w14:paraId="1FDD818C" w14:textId="77777777" w:rsidR="004F3F9F" w:rsidRPr="009F3322" w:rsidRDefault="004F3F9F" w:rsidP="004F3F9F">
            <w:pPr>
              <w:tabs>
                <w:tab w:val="left" w:pos="8280"/>
              </w:tabs>
              <w:spacing w:before="20" w:after="20"/>
              <w:jc w:val="left"/>
              <w:rPr>
                <w:sz w:val="20"/>
                <w:szCs w:val="20"/>
              </w:rPr>
            </w:pPr>
          </w:p>
        </w:tc>
        <w:tc>
          <w:tcPr>
            <w:tcW w:w="513" w:type="pct"/>
            <w:vMerge/>
            <w:vAlign w:val="center"/>
          </w:tcPr>
          <w:p w14:paraId="0FBFA3D7" w14:textId="77777777" w:rsidR="004F3F9F" w:rsidRPr="009F3322" w:rsidRDefault="004F3F9F" w:rsidP="004F3F9F">
            <w:pPr>
              <w:tabs>
                <w:tab w:val="left" w:pos="8280"/>
              </w:tabs>
              <w:spacing w:before="20" w:after="20"/>
              <w:jc w:val="center"/>
              <w:rPr>
                <w:sz w:val="20"/>
                <w:szCs w:val="20"/>
              </w:rPr>
            </w:pPr>
          </w:p>
        </w:tc>
        <w:tc>
          <w:tcPr>
            <w:tcW w:w="903" w:type="pct"/>
            <w:vAlign w:val="center"/>
          </w:tcPr>
          <w:p w14:paraId="45FD29A0" w14:textId="77777777" w:rsidR="004F3F9F" w:rsidRPr="009F3322" w:rsidRDefault="004F3F9F" w:rsidP="004F3F9F">
            <w:pPr>
              <w:tabs>
                <w:tab w:val="left" w:pos="8280"/>
              </w:tabs>
              <w:spacing w:before="20" w:after="20"/>
              <w:jc w:val="left"/>
              <w:rPr>
                <w:sz w:val="20"/>
                <w:szCs w:val="20"/>
              </w:rPr>
            </w:pPr>
            <w:r>
              <w:rPr>
                <w:sz w:val="20"/>
                <w:szCs w:val="20"/>
              </w:rPr>
              <w:t>Gastos de apoyo</w:t>
            </w:r>
          </w:p>
        </w:tc>
        <w:tc>
          <w:tcPr>
            <w:tcW w:w="468" w:type="pct"/>
            <w:vAlign w:val="center"/>
          </w:tcPr>
          <w:p w14:paraId="1C32B3A6" w14:textId="688305AC" w:rsidR="004F3F9F" w:rsidRPr="00F30178" w:rsidRDefault="004F3F9F" w:rsidP="004F3F9F">
            <w:pPr>
              <w:tabs>
                <w:tab w:val="left" w:pos="8280"/>
              </w:tabs>
              <w:spacing w:before="20" w:after="20"/>
              <w:jc w:val="right"/>
              <w:rPr>
                <w:sz w:val="20"/>
                <w:szCs w:val="20"/>
                <w:highlight w:val="yellow"/>
              </w:rPr>
            </w:pPr>
            <w:r>
              <w:rPr>
                <w:color w:val="000000"/>
                <w:sz w:val="20"/>
                <w:szCs w:val="20"/>
              </w:rPr>
              <w:t>14.157</w:t>
            </w:r>
          </w:p>
        </w:tc>
        <w:tc>
          <w:tcPr>
            <w:tcW w:w="468" w:type="pct"/>
            <w:vAlign w:val="center"/>
          </w:tcPr>
          <w:p w14:paraId="60229695" w14:textId="0C16C691" w:rsidR="004F3F9F" w:rsidRPr="00F30178" w:rsidRDefault="004F3F9F" w:rsidP="004F3F9F">
            <w:pPr>
              <w:tabs>
                <w:tab w:val="left" w:pos="8280"/>
              </w:tabs>
              <w:spacing w:before="20" w:after="20"/>
              <w:jc w:val="right"/>
              <w:rPr>
                <w:sz w:val="20"/>
                <w:szCs w:val="20"/>
                <w:highlight w:val="yellow"/>
              </w:rPr>
            </w:pPr>
            <w:r>
              <w:rPr>
                <w:color w:val="000000"/>
                <w:sz w:val="20"/>
                <w:szCs w:val="20"/>
              </w:rPr>
              <w:t>0</w:t>
            </w:r>
          </w:p>
        </w:tc>
        <w:tc>
          <w:tcPr>
            <w:tcW w:w="468" w:type="pct"/>
            <w:vAlign w:val="center"/>
          </w:tcPr>
          <w:p w14:paraId="29F7C392" w14:textId="057D8482" w:rsidR="004F3F9F" w:rsidRPr="00F30178" w:rsidRDefault="004F3F9F" w:rsidP="004F3F9F">
            <w:pPr>
              <w:tabs>
                <w:tab w:val="left" w:pos="8280"/>
              </w:tabs>
              <w:spacing w:before="20" w:after="20"/>
              <w:jc w:val="right"/>
              <w:rPr>
                <w:sz w:val="20"/>
                <w:szCs w:val="20"/>
                <w:highlight w:val="yellow"/>
              </w:rPr>
            </w:pPr>
            <w:r>
              <w:rPr>
                <w:color w:val="000000"/>
                <w:sz w:val="20"/>
                <w:szCs w:val="20"/>
              </w:rPr>
              <w:t>14.430</w:t>
            </w:r>
          </w:p>
        </w:tc>
        <w:tc>
          <w:tcPr>
            <w:tcW w:w="468" w:type="pct"/>
            <w:vAlign w:val="center"/>
          </w:tcPr>
          <w:p w14:paraId="21169208" w14:textId="51420AE3" w:rsidR="004F3F9F" w:rsidRPr="00F30178" w:rsidRDefault="004F3F9F" w:rsidP="004F3F9F">
            <w:pPr>
              <w:tabs>
                <w:tab w:val="left" w:pos="8280"/>
              </w:tabs>
              <w:spacing w:before="20" w:after="20"/>
              <w:jc w:val="right"/>
              <w:rPr>
                <w:sz w:val="20"/>
                <w:szCs w:val="20"/>
                <w:highlight w:val="yellow"/>
              </w:rPr>
            </w:pPr>
            <w:r>
              <w:rPr>
                <w:color w:val="000000"/>
                <w:sz w:val="20"/>
                <w:szCs w:val="20"/>
              </w:rPr>
              <w:t>0</w:t>
            </w:r>
          </w:p>
        </w:tc>
        <w:tc>
          <w:tcPr>
            <w:tcW w:w="468" w:type="pct"/>
            <w:vAlign w:val="center"/>
          </w:tcPr>
          <w:p w14:paraId="79ECF626" w14:textId="74F2DAA2" w:rsidR="004F3F9F" w:rsidRPr="00F30178" w:rsidRDefault="004F3F9F" w:rsidP="004F3F9F">
            <w:pPr>
              <w:tabs>
                <w:tab w:val="left" w:pos="8280"/>
              </w:tabs>
              <w:spacing w:before="20" w:after="20"/>
              <w:jc w:val="right"/>
              <w:rPr>
                <w:sz w:val="20"/>
                <w:szCs w:val="20"/>
                <w:highlight w:val="yellow"/>
              </w:rPr>
            </w:pPr>
            <w:r>
              <w:rPr>
                <w:color w:val="000000"/>
                <w:sz w:val="20"/>
                <w:szCs w:val="20"/>
              </w:rPr>
              <w:t>1.794</w:t>
            </w:r>
          </w:p>
        </w:tc>
        <w:tc>
          <w:tcPr>
            <w:tcW w:w="458" w:type="pct"/>
            <w:vAlign w:val="center"/>
          </w:tcPr>
          <w:p w14:paraId="12AC0752" w14:textId="42FF68A1" w:rsidR="004F3F9F" w:rsidRPr="00F30178" w:rsidRDefault="004F3F9F" w:rsidP="004F3F9F">
            <w:pPr>
              <w:tabs>
                <w:tab w:val="left" w:pos="8280"/>
              </w:tabs>
              <w:spacing w:before="20" w:after="20"/>
              <w:jc w:val="right"/>
              <w:rPr>
                <w:sz w:val="20"/>
                <w:szCs w:val="20"/>
                <w:highlight w:val="yellow"/>
              </w:rPr>
            </w:pPr>
            <w:r>
              <w:rPr>
                <w:color w:val="000000"/>
                <w:sz w:val="20"/>
                <w:szCs w:val="20"/>
              </w:rPr>
              <w:t>30.381</w:t>
            </w:r>
          </w:p>
        </w:tc>
      </w:tr>
      <w:tr w:rsidR="009F3322" w:rsidRPr="009F3322" w14:paraId="6777554F" w14:textId="77777777" w:rsidTr="005635ED">
        <w:trPr>
          <w:trHeight w:val="56"/>
          <w:jc w:val="center"/>
        </w:trPr>
        <w:tc>
          <w:tcPr>
            <w:tcW w:w="787" w:type="pct"/>
            <w:vMerge/>
            <w:vAlign w:val="center"/>
          </w:tcPr>
          <w:p w14:paraId="0A577D00" w14:textId="77777777" w:rsidR="009F3322" w:rsidRPr="009F3322" w:rsidRDefault="009F3322" w:rsidP="009F3322">
            <w:pPr>
              <w:tabs>
                <w:tab w:val="left" w:pos="8280"/>
              </w:tabs>
              <w:spacing w:before="20" w:after="20"/>
              <w:jc w:val="left"/>
              <w:rPr>
                <w:sz w:val="20"/>
                <w:szCs w:val="20"/>
              </w:rPr>
            </w:pPr>
          </w:p>
        </w:tc>
        <w:tc>
          <w:tcPr>
            <w:tcW w:w="513" w:type="pct"/>
            <w:vMerge w:val="restart"/>
            <w:vAlign w:val="center"/>
          </w:tcPr>
          <w:p w14:paraId="59632E28" w14:textId="1726F929" w:rsidR="009F3322" w:rsidRPr="009F3322" w:rsidRDefault="009F3322" w:rsidP="009F3322">
            <w:pPr>
              <w:tabs>
                <w:tab w:val="left" w:pos="8280"/>
              </w:tabs>
              <w:spacing w:before="20" w:after="20"/>
              <w:jc w:val="center"/>
              <w:rPr>
                <w:sz w:val="20"/>
                <w:szCs w:val="20"/>
              </w:rPr>
            </w:pPr>
            <w:r>
              <w:rPr>
                <w:color w:val="000000" w:themeColor="text1"/>
                <w:sz w:val="20"/>
                <w:szCs w:val="20"/>
              </w:rPr>
              <w:t>ONUDI</w:t>
            </w:r>
          </w:p>
        </w:tc>
        <w:tc>
          <w:tcPr>
            <w:tcW w:w="903" w:type="pct"/>
            <w:vAlign w:val="center"/>
          </w:tcPr>
          <w:p w14:paraId="4CEEA779" w14:textId="77777777" w:rsidR="009F3322" w:rsidRPr="009F3322" w:rsidRDefault="009F3322" w:rsidP="009F3322">
            <w:pPr>
              <w:tabs>
                <w:tab w:val="left" w:pos="8280"/>
              </w:tabs>
              <w:spacing w:before="20" w:after="20"/>
              <w:jc w:val="left"/>
              <w:rPr>
                <w:sz w:val="20"/>
                <w:szCs w:val="20"/>
              </w:rPr>
            </w:pPr>
            <w:r>
              <w:rPr>
                <w:sz w:val="20"/>
                <w:szCs w:val="20"/>
              </w:rPr>
              <w:t>Costos del proyecto</w:t>
            </w:r>
          </w:p>
        </w:tc>
        <w:tc>
          <w:tcPr>
            <w:tcW w:w="468" w:type="pct"/>
            <w:vAlign w:val="center"/>
          </w:tcPr>
          <w:p w14:paraId="7A9B98DB" w14:textId="04800ECE" w:rsidR="009F3322" w:rsidRPr="00F30178" w:rsidRDefault="005635ED" w:rsidP="009F3322">
            <w:pPr>
              <w:tabs>
                <w:tab w:val="left" w:pos="8280"/>
              </w:tabs>
              <w:spacing w:before="20" w:after="20"/>
              <w:jc w:val="right"/>
              <w:rPr>
                <w:sz w:val="20"/>
                <w:szCs w:val="20"/>
                <w:highlight w:val="yellow"/>
              </w:rPr>
            </w:pPr>
            <w:r>
              <w:rPr>
                <w:color w:val="000000"/>
                <w:sz w:val="20"/>
                <w:szCs w:val="20"/>
              </w:rPr>
              <w:t xml:space="preserve">  35.000</w:t>
            </w:r>
          </w:p>
        </w:tc>
        <w:tc>
          <w:tcPr>
            <w:tcW w:w="468" w:type="pct"/>
            <w:vAlign w:val="center"/>
          </w:tcPr>
          <w:p w14:paraId="3E4409D6" w14:textId="23D52EC4" w:rsidR="009F3322" w:rsidRPr="00F30178" w:rsidRDefault="009F3322" w:rsidP="009F3322">
            <w:pPr>
              <w:tabs>
                <w:tab w:val="left" w:pos="8280"/>
              </w:tabs>
              <w:spacing w:before="20" w:after="20"/>
              <w:jc w:val="right"/>
              <w:rPr>
                <w:sz w:val="20"/>
                <w:szCs w:val="20"/>
                <w:highlight w:val="yellow"/>
              </w:rPr>
            </w:pPr>
            <w:r>
              <w:rPr>
                <w:color w:val="000000"/>
                <w:sz w:val="20"/>
                <w:szCs w:val="20"/>
              </w:rPr>
              <w:t>0</w:t>
            </w:r>
          </w:p>
        </w:tc>
        <w:tc>
          <w:tcPr>
            <w:tcW w:w="468" w:type="pct"/>
            <w:vAlign w:val="center"/>
          </w:tcPr>
          <w:p w14:paraId="533A2F62" w14:textId="742F711D" w:rsidR="009F3322" w:rsidRPr="00F30178" w:rsidRDefault="005635ED" w:rsidP="009F3322">
            <w:pPr>
              <w:tabs>
                <w:tab w:val="left" w:pos="8280"/>
              </w:tabs>
              <w:spacing w:before="20" w:after="20"/>
              <w:jc w:val="right"/>
              <w:rPr>
                <w:sz w:val="20"/>
                <w:szCs w:val="20"/>
                <w:highlight w:val="yellow"/>
              </w:rPr>
            </w:pPr>
            <w:r>
              <w:rPr>
                <w:color w:val="000000"/>
                <w:sz w:val="20"/>
                <w:szCs w:val="20"/>
              </w:rPr>
              <w:t xml:space="preserve">  17.000</w:t>
            </w:r>
          </w:p>
        </w:tc>
        <w:tc>
          <w:tcPr>
            <w:tcW w:w="468" w:type="pct"/>
            <w:vAlign w:val="center"/>
          </w:tcPr>
          <w:p w14:paraId="7A3897DE" w14:textId="117AD57A" w:rsidR="009F3322" w:rsidRPr="00F30178" w:rsidRDefault="009F3322" w:rsidP="009F3322">
            <w:pPr>
              <w:tabs>
                <w:tab w:val="left" w:pos="8280"/>
              </w:tabs>
              <w:spacing w:before="20" w:after="20"/>
              <w:jc w:val="right"/>
              <w:rPr>
                <w:sz w:val="20"/>
                <w:szCs w:val="20"/>
                <w:highlight w:val="yellow"/>
              </w:rPr>
            </w:pPr>
            <w:r>
              <w:rPr>
                <w:color w:val="000000"/>
                <w:sz w:val="20"/>
                <w:szCs w:val="20"/>
              </w:rPr>
              <w:t>0</w:t>
            </w:r>
          </w:p>
        </w:tc>
        <w:tc>
          <w:tcPr>
            <w:tcW w:w="468" w:type="pct"/>
            <w:vAlign w:val="center"/>
          </w:tcPr>
          <w:p w14:paraId="6827149C" w14:textId="305C71B4" w:rsidR="009F3322" w:rsidRPr="00F30178" w:rsidRDefault="009F3322" w:rsidP="009F3322">
            <w:pPr>
              <w:tabs>
                <w:tab w:val="left" w:pos="8280"/>
              </w:tabs>
              <w:spacing w:before="20" w:after="20"/>
              <w:jc w:val="right"/>
              <w:rPr>
                <w:sz w:val="20"/>
                <w:szCs w:val="20"/>
                <w:highlight w:val="yellow"/>
              </w:rPr>
            </w:pPr>
            <w:r>
              <w:rPr>
                <w:color w:val="000000"/>
                <w:sz w:val="20"/>
                <w:szCs w:val="20"/>
              </w:rPr>
              <w:t>5.300</w:t>
            </w:r>
          </w:p>
        </w:tc>
        <w:tc>
          <w:tcPr>
            <w:tcW w:w="458" w:type="pct"/>
            <w:vAlign w:val="center"/>
          </w:tcPr>
          <w:p w14:paraId="3E4E9357" w14:textId="6582CBB3" w:rsidR="009F3322" w:rsidRPr="00F30178" w:rsidRDefault="009F3322" w:rsidP="009F3322">
            <w:pPr>
              <w:tabs>
                <w:tab w:val="left" w:pos="8280"/>
              </w:tabs>
              <w:spacing w:before="20" w:after="20"/>
              <w:jc w:val="right"/>
              <w:rPr>
                <w:sz w:val="20"/>
                <w:szCs w:val="20"/>
                <w:highlight w:val="yellow"/>
              </w:rPr>
            </w:pPr>
            <w:r>
              <w:rPr>
                <w:color w:val="000000"/>
                <w:sz w:val="20"/>
                <w:szCs w:val="20"/>
              </w:rPr>
              <w:t>57.300</w:t>
            </w:r>
          </w:p>
        </w:tc>
      </w:tr>
      <w:tr w:rsidR="009F3322" w:rsidRPr="009F3322" w14:paraId="5C46DD60" w14:textId="77777777" w:rsidTr="005635ED">
        <w:trPr>
          <w:trHeight w:val="46"/>
          <w:jc w:val="center"/>
        </w:trPr>
        <w:tc>
          <w:tcPr>
            <w:tcW w:w="787" w:type="pct"/>
            <w:vMerge/>
            <w:vAlign w:val="center"/>
          </w:tcPr>
          <w:p w14:paraId="68109655" w14:textId="77777777" w:rsidR="009F3322" w:rsidRPr="009F3322" w:rsidRDefault="009F3322" w:rsidP="009F3322">
            <w:pPr>
              <w:tabs>
                <w:tab w:val="left" w:pos="8280"/>
              </w:tabs>
              <w:spacing w:before="20" w:after="20"/>
              <w:jc w:val="left"/>
              <w:rPr>
                <w:sz w:val="20"/>
                <w:szCs w:val="20"/>
              </w:rPr>
            </w:pPr>
          </w:p>
        </w:tc>
        <w:tc>
          <w:tcPr>
            <w:tcW w:w="513" w:type="pct"/>
            <w:vMerge/>
            <w:vAlign w:val="center"/>
          </w:tcPr>
          <w:p w14:paraId="5F642487" w14:textId="77777777" w:rsidR="009F3322" w:rsidRPr="009F3322" w:rsidRDefault="009F3322" w:rsidP="009F3322">
            <w:pPr>
              <w:tabs>
                <w:tab w:val="left" w:pos="8280"/>
              </w:tabs>
              <w:spacing w:before="20" w:after="20"/>
              <w:jc w:val="left"/>
              <w:rPr>
                <w:sz w:val="20"/>
                <w:szCs w:val="20"/>
              </w:rPr>
            </w:pPr>
          </w:p>
        </w:tc>
        <w:tc>
          <w:tcPr>
            <w:tcW w:w="903" w:type="pct"/>
            <w:vAlign w:val="center"/>
          </w:tcPr>
          <w:p w14:paraId="1FDA2D3B" w14:textId="77777777" w:rsidR="009F3322" w:rsidRPr="009F3322" w:rsidRDefault="009F3322" w:rsidP="009F3322">
            <w:pPr>
              <w:tabs>
                <w:tab w:val="left" w:pos="8280"/>
              </w:tabs>
              <w:spacing w:before="20" w:after="20"/>
              <w:jc w:val="left"/>
              <w:rPr>
                <w:sz w:val="20"/>
                <w:szCs w:val="20"/>
              </w:rPr>
            </w:pPr>
            <w:r>
              <w:rPr>
                <w:sz w:val="20"/>
                <w:szCs w:val="20"/>
              </w:rPr>
              <w:t>Gastos de apoyo</w:t>
            </w:r>
          </w:p>
        </w:tc>
        <w:tc>
          <w:tcPr>
            <w:tcW w:w="468" w:type="pct"/>
            <w:vAlign w:val="center"/>
          </w:tcPr>
          <w:p w14:paraId="1005F047" w14:textId="65CD6C8A" w:rsidR="009F3322" w:rsidRPr="00F30178" w:rsidRDefault="009F3322" w:rsidP="009F3322">
            <w:pPr>
              <w:tabs>
                <w:tab w:val="left" w:pos="8280"/>
              </w:tabs>
              <w:spacing w:before="20" w:after="20"/>
              <w:jc w:val="right"/>
              <w:rPr>
                <w:sz w:val="20"/>
                <w:szCs w:val="20"/>
                <w:highlight w:val="yellow"/>
              </w:rPr>
            </w:pPr>
            <w:r>
              <w:rPr>
                <w:color w:val="000000"/>
                <w:sz w:val="20"/>
                <w:szCs w:val="20"/>
              </w:rPr>
              <w:t>3.150</w:t>
            </w:r>
          </w:p>
        </w:tc>
        <w:tc>
          <w:tcPr>
            <w:tcW w:w="468" w:type="pct"/>
            <w:vAlign w:val="center"/>
          </w:tcPr>
          <w:p w14:paraId="4EDF7DFA" w14:textId="14C9D429" w:rsidR="009F3322" w:rsidRPr="00F30178" w:rsidRDefault="009F3322" w:rsidP="009F3322">
            <w:pPr>
              <w:tabs>
                <w:tab w:val="left" w:pos="8280"/>
              </w:tabs>
              <w:spacing w:before="20" w:after="20"/>
              <w:jc w:val="right"/>
              <w:rPr>
                <w:sz w:val="20"/>
                <w:szCs w:val="20"/>
                <w:highlight w:val="yellow"/>
              </w:rPr>
            </w:pPr>
            <w:r>
              <w:rPr>
                <w:color w:val="000000"/>
                <w:sz w:val="20"/>
                <w:szCs w:val="20"/>
              </w:rPr>
              <w:t>0</w:t>
            </w:r>
          </w:p>
        </w:tc>
        <w:tc>
          <w:tcPr>
            <w:tcW w:w="468" w:type="pct"/>
            <w:vAlign w:val="center"/>
          </w:tcPr>
          <w:p w14:paraId="6EF0C3C6" w14:textId="1DDCDD32" w:rsidR="009F3322" w:rsidRPr="00F30178" w:rsidRDefault="009F3322" w:rsidP="009F3322">
            <w:pPr>
              <w:tabs>
                <w:tab w:val="left" w:pos="8280"/>
              </w:tabs>
              <w:spacing w:before="20" w:after="20"/>
              <w:jc w:val="right"/>
              <w:rPr>
                <w:sz w:val="20"/>
                <w:szCs w:val="20"/>
                <w:highlight w:val="yellow"/>
              </w:rPr>
            </w:pPr>
            <w:r>
              <w:rPr>
                <w:color w:val="000000"/>
                <w:sz w:val="20"/>
                <w:szCs w:val="20"/>
              </w:rPr>
              <w:t>1.530</w:t>
            </w:r>
          </w:p>
        </w:tc>
        <w:tc>
          <w:tcPr>
            <w:tcW w:w="468" w:type="pct"/>
            <w:vAlign w:val="center"/>
          </w:tcPr>
          <w:p w14:paraId="2593689C" w14:textId="3D1E98C3" w:rsidR="009F3322" w:rsidRPr="00F30178" w:rsidRDefault="009F3322" w:rsidP="009F3322">
            <w:pPr>
              <w:tabs>
                <w:tab w:val="left" w:pos="8280"/>
              </w:tabs>
              <w:spacing w:before="20" w:after="20"/>
              <w:jc w:val="right"/>
              <w:rPr>
                <w:sz w:val="20"/>
                <w:szCs w:val="20"/>
                <w:highlight w:val="yellow"/>
              </w:rPr>
            </w:pPr>
            <w:r>
              <w:rPr>
                <w:color w:val="000000"/>
                <w:sz w:val="20"/>
                <w:szCs w:val="20"/>
              </w:rPr>
              <w:t>0</w:t>
            </w:r>
          </w:p>
        </w:tc>
        <w:tc>
          <w:tcPr>
            <w:tcW w:w="468" w:type="pct"/>
            <w:vAlign w:val="center"/>
          </w:tcPr>
          <w:p w14:paraId="2320EEE2" w14:textId="59D74342" w:rsidR="009F3322" w:rsidRPr="00F30178" w:rsidRDefault="009F3322" w:rsidP="009F3322">
            <w:pPr>
              <w:tabs>
                <w:tab w:val="left" w:pos="8280"/>
              </w:tabs>
              <w:spacing w:before="20" w:after="20"/>
              <w:jc w:val="right"/>
              <w:rPr>
                <w:sz w:val="20"/>
                <w:szCs w:val="20"/>
                <w:highlight w:val="yellow"/>
              </w:rPr>
            </w:pPr>
            <w:r>
              <w:rPr>
                <w:color w:val="000000"/>
                <w:sz w:val="20"/>
                <w:szCs w:val="20"/>
              </w:rPr>
              <w:t>477</w:t>
            </w:r>
          </w:p>
        </w:tc>
        <w:tc>
          <w:tcPr>
            <w:tcW w:w="458" w:type="pct"/>
            <w:vAlign w:val="center"/>
          </w:tcPr>
          <w:p w14:paraId="41790F25" w14:textId="323C33B0" w:rsidR="009F3322" w:rsidRPr="00F30178" w:rsidRDefault="009F3322" w:rsidP="009F3322">
            <w:pPr>
              <w:tabs>
                <w:tab w:val="left" w:pos="8280"/>
              </w:tabs>
              <w:spacing w:before="20" w:after="20"/>
              <w:jc w:val="right"/>
              <w:rPr>
                <w:sz w:val="20"/>
                <w:szCs w:val="20"/>
                <w:highlight w:val="yellow"/>
              </w:rPr>
            </w:pPr>
            <w:r>
              <w:rPr>
                <w:color w:val="000000"/>
                <w:sz w:val="20"/>
                <w:szCs w:val="20"/>
              </w:rPr>
              <w:t>5.157</w:t>
            </w:r>
          </w:p>
        </w:tc>
      </w:tr>
      <w:tr w:rsidR="004F3F9F" w:rsidRPr="009F3322" w14:paraId="55D72717" w14:textId="77777777" w:rsidTr="005635ED">
        <w:trPr>
          <w:trHeight w:val="157"/>
          <w:jc w:val="center"/>
        </w:trPr>
        <w:tc>
          <w:tcPr>
            <w:tcW w:w="1300" w:type="pct"/>
            <w:gridSpan w:val="2"/>
            <w:vMerge w:val="restart"/>
            <w:vAlign w:val="center"/>
          </w:tcPr>
          <w:p w14:paraId="25A78B09" w14:textId="77777777" w:rsidR="004F3F9F" w:rsidRPr="002D2ED7" w:rsidRDefault="004F3F9F" w:rsidP="004F3F9F">
            <w:pPr>
              <w:tabs>
                <w:tab w:val="left" w:pos="8280"/>
              </w:tabs>
              <w:spacing w:before="20" w:after="20"/>
              <w:jc w:val="left"/>
              <w:rPr>
                <w:sz w:val="20"/>
                <w:szCs w:val="20"/>
                <w:lang w:val="es-ES"/>
              </w:rPr>
            </w:pPr>
            <w:r>
              <w:rPr>
                <w:sz w:val="20"/>
                <w:szCs w:val="20"/>
                <w:lang w:val="es-ES"/>
              </w:rPr>
              <w:t>Montos totales recomendados en principio (USD)</w:t>
            </w:r>
          </w:p>
        </w:tc>
        <w:tc>
          <w:tcPr>
            <w:tcW w:w="903" w:type="pct"/>
            <w:vAlign w:val="center"/>
          </w:tcPr>
          <w:p w14:paraId="278DA5F9" w14:textId="77777777" w:rsidR="004F3F9F" w:rsidRPr="009F3322" w:rsidRDefault="004F3F9F" w:rsidP="004F3F9F">
            <w:pPr>
              <w:tabs>
                <w:tab w:val="left" w:pos="8280"/>
              </w:tabs>
              <w:spacing w:before="20" w:after="20"/>
              <w:jc w:val="left"/>
              <w:rPr>
                <w:sz w:val="20"/>
                <w:szCs w:val="20"/>
              </w:rPr>
            </w:pPr>
            <w:r>
              <w:rPr>
                <w:sz w:val="20"/>
                <w:szCs w:val="20"/>
              </w:rPr>
              <w:t>Costos del proyecto</w:t>
            </w:r>
          </w:p>
        </w:tc>
        <w:tc>
          <w:tcPr>
            <w:tcW w:w="468" w:type="pct"/>
            <w:vAlign w:val="center"/>
          </w:tcPr>
          <w:p w14:paraId="002502CC" w14:textId="3B512DB8" w:rsidR="004F3F9F" w:rsidRPr="00F30178" w:rsidRDefault="004F3F9F" w:rsidP="004F3F9F">
            <w:pPr>
              <w:tabs>
                <w:tab w:val="left" w:pos="8280"/>
              </w:tabs>
              <w:spacing w:before="20" w:after="20"/>
              <w:jc w:val="right"/>
              <w:rPr>
                <w:sz w:val="20"/>
                <w:szCs w:val="20"/>
                <w:highlight w:val="yellow"/>
              </w:rPr>
            </w:pPr>
            <w:r>
              <w:rPr>
                <w:color w:val="000000"/>
                <w:sz w:val="20"/>
                <w:szCs w:val="20"/>
              </w:rPr>
              <w:t>143.900</w:t>
            </w:r>
          </w:p>
        </w:tc>
        <w:tc>
          <w:tcPr>
            <w:tcW w:w="468" w:type="pct"/>
            <w:vAlign w:val="center"/>
          </w:tcPr>
          <w:p w14:paraId="26E90E93" w14:textId="082B94E4" w:rsidR="004F3F9F" w:rsidRPr="00F30178" w:rsidRDefault="004F3F9F" w:rsidP="004F3F9F">
            <w:pPr>
              <w:tabs>
                <w:tab w:val="left" w:pos="8280"/>
              </w:tabs>
              <w:spacing w:before="20" w:after="20"/>
              <w:jc w:val="right"/>
              <w:rPr>
                <w:sz w:val="20"/>
                <w:szCs w:val="20"/>
                <w:highlight w:val="yellow"/>
              </w:rPr>
            </w:pPr>
            <w:r>
              <w:rPr>
                <w:color w:val="000000"/>
                <w:sz w:val="20"/>
                <w:szCs w:val="20"/>
              </w:rPr>
              <w:t>0</w:t>
            </w:r>
          </w:p>
        </w:tc>
        <w:tc>
          <w:tcPr>
            <w:tcW w:w="468" w:type="pct"/>
            <w:vAlign w:val="center"/>
          </w:tcPr>
          <w:p w14:paraId="55E0D54D" w14:textId="21A41B16" w:rsidR="004F3F9F" w:rsidRPr="00F30178" w:rsidRDefault="004F3F9F" w:rsidP="004F3F9F">
            <w:pPr>
              <w:tabs>
                <w:tab w:val="left" w:pos="8280"/>
              </w:tabs>
              <w:spacing w:before="20" w:after="20"/>
              <w:jc w:val="right"/>
              <w:rPr>
                <w:sz w:val="20"/>
                <w:szCs w:val="20"/>
                <w:highlight w:val="yellow"/>
              </w:rPr>
            </w:pPr>
            <w:r>
              <w:rPr>
                <w:color w:val="000000"/>
                <w:sz w:val="20"/>
                <w:szCs w:val="20"/>
              </w:rPr>
              <w:t>128.000</w:t>
            </w:r>
          </w:p>
        </w:tc>
        <w:tc>
          <w:tcPr>
            <w:tcW w:w="468" w:type="pct"/>
            <w:vAlign w:val="center"/>
          </w:tcPr>
          <w:p w14:paraId="2D63C02B" w14:textId="1EEA98B1" w:rsidR="004F3F9F" w:rsidRPr="00F30178" w:rsidRDefault="004F3F9F" w:rsidP="004F3F9F">
            <w:pPr>
              <w:tabs>
                <w:tab w:val="left" w:pos="8280"/>
              </w:tabs>
              <w:spacing w:before="20" w:after="20"/>
              <w:jc w:val="right"/>
              <w:rPr>
                <w:sz w:val="20"/>
                <w:szCs w:val="20"/>
                <w:highlight w:val="yellow"/>
              </w:rPr>
            </w:pPr>
            <w:r>
              <w:rPr>
                <w:color w:val="000000"/>
                <w:sz w:val="20"/>
                <w:szCs w:val="20"/>
              </w:rPr>
              <w:t>0</w:t>
            </w:r>
          </w:p>
        </w:tc>
        <w:tc>
          <w:tcPr>
            <w:tcW w:w="468" w:type="pct"/>
            <w:vAlign w:val="center"/>
          </w:tcPr>
          <w:p w14:paraId="66CFF940" w14:textId="2F0CA5A4" w:rsidR="004F3F9F" w:rsidRPr="00F30178" w:rsidRDefault="004F3F9F" w:rsidP="004F3F9F">
            <w:pPr>
              <w:tabs>
                <w:tab w:val="left" w:pos="8280"/>
              </w:tabs>
              <w:spacing w:before="20" w:after="20"/>
              <w:jc w:val="right"/>
              <w:rPr>
                <w:sz w:val="20"/>
                <w:szCs w:val="20"/>
                <w:highlight w:val="yellow"/>
              </w:rPr>
            </w:pPr>
            <w:r>
              <w:rPr>
                <w:color w:val="000000"/>
                <w:sz w:val="20"/>
                <w:szCs w:val="20"/>
              </w:rPr>
              <w:t>19.100</w:t>
            </w:r>
          </w:p>
        </w:tc>
        <w:tc>
          <w:tcPr>
            <w:tcW w:w="458" w:type="pct"/>
            <w:vAlign w:val="center"/>
          </w:tcPr>
          <w:p w14:paraId="5399FEF7" w14:textId="67A4E069" w:rsidR="004F3F9F" w:rsidRPr="00F30178" w:rsidRDefault="004F3F9F" w:rsidP="004F3F9F">
            <w:pPr>
              <w:tabs>
                <w:tab w:val="left" w:pos="8280"/>
              </w:tabs>
              <w:spacing w:before="20" w:after="20"/>
              <w:jc w:val="right"/>
              <w:rPr>
                <w:sz w:val="20"/>
                <w:szCs w:val="20"/>
                <w:highlight w:val="yellow"/>
              </w:rPr>
            </w:pPr>
            <w:r>
              <w:rPr>
                <w:color w:val="000000"/>
                <w:sz w:val="20"/>
                <w:szCs w:val="20"/>
              </w:rPr>
              <w:t>291.000</w:t>
            </w:r>
          </w:p>
        </w:tc>
      </w:tr>
      <w:tr w:rsidR="004F3F9F" w:rsidRPr="009F3322" w14:paraId="2169ED50" w14:textId="77777777" w:rsidTr="005635ED">
        <w:trPr>
          <w:trHeight w:val="202"/>
          <w:jc w:val="center"/>
        </w:trPr>
        <w:tc>
          <w:tcPr>
            <w:tcW w:w="1300" w:type="pct"/>
            <w:gridSpan w:val="2"/>
            <w:vMerge/>
          </w:tcPr>
          <w:p w14:paraId="3A0383A2" w14:textId="77777777" w:rsidR="004F3F9F" w:rsidRPr="009F3322" w:rsidRDefault="004F3F9F" w:rsidP="004F3F9F">
            <w:pPr>
              <w:tabs>
                <w:tab w:val="left" w:pos="8280"/>
              </w:tabs>
              <w:spacing w:before="20" w:after="20"/>
              <w:jc w:val="left"/>
              <w:rPr>
                <w:sz w:val="20"/>
                <w:szCs w:val="20"/>
              </w:rPr>
            </w:pPr>
          </w:p>
        </w:tc>
        <w:tc>
          <w:tcPr>
            <w:tcW w:w="903" w:type="pct"/>
            <w:vAlign w:val="center"/>
          </w:tcPr>
          <w:p w14:paraId="33DDB55E" w14:textId="77777777" w:rsidR="004F3F9F" w:rsidRPr="009F3322" w:rsidRDefault="004F3F9F" w:rsidP="004F3F9F">
            <w:pPr>
              <w:tabs>
                <w:tab w:val="left" w:pos="8280"/>
              </w:tabs>
              <w:spacing w:before="20" w:after="20"/>
              <w:jc w:val="left"/>
              <w:rPr>
                <w:sz w:val="20"/>
                <w:szCs w:val="20"/>
              </w:rPr>
            </w:pPr>
            <w:r>
              <w:rPr>
                <w:sz w:val="20"/>
                <w:szCs w:val="20"/>
              </w:rPr>
              <w:t>Gastos de apoyo</w:t>
            </w:r>
          </w:p>
        </w:tc>
        <w:tc>
          <w:tcPr>
            <w:tcW w:w="468" w:type="pct"/>
            <w:vAlign w:val="center"/>
          </w:tcPr>
          <w:p w14:paraId="5B83B6FB" w14:textId="09E27E22" w:rsidR="004F3F9F" w:rsidRPr="00F30178" w:rsidRDefault="004F3F9F" w:rsidP="004F3F9F">
            <w:pPr>
              <w:tabs>
                <w:tab w:val="left" w:pos="8280"/>
              </w:tabs>
              <w:spacing w:before="20" w:after="20"/>
              <w:jc w:val="right"/>
              <w:rPr>
                <w:sz w:val="20"/>
                <w:szCs w:val="20"/>
                <w:highlight w:val="yellow"/>
              </w:rPr>
            </w:pPr>
            <w:r>
              <w:rPr>
                <w:color w:val="000000"/>
                <w:sz w:val="20"/>
                <w:szCs w:val="20"/>
              </w:rPr>
              <w:t>17.307</w:t>
            </w:r>
          </w:p>
        </w:tc>
        <w:tc>
          <w:tcPr>
            <w:tcW w:w="468" w:type="pct"/>
            <w:vAlign w:val="center"/>
          </w:tcPr>
          <w:p w14:paraId="670FA13C" w14:textId="64C934F8" w:rsidR="004F3F9F" w:rsidRPr="00F30178" w:rsidRDefault="004F3F9F" w:rsidP="004F3F9F">
            <w:pPr>
              <w:tabs>
                <w:tab w:val="left" w:pos="8280"/>
              </w:tabs>
              <w:spacing w:before="20" w:after="20"/>
              <w:jc w:val="right"/>
              <w:rPr>
                <w:sz w:val="20"/>
                <w:szCs w:val="20"/>
                <w:highlight w:val="yellow"/>
              </w:rPr>
            </w:pPr>
            <w:r>
              <w:rPr>
                <w:color w:val="000000"/>
                <w:sz w:val="20"/>
                <w:szCs w:val="20"/>
              </w:rPr>
              <w:t>0</w:t>
            </w:r>
          </w:p>
        </w:tc>
        <w:tc>
          <w:tcPr>
            <w:tcW w:w="468" w:type="pct"/>
            <w:vAlign w:val="center"/>
          </w:tcPr>
          <w:p w14:paraId="5DA963C5" w14:textId="510D96EC" w:rsidR="004F3F9F" w:rsidRPr="00F30178" w:rsidRDefault="004F3F9F" w:rsidP="004F3F9F">
            <w:pPr>
              <w:tabs>
                <w:tab w:val="left" w:pos="8280"/>
              </w:tabs>
              <w:spacing w:before="20" w:after="20"/>
              <w:jc w:val="right"/>
              <w:rPr>
                <w:sz w:val="20"/>
                <w:szCs w:val="20"/>
                <w:highlight w:val="yellow"/>
              </w:rPr>
            </w:pPr>
            <w:r>
              <w:rPr>
                <w:color w:val="000000"/>
                <w:sz w:val="20"/>
                <w:szCs w:val="20"/>
              </w:rPr>
              <w:t>15.960</w:t>
            </w:r>
          </w:p>
        </w:tc>
        <w:tc>
          <w:tcPr>
            <w:tcW w:w="468" w:type="pct"/>
            <w:vAlign w:val="center"/>
          </w:tcPr>
          <w:p w14:paraId="466568C3" w14:textId="27DFC366" w:rsidR="004F3F9F" w:rsidRPr="00F30178" w:rsidRDefault="004F3F9F" w:rsidP="004F3F9F">
            <w:pPr>
              <w:tabs>
                <w:tab w:val="left" w:pos="8280"/>
              </w:tabs>
              <w:spacing w:before="20" w:after="20"/>
              <w:jc w:val="right"/>
              <w:rPr>
                <w:sz w:val="20"/>
                <w:szCs w:val="20"/>
                <w:highlight w:val="yellow"/>
              </w:rPr>
            </w:pPr>
            <w:r>
              <w:rPr>
                <w:color w:val="000000"/>
                <w:sz w:val="20"/>
                <w:szCs w:val="20"/>
              </w:rPr>
              <w:t>0</w:t>
            </w:r>
          </w:p>
        </w:tc>
        <w:tc>
          <w:tcPr>
            <w:tcW w:w="468" w:type="pct"/>
            <w:vAlign w:val="center"/>
          </w:tcPr>
          <w:p w14:paraId="3B70E5C5" w14:textId="1E712B01" w:rsidR="004F3F9F" w:rsidRPr="00F30178" w:rsidRDefault="004F3F9F" w:rsidP="004F3F9F">
            <w:pPr>
              <w:tabs>
                <w:tab w:val="left" w:pos="8280"/>
              </w:tabs>
              <w:spacing w:before="20" w:after="20"/>
              <w:jc w:val="right"/>
              <w:rPr>
                <w:sz w:val="20"/>
                <w:szCs w:val="20"/>
                <w:highlight w:val="yellow"/>
              </w:rPr>
            </w:pPr>
            <w:r>
              <w:rPr>
                <w:color w:val="000000"/>
                <w:sz w:val="20"/>
                <w:szCs w:val="20"/>
              </w:rPr>
              <w:t>2.271</w:t>
            </w:r>
          </w:p>
        </w:tc>
        <w:tc>
          <w:tcPr>
            <w:tcW w:w="458" w:type="pct"/>
            <w:vAlign w:val="center"/>
          </w:tcPr>
          <w:p w14:paraId="752B83BD" w14:textId="64C0A710" w:rsidR="004F3F9F" w:rsidRPr="00F30178" w:rsidRDefault="004F3F9F" w:rsidP="004F3F9F">
            <w:pPr>
              <w:tabs>
                <w:tab w:val="left" w:pos="8280"/>
              </w:tabs>
              <w:spacing w:before="20" w:after="20"/>
              <w:jc w:val="right"/>
              <w:rPr>
                <w:sz w:val="20"/>
                <w:szCs w:val="20"/>
                <w:highlight w:val="yellow"/>
              </w:rPr>
            </w:pPr>
            <w:r>
              <w:rPr>
                <w:color w:val="000000"/>
                <w:sz w:val="20"/>
                <w:szCs w:val="20"/>
              </w:rPr>
              <w:t>35.538</w:t>
            </w:r>
          </w:p>
        </w:tc>
      </w:tr>
      <w:tr w:rsidR="004F3F9F" w:rsidRPr="009F3322" w14:paraId="12CE4120" w14:textId="77777777" w:rsidTr="005635ED">
        <w:trPr>
          <w:trHeight w:val="46"/>
          <w:jc w:val="center"/>
        </w:trPr>
        <w:tc>
          <w:tcPr>
            <w:tcW w:w="1300" w:type="pct"/>
            <w:gridSpan w:val="2"/>
            <w:vMerge/>
          </w:tcPr>
          <w:p w14:paraId="77C1CF14" w14:textId="77777777" w:rsidR="004F3F9F" w:rsidRPr="009F3322" w:rsidRDefault="004F3F9F" w:rsidP="004F3F9F">
            <w:pPr>
              <w:tabs>
                <w:tab w:val="left" w:pos="8280"/>
              </w:tabs>
              <w:spacing w:before="20" w:after="20"/>
              <w:jc w:val="left"/>
              <w:rPr>
                <w:sz w:val="20"/>
                <w:szCs w:val="20"/>
              </w:rPr>
            </w:pPr>
          </w:p>
        </w:tc>
        <w:tc>
          <w:tcPr>
            <w:tcW w:w="903" w:type="pct"/>
            <w:vAlign w:val="center"/>
          </w:tcPr>
          <w:p w14:paraId="61323B3C" w14:textId="77777777" w:rsidR="004F3F9F" w:rsidRPr="009F3322" w:rsidRDefault="004F3F9F" w:rsidP="004F3F9F">
            <w:pPr>
              <w:tabs>
                <w:tab w:val="left" w:pos="8280"/>
              </w:tabs>
              <w:spacing w:before="20" w:after="20"/>
              <w:jc w:val="left"/>
              <w:rPr>
                <w:sz w:val="20"/>
                <w:szCs w:val="20"/>
              </w:rPr>
            </w:pPr>
            <w:r>
              <w:rPr>
                <w:sz w:val="20"/>
                <w:szCs w:val="20"/>
              </w:rPr>
              <w:t>Total de fondos</w:t>
            </w:r>
          </w:p>
        </w:tc>
        <w:tc>
          <w:tcPr>
            <w:tcW w:w="468" w:type="pct"/>
            <w:vAlign w:val="center"/>
          </w:tcPr>
          <w:p w14:paraId="5F174822" w14:textId="1163BAE5" w:rsidR="004F3F9F" w:rsidRPr="00F30178" w:rsidRDefault="004F3F9F" w:rsidP="004F3F9F">
            <w:pPr>
              <w:tabs>
                <w:tab w:val="left" w:pos="8280"/>
              </w:tabs>
              <w:spacing w:before="20" w:after="20"/>
              <w:jc w:val="right"/>
              <w:rPr>
                <w:sz w:val="20"/>
                <w:szCs w:val="20"/>
                <w:highlight w:val="yellow"/>
              </w:rPr>
            </w:pPr>
            <w:r>
              <w:rPr>
                <w:color w:val="000000"/>
                <w:sz w:val="20"/>
                <w:szCs w:val="20"/>
              </w:rPr>
              <w:t>161.207</w:t>
            </w:r>
          </w:p>
        </w:tc>
        <w:tc>
          <w:tcPr>
            <w:tcW w:w="468" w:type="pct"/>
            <w:vAlign w:val="center"/>
          </w:tcPr>
          <w:p w14:paraId="1B372A4E" w14:textId="27B55F93" w:rsidR="004F3F9F" w:rsidRPr="00F30178" w:rsidRDefault="004F3F9F" w:rsidP="004F3F9F">
            <w:pPr>
              <w:tabs>
                <w:tab w:val="left" w:pos="8280"/>
              </w:tabs>
              <w:spacing w:before="20" w:after="20"/>
              <w:jc w:val="right"/>
              <w:rPr>
                <w:sz w:val="20"/>
                <w:szCs w:val="20"/>
                <w:highlight w:val="yellow"/>
              </w:rPr>
            </w:pPr>
            <w:r>
              <w:rPr>
                <w:color w:val="000000"/>
                <w:sz w:val="20"/>
                <w:szCs w:val="20"/>
              </w:rPr>
              <w:t>0</w:t>
            </w:r>
          </w:p>
        </w:tc>
        <w:tc>
          <w:tcPr>
            <w:tcW w:w="468" w:type="pct"/>
            <w:vAlign w:val="center"/>
          </w:tcPr>
          <w:p w14:paraId="2E5E9FAB" w14:textId="3A05B0E5" w:rsidR="004F3F9F" w:rsidRPr="00F30178" w:rsidRDefault="004F3F9F" w:rsidP="004F3F9F">
            <w:pPr>
              <w:tabs>
                <w:tab w:val="left" w:pos="8280"/>
              </w:tabs>
              <w:spacing w:before="20" w:after="20"/>
              <w:jc w:val="right"/>
              <w:rPr>
                <w:sz w:val="20"/>
                <w:szCs w:val="20"/>
                <w:highlight w:val="yellow"/>
              </w:rPr>
            </w:pPr>
            <w:r>
              <w:rPr>
                <w:color w:val="000000"/>
                <w:sz w:val="20"/>
                <w:szCs w:val="20"/>
              </w:rPr>
              <w:t>143.960</w:t>
            </w:r>
          </w:p>
        </w:tc>
        <w:tc>
          <w:tcPr>
            <w:tcW w:w="468" w:type="pct"/>
            <w:vAlign w:val="center"/>
          </w:tcPr>
          <w:p w14:paraId="7F2038D6" w14:textId="29475D3C" w:rsidR="004F3F9F" w:rsidRPr="00F30178" w:rsidRDefault="004F3F9F" w:rsidP="004F3F9F">
            <w:pPr>
              <w:tabs>
                <w:tab w:val="left" w:pos="8280"/>
              </w:tabs>
              <w:spacing w:before="20" w:after="20"/>
              <w:jc w:val="right"/>
              <w:rPr>
                <w:sz w:val="20"/>
                <w:szCs w:val="20"/>
                <w:highlight w:val="yellow"/>
              </w:rPr>
            </w:pPr>
            <w:r>
              <w:rPr>
                <w:color w:val="000000"/>
                <w:sz w:val="20"/>
                <w:szCs w:val="20"/>
              </w:rPr>
              <w:t>0</w:t>
            </w:r>
          </w:p>
        </w:tc>
        <w:tc>
          <w:tcPr>
            <w:tcW w:w="468" w:type="pct"/>
            <w:vAlign w:val="center"/>
          </w:tcPr>
          <w:p w14:paraId="12316228" w14:textId="2B1425DF" w:rsidR="004F3F9F" w:rsidRPr="00F30178" w:rsidRDefault="004F3F9F" w:rsidP="004F3F9F">
            <w:pPr>
              <w:tabs>
                <w:tab w:val="left" w:pos="8280"/>
              </w:tabs>
              <w:spacing w:before="20" w:after="20"/>
              <w:jc w:val="right"/>
              <w:rPr>
                <w:sz w:val="20"/>
                <w:szCs w:val="20"/>
                <w:highlight w:val="yellow"/>
              </w:rPr>
            </w:pPr>
            <w:r>
              <w:rPr>
                <w:color w:val="000000"/>
                <w:sz w:val="20"/>
                <w:szCs w:val="20"/>
              </w:rPr>
              <w:t>21.371</w:t>
            </w:r>
          </w:p>
        </w:tc>
        <w:tc>
          <w:tcPr>
            <w:tcW w:w="458" w:type="pct"/>
            <w:vAlign w:val="center"/>
          </w:tcPr>
          <w:p w14:paraId="0B8F481D" w14:textId="24FFCBD6" w:rsidR="004F3F9F" w:rsidRPr="00F30178" w:rsidRDefault="004F3F9F" w:rsidP="004F3F9F">
            <w:pPr>
              <w:tabs>
                <w:tab w:val="left" w:pos="8280"/>
              </w:tabs>
              <w:spacing w:before="20" w:after="20"/>
              <w:jc w:val="right"/>
              <w:rPr>
                <w:sz w:val="20"/>
                <w:szCs w:val="20"/>
                <w:highlight w:val="yellow"/>
              </w:rPr>
            </w:pPr>
            <w:r>
              <w:rPr>
                <w:color w:val="000000"/>
                <w:sz w:val="20"/>
                <w:szCs w:val="20"/>
              </w:rPr>
              <w:t>326.538</w:t>
            </w:r>
          </w:p>
        </w:tc>
      </w:tr>
    </w:tbl>
    <w:p w14:paraId="126E0C34" w14:textId="3DDE7CBB" w:rsidR="008C7B67" w:rsidRPr="002D2ED7" w:rsidRDefault="00A50B8E" w:rsidP="008C7B67">
      <w:pPr>
        <w:spacing w:after="120"/>
        <w:ind w:left="-284" w:right="-279"/>
        <w:rPr>
          <w:sz w:val="18"/>
          <w:szCs w:val="18"/>
          <w:lang w:val="es-ES"/>
        </w:rPr>
      </w:pPr>
      <w:r>
        <w:rPr>
          <w:sz w:val="18"/>
          <w:szCs w:val="18"/>
          <w:lang w:val="es-ES"/>
        </w:rPr>
        <w:t>*El financiamiento para 2026 y 2028 incluye un total de USD 100.000, más USD 13.000 en concepto de gastos de apoyo del organismo, destinados al PNUMA para actividades adicionales destinadas a mantener la eficiencia energética, conforme a lo dispuesto en la decisión 89/6.</w:t>
      </w:r>
    </w:p>
    <w:tbl>
      <w:tblPr>
        <w:tblStyle w:val="TableGrid10"/>
        <w:tblW w:w="5364" w:type="pct"/>
        <w:jc w:val="center"/>
        <w:tblLayout w:type="fixed"/>
        <w:tblLook w:val="04A0" w:firstRow="1" w:lastRow="0" w:firstColumn="1" w:lastColumn="0" w:noHBand="0" w:noVBand="1"/>
      </w:tblPr>
      <w:tblGrid>
        <w:gridCol w:w="3343"/>
        <w:gridCol w:w="3344"/>
        <w:gridCol w:w="3344"/>
      </w:tblGrid>
      <w:tr w:rsidR="00563DA8" w:rsidRPr="00E60A01" w14:paraId="107A6B25" w14:textId="77777777" w:rsidTr="00E13F9A">
        <w:trPr>
          <w:trHeight w:val="261"/>
          <w:jc w:val="center"/>
        </w:trPr>
        <w:tc>
          <w:tcPr>
            <w:tcW w:w="5000" w:type="pct"/>
            <w:gridSpan w:val="3"/>
          </w:tcPr>
          <w:p w14:paraId="1580FD19" w14:textId="77777777" w:rsidR="00563DA8" w:rsidRPr="002D2ED7" w:rsidRDefault="00542658" w:rsidP="001161CD">
            <w:pPr>
              <w:spacing w:before="20" w:after="20"/>
              <w:rPr>
                <w:b/>
                <w:color w:val="000000" w:themeColor="text1"/>
                <w:sz w:val="20"/>
                <w:lang w:val="es-ES"/>
              </w:rPr>
            </w:pPr>
            <w:r>
              <w:rPr>
                <w:b/>
                <w:color w:val="000000" w:themeColor="text1"/>
                <w:sz w:val="20"/>
                <w:lang w:val="es-ES"/>
              </w:rPr>
              <w:t>Solicitud de financiamiento para el primer tramo (2026)</w:t>
            </w:r>
          </w:p>
        </w:tc>
      </w:tr>
      <w:tr w:rsidR="00563DA8" w:rsidRPr="00EB31E3" w14:paraId="531E9432" w14:textId="77777777" w:rsidTr="00C00021">
        <w:trPr>
          <w:trHeight w:val="261"/>
          <w:jc w:val="center"/>
        </w:trPr>
        <w:tc>
          <w:tcPr>
            <w:tcW w:w="1666" w:type="pct"/>
          </w:tcPr>
          <w:p w14:paraId="436D33B9" w14:textId="77777777" w:rsidR="00563DA8" w:rsidRPr="009931F4" w:rsidRDefault="00563DA8" w:rsidP="001161CD">
            <w:pPr>
              <w:spacing w:before="20" w:after="20"/>
              <w:jc w:val="center"/>
              <w:rPr>
                <w:b/>
                <w:color w:val="000000" w:themeColor="text1"/>
                <w:sz w:val="20"/>
              </w:rPr>
            </w:pPr>
            <w:r>
              <w:rPr>
                <w:b/>
                <w:color w:val="000000" w:themeColor="text1"/>
                <w:sz w:val="20"/>
              </w:rPr>
              <w:t>Organismo de ejecución</w:t>
            </w:r>
          </w:p>
        </w:tc>
        <w:tc>
          <w:tcPr>
            <w:tcW w:w="1667" w:type="pct"/>
          </w:tcPr>
          <w:p w14:paraId="4F660C69" w14:textId="77777777" w:rsidR="00563DA8" w:rsidRPr="00996241" w:rsidRDefault="00563DA8" w:rsidP="001161CD">
            <w:pPr>
              <w:spacing w:before="20" w:after="20"/>
              <w:jc w:val="center"/>
              <w:rPr>
                <w:b/>
                <w:color w:val="000000" w:themeColor="text1"/>
                <w:sz w:val="20"/>
              </w:rPr>
            </w:pPr>
            <w:r>
              <w:rPr>
                <w:b/>
                <w:color w:val="000000" w:themeColor="text1"/>
                <w:sz w:val="20"/>
              </w:rPr>
              <w:t>Fondos recomendados (USD)</w:t>
            </w:r>
          </w:p>
        </w:tc>
        <w:tc>
          <w:tcPr>
            <w:tcW w:w="1667" w:type="pct"/>
          </w:tcPr>
          <w:p w14:paraId="18F6E792" w14:textId="77777777" w:rsidR="00563DA8" w:rsidRPr="00996241" w:rsidRDefault="00563DA8" w:rsidP="001161CD">
            <w:pPr>
              <w:spacing w:before="20" w:after="20"/>
              <w:jc w:val="center"/>
              <w:rPr>
                <w:b/>
                <w:color w:val="000000" w:themeColor="text1"/>
                <w:sz w:val="20"/>
              </w:rPr>
            </w:pPr>
            <w:r>
              <w:rPr>
                <w:b/>
                <w:color w:val="000000" w:themeColor="text1"/>
                <w:sz w:val="20"/>
              </w:rPr>
              <w:t>Gastos de apoyo (USD)</w:t>
            </w:r>
          </w:p>
        </w:tc>
      </w:tr>
      <w:tr w:rsidR="00563DA8" w:rsidRPr="00EB31E3" w14:paraId="7970B74E" w14:textId="77777777" w:rsidTr="00C00021">
        <w:trPr>
          <w:trHeight w:val="261"/>
          <w:jc w:val="center"/>
        </w:trPr>
        <w:tc>
          <w:tcPr>
            <w:tcW w:w="1666" w:type="pct"/>
          </w:tcPr>
          <w:p w14:paraId="572818EE" w14:textId="10C0D0A3" w:rsidR="00563DA8" w:rsidRPr="00996241" w:rsidRDefault="00697CB1" w:rsidP="001161CD">
            <w:pPr>
              <w:spacing w:before="20" w:after="20"/>
              <w:rPr>
                <w:color w:val="000000" w:themeColor="text1"/>
                <w:sz w:val="20"/>
              </w:rPr>
            </w:pPr>
            <w:r>
              <w:rPr>
                <w:color w:val="000000" w:themeColor="text1"/>
                <w:sz w:val="20"/>
              </w:rPr>
              <w:t>PNUMA</w:t>
            </w:r>
          </w:p>
        </w:tc>
        <w:tc>
          <w:tcPr>
            <w:tcW w:w="1667" w:type="pct"/>
          </w:tcPr>
          <w:p w14:paraId="38514957" w14:textId="07600288" w:rsidR="00563DA8" w:rsidRPr="00954896" w:rsidRDefault="004F3F9F" w:rsidP="001161CD">
            <w:pPr>
              <w:spacing w:before="20" w:after="20"/>
              <w:jc w:val="right"/>
              <w:rPr>
                <w:color w:val="000000" w:themeColor="text1"/>
                <w:sz w:val="20"/>
              </w:rPr>
            </w:pPr>
            <w:r>
              <w:rPr>
                <w:color w:val="000000" w:themeColor="text1"/>
                <w:sz w:val="20"/>
              </w:rPr>
              <w:t>108.900</w:t>
            </w:r>
          </w:p>
        </w:tc>
        <w:tc>
          <w:tcPr>
            <w:tcW w:w="1667" w:type="pct"/>
          </w:tcPr>
          <w:p w14:paraId="21775125" w14:textId="094DDDDF" w:rsidR="00563DA8" w:rsidRPr="00954896" w:rsidRDefault="004F3F9F" w:rsidP="001161CD">
            <w:pPr>
              <w:spacing w:before="20" w:after="20"/>
              <w:jc w:val="right"/>
              <w:rPr>
                <w:color w:val="000000" w:themeColor="text1"/>
                <w:sz w:val="20"/>
              </w:rPr>
            </w:pPr>
            <w:r>
              <w:rPr>
                <w:color w:val="000000" w:themeColor="text1"/>
                <w:sz w:val="20"/>
              </w:rPr>
              <w:t>14.157</w:t>
            </w:r>
          </w:p>
        </w:tc>
      </w:tr>
      <w:tr w:rsidR="00563DA8" w:rsidRPr="00EB31E3" w14:paraId="616BCA4A" w14:textId="77777777" w:rsidTr="00C00021">
        <w:trPr>
          <w:trHeight w:val="67"/>
          <w:jc w:val="center"/>
        </w:trPr>
        <w:tc>
          <w:tcPr>
            <w:tcW w:w="1666" w:type="pct"/>
          </w:tcPr>
          <w:p w14:paraId="74351462" w14:textId="491118A2" w:rsidR="00563DA8" w:rsidRPr="009931F4" w:rsidRDefault="009A6121" w:rsidP="001161CD">
            <w:pPr>
              <w:spacing w:before="20" w:after="20"/>
              <w:rPr>
                <w:color w:val="000000" w:themeColor="text1"/>
                <w:sz w:val="20"/>
              </w:rPr>
            </w:pPr>
            <w:r>
              <w:rPr>
                <w:color w:val="000000" w:themeColor="text1"/>
                <w:sz w:val="20"/>
              </w:rPr>
              <w:t>ONUDI</w:t>
            </w:r>
          </w:p>
        </w:tc>
        <w:tc>
          <w:tcPr>
            <w:tcW w:w="1667" w:type="pct"/>
          </w:tcPr>
          <w:p w14:paraId="335BE6EB" w14:textId="08A61EE8" w:rsidR="00563DA8" w:rsidRPr="00954896" w:rsidRDefault="00954896" w:rsidP="001161CD">
            <w:pPr>
              <w:spacing w:before="20" w:after="20"/>
              <w:jc w:val="right"/>
              <w:rPr>
                <w:color w:val="000000" w:themeColor="text1"/>
                <w:sz w:val="20"/>
              </w:rPr>
            </w:pPr>
            <w:r>
              <w:rPr>
                <w:color w:val="000000" w:themeColor="text1"/>
                <w:sz w:val="20"/>
              </w:rPr>
              <w:t>35.000</w:t>
            </w:r>
          </w:p>
        </w:tc>
        <w:tc>
          <w:tcPr>
            <w:tcW w:w="1667" w:type="pct"/>
          </w:tcPr>
          <w:p w14:paraId="67B68DD3" w14:textId="3EC08310" w:rsidR="00563DA8" w:rsidRPr="00954896" w:rsidRDefault="00954896" w:rsidP="001161CD">
            <w:pPr>
              <w:spacing w:before="20" w:after="20"/>
              <w:jc w:val="right"/>
              <w:rPr>
                <w:color w:val="000000" w:themeColor="text1"/>
                <w:sz w:val="20"/>
              </w:rPr>
            </w:pPr>
            <w:r>
              <w:rPr>
                <w:color w:val="000000" w:themeColor="text1"/>
                <w:sz w:val="20"/>
              </w:rPr>
              <w:t>3.150</w:t>
            </w:r>
          </w:p>
        </w:tc>
      </w:tr>
      <w:tr w:rsidR="00D31317" w:rsidRPr="00EB31E3" w14:paraId="4E605FB4" w14:textId="77777777" w:rsidTr="00C00021">
        <w:trPr>
          <w:trHeight w:val="261"/>
          <w:jc w:val="center"/>
        </w:trPr>
        <w:tc>
          <w:tcPr>
            <w:tcW w:w="1666" w:type="pct"/>
          </w:tcPr>
          <w:p w14:paraId="7F3C75A3" w14:textId="77777777" w:rsidR="00D31317" w:rsidRPr="009931F4" w:rsidRDefault="00D31317" w:rsidP="00D31317">
            <w:pPr>
              <w:spacing w:before="20" w:after="20"/>
              <w:rPr>
                <w:color w:val="000000" w:themeColor="text1"/>
                <w:sz w:val="20"/>
                <w:highlight w:val="cyan"/>
              </w:rPr>
            </w:pPr>
            <w:r>
              <w:rPr>
                <w:color w:val="000000" w:themeColor="text1"/>
                <w:sz w:val="20"/>
              </w:rPr>
              <w:t>Total</w:t>
            </w:r>
          </w:p>
        </w:tc>
        <w:tc>
          <w:tcPr>
            <w:tcW w:w="1667" w:type="pct"/>
          </w:tcPr>
          <w:p w14:paraId="4D79D89D" w14:textId="0B456BE9" w:rsidR="00D31317" w:rsidRPr="00954896" w:rsidRDefault="004F3F9F" w:rsidP="00D31317">
            <w:pPr>
              <w:spacing w:before="20" w:after="20"/>
              <w:jc w:val="right"/>
              <w:rPr>
                <w:color w:val="000000" w:themeColor="text1"/>
                <w:sz w:val="20"/>
              </w:rPr>
            </w:pPr>
            <w:r>
              <w:rPr>
                <w:color w:val="000000" w:themeColor="text1"/>
                <w:sz w:val="20"/>
              </w:rPr>
              <w:t>143.900</w:t>
            </w:r>
          </w:p>
        </w:tc>
        <w:tc>
          <w:tcPr>
            <w:tcW w:w="1667" w:type="pct"/>
          </w:tcPr>
          <w:p w14:paraId="5677D62D" w14:textId="01499075" w:rsidR="00D31317" w:rsidRPr="00954896" w:rsidRDefault="004F3F9F" w:rsidP="00D31317">
            <w:pPr>
              <w:spacing w:before="20" w:after="20"/>
              <w:jc w:val="right"/>
              <w:rPr>
                <w:color w:val="000000" w:themeColor="text1"/>
                <w:sz w:val="20"/>
              </w:rPr>
            </w:pPr>
            <w:r>
              <w:rPr>
                <w:color w:val="000000" w:themeColor="text1"/>
                <w:sz w:val="20"/>
              </w:rPr>
              <w:t>17.307</w:t>
            </w:r>
          </w:p>
        </w:tc>
      </w:tr>
    </w:tbl>
    <w:p w14:paraId="624450AF" w14:textId="77777777" w:rsidR="00563DA8" w:rsidRPr="00C56812" w:rsidRDefault="00563DA8" w:rsidP="001161CD">
      <w:pPr>
        <w:jc w:val="center"/>
        <w:rPr>
          <w:sz w:val="18"/>
          <w:szCs w:val="18"/>
        </w:rPr>
      </w:pPr>
    </w:p>
    <w:tbl>
      <w:tblPr>
        <w:tblStyle w:val="TableGrid"/>
        <w:tblW w:w="5364" w:type="pct"/>
        <w:jc w:val="center"/>
        <w:tblLayout w:type="fixed"/>
        <w:tblLook w:val="04A0" w:firstRow="1" w:lastRow="0" w:firstColumn="1" w:lastColumn="0" w:noHBand="0" w:noVBand="1"/>
      </w:tblPr>
      <w:tblGrid>
        <w:gridCol w:w="5015"/>
        <w:gridCol w:w="5016"/>
      </w:tblGrid>
      <w:tr w:rsidR="00563DA8" w:rsidRPr="00EB31E3" w14:paraId="0772D3D4" w14:textId="77777777" w:rsidTr="00C00021">
        <w:trPr>
          <w:trHeight w:hRule="exact" w:val="281"/>
          <w:jc w:val="center"/>
        </w:trPr>
        <w:tc>
          <w:tcPr>
            <w:tcW w:w="2500" w:type="pct"/>
          </w:tcPr>
          <w:p w14:paraId="71D830AC" w14:textId="77777777" w:rsidR="00563DA8" w:rsidRPr="00996241" w:rsidRDefault="00563DA8" w:rsidP="00E13F9A">
            <w:pPr>
              <w:spacing w:before="20" w:after="20"/>
              <w:jc w:val="left"/>
              <w:rPr>
                <w:b/>
                <w:color w:val="000000" w:themeColor="text1"/>
                <w:sz w:val="20"/>
              </w:rPr>
            </w:pPr>
            <w:r>
              <w:rPr>
                <w:b/>
                <w:color w:val="000000" w:themeColor="text1"/>
                <w:sz w:val="20"/>
              </w:rPr>
              <w:t>Recomendación de la Secretaría:</w:t>
            </w:r>
          </w:p>
        </w:tc>
        <w:tc>
          <w:tcPr>
            <w:tcW w:w="2500" w:type="pct"/>
          </w:tcPr>
          <w:p w14:paraId="0DD0344B" w14:textId="77777777" w:rsidR="00563DA8" w:rsidRPr="00996241" w:rsidRDefault="00563DA8" w:rsidP="00E13F9A">
            <w:pPr>
              <w:spacing w:before="20" w:after="20"/>
              <w:jc w:val="center"/>
              <w:rPr>
                <w:color w:val="000000" w:themeColor="text1"/>
                <w:sz w:val="20"/>
              </w:rPr>
            </w:pPr>
            <w:r>
              <w:rPr>
                <w:color w:val="000000" w:themeColor="text1"/>
                <w:sz w:val="20"/>
              </w:rPr>
              <w:t>Consideración individual</w:t>
            </w:r>
          </w:p>
        </w:tc>
      </w:tr>
    </w:tbl>
    <w:p w14:paraId="249A994B" w14:textId="77777777" w:rsidR="00D31317" w:rsidRDefault="00D31317" w:rsidP="00D31317">
      <w:pPr>
        <w:tabs>
          <w:tab w:val="left" w:pos="2880"/>
          <w:tab w:val="left" w:pos="5760"/>
        </w:tabs>
        <w:spacing w:after="240"/>
        <w:rPr>
          <w:b/>
        </w:rPr>
      </w:pPr>
      <w:r>
        <w:rPr>
          <w:b/>
        </w:rPr>
        <w:br w:type="page"/>
      </w:r>
    </w:p>
    <w:p w14:paraId="5B35106E" w14:textId="4ED38B7A" w:rsidR="00563DA8" w:rsidRPr="00996241" w:rsidRDefault="00563DA8" w:rsidP="001161CD">
      <w:pPr>
        <w:keepNext/>
        <w:tabs>
          <w:tab w:val="left" w:pos="2880"/>
          <w:tab w:val="left" w:pos="5760"/>
        </w:tabs>
        <w:spacing w:before="240" w:after="240"/>
        <w:jc w:val="center"/>
        <w:rPr>
          <w:b/>
        </w:rPr>
      </w:pPr>
      <w:r>
        <w:rPr>
          <w:b/>
        </w:rPr>
        <w:lastRenderedPageBreak/>
        <w:t>DESCRIPCIÓN DEL PROYECTO</w:t>
      </w:r>
    </w:p>
    <w:p w14:paraId="1DC43071" w14:textId="77777777" w:rsidR="00563DA8" w:rsidRPr="00996241" w:rsidRDefault="00563DA8" w:rsidP="001161CD">
      <w:pPr>
        <w:keepNext/>
        <w:spacing w:after="240"/>
        <w:rPr>
          <w:b/>
        </w:rPr>
      </w:pPr>
      <w:r>
        <w:rPr>
          <w:b/>
        </w:rPr>
        <w:t>Antecedentes</w:t>
      </w:r>
    </w:p>
    <w:p w14:paraId="0A8328C9" w14:textId="72AFAE54" w:rsidR="00F9712F" w:rsidRPr="002D2ED7" w:rsidRDefault="00563DA8" w:rsidP="00FD395B">
      <w:pPr>
        <w:pStyle w:val="Heading1"/>
        <w:rPr>
          <w:lang w:val="es-ES"/>
        </w:rPr>
      </w:pPr>
      <w:r>
        <w:rPr>
          <w:lang w:val="es-ES"/>
        </w:rPr>
        <w:t>En nombre del Gobierno de Saint Kitts y Nevis, el PNUMA, en su calidad de organismo principal de ejecución, ha presentado una solicitud para la etapa II del Plan de gestión para la eliminación de los HCFC (PGEH), con un costo total de USD 585.914, que comprende USD 396.100, más los gastos de apoyo del organismo de USD 51.493 para el PNUMA y USD 126.900, más los gastos de apoyo del organismo ONUDI por valor de USD 11.421, según lo originalmente solicitado.</w:t>
      </w:r>
      <w:r>
        <w:rPr>
          <w:vertAlign w:val="superscript"/>
        </w:rPr>
        <w:footnoteReference w:id="3"/>
      </w:r>
      <w:r>
        <w:rPr>
          <w:lang w:val="es-ES"/>
        </w:rPr>
        <w:t xml:space="preserve"> La propuesta incluye una solicitud de financiación para actividades adicionales destinadas a mantener la eficiencia energética en el sector del mantenimiento de equipos de refrigeración.</w:t>
      </w:r>
      <w:r>
        <w:rPr>
          <w:rStyle w:val="FootnoteReference"/>
        </w:rPr>
        <w:footnoteReference w:id="4"/>
      </w:r>
      <w:r>
        <w:rPr>
          <w:lang w:val="es-ES"/>
        </w:rPr>
        <w:t xml:space="preserve"> La ejecución de la etapa II del PGEH eliminará progresivamente el consumo restante de HCFC para 2030.</w:t>
      </w:r>
    </w:p>
    <w:p w14:paraId="64C0504E" w14:textId="1BF923FF" w:rsidR="00563DA8" w:rsidRPr="002D2ED7" w:rsidRDefault="00563DA8" w:rsidP="001161CD">
      <w:pPr>
        <w:pStyle w:val="Heading1"/>
        <w:rPr>
          <w:lang w:val="es-ES"/>
        </w:rPr>
      </w:pPr>
      <w:r>
        <w:rPr>
          <w:lang w:val="es-ES"/>
        </w:rPr>
        <w:t>El primer tramo de la etapa II del PGEH que se solicita en esta reunión asciende a USD 351.290, compuesto por USD 253.000, más gastos de apoyo al organismo de USD 32.890 para el PNUMA, y USD 60.000, más gastos de apoyo al organismo de USD 5.400 para la ONUDI, tal como se presentó originalmente.</w:t>
      </w:r>
    </w:p>
    <w:p w14:paraId="40D59D66" w14:textId="327367FB" w:rsidR="00563DA8" w:rsidRPr="002D2ED7" w:rsidRDefault="00563DA8" w:rsidP="001161CD">
      <w:pPr>
        <w:keepNext/>
        <w:spacing w:after="240"/>
        <w:outlineLvl w:val="0"/>
        <w:rPr>
          <w:b/>
          <w:lang w:val="es-ES"/>
        </w:rPr>
      </w:pPr>
      <w:r>
        <w:rPr>
          <w:b/>
          <w:lang w:val="es-ES"/>
        </w:rPr>
        <w:t xml:space="preserve">Situación de ejecución de </w:t>
      </w:r>
      <w:r>
        <w:rPr>
          <w:b/>
          <w:bCs/>
          <w:lang w:val="es-ES"/>
        </w:rPr>
        <w:t xml:space="preserve">la etapa I </w:t>
      </w:r>
      <w:r>
        <w:rPr>
          <w:b/>
          <w:lang w:val="es-ES"/>
        </w:rPr>
        <w:t>del Plan de gestión para la eliminación de los HCFC</w:t>
      </w:r>
    </w:p>
    <w:p w14:paraId="5E041C75" w14:textId="61517C79" w:rsidR="00563DA8" w:rsidRPr="002D2ED7" w:rsidRDefault="00563DA8" w:rsidP="001161CD">
      <w:pPr>
        <w:pStyle w:val="Heading1"/>
        <w:tabs>
          <w:tab w:val="num" w:pos="709"/>
        </w:tabs>
        <w:rPr>
          <w:lang w:val="es-ES"/>
        </w:rPr>
      </w:pPr>
      <w:r>
        <w:rPr>
          <w:lang w:val="es-ES"/>
        </w:rPr>
        <w:t>La etapa I del PGEH de Saint Kitts y Nevis fue aprobada en la 64ª reunión</w:t>
      </w:r>
      <w:r>
        <w:rPr>
          <w:vertAlign w:val="superscript"/>
        </w:rPr>
        <w:footnoteReference w:id="5"/>
      </w:r>
      <w:r>
        <w:rPr>
          <w:lang w:val="es-ES"/>
        </w:rPr>
        <w:t xml:space="preserve"> con el objetivo de eliminar gradualmente 0,18 toneladas PAO de HCFC utilizados en el mantenimiento de sistemas de refrigeración y aire acondicionado (RAC) y alcanzar una reducción del 35 % respecto al nivel básico de referencia para 2020, con un costo total de USD 164.500, más los gastos de apoyo del organismo. La etapa I del PGEH se completó en junio de 2024, tal y como prorrogó el Comité Ejecutivo en su 93ª reunión.</w:t>
      </w:r>
      <w:r>
        <w:rPr>
          <w:rStyle w:val="FootnoteReference"/>
        </w:rPr>
        <w:footnoteReference w:id="6"/>
      </w:r>
      <w:r>
        <w:rPr>
          <w:lang w:val="es-ES"/>
        </w:rPr>
        <w:t xml:space="preserve"> El informe de finalización se recibió en febrero de 2025. </w:t>
      </w:r>
    </w:p>
    <w:p w14:paraId="5EC49C81" w14:textId="16860D2E" w:rsidR="00563DA8" w:rsidRPr="002D2ED7" w:rsidRDefault="00563DA8" w:rsidP="001161CD">
      <w:pPr>
        <w:keepNext/>
        <w:spacing w:after="240"/>
        <w:rPr>
          <w:lang w:val="es-ES"/>
        </w:rPr>
      </w:pPr>
      <w:r>
        <w:rPr>
          <w:u w:val="single"/>
          <w:lang w:val="es-ES"/>
        </w:rPr>
        <w:t xml:space="preserve">Informe sobre el consumo de HCFC </w:t>
      </w:r>
      <w:bookmarkStart w:id="0" w:name="_Hlk170900703"/>
    </w:p>
    <w:p w14:paraId="37B4DF33" w14:textId="20E5C03B" w:rsidR="00563DA8" w:rsidRPr="002D2ED7" w:rsidRDefault="00563DA8" w:rsidP="00BA0838">
      <w:pPr>
        <w:pStyle w:val="Heading1"/>
        <w:widowControl w:val="0"/>
        <w:spacing w:after="0"/>
        <w:rPr>
          <w:lang w:val="es-ES"/>
        </w:rPr>
      </w:pPr>
      <w:bookmarkStart w:id="1" w:name="_Hlk141281293"/>
      <w:bookmarkEnd w:id="0"/>
      <w:r>
        <w:rPr>
          <w:lang w:val="es-ES"/>
        </w:rPr>
        <w:t>El Gobierno de Saint Kitts y Nevis comunicó, en el informe de ejecución del programa de país (CP), un consumo de 0,04 toneladas PAO de HCFC en 2025, lo que supone un 91 % por debajo del nivel básico de referencia para el cumplimiento. Aún no se han comunicado los datos del artículo 7 correspondientes a 2025. El consumo de HCFC para el período 2021–2025 se muestra en el Cuadro 1.</w:t>
      </w:r>
    </w:p>
    <w:bookmarkEnd w:id="1"/>
    <w:p w14:paraId="30E3754E" w14:textId="555CB4FD" w:rsidR="00563DA8" w:rsidRPr="002D2ED7" w:rsidRDefault="00563DA8" w:rsidP="006A77D7">
      <w:pPr>
        <w:keepNext/>
        <w:spacing w:before="240"/>
        <w:rPr>
          <w:b/>
          <w:lang w:val="es-ES"/>
        </w:rPr>
      </w:pPr>
      <w:r>
        <w:rPr>
          <w:b/>
          <w:lang w:val="es-ES"/>
        </w:rPr>
        <w:t>Cuadro 1. Consumo de HCFC en 2021–2025 en Saint Kitts y Nevis (datos del artículo 7)</w:t>
      </w:r>
    </w:p>
    <w:tbl>
      <w:tblPr>
        <w:tblW w:w="5000" w:type="pct"/>
        <w:tblLayout w:type="fixed"/>
        <w:tblLook w:val="04A0" w:firstRow="1" w:lastRow="0" w:firstColumn="1" w:lastColumn="0" w:noHBand="0" w:noVBand="1"/>
      </w:tblPr>
      <w:tblGrid>
        <w:gridCol w:w="2336"/>
        <w:gridCol w:w="1062"/>
        <w:gridCol w:w="1062"/>
        <w:gridCol w:w="1062"/>
        <w:gridCol w:w="1062"/>
        <w:gridCol w:w="1062"/>
        <w:gridCol w:w="1704"/>
      </w:tblGrid>
      <w:tr w:rsidR="004001AC" w:rsidRPr="00EB31E3" w14:paraId="32264B3E" w14:textId="77777777" w:rsidTr="00612921">
        <w:trPr>
          <w:trHeight w:val="248"/>
          <w:tblHeader/>
        </w:trPr>
        <w:tc>
          <w:tcPr>
            <w:tcW w:w="1249"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hideMark/>
          </w:tcPr>
          <w:p w14:paraId="2117F9A5" w14:textId="77777777" w:rsidR="00563DA8" w:rsidRPr="00A64978" w:rsidRDefault="00563DA8" w:rsidP="001324D5">
            <w:pPr>
              <w:keepNext/>
              <w:spacing w:before="20" w:after="20"/>
              <w:jc w:val="left"/>
              <w:rPr>
                <w:b/>
                <w:color w:val="000000"/>
                <w:sz w:val="20"/>
                <w:szCs w:val="20"/>
              </w:rPr>
            </w:pPr>
            <w:r>
              <w:rPr>
                <w:b/>
                <w:color w:val="000000"/>
                <w:sz w:val="20"/>
                <w:szCs w:val="20"/>
              </w:rPr>
              <w:t>HCFC-22</w:t>
            </w:r>
          </w:p>
        </w:tc>
        <w:tc>
          <w:tcPr>
            <w:tcW w:w="568" w:type="pct"/>
            <w:tcBorders>
              <w:top w:val="single" w:sz="4" w:space="0" w:color="auto"/>
              <w:left w:val="nil"/>
              <w:bottom w:val="single" w:sz="4" w:space="0" w:color="auto"/>
              <w:right w:val="single" w:sz="4" w:space="0" w:color="auto"/>
            </w:tcBorders>
            <w:noWrap/>
            <w:vAlign w:val="center"/>
            <w:hideMark/>
          </w:tcPr>
          <w:p w14:paraId="2FD0ED48" w14:textId="77777777" w:rsidR="00563DA8" w:rsidRPr="00A64978" w:rsidRDefault="009C7DD7" w:rsidP="001324D5">
            <w:pPr>
              <w:keepNext/>
              <w:spacing w:before="20" w:after="20"/>
              <w:jc w:val="center"/>
              <w:rPr>
                <w:b/>
                <w:color w:val="000000"/>
                <w:sz w:val="20"/>
                <w:szCs w:val="20"/>
              </w:rPr>
            </w:pPr>
            <w:r>
              <w:rPr>
                <w:b/>
                <w:color w:val="000000"/>
                <w:sz w:val="20"/>
                <w:szCs w:val="20"/>
              </w:rPr>
              <w:t>2021</w:t>
            </w:r>
          </w:p>
        </w:tc>
        <w:tc>
          <w:tcPr>
            <w:tcW w:w="568" w:type="pct"/>
            <w:tcBorders>
              <w:top w:val="single" w:sz="4" w:space="0" w:color="auto"/>
              <w:left w:val="nil"/>
              <w:bottom w:val="single" w:sz="4" w:space="0" w:color="auto"/>
              <w:right w:val="single" w:sz="4" w:space="0" w:color="auto"/>
            </w:tcBorders>
            <w:vAlign w:val="center"/>
          </w:tcPr>
          <w:p w14:paraId="7D2BC1CA" w14:textId="77777777" w:rsidR="00563DA8" w:rsidRPr="00A64978" w:rsidRDefault="009C7DD7" w:rsidP="001324D5">
            <w:pPr>
              <w:keepNext/>
              <w:spacing w:before="20" w:after="20"/>
              <w:jc w:val="center"/>
              <w:rPr>
                <w:b/>
                <w:color w:val="000000"/>
                <w:sz w:val="20"/>
                <w:szCs w:val="20"/>
              </w:rPr>
            </w:pPr>
            <w:r>
              <w:rPr>
                <w:b/>
                <w:color w:val="000000"/>
                <w:sz w:val="20"/>
                <w:szCs w:val="20"/>
              </w:rPr>
              <w:t>2022</w:t>
            </w:r>
          </w:p>
        </w:tc>
        <w:tc>
          <w:tcPr>
            <w:tcW w:w="568" w:type="pct"/>
            <w:tcBorders>
              <w:top w:val="single" w:sz="4" w:space="0" w:color="auto"/>
              <w:left w:val="single" w:sz="4" w:space="0" w:color="auto"/>
              <w:bottom w:val="single" w:sz="4" w:space="0" w:color="auto"/>
              <w:right w:val="single" w:sz="4" w:space="0" w:color="auto"/>
            </w:tcBorders>
            <w:vAlign w:val="center"/>
          </w:tcPr>
          <w:p w14:paraId="12B64C09" w14:textId="77777777" w:rsidR="00563DA8" w:rsidRPr="00A64978" w:rsidRDefault="009C7DD7" w:rsidP="001324D5">
            <w:pPr>
              <w:keepNext/>
              <w:spacing w:before="20" w:after="20"/>
              <w:jc w:val="center"/>
              <w:rPr>
                <w:b/>
                <w:color w:val="000000"/>
                <w:sz w:val="20"/>
                <w:szCs w:val="20"/>
              </w:rPr>
            </w:pPr>
            <w:r>
              <w:rPr>
                <w:b/>
                <w:color w:val="000000"/>
                <w:sz w:val="20"/>
                <w:szCs w:val="20"/>
              </w:rPr>
              <w:t>2023</w:t>
            </w:r>
          </w:p>
        </w:tc>
        <w:tc>
          <w:tcPr>
            <w:tcW w:w="568" w:type="pct"/>
            <w:tcBorders>
              <w:top w:val="single" w:sz="4" w:space="0" w:color="auto"/>
              <w:left w:val="single" w:sz="4" w:space="0" w:color="auto"/>
              <w:bottom w:val="single" w:sz="4" w:space="0" w:color="auto"/>
              <w:right w:val="single" w:sz="4" w:space="0" w:color="auto"/>
            </w:tcBorders>
            <w:vAlign w:val="center"/>
          </w:tcPr>
          <w:p w14:paraId="768FAD3D" w14:textId="77777777" w:rsidR="00563DA8" w:rsidRPr="00A64978" w:rsidRDefault="009C7DD7" w:rsidP="001324D5">
            <w:pPr>
              <w:keepNext/>
              <w:spacing w:before="20" w:after="20"/>
              <w:jc w:val="center"/>
              <w:rPr>
                <w:b/>
                <w:color w:val="000000"/>
                <w:sz w:val="20"/>
                <w:szCs w:val="20"/>
              </w:rPr>
            </w:pPr>
            <w:r>
              <w:rPr>
                <w:b/>
                <w:color w:val="000000"/>
                <w:sz w:val="20"/>
                <w:szCs w:val="20"/>
              </w:rPr>
              <w:t>2024</w:t>
            </w:r>
          </w:p>
        </w:tc>
        <w:tc>
          <w:tcPr>
            <w:tcW w:w="568" w:type="pct"/>
            <w:tcBorders>
              <w:top w:val="single" w:sz="4" w:space="0" w:color="auto"/>
              <w:left w:val="single" w:sz="4" w:space="0" w:color="auto"/>
              <w:bottom w:val="single" w:sz="4" w:space="0" w:color="auto"/>
              <w:right w:val="single" w:sz="4" w:space="0" w:color="auto"/>
            </w:tcBorders>
            <w:vAlign w:val="center"/>
          </w:tcPr>
          <w:p w14:paraId="00F5F14E" w14:textId="77777777" w:rsidR="00563DA8" w:rsidRPr="00A64978" w:rsidRDefault="00563DA8" w:rsidP="001324D5">
            <w:pPr>
              <w:keepNext/>
              <w:spacing w:before="20" w:after="20"/>
              <w:jc w:val="center"/>
              <w:rPr>
                <w:b/>
                <w:color w:val="000000"/>
                <w:sz w:val="20"/>
                <w:szCs w:val="20"/>
              </w:rPr>
            </w:pPr>
            <w:r>
              <w:rPr>
                <w:b/>
                <w:color w:val="000000"/>
                <w:sz w:val="20"/>
                <w:szCs w:val="20"/>
              </w:rPr>
              <w:t>2025</w:t>
            </w:r>
          </w:p>
        </w:tc>
        <w:tc>
          <w:tcPr>
            <w:tcW w:w="912" w:type="pct"/>
            <w:tcBorders>
              <w:top w:val="single" w:sz="4" w:space="0" w:color="auto"/>
              <w:left w:val="single" w:sz="4" w:space="0" w:color="auto"/>
              <w:bottom w:val="single" w:sz="4" w:space="0" w:color="auto"/>
              <w:right w:val="single" w:sz="4" w:space="0" w:color="auto"/>
            </w:tcBorders>
            <w:noWrap/>
            <w:vAlign w:val="center"/>
            <w:hideMark/>
          </w:tcPr>
          <w:p w14:paraId="7636DF6D" w14:textId="77777777" w:rsidR="00563DA8" w:rsidRPr="00A64978" w:rsidRDefault="00563DA8" w:rsidP="001324D5">
            <w:pPr>
              <w:keepNext/>
              <w:spacing w:before="20" w:after="20"/>
              <w:jc w:val="center"/>
              <w:rPr>
                <w:b/>
                <w:color w:val="000000"/>
                <w:sz w:val="20"/>
                <w:szCs w:val="20"/>
              </w:rPr>
            </w:pPr>
            <w:r>
              <w:rPr>
                <w:b/>
                <w:color w:val="000000"/>
                <w:sz w:val="20"/>
                <w:szCs w:val="20"/>
              </w:rPr>
              <w:t>Nivel básico de referencia</w:t>
            </w:r>
          </w:p>
        </w:tc>
      </w:tr>
      <w:tr w:rsidR="00EE73B1" w:rsidRPr="00EB31E3" w14:paraId="65FC6861" w14:textId="77777777" w:rsidTr="00612921">
        <w:trPr>
          <w:trHeight w:val="240"/>
        </w:trPr>
        <w:tc>
          <w:tcPr>
            <w:tcW w:w="1249" w:type="pct"/>
            <w:tcBorders>
              <w:top w:val="nil"/>
              <w:left w:val="single" w:sz="4" w:space="0" w:color="auto"/>
              <w:bottom w:val="single" w:sz="4" w:space="0" w:color="auto"/>
              <w:right w:val="single" w:sz="4" w:space="0" w:color="auto"/>
            </w:tcBorders>
            <w:noWrap/>
            <w:tcMar>
              <w:left w:w="43" w:type="dxa"/>
              <w:right w:w="43" w:type="dxa"/>
            </w:tcMar>
            <w:vAlign w:val="center"/>
            <w:hideMark/>
          </w:tcPr>
          <w:p w14:paraId="02214518" w14:textId="77777777" w:rsidR="00EE73B1" w:rsidRPr="00A64978" w:rsidRDefault="00EE73B1" w:rsidP="00EE73B1">
            <w:pPr>
              <w:spacing w:before="20" w:after="20"/>
              <w:jc w:val="left"/>
              <w:rPr>
                <w:b/>
                <w:bCs/>
                <w:color w:val="000000"/>
                <w:sz w:val="20"/>
                <w:szCs w:val="20"/>
              </w:rPr>
            </w:pPr>
            <w:r>
              <w:rPr>
                <w:b/>
                <w:bCs/>
                <w:color w:val="000000"/>
                <w:sz w:val="20"/>
                <w:szCs w:val="20"/>
              </w:rPr>
              <w:t>Toneladas métricas (t)</w:t>
            </w:r>
          </w:p>
        </w:tc>
        <w:tc>
          <w:tcPr>
            <w:tcW w:w="568" w:type="pct"/>
            <w:tcBorders>
              <w:top w:val="nil"/>
              <w:left w:val="nil"/>
              <w:bottom w:val="single" w:sz="4" w:space="0" w:color="auto"/>
              <w:right w:val="single" w:sz="4" w:space="0" w:color="auto"/>
            </w:tcBorders>
            <w:noWrap/>
            <w:tcMar>
              <w:left w:w="115" w:type="dxa"/>
              <w:right w:w="230" w:type="dxa"/>
            </w:tcMar>
            <w:vAlign w:val="bottom"/>
          </w:tcPr>
          <w:p w14:paraId="51646CB4" w14:textId="59F20954" w:rsidR="00EE73B1" w:rsidRPr="00A64978" w:rsidRDefault="00EE73B1" w:rsidP="00EE73B1">
            <w:pPr>
              <w:spacing w:before="20" w:after="20"/>
              <w:ind w:right="-125"/>
              <w:jc w:val="right"/>
              <w:rPr>
                <w:sz w:val="20"/>
                <w:szCs w:val="20"/>
                <w:highlight w:val="cyan"/>
              </w:rPr>
            </w:pPr>
            <w:r>
              <w:rPr>
                <w:color w:val="000000"/>
                <w:sz w:val="20"/>
                <w:szCs w:val="20"/>
              </w:rPr>
              <w:t>0,68</w:t>
            </w:r>
          </w:p>
        </w:tc>
        <w:tc>
          <w:tcPr>
            <w:tcW w:w="568" w:type="pct"/>
            <w:tcBorders>
              <w:top w:val="single" w:sz="4" w:space="0" w:color="auto"/>
              <w:left w:val="nil"/>
              <w:bottom w:val="single" w:sz="4" w:space="0" w:color="auto"/>
              <w:right w:val="single" w:sz="4" w:space="0" w:color="auto"/>
            </w:tcBorders>
            <w:tcMar>
              <w:left w:w="115" w:type="dxa"/>
              <w:right w:w="230" w:type="dxa"/>
            </w:tcMar>
            <w:vAlign w:val="bottom"/>
          </w:tcPr>
          <w:p w14:paraId="14AB1E12" w14:textId="355CBB93" w:rsidR="00EE73B1" w:rsidRPr="00A64978" w:rsidRDefault="00EE73B1" w:rsidP="00EE73B1">
            <w:pPr>
              <w:spacing w:before="20" w:after="20"/>
              <w:ind w:right="-125"/>
              <w:jc w:val="right"/>
              <w:rPr>
                <w:sz w:val="20"/>
                <w:szCs w:val="20"/>
                <w:highlight w:val="cyan"/>
              </w:rPr>
            </w:pPr>
            <w:r>
              <w:rPr>
                <w:color w:val="000000"/>
                <w:sz w:val="20"/>
                <w:szCs w:val="20"/>
              </w:rPr>
              <w:t>2,04</w:t>
            </w:r>
          </w:p>
        </w:tc>
        <w:tc>
          <w:tcPr>
            <w:tcW w:w="568" w:type="pct"/>
            <w:tcBorders>
              <w:top w:val="nil"/>
              <w:left w:val="single" w:sz="4" w:space="0" w:color="auto"/>
              <w:bottom w:val="single" w:sz="4" w:space="0" w:color="auto"/>
              <w:right w:val="single" w:sz="4" w:space="0" w:color="auto"/>
            </w:tcBorders>
            <w:tcMar>
              <w:left w:w="115" w:type="dxa"/>
              <w:right w:w="230" w:type="dxa"/>
            </w:tcMar>
            <w:vAlign w:val="bottom"/>
          </w:tcPr>
          <w:p w14:paraId="03AD5982" w14:textId="4194CAFF" w:rsidR="00EE73B1" w:rsidRPr="00A64978" w:rsidRDefault="00EE73B1" w:rsidP="00EE73B1">
            <w:pPr>
              <w:spacing w:before="20" w:after="20"/>
              <w:ind w:right="-125"/>
              <w:jc w:val="right"/>
              <w:rPr>
                <w:sz w:val="20"/>
                <w:szCs w:val="20"/>
                <w:highlight w:val="cyan"/>
              </w:rPr>
            </w:pPr>
            <w:r>
              <w:rPr>
                <w:sz w:val="20"/>
                <w:szCs w:val="20"/>
              </w:rPr>
              <w:t>2,34</w:t>
            </w:r>
          </w:p>
        </w:tc>
        <w:tc>
          <w:tcPr>
            <w:tcW w:w="568" w:type="pct"/>
            <w:tcBorders>
              <w:top w:val="nil"/>
              <w:left w:val="single" w:sz="4" w:space="0" w:color="auto"/>
              <w:bottom w:val="single" w:sz="4" w:space="0" w:color="auto"/>
              <w:right w:val="single" w:sz="4" w:space="0" w:color="auto"/>
            </w:tcBorders>
            <w:tcMar>
              <w:left w:w="115" w:type="dxa"/>
              <w:right w:w="230" w:type="dxa"/>
            </w:tcMar>
            <w:vAlign w:val="bottom"/>
          </w:tcPr>
          <w:p w14:paraId="2C4F6FD9" w14:textId="043C7541" w:rsidR="00EE73B1" w:rsidRPr="00A64978" w:rsidRDefault="00EE73B1" w:rsidP="00EE73B1">
            <w:pPr>
              <w:spacing w:before="20" w:after="20"/>
              <w:ind w:right="-125"/>
              <w:jc w:val="right"/>
              <w:rPr>
                <w:rFonts w:eastAsiaTheme="minorHAnsi"/>
                <w:color w:val="000000"/>
                <w:sz w:val="20"/>
                <w:szCs w:val="20"/>
                <w:highlight w:val="cyan"/>
              </w:rPr>
            </w:pPr>
            <w:r>
              <w:rPr>
                <w:color w:val="000000"/>
                <w:sz w:val="20"/>
                <w:szCs w:val="20"/>
              </w:rPr>
              <w:t>0,00</w:t>
            </w:r>
          </w:p>
        </w:tc>
        <w:tc>
          <w:tcPr>
            <w:tcW w:w="568" w:type="pct"/>
            <w:tcBorders>
              <w:top w:val="nil"/>
              <w:left w:val="single" w:sz="4" w:space="0" w:color="auto"/>
              <w:bottom w:val="single" w:sz="4" w:space="0" w:color="auto"/>
              <w:right w:val="single" w:sz="4" w:space="0" w:color="auto"/>
            </w:tcBorders>
            <w:tcMar>
              <w:left w:w="115" w:type="dxa"/>
              <w:right w:w="230" w:type="dxa"/>
            </w:tcMar>
          </w:tcPr>
          <w:p w14:paraId="7E82A455" w14:textId="607BC9D1" w:rsidR="00EE73B1" w:rsidRPr="00A64978" w:rsidRDefault="00C367A7" w:rsidP="00EE73B1">
            <w:pPr>
              <w:spacing w:before="20" w:after="20"/>
              <w:ind w:right="-125"/>
              <w:jc w:val="right"/>
              <w:rPr>
                <w:color w:val="000000"/>
                <w:sz w:val="20"/>
                <w:szCs w:val="20"/>
              </w:rPr>
            </w:pPr>
            <w:r>
              <w:rPr>
                <w:color w:val="000000"/>
                <w:sz w:val="20"/>
                <w:szCs w:val="20"/>
              </w:rPr>
              <w:t>0,82</w:t>
            </w:r>
          </w:p>
        </w:tc>
        <w:tc>
          <w:tcPr>
            <w:tcW w:w="912" w:type="pct"/>
            <w:tcBorders>
              <w:top w:val="nil"/>
              <w:left w:val="single" w:sz="4" w:space="0" w:color="auto"/>
              <w:bottom w:val="single" w:sz="4" w:space="0" w:color="auto"/>
              <w:right w:val="single" w:sz="4" w:space="0" w:color="auto"/>
            </w:tcBorders>
            <w:noWrap/>
            <w:tcMar>
              <w:left w:w="115" w:type="dxa"/>
              <w:right w:w="230" w:type="dxa"/>
            </w:tcMar>
          </w:tcPr>
          <w:p w14:paraId="74E73C2C" w14:textId="10AFD336" w:rsidR="00EE73B1" w:rsidRPr="00A64978" w:rsidRDefault="004B6F95" w:rsidP="00EE73B1">
            <w:pPr>
              <w:spacing w:before="20" w:after="20"/>
              <w:ind w:right="-125"/>
              <w:jc w:val="right"/>
              <w:rPr>
                <w:color w:val="000000"/>
                <w:sz w:val="20"/>
                <w:szCs w:val="20"/>
              </w:rPr>
            </w:pPr>
            <w:r>
              <w:rPr>
                <w:color w:val="000000"/>
                <w:sz w:val="20"/>
                <w:szCs w:val="20"/>
              </w:rPr>
              <w:t>9,09</w:t>
            </w:r>
          </w:p>
        </w:tc>
      </w:tr>
      <w:tr w:rsidR="00C367A7" w:rsidRPr="00EB31E3" w14:paraId="4A603837" w14:textId="77777777" w:rsidTr="00612921">
        <w:trPr>
          <w:trHeight w:val="40"/>
        </w:trPr>
        <w:tc>
          <w:tcPr>
            <w:tcW w:w="1249"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hideMark/>
          </w:tcPr>
          <w:p w14:paraId="1F3D4FF2" w14:textId="77777777" w:rsidR="00C367A7" w:rsidRPr="00A64978" w:rsidRDefault="00C367A7" w:rsidP="00C367A7">
            <w:pPr>
              <w:keepNext/>
              <w:spacing w:before="20" w:after="20"/>
              <w:jc w:val="left"/>
              <w:rPr>
                <w:b/>
                <w:bCs/>
                <w:color w:val="000000"/>
                <w:sz w:val="20"/>
                <w:szCs w:val="20"/>
              </w:rPr>
            </w:pPr>
            <w:r>
              <w:rPr>
                <w:b/>
                <w:bCs/>
                <w:color w:val="000000"/>
                <w:sz w:val="20"/>
                <w:szCs w:val="20"/>
              </w:rPr>
              <w:t>Toneladas PAO</w:t>
            </w:r>
          </w:p>
        </w:tc>
        <w:tc>
          <w:tcPr>
            <w:tcW w:w="568" w:type="pct"/>
            <w:tcBorders>
              <w:top w:val="single" w:sz="4" w:space="0" w:color="auto"/>
              <w:left w:val="nil"/>
              <w:bottom w:val="single" w:sz="4" w:space="0" w:color="auto"/>
              <w:right w:val="single" w:sz="4" w:space="0" w:color="auto"/>
            </w:tcBorders>
            <w:noWrap/>
            <w:tcMar>
              <w:left w:w="115" w:type="dxa"/>
              <w:right w:w="230" w:type="dxa"/>
            </w:tcMar>
            <w:vAlign w:val="bottom"/>
          </w:tcPr>
          <w:p w14:paraId="0E30B050" w14:textId="4603AF87" w:rsidR="00C367A7" w:rsidRPr="00A64978" w:rsidRDefault="00C367A7" w:rsidP="00C367A7">
            <w:pPr>
              <w:spacing w:before="20" w:after="20"/>
              <w:ind w:right="-125"/>
              <w:jc w:val="right"/>
              <w:rPr>
                <w:sz w:val="20"/>
                <w:szCs w:val="20"/>
                <w:highlight w:val="cyan"/>
              </w:rPr>
            </w:pPr>
            <w:r>
              <w:rPr>
                <w:color w:val="000000"/>
                <w:sz w:val="20"/>
                <w:szCs w:val="20"/>
              </w:rPr>
              <w:t>0,04</w:t>
            </w:r>
          </w:p>
        </w:tc>
        <w:tc>
          <w:tcPr>
            <w:tcW w:w="568" w:type="pct"/>
            <w:tcBorders>
              <w:top w:val="single" w:sz="4" w:space="0" w:color="auto"/>
              <w:left w:val="nil"/>
              <w:bottom w:val="single" w:sz="4" w:space="0" w:color="auto"/>
              <w:right w:val="single" w:sz="4" w:space="0" w:color="auto"/>
            </w:tcBorders>
            <w:tcMar>
              <w:left w:w="115" w:type="dxa"/>
              <w:right w:w="230" w:type="dxa"/>
            </w:tcMar>
            <w:vAlign w:val="bottom"/>
          </w:tcPr>
          <w:p w14:paraId="7CE8A5C8" w14:textId="1671A796" w:rsidR="00C367A7" w:rsidRPr="00A64978" w:rsidRDefault="00C367A7" w:rsidP="00C367A7">
            <w:pPr>
              <w:spacing w:before="20" w:after="20"/>
              <w:ind w:right="-125"/>
              <w:jc w:val="right"/>
              <w:rPr>
                <w:sz w:val="20"/>
                <w:szCs w:val="20"/>
                <w:highlight w:val="cyan"/>
              </w:rPr>
            </w:pPr>
            <w:r>
              <w:rPr>
                <w:color w:val="000000"/>
                <w:sz w:val="20"/>
                <w:szCs w:val="20"/>
              </w:rPr>
              <w:t>0,11</w:t>
            </w:r>
          </w:p>
        </w:tc>
        <w:tc>
          <w:tcPr>
            <w:tcW w:w="568" w:type="pct"/>
            <w:tcBorders>
              <w:top w:val="single" w:sz="4" w:space="0" w:color="auto"/>
              <w:left w:val="single" w:sz="4" w:space="0" w:color="auto"/>
              <w:bottom w:val="single" w:sz="4" w:space="0" w:color="auto"/>
              <w:right w:val="single" w:sz="4" w:space="0" w:color="auto"/>
            </w:tcBorders>
            <w:tcMar>
              <w:left w:w="115" w:type="dxa"/>
              <w:right w:w="230" w:type="dxa"/>
            </w:tcMar>
            <w:vAlign w:val="bottom"/>
          </w:tcPr>
          <w:p w14:paraId="042CD6C1" w14:textId="2136E6C2" w:rsidR="00C367A7" w:rsidRPr="00A64978" w:rsidRDefault="00C367A7" w:rsidP="00C367A7">
            <w:pPr>
              <w:spacing w:before="20" w:after="20"/>
              <w:ind w:right="-125"/>
              <w:jc w:val="right"/>
              <w:rPr>
                <w:sz w:val="20"/>
                <w:szCs w:val="20"/>
                <w:highlight w:val="cyan"/>
              </w:rPr>
            </w:pPr>
            <w:r>
              <w:rPr>
                <w:sz w:val="20"/>
                <w:szCs w:val="20"/>
              </w:rPr>
              <w:t>0,13</w:t>
            </w:r>
          </w:p>
        </w:tc>
        <w:tc>
          <w:tcPr>
            <w:tcW w:w="568" w:type="pct"/>
            <w:tcBorders>
              <w:top w:val="single" w:sz="4" w:space="0" w:color="auto"/>
              <w:left w:val="single" w:sz="4" w:space="0" w:color="auto"/>
              <w:bottom w:val="single" w:sz="4" w:space="0" w:color="auto"/>
              <w:right w:val="single" w:sz="4" w:space="0" w:color="auto"/>
            </w:tcBorders>
            <w:tcMar>
              <w:left w:w="115" w:type="dxa"/>
              <w:right w:w="230" w:type="dxa"/>
            </w:tcMar>
            <w:vAlign w:val="bottom"/>
          </w:tcPr>
          <w:p w14:paraId="47376F92" w14:textId="523F5BF8" w:rsidR="00C367A7" w:rsidRPr="00A64978" w:rsidRDefault="00C367A7" w:rsidP="00C367A7">
            <w:pPr>
              <w:spacing w:before="20" w:after="20"/>
              <w:ind w:right="-125"/>
              <w:jc w:val="right"/>
              <w:rPr>
                <w:rFonts w:eastAsiaTheme="minorHAnsi"/>
                <w:color w:val="000000"/>
                <w:sz w:val="20"/>
                <w:szCs w:val="20"/>
                <w:highlight w:val="cyan"/>
              </w:rPr>
            </w:pPr>
            <w:r>
              <w:rPr>
                <w:color w:val="000000"/>
                <w:sz w:val="20"/>
                <w:szCs w:val="20"/>
              </w:rPr>
              <w:t>0,00</w:t>
            </w:r>
          </w:p>
        </w:tc>
        <w:tc>
          <w:tcPr>
            <w:tcW w:w="568" w:type="pct"/>
            <w:tcBorders>
              <w:top w:val="single" w:sz="4" w:space="0" w:color="auto"/>
              <w:left w:val="single" w:sz="4" w:space="0" w:color="auto"/>
              <w:bottom w:val="single" w:sz="4" w:space="0" w:color="auto"/>
              <w:right w:val="single" w:sz="4" w:space="0" w:color="auto"/>
            </w:tcBorders>
            <w:tcMar>
              <w:left w:w="115" w:type="dxa"/>
              <w:right w:w="230" w:type="dxa"/>
            </w:tcMar>
          </w:tcPr>
          <w:p w14:paraId="34C01C7D" w14:textId="5C97B66A" w:rsidR="00C367A7" w:rsidRPr="004D287F" w:rsidRDefault="00C367A7" w:rsidP="00C367A7">
            <w:pPr>
              <w:spacing w:before="20" w:after="20"/>
              <w:ind w:right="-125"/>
              <w:jc w:val="right"/>
              <w:rPr>
                <w:rFonts w:eastAsiaTheme="minorHAnsi"/>
                <w:color w:val="000000"/>
                <w:sz w:val="20"/>
                <w:szCs w:val="20"/>
              </w:rPr>
            </w:pPr>
            <w:r>
              <w:rPr>
                <w:rFonts w:eastAsiaTheme="minorHAnsi"/>
                <w:color w:val="000000"/>
                <w:sz w:val="20"/>
                <w:szCs w:val="20"/>
              </w:rPr>
              <w:t>0,04</w:t>
            </w:r>
          </w:p>
        </w:tc>
        <w:tc>
          <w:tcPr>
            <w:tcW w:w="912" w:type="pct"/>
            <w:tcBorders>
              <w:top w:val="single" w:sz="4" w:space="0" w:color="auto"/>
              <w:left w:val="single" w:sz="4" w:space="0" w:color="auto"/>
              <w:bottom w:val="single" w:sz="4" w:space="0" w:color="auto"/>
              <w:right w:val="single" w:sz="4" w:space="0" w:color="auto"/>
            </w:tcBorders>
            <w:noWrap/>
            <w:tcMar>
              <w:left w:w="115" w:type="dxa"/>
              <w:right w:w="230" w:type="dxa"/>
            </w:tcMar>
          </w:tcPr>
          <w:p w14:paraId="4911C931" w14:textId="6F6AC653" w:rsidR="00C367A7" w:rsidRPr="004D287F" w:rsidRDefault="004B6F95" w:rsidP="00C367A7">
            <w:pPr>
              <w:spacing w:before="20" w:after="20"/>
              <w:ind w:right="-125"/>
              <w:jc w:val="right"/>
              <w:rPr>
                <w:rFonts w:eastAsiaTheme="minorHAnsi"/>
                <w:color w:val="000000"/>
                <w:sz w:val="20"/>
                <w:szCs w:val="20"/>
              </w:rPr>
            </w:pPr>
            <w:r>
              <w:rPr>
                <w:rFonts w:eastAsiaTheme="minorHAnsi"/>
                <w:color w:val="000000"/>
                <w:sz w:val="20"/>
                <w:szCs w:val="20"/>
              </w:rPr>
              <w:t>0,50</w:t>
            </w:r>
          </w:p>
        </w:tc>
      </w:tr>
    </w:tbl>
    <w:p w14:paraId="68596088" w14:textId="73D8194B" w:rsidR="00563DA8" w:rsidRPr="006C193B" w:rsidRDefault="00E35170" w:rsidP="001161CD">
      <w:pPr>
        <w:rPr>
          <w:sz w:val="19"/>
        </w:rPr>
      </w:pPr>
      <w:r>
        <w:rPr>
          <w:sz w:val="19"/>
        </w:rPr>
        <w:t>*Datos de CP.</w:t>
      </w:r>
    </w:p>
    <w:p w14:paraId="7E1DE869" w14:textId="1DAFB2C0" w:rsidR="00C84121" w:rsidRPr="002D2ED7" w:rsidRDefault="00C84121" w:rsidP="00CA68A2">
      <w:pPr>
        <w:pStyle w:val="Heading1"/>
        <w:spacing w:before="240"/>
        <w:rPr>
          <w:lang w:val="es-ES"/>
        </w:rPr>
      </w:pPr>
      <w:r>
        <w:rPr>
          <w:lang w:val="es-ES"/>
        </w:rPr>
        <w:t xml:space="preserve">A lo largo de los años se ha producido una disminución significativa del consumo de HCFC debido a la ejecución del PGEH, al aumento de los precios de los HCFC y a la escasa importación de equipos a base de HCFC en el país. Existe una variación considerable de un año a otro en los niveles de consumo de HCFC, que disminuyeron durante la pandemia del COVID-19 y se recuperaron en 2022 y 2023, pero </w:t>
      </w:r>
      <w:r>
        <w:rPr>
          <w:lang w:val="es-ES"/>
        </w:rPr>
        <w:lastRenderedPageBreak/>
        <w:t>volvieron a descender drásticamente en 2024 y 2025. No se informó ningún consumo en 2024, y en 2025 se informó una pequeña cantidad de HCFC-22, un 72 % por debajo de la meta de cumplimiento para 2025. Esto indica que sigue existiendo una demanda de servicio y mantenimiento de equipos de refrigeración y aire acondicionado heredados que utilizan HCFC y que aún están en funcionamiento.</w:t>
      </w:r>
    </w:p>
    <w:p w14:paraId="732D010F" w14:textId="77777777" w:rsidR="00563DA8" w:rsidRPr="002D2ED7" w:rsidRDefault="00563DA8" w:rsidP="001161CD">
      <w:pPr>
        <w:keepNext/>
        <w:spacing w:after="240"/>
        <w:rPr>
          <w:i/>
          <w:lang w:val="es-ES"/>
        </w:rPr>
      </w:pPr>
      <w:bookmarkStart w:id="2" w:name="_Hlk126915671"/>
      <w:r>
        <w:rPr>
          <w:i/>
          <w:lang w:val="es-ES"/>
        </w:rPr>
        <w:t>Informe de ejecución del programa de país</w:t>
      </w:r>
    </w:p>
    <w:bookmarkEnd w:id="2"/>
    <w:p w14:paraId="208E9157" w14:textId="284A24E4" w:rsidR="00563DA8" w:rsidRPr="002D2ED7" w:rsidRDefault="00563DA8" w:rsidP="00CA68A2">
      <w:pPr>
        <w:pStyle w:val="Heading1"/>
        <w:spacing w:before="240"/>
        <w:rPr>
          <w:lang w:val="es-ES"/>
        </w:rPr>
      </w:pPr>
      <w:r>
        <w:rPr>
          <w:lang w:val="es-ES"/>
        </w:rPr>
        <w:t xml:space="preserve">El consumo sectorial declarado por el Gobierno de Saint Kitts y Nevis en el informe del programa de país de 2024 concuerda con lo notificado en virtud del artículo 7 del Protocolo de Montreal. </w:t>
      </w:r>
    </w:p>
    <w:p w14:paraId="6830C742" w14:textId="77777777" w:rsidR="00863F66" w:rsidRPr="002D2ED7" w:rsidRDefault="00863F66" w:rsidP="00863F66">
      <w:pPr>
        <w:keepNext/>
        <w:spacing w:before="240" w:after="240"/>
        <w:rPr>
          <w:u w:val="single"/>
          <w:lang w:val="es-ES"/>
        </w:rPr>
      </w:pPr>
      <w:bookmarkStart w:id="3" w:name="_Hlk126915708"/>
      <w:r>
        <w:rPr>
          <w:u w:val="single"/>
          <w:lang w:val="es-ES"/>
        </w:rPr>
        <w:t>Situación de la marcha de las actividades y los desembolsos</w:t>
      </w:r>
    </w:p>
    <w:p w14:paraId="7A865EED" w14:textId="77777777" w:rsidR="00863F66" w:rsidRPr="00C7063F" w:rsidRDefault="00863F66" w:rsidP="00863F66">
      <w:pPr>
        <w:keepNext/>
        <w:autoSpaceDE w:val="0"/>
        <w:autoSpaceDN w:val="0"/>
        <w:adjustRightInd w:val="0"/>
        <w:spacing w:after="240"/>
        <w:rPr>
          <w:bCs/>
          <w:i/>
          <w:iCs/>
        </w:rPr>
      </w:pPr>
      <w:r>
        <w:rPr>
          <w:bCs/>
          <w:i/>
          <w:iCs/>
        </w:rPr>
        <w:t>Marco jurídico</w:t>
      </w:r>
    </w:p>
    <w:p w14:paraId="5EF01438" w14:textId="2E9ECD2A" w:rsidR="002D1061" w:rsidRPr="002D2ED7" w:rsidRDefault="007F6853" w:rsidP="00081C87">
      <w:pPr>
        <w:pStyle w:val="Heading1"/>
        <w:spacing w:before="240"/>
        <w:rPr>
          <w:lang w:val="es-ES"/>
        </w:rPr>
      </w:pPr>
      <w:r>
        <w:rPr>
          <w:lang w:val="es-ES"/>
        </w:rPr>
        <w:t xml:space="preserve">En Saint Kitts y Nevis, </w:t>
      </w:r>
      <w:r>
        <w:rPr>
          <w:rFonts w:asciiTheme="majorBidi" w:hAnsiTheme="majorBidi" w:cstheme="majorBidi"/>
          <w:lang w:val="es-ES"/>
        </w:rPr>
        <w:t xml:space="preserve">el Departamento de Medio Ambiente (DOE), a través de la Oficina Nacional del Ozono (ONO), actúa como centro nacional de coordinación para la ejecución del Protocolo de Montreal, y la ONO es responsable de la concesión de licencias y la asignación de cuotas. </w:t>
      </w:r>
      <w:r>
        <w:rPr>
          <w:lang w:val="es-ES"/>
        </w:rPr>
        <w:t xml:space="preserve">En la etapa I del PGEH, el país actualizó su </w:t>
      </w:r>
      <w:r>
        <w:rPr>
          <w:rFonts w:asciiTheme="majorBidi" w:hAnsiTheme="majorBidi" w:cstheme="majorBidi"/>
          <w:lang w:val="es-ES"/>
        </w:rPr>
        <w:t>marco legislativo y reglamentario para el control de las SAO, a fin de incluir los HCFC y los equipos a base de HCFC (desde 2014)</w:t>
      </w:r>
      <w:r>
        <w:rPr>
          <w:lang w:val="es-ES"/>
        </w:rPr>
        <w:t xml:space="preserve">. </w:t>
      </w:r>
      <w:r>
        <w:rPr>
          <w:rFonts w:asciiTheme="majorBidi" w:hAnsiTheme="majorBidi" w:cstheme="majorBidi"/>
          <w:lang w:val="es-ES"/>
        </w:rPr>
        <w:t xml:space="preserve">También se introdujeron otras medidas reglamentarias, entre ellas </w:t>
      </w:r>
      <w:r>
        <w:rPr>
          <w:lang w:val="es-ES"/>
        </w:rPr>
        <w:t>un sistema de registro de importadores, la obligación de presentar informes por parte de los importadores autorizados, la prohibición del uso de bombonas desechables para SAO y un sistema de etiquetado para los contenedores de SAO y los equipos que utilizan SAO. El Gobierno ratificó la Enmienda de Kigali en agosto de 2025, y ya se ha establecido administrativamente un sistema de licencias y cupos de HFC</w:t>
      </w:r>
      <w:r>
        <w:rPr>
          <w:sz w:val="20"/>
          <w:szCs w:val="20"/>
          <w:lang w:val="es-ES"/>
        </w:rPr>
        <w:t xml:space="preserve">, </w:t>
      </w:r>
      <w:r>
        <w:rPr>
          <w:lang w:val="es-ES"/>
        </w:rPr>
        <w:t>a la espera de su adopción legislativa formal.</w:t>
      </w:r>
    </w:p>
    <w:p w14:paraId="3EEE0FFA" w14:textId="3CFF89F8" w:rsidR="008B43C5" w:rsidRPr="002D2ED7" w:rsidRDefault="008B43C5" w:rsidP="004D322A">
      <w:pPr>
        <w:pStyle w:val="Heading1"/>
        <w:spacing w:before="240"/>
        <w:rPr>
          <w:lang w:val="es-ES"/>
        </w:rPr>
      </w:pPr>
      <w:r>
        <w:rPr>
          <w:lang w:val="es-ES"/>
        </w:rPr>
        <w:t>Saint Kitts y Nevis es miembro de la Organización Regional de Normalización y Calidad (CROSQ) de la Comunidad del Caribe (CARICOM). La CROSQ promueve la armonización y la difusión de normas regionales, incentiva la competitividad y el comercio, y facilita la producción sustentable dentro del Mercado y la Economía Únicos de la CARICOM. En marzo de 2019, la CROSQ publicó normas de eficiencia energética para edificios que establecen requisitos mínimos de eficiencia energética para los mismos, incluyendo la envolvente de edificación, los sistemas de refrigeración y aire acondicionado, la ventilación, los sistemas de bombeo, la iluminación y los sistemas de calentamiento de agua sanitaria, con el fin de prestar asistencia a los Estados miembros en la conservación de la energía. En 2019, el Sistema Regional de Etiquetado de Eficiencia Energética de la CARICOM estableció normas mínimas de eficiencia energética (NMEE) y requisitos de etiquetado, entre otros, para frigoríficos y aparatos de aire acondicionado. Sin embargo, estos aún no se han incorporado a la legislación nacional.</w:t>
      </w:r>
    </w:p>
    <w:p w14:paraId="1E3F5F36" w14:textId="090C3CDB" w:rsidR="00CA68A2" w:rsidRPr="002D2ED7" w:rsidRDefault="00863F66" w:rsidP="00CA68A2">
      <w:pPr>
        <w:pStyle w:val="Heading1"/>
        <w:spacing w:before="240"/>
        <w:rPr>
          <w:lang w:val="es-ES"/>
        </w:rPr>
      </w:pPr>
      <w:r>
        <w:rPr>
          <w:lang w:val="es-ES"/>
        </w:rPr>
        <w:t xml:space="preserve">Durante la etapa I del PGEH, se impartió capacitación a 133 personas funcionarias de aduanas (incluidas 28 mujeres) sobre la supervisión y el control del comercio de SAO y de equipos que contienen SAO. En el último tramo, se llevó a cabo una campaña de sensibilización pública sobre el sistema de concesión de licencias y cupos, y se impartió capacitación sobre la normativa de SAO a 30 personas importadoras (incluidas 6 personas mujeres) y 15 personas intermediarias. Se celebraron tres reuniones de consulta con el Departamento de Aduanas e Impuestos Especiales en Saint Kitts y dos en Nevis sobre el desarrollo de un sistema electrónico de concesión de licencias y cupos; en 2020 tuvieron lugar dos sesiones de formación de sensibilización complementarias para el poder judicial sobre la normativa del Protocolo de Montreal; y se adquirieron tres identificadores de refrigerantes que permanecerán en poder de las aduanas con fines de formación y para mejorar las funciones de supervisión en las fronteras. Se ha elaborado un protocolo de acuerdo entre las aduanas y la ONO sobre la ejecución de un marco relacionado con la mejora del seguimiento y la notificación del comercio ilícito, que quedó listo para su firma a finales de junio de 2026. </w:t>
      </w:r>
    </w:p>
    <w:p w14:paraId="3B351F6A" w14:textId="77777777" w:rsidR="007D3E03" w:rsidRDefault="007D3E03">
      <w:pPr>
        <w:jc w:val="left"/>
        <w:rPr>
          <w:i/>
          <w:iCs/>
          <w:lang w:val="es-ES"/>
        </w:rPr>
      </w:pPr>
      <w:r>
        <w:rPr>
          <w:i/>
          <w:iCs/>
          <w:lang w:val="es-ES"/>
        </w:rPr>
        <w:br w:type="page"/>
      </w:r>
    </w:p>
    <w:p w14:paraId="50B46BDA" w14:textId="7FAD6CD5" w:rsidR="009F6C27" w:rsidRPr="002D2ED7" w:rsidRDefault="009F6C27" w:rsidP="00D12F37">
      <w:pPr>
        <w:pStyle w:val="Heading1"/>
        <w:numPr>
          <w:ilvl w:val="0"/>
          <w:numId w:val="0"/>
        </w:numPr>
        <w:spacing w:before="240"/>
        <w:rPr>
          <w:i/>
          <w:iCs/>
          <w:lang w:val="es-ES"/>
        </w:rPr>
      </w:pPr>
      <w:r>
        <w:rPr>
          <w:i/>
          <w:iCs/>
          <w:lang w:val="es-ES"/>
        </w:rPr>
        <w:lastRenderedPageBreak/>
        <w:t>Sector de servicio y mantenimiento de equipos de refrigeración</w:t>
      </w:r>
    </w:p>
    <w:p w14:paraId="7527A7DB" w14:textId="2CB940A9" w:rsidR="00FF0669" w:rsidRPr="002D2ED7" w:rsidRDefault="0095029D" w:rsidP="00CA68A2">
      <w:pPr>
        <w:pStyle w:val="Heading1"/>
        <w:spacing w:before="240"/>
        <w:rPr>
          <w:lang w:val="es-ES"/>
        </w:rPr>
      </w:pPr>
      <w:r>
        <w:rPr>
          <w:lang w:val="es-ES"/>
        </w:rPr>
        <w:t>Durante la ejecución de la etapa I del PGEH, 62 personas técnicas de refrigeración y aire acondicionado y 15 personas formadoras (entre ellas dos mujeres) recibieron formación sobre buenas prácticas de servicio y mantenimiento en materia de seguridad con refrigerantes inflamables. Quince personas técnicas recibieron formación avanzada sobre la manipulación segura de refrigerantes de potencial de calentamiento atmosférico (PCA) nulo o bajo, como los hidrocarburos (HC), y sobre prácticas de recuperación de refrigerantes. La manipulación segura de equipos basados en HC se integró en el plan de estudios nacional para RAC y se redactó un código de prácticas para refrigerantes inflamables. Se adquirieron equipos de refrigeración y aire acondicionado</w:t>
      </w:r>
      <w:r>
        <w:rPr>
          <w:vertAlign w:val="superscript"/>
        </w:rPr>
        <w:footnoteReference w:id="7"/>
      </w:r>
      <w:r>
        <w:rPr>
          <w:vertAlign w:val="superscript"/>
          <w:lang w:val="es-ES"/>
        </w:rPr>
        <w:t xml:space="preserve"> </w:t>
      </w:r>
      <w:r>
        <w:rPr>
          <w:lang w:val="es-ES"/>
        </w:rPr>
        <w:t>para los institutos de formación profesional técnica con el fin de mejorar la formación práctica y la capacidad de recuperación. La formación de 15 personas técnicas de los sectores hotelero, pesquero y náutico, que no pudieron formarse dentro del plazo de la etapa I debido a transiciones administrativas en la ONO, se completará durante la etapa II.</w:t>
      </w:r>
    </w:p>
    <w:p w14:paraId="30D0E955" w14:textId="77777777" w:rsidR="00D86EFC" w:rsidRPr="003C5774" w:rsidRDefault="00D86EFC" w:rsidP="00D86EFC">
      <w:pPr>
        <w:rPr>
          <w:i/>
          <w:iCs/>
        </w:rPr>
      </w:pPr>
      <w:r>
        <w:rPr>
          <w:i/>
          <w:iCs/>
        </w:rPr>
        <w:t>Informe de verificación</w:t>
      </w:r>
    </w:p>
    <w:p w14:paraId="59944203" w14:textId="77777777" w:rsidR="00D86EFC" w:rsidRDefault="00D86EFC" w:rsidP="00D86EFC"/>
    <w:p w14:paraId="27B548A7" w14:textId="1874A250" w:rsidR="00D86EFC" w:rsidRPr="002D2ED7" w:rsidRDefault="00C636A6" w:rsidP="00D86EFC">
      <w:pPr>
        <w:pStyle w:val="Heading1"/>
        <w:rPr>
          <w:u w:val="single"/>
          <w:lang w:val="es-ES"/>
        </w:rPr>
      </w:pPr>
      <w:r>
        <w:rPr>
          <w:lang w:val="es-ES"/>
        </w:rPr>
        <w:t xml:space="preserve">Tal y como se informó en la 93ª reunión, la Secretaría consideró que, si bien el sistema de concesión de licencias y cupos de Saint Kitts y Nevis era operativo y capaz de garantizar el cumplimiento, abordar las recomendaciones del informe de verificación 2015–2022 presentado en dicha reunión prestaría asistencia al Gobierno para disponer de un registro de datos más preciso y reducir los errores en la presentación de informes. </w:t>
      </w:r>
      <w:r>
        <w:rPr>
          <w:rFonts w:eastAsia="SimSun"/>
          <w:lang w:val="es-ES" w:eastAsia="zh-CN"/>
        </w:rPr>
        <w:t xml:space="preserve">Posteriormente, se revisó el plan de acción para el tercer tramo de la etapa I a fin de centrarse en la aplicación de esas recomendaciones y en actividades adicionales que subsanaran las deficiencias restantes señaladas en el informe de verificación. Al aprobar </w:t>
      </w:r>
      <w:r>
        <w:rPr>
          <w:lang w:val="es-ES"/>
        </w:rPr>
        <w:t>el tercer tramo de la etapa I del PGEH, el Comité Ejecutivo solicitó al PNUMA que continuara prestando asistencia al Gobierno para aplicar plenamente dichas recomendaciones durante su ejecución, y que informara sobre los progresos realizados al presentar la etapa II del PGEH.</w:t>
      </w:r>
      <w:r>
        <w:rPr>
          <w:rStyle w:val="FootnoteReference"/>
        </w:rPr>
        <w:footnoteReference w:id="8"/>
      </w:r>
      <w:r>
        <w:rPr>
          <w:lang w:val="es-ES"/>
        </w:rPr>
        <w:t xml:space="preserve"> </w:t>
      </w:r>
    </w:p>
    <w:p w14:paraId="70B10728" w14:textId="5D3F2CD7" w:rsidR="00D86EFC" w:rsidRPr="002D2ED7" w:rsidRDefault="00D86EFC" w:rsidP="00D86EFC">
      <w:pPr>
        <w:pStyle w:val="Heading1"/>
        <w:spacing w:before="240"/>
        <w:rPr>
          <w:lang w:val="es-ES"/>
        </w:rPr>
      </w:pPr>
      <w:r>
        <w:rPr>
          <w:lang w:val="es-ES"/>
        </w:rPr>
        <w:t>En la presentación correspondiente a la etapa II, el PNUMA ha confirmado que se han completado todas las actividades recomendadas y las medidas correctivas individualizadas en el informe de verificación de 2015–2022. Estas medidas han reforzado los aspectos operativos de la asignación de cuotas, la supervisión y la aplicación de la normativa. Desde la finalización de la etapa I, el consumo de HCFC se ha limitado al servicio y mantenimiento de los equipos existentes.</w:t>
      </w:r>
    </w:p>
    <w:p w14:paraId="04DB3B1D" w14:textId="77777777" w:rsidR="00101F29" w:rsidRPr="00101F29" w:rsidRDefault="00101F29" w:rsidP="00101F29">
      <w:pPr>
        <w:rPr>
          <w:i/>
          <w:iCs/>
        </w:rPr>
      </w:pPr>
      <w:r>
        <w:rPr>
          <w:i/>
          <w:iCs/>
        </w:rPr>
        <w:t>Ejecución y seguimiento de proyectos</w:t>
      </w:r>
    </w:p>
    <w:p w14:paraId="13FE5A61" w14:textId="35E5B67C" w:rsidR="009F6C27" w:rsidRPr="002D2ED7" w:rsidRDefault="00101F29" w:rsidP="00101F29">
      <w:pPr>
        <w:pStyle w:val="Heading1"/>
        <w:spacing w:before="240"/>
        <w:rPr>
          <w:lang w:val="es-ES"/>
        </w:rPr>
      </w:pPr>
      <w:r>
        <w:rPr>
          <w:lang w:val="es-ES"/>
        </w:rPr>
        <w:t>La ONO supervisa la ejecución del PGEH, evalúa los avances y elabora informes, al tiempo que garantiza el cumplimiento de las políticas y procedimientos del Fondo Multilateral y del Gobierno. La ONO ha desarrollado y puesto en marcha un mecanismo para garantizar que las actividades sigan en tiempo y forma y se cumplan los objetivos de eliminación.</w:t>
      </w:r>
    </w:p>
    <w:p w14:paraId="13CD6068" w14:textId="655A6216" w:rsidR="002D1061" w:rsidRPr="002D2ED7" w:rsidRDefault="002D1061" w:rsidP="00101F29">
      <w:pPr>
        <w:rPr>
          <w:i/>
          <w:iCs/>
          <w:lang w:val="es-ES"/>
        </w:rPr>
      </w:pPr>
      <w:r>
        <w:rPr>
          <w:i/>
          <w:iCs/>
          <w:lang w:val="es-ES"/>
        </w:rPr>
        <w:t>Nivel de desembolso de los fondos</w:t>
      </w:r>
    </w:p>
    <w:p w14:paraId="51E9582E" w14:textId="5A7952AA" w:rsidR="002D1061" w:rsidRPr="002D2ED7" w:rsidRDefault="002D1061" w:rsidP="009B1F27">
      <w:pPr>
        <w:pStyle w:val="Heading1"/>
        <w:spacing w:before="240"/>
        <w:rPr>
          <w:lang w:val="es-ES"/>
        </w:rPr>
      </w:pPr>
      <w:r>
        <w:rPr>
          <w:lang w:val="es-ES"/>
        </w:rPr>
        <w:t>A febrero de 2025, se había realizado el desembolso completo de los USD 164.500 aprobados para la etapa I.</w:t>
      </w:r>
    </w:p>
    <w:p w14:paraId="543B90B7" w14:textId="3B211790" w:rsidR="00563DA8" w:rsidRPr="002D2ED7" w:rsidRDefault="00563DA8" w:rsidP="001161CD">
      <w:pPr>
        <w:keepNext/>
        <w:autoSpaceDE w:val="0"/>
        <w:autoSpaceDN w:val="0"/>
        <w:adjustRightInd w:val="0"/>
        <w:spacing w:after="240"/>
        <w:rPr>
          <w:b/>
          <w:lang w:val="es-ES"/>
        </w:rPr>
      </w:pPr>
      <w:r>
        <w:rPr>
          <w:b/>
          <w:lang w:val="es-ES"/>
        </w:rPr>
        <w:lastRenderedPageBreak/>
        <w:t>Etapa II del Plan de gestión para la eliminación de los HCFC</w:t>
      </w:r>
    </w:p>
    <w:p w14:paraId="0C2BA5FC" w14:textId="77777777" w:rsidR="00563DA8" w:rsidRPr="002D2ED7" w:rsidRDefault="00563DA8" w:rsidP="001161CD">
      <w:pPr>
        <w:keepNext/>
        <w:spacing w:after="240"/>
        <w:outlineLvl w:val="0"/>
        <w:rPr>
          <w:u w:val="single"/>
          <w:lang w:val="es-ES"/>
        </w:rPr>
      </w:pPr>
      <w:r>
        <w:rPr>
          <w:u w:val="single"/>
          <w:lang w:val="es-ES"/>
        </w:rPr>
        <w:t>Consumo restante admisible para la financiación</w:t>
      </w:r>
    </w:p>
    <w:bookmarkEnd w:id="3"/>
    <w:p w14:paraId="018B5E70" w14:textId="28A29D98" w:rsidR="00563DA8" w:rsidRPr="002D2ED7" w:rsidRDefault="00563DA8" w:rsidP="001161CD">
      <w:pPr>
        <w:pStyle w:val="Heading1"/>
        <w:rPr>
          <w:lang w:val="es-ES"/>
        </w:rPr>
      </w:pPr>
      <w:r>
        <w:rPr>
          <w:lang w:val="es-ES"/>
        </w:rPr>
        <w:t xml:space="preserve">Después de deducir 0,18 toneladas PAO de HCFC asociadas con la etapa I del PGEH, el consumo remanente admisible para la financiación de la etapa II ascendería a 0,32 toneladas PAO de HCFC-22. </w:t>
      </w:r>
    </w:p>
    <w:p w14:paraId="5AB29067" w14:textId="77777777" w:rsidR="00563DA8" w:rsidRDefault="00563DA8" w:rsidP="001161CD">
      <w:pPr>
        <w:keepNext/>
        <w:spacing w:after="240"/>
        <w:outlineLvl w:val="0"/>
        <w:rPr>
          <w:u w:val="single"/>
        </w:rPr>
      </w:pPr>
      <w:bookmarkStart w:id="4" w:name="_Hlk126915728"/>
      <w:r>
        <w:rPr>
          <w:u w:val="single"/>
        </w:rPr>
        <w:t>Distribución sectorial de los HCFC</w:t>
      </w:r>
    </w:p>
    <w:bookmarkEnd w:id="4"/>
    <w:p w14:paraId="25F4E53B" w14:textId="49E3AE13" w:rsidR="00563DA8" w:rsidRPr="002D2ED7" w:rsidRDefault="00563DA8" w:rsidP="00E22AE1">
      <w:pPr>
        <w:pStyle w:val="Heading1"/>
        <w:rPr>
          <w:lang w:val="es-ES"/>
        </w:rPr>
      </w:pPr>
      <w:r>
        <w:rPr>
          <w:lang w:val="es-ES"/>
        </w:rPr>
        <w:t>Hay aproximadamente 140 personas técnicas que trabajan en el sector del servicio y mantenimiento de sistemas de aire acondicionado (AC) residenciales de tipo split y monobloque; sistemas de aire acondicionado comerciales (unidades de techo, sistemas multisplit); refrigeración comercial (supermercados, hostelería); y usos de refrigeración industrial ligera. De las 140 personas técnicas estimadas, aproximadamente 45 están registradas oficialmente ante las autoridades pertinentes, mientras que el resto opera de manera informal o como trabajadores autónomos. En 2025, el HCFC-22 representaba el 2,5 % de los refrigerantes utilizados en el sector de servicio y mantenimiento de equipos de refrigeración, junto con el HFC-134a (68,8 %), el R-410A (12,2 %), el R-404A (11,9 %) y el HFC-32 (4,5 %), tal y como se muestra en el cuadro 2.</w:t>
      </w:r>
    </w:p>
    <w:p w14:paraId="1AD77FCF" w14:textId="5994A2E9" w:rsidR="00563DA8" w:rsidRPr="002D2ED7" w:rsidRDefault="00D47303" w:rsidP="001161CD">
      <w:pPr>
        <w:keepNext/>
        <w:rPr>
          <w:b/>
          <w:lang w:val="es-ES"/>
        </w:rPr>
      </w:pPr>
      <w:r>
        <w:rPr>
          <w:b/>
          <w:lang w:val="es-ES"/>
        </w:rPr>
        <w:t>Cuadro 2. Uso de refrigerantes en el sector de servicio y mantenimiento de equipos de refrigeración y aire acondicionado en Saint Kitts y Nevis en 2025 (datos del programa de país)</w:t>
      </w:r>
    </w:p>
    <w:tbl>
      <w:tblPr>
        <w:tblStyle w:val="TableGrid"/>
        <w:tblW w:w="0" w:type="auto"/>
        <w:tblLook w:val="04A0" w:firstRow="1" w:lastRow="0" w:firstColumn="1" w:lastColumn="0" w:noHBand="0" w:noVBand="1"/>
      </w:tblPr>
      <w:tblGrid>
        <w:gridCol w:w="2875"/>
        <w:gridCol w:w="2875"/>
        <w:gridCol w:w="2872"/>
        <w:gridCol w:w="10"/>
      </w:tblGrid>
      <w:tr w:rsidR="00055347" w:rsidRPr="00BE2393" w14:paraId="39C28B92" w14:textId="77777777" w:rsidTr="00B965C5">
        <w:trPr>
          <w:gridAfter w:val="1"/>
          <w:wAfter w:w="10" w:type="dxa"/>
          <w:trHeight w:val="256"/>
        </w:trPr>
        <w:tc>
          <w:tcPr>
            <w:tcW w:w="2872" w:type="dxa"/>
            <w:vAlign w:val="center"/>
          </w:tcPr>
          <w:p w14:paraId="58EA278B" w14:textId="106CCB74" w:rsidR="00055347" w:rsidRPr="00BE2393" w:rsidRDefault="00055347" w:rsidP="00E06FCA">
            <w:pPr>
              <w:keepNext/>
              <w:jc w:val="left"/>
              <w:rPr>
                <w:b/>
                <w:bCs/>
                <w:sz w:val="20"/>
                <w:szCs w:val="20"/>
              </w:rPr>
            </w:pPr>
            <w:r>
              <w:rPr>
                <w:b/>
                <w:bCs/>
                <w:sz w:val="20"/>
                <w:szCs w:val="20"/>
              </w:rPr>
              <w:t>Refrigerante</w:t>
            </w:r>
          </w:p>
        </w:tc>
        <w:tc>
          <w:tcPr>
            <w:tcW w:w="2872" w:type="dxa"/>
          </w:tcPr>
          <w:p w14:paraId="416B2045" w14:textId="310450BE" w:rsidR="00055347" w:rsidRPr="002D2ED7" w:rsidRDefault="00055347" w:rsidP="00F30178">
            <w:pPr>
              <w:keepNext/>
              <w:jc w:val="center"/>
              <w:rPr>
                <w:b/>
                <w:bCs/>
                <w:sz w:val="20"/>
                <w:szCs w:val="20"/>
                <w:lang w:val="es-ES"/>
              </w:rPr>
            </w:pPr>
            <w:r>
              <w:rPr>
                <w:b/>
                <w:bCs/>
                <w:sz w:val="20"/>
                <w:szCs w:val="20"/>
                <w:lang w:val="es-ES"/>
              </w:rPr>
              <w:t>Datos del CP de 2025 (t)</w:t>
            </w:r>
          </w:p>
        </w:tc>
        <w:tc>
          <w:tcPr>
            <w:tcW w:w="2872" w:type="dxa"/>
          </w:tcPr>
          <w:p w14:paraId="45C1E031" w14:textId="7DBBB7C9" w:rsidR="00055347" w:rsidRPr="00BE2393" w:rsidRDefault="00055347" w:rsidP="00F30178">
            <w:pPr>
              <w:keepNext/>
              <w:jc w:val="center"/>
              <w:rPr>
                <w:b/>
                <w:bCs/>
                <w:sz w:val="20"/>
                <w:szCs w:val="20"/>
              </w:rPr>
            </w:pPr>
            <w:r>
              <w:rPr>
                <w:b/>
                <w:bCs/>
                <w:sz w:val="20"/>
                <w:szCs w:val="20"/>
              </w:rPr>
              <w:t>Porcentaje del total</w:t>
            </w:r>
          </w:p>
        </w:tc>
      </w:tr>
      <w:tr w:rsidR="00055347" w:rsidRPr="00BE2393" w14:paraId="4444AA71" w14:textId="77777777" w:rsidTr="00B965C5">
        <w:trPr>
          <w:gridAfter w:val="1"/>
          <w:wAfter w:w="10" w:type="dxa"/>
          <w:trHeight w:val="267"/>
        </w:trPr>
        <w:tc>
          <w:tcPr>
            <w:tcW w:w="2872" w:type="dxa"/>
            <w:vAlign w:val="bottom"/>
          </w:tcPr>
          <w:p w14:paraId="33D8984E" w14:textId="3573AACA" w:rsidR="00055347" w:rsidRPr="00BE2393" w:rsidRDefault="00055347" w:rsidP="00873D97">
            <w:pPr>
              <w:keepNext/>
              <w:rPr>
                <w:sz w:val="20"/>
                <w:szCs w:val="20"/>
              </w:rPr>
            </w:pPr>
            <w:r>
              <w:rPr>
                <w:color w:val="000000"/>
                <w:sz w:val="20"/>
                <w:szCs w:val="20"/>
              </w:rPr>
              <w:t>HFC-32</w:t>
            </w:r>
          </w:p>
        </w:tc>
        <w:tc>
          <w:tcPr>
            <w:tcW w:w="2872" w:type="dxa"/>
          </w:tcPr>
          <w:p w14:paraId="1D6AA264" w14:textId="74243ED8" w:rsidR="00055347" w:rsidRPr="00BE2393" w:rsidRDefault="00055347" w:rsidP="00F30178">
            <w:pPr>
              <w:keepNext/>
              <w:jc w:val="right"/>
              <w:rPr>
                <w:sz w:val="20"/>
                <w:szCs w:val="20"/>
              </w:rPr>
            </w:pPr>
            <w:r>
              <w:rPr>
                <w:color w:val="000000"/>
                <w:sz w:val="20"/>
                <w:szCs w:val="20"/>
              </w:rPr>
              <w:t>1,47</w:t>
            </w:r>
          </w:p>
        </w:tc>
        <w:tc>
          <w:tcPr>
            <w:tcW w:w="2872" w:type="dxa"/>
          </w:tcPr>
          <w:p w14:paraId="1EE4A2C2" w14:textId="3E99F960" w:rsidR="00055347" w:rsidRPr="00BE2393" w:rsidRDefault="00055347" w:rsidP="00F30178">
            <w:pPr>
              <w:keepNext/>
              <w:jc w:val="right"/>
              <w:rPr>
                <w:sz w:val="20"/>
                <w:szCs w:val="20"/>
              </w:rPr>
            </w:pPr>
            <w:r>
              <w:rPr>
                <w:color w:val="000000"/>
                <w:sz w:val="20"/>
                <w:szCs w:val="20"/>
              </w:rPr>
              <w:t>4,5</w:t>
            </w:r>
          </w:p>
        </w:tc>
      </w:tr>
      <w:tr w:rsidR="00055347" w:rsidRPr="00BE2393" w14:paraId="3A1FD0CC" w14:textId="77777777" w:rsidTr="00B965C5">
        <w:trPr>
          <w:gridAfter w:val="1"/>
          <w:wAfter w:w="10" w:type="dxa"/>
          <w:trHeight w:val="267"/>
        </w:trPr>
        <w:tc>
          <w:tcPr>
            <w:tcW w:w="2872" w:type="dxa"/>
            <w:vAlign w:val="bottom"/>
          </w:tcPr>
          <w:p w14:paraId="194B9336" w14:textId="140DA97A" w:rsidR="00055347" w:rsidRPr="00BE2393" w:rsidRDefault="00055347" w:rsidP="00873D97">
            <w:pPr>
              <w:keepNext/>
              <w:rPr>
                <w:sz w:val="20"/>
                <w:szCs w:val="20"/>
              </w:rPr>
            </w:pPr>
            <w:r>
              <w:rPr>
                <w:color w:val="000000"/>
                <w:sz w:val="20"/>
                <w:szCs w:val="20"/>
              </w:rPr>
              <w:t>HFC-134a</w:t>
            </w:r>
          </w:p>
        </w:tc>
        <w:tc>
          <w:tcPr>
            <w:tcW w:w="2872" w:type="dxa"/>
          </w:tcPr>
          <w:p w14:paraId="5C52D7C0" w14:textId="3400B5FC" w:rsidR="00055347" w:rsidRPr="00BE2393" w:rsidRDefault="00055347" w:rsidP="00F30178">
            <w:pPr>
              <w:keepNext/>
              <w:jc w:val="right"/>
              <w:rPr>
                <w:sz w:val="20"/>
                <w:szCs w:val="20"/>
              </w:rPr>
            </w:pPr>
            <w:r>
              <w:rPr>
                <w:color w:val="000000"/>
                <w:sz w:val="20"/>
                <w:szCs w:val="20"/>
              </w:rPr>
              <w:t>22,26</w:t>
            </w:r>
          </w:p>
        </w:tc>
        <w:tc>
          <w:tcPr>
            <w:tcW w:w="2872" w:type="dxa"/>
          </w:tcPr>
          <w:p w14:paraId="712BD88F" w14:textId="1A5263C9" w:rsidR="00055347" w:rsidRPr="00BE2393" w:rsidRDefault="00055347" w:rsidP="00F30178">
            <w:pPr>
              <w:keepNext/>
              <w:jc w:val="right"/>
              <w:rPr>
                <w:sz w:val="20"/>
                <w:szCs w:val="20"/>
              </w:rPr>
            </w:pPr>
            <w:r>
              <w:rPr>
                <w:color w:val="000000"/>
                <w:sz w:val="20"/>
                <w:szCs w:val="20"/>
              </w:rPr>
              <w:t>68,8</w:t>
            </w:r>
          </w:p>
        </w:tc>
      </w:tr>
      <w:tr w:rsidR="00055347" w:rsidRPr="00BE2393" w14:paraId="3F60B14B" w14:textId="77777777" w:rsidTr="00B965C5">
        <w:trPr>
          <w:gridAfter w:val="1"/>
          <w:wAfter w:w="10" w:type="dxa"/>
          <w:trHeight w:val="280"/>
        </w:trPr>
        <w:tc>
          <w:tcPr>
            <w:tcW w:w="2872" w:type="dxa"/>
            <w:vAlign w:val="bottom"/>
          </w:tcPr>
          <w:p w14:paraId="7199FCD8" w14:textId="78E2B2A7" w:rsidR="00055347" w:rsidRPr="00BE2393" w:rsidRDefault="00055347" w:rsidP="00873D97">
            <w:pPr>
              <w:keepNext/>
              <w:rPr>
                <w:sz w:val="20"/>
                <w:szCs w:val="20"/>
              </w:rPr>
            </w:pPr>
            <w:r>
              <w:rPr>
                <w:color w:val="000000"/>
                <w:sz w:val="20"/>
                <w:szCs w:val="20"/>
              </w:rPr>
              <w:t>R-404A</w:t>
            </w:r>
          </w:p>
        </w:tc>
        <w:tc>
          <w:tcPr>
            <w:tcW w:w="2872" w:type="dxa"/>
          </w:tcPr>
          <w:p w14:paraId="1B57BC82" w14:textId="65CAC453" w:rsidR="00055347" w:rsidRPr="00BE2393" w:rsidRDefault="00055347" w:rsidP="00F30178">
            <w:pPr>
              <w:keepNext/>
              <w:jc w:val="right"/>
              <w:rPr>
                <w:sz w:val="20"/>
                <w:szCs w:val="20"/>
              </w:rPr>
            </w:pPr>
            <w:r>
              <w:rPr>
                <w:color w:val="000000"/>
                <w:sz w:val="20"/>
                <w:szCs w:val="20"/>
              </w:rPr>
              <w:t>3,85</w:t>
            </w:r>
          </w:p>
        </w:tc>
        <w:tc>
          <w:tcPr>
            <w:tcW w:w="2872" w:type="dxa"/>
          </w:tcPr>
          <w:p w14:paraId="0FE78186" w14:textId="2EDA87BC" w:rsidR="00055347" w:rsidRPr="00BE2393" w:rsidRDefault="00055347" w:rsidP="00F30178">
            <w:pPr>
              <w:keepNext/>
              <w:jc w:val="right"/>
              <w:rPr>
                <w:sz w:val="20"/>
                <w:szCs w:val="20"/>
              </w:rPr>
            </w:pPr>
            <w:r>
              <w:rPr>
                <w:color w:val="000000"/>
                <w:sz w:val="20"/>
                <w:szCs w:val="20"/>
              </w:rPr>
              <w:t>11,9</w:t>
            </w:r>
          </w:p>
        </w:tc>
      </w:tr>
      <w:tr w:rsidR="00055347" w:rsidRPr="00BE2393" w14:paraId="0A596857" w14:textId="77777777" w:rsidTr="00B965C5">
        <w:trPr>
          <w:gridAfter w:val="1"/>
          <w:wAfter w:w="10" w:type="dxa"/>
          <w:trHeight w:val="267"/>
        </w:trPr>
        <w:tc>
          <w:tcPr>
            <w:tcW w:w="2872" w:type="dxa"/>
            <w:vAlign w:val="bottom"/>
          </w:tcPr>
          <w:p w14:paraId="124A70AC" w14:textId="0C299A3D" w:rsidR="00055347" w:rsidRPr="00BE2393" w:rsidRDefault="00055347" w:rsidP="00873D97">
            <w:pPr>
              <w:keepNext/>
              <w:rPr>
                <w:color w:val="000000"/>
                <w:sz w:val="20"/>
                <w:szCs w:val="20"/>
              </w:rPr>
            </w:pPr>
            <w:r>
              <w:rPr>
                <w:color w:val="000000"/>
                <w:sz w:val="20"/>
                <w:szCs w:val="20"/>
              </w:rPr>
              <w:t>R-407A</w:t>
            </w:r>
          </w:p>
        </w:tc>
        <w:tc>
          <w:tcPr>
            <w:tcW w:w="2872" w:type="dxa"/>
          </w:tcPr>
          <w:p w14:paraId="0EFBB747" w14:textId="3E00A63B" w:rsidR="00055347" w:rsidRPr="00BE2393" w:rsidRDefault="00055347" w:rsidP="00CF10FA">
            <w:pPr>
              <w:keepNext/>
              <w:jc w:val="right"/>
              <w:rPr>
                <w:color w:val="000000"/>
                <w:sz w:val="20"/>
                <w:szCs w:val="20"/>
              </w:rPr>
            </w:pPr>
            <w:r>
              <w:rPr>
                <w:color w:val="000000"/>
                <w:sz w:val="20"/>
                <w:szCs w:val="20"/>
              </w:rPr>
              <w:t>0,01</w:t>
            </w:r>
          </w:p>
        </w:tc>
        <w:tc>
          <w:tcPr>
            <w:tcW w:w="2872" w:type="dxa"/>
          </w:tcPr>
          <w:p w14:paraId="69B2C5C1" w14:textId="2E727508" w:rsidR="00055347" w:rsidRPr="00BE2393" w:rsidRDefault="00055347" w:rsidP="00CF10FA">
            <w:pPr>
              <w:keepNext/>
              <w:jc w:val="right"/>
              <w:rPr>
                <w:color w:val="000000"/>
                <w:sz w:val="20"/>
                <w:szCs w:val="20"/>
              </w:rPr>
            </w:pPr>
            <w:r>
              <w:rPr>
                <w:color w:val="000000"/>
                <w:sz w:val="20"/>
                <w:szCs w:val="20"/>
              </w:rPr>
              <w:t>0,0</w:t>
            </w:r>
          </w:p>
        </w:tc>
      </w:tr>
      <w:tr w:rsidR="00055347" w:rsidRPr="00BE2393" w14:paraId="2B4AFBC6" w14:textId="77777777" w:rsidTr="00B965C5">
        <w:trPr>
          <w:gridAfter w:val="1"/>
          <w:wAfter w:w="10" w:type="dxa"/>
          <w:trHeight w:val="267"/>
        </w:trPr>
        <w:tc>
          <w:tcPr>
            <w:tcW w:w="2872" w:type="dxa"/>
            <w:vAlign w:val="bottom"/>
          </w:tcPr>
          <w:p w14:paraId="7B7E6C40" w14:textId="2E845837" w:rsidR="00055347" w:rsidRPr="00BE2393" w:rsidRDefault="00055347" w:rsidP="00873D97">
            <w:pPr>
              <w:keepNext/>
              <w:rPr>
                <w:sz w:val="20"/>
                <w:szCs w:val="20"/>
              </w:rPr>
            </w:pPr>
            <w:r>
              <w:rPr>
                <w:color w:val="000000"/>
                <w:sz w:val="20"/>
                <w:szCs w:val="20"/>
              </w:rPr>
              <w:t>R-410A</w:t>
            </w:r>
          </w:p>
        </w:tc>
        <w:tc>
          <w:tcPr>
            <w:tcW w:w="2872" w:type="dxa"/>
          </w:tcPr>
          <w:p w14:paraId="2A5A764E" w14:textId="1095FA23" w:rsidR="00055347" w:rsidRPr="00BE2393" w:rsidRDefault="00055347" w:rsidP="00F30178">
            <w:pPr>
              <w:keepNext/>
              <w:jc w:val="right"/>
              <w:rPr>
                <w:sz w:val="20"/>
                <w:szCs w:val="20"/>
              </w:rPr>
            </w:pPr>
            <w:r>
              <w:rPr>
                <w:color w:val="000000"/>
                <w:sz w:val="20"/>
                <w:szCs w:val="20"/>
              </w:rPr>
              <w:t>3,96</w:t>
            </w:r>
          </w:p>
        </w:tc>
        <w:tc>
          <w:tcPr>
            <w:tcW w:w="2872" w:type="dxa"/>
          </w:tcPr>
          <w:p w14:paraId="6B796600" w14:textId="64A9C516" w:rsidR="00055347" w:rsidRPr="00BE2393" w:rsidRDefault="00055347" w:rsidP="00F30178">
            <w:pPr>
              <w:keepNext/>
              <w:jc w:val="right"/>
              <w:rPr>
                <w:sz w:val="20"/>
                <w:szCs w:val="20"/>
              </w:rPr>
            </w:pPr>
            <w:r>
              <w:rPr>
                <w:color w:val="000000"/>
                <w:sz w:val="20"/>
                <w:szCs w:val="20"/>
              </w:rPr>
              <w:t>12,2</w:t>
            </w:r>
          </w:p>
        </w:tc>
      </w:tr>
      <w:tr w:rsidR="00055347" w:rsidRPr="00BE2393" w14:paraId="5FFAD787" w14:textId="77777777" w:rsidTr="00B965C5">
        <w:trPr>
          <w:gridAfter w:val="1"/>
          <w:wAfter w:w="10" w:type="dxa"/>
          <w:trHeight w:val="267"/>
        </w:trPr>
        <w:tc>
          <w:tcPr>
            <w:tcW w:w="2872" w:type="dxa"/>
            <w:vAlign w:val="bottom"/>
          </w:tcPr>
          <w:p w14:paraId="76A99273" w14:textId="71E50DB7" w:rsidR="00055347" w:rsidRPr="00BE2393" w:rsidRDefault="00055347" w:rsidP="00873D97">
            <w:pPr>
              <w:keepNext/>
              <w:rPr>
                <w:sz w:val="20"/>
                <w:szCs w:val="20"/>
              </w:rPr>
            </w:pPr>
            <w:r>
              <w:rPr>
                <w:color w:val="000000"/>
                <w:sz w:val="20"/>
                <w:szCs w:val="20"/>
              </w:rPr>
              <w:t>HCFC-22</w:t>
            </w:r>
          </w:p>
        </w:tc>
        <w:tc>
          <w:tcPr>
            <w:tcW w:w="2872" w:type="dxa"/>
          </w:tcPr>
          <w:p w14:paraId="398A7AA0" w14:textId="1CA16D0D" w:rsidR="00055347" w:rsidRPr="00BE2393" w:rsidRDefault="00055347" w:rsidP="00F30178">
            <w:pPr>
              <w:keepNext/>
              <w:jc w:val="right"/>
              <w:rPr>
                <w:sz w:val="20"/>
                <w:szCs w:val="20"/>
              </w:rPr>
            </w:pPr>
            <w:r>
              <w:rPr>
                <w:color w:val="000000"/>
                <w:sz w:val="20"/>
                <w:szCs w:val="20"/>
              </w:rPr>
              <w:t>0,82</w:t>
            </w:r>
          </w:p>
        </w:tc>
        <w:tc>
          <w:tcPr>
            <w:tcW w:w="2872" w:type="dxa"/>
          </w:tcPr>
          <w:p w14:paraId="108F2E96" w14:textId="5FFADBEB" w:rsidR="00055347" w:rsidRPr="00BE2393" w:rsidRDefault="00055347" w:rsidP="00F30178">
            <w:pPr>
              <w:keepNext/>
              <w:jc w:val="right"/>
              <w:rPr>
                <w:sz w:val="20"/>
                <w:szCs w:val="20"/>
              </w:rPr>
            </w:pPr>
            <w:r>
              <w:rPr>
                <w:color w:val="000000"/>
                <w:sz w:val="20"/>
                <w:szCs w:val="20"/>
              </w:rPr>
              <w:t>2,5</w:t>
            </w:r>
          </w:p>
        </w:tc>
      </w:tr>
      <w:tr w:rsidR="00055347" w:rsidRPr="00BE2393" w14:paraId="704BBF20" w14:textId="77777777" w:rsidTr="00B965C5">
        <w:trPr>
          <w:trHeight w:val="256"/>
        </w:trPr>
        <w:tc>
          <w:tcPr>
            <w:tcW w:w="2875" w:type="dxa"/>
            <w:vAlign w:val="center"/>
          </w:tcPr>
          <w:p w14:paraId="546B59DD" w14:textId="77777777" w:rsidR="00055347" w:rsidRPr="00BE2393" w:rsidRDefault="00055347" w:rsidP="00873D97">
            <w:pPr>
              <w:keepNext/>
              <w:jc w:val="right"/>
              <w:rPr>
                <w:b/>
                <w:bCs/>
                <w:sz w:val="20"/>
                <w:szCs w:val="20"/>
              </w:rPr>
            </w:pPr>
            <w:r>
              <w:rPr>
                <w:b/>
                <w:bCs/>
                <w:sz w:val="20"/>
                <w:szCs w:val="20"/>
              </w:rPr>
              <w:t xml:space="preserve">Total </w:t>
            </w:r>
          </w:p>
        </w:tc>
        <w:tc>
          <w:tcPr>
            <w:tcW w:w="2875" w:type="dxa"/>
          </w:tcPr>
          <w:p w14:paraId="1A196DCA" w14:textId="35D3BB09" w:rsidR="00055347" w:rsidRPr="00BE2393" w:rsidRDefault="00055347" w:rsidP="00F30178">
            <w:pPr>
              <w:keepNext/>
              <w:jc w:val="right"/>
              <w:rPr>
                <w:b/>
                <w:bCs/>
                <w:sz w:val="20"/>
                <w:szCs w:val="20"/>
              </w:rPr>
            </w:pPr>
            <w:r>
              <w:rPr>
                <w:b/>
                <w:bCs/>
                <w:sz w:val="20"/>
                <w:szCs w:val="20"/>
              </w:rPr>
              <w:t>32,37</w:t>
            </w:r>
          </w:p>
        </w:tc>
        <w:tc>
          <w:tcPr>
            <w:tcW w:w="2876" w:type="dxa"/>
            <w:gridSpan w:val="2"/>
          </w:tcPr>
          <w:p w14:paraId="5C958CE9" w14:textId="0F2F415A" w:rsidR="00B965C5" w:rsidRPr="00BE2393" w:rsidRDefault="00055347" w:rsidP="00B965C5">
            <w:pPr>
              <w:keepNext/>
              <w:jc w:val="right"/>
              <w:rPr>
                <w:b/>
                <w:bCs/>
                <w:sz w:val="20"/>
                <w:szCs w:val="20"/>
              </w:rPr>
            </w:pPr>
            <w:r>
              <w:rPr>
                <w:b/>
                <w:bCs/>
                <w:sz w:val="20"/>
                <w:szCs w:val="20"/>
              </w:rPr>
              <w:t>100</w:t>
            </w:r>
          </w:p>
        </w:tc>
      </w:tr>
    </w:tbl>
    <w:p w14:paraId="3ED79AE7" w14:textId="77777777" w:rsidR="00563DA8" w:rsidRPr="009931F4" w:rsidRDefault="00563DA8" w:rsidP="001161CD">
      <w:pPr>
        <w:keepNext/>
        <w:spacing w:before="240" w:after="240"/>
        <w:rPr>
          <w:b/>
        </w:rPr>
      </w:pPr>
      <w:bookmarkStart w:id="5" w:name="_Hlk126915738"/>
      <w:r>
        <w:rPr>
          <w:u w:val="single"/>
        </w:rPr>
        <w:t>Estrategia de eliminación</w:t>
      </w:r>
    </w:p>
    <w:p w14:paraId="697B3EBD" w14:textId="7C8FE977" w:rsidR="00BB3385" w:rsidRPr="002D2ED7" w:rsidRDefault="00563DA8" w:rsidP="000500A9">
      <w:pPr>
        <w:pStyle w:val="Heading1"/>
        <w:rPr>
          <w:lang w:val="es-ES"/>
        </w:rPr>
      </w:pPr>
      <w:bookmarkStart w:id="6" w:name="_Hlk125636542"/>
      <w:bookmarkEnd w:id="5"/>
      <w:r>
        <w:rPr>
          <w:lang w:val="es-ES"/>
        </w:rPr>
        <w:t>La etapa II</w:t>
      </w:r>
      <w:bookmarkEnd w:id="6"/>
      <w:r>
        <w:rPr>
          <w:lang w:val="es-ES"/>
        </w:rPr>
        <w:t xml:space="preserve"> del PGEH tiene como objetivo mantener las reducciones en el consumo de HCFC logradas en los últimos años y garantizar el cumplimiento de la eliminación total para 2030. La etapa II constará de tres tramos y se centrará en seguir haciendo efectivo el sistema de concesión de licencias y cupos de HCFC; seguir mejorando la coordinación institucional entre la ONO y la autoridad aduanera; impartir formación al personal de aduanas y de control del cumplimiento y proporcionarles herramientas de control; así como mejorar la coordinación institucional para apoyar la aplicación de las normas regionales de eficiencia energética y etiquetado; integrar las competencias en materia de eficiencia energética en el marco nacional de cualificaciones profesionales; y seguir promoviendo la transición hacia tecnologías de bajo potencial de calentamiento atmosférico (PCA) en el sector de la refrigeración y el aire acondicionado (RAC), y desarrollar la capacidad de las personas técnicas de refrigeración y aire acondicionado.</w:t>
      </w:r>
    </w:p>
    <w:p w14:paraId="6F73DB83" w14:textId="77777777" w:rsidR="00563DA8" w:rsidRDefault="00563DA8" w:rsidP="001161CD">
      <w:pPr>
        <w:keepNext/>
        <w:spacing w:after="240"/>
        <w:rPr>
          <w:i/>
          <w:iCs/>
        </w:rPr>
      </w:pPr>
      <w:r>
        <w:rPr>
          <w:i/>
          <w:iCs/>
        </w:rPr>
        <w:t>Actividades propuestas</w:t>
      </w:r>
    </w:p>
    <w:p w14:paraId="39365FAC" w14:textId="2CBD3C8D" w:rsidR="00563DA8" w:rsidRPr="002D2ED7" w:rsidRDefault="00563DA8" w:rsidP="00C30970">
      <w:pPr>
        <w:pStyle w:val="Heading1"/>
        <w:rPr>
          <w:lang w:val="es-ES"/>
        </w:rPr>
      </w:pPr>
      <w:bookmarkStart w:id="7" w:name="_Hlk126915743"/>
      <w:r>
        <w:rPr>
          <w:lang w:val="es-ES"/>
        </w:rPr>
        <w:t>Las actividades propuestas para su ejecución en el sector de servicio y mantenimiento en el marco de la etapa</w:t>
      </w:r>
      <w:bookmarkStart w:id="8" w:name="_Hlk190676699"/>
      <w:r>
        <w:rPr>
          <w:lang w:val="es-ES"/>
        </w:rPr>
        <w:t xml:space="preserve"> II</w:t>
      </w:r>
      <w:bookmarkEnd w:id="8"/>
      <w:r>
        <w:rPr>
          <w:lang w:val="es-ES"/>
        </w:rPr>
        <w:t xml:space="preserve"> y en el primer tramo, así como el desglose de costes, se presentan en el cuadro 3.</w:t>
      </w:r>
    </w:p>
    <w:p w14:paraId="03E70CF6" w14:textId="0237A748" w:rsidR="00781A16" w:rsidRPr="002D2ED7" w:rsidRDefault="00563DA8" w:rsidP="00112C90">
      <w:pPr>
        <w:keepNext/>
        <w:shd w:val="clear" w:color="auto" w:fill="FFFFFF" w:themeFill="background1"/>
        <w:rPr>
          <w:b/>
          <w:bCs/>
          <w:lang w:val="es-ES"/>
        </w:rPr>
      </w:pPr>
      <w:r>
        <w:rPr>
          <w:b/>
          <w:bCs/>
          <w:lang w:val="es-ES"/>
        </w:rPr>
        <w:lastRenderedPageBreak/>
        <w:t xml:space="preserve">Cuadro 3. Actividades del sector de servicio y mantenimiento y sus costos en la etapa </w:t>
      </w:r>
      <w:r>
        <w:rPr>
          <w:b/>
          <w:lang w:val="es-ES"/>
        </w:rPr>
        <w:t xml:space="preserve">II </w:t>
      </w:r>
      <w:r>
        <w:rPr>
          <w:b/>
          <w:bCs/>
          <w:lang w:val="es-ES"/>
        </w:rPr>
        <w:t xml:space="preserve">del PGEH para Saint Kitts y Nevis, según presentación </w:t>
      </w:r>
    </w:p>
    <w:tbl>
      <w:tblPr>
        <w:tblStyle w:val="TableGrid"/>
        <w:tblW w:w="5000" w:type="pct"/>
        <w:tblLayout w:type="fixed"/>
        <w:tblCellMar>
          <w:left w:w="57" w:type="dxa"/>
          <w:right w:w="57" w:type="dxa"/>
        </w:tblCellMar>
        <w:tblLook w:val="04A0" w:firstRow="1" w:lastRow="0" w:firstColumn="1" w:lastColumn="0" w:noHBand="0" w:noVBand="1"/>
      </w:tblPr>
      <w:tblGrid>
        <w:gridCol w:w="1525"/>
        <w:gridCol w:w="4679"/>
        <w:gridCol w:w="1371"/>
        <w:gridCol w:w="890"/>
        <w:gridCol w:w="885"/>
      </w:tblGrid>
      <w:tr w:rsidR="00AC3AEF" w:rsidRPr="008B52AA" w14:paraId="383E2CF0" w14:textId="77777777" w:rsidTr="008576A8">
        <w:trPr>
          <w:trHeight w:val="53"/>
          <w:tblHeader/>
        </w:trPr>
        <w:tc>
          <w:tcPr>
            <w:tcW w:w="816" w:type="pct"/>
            <w:vMerge w:val="restart"/>
            <w:vAlign w:val="center"/>
          </w:tcPr>
          <w:p w14:paraId="761F6A66" w14:textId="4D3F903E" w:rsidR="00AC3AEF" w:rsidRPr="008B52AA" w:rsidRDefault="005C3B15" w:rsidP="00112C90">
            <w:pPr>
              <w:keepNext/>
              <w:shd w:val="clear" w:color="auto" w:fill="FFFFFF" w:themeFill="background1"/>
              <w:spacing w:before="20" w:after="20"/>
              <w:jc w:val="center"/>
              <w:rPr>
                <w:b/>
                <w:bCs/>
                <w:color w:val="000000" w:themeColor="text1"/>
                <w:sz w:val="20"/>
                <w:szCs w:val="20"/>
              </w:rPr>
            </w:pPr>
            <w:r>
              <w:rPr>
                <w:b/>
                <w:bCs/>
                <w:color w:val="000000" w:themeColor="text1"/>
                <w:sz w:val="20"/>
                <w:szCs w:val="20"/>
              </w:rPr>
              <w:t>Componente</w:t>
            </w:r>
          </w:p>
        </w:tc>
        <w:tc>
          <w:tcPr>
            <w:tcW w:w="2502" w:type="pct"/>
            <w:vMerge w:val="restart"/>
            <w:vAlign w:val="center"/>
          </w:tcPr>
          <w:p w14:paraId="23D7A2C9" w14:textId="3E4EF525" w:rsidR="00AC3AEF" w:rsidRPr="008B52AA" w:rsidRDefault="00AC3AEF" w:rsidP="00112C90">
            <w:pPr>
              <w:keepNext/>
              <w:shd w:val="clear" w:color="auto" w:fill="FFFFFF" w:themeFill="background1"/>
              <w:spacing w:before="20" w:after="20"/>
              <w:jc w:val="center"/>
              <w:rPr>
                <w:b/>
                <w:bCs/>
                <w:color w:val="000000" w:themeColor="text1"/>
                <w:sz w:val="20"/>
                <w:szCs w:val="20"/>
              </w:rPr>
            </w:pPr>
            <w:r>
              <w:rPr>
                <w:b/>
                <w:bCs/>
                <w:color w:val="000000" w:themeColor="text1"/>
                <w:sz w:val="20"/>
                <w:szCs w:val="20"/>
              </w:rPr>
              <w:t>Actividad</w:t>
            </w:r>
          </w:p>
        </w:tc>
        <w:tc>
          <w:tcPr>
            <w:tcW w:w="733" w:type="pct"/>
            <w:vMerge w:val="restart"/>
            <w:vAlign w:val="center"/>
          </w:tcPr>
          <w:p w14:paraId="228CB68A" w14:textId="77777777" w:rsidR="00AC3AEF" w:rsidRPr="008B52AA" w:rsidRDefault="00AC3AEF" w:rsidP="0011168B">
            <w:pPr>
              <w:spacing w:before="20" w:after="20"/>
              <w:rPr>
                <w:b/>
                <w:bCs/>
                <w:color w:val="000000" w:themeColor="text1"/>
                <w:sz w:val="20"/>
                <w:szCs w:val="20"/>
              </w:rPr>
            </w:pPr>
            <w:r>
              <w:rPr>
                <w:b/>
                <w:bCs/>
                <w:color w:val="000000" w:themeColor="text1"/>
                <w:sz w:val="20"/>
                <w:szCs w:val="20"/>
              </w:rPr>
              <w:t>Organismo</w:t>
            </w:r>
          </w:p>
        </w:tc>
        <w:tc>
          <w:tcPr>
            <w:tcW w:w="949" w:type="pct"/>
            <w:gridSpan w:val="2"/>
            <w:vAlign w:val="center"/>
          </w:tcPr>
          <w:p w14:paraId="0B43847C" w14:textId="77777777" w:rsidR="00AC3AEF" w:rsidRPr="008B52AA" w:rsidRDefault="00AC3AEF" w:rsidP="0011168B">
            <w:pPr>
              <w:shd w:val="clear" w:color="auto" w:fill="FFFFFF" w:themeFill="background1"/>
              <w:spacing w:before="20" w:after="20"/>
              <w:jc w:val="center"/>
              <w:rPr>
                <w:b/>
                <w:bCs/>
                <w:color w:val="000000" w:themeColor="text1"/>
                <w:sz w:val="20"/>
                <w:szCs w:val="20"/>
              </w:rPr>
            </w:pPr>
            <w:r>
              <w:rPr>
                <w:b/>
                <w:bCs/>
                <w:color w:val="000000" w:themeColor="text1"/>
                <w:sz w:val="20"/>
                <w:szCs w:val="20"/>
              </w:rPr>
              <w:t>Coste (USD)</w:t>
            </w:r>
          </w:p>
        </w:tc>
      </w:tr>
      <w:tr w:rsidR="00AC3AEF" w:rsidRPr="008B52AA" w14:paraId="796A0884" w14:textId="77777777" w:rsidTr="008576A8">
        <w:trPr>
          <w:trHeight w:val="98"/>
          <w:tblHeader/>
        </w:trPr>
        <w:tc>
          <w:tcPr>
            <w:tcW w:w="816" w:type="pct"/>
            <w:vMerge/>
            <w:vAlign w:val="center"/>
          </w:tcPr>
          <w:p w14:paraId="39F276AA" w14:textId="77777777" w:rsidR="00AC3AEF" w:rsidRPr="008B52AA" w:rsidRDefault="00AC3AEF" w:rsidP="0011168B">
            <w:pPr>
              <w:shd w:val="clear" w:color="auto" w:fill="FFFFFF" w:themeFill="background1"/>
              <w:spacing w:before="20" w:after="20"/>
              <w:jc w:val="center"/>
              <w:rPr>
                <w:b/>
                <w:bCs/>
                <w:color w:val="000000" w:themeColor="text1"/>
                <w:sz w:val="20"/>
                <w:szCs w:val="20"/>
              </w:rPr>
            </w:pPr>
          </w:p>
        </w:tc>
        <w:tc>
          <w:tcPr>
            <w:tcW w:w="2502" w:type="pct"/>
            <w:vMerge/>
            <w:vAlign w:val="center"/>
          </w:tcPr>
          <w:p w14:paraId="444ECD40" w14:textId="0F729608" w:rsidR="00AC3AEF" w:rsidRPr="008B52AA" w:rsidRDefault="00AC3AEF" w:rsidP="0011168B">
            <w:pPr>
              <w:shd w:val="clear" w:color="auto" w:fill="FFFFFF" w:themeFill="background1"/>
              <w:spacing w:before="20" w:after="20"/>
              <w:jc w:val="center"/>
              <w:rPr>
                <w:b/>
                <w:bCs/>
                <w:color w:val="000000" w:themeColor="text1"/>
                <w:sz w:val="20"/>
                <w:szCs w:val="20"/>
              </w:rPr>
            </w:pPr>
          </w:p>
        </w:tc>
        <w:tc>
          <w:tcPr>
            <w:tcW w:w="733" w:type="pct"/>
            <w:vMerge/>
            <w:vAlign w:val="center"/>
          </w:tcPr>
          <w:p w14:paraId="1E24F6D4" w14:textId="77777777" w:rsidR="00AC3AEF" w:rsidRPr="008B52AA" w:rsidRDefault="00AC3AEF" w:rsidP="0011168B">
            <w:pPr>
              <w:shd w:val="clear" w:color="auto" w:fill="FFFFFF" w:themeFill="background1"/>
              <w:spacing w:before="20" w:after="20"/>
              <w:jc w:val="center"/>
              <w:rPr>
                <w:b/>
                <w:bCs/>
                <w:color w:val="000000" w:themeColor="text1"/>
                <w:sz w:val="20"/>
                <w:szCs w:val="20"/>
              </w:rPr>
            </w:pPr>
          </w:p>
        </w:tc>
        <w:tc>
          <w:tcPr>
            <w:tcW w:w="476" w:type="pct"/>
            <w:vAlign w:val="center"/>
          </w:tcPr>
          <w:p w14:paraId="0B1DF00C" w14:textId="593C5CE8" w:rsidR="00AC3AEF" w:rsidRPr="008B52AA" w:rsidRDefault="00AC3AEF" w:rsidP="0011168B">
            <w:pPr>
              <w:shd w:val="clear" w:color="auto" w:fill="FFFFFF" w:themeFill="background1"/>
              <w:spacing w:before="20" w:after="20"/>
              <w:jc w:val="center"/>
              <w:rPr>
                <w:b/>
                <w:bCs/>
                <w:color w:val="000000" w:themeColor="text1"/>
                <w:sz w:val="20"/>
                <w:szCs w:val="20"/>
              </w:rPr>
            </w:pPr>
            <w:r>
              <w:rPr>
                <w:b/>
                <w:bCs/>
                <w:color w:val="000000" w:themeColor="text1"/>
                <w:sz w:val="20"/>
                <w:szCs w:val="20"/>
              </w:rPr>
              <w:t>Etapa II</w:t>
            </w:r>
          </w:p>
        </w:tc>
        <w:tc>
          <w:tcPr>
            <w:tcW w:w="473" w:type="pct"/>
            <w:vAlign w:val="center"/>
          </w:tcPr>
          <w:p w14:paraId="168EA559" w14:textId="77777777" w:rsidR="00AC3AEF" w:rsidRPr="008B52AA" w:rsidRDefault="00AC3AEF" w:rsidP="0011168B">
            <w:pPr>
              <w:shd w:val="clear" w:color="auto" w:fill="FFFFFF" w:themeFill="background1"/>
              <w:spacing w:before="20" w:after="20"/>
              <w:jc w:val="center"/>
              <w:rPr>
                <w:b/>
                <w:bCs/>
                <w:color w:val="000000" w:themeColor="text1"/>
                <w:sz w:val="20"/>
                <w:szCs w:val="20"/>
              </w:rPr>
            </w:pPr>
            <w:r>
              <w:rPr>
                <w:b/>
                <w:bCs/>
                <w:color w:val="000000" w:themeColor="text1"/>
                <w:sz w:val="20"/>
                <w:szCs w:val="20"/>
              </w:rPr>
              <w:t>Primer tramo</w:t>
            </w:r>
          </w:p>
        </w:tc>
      </w:tr>
      <w:tr w:rsidR="00B965C5" w:rsidRPr="008B52AA" w14:paraId="5307B89D" w14:textId="77777777" w:rsidTr="008576A8">
        <w:trPr>
          <w:trHeight w:val="217"/>
        </w:trPr>
        <w:tc>
          <w:tcPr>
            <w:tcW w:w="816" w:type="pct"/>
            <w:vMerge w:val="restart"/>
          </w:tcPr>
          <w:p w14:paraId="3428F6BE" w14:textId="38AC0793" w:rsidR="00B965C5" w:rsidRPr="002D2ED7" w:rsidRDefault="00B965C5" w:rsidP="00B965C5">
            <w:pPr>
              <w:shd w:val="clear" w:color="auto" w:fill="FFFFFF" w:themeFill="background1"/>
              <w:spacing w:before="20" w:after="20"/>
              <w:jc w:val="left"/>
              <w:rPr>
                <w:i/>
                <w:iCs/>
                <w:color w:val="000000" w:themeColor="text1"/>
                <w:sz w:val="20"/>
                <w:szCs w:val="20"/>
                <w:lang w:val="es-ES"/>
              </w:rPr>
            </w:pPr>
            <w:r>
              <w:rPr>
                <w:color w:val="000000" w:themeColor="text1"/>
                <w:sz w:val="20"/>
                <w:szCs w:val="20"/>
                <w:lang w:val="es-ES"/>
              </w:rPr>
              <w:t>Fortalecimiento del marco normativo, reglamentario e institucional</w:t>
            </w:r>
          </w:p>
        </w:tc>
        <w:tc>
          <w:tcPr>
            <w:tcW w:w="2502" w:type="pct"/>
          </w:tcPr>
          <w:p w14:paraId="45BA45D2" w14:textId="4FD832FD" w:rsidR="00B965C5" w:rsidRPr="008B52AA" w:rsidRDefault="00B965C5" w:rsidP="00B965C5">
            <w:pPr>
              <w:shd w:val="clear" w:color="auto" w:fill="FFFFFF" w:themeFill="background1"/>
              <w:spacing w:before="20" w:after="20"/>
              <w:jc w:val="left"/>
              <w:rPr>
                <w:color w:val="000000" w:themeColor="text1"/>
                <w:sz w:val="20"/>
                <w:szCs w:val="20"/>
              </w:rPr>
            </w:pPr>
            <w:r>
              <w:rPr>
                <w:i/>
                <w:iCs/>
                <w:color w:val="000000" w:themeColor="text1"/>
                <w:sz w:val="20"/>
                <w:szCs w:val="20"/>
              </w:rPr>
              <w:t>Fortalecimiento normativo y regulatorio</w:t>
            </w:r>
            <w:r>
              <w:rPr>
                <w:color w:val="000000" w:themeColor="text1"/>
                <w:sz w:val="20"/>
                <w:szCs w:val="20"/>
              </w:rPr>
              <w:t xml:space="preserve">: </w:t>
            </w:r>
          </w:p>
          <w:p w14:paraId="35CC0D67" w14:textId="57BAC63D" w:rsidR="00B965C5" w:rsidRPr="002D2ED7" w:rsidRDefault="00B965C5" w:rsidP="00B965C5">
            <w:pPr>
              <w:pStyle w:val="ListParagraph"/>
              <w:numPr>
                <w:ilvl w:val="0"/>
                <w:numId w:val="21"/>
              </w:numPr>
              <w:shd w:val="clear" w:color="auto" w:fill="FFFFFF" w:themeFill="background1"/>
              <w:spacing w:before="20" w:after="20"/>
              <w:ind w:left="179" w:hanging="179"/>
              <w:jc w:val="left"/>
              <w:rPr>
                <w:color w:val="000000" w:themeColor="text1"/>
                <w:sz w:val="20"/>
                <w:szCs w:val="20"/>
                <w:lang w:val="es-ES"/>
              </w:rPr>
            </w:pPr>
            <w:r>
              <w:rPr>
                <w:color w:val="000000" w:themeColor="text1"/>
                <w:sz w:val="20"/>
                <w:szCs w:val="20"/>
                <w:lang w:val="es-ES"/>
              </w:rPr>
              <w:t>Modificaciones normativas o administrativas específicas, comenzando con la elaboración y adopción de una prohibición de importar equipos a base de HCFC, que se ejecutará para 2027;</w:t>
            </w:r>
          </w:p>
          <w:p w14:paraId="2FCB3226" w14:textId="51704304" w:rsidR="00B965C5" w:rsidRPr="002D2ED7" w:rsidRDefault="00B965C5" w:rsidP="00B965C5">
            <w:pPr>
              <w:pStyle w:val="ListParagraph"/>
              <w:numPr>
                <w:ilvl w:val="0"/>
                <w:numId w:val="21"/>
              </w:numPr>
              <w:shd w:val="clear" w:color="auto" w:fill="FFFFFF" w:themeFill="background1"/>
              <w:spacing w:before="20" w:after="20"/>
              <w:ind w:left="179" w:hanging="179"/>
              <w:jc w:val="left"/>
              <w:rPr>
                <w:color w:val="000000" w:themeColor="text1"/>
                <w:sz w:val="20"/>
                <w:szCs w:val="20"/>
                <w:lang w:val="es-ES"/>
              </w:rPr>
            </w:pPr>
            <w:r>
              <w:rPr>
                <w:color w:val="000000" w:themeColor="text1"/>
                <w:sz w:val="20"/>
                <w:szCs w:val="20"/>
                <w:lang w:val="es-ES"/>
              </w:rPr>
              <w:t>Introducción de controles vinculados a la certificación sobre la venta de refrigerantes, incluida la redacción de reglamentaciones y el desarrollo de un registro de personas técnicas integrado en los sistemas de verificación de ventas; y</w:t>
            </w:r>
          </w:p>
          <w:p w14:paraId="73D5B134" w14:textId="5AC7CE30" w:rsidR="00B965C5" w:rsidRPr="002D2ED7" w:rsidRDefault="00B965C5" w:rsidP="00B965C5">
            <w:pPr>
              <w:pStyle w:val="ListParagraph"/>
              <w:numPr>
                <w:ilvl w:val="0"/>
                <w:numId w:val="21"/>
              </w:numPr>
              <w:shd w:val="clear" w:color="auto" w:fill="FFFFFF" w:themeFill="background1"/>
              <w:spacing w:before="20" w:after="20"/>
              <w:ind w:left="179" w:hanging="179"/>
              <w:jc w:val="left"/>
              <w:rPr>
                <w:color w:val="000000" w:themeColor="text1"/>
                <w:sz w:val="20"/>
                <w:szCs w:val="20"/>
                <w:lang w:val="es-ES"/>
              </w:rPr>
            </w:pPr>
            <w:r>
              <w:rPr>
                <w:color w:val="000000" w:themeColor="text1"/>
                <w:sz w:val="20"/>
                <w:szCs w:val="20"/>
                <w:lang w:val="es-ES"/>
              </w:rPr>
              <w:t>Adopción de procedimientos operativos establecidos (SOP) para reforzar la coordinación entre la ONO, las autoridades aduaneras y marítimas; y refuerzo de la documentación para la supervisión y la conciliación de las cuotas.</w:t>
            </w:r>
          </w:p>
        </w:tc>
        <w:tc>
          <w:tcPr>
            <w:tcW w:w="733" w:type="pct"/>
          </w:tcPr>
          <w:p w14:paraId="67FBFE77" w14:textId="142FF49A" w:rsidR="00B965C5" w:rsidRPr="008B52AA" w:rsidRDefault="00B965C5" w:rsidP="00B965C5">
            <w:pPr>
              <w:spacing w:before="20" w:after="20"/>
              <w:jc w:val="center"/>
              <w:rPr>
                <w:color w:val="000000" w:themeColor="text1"/>
                <w:sz w:val="20"/>
                <w:szCs w:val="20"/>
                <w:highlight w:val="cyan"/>
              </w:rPr>
            </w:pPr>
            <w:r>
              <w:rPr>
                <w:color w:val="000000" w:themeColor="text1"/>
                <w:sz w:val="20"/>
                <w:szCs w:val="20"/>
              </w:rPr>
              <w:t>PNUMA</w:t>
            </w:r>
          </w:p>
        </w:tc>
        <w:tc>
          <w:tcPr>
            <w:tcW w:w="476" w:type="pct"/>
          </w:tcPr>
          <w:p w14:paraId="495E0EB2" w14:textId="29C9BDD8" w:rsidR="00B965C5" w:rsidRPr="008B52AA" w:rsidRDefault="00B965C5" w:rsidP="00B965C5">
            <w:pPr>
              <w:shd w:val="clear" w:color="auto" w:fill="FFFFFF" w:themeFill="background1"/>
              <w:spacing w:before="20" w:after="20"/>
              <w:jc w:val="right"/>
              <w:rPr>
                <w:color w:val="000000" w:themeColor="text1"/>
                <w:sz w:val="20"/>
                <w:szCs w:val="20"/>
              </w:rPr>
            </w:pPr>
            <w:r>
              <w:rPr>
                <w:color w:val="000000" w:themeColor="text1"/>
                <w:sz w:val="20"/>
                <w:szCs w:val="20"/>
              </w:rPr>
              <w:t>20.000</w:t>
            </w:r>
          </w:p>
        </w:tc>
        <w:tc>
          <w:tcPr>
            <w:tcW w:w="473" w:type="pct"/>
          </w:tcPr>
          <w:p w14:paraId="386698FB" w14:textId="7153F971" w:rsidR="00B965C5" w:rsidRPr="008B52AA" w:rsidRDefault="00B965C5" w:rsidP="00B965C5">
            <w:pPr>
              <w:shd w:val="clear" w:color="auto" w:fill="FFFFFF" w:themeFill="background1"/>
              <w:spacing w:before="20" w:after="20"/>
              <w:jc w:val="right"/>
              <w:rPr>
                <w:color w:val="000000" w:themeColor="text1"/>
                <w:sz w:val="20"/>
                <w:szCs w:val="20"/>
              </w:rPr>
            </w:pPr>
            <w:r>
              <w:rPr>
                <w:color w:val="000000" w:themeColor="text1"/>
                <w:sz w:val="20"/>
                <w:szCs w:val="20"/>
              </w:rPr>
              <w:t>20.000</w:t>
            </w:r>
          </w:p>
        </w:tc>
      </w:tr>
      <w:tr w:rsidR="00B965C5" w:rsidRPr="008B52AA" w14:paraId="05294716" w14:textId="77777777" w:rsidTr="008576A8">
        <w:trPr>
          <w:trHeight w:val="225"/>
        </w:trPr>
        <w:tc>
          <w:tcPr>
            <w:tcW w:w="816" w:type="pct"/>
            <w:vMerge/>
          </w:tcPr>
          <w:p w14:paraId="17B0E1CA" w14:textId="77777777" w:rsidR="00B965C5" w:rsidRPr="008B52AA" w:rsidRDefault="00B965C5" w:rsidP="00B965C5">
            <w:pPr>
              <w:shd w:val="clear" w:color="auto" w:fill="FFFFFF" w:themeFill="background1"/>
              <w:spacing w:before="20" w:after="20"/>
              <w:jc w:val="left"/>
              <w:rPr>
                <w:i/>
                <w:iCs/>
                <w:color w:val="000000" w:themeColor="text1"/>
                <w:sz w:val="20"/>
                <w:szCs w:val="20"/>
              </w:rPr>
            </w:pPr>
          </w:p>
        </w:tc>
        <w:tc>
          <w:tcPr>
            <w:tcW w:w="2502" w:type="pct"/>
          </w:tcPr>
          <w:p w14:paraId="004D695D" w14:textId="77777777" w:rsidR="00B965C5" w:rsidRPr="002D2ED7" w:rsidRDefault="00B965C5" w:rsidP="00B965C5">
            <w:pPr>
              <w:shd w:val="clear" w:color="auto" w:fill="FFFFFF" w:themeFill="background1"/>
              <w:spacing w:before="20" w:after="20"/>
              <w:jc w:val="left"/>
              <w:rPr>
                <w:color w:val="000000" w:themeColor="text1"/>
                <w:sz w:val="20"/>
                <w:szCs w:val="20"/>
                <w:lang w:val="es-ES"/>
              </w:rPr>
            </w:pPr>
            <w:r>
              <w:rPr>
                <w:i/>
                <w:iCs/>
                <w:color w:val="000000" w:themeColor="text1"/>
                <w:sz w:val="20"/>
                <w:szCs w:val="20"/>
                <w:lang w:val="es-ES"/>
              </w:rPr>
              <w:t>Hacer efectivo el sistema de concesión de licencias y cupos</w:t>
            </w:r>
            <w:r>
              <w:rPr>
                <w:color w:val="000000" w:themeColor="text1"/>
                <w:sz w:val="20"/>
                <w:szCs w:val="20"/>
                <w:lang w:val="es-ES"/>
              </w:rPr>
              <w:t>:</w:t>
            </w:r>
          </w:p>
          <w:p w14:paraId="4219F939" w14:textId="3AE0C1C1" w:rsidR="00B965C5" w:rsidRPr="002D2ED7" w:rsidRDefault="00B965C5" w:rsidP="00B965C5">
            <w:pPr>
              <w:pStyle w:val="ListParagraph"/>
              <w:numPr>
                <w:ilvl w:val="0"/>
                <w:numId w:val="21"/>
              </w:numPr>
              <w:shd w:val="clear" w:color="auto" w:fill="FFFFFF" w:themeFill="background1"/>
              <w:spacing w:before="20" w:after="20"/>
              <w:ind w:left="179" w:hanging="179"/>
              <w:jc w:val="left"/>
              <w:rPr>
                <w:color w:val="000000" w:themeColor="text1"/>
                <w:sz w:val="20"/>
                <w:szCs w:val="20"/>
                <w:lang w:val="es-ES"/>
              </w:rPr>
            </w:pPr>
            <w:r>
              <w:rPr>
                <w:color w:val="000000" w:themeColor="text1"/>
                <w:sz w:val="20"/>
                <w:szCs w:val="20"/>
                <w:lang w:val="es-ES"/>
              </w:rPr>
              <w:t xml:space="preserve">Revisión y actualización de los procedimientos de concesión de licencias, asignación de cuotas y supervisión para mejorar la detección temprana de discrepancias y el comercio ilícito, y mejorar el cumplimiento y la elaboración de perfiles de riesgo; </w:t>
            </w:r>
          </w:p>
          <w:p w14:paraId="05E69A5F" w14:textId="5B75CA4D" w:rsidR="00B965C5" w:rsidRPr="002D2ED7" w:rsidRDefault="00B965C5" w:rsidP="00B965C5">
            <w:pPr>
              <w:pStyle w:val="ListParagraph"/>
              <w:numPr>
                <w:ilvl w:val="0"/>
                <w:numId w:val="21"/>
              </w:numPr>
              <w:shd w:val="clear" w:color="auto" w:fill="FFFFFF" w:themeFill="background1"/>
              <w:spacing w:before="20" w:after="20"/>
              <w:ind w:left="179" w:hanging="179"/>
              <w:jc w:val="left"/>
              <w:rPr>
                <w:color w:val="000000" w:themeColor="text1"/>
                <w:sz w:val="20"/>
                <w:szCs w:val="20"/>
                <w:lang w:val="es-ES"/>
              </w:rPr>
            </w:pPr>
            <w:r>
              <w:rPr>
                <w:color w:val="000000" w:themeColor="text1"/>
                <w:sz w:val="20"/>
                <w:szCs w:val="20"/>
                <w:lang w:val="es-ES"/>
              </w:rPr>
              <w:t xml:space="preserve">Capacitación de un total de 60 personas funcionarias de aduanas y fiscalizadoras (con un objetivo del 25 % de mujeres) sobre la identificación de sustancias controladas y los procedimientos de concesión de licencias y cuotas; </w:t>
            </w:r>
          </w:p>
          <w:p w14:paraId="425F0B57" w14:textId="50DEC6DC" w:rsidR="00B965C5" w:rsidRPr="002D2ED7" w:rsidRDefault="00B965C5" w:rsidP="00B965C5">
            <w:pPr>
              <w:pStyle w:val="ListParagraph"/>
              <w:numPr>
                <w:ilvl w:val="0"/>
                <w:numId w:val="21"/>
              </w:numPr>
              <w:shd w:val="clear" w:color="auto" w:fill="FFFFFF" w:themeFill="background1"/>
              <w:spacing w:before="20" w:after="20"/>
              <w:ind w:left="179" w:hanging="179"/>
              <w:jc w:val="left"/>
              <w:rPr>
                <w:color w:val="000000" w:themeColor="text1"/>
                <w:sz w:val="20"/>
                <w:szCs w:val="20"/>
                <w:lang w:val="es-ES"/>
              </w:rPr>
            </w:pPr>
            <w:r>
              <w:rPr>
                <w:color w:val="000000" w:themeColor="text1"/>
                <w:sz w:val="20"/>
                <w:szCs w:val="20"/>
                <w:lang w:val="es-ES"/>
              </w:rPr>
              <w:t>Actualizar los códigos del Sistema Armonizado (SA) nacionales para los refrigerantes HCFC, HFC, mezclas de HFC y HC;</w:t>
            </w:r>
          </w:p>
          <w:p w14:paraId="128ACE77" w14:textId="77777777" w:rsidR="00B965C5" w:rsidRPr="002D2ED7" w:rsidRDefault="00B965C5" w:rsidP="00B965C5">
            <w:pPr>
              <w:pStyle w:val="ListParagraph"/>
              <w:numPr>
                <w:ilvl w:val="0"/>
                <w:numId w:val="21"/>
              </w:numPr>
              <w:shd w:val="clear" w:color="auto" w:fill="FFFFFF" w:themeFill="background1"/>
              <w:spacing w:before="20" w:after="20"/>
              <w:ind w:left="179" w:hanging="179"/>
              <w:jc w:val="left"/>
              <w:rPr>
                <w:color w:val="000000" w:themeColor="text1"/>
                <w:sz w:val="20"/>
                <w:szCs w:val="20"/>
                <w:lang w:val="es-ES"/>
              </w:rPr>
            </w:pPr>
            <w:r>
              <w:rPr>
                <w:color w:val="000000" w:themeColor="text1"/>
                <w:sz w:val="20"/>
                <w:szCs w:val="20"/>
                <w:lang w:val="es-ES"/>
              </w:rPr>
              <w:t>Integración de criterios de elaboración de perfiles de riesgo en SIDUNEA;</w:t>
            </w:r>
            <w:r>
              <w:rPr>
                <w:rStyle w:val="FootnoteReference"/>
                <w:color w:val="000000" w:themeColor="text1"/>
                <w:sz w:val="20"/>
                <w:szCs w:val="20"/>
              </w:rPr>
              <w:footnoteReference w:id="9"/>
            </w:r>
            <w:r>
              <w:rPr>
                <w:color w:val="000000" w:themeColor="text1"/>
                <w:sz w:val="20"/>
                <w:szCs w:val="20"/>
                <w:lang w:val="es-ES"/>
              </w:rPr>
              <w:t xml:space="preserve"> </w:t>
            </w:r>
          </w:p>
          <w:p w14:paraId="3749F902" w14:textId="0D7FCC6D" w:rsidR="00B965C5" w:rsidRPr="002D2ED7" w:rsidRDefault="00B965C5" w:rsidP="00B965C5">
            <w:pPr>
              <w:pStyle w:val="ListParagraph"/>
              <w:numPr>
                <w:ilvl w:val="0"/>
                <w:numId w:val="21"/>
              </w:numPr>
              <w:shd w:val="clear" w:color="auto" w:fill="FFFFFF" w:themeFill="background1"/>
              <w:spacing w:before="20" w:after="20"/>
              <w:ind w:left="179" w:hanging="179"/>
              <w:jc w:val="left"/>
              <w:rPr>
                <w:color w:val="000000" w:themeColor="text1"/>
                <w:sz w:val="20"/>
                <w:szCs w:val="20"/>
                <w:lang w:val="es-ES"/>
              </w:rPr>
            </w:pPr>
            <w:r>
              <w:rPr>
                <w:color w:val="000000" w:themeColor="text1"/>
                <w:sz w:val="20"/>
                <w:szCs w:val="20"/>
                <w:lang w:val="es-ES"/>
              </w:rPr>
              <w:t>Emisión de directrices sobre prácticas de declaración y talleres de participación para diez personas agentes de aduanas (con un objetivo del 25 % de mujeres); y</w:t>
            </w:r>
          </w:p>
          <w:p w14:paraId="4646139A" w14:textId="06095CD4" w:rsidR="00B965C5" w:rsidRPr="002D2ED7" w:rsidRDefault="00B965C5" w:rsidP="00B965C5">
            <w:pPr>
              <w:pStyle w:val="ListParagraph"/>
              <w:numPr>
                <w:ilvl w:val="0"/>
                <w:numId w:val="21"/>
              </w:numPr>
              <w:shd w:val="clear" w:color="auto" w:fill="FFFFFF" w:themeFill="background1"/>
              <w:spacing w:before="20" w:after="20"/>
              <w:ind w:left="179" w:hanging="179"/>
              <w:jc w:val="left"/>
              <w:rPr>
                <w:color w:val="000000" w:themeColor="text1"/>
                <w:sz w:val="20"/>
                <w:szCs w:val="20"/>
                <w:lang w:val="es-ES"/>
              </w:rPr>
            </w:pPr>
            <w:r>
              <w:rPr>
                <w:color w:val="000000" w:themeColor="text1"/>
                <w:sz w:val="20"/>
                <w:szCs w:val="20"/>
                <w:lang w:val="es-ES"/>
              </w:rPr>
              <w:t>Capacitación de dos–tres personas funcionarias por isla en el uso de identificadores de refrigerantes y coordinación de las autoridades encargadas de la aplicación de la ley entre las islas.</w:t>
            </w:r>
          </w:p>
        </w:tc>
        <w:tc>
          <w:tcPr>
            <w:tcW w:w="733" w:type="pct"/>
          </w:tcPr>
          <w:p w14:paraId="096AD90F" w14:textId="7EABFCD8" w:rsidR="00B965C5" w:rsidRPr="008B52AA" w:rsidRDefault="00B965C5" w:rsidP="00B965C5">
            <w:pPr>
              <w:spacing w:before="20" w:after="20"/>
              <w:jc w:val="center"/>
              <w:rPr>
                <w:color w:val="000000" w:themeColor="text1"/>
                <w:sz w:val="20"/>
                <w:szCs w:val="20"/>
                <w:highlight w:val="cyan"/>
              </w:rPr>
            </w:pPr>
            <w:r>
              <w:rPr>
                <w:color w:val="000000" w:themeColor="text1"/>
                <w:sz w:val="20"/>
                <w:szCs w:val="20"/>
              </w:rPr>
              <w:t>PNUMA</w:t>
            </w:r>
          </w:p>
        </w:tc>
        <w:tc>
          <w:tcPr>
            <w:tcW w:w="476" w:type="pct"/>
          </w:tcPr>
          <w:p w14:paraId="6315CD51" w14:textId="5EEA1273" w:rsidR="00B965C5" w:rsidRPr="008B52AA" w:rsidRDefault="00B965C5" w:rsidP="00B965C5">
            <w:pPr>
              <w:shd w:val="clear" w:color="auto" w:fill="FFFFFF" w:themeFill="background1"/>
              <w:spacing w:before="20" w:after="20"/>
              <w:jc w:val="right"/>
              <w:rPr>
                <w:color w:val="000000" w:themeColor="text1"/>
                <w:sz w:val="20"/>
                <w:szCs w:val="20"/>
              </w:rPr>
            </w:pPr>
            <w:r>
              <w:rPr>
                <w:color w:val="000000" w:themeColor="text1"/>
                <w:sz w:val="20"/>
                <w:szCs w:val="20"/>
              </w:rPr>
              <w:t>80.000</w:t>
            </w:r>
          </w:p>
        </w:tc>
        <w:tc>
          <w:tcPr>
            <w:tcW w:w="473" w:type="pct"/>
          </w:tcPr>
          <w:p w14:paraId="56729775" w14:textId="54D2A982" w:rsidR="00B965C5" w:rsidRPr="008B52AA" w:rsidRDefault="00B965C5" w:rsidP="00B965C5">
            <w:pPr>
              <w:shd w:val="clear" w:color="auto" w:fill="FFFFFF" w:themeFill="background1"/>
              <w:spacing w:before="20" w:after="20"/>
              <w:jc w:val="right"/>
              <w:rPr>
                <w:color w:val="000000" w:themeColor="text1"/>
                <w:sz w:val="20"/>
                <w:szCs w:val="20"/>
              </w:rPr>
            </w:pPr>
            <w:r>
              <w:rPr>
                <w:color w:val="000000" w:themeColor="text1"/>
                <w:sz w:val="20"/>
                <w:szCs w:val="20"/>
              </w:rPr>
              <w:t>28.000</w:t>
            </w:r>
          </w:p>
        </w:tc>
      </w:tr>
      <w:tr w:rsidR="00B965C5" w:rsidRPr="008B52AA" w14:paraId="3B545950" w14:textId="77777777" w:rsidTr="008576A8">
        <w:trPr>
          <w:trHeight w:val="221"/>
        </w:trPr>
        <w:tc>
          <w:tcPr>
            <w:tcW w:w="816" w:type="pct"/>
            <w:vMerge w:val="restart"/>
          </w:tcPr>
          <w:p w14:paraId="35E9145D" w14:textId="643CD6D8" w:rsidR="00B965C5" w:rsidRPr="002D2ED7" w:rsidRDefault="00B965C5" w:rsidP="00B965C5">
            <w:pPr>
              <w:widowControl w:val="0"/>
              <w:spacing w:before="20" w:after="20"/>
              <w:jc w:val="left"/>
              <w:rPr>
                <w:i/>
                <w:iCs/>
                <w:color w:val="000000" w:themeColor="text1"/>
                <w:sz w:val="20"/>
                <w:szCs w:val="20"/>
                <w:lang w:val="es-ES"/>
              </w:rPr>
            </w:pPr>
            <w:r>
              <w:rPr>
                <w:color w:val="000000" w:themeColor="text1"/>
                <w:sz w:val="20"/>
                <w:szCs w:val="20"/>
                <w:lang w:val="es-ES"/>
              </w:rPr>
              <w:t>Apoyo especializado al sector de servicio y mantenimiento de equipos de refrigeración y aire acondicionado</w:t>
            </w:r>
          </w:p>
        </w:tc>
        <w:tc>
          <w:tcPr>
            <w:tcW w:w="2502" w:type="pct"/>
          </w:tcPr>
          <w:p w14:paraId="48D3A4B2" w14:textId="77777777" w:rsidR="00B965C5" w:rsidRPr="002D2ED7" w:rsidRDefault="00B965C5" w:rsidP="00B965C5">
            <w:pPr>
              <w:widowControl w:val="0"/>
              <w:spacing w:before="20" w:after="20"/>
              <w:jc w:val="left"/>
              <w:rPr>
                <w:color w:val="000000" w:themeColor="text1"/>
                <w:sz w:val="20"/>
                <w:szCs w:val="20"/>
                <w:lang w:val="es-ES"/>
              </w:rPr>
            </w:pPr>
            <w:r>
              <w:rPr>
                <w:i/>
                <w:iCs/>
                <w:color w:val="000000" w:themeColor="text1"/>
                <w:sz w:val="20"/>
                <w:szCs w:val="20"/>
                <w:lang w:val="es-ES"/>
              </w:rPr>
              <w:t>Capacitación y certificación de personas técnicas de refrigeración y aire acondicionado</w:t>
            </w:r>
            <w:r>
              <w:rPr>
                <w:color w:val="000000" w:themeColor="text1"/>
                <w:sz w:val="20"/>
                <w:szCs w:val="20"/>
                <w:lang w:val="es-ES"/>
              </w:rPr>
              <w:t xml:space="preserve">: </w:t>
            </w:r>
          </w:p>
          <w:p w14:paraId="5A1D840B" w14:textId="6DADFB80" w:rsidR="00B965C5" w:rsidRPr="002D2ED7" w:rsidRDefault="00B965C5" w:rsidP="00B965C5">
            <w:pPr>
              <w:pStyle w:val="ListParagraph"/>
              <w:widowControl w:val="0"/>
              <w:numPr>
                <w:ilvl w:val="0"/>
                <w:numId w:val="21"/>
              </w:numPr>
              <w:shd w:val="clear" w:color="auto" w:fill="FFFFFF" w:themeFill="background1"/>
              <w:spacing w:before="20" w:after="20"/>
              <w:ind w:left="179" w:hanging="179"/>
              <w:jc w:val="left"/>
              <w:rPr>
                <w:color w:val="000000" w:themeColor="text1"/>
                <w:sz w:val="20"/>
                <w:szCs w:val="20"/>
                <w:lang w:val="es-ES"/>
              </w:rPr>
            </w:pPr>
            <w:r>
              <w:rPr>
                <w:color w:val="000000" w:themeColor="text1"/>
                <w:sz w:val="20"/>
                <w:szCs w:val="20"/>
                <w:lang w:val="es-ES"/>
              </w:rPr>
              <w:t xml:space="preserve">Evaluación de la integración de los requisitos de certificación en el marco reglamentario y el desarrollo y la formalización de normas nacionales de competencia laboral; </w:t>
            </w:r>
          </w:p>
          <w:p w14:paraId="7748E520" w14:textId="469644D3" w:rsidR="00B965C5" w:rsidRPr="002D2ED7" w:rsidRDefault="00B965C5" w:rsidP="00B965C5">
            <w:pPr>
              <w:pStyle w:val="ListParagraph"/>
              <w:widowControl w:val="0"/>
              <w:numPr>
                <w:ilvl w:val="0"/>
                <w:numId w:val="21"/>
              </w:numPr>
              <w:shd w:val="clear" w:color="auto" w:fill="FFFFFF" w:themeFill="background1"/>
              <w:spacing w:before="20" w:after="20"/>
              <w:ind w:left="179" w:hanging="179"/>
              <w:jc w:val="left"/>
              <w:rPr>
                <w:color w:val="000000" w:themeColor="text1"/>
                <w:sz w:val="20"/>
                <w:szCs w:val="20"/>
                <w:lang w:val="es-ES"/>
              </w:rPr>
            </w:pPr>
            <w:r>
              <w:rPr>
                <w:color w:val="000000" w:themeColor="text1"/>
                <w:sz w:val="20"/>
                <w:szCs w:val="20"/>
                <w:lang w:val="es-ES"/>
              </w:rPr>
              <w:t xml:space="preserve">Desarrollo de la estructura y puesta en práctica de un plan de certificación, que incluya capacitación normalizada; procedimientos de evaluación y </w:t>
            </w:r>
            <w:r>
              <w:rPr>
                <w:color w:val="000000" w:themeColor="text1"/>
                <w:sz w:val="20"/>
                <w:szCs w:val="20"/>
                <w:lang w:val="es-ES"/>
              </w:rPr>
              <w:lastRenderedPageBreak/>
              <w:t xml:space="preserve">autoridad de certificación; elaboración de guías normalizadas para personas formadoras y herramientas de evaluación; emisión de certificados (objetivo de 40–50 personas técnicas, incluidas dos mujeres) y desarrollo de un proceso de renovación; </w:t>
            </w:r>
          </w:p>
          <w:p w14:paraId="7501CE54" w14:textId="02FC16B1" w:rsidR="00B965C5" w:rsidRPr="002D2ED7" w:rsidRDefault="00B965C5" w:rsidP="00B965C5">
            <w:pPr>
              <w:pStyle w:val="ListParagraph"/>
              <w:widowControl w:val="0"/>
              <w:numPr>
                <w:ilvl w:val="0"/>
                <w:numId w:val="21"/>
              </w:numPr>
              <w:shd w:val="clear" w:color="auto" w:fill="FFFFFF" w:themeFill="background1"/>
              <w:spacing w:before="20" w:after="20"/>
              <w:ind w:left="179" w:hanging="179"/>
              <w:jc w:val="left"/>
              <w:rPr>
                <w:color w:val="000000" w:themeColor="text1"/>
                <w:sz w:val="20"/>
                <w:szCs w:val="20"/>
                <w:lang w:val="es-ES"/>
              </w:rPr>
            </w:pPr>
            <w:r>
              <w:rPr>
                <w:color w:val="000000" w:themeColor="text1"/>
                <w:sz w:val="20"/>
                <w:szCs w:val="20"/>
                <w:lang w:val="es-ES"/>
              </w:rPr>
              <w:t>Puesta en marcha de un módulo de certificación en refrigeración y aire acondicionado y capacitación piloto con hasta 20 técnicos (con un objetivo del 5 % de mujeres);</w:t>
            </w:r>
          </w:p>
          <w:p w14:paraId="51A7F1F2" w14:textId="1BFF3C5A" w:rsidR="00B965C5" w:rsidRPr="002D2ED7" w:rsidRDefault="00B965C5" w:rsidP="00B965C5">
            <w:pPr>
              <w:pStyle w:val="ListParagraph"/>
              <w:widowControl w:val="0"/>
              <w:numPr>
                <w:ilvl w:val="0"/>
                <w:numId w:val="21"/>
              </w:numPr>
              <w:shd w:val="clear" w:color="auto" w:fill="FFFFFF" w:themeFill="background1"/>
              <w:spacing w:before="20" w:after="20"/>
              <w:ind w:left="179" w:hanging="179"/>
              <w:jc w:val="left"/>
              <w:rPr>
                <w:color w:val="000000" w:themeColor="text1"/>
                <w:sz w:val="20"/>
                <w:szCs w:val="20"/>
                <w:lang w:val="es-ES"/>
              </w:rPr>
            </w:pPr>
            <w:r>
              <w:rPr>
                <w:color w:val="000000" w:themeColor="text1"/>
                <w:sz w:val="20"/>
                <w:szCs w:val="20"/>
                <w:lang w:val="es-ES"/>
              </w:rPr>
              <w:t>Creación de un registro de personas técnicas que incluya a las personas técnicas cualificadas en HC;</w:t>
            </w:r>
          </w:p>
          <w:p w14:paraId="43EF28D0" w14:textId="29BAF714" w:rsidR="00B965C5" w:rsidRPr="002D2ED7" w:rsidRDefault="00B965C5" w:rsidP="00B965C5">
            <w:pPr>
              <w:pStyle w:val="ListParagraph"/>
              <w:widowControl w:val="0"/>
              <w:numPr>
                <w:ilvl w:val="0"/>
                <w:numId w:val="21"/>
              </w:numPr>
              <w:shd w:val="clear" w:color="auto" w:fill="FFFFFF" w:themeFill="background1"/>
              <w:spacing w:before="20" w:after="20"/>
              <w:ind w:left="179" w:hanging="179"/>
              <w:jc w:val="left"/>
              <w:rPr>
                <w:color w:val="000000" w:themeColor="text1"/>
                <w:sz w:val="20"/>
                <w:szCs w:val="20"/>
                <w:lang w:val="es-ES"/>
              </w:rPr>
            </w:pPr>
            <w:r>
              <w:rPr>
                <w:color w:val="000000" w:themeColor="text1"/>
                <w:sz w:val="20"/>
                <w:szCs w:val="20"/>
                <w:lang w:val="es-ES"/>
              </w:rPr>
              <w:t>Actualización del plan de estudios de capacitación y orientación de las personas instructoras sobre los módulos revisados;</w:t>
            </w:r>
          </w:p>
          <w:p w14:paraId="1B98D9D5" w14:textId="5F635F27" w:rsidR="00B965C5" w:rsidRPr="002D2ED7" w:rsidRDefault="00B965C5" w:rsidP="00B965C5">
            <w:pPr>
              <w:pStyle w:val="ListParagraph"/>
              <w:widowControl w:val="0"/>
              <w:numPr>
                <w:ilvl w:val="0"/>
                <w:numId w:val="21"/>
              </w:numPr>
              <w:shd w:val="clear" w:color="auto" w:fill="FFFFFF" w:themeFill="background1"/>
              <w:spacing w:before="20" w:after="20"/>
              <w:ind w:left="179" w:hanging="179"/>
              <w:jc w:val="left"/>
              <w:rPr>
                <w:color w:val="000000" w:themeColor="text1"/>
                <w:sz w:val="20"/>
                <w:szCs w:val="20"/>
                <w:lang w:val="es-ES"/>
              </w:rPr>
            </w:pPr>
            <w:r>
              <w:rPr>
                <w:color w:val="000000" w:themeColor="text1"/>
                <w:sz w:val="20"/>
                <w:szCs w:val="20"/>
                <w:lang w:val="es-ES"/>
              </w:rPr>
              <w:t>Un programa de capacitación de formadores para un máximo de dos instructores certificados a nivel nacional, entre tres y cuatro talleres de capacitación para un máximo de 50 técnicos (con un objetivo de 2 personas de género femenino) y la puesta en marcha de un módulo piloto para instructores fuera del horario laboral con el fin de aumentar el acceso a la certificación para los técnicos en activo.</w:t>
            </w:r>
          </w:p>
        </w:tc>
        <w:tc>
          <w:tcPr>
            <w:tcW w:w="733" w:type="pct"/>
          </w:tcPr>
          <w:p w14:paraId="51E974C1" w14:textId="0471212A" w:rsidR="00B965C5" w:rsidRPr="008B52AA" w:rsidRDefault="00B965C5" w:rsidP="00B965C5">
            <w:pPr>
              <w:spacing w:before="20" w:after="20"/>
              <w:jc w:val="center"/>
              <w:rPr>
                <w:color w:val="000000" w:themeColor="text1"/>
                <w:sz w:val="20"/>
                <w:szCs w:val="20"/>
              </w:rPr>
            </w:pPr>
            <w:r>
              <w:rPr>
                <w:color w:val="000000" w:themeColor="text1"/>
                <w:sz w:val="20"/>
                <w:szCs w:val="20"/>
              </w:rPr>
              <w:lastRenderedPageBreak/>
              <w:t>PNUMA</w:t>
            </w:r>
          </w:p>
        </w:tc>
        <w:tc>
          <w:tcPr>
            <w:tcW w:w="476" w:type="pct"/>
          </w:tcPr>
          <w:p w14:paraId="0430E8AF" w14:textId="30BDB100" w:rsidR="00B965C5" w:rsidRPr="008B52AA" w:rsidRDefault="00B965C5" w:rsidP="00B965C5">
            <w:pPr>
              <w:spacing w:before="20" w:after="20"/>
              <w:jc w:val="right"/>
              <w:rPr>
                <w:color w:val="000000" w:themeColor="text1"/>
                <w:sz w:val="20"/>
                <w:szCs w:val="20"/>
              </w:rPr>
            </w:pPr>
            <w:r>
              <w:rPr>
                <w:color w:val="000000" w:themeColor="text1"/>
                <w:sz w:val="20"/>
                <w:szCs w:val="20"/>
              </w:rPr>
              <w:t>110.000</w:t>
            </w:r>
          </w:p>
        </w:tc>
        <w:tc>
          <w:tcPr>
            <w:tcW w:w="473" w:type="pct"/>
          </w:tcPr>
          <w:p w14:paraId="635B2982" w14:textId="3D3A0B0C" w:rsidR="00B965C5" w:rsidRPr="008B52AA" w:rsidRDefault="00B965C5" w:rsidP="00B965C5">
            <w:pPr>
              <w:spacing w:before="20" w:after="20"/>
              <w:jc w:val="right"/>
              <w:rPr>
                <w:color w:val="000000" w:themeColor="text1"/>
                <w:sz w:val="20"/>
                <w:szCs w:val="20"/>
              </w:rPr>
            </w:pPr>
            <w:r>
              <w:rPr>
                <w:color w:val="000000" w:themeColor="text1"/>
                <w:sz w:val="20"/>
                <w:szCs w:val="20"/>
              </w:rPr>
              <w:t>55.000</w:t>
            </w:r>
          </w:p>
        </w:tc>
      </w:tr>
      <w:tr w:rsidR="00B965C5" w:rsidRPr="008B52AA" w14:paraId="00CFBB6D" w14:textId="77777777" w:rsidTr="008576A8">
        <w:trPr>
          <w:trHeight w:val="2630"/>
        </w:trPr>
        <w:tc>
          <w:tcPr>
            <w:tcW w:w="816" w:type="pct"/>
            <w:vMerge/>
          </w:tcPr>
          <w:p w14:paraId="5C970B1E" w14:textId="77777777" w:rsidR="00B965C5" w:rsidRPr="008B52AA" w:rsidRDefault="00B965C5" w:rsidP="00B965C5">
            <w:pPr>
              <w:widowControl w:val="0"/>
              <w:spacing w:before="20" w:after="20"/>
              <w:jc w:val="left"/>
              <w:rPr>
                <w:color w:val="000000" w:themeColor="text1"/>
                <w:sz w:val="20"/>
                <w:szCs w:val="20"/>
              </w:rPr>
            </w:pPr>
          </w:p>
        </w:tc>
        <w:tc>
          <w:tcPr>
            <w:tcW w:w="2502" w:type="pct"/>
          </w:tcPr>
          <w:p w14:paraId="621A0760" w14:textId="68C2B877" w:rsidR="00B965C5" w:rsidRPr="002D2ED7" w:rsidRDefault="00B965C5" w:rsidP="00B965C5">
            <w:pPr>
              <w:shd w:val="clear" w:color="auto" w:fill="FFFFFF" w:themeFill="background1"/>
              <w:spacing w:before="20" w:after="20"/>
              <w:jc w:val="left"/>
              <w:rPr>
                <w:i/>
                <w:iCs/>
                <w:color w:val="000000" w:themeColor="text1"/>
                <w:sz w:val="20"/>
                <w:szCs w:val="20"/>
                <w:lang w:val="es-ES"/>
              </w:rPr>
            </w:pPr>
            <w:r>
              <w:rPr>
                <w:i/>
                <w:iCs/>
                <w:color w:val="000000" w:themeColor="text1"/>
                <w:sz w:val="20"/>
                <w:szCs w:val="20"/>
                <w:lang w:val="es-ES"/>
              </w:rPr>
              <w:t xml:space="preserve">Coordinación institucional y asociación gremial del sector refrigeración y aire acondicionado: </w:t>
            </w:r>
          </w:p>
          <w:p w14:paraId="1B99DB59" w14:textId="77777777" w:rsidR="00B965C5" w:rsidRPr="002D2ED7" w:rsidRDefault="00B965C5" w:rsidP="00B965C5">
            <w:pPr>
              <w:pStyle w:val="ListParagraph"/>
              <w:numPr>
                <w:ilvl w:val="0"/>
                <w:numId w:val="21"/>
              </w:numPr>
              <w:shd w:val="clear" w:color="auto" w:fill="FFFFFF" w:themeFill="background1"/>
              <w:spacing w:before="20" w:after="20"/>
              <w:ind w:left="179" w:hanging="179"/>
              <w:jc w:val="left"/>
              <w:rPr>
                <w:i/>
                <w:iCs/>
                <w:color w:val="000000" w:themeColor="text1"/>
                <w:sz w:val="20"/>
                <w:szCs w:val="20"/>
                <w:lang w:val="es-ES"/>
              </w:rPr>
            </w:pPr>
            <w:r>
              <w:rPr>
                <w:color w:val="000000" w:themeColor="text1"/>
                <w:sz w:val="20"/>
                <w:szCs w:val="20"/>
                <w:lang w:val="es-ES"/>
              </w:rPr>
              <w:t>Restablecimiento, registro legal y fortalecimiento operativo de la asociación gremial del sector refrigeración y aire acondicionado;</w:t>
            </w:r>
          </w:p>
          <w:p w14:paraId="7880A744" w14:textId="3A9904AB" w:rsidR="00B965C5" w:rsidRPr="002D2ED7" w:rsidRDefault="00B965C5" w:rsidP="00B965C5">
            <w:pPr>
              <w:pStyle w:val="ListParagraph"/>
              <w:numPr>
                <w:ilvl w:val="0"/>
                <w:numId w:val="21"/>
              </w:numPr>
              <w:shd w:val="clear" w:color="auto" w:fill="FFFFFF" w:themeFill="background1"/>
              <w:spacing w:before="20" w:after="20"/>
              <w:ind w:left="179" w:hanging="179"/>
              <w:jc w:val="left"/>
              <w:rPr>
                <w:i/>
                <w:iCs/>
                <w:color w:val="000000" w:themeColor="text1"/>
                <w:sz w:val="20"/>
                <w:szCs w:val="20"/>
                <w:lang w:val="es-ES"/>
              </w:rPr>
            </w:pPr>
            <w:r>
              <w:rPr>
                <w:color w:val="000000" w:themeColor="text1"/>
                <w:sz w:val="20"/>
                <w:szCs w:val="20"/>
                <w:lang w:val="es-ES"/>
              </w:rPr>
              <w:t xml:space="preserve">Desarrollo de estructuras de gobernanza y afiliación, unos estatutos y una ordenanza, un marco de presentación de informes y un modelo de sostenibilidad financiera; </w:t>
            </w:r>
          </w:p>
          <w:p w14:paraId="7A9DD5E8" w14:textId="77777777" w:rsidR="00B965C5" w:rsidRPr="002D2ED7" w:rsidRDefault="00B965C5" w:rsidP="00B965C5">
            <w:pPr>
              <w:pStyle w:val="ListParagraph"/>
              <w:numPr>
                <w:ilvl w:val="0"/>
                <w:numId w:val="21"/>
              </w:numPr>
              <w:shd w:val="clear" w:color="auto" w:fill="FFFFFF" w:themeFill="background1"/>
              <w:spacing w:before="20" w:after="20"/>
              <w:ind w:left="179" w:hanging="179"/>
              <w:jc w:val="left"/>
              <w:rPr>
                <w:i/>
                <w:iCs/>
                <w:color w:val="000000" w:themeColor="text1"/>
                <w:sz w:val="20"/>
                <w:szCs w:val="20"/>
                <w:lang w:val="es-ES"/>
              </w:rPr>
            </w:pPr>
            <w:r>
              <w:rPr>
                <w:color w:val="000000" w:themeColor="text1"/>
                <w:sz w:val="20"/>
                <w:szCs w:val="20"/>
                <w:lang w:val="es-ES"/>
              </w:rPr>
              <w:t>Un taller de planificación estratégica;</w:t>
            </w:r>
            <w:r>
              <w:rPr>
                <w:color w:val="000000" w:themeColor="text1"/>
                <w:sz w:val="20"/>
                <w:szCs w:val="20"/>
                <w:vertAlign w:val="superscript"/>
              </w:rPr>
              <w:footnoteReference w:id="10"/>
            </w:r>
            <w:r>
              <w:rPr>
                <w:color w:val="000000" w:themeColor="text1"/>
                <w:sz w:val="20"/>
                <w:szCs w:val="20"/>
                <w:lang w:val="es-ES"/>
              </w:rPr>
              <w:t xml:space="preserve"> </w:t>
            </w:r>
          </w:p>
          <w:p w14:paraId="7C00BC94" w14:textId="55E313CA" w:rsidR="00B965C5" w:rsidRPr="002D2ED7" w:rsidRDefault="00B965C5" w:rsidP="00B965C5">
            <w:pPr>
              <w:pStyle w:val="ListParagraph"/>
              <w:numPr>
                <w:ilvl w:val="0"/>
                <w:numId w:val="21"/>
              </w:numPr>
              <w:shd w:val="clear" w:color="auto" w:fill="FFFFFF" w:themeFill="background1"/>
              <w:spacing w:before="20" w:after="20"/>
              <w:ind w:left="179" w:hanging="179"/>
              <w:jc w:val="left"/>
              <w:rPr>
                <w:i/>
                <w:iCs/>
                <w:color w:val="000000" w:themeColor="text1"/>
                <w:sz w:val="20"/>
                <w:szCs w:val="20"/>
                <w:lang w:val="es-ES"/>
              </w:rPr>
            </w:pPr>
            <w:r>
              <w:rPr>
                <w:color w:val="000000" w:themeColor="text1"/>
                <w:sz w:val="20"/>
                <w:szCs w:val="20"/>
                <w:lang w:val="es-ES"/>
              </w:rPr>
              <w:t>Establecimiento de procedimientos de divulgación para el personal técnico; y</w:t>
            </w:r>
          </w:p>
          <w:p w14:paraId="2992733D" w14:textId="4AAA22AA" w:rsidR="00B965C5" w:rsidRPr="002D2ED7" w:rsidRDefault="00B965C5" w:rsidP="00B965C5">
            <w:pPr>
              <w:pStyle w:val="ListParagraph"/>
              <w:numPr>
                <w:ilvl w:val="0"/>
                <w:numId w:val="21"/>
              </w:numPr>
              <w:shd w:val="clear" w:color="auto" w:fill="FFFFFF" w:themeFill="background1"/>
              <w:spacing w:before="20" w:after="20"/>
              <w:ind w:left="179" w:hanging="179"/>
              <w:jc w:val="left"/>
              <w:rPr>
                <w:i/>
                <w:iCs/>
                <w:color w:val="000000" w:themeColor="text1"/>
                <w:sz w:val="20"/>
                <w:szCs w:val="20"/>
                <w:lang w:val="es-ES"/>
              </w:rPr>
            </w:pPr>
            <w:r>
              <w:rPr>
                <w:color w:val="000000" w:themeColor="text1"/>
                <w:sz w:val="20"/>
                <w:szCs w:val="20"/>
                <w:lang w:val="es-ES"/>
              </w:rPr>
              <w:t>Definición de mecanismos de coordinación entre instituciones de ambas islas y aclaración de las funciones institucionales en materia de certificación, presentación de informes y supervisión del cumplimiento.</w:t>
            </w:r>
          </w:p>
        </w:tc>
        <w:tc>
          <w:tcPr>
            <w:tcW w:w="733" w:type="pct"/>
          </w:tcPr>
          <w:p w14:paraId="725BAFDE" w14:textId="4EFE9BAD" w:rsidR="00B965C5" w:rsidRPr="008B52AA" w:rsidRDefault="00B965C5" w:rsidP="00B965C5">
            <w:pPr>
              <w:spacing w:before="20" w:after="20"/>
              <w:jc w:val="center"/>
              <w:rPr>
                <w:color w:val="000000" w:themeColor="text1"/>
                <w:sz w:val="20"/>
                <w:szCs w:val="20"/>
              </w:rPr>
            </w:pPr>
            <w:r>
              <w:rPr>
                <w:color w:val="000000" w:themeColor="text1"/>
                <w:sz w:val="20"/>
                <w:szCs w:val="20"/>
              </w:rPr>
              <w:t>PNUMA</w:t>
            </w:r>
          </w:p>
        </w:tc>
        <w:tc>
          <w:tcPr>
            <w:tcW w:w="476" w:type="pct"/>
          </w:tcPr>
          <w:p w14:paraId="4276C724" w14:textId="11A31BE0" w:rsidR="00B965C5" w:rsidRPr="008B52AA" w:rsidRDefault="00B965C5" w:rsidP="00B965C5">
            <w:pPr>
              <w:spacing w:before="20" w:after="20"/>
              <w:jc w:val="right"/>
              <w:rPr>
                <w:color w:val="000000" w:themeColor="text1"/>
                <w:sz w:val="20"/>
                <w:szCs w:val="20"/>
              </w:rPr>
            </w:pPr>
            <w:r>
              <w:rPr>
                <w:color w:val="000000" w:themeColor="text1"/>
                <w:sz w:val="20"/>
                <w:szCs w:val="20"/>
              </w:rPr>
              <w:t xml:space="preserve">  25.000</w:t>
            </w:r>
          </w:p>
        </w:tc>
        <w:tc>
          <w:tcPr>
            <w:tcW w:w="473" w:type="pct"/>
          </w:tcPr>
          <w:p w14:paraId="61C294B5" w14:textId="36B86EFD" w:rsidR="00B965C5" w:rsidRPr="008B52AA" w:rsidRDefault="00B965C5" w:rsidP="00B965C5">
            <w:pPr>
              <w:spacing w:before="20" w:after="20"/>
              <w:jc w:val="right"/>
              <w:rPr>
                <w:color w:val="000000" w:themeColor="text1"/>
                <w:sz w:val="20"/>
                <w:szCs w:val="20"/>
              </w:rPr>
            </w:pPr>
            <w:r>
              <w:rPr>
                <w:color w:val="000000" w:themeColor="text1"/>
                <w:sz w:val="20"/>
                <w:szCs w:val="20"/>
              </w:rPr>
              <w:t>20.000</w:t>
            </w:r>
          </w:p>
        </w:tc>
      </w:tr>
      <w:tr w:rsidR="00B965C5" w:rsidRPr="008B52AA" w14:paraId="247F9A12" w14:textId="77777777" w:rsidTr="008576A8">
        <w:trPr>
          <w:trHeight w:val="220"/>
        </w:trPr>
        <w:tc>
          <w:tcPr>
            <w:tcW w:w="816" w:type="pct"/>
            <w:vMerge/>
          </w:tcPr>
          <w:p w14:paraId="1D04F5F5" w14:textId="77777777" w:rsidR="00B965C5" w:rsidRPr="008B52AA" w:rsidRDefault="00B965C5" w:rsidP="00B965C5">
            <w:pPr>
              <w:spacing w:before="20" w:after="20"/>
              <w:jc w:val="left"/>
              <w:rPr>
                <w:i/>
                <w:iCs/>
                <w:color w:val="000000" w:themeColor="text1"/>
                <w:sz w:val="20"/>
                <w:szCs w:val="20"/>
              </w:rPr>
            </w:pPr>
          </w:p>
        </w:tc>
        <w:tc>
          <w:tcPr>
            <w:tcW w:w="2502" w:type="pct"/>
          </w:tcPr>
          <w:p w14:paraId="4D49D241" w14:textId="64EF3A66" w:rsidR="00B965C5" w:rsidRPr="002D2ED7" w:rsidRDefault="00B965C5" w:rsidP="00B965C5">
            <w:pPr>
              <w:spacing w:before="20" w:after="20"/>
              <w:jc w:val="left"/>
              <w:rPr>
                <w:color w:val="000000" w:themeColor="text1"/>
                <w:sz w:val="20"/>
                <w:szCs w:val="20"/>
                <w:lang w:val="es-ES"/>
              </w:rPr>
            </w:pPr>
            <w:r>
              <w:rPr>
                <w:i/>
                <w:iCs/>
                <w:color w:val="000000" w:themeColor="text1"/>
                <w:sz w:val="20"/>
                <w:szCs w:val="20"/>
                <w:lang w:val="es-ES"/>
              </w:rPr>
              <w:t>Plan nacional de recuperación y reciclaje (R&amp;R)</w:t>
            </w:r>
            <w:r>
              <w:rPr>
                <w:color w:val="000000" w:themeColor="text1"/>
                <w:sz w:val="20"/>
                <w:szCs w:val="20"/>
                <w:lang w:val="es-ES"/>
              </w:rPr>
              <w:t>:</w:t>
            </w:r>
          </w:p>
          <w:p w14:paraId="40703012" w14:textId="5ABCDBC7" w:rsidR="00B965C5" w:rsidRPr="002D2ED7" w:rsidRDefault="00B965C5" w:rsidP="00B965C5">
            <w:pPr>
              <w:pStyle w:val="ListParagraph"/>
              <w:numPr>
                <w:ilvl w:val="0"/>
                <w:numId w:val="21"/>
              </w:numPr>
              <w:shd w:val="clear" w:color="auto" w:fill="FFFFFF" w:themeFill="background1"/>
              <w:spacing w:before="20" w:after="20"/>
              <w:ind w:left="179" w:hanging="179"/>
              <w:jc w:val="left"/>
              <w:rPr>
                <w:color w:val="000000" w:themeColor="text1"/>
                <w:sz w:val="20"/>
                <w:szCs w:val="20"/>
                <w:lang w:val="es-ES"/>
              </w:rPr>
            </w:pPr>
            <w:r>
              <w:rPr>
                <w:color w:val="000000" w:themeColor="text1"/>
                <w:sz w:val="20"/>
                <w:szCs w:val="20"/>
                <w:lang w:val="es-ES"/>
              </w:rPr>
              <w:t xml:space="preserve">Puesta en práctica de sistemas de recuperación mediante el desarrollo de modelos de gestión en ambas islas; evaluación de necesidades, incluyendo un </w:t>
            </w:r>
            <w:r>
              <w:rPr>
                <w:bCs/>
                <w:color w:val="000000" w:themeColor="text1"/>
                <w:sz w:val="20"/>
                <w:szCs w:val="20"/>
                <w:lang w:val="es-ES"/>
              </w:rPr>
              <w:t>inventario de equipos</w:t>
            </w:r>
            <w:r>
              <w:rPr>
                <w:color w:val="000000" w:themeColor="text1"/>
                <w:sz w:val="20"/>
                <w:szCs w:val="20"/>
                <w:lang w:val="es-ES"/>
              </w:rPr>
              <w:t>; adquisición de equipos,</w:t>
            </w:r>
            <w:r>
              <w:rPr>
                <w:color w:val="000000" w:themeColor="text1"/>
                <w:sz w:val="20"/>
                <w:szCs w:val="20"/>
                <w:vertAlign w:val="superscript"/>
              </w:rPr>
              <w:footnoteReference w:id="11"/>
            </w:r>
            <w:r>
              <w:rPr>
                <w:color w:val="000000" w:themeColor="text1"/>
                <w:sz w:val="20"/>
                <w:szCs w:val="20"/>
                <w:lang w:val="es-ES"/>
              </w:rPr>
              <w:t xml:space="preserve"> y capacitación del personal técnico;</w:t>
            </w:r>
          </w:p>
          <w:p w14:paraId="3CE88536" w14:textId="77777777" w:rsidR="00B965C5" w:rsidRPr="002D2ED7" w:rsidRDefault="00B965C5" w:rsidP="00B965C5">
            <w:pPr>
              <w:pStyle w:val="ListParagraph"/>
              <w:numPr>
                <w:ilvl w:val="0"/>
                <w:numId w:val="21"/>
              </w:numPr>
              <w:shd w:val="clear" w:color="auto" w:fill="FFFFFF" w:themeFill="background1"/>
              <w:spacing w:before="20" w:after="20"/>
              <w:ind w:left="179" w:hanging="179"/>
              <w:jc w:val="left"/>
              <w:rPr>
                <w:color w:val="000000" w:themeColor="text1"/>
                <w:sz w:val="20"/>
                <w:szCs w:val="20"/>
                <w:lang w:val="es-ES"/>
              </w:rPr>
            </w:pPr>
            <w:r>
              <w:rPr>
                <w:color w:val="000000" w:themeColor="text1"/>
                <w:sz w:val="20"/>
                <w:szCs w:val="20"/>
                <w:lang w:val="es-ES"/>
              </w:rPr>
              <w:lastRenderedPageBreak/>
              <w:t>Incorporación de las prácticas de recuperación en el marco nacional de certificación del personal técnico;</w:t>
            </w:r>
          </w:p>
          <w:p w14:paraId="0F712369" w14:textId="649A7F30" w:rsidR="00B965C5" w:rsidRPr="002D2ED7" w:rsidRDefault="00B965C5" w:rsidP="00B965C5">
            <w:pPr>
              <w:pStyle w:val="ListParagraph"/>
              <w:numPr>
                <w:ilvl w:val="0"/>
                <w:numId w:val="21"/>
              </w:numPr>
              <w:shd w:val="clear" w:color="auto" w:fill="FFFFFF" w:themeFill="background1"/>
              <w:spacing w:before="20" w:after="20"/>
              <w:ind w:left="179" w:hanging="179"/>
              <w:jc w:val="left"/>
              <w:rPr>
                <w:color w:val="000000" w:themeColor="text1"/>
                <w:sz w:val="20"/>
                <w:szCs w:val="20"/>
                <w:lang w:val="es-ES"/>
              </w:rPr>
            </w:pPr>
            <w:r>
              <w:rPr>
                <w:color w:val="000000" w:themeColor="text1"/>
                <w:sz w:val="20"/>
                <w:szCs w:val="20"/>
                <w:lang w:val="es-ES"/>
              </w:rPr>
              <w:t xml:space="preserve">Establecimiento de procedimientos de inspección coordinados; y establecimiento de un sistema de seguimiento y etiquetado de equipos; </w:t>
            </w:r>
          </w:p>
          <w:p w14:paraId="69B4997F" w14:textId="77777777" w:rsidR="00B965C5" w:rsidRPr="002D2ED7" w:rsidRDefault="00B965C5" w:rsidP="00B965C5">
            <w:pPr>
              <w:pStyle w:val="ListParagraph"/>
              <w:numPr>
                <w:ilvl w:val="0"/>
                <w:numId w:val="21"/>
              </w:numPr>
              <w:shd w:val="clear" w:color="auto" w:fill="FFFFFF" w:themeFill="background1"/>
              <w:spacing w:before="20" w:after="20"/>
              <w:ind w:left="179" w:hanging="179"/>
              <w:jc w:val="left"/>
              <w:rPr>
                <w:color w:val="000000" w:themeColor="text1"/>
                <w:sz w:val="20"/>
                <w:szCs w:val="20"/>
                <w:lang w:val="es-ES"/>
              </w:rPr>
            </w:pPr>
            <w:r>
              <w:rPr>
                <w:color w:val="000000" w:themeColor="text1"/>
                <w:sz w:val="20"/>
                <w:szCs w:val="20"/>
                <w:lang w:val="es-ES"/>
              </w:rPr>
              <w:t xml:space="preserve">Protocolos de mantenimiento, almacenamiento, uso final y presentación de informes; y </w:t>
            </w:r>
          </w:p>
          <w:p w14:paraId="565908AD" w14:textId="2ED65D63" w:rsidR="00B965C5" w:rsidRPr="002D2ED7" w:rsidRDefault="00B965C5" w:rsidP="00B965C5">
            <w:pPr>
              <w:pStyle w:val="ListParagraph"/>
              <w:numPr>
                <w:ilvl w:val="0"/>
                <w:numId w:val="21"/>
              </w:numPr>
              <w:shd w:val="clear" w:color="auto" w:fill="FFFFFF" w:themeFill="background1"/>
              <w:spacing w:before="20" w:after="20"/>
              <w:ind w:left="179" w:hanging="179"/>
              <w:jc w:val="left"/>
              <w:rPr>
                <w:color w:val="000000" w:themeColor="text1"/>
                <w:sz w:val="20"/>
                <w:szCs w:val="20"/>
                <w:lang w:val="es-ES"/>
              </w:rPr>
            </w:pPr>
            <w:r>
              <w:rPr>
                <w:color w:val="000000" w:themeColor="text1"/>
                <w:sz w:val="20"/>
                <w:szCs w:val="20"/>
                <w:lang w:val="es-ES"/>
              </w:rPr>
              <w:t>Capacitación de al menos 34 personas técnicas (con un objetivo del 5 % de mujeres) en recuperación, gestión de cilindros, detección y prevención de fugas, manipulación segura de refrigerantes de bajo PCA, mantenimiento de registros y presentación de informes.</w:t>
            </w:r>
          </w:p>
        </w:tc>
        <w:tc>
          <w:tcPr>
            <w:tcW w:w="733" w:type="pct"/>
          </w:tcPr>
          <w:p w14:paraId="30AEB309" w14:textId="494CD72B" w:rsidR="00B965C5" w:rsidRPr="008B52AA" w:rsidRDefault="00B965C5" w:rsidP="00B965C5">
            <w:pPr>
              <w:spacing w:before="20" w:after="20"/>
              <w:jc w:val="center"/>
              <w:rPr>
                <w:color w:val="000000" w:themeColor="text1"/>
                <w:sz w:val="20"/>
                <w:szCs w:val="20"/>
              </w:rPr>
            </w:pPr>
            <w:r>
              <w:rPr>
                <w:color w:val="000000" w:themeColor="text1"/>
                <w:sz w:val="20"/>
                <w:szCs w:val="20"/>
              </w:rPr>
              <w:lastRenderedPageBreak/>
              <w:t>ONUDI</w:t>
            </w:r>
          </w:p>
        </w:tc>
        <w:tc>
          <w:tcPr>
            <w:tcW w:w="476" w:type="pct"/>
          </w:tcPr>
          <w:p w14:paraId="39172B93" w14:textId="4E812A0C" w:rsidR="00B965C5" w:rsidRPr="008B52AA" w:rsidRDefault="00B965C5" w:rsidP="00B965C5">
            <w:pPr>
              <w:spacing w:before="20" w:after="20"/>
              <w:jc w:val="right"/>
              <w:rPr>
                <w:color w:val="000000" w:themeColor="text1"/>
                <w:sz w:val="20"/>
                <w:szCs w:val="20"/>
              </w:rPr>
            </w:pPr>
            <w:r>
              <w:rPr>
                <w:color w:val="000000" w:themeColor="text1"/>
                <w:sz w:val="20"/>
                <w:szCs w:val="20"/>
              </w:rPr>
              <w:t>126.900</w:t>
            </w:r>
          </w:p>
        </w:tc>
        <w:tc>
          <w:tcPr>
            <w:tcW w:w="473" w:type="pct"/>
          </w:tcPr>
          <w:p w14:paraId="48EF6EEF" w14:textId="1ABA8676" w:rsidR="00B965C5" w:rsidRPr="008B52AA" w:rsidRDefault="00B965C5" w:rsidP="00B965C5">
            <w:pPr>
              <w:spacing w:before="20" w:after="20"/>
              <w:jc w:val="right"/>
              <w:rPr>
                <w:color w:val="000000" w:themeColor="text1"/>
                <w:sz w:val="20"/>
                <w:szCs w:val="20"/>
              </w:rPr>
            </w:pPr>
            <w:r>
              <w:rPr>
                <w:color w:val="000000" w:themeColor="text1"/>
                <w:sz w:val="20"/>
                <w:szCs w:val="20"/>
              </w:rPr>
              <w:t>60.000</w:t>
            </w:r>
          </w:p>
        </w:tc>
      </w:tr>
      <w:tr w:rsidR="00B965C5" w:rsidRPr="008B52AA" w14:paraId="390C5252" w14:textId="77777777" w:rsidTr="008576A8">
        <w:trPr>
          <w:trHeight w:val="368"/>
        </w:trPr>
        <w:tc>
          <w:tcPr>
            <w:tcW w:w="816" w:type="pct"/>
            <w:tcBorders>
              <w:bottom w:val="single" w:sz="4" w:space="0" w:color="auto"/>
            </w:tcBorders>
          </w:tcPr>
          <w:p w14:paraId="6533855F" w14:textId="706749DB" w:rsidR="00B965C5" w:rsidRPr="002D2ED7" w:rsidRDefault="00B965C5" w:rsidP="00B965C5">
            <w:pPr>
              <w:keepNext/>
              <w:shd w:val="clear" w:color="auto" w:fill="FFFFFF" w:themeFill="background1"/>
              <w:spacing w:before="20" w:after="20"/>
              <w:jc w:val="left"/>
              <w:rPr>
                <w:i/>
                <w:iCs/>
                <w:color w:val="000000" w:themeColor="text1"/>
                <w:sz w:val="20"/>
                <w:szCs w:val="20"/>
                <w:lang w:val="es-ES"/>
              </w:rPr>
            </w:pPr>
            <w:r>
              <w:rPr>
                <w:rStyle w:val="s1"/>
                <w:rFonts w:eastAsiaTheme="majorEastAsia"/>
                <w:color w:val="000000" w:themeColor="text1"/>
                <w:sz w:val="20"/>
                <w:szCs w:val="20"/>
                <w:lang w:val="es-ES"/>
              </w:rPr>
              <w:t>Sensibilización pública y participación de las personas jóvenes</w:t>
            </w:r>
          </w:p>
        </w:tc>
        <w:tc>
          <w:tcPr>
            <w:tcW w:w="2502" w:type="pct"/>
            <w:tcBorders>
              <w:bottom w:val="single" w:sz="4" w:space="0" w:color="auto"/>
            </w:tcBorders>
          </w:tcPr>
          <w:p w14:paraId="20DF58D4" w14:textId="77777777" w:rsidR="00B965C5" w:rsidRPr="002D2ED7" w:rsidRDefault="00B965C5" w:rsidP="00B965C5">
            <w:pPr>
              <w:keepNext/>
              <w:shd w:val="clear" w:color="auto" w:fill="FFFFFF" w:themeFill="background1"/>
              <w:spacing w:before="20" w:after="20"/>
              <w:jc w:val="left"/>
              <w:rPr>
                <w:color w:val="000000" w:themeColor="text1"/>
                <w:sz w:val="20"/>
                <w:szCs w:val="20"/>
                <w:lang w:val="es-ES"/>
              </w:rPr>
            </w:pPr>
            <w:r>
              <w:rPr>
                <w:i/>
                <w:iCs/>
                <w:color w:val="000000" w:themeColor="text1"/>
                <w:sz w:val="20"/>
                <w:szCs w:val="20"/>
                <w:lang w:val="es-ES"/>
              </w:rPr>
              <w:t xml:space="preserve">Sensibilización pública, programa para personas jóvenes y campaña específica de sensibilización de género: </w:t>
            </w:r>
          </w:p>
          <w:p w14:paraId="76739100" w14:textId="32901671" w:rsidR="00B965C5" w:rsidRPr="002D2ED7" w:rsidRDefault="00B965C5" w:rsidP="00B965C5">
            <w:pPr>
              <w:pStyle w:val="ListParagraph"/>
              <w:numPr>
                <w:ilvl w:val="0"/>
                <w:numId w:val="21"/>
              </w:numPr>
              <w:shd w:val="clear" w:color="auto" w:fill="FFFFFF" w:themeFill="background1"/>
              <w:spacing w:before="20" w:after="20"/>
              <w:ind w:left="179" w:hanging="179"/>
              <w:jc w:val="left"/>
              <w:rPr>
                <w:color w:val="000000" w:themeColor="text1"/>
                <w:sz w:val="20"/>
                <w:szCs w:val="20"/>
                <w:lang w:val="es-ES"/>
              </w:rPr>
            </w:pPr>
            <w:r>
              <w:rPr>
                <w:color w:val="000000" w:themeColor="text1"/>
                <w:sz w:val="20"/>
                <w:szCs w:val="20"/>
                <w:lang w:val="es-ES"/>
              </w:rPr>
              <w:t xml:space="preserve"> Iniciativas de sensibilización pública sobre la protección del ozono y las alternativas compatibles con el clima, las carreras profesionales en el sector de los refrigerantes, refrigeradores y aire acondicionado (RAC) y las tecnologías de bajo PCA, incluida la participación pública relacionada con la ejecución de la etapa II; </w:t>
            </w:r>
          </w:p>
          <w:p w14:paraId="4A8EABEE" w14:textId="77777777" w:rsidR="00B965C5" w:rsidRPr="002D2ED7" w:rsidRDefault="00B965C5" w:rsidP="00B965C5">
            <w:pPr>
              <w:pStyle w:val="ListParagraph"/>
              <w:keepNext/>
              <w:numPr>
                <w:ilvl w:val="0"/>
                <w:numId w:val="21"/>
              </w:numPr>
              <w:shd w:val="clear" w:color="auto" w:fill="FFFFFF" w:themeFill="background1"/>
              <w:spacing w:before="20" w:after="20"/>
              <w:ind w:left="179" w:hanging="179"/>
              <w:jc w:val="left"/>
              <w:rPr>
                <w:color w:val="000000" w:themeColor="text1"/>
                <w:sz w:val="20"/>
                <w:szCs w:val="20"/>
                <w:lang w:val="es-ES"/>
              </w:rPr>
            </w:pPr>
            <w:r>
              <w:rPr>
                <w:color w:val="000000" w:themeColor="text1"/>
                <w:sz w:val="20"/>
                <w:szCs w:val="20"/>
                <w:lang w:val="es-ES"/>
              </w:rPr>
              <w:t xml:space="preserve">Programa juvenil para capacitar a personas jóvenes embajadoras en temas relacionados con el ozono y el clima, incluyendo una caja de herramientas educativas y la producción de vídeos cortos; y </w:t>
            </w:r>
          </w:p>
          <w:p w14:paraId="54A1F630" w14:textId="5E6697E9" w:rsidR="00B965C5" w:rsidRPr="002D2ED7" w:rsidRDefault="00B965C5" w:rsidP="00B965C5">
            <w:pPr>
              <w:pStyle w:val="ListParagraph"/>
              <w:keepNext/>
              <w:numPr>
                <w:ilvl w:val="0"/>
                <w:numId w:val="21"/>
              </w:numPr>
              <w:shd w:val="clear" w:color="auto" w:fill="FFFFFF" w:themeFill="background1"/>
              <w:spacing w:before="20" w:after="20"/>
              <w:ind w:left="179" w:hanging="179"/>
              <w:jc w:val="left"/>
              <w:rPr>
                <w:b/>
                <w:bCs/>
                <w:color w:val="000000" w:themeColor="text1"/>
                <w:sz w:val="20"/>
                <w:szCs w:val="20"/>
                <w:lang w:val="es-ES"/>
              </w:rPr>
            </w:pPr>
            <w:r>
              <w:rPr>
                <w:color w:val="000000" w:themeColor="text1"/>
                <w:sz w:val="20"/>
                <w:szCs w:val="20"/>
                <w:lang w:val="es-ES"/>
              </w:rPr>
              <w:t>Campaña para incentivar la participación de las mujeres en el sector de la refrigeración y el aire acondicionado (RAC) y programas de capacitación pertinentes, incluido el desarrollo de materiales de sensibilización.</w:t>
            </w:r>
          </w:p>
        </w:tc>
        <w:tc>
          <w:tcPr>
            <w:tcW w:w="733" w:type="pct"/>
            <w:tcBorders>
              <w:bottom w:val="single" w:sz="4" w:space="0" w:color="auto"/>
            </w:tcBorders>
          </w:tcPr>
          <w:p w14:paraId="646E7B1C" w14:textId="3B98DE64" w:rsidR="00B965C5" w:rsidRPr="008B52AA" w:rsidRDefault="00B965C5" w:rsidP="00B965C5">
            <w:pPr>
              <w:spacing w:before="20" w:after="20"/>
              <w:jc w:val="center"/>
              <w:rPr>
                <w:color w:val="000000" w:themeColor="text1"/>
                <w:sz w:val="20"/>
                <w:szCs w:val="20"/>
              </w:rPr>
            </w:pPr>
            <w:r>
              <w:rPr>
                <w:color w:val="000000" w:themeColor="text1"/>
                <w:sz w:val="20"/>
                <w:szCs w:val="20"/>
              </w:rPr>
              <w:t>PNUMA</w:t>
            </w:r>
          </w:p>
        </w:tc>
        <w:tc>
          <w:tcPr>
            <w:tcW w:w="476" w:type="pct"/>
          </w:tcPr>
          <w:p w14:paraId="7D75BBAF" w14:textId="6B1E8ACA" w:rsidR="00B965C5" w:rsidRPr="008B52AA" w:rsidRDefault="00B965C5" w:rsidP="00B965C5">
            <w:pPr>
              <w:shd w:val="clear" w:color="auto" w:fill="FFFFFF" w:themeFill="background1"/>
              <w:spacing w:before="20" w:after="20"/>
              <w:jc w:val="right"/>
              <w:rPr>
                <w:color w:val="000000" w:themeColor="text1"/>
                <w:sz w:val="20"/>
                <w:szCs w:val="20"/>
              </w:rPr>
            </w:pPr>
            <w:r>
              <w:rPr>
                <w:color w:val="000000" w:themeColor="text1"/>
                <w:sz w:val="20"/>
                <w:szCs w:val="20"/>
              </w:rPr>
              <w:t>21.100</w:t>
            </w:r>
          </w:p>
        </w:tc>
        <w:tc>
          <w:tcPr>
            <w:tcW w:w="473" w:type="pct"/>
          </w:tcPr>
          <w:p w14:paraId="28AE1299" w14:textId="353A6DDF" w:rsidR="00B965C5" w:rsidRPr="008B52AA" w:rsidRDefault="00B965C5" w:rsidP="00B965C5">
            <w:pPr>
              <w:shd w:val="clear" w:color="auto" w:fill="FFFFFF" w:themeFill="background1"/>
              <w:spacing w:before="20" w:after="20"/>
              <w:jc w:val="right"/>
              <w:rPr>
                <w:color w:val="000000" w:themeColor="text1"/>
                <w:sz w:val="20"/>
                <w:szCs w:val="20"/>
              </w:rPr>
            </w:pPr>
            <w:r>
              <w:rPr>
                <w:color w:val="000000" w:themeColor="text1"/>
                <w:sz w:val="20"/>
                <w:szCs w:val="20"/>
              </w:rPr>
              <w:t>10.000</w:t>
            </w:r>
          </w:p>
        </w:tc>
      </w:tr>
      <w:tr w:rsidR="00B965C5" w:rsidRPr="008B52AA" w14:paraId="46C9092D" w14:textId="77777777" w:rsidTr="008576A8">
        <w:trPr>
          <w:trHeight w:val="368"/>
        </w:trPr>
        <w:tc>
          <w:tcPr>
            <w:tcW w:w="816" w:type="pct"/>
            <w:tcBorders>
              <w:bottom w:val="single" w:sz="4" w:space="0" w:color="auto"/>
            </w:tcBorders>
          </w:tcPr>
          <w:p w14:paraId="6435BC1E" w14:textId="6603DCDA" w:rsidR="00B965C5" w:rsidRPr="008B52AA" w:rsidRDefault="00B965C5" w:rsidP="00B965C5">
            <w:pPr>
              <w:keepNext/>
              <w:shd w:val="clear" w:color="auto" w:fill="FFFFFF" w:themeFill="background1"/>
              <w:spacing w:before="20" w:after="20"/>
              <w:jc w:val="left"/>
              <w:rPr>
                <w:color w:val="000000" w:themeColor="text1"/>
                <w:sz w:val="20"/>
                <w:szCs w:val="20"/>
              </w:rPr>
            </w:pPr>
            <w:r>
              <w:rPr>
                <w:color w:val="000000" w:themeColor="text1"/>
                <w:sz w:val="20"/>
                <w:szCs w:val="20"/>
              </w:rPr>
              <w:t>Eficiencia energética</w:t>
            </w:r>
          </w:p>
        </w:tc>
        <w:tc>
          <w:tcPr>
            <w:tcW w:w="2502" w:type="pct"/>
            <w:tcBorders>
              <w:bottom w:val="single" w:sz="4" w:space="0" w:color="auto"/>
            </w:tcBorders>
          </w:tcPr>
          <w:p w14:paraId="431267C2" w14:textId="5CB9B581" w:rsidR="00B965C5" w:rsidRPr="002D2ED7" w:rsidRDefault="00B965C5" w:rsidP="00B965C5">
            <w:pPr>
              <w:keepNext/>
              <w:shd w:val="clear" w:color="auto" w:fill="FFFFFF" w:themeFill="background1"/>
              <w:spacing w:before="20" w:after="20"/>
              <w:jc w:val="left"/>
              <w:rPr>
                <w:color w:val="000000" w:themeColor="text1"/>
                <w:sz w:val="20"/>
                <w:szCs w:val="20"/>
                <w:lang w:val="es-ES"/>
              </w:rPr>
            </w:pPr>
            <w:r>
              <w:rPr>
                <w:color w:val="000000" w:themeColor="text1"/>
                <w:sz w:val="20"/>
                <w:szCs w:val="20"/>
                <w:lang w:val="es-ES"/>
              </w:rPr>
              <w:t>Actividades para mantener la eficiencia energética en el sector de servicio y mantenimiento de equipos de refrigeración y aire acondicionado (véase el párrafo 19)</w:t>
            </w:r>
          </w:p>
        </w:tc>
        <w:tc>
          <w:tcPr>
            <w:tcW w:w="733" w:type="pct"/>
            <w:tcBorders>
              <w:bottom w:val="single" w:sz="4" w:space="0" w:color="auto"/>
            </w:tcBorders>
          </w:tcPr>
          <w:p w14:paraId="342351C6" w14:textId="20C7C36A" w:rsidR="00B965C5" w:rsidRPr="008B52AA" w:rsidRDefault="00B965C5" w:rsidP="00B965C5">
            <w:pPr>
              <w:spacing w:before="20" w:after="20"/>
              <w:jc w:val="center"/>
              <w:rPr>
                <w:color w:val="000000" w:themeColor="text1"/>
                <w:sz w:val="20"/>
                <w:szCs w:val="20"/>
              </w:rPr>
            </w:pPr>
            <w:r>
              <w:rPr>
                <w:color w:val="000000" w:themeColor="text1"/>
                <w:sz w:val="20"/>
                <w:szCs w:val="20"/>
              </w:rPr>
              <w:t>PNUMA</w:t>
            </w:r>
          </w:p>
        </w:tc>
        <w:tc>
          <w:tcPr>
            <w:tcW w:w="476" w:type="pct"/>
          </w:tcPr>
          <w:p w14:paraId="4A04D9AB" w14:textId="224855EC" w:rsidR="00B965C5" w:rsidRPr="008B52AA" w:rsidRDefault="00B965C5" w:rsidP="00B965C5">
            <w:pPr>
              <w:shd w:val="clear" w:color="auto" w:fill="FFFFFF" w:themeFill="background1"/>
              <w:spacing w:before="20" w:after="20"/>
              <w:jc w:val="right"/>
              <w:rPr>
                <w:color w:val="000000" w:themeColor="text1"/>
                <w:sz w:val="20"/>
                <w:szCs w:val="20"/>
              </w:rPr>
            </w:pPr>
            <w:r>
              <w:rPr>
                <w:color w:val="000000" w:themeColor="text1"/>
                <w:sz w:val="20"/>
                <w:szCs w:val="20"/>
              </w:rPr>
              <w:t>100.000</w:t>
            </w:r>
          </w:p>
        </w:tc>
        <w:tc>
          <w:tcPr>
            <w:tcW w:w="473" w:type="pct"/>
          </w:tcPr>
          <w:p w14:paraId="371F4C90" w14:textId="1BA832CE" w:rsidR="00B965C5" w:rsidRPr="008B52AA" w:rsidRDefault="00B965C5" w:rsidP="00B965C5">
            <w:pPr>
              <w:shd w:val="clear" w:color="auto" w:fill="FFFFFF" w:themeFill="background1"/>
              <w:spacing w:before="20" w:after="20"/>
              <w:jc w:val="right"/>
              <w:rPr>
                <w:color w:val="000000" w:themeColor="text1"/>
                <w:sz w:val="20"/>
                <w:szCs w:val="20"/>
              </w:rPr>
            </w:pPr>
            <w:r>
              <w:rPr>
                <w:color w:val="000000" w:themeColor="text1"/>
                <w:sz w:val="20"/>
                <w:szCs w:val="20"/>
              </w:rPr>
              <w:t>100.000</w:t>
            </w:r>
          </w:p>
        </w:tc>
      </w:tr>
      <w:tr w:rsidR="00B965C5" w:rsidRPr="008B52AA" w14:paraId="5C1B2EBA" w14:textId="77777777" w:rsidTr="008576A8">
        <w:trPr>
          <w:trHeight w:val="368"/>
        </w:trPr>
        <w:tc>
          <w:tcPr>
            <w:tcW w:w="816" w:type="pct"/>
            <w:tcBorders>
              <w:bottom w:val="single" w:sz="4" w:space="0" w:color="auto"/>
            </w:tcBorders>
          </w:tcPr>
          <w:p w14:paraId="623A9B54" w14:textId="5349B6A1" w:rsidR="00B965C5" w:rsidRPr="008B52AA" w:rsidRDefault="00B965C5" w:rsidP="00B965C5">
            <w:pPr>
              <w:keepNext/>
              <w:shd w:val="clear" w:color="auto" w:fill="FFFFFF" w:themeFill="background1"/>
              <w:spacing w:before="20" w:after="20"/>
              <w:jc w:val="left"/>
              <w:rPr>
                <w:color w:val="000000" w:themeColor="text1"/>
                <w:sz w:val="20"/>
                <w:szCs w:val="20"/>
              </w:rPr>
            </w:pPr>
            <w:r>
              <w:rPr>
                <w:color w:val="000000" w:themeColor="text1"/>
                <w:sz w:val="20"/>
                <w:szCs w:val="20"/>
              </w:rPr>
              <w:t>Seguimiento y notificación</w:t>
            </w:r>
          </w:p>
        </w:tc>
        <w:tc>
          <w:tcPr>
            <w:tcW w:w="2502" w:type="pct"/>
            <w:tcBorders>
              <w:bottom w:val="single" w:sz="4" w:space="0" w:color="auto"/>
            </w:tcBorders>
          </w:tcPr>
          <w:p w14:paraId="2DF319EC" w14:textId="33D41342" w:rsidR="00B965C5" w:rsidRPr="002D2ED7" w:rsidRDefault="00B965C5" w:rsidP="00B965C5">
            <w:pPr>
              <w:keepNext/>
              <w:shd w:val="clear" w:color="auto" w:fill="FFFFFF" w:themeFill="background1"/>
              <w:spacing w:before="20" w:after="20"/>
              <w:jc w:val="left"/>
              <w:rPr>
                <w:color w:val="000000" w:themeColor="text1"/>
                <w:sz w:val="20"/>
                <w:szCs w:val="20"/>
                <w:lang w:val="es-ES"/>
              </w:rPr>
            </w:pPr>
            <w:r>
              <w:rPr>
                <w:color w:val="000000" w:themeColor="text1"/>
                <w:sz w:val="20"/>
                <w:szCs w:val="20"/>
                <w:lang w:val="es-ES"/>
              </w:rPr>
              <w:t>Actividades de supervisión del proyecto (véase el párrafo 20)</w:t>
            </w:r>
          </w:p>
        </w:tc>
        <w:tc>
          <w:tcPr>
            <w:tcW w:w="733" w:type="pct"/>
            <w:tcBorders>
              <w:bottom w:val="single" w:sz="4" w:space="0" w:color="auto"/>
            </w:tcBorders>
          </w:tcPr>
          <w:p w14:paraId="62362DA0" w14:textId="60EC84A6" w:rsidR="00B965C5" w:rsidRPr="008B52AA" w:rsidRDefault="00B965C5" w:rsidP="00B965C5">
            <w:pPr>
              <w:spacing w:before="20" w:after="20"/>
              <w:jc w:val="center"/>
              <w:rPr>
                <w:color w:val="000000" w:themeColor="text1"/>
                <w:sz w:val="20"/>
                <w:szCs w:val="20"/>
              </w:rPr>
            </w:pPr>
            <w:r>
              <w:rPr>
                <w:color w:val="000000" w:themeColor="text1"/>
                <w:sz w:val="20"/>
                <w:szCs w:val="20"/>
              </w:rPr>
              <w:t>PNUMA</w:t>
            </w:r>
          </w:p>
        </w:tc>
        <w:tc>
          <w:tcPr>
            <w:tcW w:w="476" w:type="pct"/>
          </w:tcPr>
          <w:p w14:paraId="53814A7C" w14:textId="3D3CE04C" w:rsidR="00B965C5" w:rsidRPr="008B52AA" w:rsidRDefault="00B965C5" w:rsidP="00B965C5">
            <w:pPr>
              <w:shd w:val="clear" w:color="auto" w:fill="FFFFFF" w:themeFill="background1"/>
              <w:spacing w:before="20" w:after="20"/>
              <w:jc w:val="right"/>
              <w:rPr>
                <w:color w:val="000000" w:themeColor="text1"/>
                <w:sz w:val="20"/>
                <w:szCs w:val="20"/>
              </w:rPr>
            </w:pPr>
            <w:r>
              <w:rPr>
                <w:color w:val="000000" w:themeColor="text1"/>
                <w:sz w:val="20"/>
                <w:szCs w:val="20"/>
              </w:rPr>
              <w:t>40.000</w:t>
            </w:r>
          </w:p>
        </w:tc>
        <w:tc>
          <w:tcPr>
            <w:tcW w:w="473" w:type="pct"/>
          </w:tcPr>
          <w:p w14:paraId="22135E73" w14:textId="3E213241" w:rsidR="00B965C5" w:rsidRPr="008B52AA" w:rsidRDefault="00B965C5" w:rsidP="00B965C5">
            <w:pPr>
              <w:shd w:val="clear" w:color="auto" w:fill="FFFFFF" w:themeFill="background1"/>
              <w:spacing w:before="20" w:after="20"/>
              <w:jc w:val="right"/>
              <w:rPr>
                <w:color w:val="000000" w:themeColor="text1"/>
                <w:sz w:val="20"/>
                <w:szCs w:val="20"/>
              </w:rPr>
            </w:pPr>
            <w:r>
              <w:rPr>
                <w:color w:val="000000" w:themeColor="text1"/>
                <w:sz w:val="20"/>
                <w:szCs w:val="20"/>
              </w:rPr>
              <w:t>20.000</w:t>
            </w:r>
          </w:p>
        </w:tc>
      </w:tr>
      <w:tr w:rsidR="00B965C5" w:rsidRPr="008B52AA" w14:paraId="21093A5F" w14:textId="77777777" w:rsidTr="008576A8">
        <w:trPr>
          <w:trHeight w:val="225"/>
        </w:trPr>
        <w:tc>
          <w:tcPr>
            <w:tcW w:w="816" w:type="pct"/>
            <w:tcBorders>
              <w:top w:val="single" w:sz="4" w:space="0" w:color="auto"/>
              <w:left w:val="single" w:sz="4" w:space="0" w:color="auto"/>
              <w:bottom w:val="single" w:sz="4" w:space="0" w:color="auto"/>
              <w:right w:val="nil"/>
            </w:tcBorders>
          </w:tcPr>
          <w:p w14:paraId="1C56BDC3" w14:textId="77777777" w:rsidR="00B965C5" w:rsidRPr="008B52AA" w:rsidRDefault="00B965C5" w:rsidP="00B965C5">
            <w:pPr>
              <w:keepNext/>
              <w:spacing w:before="20" w:after="20"/>
              <w:jc w:val="left"/>
              <w:rPr>
                <w:b/>
                <w:bCs/>
                <w:color w:val="000000" w:themeColor="text1"/>
                <w:sz w:val="20"/>
                <w:szCs w:val="20"/>
              </w:rPr>
            </w:pPr>
          </w:p>
        </w:tc>
        <w:tc>
          <w:tcPr>
            <w:tcW w:w="2502" w:type="pct"/>
            <w:tcBorders>
              <w:top w:val="single" w:sz="4" w:space="0" w:color="auto"/>
              <w:left w:val="single" w:sz="4" w:space="0" w:color="auto"/>
              <w:bottom w:val="single" w:sz="4" w:space="0" w:color="auto"/>
              <w:right w:val="nil"/>
            </w:tcBorders>
          </w:tcPr>
          <w:p w14:paraId="19DC8451" w14:textId="630A471B" w:rsidR="00B965C5" w:rsidRPr="008B52AA" w:rsidRDefault="00B965C5" w:rsidP="00B965C5">
            <w:pPr>
              <w:keepNext/>
              <w:spacing w:before="20" w:after="20"/>
              <w:jc w:val="left"/>
              <w:rPr>
                <w:b/>
                <w:bCs/>
                <w:color w:val="000000" w:themeColor="text1"/>
                <w:sz w:val="20"/>
                <w:szCs w:val="20"/>
              </w:rPr>
            </w:pPr>
            <w:r>
              <w:rPr>
                <w:b/>
                <w:bCs/>
                <w:color w:val="000000" w:themeColor="text1"/>
                <w:sz w:val="20"/>
                <w:szCs w:val="20"/>
              </w:rPr>
              <w:t>Subtotal PNUMA</w:t>
            </w:r>
          </w:p>
        </w:tc>
        <w:tc>
          <w:tcPr>
            <w:tcW w:w="733" w:type="pct"/>
            <w:tcBorders>
              <w:top w:val="single" w:sz="4" w:space="0" w:color="auto"/>
              <w:left w:val="nil"/>
              <w:bottom w:val="single" w:sz="4" w:space="0" w:color="auto"/>
              <w:right w:val="single" w:sz="4" w:space="0" w:color="auto"/>
            </w:tcBorders>
            <w:vAlign w:val="center"/>
          </w:tcPr>
          <w:p w14:paraId="3BCCDCBC" w14:textId="77777777" w:rsidR="00B965C5" w:rsidRPr="008B52AA" w:rsidRDefault="00B965C5" w:rsidP="00B965C5">
            <w:pPr>
              <w:spacing w:before="20" w:after="20"/>
              <w:jc w:val="center"/>
              <w:rPr>
                <w:b/>
                <w:bCs/>
                <w:color w:val="000000" w:themeColor="text1"/>
                <w:sz w:val="20"/>
                <w:szCs w:val="20"/>
              </w:rPr>
            </w:pPr>
          </w:p>
        </w:tc>
        <w:tc>
          <w:tcPr>
            <w:tcW w:w="476" w:type="pct"/>
            <w:tcBorders>
              <w:left w:val="single" w:sz="4" w:space="0" w:color="auto"/>
            </w:tcBorders>
          </w:tcPr>
          <w:p w14:paraId="3D3CF2D0" w14:textId="69F38F02" w:rsidR="00B965C5" w:rsidRPr="008B52AA" w:rsidRDefault="00B965C5" w:rsidP="00B965C5">
            <w:pPr>
              <w:spacing w:before="20" w:after="20"/>
              <w:jc w:val="right"/>
              <w:rPr>
                <w:b/>
                <w:bCs/>
                <w:color w:val="000000" w:themeColor="text1"/>
                <w:sz w:val="20"/>
                <w:szCs w:val="20"/>
              </w:rPr>
            </w:pPr>
            <w:r>
              <w:rPr>
                <w:b/>
                <w:bCs/>
                <w:color w:val="000000" w:themeColor="text1"/>
                <w:sz w:val="20"/>
                <w:szCs w:val="20"/>
              </w:rPr>
              <w:t>396.100</w:t>
            </w:r>
          </w:p>
        </w:tc>
        <w:tc>
          <w:tcPr>
            <w:tcW w:w="473" w:type="pct"/>
          </w:tcPr>
          <w:p w14:paraId="663BD939" w14:textId="19B3E3CB" w:rsidR="00B965C5" w:rsidRPr="008B52AA" w:rsidRDefault="00B965C5" w:rsidP="00B965C5">
            <w:pPr>
              <w:spacing w:before="20" w:after="20"/>
              <w:jc w:val="right"/>
              <w:rPr>
                <w:b/>
                <w:bCs/>
                <w:color w:val="000000" w:themeColor="text1"/>
                <w:sz w:val="20"/>
                <w:szCs w:val="20"/>
              </w:rPr>
            </w:pPr>
            <w:r>
              <w:rPr>
                <w:b/>
                <w:bCs/>
                <w:color w:val="000000" w:themeColor="text1"/>
                <w:sz w:val="20"/>
                <w:szCs w:val="20"/>
              </w:rPr>
              <w:t>253.000</w:t>
            </w:r>
          </w:p>
        </w:tc>
      </w:tr>
      <w:tr w:rsidR="00B965C5" w:rsidRPr="008B52AA" w14:paraId="7EB8CB74" w14:textId="77777777" w:rsidTr="008576A8">
        <w:trPr>
          <w:trHeight w:val="225"/>
        </w:trPr>
        <w:tc>
          <w:tcPr>
            <w:tcW w:w="816" w:type="pct"/>
            <w:tcBorders>
              <w:top w:val="single" w:sz="4" w:space="0" w:color="auto"/>
              <w:left w:val="single" w:sz="4" w:space="0" w:color="auto"/>
              <w:bottom w:val="single" w:sz="4" w:space="0" w:color="auto"/>
              <w:right w:val="nil"/>
            </w:tcBorders>
          </w:tcPr>
          <w:p w14:paraId="23E089CD" w14:textId="77777777" w:rsidR="00B965C5" w:rsidRPr="008B52AA" w:rsidRDefault="00B965C5" w:rsidP="00B965C5">
            <w:pPr>
              <w:keepNext/>
              <w:spacing w:before="20" w:after="20"/>
              <w:jc w:val="left"/>
              <w:rPr>
                <w:b/>
                <w:bCs/>
                <w:color w:val="000000" w:themeColor="text1"/>
                <w:sz w:val="20"/>
                <w:szCs w:val="20"/>
              </w:rPr>
            </w:pPr>
          </w:p>
        </w:tc>
        <w:tc>
          <w:tcPr>
            <w:tcW w:w="2502" w:type="pct"/>
            <w:tcBorders>
              <w:top w:val="single" w:sz="4" w:space="0" w:color="auto"/>
              <w:left w:val="single" w:sz="4" w:space="0" w:color="auto"/>
              <w:bottom w:val="single" w:sz="4" w:space="0" w:color="auto"/>
              <w:right w:val="nil"/>
            </w:tcBorders>
          </w:tcPr>
          <w:p w14:paraId="7A11201B" w14:textId="3FDD3254" w:rsidR="00B965C5" w:rsidRPr="008B52AA" w:rsidRDefault="00B965C5" w:rsidP="00B965C5">
            <w:pPr>
              <w:keepNext/>
              <w:spacing w:before="20" w:after="20"/>
              <w:jc w:val="left"/>
              <w:rPr>
                <w:b/>
                <w:bCs/>
                <w:color w:val="000000" w:themeColor="text1"/>
                <w:sz w:val="20"/>
                <w:szCs w:val="20"/>
              </w:rPr>
            </w:pPr>
            <w:r>
              <w:rPr>
                <w:b/>
                <w:bCs/>
                <w:color w:val="000000" w:themeColor="text1"/>
                <w:sz w:val="20"/>
                <w:szCs w:val="20"/>
              </w:rPr>
              <w:t>Subtotal para la ONUDI</w:t>
            </w:r>
          </w:p>
        </w:tc>
        <w:tc>
          <w:tcPr>
            <w:tcW w:w="733" w:type="pct"/>
            <w:tcBorders>
              <w:top w:val="single" w:sz="4" w:space="0" w:color="auto"/>
              <w:left w:val="nil"/>
              <w:bottom w:val="single" w:sz="4" w:space="0" w:color="auto"/>
              <w:right w:val="single" w:sz="4" w:space="0" w:color="auto"/>
            </w:tcBorders>
          </w:tcPr>
          <w:p w14:paraId="7E09A497" w14:textId="77777777" w:rsidR="00B965C5" w:rsidRPr="008B52AA" w:rsidRDefault="00B965C5" w:rsidP="00B965C5">
            <w:pPr>
              <w:spacing w:before="20" w:after="20"/>
              <w:jc w:val="center"/>
              <w:rPr>
                <w:b/>
                <w:bCs/>
                <w:color w:val="000000" w:themeColor="text1"/>
                <w:sz w:val="20"/>
                <w:szCs w:val="20"/>
              </w:rPr>
            </w:pPr>
          </w:p>
        </w:tc>
        <w:tc>
          <w:tcPr>
            <w:tcW w:w="476" w:type="pct"/>
            <w:tcBorders>
              <w:left w:val="single" w:sz="4" w:space="0" w:color="auto"/>
            </w:tcBorders>
          </w:tcPr>
          <w:p w14:paraId="52FC2D90" w14:textId="4AD167A5" w:rsidR="00B965C5" w:rsidRPr="008B52AA" w:rsidRDefault="00B965C5" w:rsidP="00B965C5">
            <w:pPr>
              <w:spacing w:before="20" w:after="20"/>
              <w:jc w:val="right"/>
              <w:rPr>
                <w:b/>
                <w:bCs/>
                <w:color w:val="000000" w:themeColor="text1"/>
                <w:sz w:val="20"/>
                <w:szCs w:val="20"/>
              </w:rPr>
            </w:pPr>
            <w:r>
              <w:rPr>
                <w:b/>
                <w:bCs/>
                <w:color w:val="000000" w:themeColor="text1"/>
                <w:sz w:val="20"/>
                <w:szCs w:val="20"/>
              </w:rPr>
              <w:t>126.900</w:t>
            </w:r>
          </w:p>
        </w:tc>
        <w:tc>
          <w:tcPr>
            <w:tcW w:w="473" w:type="pct"/>
          </w:tcPr>
          <w:p w14:paraId="2F6CDF21" w14:textId="09484A70" w:rsidR="00B965C5" w:rsidRPr="008B52AA" w:rsidRDefault="00B965C5" w:rsidP="00B965C5">
            <w:pPr>
              <w:spacing w:before="20" w:after="20"/>
              <w:jc w:val="right"/>
              <w:rPr>
                <w:b/>
                <w:bCs/>
                <w:color w:val="000000" w:themeColor="text1"/>
                <w:sz w:val="20"/>
                <w:szCs w:val="20"/>
              </w:rPr>
            </w:pPr>
            <w:r>
              <w:rPr>
                <w:b/>
                <w:bCs/>
                <w:color w:val="000000" w:themeColor="text1"/>
                <w:sz w:val="20"/>
                <w:szCs w:val="20"/>
              </w:rPr>
              <w:t>60.000</w:t>
            </w:r>
          </w:p>
        </w:tc>
      </w:tr>
      <w:tr w:rsidR="00B965C5" w:rsidRPr="008B52AA" w14:paraId="17C1ACB0" w14:textId="77777777" w:rsidTr="008576A8">
        <w:trPr>
          <w:trHeight w:val="225"/>
        </w:trPr>
        <w:tc>
          <w:tcPr>
            <w:tcW w:w="816" w:type="pct"/>
            <w:tcBorders>
              <w:top w:val="single" w:sz="4" w:space="0" w:color="auto"/>
              <w:left w:val="single" w:sz="4" w:space="0" w:color="auto"/>
              <w:bottom w:val="single" w:sz="4" w:space="0" w:color="auto"/>
              <w:right w:val="nil"/>
            </w:tcBorders>
          </w:tcPr>
          <w:p w14:paraId="055A1191" w14:textId="77777777" w:rsidR="00B965C5" w:rsidRPr="008B52AA" w:rsidRDefault="00B965C5" w:rsidP="00B965C5">
            <w:pPr>
              <w:spacing w:before="20" w:after="20"/>
              <w:jc w:val="left"/>
              <w:rPr>
                <w:b/>
                <w:bCs/>
                <w:color w:val="000000" w:themeColor="text1"/>
                <w:sz w:val="20"/>
                <w:szCs w:val="20"/>
              </w:rPr>
            </w:pPr>
          </w:p>
        </w:tc>
        <w:tc>
          <w:tcPr>
            <w:tcW w:w="2502" w:type="pct"/>
            <w:tcBorders>
              <w:top w:val="single" w:sz="4" w:space="0" w:color="auto"/>
              <w:left w:val="single" w:sz="4" w:space="0" w:color="auto"/>
              <w:bottom w:val="single" w:sz="4" w:space="0" w:color="auto"/>
              <w:right w:val="nil"/>
            </w:tcBorders>
          </w:tcPr>
          <w:p w14:paraId="12621283" w14:textId="64B81713" w:rsidR="00B965C5" w:rsidRPr="008B52AA" w:rsidRDefault="00B965C5" w:rsidP="00B965C5">
            <w:pPr>
              <w:spacing w:before="20" w:after="20"/>
              <w:jc w:val="left"/>
              <w:rPr>
                <w:b/>
                <w:color w:val="000000" w:themeColor="text1"/>
                <w:sz w:val="20"/>
                <w:szCs w:val="20"/>
              </w:rPr>
            </w:pPr>
            <w:r>
              <w:rPr>
                <w:b/>
                <w:bCs/>
                <w:color w:val="000000" w:themeColor="text1"/>
                <w:sz w:val="20"/>
                <w:szCs w:val="20"/>
              </w:rPr>
              <w:t>Total</w:t>
            </w:r>
          </w:p>
        </w:tc>
        <w:tc>
          <w:tcPr>
            <w:tcW w:w="733" w:type="pct"/>
            <w:tcBorders>
              <w:top w:val="single" w:sz="4" w:space="0" w:color="auto"/>
              <w:left w:val="nil"/>
              <w:bottom w:val="single" w:sz="4" w:space="0" w:color="auto"/>
              <w:right w:val="single" w:sz="4" w:space="0" w:color="auto"/>
            </w:tcBorders>
          </w:tcPr>
          <w:p w14:paraId="576CD852" w14:textId="77777777" w:rsidR="00B965C5" w:rsidRPr="008B52AA" w:rsidRDefault="00B965C5" w:rsidP="00B965C5">
            <w:pPr>
              <w:spacing w:before="20" w:after="20"/>
              <w:jc w:val="center"/>
              <w:rPr>
                <w:b/>
                <w:color w:val="000000" w:themeColor="text1"/>
                <w:sz w:val="20"/>
                <w:szCs w:val="20"/>
              </w:rPr>
            </w:pPr>
          </w:p>
        </w:tc>
        <w:tc>
          <w:tcPr>
            <w:tcW w:w="476" w:type="pct"/>
            <w:tcBorders>
              <w:left w:val="single" w:sz="4" w:space="0" w:color="auto"/>
            </w:tcBorders>
          </w:tcPr>
          <w:p w14:paraId="05B3AC7E" w14:textId="452FA00B" w:rsidR="00B965C5" w:rsidRPr="008B52AA" w:rsidRDefault="00B965C5" w:rsidP="00B965C5">
            <w:pPr>
              <w:shd w:val="clear" w:color="auto" w:fill="FFFFFF" w:themeFill="background1"/>
              <w:spacing w:before="20" w:after="20"/>
              <w:jc w:val="right"/>
              <w:rPr>
                <w:b/>
                <w:bCs/>
                <w:color w:val="000000" w:themeColor="text1"/>
                <w:sz w:val="20"/>
                <w:szCs w:val="20"/>
              </w:rPr>
            </w:pPr>
            <w:r>
              <w:rPr>
                <w:b/>
                <w:bCs/>
                <w:color w:val="000000" w:themeColor="text1"/>
                <w:sz w:val="20"/>
                <w:szCs w:val="20"/>
              </w:rPr>
              <w:t xml:space="preserve">  523.000</w:t>
            </w:r>
          </w:p>
        </w:tc>
        <w:tc>
          <w:tcPr>
            <w:tcW w:w="473" w:type="pct"/>
          </w:tcPr>
          <w:p w14:paraId="58ED0410" w14:textId="7325B705" w:rsidR="00B965C5" w:rsidRPr="008B52AA" w:rsidRDefault="00B965C5" w:rsidP="00B965C5">
            <w:pPr>
              <w:shd w:val="clear" w:color="auto" w:fill="FFFFFF" w:themeFill="background1"/>
              <w:spacing w:before="20" w:after="20"/>
              <w:jc w:val="right"/>
              <w:rPr>
                <w:b/>
                <w:bCs/>
                <w:color w:val="000000" w:themeColor="text1"/>
                <w:sz w:val="20"/>
                <w:szCs w:val="20"/>
              </w:rPr>
            </w:pPr>
            <w:r>
              <w:rPr>
                <w:b/>
                <w:bCs/>
                <w:color w:val="000000" w:themeColor="text1"/>
                <w:sz w:val="20"/>
                <w:szCs w:val="20"/>
              </w:rPr>
              <w:t xml:space="preserve">  313.000</w:t>
            </w:r>
          </w:p>
        </w:tc>
      </w:tr>
    </w:tbl>
    <w:p w14:paraId="118ABDBB" w14:textId="0F9DC25A" w:rsidR="00573C20" w:rsidRPr="002D2ED7" w:rsidRDefault="00573C20" w:rsidP="00573C20">
      <w:pPr>
        <w:keepNext/>
        <w:spacing w:before="240" w:after="240"/>
        <w:rPr>
          <w:i/>
          <w:highlight w:val="yellow"/>
          <w:lang w:val="es-ES"/>
        </w:rPr>
      </w:pPr>
      <w:bookmarkStart w:id="9" w:name="_Hlk126915749"/>
      <w:bookmarkEnd w:id="7"/>
      <w:r>
        <w:rPr>
          <w:i/>
          <w:lang w:val="es-ES"/>
        </w:rPr>
        <w:t xml:space="preserve">Actividades para mantener la eficiencia energética en el sector de servicio y mantenimiento de equipos de refrigeración </w:t>
      </w:r>
    </w:p>
    <w:p w14:paraId="129D6F4D" w14:textId="0D658CB3" w:rsidR="00573C20" w:rsidRPr="002D2ED7" w:rsidRDefault="00573C20" w:rsidP="00CA68A2">
      <w:pPr>
        <w:pStyle w:val="Heading1"/>
        <w:spacing w:before="240"/>
        <w:rPr>
          <w:lang w:val="es-ES"/>
        </w:rPr>
      </w:pPr>
      <w:r>
        <w:rPr>
          <w:lang w:val="es-ES"/>
        </w:rPr>
        <w:t xml:space="preserve">El proyecto relacionado con la eficiencia energética, presentado de acuerdo con lo dispuesto en la decisión 89/6, está diseñado para mejorar la coordinación y la cooperación institucionales necesarias para apoyar la aplicación de las normas regionales de eficiencia energética y etiquetado, integrar las competencias en materia de eficiencia energética en el marco nacional de cualificaciones profesionales para </w:t>
      </w:r>
      <w:r>
        <w:rPr>
          <w:lang w:val="es-ES"/>
        </w:rPr>
        <w:lastRenderedPageBreak/>
        <w:t>las personas técnicas de refrigeración y aire acondicionado, y sensibilizar al público sobre los beneficios de estas medidas, incluidos los sistemas de bajo PCA. El PNUMA propone las siguientes actividades para mantener la eficiencia energética en el sector de la refrigeración y el aire acondicionado:</w:t>
      </w:r>
    </w:p>
    <w:p w14:paraId="3CC39193" w14:textId="6F4DB1A3" w:rsidR="00573C20" w:rsidRPr="002D2ED7" w:rsidRDefault="00910044" w:rsidP="00B965C5">
      <w:pPr>
        <w:pStyle w:val="Heading2"/>
        <w:rPr>
          <w:lang w:val="es-ES"/>
        </w:rPr>
      </w:pPr>
      <w:r>
        <w:rPr>
          <w:i/>
          <w:iCs/>
          <w:lang w:val="es-ES"/>
        </w:rPr>
        <w:t>Coordinación y cooperación institucional</w:t>
      </w:r>
      <w:r>
        <w:rPr>
          <w:lang w:val="es-ES"/>
        </w:rPr>
        <w:t>: Establecimiento de un mecanismo nacional de coordinación para el sector de la refrigeración y el aire acondicionado (RAC); organización de tres talleres para facilitar la adopción de las normas mínimas de eficiencia energética (NMEE) y el etiquetado; elaboración de una hoja de ruta para la adopción de las NMEE y el etiquetado tomando como referencia las normas regionales de la CARICOM; evaluación del nivel básico de referencia en cuanto a equipos de bajo potencial de calentamiento atmosférico (PCA) y de alta eficiencia energética, así como de la demanda en el país; formulación de recomendaciones para armonizar la transición de refrigerantes con las mejoras en la eficiencia energética (USD 40.000);</w:t>
      </w:r>
    </w:p>
    <w:p w14:paraId="35B47B83" w14:textId="191A3407" w:rsidR="00573C20" w:rsidRPr="002D2ED7" w:rsidRDefault="002B230F" w:rsidP="00573C20">
      <w:pPr>
        <w:pStyle w:val="Heading2"/>
        <w:numPr>
          <w:ilvl w:val="1"/>
          <w:numId w:val="1"/>
        </w:numPr>
        <w:rPr>
          <w:lang w:val="es-ES"/>
        </w:rPr>
      </w:pPr>
      <w:r>
        <w:rPr>
          <w:i/>
          <w:iCs/>
          <w:lang w:val="es-ES"/>
        </w:rPr>
        <w:t>Integración de competencias en eficiencia energética en los planes de capacitación de personas técnicas de refrigeración y aire acondicionado</w:t>
      </w:r>
      <w:r>
        <w:rPr>
          <w:lang w:val="es-ES"/>
        </w:rPr>
        <w:t>: Coordinación entre las autoridades pertinentes para la actualización de los planes de capacitación nacionales a fin de incluir competencias en eficiencia energética y refrigerantes de bajo PCA; y desarrollo de módulos de capacitación para el proceso de certificación que se está introduciendo; impartición de capacitación a un total de 20 personas técnicas (con un objetivo de participación femenina del 5–10 %) (USD 30.000); y</w:t>
      </w:r>
    </w:p>
    <w:p w14:paraId="67F31286" w14:textId="04B6050E" w:rsidR="00573C20" w:rsidRPr="002D2ED7" w:rsidRDefault="00BC5B59" w:rsidP="00573C20">
      <w:pPr>
        <w:pStyle w:val="Heading2"/>
        <w:numPr>
          <w:ilvl w:val="1"/>
          <w:numId w:val="1"/>
        </w:numPr>
        <w:rPr>
          <w:lang w:val="es-ES"/>
        </w:rPr>
      </w:pPr>
      <w:r>
        <w:rPr>
          <w:i/>
          <w:iCs/>
          <w:lang w:val="es-ES"/>
        </w:rPr>
        <w:t xml:space="preserve">Campaña de sensibilización: </w:t>
      </w:r>
      <w:r>
        <w:rPr>
          <w:lang w:val="es-ES"/>
        </w:rPr>
        <w:t>Elaboración de materiales de sensibilización; una plataforma o aplicación electrónica para personas técnicas de refrigeración y aire acondicionado; y una campaña nacional en los medios de comunicación para sensibilizar sobre los beneficios y los ahorros de costos de largo plazo asociados a las tecnologías con alta eficiencia energética (USD 30.000).</w:t>
      </w:r>
    </w:p>
    <w:p w14:paraId="37C6BAF9" w14:textId="77777777" w:rsidR="00563DA8" w:rsidRPr="00981325" w:rsidRDefault="00563DA8" w:rsidP="001161CD">
      <w:pPr>
        <w:keepNext/>
        <w:spacing w:before="240" w:after="240"/>
        <w:rPr>
          <w:i/>
          <w:iCs/>
        </w:rPr>
      </w:pPr>
      <w:r>
        <w:rPr>
          <w:i/>
          <w:iCs/>
        </w:rPr>
        <w:t>Ejecución y seguimiento de proyectos</w:t>
      </w:r>
    </w:p>
    <w:bookmarkEnd w:id="9"/>
    <w:p w14:paraId="369FA484" w14:textId="0ECAF53F" w:rsidR="00563DA8" w:rsidRPr="002D2ED7" w:rsidRDefault="00563DA8" w:rsidP="001161CD">
      <w:pPr>
        <w:pStyle w:val="Heading1"/>
        <w:rPr>
          <w:lang w:val="es-ES"/>
        </w:rPr>
      </w:pPr>
      <w:r>
        <w:rPr>
          <w:lang w:val="es-ES"/>
        </w:rPr>
        <w:t>El sistema establecido en la etapa I del PGEH continuará en la etapa II, en la que la ONO coordinará las actividades, informará al Departamento de Medio Ambiente y al PNUMA sobre los avances y colaborará con las partes interesadas para llevar a cabo la eliminación gradual de los HCFC. El gasto de esas actividades asciende a USD 40.000 para el PNUMA, incluyendo al equipo de trabajo y personas consultoras (USD 20.000), pasajes y traslados nacionales (USD 7.000), reuniones y talleres</w:t>
      </w:r>
      <w:bookmarkStart w:id="10" w:name="_Hlk190692798"/>
      <w:r>
        <w:rPr>
          <w:lang w:val="es-ES"/>
        </w:rPr>
        <w:t xml:space="preserve"> (USD 6.000)</w:t>
      </w:r>
      <w:bookmarkEnd w:id="10"/>
      <w:r>
        <w:rPr>
          <w:lang w:val="es-ES"/>
        </w:rPr>
        <w:t>, e informes (USD 7.000).</w:t>
      </w:r>
    </w:p>
    <w:p w14:paraId="6CAA9484" w14:textId="46F06924" w:rsidR="00563DA8" w:rsidRPr="002D2ED7" w:rsidRDefault="00563DA8" w:rsidP="001161CD">
      <w:pPr>
        <w:keepNext/>
        <w:spacing w:after="240"/>
        <w:outlineLvl w:val="0"/>
        <w:rPr>
          <w:u w:val="single"/>
          <w:lang w:val="es-ES"/>
        </w:rPr>
      </w:pPr>
      <w:bookmarkStart w:id="11" w:name="_Hlk126915819"/>
      <w:r>
        <w:rPr>
          <w:u w:val="single"/>
          <w:lang w:val="es-ES"/>
        </w:rPr>
        <w:t>Costo total de la etapa II del Plan de gestión para la eliminación de los HCFC</w:t>
      </w:r>
    </w:p>
    <w:bookmarkEnd w:id="11"/>
    <w:p w14:paraId="14D3A9C2" w14:textId="791B4514" w:rsidR="00094DDE" w:rsidRPr="002D2ED7" w:rsidRDefault="00563DA8" w:rsidP="00094DDE">
      <w:pPr>
        <w:pStyle w:val="Heading1"/>
        <w:rPr>
          <w:lang w:val="es-ES"/>
        </w:rPr>
      </w:pPr>
      <w:r>
        <w:rPr>
          <w:lang w:val="es-ES"/>
        </w:rPr>
        <w:t xml:space="preserve">El costo total de la etapa II del PGEH para Saint Kitts y Nevis se ha estimado en USD 523.000 (más los gastos de apoyo del organismo), según lo originalmente solicitado, para lograr una reducción del 100 % para 2030 e incorporar actividades adicionales destinadas a mantener la eficiencia energética de conformidad con la decisión 89/6. Las actividades propuestas y el desglose de costos se resumen en el cuadro 3 anterior. </w:t>
      </w:r>
      <w:bookmarkStart w:id="12" w:name="_Hlk126915832"/>
    </w:p>
    <w:p w14:paraId="5285D646" w14:textId="6799DD82" w:rsidR="00563DA8" w:rsidRPr="002D2ED7" w:rsidRDefault="00563DA8" w:rsidP="00094DDE">
      <w:pPr>
        <w:pStyle w:val="Heading1"/>
        <w:numPr>
          <w:ilvl w:val="0"/>
          <w:numId w:val="0"/>
        </w:numPr>
        <w:rPr>
          <w:lang w:val="es-ES"/>
        </w:rPr>
      </w:pPr>
      <w:r>
        <w:rPr>
          <w:u w:val="single"/>
          <w:lang w:val="es-ES"/>
        </w:rPr>
        <w:t>Plan de ejecución para el primer tramo de la etapa II del Plan de gestión para la eliminación de los HCFC</w:t>
      </w:r>
    </w:p>
    <w:bookmarkEnd w:id="12"/>
    <w:p w14:paraId="737A2261" w14:textId="2156C6DA" w:rsidR="00563DA8" w:rsidRPr="002D2ED7" w:rsidRDefault="00563DA8" w:rsidP="001161CD">
      <w:pPr>
        <w:pStyle w:val="Heading1"/>
        <w:rPr>
          <w:lang w:val="es-ES"/>
        </w:rPr>
      </w:pPr>
      <w:r>
        <w:rPr>
          <w:lang w:val="es-ES"/>
        </w:rPr>
        <w:t xml:space="preserve">El primer tramo de financiación de la etapa II del PGEH, por un importe total de USD 313.000, según lo originalmente solicitado, se ejecutará entre julio de 2026 y junio de 2028. En el párrafo 36 a continuación se presenta información detallada sobre las actividades incluidas en el primer tramo, indicando los ajustes realizados y el nivel de financiación acordado. </w:t>
      </w:r>
    </w:p>
    <w:p w14:paraId="2F85D31C" w14:textId="77777777" w:rsidR="00563DA8" w:rsidRPr="002D2ED7" w:rsidRDefault="00563DA8" w:rsidP="006A77D7">
      <w:pPr>
        <w:keepNext/>
        <w:spacing w:before="360" w:after="240"/>
        <w:jc w:val="center"/>
        <w:rPr>
          <w:b/>
          <w:lang w:val="es-ES"/>
        </w:rPr>
      </w:pPr>
      <w:bookmarkStart w:id="13" w:name="_Hlk126916095"/>
      <w:r>
        <w:rPr>
          <w:b/>
          <w:lang w:val="es-ES"/>
        </w:rPr>
        <w:lastRenderedPageBreak/>
        <w:t>OBSERVACIONES Y RECOMENDACIÓN DE LA SECRETARÍA</w:t>
      </w:r>
    </w:p>
    <w:p w14:paraId="3C0093FE" w14:textId="77777777" w:rsidR="00563DA8" w:rsidRPr="00996241" w:rsidRDefault="00563DA8" w:rsidP="006A77D7">
      <w:pPr>
        <w:keepNext/>
        <w:spacing w:after="240"/>
        <w:rPr>
          <w:b/>
        </w:rPr>
      </w:pPr>
      <w:r>
        <w:rPr>
          <w:b/>
        </w:rPr>
        <w:t>OBSERVACIONES</w:t>
      </w:r>
    </w:p>
    <w:bookmarkEnd w:id="13"/>
    <w:p w14:paraId="7D3A414D" w14:textId="7280BFAC" w:rsidR="00563DA8" w:rsidRPr="002D2ED7" w:rsidRDefault="00563DA8" w:rsidP="001161CD">
      <w:pPr>
        <w:pStyle w:val="Heading1"/>
        <w:rPr>
          <w:lang w:val="es-ES"/>
        </w:rPr>
      </w:pPr>
      <w:r>
        <w:rPr>
          <w:lang w:val="es-ES"/>
        </w:rPr>
        <w:t>La Secretaría ha revisado la etapa II del PGEH teniendo en cuenta la etapa I, las políticas y las directrices del Fondo Multilateral —incluidos los criterios para financiar la eliminación de los HCFC en el sector de consumo en la etapa II del PGEH (decisión 74/50)— y el plan administrativo del Fondo Multilateral para 2026–2028.</w:t>
      </w:r>
    </w:p>
    <w:p w14:paraId="3EE8127F" w14:textId="77777777" w:rsidR="00563DA8" w:rsidRPr="002132EE" w:rsidRDefault="00563DA8" w:rsidP="006A77D7">
      <w:pPr>
        <w:keepNext/>
        <w:spacing w:after="240"/>
        <w:rPr>
          <w:u w:val="single"/>
        </w:rPr>
      </w:pPr>
      <w:bookmarkStart w:id="14" w:name="_Hlk126916105"/>
      <w:r>
        <w:rPr>
          <w:u w:val="single"/>
        </w:rPr>
        <w:t>Estrategia transversal</w:t>
      </w:r>
    </w:p>
    <w:bookmarkEnd w:id="14"/>
    <w:p w14:paraId="681A5EC9" w14:textId="2DC2D8E1" w:rsidR="00563DA8" w:rsidRPr="002D2ED7" w:rsidRDefault="00563DA8" w:rsidP="00A44429">
      <w:pPr>
        <w:pStyle w:val="Heading1"/>
        <w:shd w:val="clear" w:color="auto" w:fill="FFFFFF" w:themeFill="background1"/>
        <w:rPr>
          <w:lang w:val="es-ES"/>
        </w:rPr>
      </w:pPr>
      <w:r>
        <w:rPr>
          <w:lang w:val="es-ES"/>
        </w:rPr>
        <w:t>El Gobierno de Saint Kitts y Nevis se propone alcanzar una reducción del 100 % de su consumo de referencia de HCFC para 2030, y mantener un consumo anual máximo de HCFC en el período comprendido entre 2030–2040 en un nivel en concordancia con el artículo 5, párrafo 8 ter e) i), del Protocolo de Montreal.</w:t>
      </w:r>
      <w:r>
        <w:rPr>
          <w:vertAlign w:val="superscript"/>
        </w:rPr>
        <w:footnoteReference w:id="12"/>
      </w:r>
      <w:r>
        <w:rPr>
          <w:lang w:val="es-ES"/>
        </w:rPr>
        <w:t xml:space="preserve"> El Gobierno de Saint Kitts y Nevis se compromete a seguir ejecutando métodos estrictos de importación y control para realizar la supervisión de los niveles de importación y de los usos de los HCFC durante ese período, a fin de garantizar que se limiten a las condiciones establecidas por el Protocolo de Montreal.</w:t>
      </w:r>
    </w:p>
    <w:p w14:paraId="56B33E41" w14:textId="2706FF77" w:rsidR="00563DA8" w:rsidRPr="002D2ED7" w:rsidRDefault="00563DA8" w:rsidP="001161CD">
      <w:pPr>
        <w:pStyle w:val="Heading1"/>
        <w:spacing w:after="0"/>
        <w:rPr>
          <w:lang w:val="es-ES"/>
        </w:rPr>
      </w:pPr>
      <w:r>
        <w:rPr>
          <w:lang w:val="es-ES"/>
        </w:rPr>
        <w:t>De conformidad con la decisión 86/51, para permitir el examen del tramo final de su PGEH, el Gobierno de Saint Kitts y Nevis convino en presentar una descripción detallada del marco normativo y de políticas para aplicar medidas destinadas a garantizar que el consumo de HCFC sea conforme con el apartado 8 ter. e) i) del Artículo 5 del Protocolo de Montreal para el período 2030-2040, así como el consumo anual previsto de HCFC en Saint Kitts y Nevis para el período 2030–2040.</w:t>
      </w:r>
    </w:p>
    <w:p w14:paraId="35681968" w14:textId="77777777" w:rsidR="00563DA8" w:rsidRPr="0077794E" w:rsidRDefault="00563DA8" w:rsidP="006A77D7">
      <w:pPr>
        <w:pStyle w:val="Heading1"/>
        <w:keepNext/>
        <w:numPr>
          <w:ilvl w:val="0"/>
          <w:numId w:val="0"/>
        </w:numPr>
        <w:spacing w:before="240"/>
        <w:rPr>
          <w:highlight w:val="magenta"/>
        </w:rPr>
      </w:pPr>
      <w:bookmarkStart w:id="15" w:name="_Hlk126916111"/>
      <w:r>
        <w:rPr>
          <w:u w:val="single"/>
        </w:rPr>
        <w:t>Marco jurídico</w:t>
      </w:r>
    </w:p>
    <w:p w14:paraId="75A383CB" w14:textId="5B45F46A" w:rsidR="00563DA8" w:rsidRPr="002D2ED7" w:rsidRDefault="006A77D7" w:rsidP="006A77D7">
      <w:pPr>
        <w:numPr>
          <w:ilvl w:val="0"/>
          <w:numId w:val="1"/>
        </w:numPr>
        <w:spacing w:after="240"/>
        <w:outlineLvl w:val="0"/>
        <w:rPr>
          <w:lang w:val="es-ES"/>
        </w:rPr>
      </w:pPr>
      <w:r>
        <w:rPr>
          <w:lang w:val="es-ES"/>
        </w:rPr>
        <w:t>El Gobierno de Saint Kitts y Nevis ha emitido cupos de importación de HCFC para 2026, de conformidad con las metas de control del Protocolo de Montreal, en 0,16 toneladas PAO.</w:t>
      </w:r>
    </w:p>
    <w:p w14:paraId="1D03FADC" w14:textId="1386EE9A" w:rsidR="00563DA8" w:rsidRPr="002D2ED7" w:rsidRDefault="00563DA8" w:rsidP="006A77D7">
      <w:pPr>
        <w:keepNext/>
        <w:spacing w:after="240"/>
        <w:rPr>
          <w:lang w:val="es-ES"/>
        </w:rPr>
      </w:pPr>
      <w:bookmarkStart w:id="16" w:name="_Hlk126916116"/>
      <w:bookmarkEnd w:id="15"/>
      <w:r>
        <w:rPr>
          <w:u w:val="single"/>
          <w:lang w:val="es-ES"/>
        </w:rPr>
        <w:t xml:space="preserve">Cuestiones técnicas y relacionadas con los costes </w:t>
      </w:r>
    </w:p>
    <w:p w14:paraId="6C5C153D" w14:textId="5E689F77" w:rsidR="00897E4B" w:rsidRPr="002D2ED7" w:rsidRDefault="00547D39" w:rsidP="00897E4B">
      <w:pPr>
        <w:pStyle w:val="Heading1"/>
        <w:rPr>
          <w:lang w:val="es-ES"/>
        </w:rPr>
      </w:pPr>
      <w:r>
        <w:rPr>
          <w:lang w:val="es-ES"/>
        </w:rPr>
        <w:t>La Secretaría mantuvo consultas detalladas con el PNUMA y la ONUDI sobre el costo total de la etapa II del PGEH, señalando que los costos propuestos se basaban en la diferencia entre los costos admisibles para la eliminación total y la financiación neta recibida en la etapa I, más USD 100.000 para actividades adicionales de eficiencia energética, de conformidad con la decisión 89/6. La Secretaría tomó nota de que la etapa II del PGEH se presentaría en 2026, que se habían alcanzado los objetivos de 2020 y 2025, y que el consumo del país se había mantenido por debajo de este último objetivo. La Secretaría también señaló que el país seguirá necesitando asistencia para fomentar un entorno propicio que permita mantener la eliminación, evitar el resurgimiento de la demanda, gestionar cuidadosamente la reserva para servicio técnico y consolidar un mecanismo estructurado de colaboración entre islas para garantizar una ejecución uniforme y un cumplimiento sostenido en todo el país, teniendo en cuenta que el importe total acordado por el Comité Ejecutivo para alcanzar el objetivo de 2025, tal y como se refleja en la decisión 74/50, no se aplicaría a este caso. Por lo tanto, la Secretaría recomendó USD 191.000 como costos para la etapa II del PGEH, basándose en la decisión 74/50 c) xii), más USD 100.000 para actividades adicionales de eficiencia energética de acuerdo con lo dispuesto en la decisión 89/6.</w:t>
      </w:r>
    </w:p>
    <w:p w14:paraId="4F6DB2D9" w14:textId="5FDDC21D" w:rsidR="00355EB0" w:rsidRPr="002D2ED7" w:rsidRDefault="00355EB0" w:rsidP="00D911B8">
      <w:pPr>
        <w:pStyle w:val="Heading1"/>
        <w:spacing w:before="240"/>
        <w:rPr>
          <w:lang w:val="es-ES"/>
        </w:rPr>
      </w:pPr>
      <w:r>
        <w:rPr>
          <w:lang w:val="es-ES"/>
        </w:rPr>
        <w:t xml:space="preserve">El PNUMA indicó que la recomendación formulada por la Secretaría representa una reducción del 55 % de la suma solicitada inicialmente de USD 523.000, y que, si bien se aprecia el fundamento de la reasignación propuesta, es importante destacar que Saint Kitts y Nevis ha operado históricamente con un </w:t>
      </w:r>
      <w:r>
        <w:rPr>
          <w:lang w:val="es-ES"/>
        </w:rPr>
        <w:lastRenderedPageBreak/>
        <w:t>apoyo financiero limitado. El PNUMA destacó que el país había recibido USD 164.500 para la etapa I del PGEH, lo que, sumado a los USD 191.000 para la etapa II y aún más limitado por las crisis externas, no permitiría la escala de transformación requerida en el sector de servicio y mantenimiento de equipos de refrigeración y aire acondicionado. Cabe destacar que la pandemia del COVID-19 había afectado significativamente a la economía y la capacidad institucional del país, retrasado la ejecución y debilitado la capacidad del sector de la refrigeración y el aire acondicionado (RAC) para realizar la transición tal y como se había previsto inicialmente. Además, el país había experimentado múltiples cambios de gobierno, lo que se reflejó en una rotación continua de los Encargados Nacionales del Ozono, lo que perturbó aún más la continuidad y el impulso de la ejecución. Estas dificultades acumuladas habían dado lugar a un retraso en actividades críticas que ahora deben abordarse en la etapa II. El PNUMA se refirió en particular al limitado apoyo a la inversión disponible hasta la fecha; es decir, en la etapa I, el componente de inversión ascendió a USD 40.000, lo que resultó insuficiente para establecer la infraestructura básica necesaria para el manejo sostenible de los refrigerantes. Como resultado, el país sigue careciendo del equipo, las herramientas y los sistemas necesarios para ejecutar un sistema eficaz de recuperación y reciclaje de refrigerantes. Sin dicha infraestructura, los esfuerzos por controlar y reducir el consumo de HCFC en el sector de servicio y mantenimiento de equipos de refrigeración seguirán viéndose gravemente limitados. El PNUMA hizo hincapié en que la etapa final hacia la eliminación total y la fase posterior de mantenimiento son complejas y requieren muchos recursos, lo que exige marcos normativos sólidos, mecanismos de cumplimiento, creación de capacidad y certificación de personas técnicas, y sistemas operativos de recuperación y reciclaje. El PNUMA afirmó que no habrá otra oportunidad para poner en marcha los sistemas y las capacidades necesarios para garantizar la transición a alternativas de bajo PCA y la sostenibilidad de largo plazo en el país.</w:t>
      </w:r>
    </w:p>
    <w:p w14:paraId="3E731DF3" w14:textId="77777777" w:rsidR="00355EB0" w:rsidRPr="002D2ED7" w:rsidRDefault="00355EB0" w:rsidP="00355EB0">
      <w:pPr>
        <w:pStyle w:val="Heading1"/>
        <w:rPr>
          <w:lang w:val="es-ES"/>
        </w:rPr>
      </w:pPr>
      <w:r>
        <w:rPr>
          <w:lang w:val="es-ES"/>
        </w:rPr>
        <w:t xml:space="preserve">Teniendo en cuenta las consideraciones anteriores, el Gobierno de Saint Kitts y Nevis y el PNUMA propusieron, con carácter excepcional, solicitar una ampliación de USD 60.000 para respaldar las actividades esenciales y fundamentales de eliminación de HCFC, con el fin de ayudar a subsanar las deficiencias críticas en los componentes de inversión y no relacionados con la inversión, lo que permitiría al país establecer la infraestructura mínima necesaria para la gestión de los refrigerantes, reforzar los marcos institucionales y normativos, e involucrar de manera efectiva el sector de servicio y mantenimiento de equipos de refrigeración y aire acondicionado. </w:t>
      </w:r>
    </w:p>
    <w:p w14:paraId="64EDDFF4" w14:textId="7F7F995A" w:rsidR="00564A7B" w:rsidRPr="002D2ED7" w:rsidRDefault="00564A7B" w:rsidP="00A3259E">
      <w:pPr>
        <w:pStyle w:val="Heading1"/>
        <w:rPr>
          <w:lang w:val="es-ES"/>
        </w:rPr>
      </w:pPr>
      <w:r>
        <w:rPr>
          <w:lang w:val="es-ES"/>
        </w:rPr>
        <w:t>La Secretaría recordó que, en virtud de la decisión 74/50 c) xii), a los países de bajo consumo (LVC) se les proporcionaría financiamiento en concordancia con el nivel de consumo en el sector de servicio y mantenimiento de equipos de refrigeración y aire acondicionado, en el entendimiento de que las propuestas de proyectos aún tendrían que demostrar que el nivel de financiamiento era necesario para alcanzar los objetivos de eliminación. La cifra de USD 191.000 es el resultado de descontar la financiación máxima admisible para alcanzar el objetivo de 2025 de la financiación máxima admisible para la eliminación total. Tal y como se indica en el documento UNEP/OzL.Pro/ExCom/96/16, los países que presenten su solicitud para la etapa II posterior a 2025 no podrán demostrar que el financiamiento es necesario para alcanzar el objetivo de 2025 y, por lo tanto, de acuerdo con lo dispuesto en la decisión 74/50, en tales casos el financiamiento solo se consideraría para lograr la eliminación total para 2030. En la misma reunión, el Comité decidió incentivar a aquellos países de bajo consumo que aún no habían presentado la etapa II de los planes de gestión para la eliminación de los HCFC (PGEH) de sus países, para alcanzar la reducción del 67,5 % en 2025, a que la presentaran en la 97ª reunión.</w:t>
      </w:r>
      <w:r>
        <w:rPr>
          <w:rStyle w:val="FootnoteReference"/>
        </w:rPr>
        <w:footnoteReference w:id="13"/>
      </w:r>
      <w:r>
        <w:rPr>
          <w:lang w:val="es-ES"/>
        </w:rPr>
        <w:t xml:space="preserve"> Así pues, se acordaron los costos de la etapa II del PGEH en USD 191.000, con arreglo a la decisión 74/50 c) xii), más USD 100.000 para actividades adicionales de eficiencia energética de acuerdo con lo dispuesto en la decisión 89/6.</w:t>
      </w:r>
    </w:p>
    <w:p w14:paraId="29AABCFE" w14:textId="6ACD69F0" w:rsidR="006A25F1" w:rsidRPr="002D2ED7" w:rsidRDefault="006A25F1" w:rsidP="008D327F">
      <w:pPr>
        <w:pStyle w:val="Heading1"/>
        <w:numPr>
          <w:ilvl w:val="0"/>
          <w:numId w:val="0"/>
        </w:numPr>
        <w:rPr>
          <w:i/>
          <w:iCs/>
          <w:lang w:val="es-ES"/>
        </w:rPr>
      </w:pPr>
      <w:r>
        <w:rPr>
          <w:i/>
          <w:iCs/>
          <w:lang w:val="es-ES"/>
        </w:rPr>
        <w:t>Demanda estimada de HCFC-22 en el sector de servicio y mantenimiento de equipos de refrigeración y aire acondicionado</w:t>
      </w:r>
    </w:p>
    <w:p w14:paraId="66643334" w14:textId="392C357E" w:rsidR="006A25F1" w:rsidRPr="002D2ED7" w:rsidRDefault="008A31E4" w:rsidP="00F27909">
      <w:pPr>
        <w:numPr>
          <w:ilvl w:val="0"/>
          <w:numId w:val="1"/>
        </w:numPr>
        <w:spacing w:after="240"/>
        <w:outlineLvl w:val="0"/>
        <w:rPr>
          <w:lang w:val="es-ES"/>
        </w:rPr>
      </w:pPr>
      <w:bookmarkStart w:id="17" w:name="_Hlk126916129"/>
      <w:bookmarkEnd w:id="16"/>
      <w:r>
        <w:rPr>
          <w:lang w:val="es-ES"/>
        </w:rPr>
        <w:lastRenderedPageBreak/>
        <w:t>La Secretaría confirmó con el PNUMA que sigue en funcionamiento un número remanente de equipos a base de HCFC en determinadas instalaciones públicas y comerciales, y que cualquier demanda futura de HCFC se limitaría al servicio y mantenimiento de estos equipos residuales. También se solicitó una desagregación para comprender la demanda de servicio y mantenimiento en el país. El PNUMA indicó que actualmente no se disponía de datos actualizados sobre el inventario de equipos y la demanda de servicio y mantenimiento para el país, y que los datos de inventario exhaustivos más recientes databan de 2014, ya que durante la preparación de la etapa II no fue factible actualizar esta información debido a la insuficiencia de recursos para llevar a cabo un estudio detallado de los equipos. Por lo tanto, el PNUMA propuso incluir la realización de un estudio detallado del inventario de equipos a base de HCFC como parte de la evaluación técnica nacional que se llevará a cabo en el marco del plan nacional de R&amp;R que ejecutará la ONUDI durante la etapa II. Los datos actualizados del inventario de equipos servirán de base para el diseño, la escala y la implementación del plan nacional de R&amp;R, incluidas las cantidades de adquisición de equipos y su distribución entre ambas islas. El PNUMA también indicó que, en el marco del proyecto para elaborar un inventario nacional de bancos de sustancias controladas usadas y no deseadas y un plan nacional, una de las actividades de la fase de recopilación de datos consiste en realizar un inventario de los equipos en el país y la estimación de los bancos. Estas dos actividades, debidamente ejecutadas de manera coordinada, serían complementarias y permitirían disponer de un inventario actualizado de equipos y de la demanda de servicio y mantenimiento.</w:t>
      </w:r>
    </w:p>
    <w:p w14:paraId="4DC10100" w14:textId="597CEC46" w:rsidR="00A169FD" w:rsidRPr="002D2ED7" w:rsidRDefault="00A169FD" w:rsidP="001161CD">
      <w:pPr>
        <w:pStyle w:val="Heading1"/>
        <w:keepNext/>
        <w:numPr>
          <w:ilvl w:val="0"/>
          <w:numId w:val="0"/>
        </w:numPr>
        <w:rPr>
          <w:i/>
          <w:iCs/>
          <w:lang w:val="es-ES"/>
        </w:rPr>
      </w:pPr>
      <w:r>
        <w:rPr>
          <w:i/>
          <w:iCs/>
          <w:lang w:val="es-ES"/>
        </w:rPr>
        <w:t>Prohibición de las importaciones de equipos a base de HCFC</w:t>
      </w:r>
    </w:p>
    <w:p w14:paraId="2285AE04" w14:textId="6DFEFECA" w:rsidR="00A169FD" w:rsidRPr="002D2ED7" w:rsidRDefault="00A169FD" w:rsidP="00F27909">
      <w:pPr>
        <w:numPr>
          <w:ilvl w:val="0"/>
          <w:numId w:val="1"/>
        </w:numPr>
        <w:spacing w:after="240"/>
        <w:outlineLvl w:val="0"/>
        <w:rPr>
          <w:lang w:val="es-ES"/>
        </w:rPr>
      </w:pPr>
      <w:r>
        <w:rPr>
          <w:lang w:val="es-ES"/>
        </w:rPr>
        <w:t xml:space="preserve">La Secretaría preguntó al PNUMA sobre el compromiso del Gobierno de prohibir la importación de equipos a base de HCFC, una medida a la que se aludió pero que no se incluyó entre las actividades del primer tramo. El PNUMA aclaró que la elaboración y adopción de la prohibición eran actividades incluidas en el componente destinado a fortalecer el marco jurídico y reglamentario del país, y confirmó el compromiso del Gobierno de que la prohibición se adoptara en 2027. </w:t>
      </w:r>
    </w:p>
    <w:p w14:paraId="7B281421" w14:textId="47B117BD" w:rsidR="00047BFE" w:rsidRPr="00981325" w:rsidRDefault="00047BFE" w:rsidP="00A169FD">
      <w:pPr>
        <w:rPr>
          <w:i/>
          <w:iCs/>
          <w:lang w:val="es-PE"/>
        </w:rPr>
      </w:pPr>
      <w:r>
        <w:rPr>
          <w:i/>
          <w:iCs/>
        </w:rPr>
        <w:t>Certificación de personas técnicas</w:t>
      </w:r>
    </w:p>
    <w:p w14:paraId="2885B62A" w14:textId="58D6D06C" w:rsidR="00AF185C" w:rsidRPr="002D2ED7" w:rsidRDefault="00047BFE" w:rsidP="00C0676B">
      <w:pPr>
        <w:numPr>
          <w:ilvl w:val="0"/>
          <w:numId w:val="1"/>
        </w:numPr>
        <w:spacing w:before="240" w:after="240"/>
        <w:outlineLvl w:val="0"/>
        <w:rPr>
          <w:lang w:val="es-ES"/>
        </w:rPr>
      </w:pPr>
      <w:r>
        <w:rPr>
          <w:lang w:val="es-ES"/>
        </w:rPr>
        <w:t>La Secretaría preguntó cómo se diseñará y ejecutará el plan de certificación para las personas técnicas. El PNUMA explicó que se había elaborado un enfoque por fases. Las actividades comenzarán con el establecimiento de un mecanismo de coordinación interinstitucional y la integración de los requisitos de certificación en el marco reglamentario, incluido el reconocimiento de la certificación como norma nacional de servicio y mantenimiento. A continuación, se procederá al desarrollo y la puesta en práctica del plan de certificación, es decir, la preparación de módulos de capacitación y normas de competencia laboral, la redacción de procedimientos de evaluación, la selección de una autoridad de certificación, la elaboración de guías normalizadas para personas formadoras, el establecimiento de un registro de personas técnicas y la realización de capacitación normalizada para personas formadoras y técnicas. En cuanto al contenido, la certificación avanzará desde los niveles básicos hasta los especializados.</w:t>
      </w:r>
    </w:p>
    <w:p w14:paraId="00C3785A" w14:textId="0E46D0B2" w:rsidR="00563DA8" w:rsidRPr="002D2ED7" w:rsidRDefault="00563DA8" w:rsidP="001161CD">
      <w:pPr>
        <w:pStyle w:val="Heading1"/>
        <w:keepNext/>
        <w:numPr>
          <w:ilvl w:val="0"/>
          <w:numId w:val="0"/>
        </w:numPr>
        <w:rPr>
          <w:lang w:val="es-ES"/>
        </w:rPr>
      </w:pPr>
      <w:r>
        <w:rPr>
          <w:i/>
          <w:iCs/>
          <w:lang w:val="es-ES"/>
        </w:rPr>
        <w:t xml:space="preserve">Actividades para mantener la eficiencia energética en el sector de servicio y mantenimiento de equipos de refrigeración </w:t>
      </w:r>
      <w:bookmarkEnd w:id="17"/>
    </w:p>
    <w:p w14:paraId="65ECB656" w14:textId="19A01908" w:rsidR="00563DA8" w:rsidRPr="002D2ED7" w:rsidRDefault="00563DA8" w:rsidP="001161CD">
      <w:pPr>
        <w:pStyle w:val="Heading1"/>
        <w:rPr>
          <w:lang w:val="es-ES"/>
        </w:rPr>
      </w:pPr>
      <w:r>
        <w:rPr>
          <w:lang w:val="es-ES"/>
        </w:rPr>
        <w:t xml:space="preserve">De conformidad con la decisión 89/6 d), el PNUMA ha incluido en el plan de ejecución del tramo las medidas específicas, los indicadores de desempeño y el financiamiento asociados a las actividades adicionales destinadas a mantener la eficiencia energética, que se han incorporado al proyecto de Acuerdo entre el Gobierno de Saint Kitts y Nevis y el Comité Ejecutivo para la etapa II del PGEH que figura en el anexo I del presente documento. </w:t>
      </w:r>
    </w:p>
    <w:p w14:paraId="5A14F857" w14:textId="64FC2DA0" w:rsidR="00716ADB" w:rsidRPr="002D2ED7" w:rsidRDefault="003245B8" w:rsidP="00F27909">
      <w:pPr>
        <w:pStyle w:val="Heading1"/>
        <w:rPr>
          <w:lang w:val="es-ES"/>
        </w:rPr>
      </w:pPr>
      <w:r>
        <w:rPr>
          <w:lang w:val="es-ES"/>
        </w:rPr>
        <w:t xml:space="preserve">Si bien existen normas mínimas de eficiencia energética y de etiquetado a través de CROSQ, es necesaria su adopción nacional en la legislación de Saint Kitts y Nevis y la creación de mecanismos para hacer efectivos los esfuerzos en materia de eficiencia energética en el sector de la refrigeración y el aire acondicionado (RAC) y aprovechar sus beneficios. La información sobre las tecnologías con alta eficiencia </w:t>
      </w:r>
      <w:r>
        <w:rPr>
          <w:lang w:val="es-ES"/>
        </w:rPr>
        <w:lastRenderedPageBreak/>
        <w:t>energética y las prácticas adecuadas de instalación y mantenimiento de equipos con alta eficiencia energética es limitada en el país, al igual que la concienciación entre las personas consumidoras, las empresas, la industria turística y las personas responsables de la toma de decisiones sobre los beneficios económicos de la eficiencia energética y las ventajas en cuanto a los costes del ciclo de vida de los equipos con alta eficiencia energética.</w:t>
      </w:r>
    </w:p>
    <w:p w14:paraId="38946236" w14:textId="7AB9F358" w:rsidR="00981325" w:rsidRPr="002D2ED7" w:rsidRDefault="00785C18" w:rsidP="00F27909">
      <w:pPr>
        <w:pStyle w:val="Heading1"/>
        <w:rPr>
          <w:lang w:val="es-ES"/>
        </w:rPr>
      </w:pPr>
      <w:r>
        <w:rPr>
          <w:lang w:val="es-ES"/>
        </w:rPr>
        <w:t xml:space="preserve">La propuesta se ajusta a la decisión 89/6 b) y tiene por objeto reforzar la coordinación interministerial; integrar las consideraciones sobre el potencial de calentamiento atmosférico (PCA) de los refrigerantes y las competencias en materia de eficiencia energética en los planes de formación del PGEH; ofrecer recomendaciones para el sistema de certificación que se está introduciendo en el marco del PGEH a fin de garantizar las capacidades técnicas nacionales para mantener e instalar equipos de bajo PCA y con alta eficiencia energética que ofrezcan un rendimiento óptimo a lo largo de su vida útil; y sensibilizar a las personas consumidoras sobre los beneficios de los sistemas de refrigeración y aire acondicionado (RAC) de bajo PCA, las buenas prácticas de servicio y mantenimiento y el plan de certificación de personas técnicas de refrigeración y aire acondicionado. </w:t>
      </w:r>
    </w:p>
    <w:p w14:paraId="4D38C06A" w14:textId="60A1C1CB" w:rsidR="00563DA8" w:rsidRPr="007E56E0" w:rsidRDefault="00563DA8" w:rsidP="001161CD">
      <w:pPr>
        <w:keepNext/>
        <w:spacing w:before="240" w:after="240"/>
        <w:outlineLvl w:val="0"/>
        <w:rPr>
          <w:u w:val="single"/>
        </w:rPr>
      </w:pPr>
      <w:r>
        <w:rPr>
          <w:u w:val="single"/>
        </w:rPr>
        <w:t>Costo total del proyecto</w:t>
      </w:r>
    </w:p>
    <w:p w14:paraId="67987A61" w14:textId="3F24FBBF" w:rsidR="00547D39" w:rsidRPr="002D2ED7" w:rsidRDefault="00975252" w:rsidP="0095414C">
      <w:pPr>
        <w:pStyle w:val="Heading1"/>
        <w:spacing w:before="240"/>
        <w:rPr>
          <w:lang w:val="es-ES"/>
        </w:rPr>
      </w:pPr>
      <w:r>
        <w:rPr>
          <w:lang w:val="es-ES"/>
        </w:rPr>
        <w:t xml:space="preserve"> En respuesta a las observaciones y sugerencias de la Secretaría, detalladas en los párrafos 27–36 anteriores, el PNUMA, la ONUDI y el Gobierno de Saint Kitts y Nevis acordaron revisar las actividades y todos los gastos propuestos para la etapa II del PGEH, que se presentan en el cuadro 4 a continuación.</w:t>
      </w:r>
    </w:p>
    <w:p w14:paraId="68D7000D" w14:textId="0D19785F" w:rsidR="00DB62DD" w:rsidRPr="002D2ED7" w:rsidRDefault="00DB62DD" w:rsidP="00DB62DD">
      <w:pPr>
        <w:pStyle w:val="Heading1"/>
        <w:numPr>
          <w:ilvl w:val="0"/>
          <w:numId w:val="0"/>
        </w:numPr>
        <w:spacing w:before="240" w:after="0"/>
        <w:rPr>
          <w:b/>
          <w:bCs/>
          <w:lang w:val="es-ES"/>
        </w:rPr>
      </w:pPr>
      <w:r>
        <w:rPr>
          <w:b/>
          <w:bCs/>
          <w:lang w:val="es-ES"/>
        </w:rPr>
        <w:t>Cuadro 4. Actividades ajustadas y sus gastos para su ejecución en la etapa II del PGEH en Saint Kitts y Nevis</w:t>
      </w:r>
    </w:p>
    <w:tbl>
      <w:tblPr>
        <w:tblStyle w:val="TableGrid"/>
        <w:tblW w:w="5000" w:type="pct"/>
        <w:tblLayout w:type="fixed"/>
        <w:tblCellMar>
          <w:left w:w="57" w:type="dxa"/>
          <w:right w:w="57" w:type="dxa"/>
        </w:tblCellMar>
        <w:tblLook w:val="04A0" w:firstRow="1" w:lastRow="0" w:firstColumn="1" w:lastColumn="0" w:noHBand="0" w:noVBand="1"/>
      </w:tblPr>
      <w:tblGrid>
        <w:gridCol w:w="1271"/>
        <w:gridCol w:w="5025"/>
        <w:gridCol w:w="1279"/>
        <w:gridCol w:w="890"/>
        <w:gridCol w:w="885"/>
      </w:tblGrid>
      <w:tr w:rsidR="006A30FD" w:rsidRPr="00E02B33" w14:paraId="5F2E3AFD" w14:textId="77777777" w:rsidTr="00846DC1">
        <w:trPr>
          <w:trHeight w:val="53"/>
          <w:tblHeader/>
        </w:trPr>
        <w:tc>
          <w:tcPr>
            <w:tcW w:w="680" w:type="pct"/>
            <w:vMerge w:val="restart"/>
            <w:vAlign w:val="center"/>
          </w:tcPr>
          <w:p w14:paraId="1068207B" w14:textId="77777777" w:rsidR="006A30FD" w:rsidRPr="00E02B33" w:rsidRDefault="006A30FD" w:rsidP="003411DA">
            <w:pPr>
              <w:keepNext/>
              <w:shd w:val="clear" w:color="auto" w:fill="FFFFFF" w:themeFill="background1"/>
              <w:spacing w:before="20" w:after="20"/>
              <w:jc w:val="center"/>
              <w:rPr>
                <w:b/>
                <w:bCs/>
                <w:sz w:val="20"/>
                <w:szCs w:val="20"/>
              </w:rPr>
            </w:pPr>
            <w:r>
              <w:rPr>
                <w:b/>
                <w:bCs/>
                <w:sz w:val="20"/>
                <w:szCs w:val="20"/>
              </w:rPr>
              <w:t>Componente</w:t>
            </w:r>
          </w:p>
        </w:tc>
        <w:tc>
          <w:tcPr>
            <w:tcW w:w="2686" w:type="pct"/>
            <w:vMerge w:val="restart"/>
            <w:vAlign w:val="center"/>
          </w:tcPr>
          <w:p w14:paraId="05B2CCBA" w14:textId="77777777" w:rsidR="006A30FD" w:rsidRPr="00E02B33" w:rsidRDefault="006A30FD" w:rsidP="003411DA">
            <w:pPr>
              <w:keepNext/>
              <w:shd w:val="clear" w:color="auto" w:fill="FFFFFF" w:themeFill="background1"/>
              <w:spacing w:before="20" w:after="20"/>
              <w:jc w:val="center"/>
              <w:rPr>
                <w:b/>
                <w:bCs/>
                <w:sz w:val="20"/>
                <w:szCs w:val="20"/>
              </w:rPr>
            </w:pPr>
            <w:r>
              <w:rPr>
                <w:b/>
                <w:bCs/>
                <w:sz w:val="20"/>
                <w:szCs w:val="20"/>
              </w:rPr>
              <w:t>Actividad</w:t>
            </w:r>
          </w:p>
        </w:tc>
        <w:tc>
          <w:tcPr>
            <w:tcW w:w="684" w:type="pct"/>
            <w:vMerge w:val="restart"/>
            <w:vAlign w:val="center"/>
          </w:tcPr>
          <w:p w14:paraId="3764BE55" w14:textId="77777777" w:rsidR="006A30FD" w:rsidRPr="00E02B33" w:rsidRDefault="006A30FD" w:rsidP="00846DC1">
            <w:pPr>
              <w:spacing w:before="20" w:after="20"/>
              <w:jc w:val="center"/>
              <w:rPr>
                <w:b/>
                <w:bCs/>
                <w:sz w:val="20"/>
                <w:szCs w:val="20"/>
              </w:rPr>
            </w:pPr>
            <w:r>
              <w:rPr>
                <w:b/>
                <w:bCs/>
                <w:sz w:val="20"/>
                <w:szCs w:val="20"/>
              </w:rPr>
              <w:t>Organismo</w:t>
            </w:r>
          </w:p>
        </w:tc>
        <w:tc>
          <w:tcPr>
            <w:tcW w:w="949" w:type="pct"/>
            <w:gridSpan w:val="2"/>
            <w:vAlign w:val="center"/>
          </w:tcPr>
          <w:p w14:paraId="2EE696A6" w14:textId="77777777" w:rsidR="006A30FD" w:rsidRPr="00E02B33" w:rsidRDefault="006A30FD" w:rsidP="003411DA">
            <w:pPr>
              <w:shd w:val="clear" w:color="auto" w:fill="FFFFFF" w:themeFill="background1"/>
              <w:spacing w:before="20" w:after="20"/>
              <w:jc w:val="center"/>
              <w:rPr>
                <w:b/>
                <w:bCs/>
                <w:sz w:val="20"/>
                <w:szCs w:val="20"/>
              </w:rPr>
            </w:pPr>
            <w:r>
              <w:rPr>
                <w:b/>
                <w:bCs/>
                <w:sz w:val="20"/>
                <w:szCs w:val="20"/>
              </w:rPr>
              <w:t>Coste (USD)</w:t>
            </w:r>
          </w:p>
        </w:tc>
      </w:tr>
      <w:tr w:rsidR="006A30FD" w:rsidRPr="00E02B33" w14:paraId="714219BA" w14:textId="77777777" w:rsidTr="00846DC1">
        <w:trPr>
          <w:trHeight w:val="98"/>
          <w:tblHeader/>
        </w:trPr>
        <w:tc>
          <w:tcPr>
            <w:tcW w:w="680" w:type="pct"/>
            <w:vMerge/>
            <w:vAlign w:val="center"/>
          </w:tcPr>
          <w:p w14:paraId="0B99F034" w14:textId="77777777" w:rsidR="006A30FD" w:rsidRPr="00E02B33" w:rsidRDefault="006A30FD" w:rsidP="003411DA">
            <w:pPr>
              <w:shd w:val="clear" w:color="auto" w:fill="FFFFFF" w:themeFill="background1"/>
              <w:spacing w:before="20" w:after="20"/>
              <w:jc w:val="center"/>
              <w:rPr>
                <w:b/>
                <w:bCs/>
                <w:sz w:val="20"/>
                <w:szCs w:val="20"/>
              </w:rPr>
            </w:pPr>
          </w:p>
        </w:tc>
        <w:tc>
          <w:tcPr>
            <w:tcW w:w="2686" w:type="pct"/>
            <w:vMerge/>
            <w:vAlign w:val="center"/>
          </w:tcPr>
          <w:p w14:paraId="2BA0AAC5" w14:textId="77777777" w:rsidR="006A30FD" w:rsidRPr="00E02B33" w:rsidRDefault="006A30FD" w:rsidP="003411DA">
            <w:pPr>
              <w:shd w:val="clear" w:color="auto" w:fill="FFFFFF" w:themeFill="background1"/>
              <w:spacing w:before="20" w:after="20"/>
              <w:jc w:val="center"/>
              <w:rPr>
                <w:b/>
                <w:bCs/>
                <w:sz w:val="20"/>
                <w:szCs w:val="20"/>
              </w:rPr>
            </w:pPr>
          </w:p>
        </w:tc>
        <w:tc>
          <w:tcPr>
            <w:tcW w:w="684" w:type="pct"/>
            <w:vMerge/>
            <w:vAlign w:val="center"/>
          </w:tcPr>
          <w:p w14:paraId="4DC42407" w14:textId="77777777" w:rsidR="006A30FD" w:rsidRPr="00E02B33" w:rsidRDefault="006A30FD" w:rsidP="003411DA">
            <w:pPr>
              <w:shd w:val="clear" w:color="auto" w:fill="FFFFFF" w:themeFill="background1"/>
              <w:spacing w:before="20" w:after="20"/>
              <w:jc w:val="center"/>
              <w:rPr>
                <w:b/>
                <w:bCs/>
                <w:sz w:val="20"/>
                <w:szCs w:val="20"/>
              </w:rPr>
            </w:pPr>
          </w:p>
        </w:tc>
        <w:tc>
          <w:tcPr>
            <w:tcW w:w="476" w:type="pct"/>
            <w:vAlign w:val="center"/>
          </w:tcPr>
          <w:p w14:paraId="78A6FFEC" w14:textId="77777777" w:rsidR="006A30FD" w:rsidRPr="00E02B33" w:rsidRDefault="006A30FD" w:rsidP="003411DA">
            <w:pPr>
              <w:shd w:val="clear" w:color="auto" w:fill="FFFFFF" w:themeFill="background1"/>
              <w:spacing w:before="20" w:after="20"/>
              <w:jc w:val="center"/>
              <w:rPr>
                <w:b/>
                <w:bCs/>
                <w:sz w:val="20"/>
                <w:szCs w:val="20"/>
              </w:rPr>
            </w:pPr>
            <w:r>
              <w:rPr>
                <w:b/>
                <w:bCs/>
                <w:sz w:val="20"/>
                <w:szCs w:val="20"/>
              </w:rPr>
              <w:t>Etapa II</w:t>
            </w:r>
          </w:p>
        </w:tc>
        <w:tc>
          <w:tcPr>
            <w:tcW w:w="473" w:type="pct"/>
            <w:vAlign w:val="center"/>
          </w:tcPr>
          <w:p w14:paraId="39B509B4" w14:textId="77777777" w:rsidR="006A30FD" w:rsidRPr="00E02B33" w:rsidRDefault="006A30FD" w:rsidP="003411DA">
            <w:pPr>
              <w:shd w:val="clear" w:color="auto" w:fill="FFFFFF" w:themeFill="background1"/>
              <w:spacing w:before="20" w:after="20"/>
              <w:jc w:val="center"/>
              <w:rPr>
                <w:b/>
                <w:bCs/>
                <w:sz w:val="20"/>
                <w:szCs w:val="20"/>
              </w:rPr>
            </w:pPr>
            <w:r>
              <w:rPr>
                <w:b/>
                <w:bCs/>
                <w:sz w:val="20"/>
                <w:szCs w:val="20"/>
              </w:rPr>
              <w:t>Primer tramo</w:t>
            </w:r>
          </w:p>
        </w:tc>
      </w:tr>
      <w:tr w:rsidR="006A30FD" w:rsidRPr="00E02B33" w14:paraId="76DB84D6" w14:textId="77777777" w:rsidTr="00846DC1">
        <w:trPr>
          <w:trHeight w:val="217"/>
        </w:trPr>
        <w:tc>
          <w:tcPr>
            <w:tcW w:w="680" w:type="pct"/>
            <w:vMerge w:val="restart"/>
          </w:tcPr>
          <w:p w14:paraId="0FE1DE86" w14:textId="77777777" w:rsidR="006A30FD" w:rsidRPr="002D2ED7" w:rsidRDefault="006A30FD" w:rsidP="003411DA">
            <w:pPr>
              <w:shd w:val="clear" w:color="auto" w:fill="FFFFFF" w:themeFill="background1"/>
              <w:spacing w:before="20" w:after="20"/>
              <w:jc w:val="left"/>
              <w:rPr>
                <w:i/>
                <w:iCs/>
                <w:sz w:val="20"/>
                <w:szCs w:val="20"/>
                <w:lang w:val="es-ES"/>
              </w:rPr>
            </w:pPr>
            <w:r>
              <w:rPr>
                <w:sz w:val="20"/>
                <w:szCs w:val="20"/>
                <w:lang w:val="es-ES"/>
              </w:rPr>
              <w:t>Fortalecimiento del marco normativo, reglamentario e institucional</w:t>
            </w:r>
          </w:p>
        </w:tc>
        <w:tc>
          <w:tcPr>
            <w:tcW w:w="2686" w:type="pct"/>
          </w:tcPr>
          <w:p w14:paraId="67226829" w14:textId="77777777" w:rsidR="006A30FD" w:rsidRPr="00E02B33" w:rsidRDefault="006A30FD" w:rsidP="003411DA">
            <w:pPr>
              <w:shd w:val="clear" w:color="auto" w:fill="FFFFFF" w:themeFill="background1"/>
              <w:spacing w:before="20" w:after="20"/>
              <w:jc w:val="left"/>
              <w:rPr>
                <w:sz w:val="20"/>
                <w:szCs w:val="20"/>
              </w:rPr>
            </w:pPr>
            <w:r>
              <w:rPr>
                <w:i/>
                <w:iCs/>
                <w:sz w:val="20"/>
                <w:szCs w:val="20"/>
              </w:rPr>
              <w:t>Fortalecimiento normativo y regulatorio</w:t>
            </w:r>
            <w:r>
              <w:rPr>
                <w:sz w:val="20"/>
                <w:szCs w:val="20"/>
              </w:rPr>
              <w:t xml:space="preserve">: </w:t>
            </w:r>
          </w:p>
          <w:p w14:paraId="2E02D08D" w14:textId="252505DE" w:rsidR="006A30FD" w:rsidRPr="002D2ED7" w:rsidRDefault="005D26F0" w:rsidP="005D26F0">
            <w:pPr>
              <w:pStyle w:val="ListParagraph"/>
              <w:numPr>
                <w:ilvl w:val="0"/>
                <w:numId w:val="21"/>
              </w:numPr>
              <w:shd w:val="clear" w:color="auto" w:fill="FFFFFF" w:themeFill="background1"/>
              <w:spacing w:before="20" w:after="20"/>
              <w:ind w:left="179" w:hanging="179"/>
              <w:jc w:val="left"/>
              <w:rPr>
                <w:sz w:val="20"/>
                <w:szCs w:val="20"/>
                <w:lang w:val="es-ES"/>
              </w:rPr>
            </w:pPr>
            <w:r>
              <w:rPr>
                <w:sz w:val="20"/>
                <w:szCs w:val="20"/>
                <w:lang w:val="es-ES"/>
              </w:rPr>
              <w:t>Revisión y modificaciones normativas, y elaboración y adopción de una prohibición de importar equipos a base de HCFC, que se ejecutará para 2027; y</w:t>
            </w:r>
          </w:p>
          <w:p w14:paraId="63079229" w14:textId="7721B045" w:rsidR="006A30FD" w:rsidRPr="002D2ED7" w:rsidRDefault="006A30FD" w:rsidP="00375613">
            <w:pPr>
              <w:pStyle w:val="ListParagraph"/>
              <w:numPr>
                <w:ilvl w:val="0"/>
                <w:numId w:val="21"/>
              </w:numPr>
              <w:shd w:val="clear" w:color="auto" w:fill="FFFFFF" w:themeFill="background1"/>
              <w:spacing w:before="20" w:after="20"/>
              <w:ind w:left="179" w:hanging="179"/>
              <w:jc w:val="left"/>
              <w:rPr>
                <w:sz w:val="20"/>
                <w:szCs w:val="20"/>
                <w:lang w:val="es-ES"/>
              </w:rPr>
            </w:pPr>
            <w:r>
              <w:rPr>
                <w:sz w:val="20"/>
                <w:szCs w:val="20"/>
                <w:lang w:val="es-ES"/>
              </w:rPr>
              <w:t>Introducción de controles vinculados a la certificación sobre las ventas de refrigerantes, incluida la redacción de reglamentos y el desarrollo de un sistema de verificación de ventas y obligaciones de presentación de informes para las personas importadoras y distribuidoras de refrigerantes.</w:t>
            </w:r>
          </w:p>
        </w:tc>
        <w:tc>
          <w:tcPr>
            <w:tcW w:w="684" w:type="pct"/>
          </w:tcPr>
          <w:p w14:paraId="347F07D6" w14:textId="77777777" w:rsidR="006A30FD" w:rsidRPr="00E02B33" w:rsidRDefault="006A30FD" w:rsidP="003411DA">
            <w:pPr>
              <w:spacing w:before="20" w:after="20"/>
              <w:jc w:val="center"/>
              <w:rPr>
                <w:sz w:val="20"/>
                <w:szCs w:val="20"/>
                <w:highlight w:val="cyan"/>
              </w:rPr>
            </w:pPr>
            <w:r>
              <w:rPr>
                <w:sz w:val="20"/>
                <w:szCs w:val="20"/>
              </w:rPr>
              <w:t>PNUMA</w:t>
            </w:r>
          </w:p>
        </w:tc>
        <w:tc>
          <w:tcPr>
            <w:tcW w:w="476" w:type="pct"/>
          </w:tcPr>
          <w:p w14:paraId="085C6786" w14:textId="443D4A9D" w:rsidR="006A30FD" w:rsidRPr="00E02B33" w:rsidRDefault="006A30FD" w:rsidP="003411DA">
            <w:pPr>
              <w:shd w:val="clear" w:color="auto" w:fill="FFFFFF" w:themeFill="background1"/>
              <w:spacing w:before="20" w:after="20"/>
              <w:jc w:val="right"/>
              <w:rPr>
                <w:sz w:val="20"/>
                <w:szCs w:val="20"/>
              </w:rPr>
            </w:pPr>
            <w:r>
              <w:rPr>
                <w:sz w:val="20"/>
                <w:szCs w:val="20"/>
              </w:rPr>
              <w:t>9.000</w:t>
            </w:r>
          </w:p>
        </w:tc>
        <w:tc>
          <w:tcPr>
            <w:tcW w:w="473" w:type="pct"/>
          </w:tcPr>
          <w:p w14:paraId="5BFC3DCB" w14:textId="1C5353BB" w:rsidR="006A30FD" w:rsidRPr="00E02B33" w:rsidRDefault="006A30FD" w:rsidP="003411DA">
            <w:pPr>
              <w:shd w:val="clear" w:color="auto" w:fill="FFFFFF" w:themeFill="background1"/>
              <w:spacing w:before="20" w:after="20"/>
              <w:jc w:val="right"/>
              <w:rPr>
                <w:sz w:val="20"/>
                <w:szCs w:val="20"/>
              </w:rPr>
            </w:pPr>
            <w:r>
              <w:rPr>
                <w:sz w:val="20"/>
                <w:szCs w:val="20"/>
              </w:rPr>
              <w:t>9.000</w:t>
            </w:r>
          </w:p>
        </w:tc>
      </w:tr>
      <w:tr w:rsidR="006A30FD" w:rsidRPr="00E02B33" w14:paraId="17AFFB64" w14:textId="77777777" w:rsidTr="00846DC1">
        <w:trPr>
          <w:trHeight w:val="225"/>
        </w:trPr>
        <w:tc>
          <w:tcPr>
            <w:tcW w:w="680" w:type="pct"/>
            <w:vMerge/>
          </w:tcPr>
          <w:p w14:paraId="5E83FBC1" w14:textId="77777777" w:rsidR="006A30FD" w:rsidRPr="00E02B33" w:rsidRDefault="006A30FD" w:rsidP="003411DA">
            <w:pPr>
              <w:shd w:val="clear" w:color="auto" w:fill="FFFFFF" w:themeFill="background1"/>
              <w:spacing w:before="20" w:after="20"/>
              <w:jc w:val="left"/>
              <w:rPr>
                <w:i/>
                <w:iCs/>
                <w:sz w:val="20"/>
                <w:szCs w:val="20"/>
              </w:rPr>
            </w:pPr>
          </w:p>
        </w:tc>
        <w:tc>
          <w:tcPr>
            <w:tcW w:w="2686" w:type="pct"/>
          </w:tcPr>
          <w:p w14:paraId="085DF841" w14:textId="77777777" w:rsidR="006A30FD" w:rsidRPr="002D2ED7" w:rsidRDefault="006A30FD" w:rsidP="003411DA">
            <w:pPr>
              <w:shd w:val="clear" w:color="auto" w:fill="FFFFFF" w:themeFill="background1"/>
              <w:spacing w:before="20" w:after="20"/>
              <w:jc w:val="left"/>
              <w:rPr>
                <w:sz w:val="20"/>
                <w:szCs w:val="20"/>
                <w:lang w:val="es-ES"/>
              </w:rPr>
            </w:pPr>
            <w:r>
              <w:rPr>
                <w:i/>
                <w:iCs/>
                <w:sz w:val="20"/>
                <w:szCs w:val="20"/>
                <w:lang w:val="es-ES"/>
              </w:rPr>
              <w:t>Hacer efectivo el sistema de concesión de licencias y cupos</w:t>
            </w:r>
            <w:r>
              <w:rPr>
                <w:sz w:val="20"/>
                <w:szCs w:val="20"/>
                <w:lang w:val="es-ES"/>
              </w:rPr>
              <w:t>:</w:t>
            </w:r>
          </w:p>
          <w:p w14:paraId="61E1B2B9" w14:textId="0089D674" w:rsidR="00375613" w:rsidRPr="002D2ED7" w:rsidRDefault="00B74F49" w:rsidP="003411DA">
            <w:pPr>
              <w:pStyle w:val="ListParagraph"/>
              <w:numPr>
                <w:ilvl w:val="0"/>
                <w:numId w:val="21"/>
              </w:numPr>
              <w:shd w:val="clear" w:color="auto" w:fill="FFFFFF" w:themeFill="background1"/>
              <w:spacing w:before="20" w:after="20"/>
              <w:ind w:left="179" w:hanging="179"/>
              <w:jc w:val="left"/>
              <w:rPr>
                <w:sz w:val="20"/>
                <w:szCs w:val="20"/>
                <w:lang w:val="es-ES"/>
              </w:rPr>
            </w:pPr>
            <w:r>
              <w:rPr>
                <w:sz w:val="20"/>
                <w:szCs w:val="20"/>
                <w:lang w:val="es-ES"/>
              </w:rPr>
              <w:t>Adopción de procedimientos operativos establecidos (SOP) para reforzar la coordinación entre la ONO, las autoridades aduaneras y marítimas; y refuerzo de la documentación para la supervisión y la conciliación de las cuotas;</w:t>
            </w:r>
          </w:p>
          <w:p w14:paraId="3F9837A4" w14:textId="4A98CA18" w:rsidR="006A30FD" w:rsidRPr="002D2ED7" w:rsidRDefault="006A30FD" w:rsidP="003411DA">
            <w:pPr>
              <w:pStyle w:val="ListParagraph"/>
              <w:numPr>
                <w:ilvl w:val="0"/>
                <w:numId w:val="21"/>
              </w:numPr>
              <w:shd w:val="clear" w:color="auto" w:fill="FFFFFF" w:themeFill="background1"/>
              <w:spacing w:before="20" w:after="20"/>
              <w:ind w:left="179" w:hanging="179"/>
              <w:jc w:val="left"/>
              <w:rPr>
                <w:sz w:val="20"/>
                <w:szCs w:val="20"/>
                <w:lang w:val="es-ES"/>
              </w:rPr>
            </w:pPr>
            <w:r>
              <w:rPr>
                <w:sz w:val="20"/>
                <w:szCs w:val="20"/>
                <w:lang w:val="es-ES"/>
              </w:rPr>
              <w:t xml:space="preserve">Capacitación de un total de 30 personas funcionarias de aduanas, de control del cumplimiento y marítimas (con un objetivo del 25 % de mujeres) sobre la identificación de sustancias controladas y la aplicación de los procedimientos de licencias y cuotas; </w:t>
            </w:r>
          </w:p>
          <w:p w14:paraId="4D9B6D49" w14:textId="40A26F35" w:rsidR="006A30FD" w:rsidRPr="002D2ED7" w:rsidRDefault="006A30FD" w:rsidP="003411DA">
            <w:pPr>
              <w:pStyle w:val="ListParagraph"/>
              <w:numPr>
                <w:ilvl w:val="0"/>
                <w:numId w:val="21"/>
              </w:numPr>
              <w:shd w:val="clear" w:color="auto" w:fill="FFFFFF" w:themeFill="background1"/>
              <w:spacing w:before="20" w:after="20"/>
              <w:ind w:left="179" w:hanging="179"/>
              <w:jc w:val="left"/>
              <w:rPr>
                <w:sz w:val="20"/>
                <w:szCs w:val="20"/>
                <w:lang w:val="es-ES"/>
              </w:rPr>
            </w:pPr>
            <w:r>
              <w:rPr>
                <w:sz w:val="20"/>
                <w:szCs w:val="20"/>
                <w:lang w:val="es-ES"/>
              </w:rPr>
              <w:t>Actualización de las normas HS nacionales para los HCFC, los HFC, las mezclas de HFC y los refrigerantes HC;</w:t>
            </w:r>
          </w:p>
          <w:p w14:paraId="5EBC7A23" w14:textId="77777777" w:rsidR="006A30FD" w:rsidRPr="002D2ED7" w:rsidRDefault="006A30FD" w:rsidP="003411DA">
            <w:pPr>
              <w:pStyle w:val="ListParagraph"/>
              <w:numPr>
                <w:ilvl w:val="0"/>
                <w:numId w:val="21"/>
              </w:numPr>
              <w:shd w:val="clear" w:color="auto" w:fill="FFFFFF" w:themeFill="background1"/>
              <w:spacing w:before="20" w:after="20"/>
              <w:ind w:left="179" w:hanging="179"/>
              <w:jc w:val="left"/>
              <w:rPr>
                <w:sz w:val="20"/>
                <w:szCs w:val="20"/>
                <w:lang w:val="es-ES"/>
              </w:rPr>
            </w:pPr>
            <w:r>
              <w:rPr>
                <w:sz w:val="20"/>
                <w:szCs w:val="20"/>
                <w:lang w:val="es-ES"/>
              </w:rPr>
              <w:lastRenderedPageBreak/>
              <w:t>Integración de criterios de elaboración de perfiles de riesgo en SIDUNEA;</w:t>
            </w:r>
            <w:r>
              <w:rPr>
                <w:rStyle w:val="FootnoteReference"/>
                <w:sz w:val="20"/>
                <w:szCs w:val="20"/>
              </w:rPr>
              <w:footnoteReference w:id="14"/>
            </w:r>
            <w:r>
              <w:rPr>
                <w:sz w:val="20"/>
                <w:szCs w:val="20"/>
                <w:lang w:val="es-ES"/>
              </w:rPr>
              <w:t xml:space="preserve"> </w:t>
            </w:r>
          </w:p>
          <w:p w14:paraId="7FA66AC6" w14:textId="46228252" w:rsidR="006A30FD" w:rsidRPr="002D2ED7" w:rsidRDefault="006A30FD" w:rsidP="003411DA">
            <w:pPr>
              <w:pStyle w:val="ListParagraph"/>
              <w:numPr>
                <w:ilvl w:val="0"/>
                <w:numId w:val="21"/>
              </w:numPr>
              <w:shd w:val="clear" w:color="auto" w:fill="FFFFFF" w:themeFill="background1"/>
              <w:spacing w:before="20" w:after="20"/>
              <w:ind w:left="179" w:hanging="179"/>
              <w:jc w:val="left"/>
              <w:rPr>
                <w:sz w:val="20"/>
                <w:szCs w:val="20"/>
                <w:lang w:val="es-ES"/>
              </w:rPr>
            </w:pPr>
            <w:r>
              <w:rPr>
                <w:sz w:val="20"/>
                <w:szCs w:val="20"/>
                <w:lang w:val="es-ES"/>
              </w:rPr>
              <w:t>Emisión de directrices sobre prácticas de declaración y talleres de participación para cinco personas agentes de aduanas (con un objetivo del 25 % de mujeres); y</w:t>
            </w:r>
          </w:p>
          <w:p w14:paraId="2E5B3ADF" w14:textId="42F4E141" w:rsidR="006A30FD" w:rsidRPr="002D2ED7" w:rsidRDefault="00E0725B" w:rsidP="003411DA">
            <w:pPr>
              <w:pStyle w:val="ListParagraph"/>
              <w:numPr>
                <w:ilvl w:val="0"/>
                <w:numId w:val="21"/>
              </w:numPr>
              <w:shd w:val="clear" w:color="auto" w:fill="FFFFFF" w:themeFill="background1"/>
              <w:spacing w:before="20" w:after="20"/>
              <w:ind w:left="179" w:hanging="179"/>
              <w:jc w:val="left"/>
              <w:rPr>
                <w:sz w:val="20"/>
                <w:szCs w:val="20"/>
                <w:lang w:val="es-ES"/>
              </w:rPr>
            </w:pPr>
            <w:r>
              <w:rPr>
                <w:sz w:val="20"/>
                <w:szCs w:val="20"/>
                <w:lang w:val="es-ES"/>
              </w:rPr>
              <w:t>Formalizar los mecanismos de coordinación en la estructura de gobernanza de las dos islas, y realizar capacitación para que entre dos–tres personas por isla conozcan el uso de identificadores de refrigerantes y la coordinación de las autoridades encargadas de la aplicación de la ley entre las islas.</w:t>
            </w:r>
          </w:p>
        </w:tc>
        <w:tc>
          <w:tcPr>
            <w:tcW w:w="684" w:type="pct"/>
          </w:tcPr>
          <w:p w14:paraId="7CEE4A1C" w14:textId="77777777" w:rsidR="006A30FD" w:rsidRPr="00E02B33" w:rsidRDefault="006A30FD" w:rsidP="003411DA">
            <w:pPr>
              <w:spacing w:before="20" w:after="20"/>
              <w:jc w:val="center"/>
              <w:rPr>
                <w:sz w:val="20"/>
                <w:szCs w:val="20"/>
                <w:highlight w:val="cyan"/>
              </w:rPr>
            </w:pPr>
            <w:r>
              <w:rPr>
                <w:sz w:val="20"/>
                <w:szCs w:val="20"/>
              </w:rPr>
              <w:lastRenderedPageBreak/>
              <w:t>PNUMA</w:t>
            </w:r>
          </w:p>
        </w:tc>
        <w:tc>
          <w:tcPr>
            <w:tcW w:w="476" w:type="pct"/>
          </w:tcPr>
          <w:p w14:paraId="5C9E10DA" w14:textId="25FFC195" w:rsidR="006A30FD" w:rsidRPr="00E02B33" w:rsidRDefault="00CE3CD9" w:rsidP="003411DA">
            <w:pPr>
              <w:shd w:val="clear" w:color="auto" w:fill="FFFFFF" w:themeFill="background1"/>
              <w:spacing w:before="20" w:after="20"/>
              <w:jc w:val="right"/>
              <w:rPr>
                <w:sz w:val="20"/>
                <w:szCs w:val="20"/>
              </w:rPr>
            </w:pPr>
            <w:r>
              <w:rPr>
                <w:sz w:val="20"/>
                <w:szCs w:val="20"/>
              </w:rPr>
              <w:t>33.100</w:t>
            </w:r>
          </w:p>
        </w:tc>
        <w:tc>
          <w:tcPr>
            <w:tcW w:w="473" w:type="pct"/>
          </w:tcPr>
          <w:p w14:paraId="36F95EA0" w14:textId="699E3745" w:rsidR="006A30FD" w:rsidRPr="00E02B33" w:rsidRDefault="00CE3CD9" w:rsidP="003411DA">
            <w:pPr>
              <w:shd w:val="clear" w:color="auto" w:fill="FFFFFF" w:themeFill="background1"/>
              <w:spacing w:before="20" w:after="20"/>
              <w:jc w:val="right"/>
              <w:rPr>
                <w:sz w:val="20"/>
                <w:szCs w:val="20"/>
              </w:rPr>
            </w:pPr>
            <w:r>
              <w:rPr>
                <w:sz w:val="20"/>
                <w:szCs w:val="20"/>
              </w:rPr>
              <w:t>9.600</w:t>
            </w:r>
          </w:p>
        </w:tc>
      </w:tr>
      <w:tr w:rsidR="006A30FD" w:rsidRPr="00E02B33" w14:paraId="6AC3F81C" w14:textId="77777777" w:rsidTr="00846DC1">
        <w:trPr>
          <w:trHeight w:val="221"/>
        </w:trPr>
        <w:tc>
          <w:tcPr>
            <w:tcW w:w="680" w:type="pct"/>
            <w:vMerge w:val="restart"/>
          </w:tcPr>
          <w:p w14:paraId="554BE7F2" w14:textId="77777777" w:rsidR="006A30FD" w:rsidRPr="002D2ED7" w:rsidRDefault="006A30FD" w:rsidP="003411DA">
            <w:pPr>
              <w:widowControl w:val="0"/>
              <w:spacing w:before="20" w:after="20"/>
              <w:jc w:val="left"/>
              <w:rPr>
                <w:i/>
                <w:iCs/>
                <w:sz w:val="20"/>
                <w:szCs w:val="20"/>
                <w:lang w:val="es-ES"/>
              </w:rPr>
            </w:pPr>
            <w:r>
              <w:rPr>
                <w:sz w:val="20"/>
                <w:szCs w:val="20"/>
                <w:lang w:val="es-ES"/>
              </w:rPr>
              <w:t>Apoyo especializado al sector de servicio y mantenimiento de equipos de refrigeración y aire acondicionado</w:t>
            </w:r>
          </w:p>
        </w:tc>
        <w:tc>
          <w:tcPr>
            <w:tcW w:w="2686" w:type="pct"/>
          </w:tcPr>
          <w:p w14:paraId="5C0E06BB" w14:textId="77777777" w:rsidR="006A30FD" w:rsidRPr="002D2ED7" w:rsidRDefault="006A30FD" w:rsidP="003411DA">
            <w:pPr>
              <w:widowControl w:val="0"/>
              <w:spacing w:before="20" w:after="20"/>
              <w:jc w:val="left"/>
              <w:rPr>
                <w:sz w:val="20"/>
                <w:szCs w:val="20"/>
                <w:lang w:val="es-ES"/>
              </w:rPr>
            </w:pPr>
            <w:r>
              <w:rPr>
                <w:i/>
                <w:iCs/>
                <w:sz w:val="20"/>
                <w:szCs w:val="20"/>
                <w:lang w:val="es-ES"/>
              </w:rPr>
              <w:t>Capacitación y certificación de personas técnicas de refrigeración y aire acondicionado</w:t>
            </w:r>
            <w:r>
              <w:rPr>
                <w:sz w:val="20"/>
                <w:szCs w:val="20"/>
                <w:lang w:val="es-ES"/>
              </w:rPr>
              <w:t xml:space="preserve">: </w:t>
            </w:r>
          </w:p>
          <w:p w14:paraId="21250947" w14:textId="47724E89" w:rsidR="006A30FD" w:rsidRPr="002D2ED7" w:rsidRDefault="006A30FD" w:rsidP="003411DA">
            <w:pPr>
              <w:pStyle w:val="ListParagraph"/>
              <w:widowControl w:val="0"/>
              <w:numPr>
                <w:ilvl w:val="0"/>
                <w:numId w:val="21"/>
              </w:numPr>
              <w:shd w:val="clear" w:color="auto" w:fill="FFFFFF" w:themeFill="background1"/>
              <w:spacing w:before="20" w:after="20"/>
              <w:ind w:left="179" w:hanging="179"/>
              <w:jc w:val="left"/>
              <w:rPr>
                <w:sz w:val="20"/>
                <w:szCs w:val="20"/>
                <w:lang w:val="es-ES"/>
              </w:rPr>
            </w:pPr>
            <w:r>
              <w:rPr>
                <w:sz w:val="20"/>
                <w:szCs w:val="20"/>
                <w:lang w:val="es-ES"/>
              </w:rPr>
              <w:t xml:space="preserve">Evaluación de la integración de los requisitos de certificación en el marco reglamentario, y elaboración y formalización de normas nacionales de competencia laboral; </w:t>
            </w:r>
          </w:p>
          <w:p w14:paraId="7BE4A7C9" w14:textId="4D62EF69" w:rsidR="00B62645" w:rsidRPr="002D2ED7" w:rsidRDefault="00E7025F" w:rsidP="003411DA">
            <w:pPr>
              <w:pStyle w:val="ListParagraph"/>
              <w:widowControl w:val="0"/>
              <w:numPr>
                <w:ilvl w:val="0"/>
                <w:numId w:val="21"/>
              </w:numPr>
              <w:shd w:val="clear" w:color="auto" w:fill="FFFFFF" w:themeFill="background1"/>
              <w:spacing w:before="20" w:after="20"/>
              <w:ind w:left="179" w:hanging="179"/>
              <w:jc w:val="left"/>
              <w:rPr>
                <w:sz w:val="20"/>
                <w:szCs w:val="20"/>
                <w:lang w:val="es-ES"/>
              </w:rPr>
            </w:pPr>
            <w:r>
              <w:rPr>
                <w:sz w:val="20"/>
                <w:szCs w:val="20"/>
                <w:lang w:val="es-ES"/>
              </w:rPr>
              <w:t>Desarrollo de la estructura y puesta en práctica de un sistema de certificación, incluida la capacitación normalizada; procedimientos de evaluación; elaboración de guías normalizadas para personas formadoras y herramientas de evaluación;</w:t>
            </w:r>
          </w:p>
          <w:p w14:paraId="0350B9E6" w14:textId="0A1F6647" w:rsidR="006A30FD" w:rsidRPr="002D2ED7" w:rsidRDefault="006A30FD" w:rsidP="003411DA">
            <w:pPr>
              <w:pStyle w:val="ListParagraph"/>
              <w:widowControl w:val="0"/>
              <w:numPr>
                <w:ilvl w:val="0"/>
                <w:numId w:val="21"/>
              </w:numPr>
              <w:shd w:val="clear" w:color="auto" w:fill="FFFFFF" w:themeFill="background1"/>
              <w:spacing w:before="20" w:after="20"/>
              <w:ind w:left="179" w:hanging="179"/>
              <w:jc w:val="left"/>
              <w:rPr>
                <w:sz w:val="20"/>
                <w:szCs w:val="20"/>
                <w:lang w:val="es-ES"/>
              </w:rPr>
            </w:pPr>
            <w:r>
              <w:rPr>
                <w:sz w:val="20"/>
                <w:szCs w:val="20"/>
                <w:lang w:val="es-ES"/>
              </w:rPr>
              <w:t>Puesta en marcha de un módulo de certificación en HC y capacitación piloto con 8–10 técnicos (con el objetivo de incluir a 1 mujer);</w:t>
            </w:r>
          </w:p>
          <w:p w14:paraId="4AF8644D" w14:textId="77777777" w:rsidR="006A30FD" w:rsidRPr="002D2ED7" w:rsidRDefault="006A30FD" w:rsidP="003411DA">
            <w:pPr>
              <w:pStyle w:val="ListParagraph"/>
              <w:widowControl w:val="0"/>
              <w:numPr>
                <w:ilvl w:val="0"/>
                <w:numId w:val="21"/>
              </w:numPr>
              <w:shd w:val="clear" w:color="auto" w:fill="FFFFFF" w:themeFill="background1"/>
              <w:spacing w:before="20" w:after="20"/>
              <w:ind w:left="179" w:hanging="179"/>
              <w:jc w:val="left"/>
              <w:rPr>
                <w:sz w:val="20"/>
                <w:szCs w:val="20"/>
                <w:lang w:val="es-ES"/>
              </w:rPr>
            </w:pPr>
            <w:r>
              <w:rPr>
                <w:sz w:val="20"/>
                <w:szCs w:val="20"/>
                <w:lang w:val="es-ES"/>
              </w:rPr>
              <w:t>Creación de un registro de personas técnicas que incluya a las personas técnicas cualificadas en HC;</w:t>
            </w:r>
          </w:p>
          <w:p w14:paraId="362CBD36" w14:textId="43A1BD5A" w:rsidR="006A30FD" w:rsidRPr="002D2ED7" w:rsidRDefault="006A30FD" w:rsidP="003411DA">
            <w:pPr>
              <w:pStyle w:val="ListParagraph"/>
              <w:widowControl w:val="0"/>
              <w:numPr>
                <w:ilvl w:val="0"/>
                <w:numId w:val="21"/>
              </w:numPr>
              <w:shd w:val="clear" w:color="auto" w:fill="FFFFFF" w:themeFill="background1"/>
              <w:spacing w:before="20" w:after="20"/>
              <w:ind w:left="179" w:hanging="179"/>
              <w:jc w:val="left"/>
              <w:rPr>
                <w:sz w:val="20"/>
                <w:szCs w:val="20"/>
                <w:lang w:val="es-ES"/>
              </w:rPr>
            </w:pPr>
            <w:r>
              <w:rPr>
                <w:sz w:val="20"/>
                <w:szCs w:val="20"/>
                <w:lang w:val="es-ES"/>
              </w:rPr>
              <w:t>Actualización del plan de estudios de capacitación para incluir buenas prácticas de servicio y mantenimiento, seguridad de los HC y de bajo PCA, y R&amp;R;</w:t>
            </w:r>
          </w:p>
          <w:p w14:paraId="6D6385EC" w14:textId="161AA008" w:rsidR="006A30FD" w:rsidRPr="002D2ED7" w:rsidRDefault="006A30FD" w:rsidP="003411DA">
            <w:pPr>
              <w:pStyle w:val="ListParagraph"/>
              <w:widowControl w:val="0"/>
              <w:numPr>
                <w:ilvl w:val="0"/>
                <w:numId w:val="21"/>
              </w:numPr>
              <w:shd w:val="clear" w:color="auto" w:fill="FFFFFF" w:themeFill="background1"/>
              <w:spacing w:before="20" w:after="20"/>
              <w:ind w:left="179" w:hanging="179"/>
              <w:jc w:val="left"/>
              <w:rPr>
                <w:sz w:val="20"/>
                <w:szCs w:val="20"/>
                <w:lang w:val="es-ES"/>
              </w:rPr>
            </w:pPr>
            <w:r>
              <w:rPr>
                <w:sz w:val="20"/>
                <w:szCs w:val="20"/>
                <w:lang w:val="es-ES"/>
              </w:rPr>
              <w:t>Un programa de capacitación de formadores para 1–2 instructores certificados a nivel nacional, dos talleres de capacitación para un máximo de 20–25 técnicos (con un objetivo de 1–2 personas).</w:t>
            </w:r>
          </w:p>
        </w:tc>
        <w:tc>
          <w:tcPr>
            <w:tcW w:w="684" w:type="pct"/>
          </w:tcPr>
          <w:p w14:paraId="1E15AF9D" w14:textId="77777777" w:rsidR="006A30FD" w:rsidRPr="00E02B33" w:rsidRDefault="006A30FD" w:rsidP="003411DA">
            <w:pPr>
              <w:spacing w:before="20" w:after="20"/>
              <w:jc w:val="center"/>
              <w:rPr>
                <w:sz w:val="20"/>
                <w:szCs w:val="20"/>
              </w:rPr>
            </w:pPr>
            <w:r>
              <w:rPr>
                <w:sz w:val="20"/>
                <w:szCs w:val="20"/>
              </w:rPr>
              <w:t>PNUMA</w:t>
            </w:r>
          </w:p>
        </w:tc>
        <w:tc>
          <w:tcPr>
            <w:tcW w:w="476" w:type="pct"/>
          </w:tcPr>
          <w:p w14:paraId="40FEDDB2" w14:textId="6CB156D3" w:rsidR="006A30FD" w:rsidRPr="00E02B33" w:rsidRDefault="00EE62EB" w:rsidP="003411DA">
            <w:pPr>
              <w:spacing w:before="20" w:after="20"/>
              <w:jc w:val="right"/>
              <w:rPr>
                <w:sz w:val="20"/>
                <w:szCs w:val="20"/>
              </w:rPr>
            </w:pPr>
            <w:r>
              <w:rPr>
                <w:sz w:val="20"/>
                <w:szCs w:val="20"/>
              </w:rPr>
              <w:t>52.200</w:t>
            </w:r>
          </w:p>
        </w:tc>
        <w:tc>
          <w:tcPr>
            <w:tcW w:w="473" w:type="pct"/>
          </w:tcPr>
          <w:p w14:paraId="0C8BD055" w14:textId="6BE8C77B" w:rsidR="006A30FD" w:rsidRPr="00E02B33" w:rsidRDefault="00EE62EB" w:rsidP="003411DA">
            <w:pPr>
              <w:spacing w:before="20" w:after="20"/>
              <w:jc w:val="right"/>
              <w:rPr>
                <w:sz w:val="20"/>
                <w:szCs w:val="20"/>
              </w:rPr>
            </w:pPr>
            <w:r>
              <w:rPr>
                <w:sz w:val="20"/>
                <w:szCs w:val="20"/>
              </w:rPr>
              <w:t>27.300</w:t>
            </w:r>
          </w:p>
        </w:tc>
      </w:tr>
      <w:tr w:rsidR="006A30FD" w:rsidRPr="00E02B33" w14:paraId="6C3E6666" w14:textId="77777777" w:rsidTr="00846DC1">
        <w:trPr>
          <w:trHeight w:val="2175"/>
        </w:trPr>
        <w:tc>
          <w:tcPr>
            <w:tcW w:w="680" w:type="pct"/>
            <w:vMerge/>
          </w:tcPr>
          <w:p w14:paraId="7B1242F4" w14:textId="77777777" w:rsidR="006A30FD" w:rsidRPr="00E02B33" w:rsidRDefault="006A30FD" w:rsidP="003411DA">
            <w:pPr>
              <w:widowControl w:val="0"/>
              <w:spacing w:before="20" w:after="20"/>
              <w:jc w:val="left"/>
              <w:rPr>
                <w:sz w:val="20"/>
                <w:szCs w:val="20"/>
              </w:rPr>
            </w:pPr>
          </w:p>
        </w:tc>
        <w:tc>
          <w:tcPr>
            <w:tcW w:w="2686" w:type="pct"/>
          </w:tcPr>
          <w:p w14:paraId="069F835B" w14:textId="77777777" w:rsidR="006A30FD" w:rsidRPr="002D2ED7" w:rsidRDefault="006A30FD" w:rsidP="003411DA">
            <w:pPr>
              <w:shd w:val="clear" w:color="auto" w:fill="FFFFFF" w:themeFill="background1"/>
              <w:spacing w:before="20" w:after="20"/>
              <w:jc w:val="left"/>
              <w:rPr>
                <w:i/>
                <w:iCs/>
                <w:sz w:val="20"/>
                <w:szCs w:val="20"/>
                <w:lang w:val="es-ES"/>
              </w:rPr>
            </w:pPr>
            <w:r>
              <w:rPr>
                <w:i/>
                <w:iCs/>
                <w:sz w:val="20"/>
                <w:szCs w:val="20"/>
                <w:lang w:val="es-ES"/>
              </w:rPr>
              <w:t xml:space="preserve">Coordinación institucional y asociación gremial del sector refrigeración y aire acondicionado: </w:t>
            </w:r>
          </w:p>
          <w:p w14:paraId="307EDF26" w14:textId="77777777" w:rsidR="006A30FD" w:rsidRPr="002D2ED7" w:rsidRDefault="006A30FD" w:rsidP="003411DA">
            <w:pPr>
              <w:pStyle w:val="ListParagraph"/>
              <w:numPr>
                <w:ilvl w:val="0"/>
                <w:numId w:val="21"/>
              </w:numPr>
              <w:shd w:val="clear" w:color="auto" w:fill="FFFFFF" w:themeFill="background1"/>
              <w:spacing w:before="20" w:after="20"/>
              <w:ind w:left="179" w:hanging="179"/>
              <w:jc w:val="left"/>
              <w:rPr>
                <w:i/>
                <w:iCs/>
                <w:sz w:val="20"/>
                <w:szCs w:val="20"/>
                <w:lang w:val="es-ES"/>
              </w:rPr>
            </w:pPr>
            <w:r>
              <w:rPr>
                <w:sz w:val="20"/>
                <w:szCs w:val="20"/>
                <w:lang w:val="es-ES"/>
              </w:rPr>
              <w:t>Restablecimiento, registro legal y fortalecimiento operativo de la asociación gremial del sector refrigeración y aire acondicionado;</w:t>
            </w:r>
          </w:p>
          <w:p w14:paraId="0E438B46" w14:textId="7F4F3394" w:rsidR="006A30FD" w:rsidRPr="002D2ED7" w:rsidRDefault="006A30FD" w:rsidP="003411DA">
            <w:pPr>
              <w:pStyle w:val="ListParagraph"/>
              <w:numPr>
                <w:ilvl w:val="0"/>
                <w:numId w:val="21"/>
              </w:numPr>
              <w:shd w:val="clear" w:color="auto" w:fill="FFFFFF" w:themeFill="background1"/>
              <w:spacing w:before="20" w:after="20"/>
              <w:ind w:left="179" w:hanging="179"/>
              <w:jc w:val="left"/>
              <w:rPr>
                <w:i/>
                <w:iCs/>
                <w:sz w:val="20"/>
                <w:szCs w:val="20"/>
                <w:lang w:val="es-ES"/>
              </w:rPr>
            </w:pPr>
            <w:r>
              <w:rPr>
                <w:sz w:val="20"/>
                <w:szCs w:val="20"/>
                <w:lang w:val="es-ES"/>
              </w:rPr>
              <w:t xml:space="preserve">Desarrollo de estructuras de gobernanza y afiliación, unos estatutos y unas ordenanzas, un marco para informar a la ONO y un modelo de sostenibilidad financiera; </w:t>
            </w:r>
          </w:p>
          <w:p w14:paraId="5042C76F" w14:textId="7C2E00AA" w:rsidR="006A30FD" w:rsidRPr="002D2ED7" w:rsidRDefault="006A30FD" w:rsidP="003411DA">
            <w:pPr>
              <w:pStyle w:val="ListParagraph"/>
              <w:numPr>
                <w:ilvl w:val="0"/>
                <w:numId w:val="21"/>
              </w:numPr>
              <w:shd w:val="clear" w:color="auto" w:fill="FFFFFF" w:themeFill="background1"/>
              <w:spacing w:before="20" w:after="20"/>
              <w:ind w:left="179" w:hanging="179"/>
              <w:jc w:val="left"/>
              <w:rPr>
                <w:i/>
                <w:iCs/>
                <w:sz w:val="20"/>
                <w:szCs w:val="20"/>
                <w:lang w:val="es-ES"/>
              </w:rPr>
            </w:pPr>
            <w:r>
              <w:rPr>
                <w:sz w:val="20"/>
                <w:szCs w:val="20"/>
                <w:lang w:val="es-ES"/>
              </w:rPr>
              <w:t>Un taller de planificación estratégica;</w:t>
            </w:r>
            <w:r>
              <w:rPr>
                <w:sz w:val="20"/>
                <w:szCs w:val="20"/>
                <w:vertAlign w:val="superscript"/>
              </w:rPr>
              <w:footnoteReference w:id="15"/>
            </w:r>
            <w:r>
              <w:rPr>
                <w:sz w:val="20"/>
                <w:szCs w:val="20"/>
                <w:lang w:val="es-ES"/>
              </w:rPr>
              <w:t xml:space="preserve"> y</w:t>
            </w:r>
          </w:p>
          <w:p w14:paraId="1E84D3B3" w14:textId="77777777" w:rsidR="006A30FD" w:rsidRPr="002D2ED7" w:rsidRDefault="006A30FD" w:rsidP="00F30178">
            <w:pPr>
              <w:pStyle w:val="ListParagraph"/>
              <w:numPr>
                <w:ilvl w:val="0"/>
                <w:numId w:val="21"/>
              </w:numPr>
              <w:shd w:val="clear" w:color="auto" w:fill="FFFFFF" w:themeFill="background1"/>
              <w:spacing w:before="20"/>
              <w:ind w:left="179" w:hanging="179"/>
              <w:jc w:val="left"/>
              <w:rPr>
                <w:i/>
                <w:iCs/>
                <w:sz w:val="20"/>
                <w:szCs w:val="20"/>
                <w:lang w:val="es-ES"/>
              </w:rPr>
            </w:pPr>
            <w:r>
              <w:rPr>
                <w:sz w:val="20"/>
                <w:szCs w:val="20"/>
                <w:lang w:val="es-ES"/>
              </w:rPr>
              <w:lastRenderedPageBreak/>
              <w:t>Definición de mecanismos de coordinación entre las instituciones de ambas islas y aclaración de las funciones institucionales en materia de certificación, presentación de informes y supervisión del cumplimiento.</w:t>
            </w:r>
          </w:p>
        </w:tc>
        <w:tc>
          <w:tcPr>
            <w:tcW w:w="684" w:type="pct"/>
          </w:tcPr>
          <w:p w14:paraId="68BA4ACC" w14:textId="77777777" w:rsidR="006A30FD" w:rsidRPr="00E02B33" w:rsidRDefault="006A30FD" w:rsidP="003411DA">
            <w:pPr>
              <w:spacing w:before="20" w:after="20"/>
              <w:jc w:val="center"/>
              <w:rPr>
                <w:sz w:val="20"/>
                <w:szCs w:val="20"/>
              </w:rPr>
            </w:pPr>
            <w:r>
              <w:rPr>
                <w:sz w:val="20"/>
                <w:szCs w:val="20"/>
              </w:rPr>
              <w:lastRenderedPageBreak/>
              <w:t>PNUMA</w:t>
            </w:r>
          </w:p>
        </w:tc>
        <w:tc>
          <w:tcPr>
            <w:tcW w:w="476" w:type="pct"/>
          </w:tcPr>
          <w:p w14:paraId="4DD46CF8" w14:textId="58571632" w:rsidR="006A30FD" w:rsidRPr="00E02B33" w:rsidRDefault="00EE62EB" w:rsidP="003411DA">
            <w:pPr>
              <w:spacing w:before="20" w:after="20"/>
              <w:jc w:val="right"/>
              <w:rPr>
                <w:sz w:val="20"/>
                <w:szCs w:val="20"/>
              </w:rPr>
            </w:pPr>
            <w:r>
              <w:rPr>
                <w:sz w:val="20"/>
                <w:szCs w:val="20"/>
              </w:rPr>
              <w:t>11.300</w:t>
            </w:r>
          </w:p>
        </w:tc>
        <w:tc>
          <w:tcPr>
            <w:tcW w:w="473" w:type="pct"/>
          </w:tcPr>
          <w:p w14:paraId="69653F68" w14:textId="294A4431" w:rsidR="006A30FD" w:rsidRPr="00E02B33" w:rsidRDefault="00EE62EB" w:rsidP="003411DA">
            <w:pPr>
              <w:spacing w:before="20" w:after="20"/>
              <w:jc w:val="right"/>
              <w:rPr>
                <w:sz w:val="20"/>
                <w:szCs w:val="20"/>
              </w:rPr>
            </w:pPr>
            <w:r>
              <w:rPr>
                <w:sz w:val="20"/>
                <w:szCs w:val="20"/>
              </w:rPr>
              <w:t>9.000</w:t>
            </w:r>
          </w:p>
        </w:tc>
      </w:tr>
      <w:tr w:rsidR="006A30FD" w:rsidRPr="00E02B33" w14:paraId="3ED0B672" w14:textId="77777777" w:rsidTr="00846DC1">
        <w:trPr>
          <w:trHeight w:val="220"/>
        </w:trPr>
        <w:tc>
          <w:tcPr>
            <w:tcW w:w="680" w:type="pct"/>
            <w:vMerge/>
          </w:tcPr>
          <w:p w14:paraId="30EB4D4B" w14:textId="77777777" w:rsidR="006A30FD" w:rsidRPr="00E02B33" w:rsidRDefault="006A30FD" w:rsidP="003411DA">
            <w:pPr>
              <w:spacing w:before="20" w:after="20"/>
              <w:jc w:val="left"/>
              <w:rPr>
                <w:i/>
                <w:iCs/>
                <w:sz w:val="20"/>
                <w:szCs w:val="20"/>
              </w:rPr>
            </w:pPr>
          </w:p>
        </w:tc>
        <w:tc>
          <w:tcPr>
            <w:tcW w:w="2686" w:type="pct"/>
          </w:tcPr>
          <w:p w14:paraId="4E010200" w14:textId="14FB5F13" w:rsidR="006A30FD" w:rsidRPr="002D2ED7" w:rsidRDefault="006A30FD" w:rsidP="003411DA">
            <w:pPr>
              <w:spacing w:before="20" w:after="20"/>
              <w:jc w:val="left"/>
              <w:rPr>
                <w:sz w:val="20"/>
                <w:szCs w:val="20"/>
                <w:lang w:val="es-ES"/>
              </w:rPr>
            </w:pPr>
            <w:r>
              <w:rPr>
                <w:i/>
                <w:iCs/>
                <w:sz w:val="20"/>
                <w:szCs w:val="20"/>
                <w:lang w:val="es-ES"/>
              </w:rPr>
              <w:t>Plan nacional de recuperación y reciclaje</w:t>
            </w:r>
            <w:r>
              <w:rPr>
                <w:sz w:val="20"/>
                <w:szCs w:val="20"/>
                <w:lang w:val="es-ES"/>
              </w:rPr>
              <w:t>:</w:t>
            </w:r>
          </w:p>
          <w:p w14:paraId="61A33961" w14:textId="18B79A47" w:rsidR="00AD2E11" w:rsidRPr="002D2ED7" w:rsidRDefault="006A30FD" w:rsidP="00F30178">
            <w:pPr>
              <w:pStyle w:val="ListParagraph"/>
              <w:shd w:val="clear" w:color="auto" w:fill="FFFFFF" w:themeFill="background1"/>
              <w:spacing w:before="20" w:after="20"/>
              <w:ind w:left="179"/>
              <w:jc w:val="left"/>
              <w:rPr>
                <w:sz w:val="20"/>
                <w:szCs w:val="20"/>
                <w:lang w:val="es-ES"/>
              </w:rPr>
            </w:pPr>
            <w:r>
              <w:rPr>
                <w:sz w:val="20"/>
                <w:szCs w:val="20"/>
                <w:lang w:val="es-ES"/>
              </w:rPr>
              <w:t xml:space="preserve">Puesta en práctica de los sistemas de recuperación mediante una evaluación de necesidades para elaborar un modelo de gestión y un marco de sostenibilidad; y un inventario de equipos que contienen HCFC; </w:t>
            </w:r>
          </w:p>
          <w:p w14:paraId="17B685FB" w14:textId="609C842D" w:rsidR="006A30FD" w:rsidRPr="002D2ED7" w:rsidRDefault="006A30FD" w:rsidP="003411DA">
            <w:pPr>
              <w:pStyle w:val="ListParagraph"/>
              <w:numPr>
                <w:ilvl w:val="0"/>
                <w:numId w:val="21"/>
              </w:numPr>
              <w:shd w:val="clear" w:color="auto" w:fill="FFFFFF" w:themeFill="background1"/>
              <w:spacing w:before="20" w:after="20"/>
              <w:ind w:left="179" w:hanging="179"/>
              <w:jc w:val="left"/>
              <w:rPr>
                <w:sz w:val="20"/>
                <w:szCs w:val="20"/>
                <w:lang w:val="es-ES"/>
              </w:rPr>
            </w:pPr>
            <w:r>
              <w:rPr>
                <w:sz w:val="20"/>
                <w:szCs w:val="20"/>
                <w:lang w:val="es-ES"/>
              </w:rPr>
              <w:t>Adquisición por fases de equipos para poner en práctica los sistemas de recuperación;</w:t>
            </w:r>
            <w:r>
              <w:rPr>
                <w:sz w:val="20"/>
                <w:szCs w:val="20"/>
                <w:vertAlign w:val="superscript"/>
              </w:rPr>
              <w:footnoteReference w:id="16"/>
            </w:r>
            <w:r>
              <w:rPr>
                <w:sz w:val="20"/>
                <w:szCs w:val="20"/>
                <w:lang w:val="es-ES"/>
              </w:rPr>
              <w:t xml:space="preserve"> </w:t>
            </w:r>
          </w:p>
          <w:p w14:paraId="503EA8B4" w14:textId="5CD025A5" w:rsidR="006A30FD" w:rsidRPr="002D2ED7" w:rsidRDefault="006A30FD" w:rsidP="003411DA">
            <w:pPr>
              <w:pStyle w:val="ListParagraph"/>
              <w:numPr>
                <w:ilvl w:val="0"/>
                <w:numId w:val="21"/>
              </w:numPr>
              <w:shd w:val="clear" w:color="auto" w:fill="FFFFFF" w:themeFill="background1"/>
              <w:spacing w:before="20" w:after="20"/>
              <w:ind w:left="179" w:hanging="179"/>
              <w:jc w:val="left"/>
              <w:rPr>
                <w:sz w:val="20"/>
                <w:szCs w:val="20"/>
                <w:lang w:val="es-ES"/>
              </w:rPr>
            </w:pPr>
            <w:r>
              <w:rPr>
                <w:sz w:val="20"/>
                <w:szCs w:val="20"/>
                <w:lang w:val="es-ES"/>
              </w:rPr>
              <w:t>Incorporación de prácticas de recuperación en el marco nacional de certificación de las personas técnicas;</w:t>
            </w:r>
          </w:p>
          <w:p w14:paraId="0EDAD5EA" w14:textId="77777777" w:rsidR="006A30FD" w:rsidRPr="002D2ED7" w:rsidRDefault="006A30FD" w:rsidP="003411DA">
            <w:pPr>
              <w:pStyle w:val="ListParagraph"/>
              <w:numPr>
                <w:ilvl w:val="0"/>
                <w:numId w:val="21"/>
              </w:numPr>
              <w:shd w:val="clear" w:color="auto" w:fill="FFFFFF" w:themeFill="background1"/>
              <w:spacing w:before="20" w:after="20"/>
              <w:ind w:left="179" w:hanging="179"/>
              <w:jc w:val="left"/>
              <w:rPr>
                <w:sz w:val="20"/>
                <w:szCs w:val="20"/>
                <w:lang w:val="es-ES"/>
              </w:rPr>
            </w:pPr>
            <w:r>
              <w:rPr>
                <w:sz w:val="20"/>
                <w:szCs w:val="20"/>
                <w:lang w:val="es-ES"/>
              </w:rPr>
              <w:t xml:space="preserve">Establecimiento de procedimientos de inspección coordinados; y establecimiento de un sistema de seguimiento y etiquetado de equipos; </w:t>
            </w:r>
          </w:p>
          <w:p w14:paraId="7C4D2149" w14:textId="77777777" w:rsidR="006A30FD" w:rsidRPr="002D2ED7" w:rsidRDefault="006A30FD" w:rsidP="003411DA">
            <w:pPr>
              <w:pStyle w:val="ListParagraph"/>
              <w:numPr>
                <w:ilvl w:val="0"/>
                <w:numId w:val="21"/>
              </w:numPr>
              <w:shd w:val="clear" w:color="auto" w:fill="FFFFFF" w:themeFill="background1"/>
              <w:spacing w:before="20" w:after="20"/>
              <w:ind w:left="179" w:hanging="179"/>
              <w:jc w:val="left"/>
              <w:rPr>
                <w:sz w:val="20"/>
                <w:szCs w:val="20"/>
                <w:lang w:val="es-ES"/>
              </w:rPr>
            </w:pPr>
            <w:r>
              <w:rPr>
                <w:sz w:val="20"/>
                <w:szCs w:val="20"/>
                <w:lang w:val="es-ES"/>
              </w:rPr>
              <w:t xml:space="preserve">Protocolos de mantenimiento, almacenamiento, uso final y presentación de informes; y </w:t>
            </w:r>
          </w:p>
          <w:p w14:paraId="3602DEF6" w14:textId="18717426" w:rsidR="006A30FD" w:rsidRPr="002D2ED7" w:rsidRDefault="006A30FD" w:rsidP="003411DA">
            <w:pPr>
              <w:pStyle w:val="ListParagraph"/>
              <w:numPr>
                <w:ilvl w:val="0"/>
                <w:numId w:val="21"/>
              </w:numPr>
              <w:shd w:val="clear" w:color="auto" w:fill="FFFFFF" w:themeFill="background1"/>
              <w:spacing w:before="20" w:after="20"/>
              <w:ind w:left="179" w:hanging="179"/>
              <w:jc w:val="left"/>
              <w:rPr>
                <w:sz w:val="20"/>
                <w:szCs w:val="20"/>
                <w:lang w:val="es-ES"/>
              </w:rPr>
            </w:pPr>
            <w:r>
              <w:rPr>
                <w:sz w:val="20"/>
                <w:szCs w:val="20"/>
                <w:lang w:val="es-ES"/>
              </w:rPr>
              <w:t>Capacitación de al menos 15 personas técnicas (con un objetivo del 5 % de mujeres) en recuperación, gestión de bombonas, detección y prevención de fugas, manipulación segura de refrigerantes de bajo PCA, mantenimiento de registros y presentación de informes.</w:t>
            </w:r>
          </w:p>
        </w:tc>
        <w:tc>
          <w:tcPr>
            <w:tcW w:w="684" w:type="pct"/>
          </w:tcPr>
          <w:p w14:paraId="27305D82" w14:textId="77777777" w:rsidR="006A30FD" w:rsidRPr="00E02B33" w:rsidRDefault="006A30FD" w:rsidP="003411DA">
            <w:pPr>
              <w:spacing w:before="20" w:after="20"/>
              <w:jc w:val="center"/>
              <w:rPr>
                <w:sz w:val="20"/>
                <w:szCs w:val="20"/>
              </w:rPr>
            </w:pPr>
            <w:r>
              <w:rPr>
                <w:sz w:val="20"/>
                <w:szCs w:val="20"/>
              </w:rPr>
              <w:t>ONUDI</w:t>
            </w:r>
          </w:p>
        </w:tc>
        <w:tc>
          <w:tcPr>
            <w:tcW w:w="476" w:type="pct"/>
          </w:tcPr>
          <w:p w14:paraId="05800B6A" w14:textId="23FCF2F7" w:rsidR="006A30FD" w:rsidRPr="00E02B33" w:rsidRDefault="0060340A" w:rsidP="003411DA">
            <w:pPr>
              <w:spacing w:before="20" w:after="20"/>
              <w:jc w:val="right"/>
              <w:rPr>
                <w:sz w:val="20"/>
                <w:szCs w:val="20"/>
              </w:rPr>
            </w:pPr>
            <w:r>
              <w:rPr>
                <w:sz w:val="20"/>
                <w:szCs w:val="20"/>
              </w:rPr>
              <w:t>57.300</w:t>
            </w:r>
          </w:p>
        </w:tc>
        <w:tc>
          <w:tcPr>
            <w:tcW w:w="473" w:type="pct"/>
          </w:tcPr>
          <w:p w14:paraId="1C42840D" w14:textId="4471D2E9" w:rsidR="006A30FD" w:rsidRPr="00E02B33" w:rsidRDefault="005635ED" w:rsidP="003411DA">
            <w:pPr>
              <w:spacing w:before="20" w:after="20"/>
              <w:jc w:val="right"/>
              <w:rPr>
                <w:sz w:val="20"/>
                <w:szCs w:val="20"/>
              </w:rPr>
            </w:pPr>
            <w:r>
              <w:rPr>
                <w:sz w:val="20"/>
                <w:szCs w:val="20"/>
              </w:rPr>
              <w:t xml:space="preserve">  35.000</w:t>
            </w:r>
          </w:p>
        </w:tc>
      </w:tr>
      <w:tr w:rsidR="006A30FD" w:rsidRPr="00E02B33" w14:paraId="60770611" w14:textId="77777777" w:rsidTr="00846DC1">
        <w:trPr>
          <w:trHeight w:val="368"/>
        </w:trPr>
        <w:tc>
          <w:tcPr>
            <w:tcW w:w="680" w:type="pct"/>
            <w:tcBorders>
              <w:bottom w:val="single" w:sz="4" w:space="0" w:color="auto"/>
            </w:tcBorders>
          </w:tcPr>
          <w:p w14:paraId="67F41771" w14:textId="77777777" w:rsidR="006A30FD" w:rsidRPr="002D2ED7" w:rsidRDefault="006A30FD" w:rsidP="00F30178">
            <w:pPr>
              <w:widowControl w:val="0"/>
              <w:shd w:val="clear" w:color="auto" w:fill="FFFFFF" w:themeFill="background1"/>
              <w:spacing w:before="20" w:after="20"/>
              <w:jc w:val="left"/>
              <w:rPr>
                <w:i/>
                <w:iCs/>
                <w:sz w:val="20"/>
                <w:szCs w:val="20"/>
                <w:lang w:val="es-ES"/>
              </w:rPr>
            </w:pPr>
            <w:r>
              <w:rPr>
                <w:rStyle w:val="s1"/>
                <w:rFonts w:eastAsiaTheme="majorEastAsia"/>
                <w:sz w:val="20"/>
                <w:szCs w:val="20"/>
                <w:lang w:val="es-ES"/>
              </w:rPr>
              <w:t>Sensibilización pública y participación de las personas jóvenes</w:t>
            </w:r>
          </w:p>
        </w:tc>
        <w:tc>
          <w:tcPr>
            <w:tcW w:w="2686" w:type="pct"/>
            <w:tcBorders>
              <w:bottom w:val="single" w:sz="4" w:space="0" w:color="auto"/>
            </w:tcBorders>
          </w:tcPr>
          <w:p w14:paraId="1A3436B3" w14:textId="4FC3EE06" w:rsidR="006A30FD" w:rsidRPr="002D2ED7" w:rsidRDefault="006A30FD" w:rsidP="00F30178">
            <w:pPr>
              <w:widowControl w:val="0"/>
              <w:shd w:val="clear" w:color="auto" w:fill="FFFFFF" w:themeFill="background1"/>
              <w:spacing w:before="20" w:after="20"/>
              <w:jc w:val="left"/>
              <w:rPr>
                <w:i/>
                <w:iCs/>
                <w:sz w:val="20"/>
                <w:szCs w:val="20"/>
                <w:lang w:val="es-ES"/>
              </w:rPr>
            </w:pPr>
            <w:r>
              <w:rPr>
                <w:i/>
                <w:iCs/>
                <w:sz w:val="20"/>
                <w:szCs w:val="20"/>
                <w:lang w:val="es-ES"/>
              </w:rPr>
              <w:t xml:space="preserve">Sensibilización pública, programa para personas jóvenes y campaña de sensibilización dirigida a las mujeres: </w:t>
            </w:r>
          </w:p>
          <w:p w14:paraId="6023330A" w14:textId="4205D61A" w:rsidR="006A30FD" w:rsidRPr="002D2ED7" w:rsidRDefault="006A30FD" w:rsidP="00F30178">
            <w:pPr>
              <w:pStyle w:val="ListParagraph"/>
              <w:widowControl w:val="0"/>
              <w:numPr>
                <w:ilvl w:val="0"/>
                <w:numId w:val="21"/>
              </w:numPr>
              <w:shd w:val="clear" w:color="auto" w:fill="FFFFFF" w:themeFill="background1"/>
              <w:spacing w:before="20" w:after="20"/>
              <w:ind w:left="179" w:hanging="179"/>
              <w:jc w:val="left"/>
              <w:rPr>
                <w:sz w:val="20"/>
                <w:szCs w:val="20"/>
                <w:lang w:val="es-ES"/>
              </w:rPr>
            </w:pPr>
            <w:r>
              <w:rPr>
                <w:sz w:val="20"/>
                <w:szCs w:val="20"/>
                <w:lang w:val="es-ES"/>
              </w:rPr>
              <w:t xml:space="preserve">Iniciativas de sensibilización pública en ambas islas sobre la protección del ozono y las alternativas compatibles con el clima, las carreras profesionales en el sector de la refrigeración, la climatización y la aire acondicionado (RAC) y las tecnologías de bajo PCA, incluida la participación pública relacionada con la ejecución de la etapa II, así como la elaboración y distribución de materiales de sensibilización; </w:t>
            </w:r>
          </w:p>
          <w:p w14:paraId="4D898175" w14:textId="3B93B6E5" w:rsidR="006A30FD" w:rsidRPr="002D2ED7" w:rsidRDefault="00F94052" w:rsidP="00F30178">
            <w:pPr>
              <w:pStyle w:val="ListParagraph"/>
              <w:widowControl w:val="0"/>
              <w:numPr>
                <w:ilvl w:val="0"/>
                <w:numId w:val="21"/>
              </w:numPr>
              <w:shd w:val="clear" w:color="auto" w:fill="FFFFFF" w:themeFill="background1"/>
              <w:spacing w:before="20" w:after="20"/>
              <w:ind w:left="179" w:hanging="179"/>
              <w:jc w:val="left"/>
              <w:rPr>
                <w:sz w:val="20"/>
                <w:szCs w:val="20"/>
                <w:lang w:val="es-ES"/>
              </w:rPr>
            </w:pPr>
            <w:r>
              <w:rPr>
                <w:sz w:val="20"/>
                <w:szCs w:val="20"/>
                <w:lang w:val="es-ES"/>
              </w:rPr>
              <w:t>Actividades de participación juvenil</w:t>
            </w:r>
            <w:r>
              <w:rPr>
                <w:sz w:val="20"/>
                <w:szCs w:val="20"/>
              </w:rPr>
              <w:footnoteReference w:id="17"/>
            </w:r>
            <w:r>
              <w:rPr>
                <w:sz w:val="20"/>
                <w:szCs w:val="20"/>
                <w:lang w:val="es-ES"/>
              </w:rPr>
              <w:t xml:space="preserve"> , programa para formar a personas jóvenes embajadoras en temas relacionados con el ozono y el clima, incluyendo una caja de herramientas educativas y la producción de vídeos </w:t>
            </w:r>
            <w:r>
              <w:rPr>
                <w:sz w:val="20"/>
                <w:szCs w:val="20"/>
                <w:lang w:val="es-ES"/>
              </w:rPr>
              <w:lastRenderedPageBreak/>
              <w:t>cortos; y actividades de extensión específicas para incentivar la participación de las mujeres en el sector de la refrigeración y el aire acondicionado (RAC), incluyendo un período de sensibilización profesional dirigido a alumnas de institutos de secundaria e instituciones de formación técnica y vocacional participantes, en el que se describen las trayectorias profesionales técnicas en el sector RAC.</w:t>
            </w:r>
          </w:p>
        </w:tc>
        <w:tc>
          <w:tcPr>
            <w:tcW w:w="684" w:type="pct"/>
            <w:tcBorders>
              <w:bottom w:val="single" w:sz="4" w:space="0" w:color="auto"/>
            </w:tcBorders>
          </w:tcPr>
          <w:p w14:paraId="2F38389A" w14:textId="77777777" w:rsidR="006A30FD" w:rsidRPr="00E02B33" w:rsidRDefault="006A30FD" w:rsidP="00F30178">
            <w:pPr>
              <w:widowControl w:val="0"/>
              <w:spacing w:before="20" w:after="20"/>
              <w:jc w:val="center"/>
              <w:rPr>
                <w:sz w:val="20"/>
                <w:szCs w:val="20"/>
              </w:rPr>
            </w:pPr>
            <w:r>
              <w:rPr>
                <w:sz w:val="20"/>
                <w:szCs w:val="20"/>
              </w:rPr>
              <w:lastRenderedPageBreak/>
              <w:t>PNUMA</w:t>
            </w:r>
          </w:p>
        </w:tc>
        <w:tc>
          <w:tcPr>
            <w:tcW w:w="476" w:type="pct"/>
          </w:tcPr>
          <w:p w14:paraId="1AE03048" w14:textId="352DFF27" w:rsidR="006A30FD" w:rsidRPr="00253FE6" w:rsidRDefault="0060340A" w:rsidP="00F30178">
            <w:pPr>
              <w:widowControl w:val="0"/>
              <w:shd w:val="clear" w:color="auto" w:fill="FFFFFF" w:themeFill="background1"/>
              <w:spacing w:before="20" w:after="20"/>
              <w:jc w:val="right"/>
              <w:rPr>
                <w:sz w:val="20"/>
                <w:szCs w:val="20"/>
              </w:rPr>
            </w:pPr>
            <w:r>
              <w:rPr>
                <w:sz w:val="20"/>
                <w:szCs w:val="20"/>
              </w:rPr>
              <w:t>9.530</w:t>
            </w:r>
          </w:p>
        </w:tc>
        <w:tc>
          <w:tcPr>
            <w:tcW w:w="473" w:type="pct"/>
          </w:tcPr>
          <w:p w14:paraId="25A906CF" w14:textId="300EEA02" w:rsidR="006A30FD" w:rsidRPr="00253FE6" w:rsidRDefault="0060340A" w:rsidP="00F30178">
            <w:pPr>
              <w:widowControl w:val="0"/>
              <w:shd w:val="clear" w:color="auto" w:fill="FFFFFF" w:themeFill="background1"/>
              <w:spacing w:before="20" w:after="20"/>
              <w:jc w:val="right"/>
              <w:rPr>
                <w:sz w:val="20"/>
                <w:szCs w:val="20"/>
              </w:rPr>
            </w:pPr>
            <w:r>
              <w:rPr>
                <w:sz w:val="20"/>
                <w:szCs w:val="20"/>
              </w:rPr>
              <w:t>5.000</w:t>
            </w:r>
          </w:p>
        </w:tc>
      </w:tr>
      <w:tr w:rsidR="006A30FD" w:rsidRPr="00E02B33" w14:paraId="59B39FEE" w14:textId="77777777" w:rsidTr="00846DC1">
        <w:trPr>
          <w:trHeight w:val="368"/>
        </w:trPr>
        <w:tc>
          <w:tcPr>
            <w:tcW w:w="680" w:type="pct"/>
            <w:tcBorders>
              <w:bottom w:val="single" w:sz="4" w:space="0" w:color="auto"/>
            </w:tcBorders>
          </w:tcPr>
          <w:p w14:paraId="5130B655" w14:textId="77777777" w:rsidR="006A30FD" w:rsidRPr="00E02B33" w:rsidRDefault="006A30FD" w:rsidP="00F30178">
            <w:pPr>
              <w:widowControl w:val="0"/>
              <w:shd w:val="clear" w:color="auto" w:fill="FFFFFF" w:themeFill="background1"/>
              <w:spacing w:before="20" w:after="20"/>
              <w:jc w:val="left"/>
              <w:rPr>
                <w:sz w:val="20"/>
                <w:szCs w:val="20"/>
              </w:rPr>
            </w:pPr>
            <w:r>
              <w:rPr>
                <w:sz w:val="20"/>
                <w:szCs w:val="20"/>
              </w:rPr>
              <w:t>Eficiencia energética</w:t>
            </w:r>
          </w:p>
        </w:tc>
        <w:tc>
          <w:tcPr>
            <w:tcW w:w="2686" w:type="pct"/>
            <w:tcBorders>
              <w:bottom w:val="single" w:sz="4" w:space="0" w:color="auto"/>
            </w:tcBorders>
          </w:tcPr>
          <w:p w14:paraId="54CFB3E5" w14:textId="63DB2063" w:rsidR="006A30FD" w:rsidRPr="002D2ED7" w:rsidRDefault="006A30FD" w:rsidP="00F30178">
            <w:pPr>
              <w:widowControl w:val="0"/>
              <w:shd w:val="clear" w:color="auto" w:fill="FFFFFF" w:themeFill="background1"/>
              <w:spacing w:before="20" w:after="20"/>
              <w:jc w:val="left"/>
              <w:rPr>
                <w:i/>
                <w:iCs/>
                <w:sz w:val="20"/>
                <w:szCs w:val="20"/>
                <w:lang w:val="es-ES"/>
              </w:rPr>
            </w:pPr>
            <w:r>
              <w:rPr>
                <w:i/>
                <w:iCs/>
                <w:sz w:val="20"/>
                <w:szCs w:val="20"/>
                <w:lang w:val="es-ES"/>
              </w:rPr>
              <w:t xml:space="preserve">Actividades para mantener la eficiencia energética en el sector de servicio y mantenimiento de equipos de refrigeración y aire acondicionado: </w:t>
            </w:r>
            <w:r>
              <w:rPr>
                <w:sz w:val="20"/>
                <w:szCs w:val="20"/>
                <w:lang w:val="es-ES"/>
              </w:rPr>
              <w:t>(véase el párrafo 19 anterior)</w:t>
            </w:r>
          </w:p>
        </w:tc>
        <w:tc>
          <w:tcPr>
            <w:tcW w:w="684" w:type="pct"/>
            <w:tcBorders>
              <w:bottom w:val="single" w:sz="4" w:space="0" w:color="auto"/>
            </w:tcBorders>
          </w:tcPr>
          <w:p w14:paraId="3F3529F0" w14:textId="77777777" w:rsidR="006A30FD" w:rsidRPr="00E02B33" w:rsidRDefault="006A30FD" w:rsidP="00F30178">
            <w:pPr>
              <w:widowControl w:val="0"/>
              <w:spacing w:before="20" w:after="20"/>
              <w:jc w:val="center"/>
              <w:rPr>
                <w:sz w:val="20"/>
                <w:szCs w:val="20"/>
              </w:rPr>
            </w:pPr>
            <w:r>
              <w:rPr>
                <w:sz w:val="20"/>
                <w:szCs w:val="20"/>
              </w:rPr>
              <w:t>PNUMA</w:t>
            </w:r>
          </w:p>
        </w:tc>
        <w:tc>
          <w:tcPr>
            <w:tcW w:w="476" w:type="pct"/>
          </w:tcPr>
          <w:p w14:paraId="7596BC8B" w14:textId="3A6671F0" w:rsidR="006A30FD" w:rsidRPr="00E02B33" w:rsidRDefault="006A30FD" w:rsidP="00F30178">
            <w:pPr>
              <w:widowControl w:val="0"/>
              <w:shd w:val="clear" w:color="auto" w:fill="FFFFFF" w:themeFill="background1"/>
              <w:spacing w:before="20" w:after="20"/>
              <w:jc w:val="right"/>
              <w:rPr>
                <w:sz w:val="20"/>
                <w:szCs w:val="20"/>
              </w:rPr>
            </w:pPr>
            <w:r>
              <w:rPr>
                <w:sz w:val="20"/>
                <w:szCs w:val="20"/>
              </w:rPr>
              <w:t>100.000</w:t>
            </w:r>
          </w:p>
        </w:tc>
        <w:tc>
          <w:tcPr>
            <w:tcW w:w="473" w:type="pct"/>
          </w:tcPr>
          <w:p w14:paraId="32CC10F7" w14:textId="3C43E2E1" w:rsidR="006A30FD" w:rsidRPr="00E02B33" w:rsidRDefault="006A30FD" w:rsidP="00F30178">
            <w:pPr>
              <w:widowControl w:val="0"/>
              <w:shd w:val="clear" w:color="auto" w:fill="FFFFFF" w:themeFill="background1"/>
              <w:spacing w:before="20" w:after="20"/>
              <w:jc w:val="right"/>
              <w:rPr>
                <w:sz w:val="20"/>
                <w:szCs w:val="20"/>
              </w:rPr>
            </w:pPr>
            <w:r>
              <w:rPr>
                <w:sz w:val="20"/>
                <w:szCs w:val="20"/>
              </w:rPr>
              <w:t>40.000</w:t>
            </w:r>
          </w:p>
        </w:tc>
      </w:tr>
      <w:tr w:rsidR="006A30FD" w:rsidRPr="00E02B33" w14:paraId="6F7EFF64" w14:textId="77777777" w:rsidTr="00846DC1">
        <w:trPr>
          <w:trHeight w:val="368"/>
        </w:trPr>
        <w:tc>
          <w:tcPr>
            <w:tcW w:w="680" w:type="pct"/>
            <w:tcBorders>
              <w:bottom w:val="single" w:sz="4" w:space="0" w:color="auto"/>
            </w:tcBorders>
          </w:tcPr>
          <w:p w14:paraId="5B0B633F" w14:textId="77777777" w:rsidR="006A30FD" w:rsidRPr="00E02B33" w:rsidRDefault="006A30FD" w:rsidP="00F30178">
            <w:pPr>
              <w:widowControl w:val="0"/>
              <w:shd w:val="clear" w:color="auto" w:fill="FFFFFF" w:themeFill="background1"/>
              <w:spacing w:before="20" w:after="20"/>
              <w:jc w:val="left"/>
              <w:rPr>
                <w:sz w:val="20"/>
                <w:szCs w:val="20"/>
              </w:rPr>
            </w:pPr>
            <w:r>
              <w:rPr>
                <w:sz w:val="20"/>
                <w:szCs w:val="20"/>
              </w:rPr>
              <w:t>Seguimiento y notificación</w:t>
            </w:r>
          </w:p>
        </w:tc>
        <w:tc>
          <w:tcPr>
            <w:tcW w:w="2686" w:type="pct"/>
            <w:tcBorders>
              <w:bottom w:val="single" w:sz="4" w:space="0" w:color="auto"/>
            </w:tcBorders>
          </w:tcPr>
          <w:p w14:paraId="5EEB5668" w14:textId="4005950A" w:rsidR="006A30FD" w:rsidRPr="002D2ED7" w:rsidRDefault="006A30FD" w:rsidP="00F30178">
            <w:pPr>
              <w:widowControl w:val="0"/>
              <w:shd w:val="clear" w:color="auto" w:fill="FFFFFF" w:themeFill="background1"/>
              <w:spacing w:before="20" w:after="20"/>
              <w:jc w:val="left"/>
              <w:rPr>
                <w:sz w:val="20"/>
                <w:szCs w:val="20"/>
                <w:lang w:val="es-ES"/>
              </w:rPr>
            </w:pPr>
            <w:r>
              <w:rPr>
                <w:i/>
                <w:iCs/>
                <w:sz w:val="20"/>
                <w:szCs w:val="20"/>
                <w:lang w:val="es-ES"/>
              </w:rPr>
              <w:t>Actividades de supervisión del proyecto</w:t>
            </w:r>
            <w:r>
              <w:rPr>
                <w:sz w:val="20"/>
                <w:szCs w:val="20"/>
                <w:lang w:val="es-ES"/>
              </w:rPr>
              <w:t>: Incluidos el equipo de trabajo del proyecto y las personas consultoras (USD 9.000), los pasajes y traslados nacionales (USD 3.200), las reuniones y los talleres (USD 2.700) y los informes (USD 6.670)</w:t>
            </w:r>
          </w:p>
        </w:tc>
        <w:tc>
          <w:tcPr>
            <w:tcW w:w="684" w:type="pct"/>
            <w:tcBorders>
              <w:bottom w:val="single" w:sz="4" w:space="0" w:color="auto"/>
            </w:tcBorders>
          </w:tcPr>
          <w:p w14:paraId="055EAA8D" w14:textId="77777777" w:rsidR="006A30FD" w:rsidRPr="00E02B33" w:rsidRDefault="006A30FD" w:rsidP="00F30178">
            <w:pPr>
              <w:widowControl w:val="0"/>
              <w:spacing w:before="20" w:after="20"/>
              <w:jc w:val="center"/>
              <w:rPr>
                <w:sz w:val="20"/>
                <w:szCs w:val="20"/>
              </w:rPr>
            </w:pPr>
            <w:r>
              <w:rPr>
                <w:sz w:val="20"/>
                <w:szCs w:val="20"/>
              </w:rPr>
              <w:t>PNUMA</w:t>
            </w:r>
          </w:p>
        </w:tc>
        <w:tc>
          <w:tcPr>
            <w:tcW w:w="476" w:type="pct"/>
          </w:tcPr>
          <w:p w14:paraId="1BC1A3BD" w14:textId="5FE65773" w:rsidR="006A30FD" w:rsidRPr="00E02B33" w:rsidRDefault="003062E7" w:rsidP="00F30178">
            <w:pPr>
              <w:widowControl w:val="0"/>
              <w:shd w:val="clear" w:color="auto" w:fill="FFFFFF" w:themeFill="background1"/>
              <w:spacing w:before="20" w:after="20"/>
              <w:jc w:val="right"/>
              <w:rPr>
                <w:sz w:val="20"/>
                <w:szCs w:val="20"/>
              </w:rPr>
            </w:pPr>
            <w:r>
              <w:rPr>
                <w:sz w:val="20"/>
                <w:szCs w:val="20"/>
              </w:rPr>
              <w:t>18.570</w:t>
            </w:r>
          </w:p>
        </w:tc>
        <w:tc>
          <w:tcPr>
            <w:tcW w:w="473" w:type="pct"/>
          </w:tcPr>
          <w:p w14:paraId="6EB34C32" w14:textId="5B10023C" w:rsidR="006A30FD" w:rsidRPr="00E02B33" w:rsidRDefault="003062E7" w:rsidP="00F30178">
            <w:pPr>
              <w:widowControl w:val="0"/>
              <w:shd w:val="clear" w:color="auto" w:fill="FFFFFF" w:themeFill="background1"/>
              <w:spacing w:before="20" w:after="20"/>
              <w:jc w:val="right"/>
              <w:rPr>
                <w:sz w:val="20"/>
                <w:szCs w:val="20"/>
              </w:rPr>
            </w:pPr>
            <w:r>
              <w:rPr>
                <w:sz w:val="20"/>
                <w:szCs w:val="20"/>
              </w:rPr>
              <w:t>9.000</w:t>
            </w:r>
          </w:p>
        </w:tc>
      </w:tr>
      <w:tr w:rsidR="00A87587" w:rsidRPr="00E02B33" w14:paraId="2CA42E4D" w14:textId="77777777" w:rsidTr="00846DC1">
        <w:trPr>
          <w:trHeight w:val="225"/>
        </w:trPr>
        <w:tc>
          <w:tcPr>
            <w:tcW w:w="680" w:type="pct"/>
            <w:tcBorders>
              <w:top w:val="single" w:sz="4" w:space="0" w:color="auto"/>
              <w:left w:val="single" w:sz="4" w:space="0" w:color="auto"/>
              <w:bottom w:val="single" w:sz="4" w:space="0" w:color="auto"/>
              <w:right w:val="nil"/>
            </w:tcBorders>
          </w:tcPr>
          <w:p w14:paraId="76188873" w14:textId="77777777" w:rsidR="00A87587" w:rsidRPr="00E02B33" w:rsidRDefault="00A87587" w:rsidP="00F30178">
            <w:pPr>
              <w:widowControl w:val="0"/>
              <w:spacing w:before="20" w:after="20"/>
              <w:jc w:val="left"/>
              <w:rPr>
                <w:b/>
                <w:bCs/>
                <w:sz w:val="20"/>
                <w:szCs w:val="20"/>
              </w:rPr>
            </w:pPr>
          </w:p>
        </w:tc>
        <w:tc>
          <w:tcPr>
            <w:tcW w:w="2686" w:type="pct"/>
            <w:tcBorders>
              <w:top w:val="single" w:sz="4" w:space="0" w:color="auto"/>
              <w:left w:val="single" w:sz="4" w:space="0" w:color="auto"/>
              <w:bottom w:val="single" w:sz="4" w:space="0" w:color="auto"/>
              <w:right w:val="nil"/>
            </w:tcBorders>
          </w:tcPr>
          <w:p w14:paraId="26379DFD" w14:textId="77777777" w:rsidR="00A87587" w:rsidRPr="00E02B33" w:rsidRDefault="00A87587" w:rsidP="00F30178">
            <w:pPr>
              <w:widowControl w:val="0"/>
              <w:spacing w:before="20" w:after="20"/>
              <w:jc w:val="left"/>
              <w:rPr>
                <w:b/>
                <w:bCs/>
                <w:sz w:val="20"/>
                <w:szCs w:val="20"/>
              </w:rPr>
            </w:pPr>
            <w:r>
              <w:rPr>
                <w:b/>
                <w:bCs/>
                <w:sz w:val="20"/>
                <w:szCs w:val="20"/>
              </w:rPr>
              <w:t>Subtotal PNUMA</w:t>
            </w:r>
          </w:p>
        </w:tc>
        <w:tc>
          <w:tcPr>
            <w:tcW w:w="684" w:type="pct"/>
            <w:tcBorders>
              <w:top w:val="single" w:sz="4" w:space="0" w:color="auto"/>
              <w:left w:val="nil"/>
              <w:bottom w:val="single" w:sz="4" w:space="0" w:color="auto"/>
              <w:right w:val="single" w:sz="4" w:space="0" w:color="auto"/>
            </w:tcBorders>
            <w:vAlign w:val="center"/>
          </w:tcPr>
          <w:p w14:paraId="3EB4B047" w14:textId="77777777" w:rsidR="00A87587" w:rsidRPr="00E02B33" w:rsidRDefault="00A87587" w:rsidP="00F30178">
            <w:pPr>
              <w:widowControl w:val="0"/>
              <w:spacing w:before="20" w:after="20"/>
              <w:jc w:val="center"/>
              <w:rPr>
                <w:b/>
                <w:bCs/>
                <w:sz w:val="20"/>
                <w:szCs w:val="20"/>
              </w:rPr>
            </w:pPr>
          </w:p>
        </w:tc>
        <w:tc>
          <w:tcPr>
            <w:tcW w:w="476" w:type="pct"/>
            <w:tcBorders>
              <w:left w:val="single" w:sz="4" w:space="0" w:color="auto"/>
            </w:tcBorders>
          </w:tcPr>
          <w:p w14:paraId="34DB6491" w14:textId="27EC4B7D" w:rsidR="00A87587" w:rsidRPr="00E02B33" w:rsidRDefault="005F1564" w:rsidP="00F30178">
            <w:pPr>
              <w:widowControl w:val="0"/>
              <w:spacing w:before="20" w:after="20"/>
              <w:jc w:val="right"/>
              <w:rPr>
                <w:b/>
                <w:bCs/>
                <w:sz w:val="20"/>
                <w:szCs w:val="20"/>
              </w:rPr>
            </w:pPr>
            <w:r>
              <w:rPr>
                <w:b/>
                <w:bCs/>
                <w:sz w:val="20"/>
                <w:szCs w:val="20"/>
              </w:rPr>
              <w:t>233.700</w:t>
            </w:r>
          </w:p>
        </w:tc>
        <w:tc>
          <w:tcPr>
            <w:tcW w:w="473" w:type="pct"/>
          </w:tcPr>
          <w:p w14:paraId="5FADE12C" w14:textId="71BF00C7" w:rsidR="00A87587" w:rsidRPr="00E02B33" w:rsidRDefault="00C6479C" w:rsidP="00F30178">
            <w:pPr>
              <w:widowControl w:val="0"/>
              <w:spacing w:before="20" w:after="20"/>
              <w:jc w:val="right"/>
              <w:rPr>
                <w:b/>
                <w:bCs/>
                <w:sz w:val="20"/>
                <w:szCs w:val="20"/>
              </w:rPr>
            </w:pPr>
            <w:r>
              <w:rPr>
                <w:b/>
                <w:bCs/>
                <w:sz w:val="20"/>
                <w:szCs w:val="20"/>
              </w:rPr>
              <w:t>108.900</w:t>
            </w:r>
          </w:p>
        </w:tc>
      </w:tr>
      <w:tr w:rsidR="00A87587" w:rsidRPr="00E02B33" w14:paraId="07F4C9D9" w14:textId="77777777" w:rsidTr="00846DC1">
        <w:trPr>
          <w:trHeight w:val="225"/>
        </w:trPr>
        <w:tc>
          <w:tcPr>
            <w:tcW w:w="680" w:type="pct"/>
            <w:tcBorders>
              <w:top w:val="single" w:sz="4" w:space="0" w:color="auto"/>
              <w:left w:val="single" w:sz="4" w:space="0" w:color="auto"/>
              <w:bottom w:val="single" w:sz="4" w:space="0" w:color="auto"/>
              <w:right w:val="nil"/>
            </w:tcBorders>
          </w:tcPr>
          <w:p w14:paraId="3191073B" w14:textId="77777777" w:rsidR="00A87587" w:rsidRPr="00E02B33" w:rsidRDefault="00A87587" w:rsidP="00F30178">
            <w:pPr>
              <w:widowControl w:val="0"/>
              <w:spacing w:before="20" w:after="20"/>
              <w:jc w:val="left"/>
              <w:rPr>
                <w:b/>
                <w:bCs/>
                <w:sz w:val="20"/>
                <w:szCs w:val="20"/>
              </w:rPr>
            </w:pPr>
          </w:p>
        </w:tc>
        <w:tc>
          <w:tcPr>
            <w:tcW w:w="2686" w:type="pct"/>
            <w:tcBorders>
              <w:top w:val="single" w:sz="4" w:space="0" w:color="auto"/>
              <w:left w:val="single" w:sz="4" w:space="0" w:color="auto"/>
              <w:bottom w:val="single" w:sz="4" w:space="0" w:color="auto"/>
              <w:right w:val="nil"/>
            </w:tcBorders>
          </w:tcPr>
          <w:p w14:paraId="23CF324F" w14:textId="77777777" w:rsidR="00A87587" w:rsidRPr="00E02B33" w:rsidRDefault="00A87587" w:rsidP="00F30178">
            <w:pPr>
              <w:widowControl w:val="0"/>
              <w:spacing w:before="20" w:after="20"/>
              <w:jc w:val="left"/>
              <w:rPr>
                <w:b/>
                <w:bCs/>
                <w:sz w:val="20"/>
                <w:szCs w:val="20"/>
              </w:rPr>
            </w:pPr>
            <w:r>
              <w:rPr>
                <w:b/>
                <w:bCs/>
                <w:sz w:val="20"/>
                <w:szCs w:val="20"/>
              </w:rPr>
              <w:t>Subtotal para la ONUDI</w:t>
            </w:r>
          </w:p>
        </w:tc>
        <w:tc>
          <w:tcPr>
            <w:tcW w:w="684" w:type="pct"/>
            <w:tcBorders>
              <w:top w:val="single" w:sz="4" w:space="0" w:color="auto"/>
              <w:left w:val="nil"/>
              <w:bottom w:val="single" w:sz="4" w:space="0" w:color="auto"/>
              <w:right w:val="single" w:sz="4" w:space="0" w:color="auto"/>
            </w:tcBorders>
          </w:tcPr>
          <w:p w14:paraId="5EC9CC4D" w14:textId="77777777" w:rsidR="00A87587" w:rsidRPr="00E02B33" w:rsidRDefault="00A87587" w:rsidP="00F30178">
            <w:pPr>
              <w:widowControl w:val="0"/>
              <w:spacing w:before="20" w:after="20"/>
              <w:jc w:val="center"/>
              <w:rPr>
                <w:b/>
                <w:bCs/>
                <w:sz w:val="20"/>
                <w:szCs w:val="20"/>
              </w:rPr>
            </w:pPr>
          </w:p>
        </w:tc>
        <w:tc>
          <w:tcPr>
            <w:tcW w:w="476" w:type="pct"/>
            <w:tcBorders>
              <w:left w:val="single" w:sz="4" w:space="0" w:color="auto"/>
            </w:tcBorders>
          </w:tcPr>
          <w:p w14:paraId="7EAF8A60" w14:textId="541AEC60" w:rsidR="00A87587" w:rsidRPr="00E02B33" w:rsidRDefault="00A87587" w:rsidP="00F30178">
            <w:pPr>
              <w:widowControl w:val="0"/>
              <w:spacing w:before="20" w:after="20"/>
              <w:jc w:val="right"/>
              <w:rPr>
                <w:b/>
                <w:bCs/>
                <w:sz w:val="20"/>
                <w:szCs w:val="20"/>
              </w:rPr>
            </w:pPr>
            <w:r>
              <w:rPr>
                <w:b/>
                <w:bCs/>
                <w:sz w:val="20"/>
                <w:szCs w:val="20"/>
              </w:rPr>
              <w:t>57.300</w:t>
            </w:r>
          </w:p>
        </w:tc>
        <w:tc>
          <w:tcPr>
            <w:tcW w:w="473" w:type="pct"/>
          </w:tcPr>
          <w:p w14:paraId="2F5C6E00" w14:textId="044D2FFE" w:rsidR="00A87587" w:rsidRPr="00E02B33" w:rsidRDefault="005635ED" w:rsidP="00F30178">
            <w:pPr>
              <w:widowControl w:val="0"/>
              <w:spacing w:before="20" w:after="20"/>
              <w:jc w:val="right"/>
              <w:rPr>
                <w:b/>
                <w:bCs/>
                <w:sz w:val="20"/>
                <w:szCs w:val="20"/>
              </w:rPr>
            </w:pPr>
            <w:r>
              <w:rPr>
                <w:b/>
                <w:bCs/>
                <w:sz w:val="20"/>
                <w:szCs w:val="20"/>
              </w:rPr>
              <w:t xml:space="preserve">  35.000</w:t>
            </w:r>
          </w:p>
        </w:tc>
      </w:tr>
      <w:tr w:rsidR="006A30FD" w:rsidRPr="00E02B33" w14:paraId="33D0F7E3" w14:textId="77777777" w:rsidTr="00846DC1">
        <w:trPr>
          <w:trHeight w:val="225"/>
        </w:trPr>
        <w:tc>
          <w:tcPr>
            <w:tcW w:w="680" w:type="pct"/>
            <w:tcBorders>
              <w:top w:val="single" w:sz="4" w:space="0" w:color="auto"/>
              <w:left w:val="single" w:sz="4" w:space="0" w:color="auto"/>
              <w:bottom w:val="single" w:sz="4" w:space="0" w:color="auto"/>
              <w:right w:val="nil"/>
            </w:tcBorders>
          </w:tcPr>
          <w:p w14:paraId="54F0471F" w14:textId="77777777" w:rsidR="006A30FD" w:rsidRPr="00E02B33" w:rsidRDefault="006A30FD" w:rsidP="00F30178">
            <w:pPr>
              <w:widowControl w:val="0"/>
              <w:spacing w:before="20" w:after="20"/>
              <w:jc w:val="left"/>
              <w:rPr>
                <w:b/>
                <w:bCs/>
                <w:sz w:val="20"/>
                <w:szCs w:val="20"/>
              </w:rPr>
            </w:pPr>
          </w:p>
        </w:tc>
        <w:tc>
          <w:tcPr>
            <w:tcW w:w="2686" w:type="pct"/>
            <w:tcBorders>
              <w:top w:val="single" w:sz="4" w:space="0" w:color="auto"/>
              <w:left w:val="single" w:sz="4" w:space="0" w:color="auto"/>
              <w:bottom w:val="single" w:sz="4" w:space="0" w:color="auto"/>
              <w:right w:val="nil"/>
            </w:tcBorders>
          </w:tcPr>
          <w:p w14:paraId="20E5606E" w14:textId="77777777" w:rsidR="006A30FD" w:rsidRPr="00E02B33" w:rsidRDefault="006A30FD" w:rsidP="00F30178">
            <w:pPr>
              <w:widowControl w:val="0"/>
              <w:spacing w:before="20" w:after="20"/>
              <w:jc w:val="left"/>
              <w:rPr>
                <w:b/>
                <w:sz w:val="20"/>
                <w:szCs w:val="20"/>
              </w:rPr>
            </w:pPr>
            <w:r>
              <w:rPr>
                <w:b/>
                <w:bCs/>
                <w:sz w:val="20"/>
                <w:szCs w:val="20"/>
              </w:rPr>
              <w:t>Total</w:t>
            </w:r>
          </w:p>
        </w:tc>
        <w:tc>
          <w:tcPr>
            <w:tcW w:w="684" w:type="pct"/>
            <w:tcBorders>
              <w:top w:val="single" w:sz="4" w:space="0" w:color="auto"/>
              <w:left w:val="nil"/>
              <w:bottom w:val="single" w:sz="4" w:space="0" w:color="auto"/>
              <w:right w:val="single" w:sz="4" w:space="0" w:color="auto"/>
            </w:tcBorders>
          </w:tcPr>
          <w:p w14:paraId="1AB13295" w14:textId="77777777" w:rsidR="006A30FD" w:rsidRPr="00E02B33" w:rsidRDefault="006A30FD" w:rsidP="00F30178">
            <w:pPr>
              <w:widowControl w:val="0"/>
              <w:spacing w:before="20" w:after="20"/>
              <w:jc w:val="center"/>
              <w:rPr>
                <w:b/>
                <w:sz w:val="20"/>
                <w:szCs w:val="20"/>
              </w:rPr>
            </w:pPr>
          </w:p>
        </w:tc>
        <w:tc>
          <w:tcPr>
            <w:tcW w:w="476" w:type="pct"/>
            <w:tcBorders>
              <w:left w:val="single" w:sz="4" w:space="0" w:color="auto"/>
            </w:tcBorders>
          </w:tcPr>
          <w:p w14:paraId="1AEE30B5" w14:textId="0648C018" w:rsidR="006A30FD" w:rsidRPr="00E02B33" w:rsidRDefault="003062E7" w:rsidP="00F30178">
            <w:pPr>
              <w:widowControl w:val="0"/>
              <w:shd w:val="clear" w:color="auto" w:fill="FFFFFF" w:themeFill="background1"/>
              <w:spacing w:before="20" w:after="20"/>
              <w:jc w:val="right"/>
              <w:rPr>
                <w:b/>
                <w:bCs/>
                <w:sz w:val="20"/>
                <w:szCs w:val="20"/>
              </w:rPr>
            </w:pPr>
            <w:r>
              <w:rPr>
                <w:b/>
                <w:bCs/>
                <w:sz w:val="20"/>
                <w:szCs w:val="20"/>
              </w:rPr>
              <w:t>291.000</w:t>
            </w:r>
          </w:p>
        </w:tc>
        <w:tc>
          <w:tcPr>
            <w:tcW w:w="473" w:type="pct"/>
          </w:tcPr>
          <w:p w14:paraId="3ECF5A88" w14:textId="68F9E692" w:rsidR="006A30FD" w:rsidRPr="00E02B33" w:rsidRDefault="003062E7" w:rsidP="00F30178">
            <w:pPr>
              <w:widowControl w:val="0"/>
              <w:shd w:val="clear" w:color="auto" w:fill="FFFFFF" w:themeFill="background1"/>
              <w:spacing w:before="20" w:after="20"/>
              <w:jc w:val="right"/>
              <w:rPr>
                <w:b/>
                <w:bCs/>
                <w:sz w:val="20"/>
                <w:szCs w:val="20"/>
              </w:rPr>
            </w:pPr>
            <w:r>
              <w:rPr>
                <w:b/>
                <w:bCs/>
                <w:sz w:val="20"/>
                <w:szCs w:val="20"/>
              </w:rPr>
              <w:t>143.900</w:t>
            </w:r>
          </w:p>
        </w:tc>
      </w:tr>
    </w:tbl>
    <w:p w14:paraId="2A93FCB0" w14:textId="7DA57BB6" w:rsidR="00547D39" w:rsidRPr="002D2ED7" w:rsidRDefault="00547D39" w:rsidP="00F30178">
      <w:pPr>
        <w:pStyle w:val="Heading1"/>
        <w:spacing w:before="240"/>
        <w:rPr>
          <w:lang w:val="es-ES"/>
        </w:rPr>
      </w:pPr>
      <w:r>
        <w:rPr>
          <w:lang w:val="es-ES"/>
        </w:rPr>
        <w:t>La Secretaría debatió con el PNUMA la distribución de tramos propuesta para la etapa II, tomando nota de los ajustes practicados en las actividades y los costos. Sobre la base de esas conversaciones, se acordó una distribución revisada de tramos que reflejara el saldo de los importes solicitados en cada tramo.</w:t>
      </w:r>
    </w:p>
    <w:p w14:paraId="00035109" w14:textId="742766AA" w:rsidR="00563DA8" w:rsidRPr="002D2ED7" w:rsidRDefault="00563DA8" w:rsidP="001161CD">
      <w:pPr>
        <w:keepNext/>
        <w:spacing w:before="240" w:after="240"/>
        <w:rPr>
          <w:lang w:val="es-ES"/>
        </w:rPr>
      </w:pPr>
      <w:bookmarkStart w:id="18" w:name="_Hlk126916178"/>
      <w:r>
        <w:rPr>
          <w:u w:val="single"/>
          <w:lang w:val="es-ES"/>
        </w:rPr>
        <w:t>Plan de ejecución acordado para el primer tramo de la etapa II del Plan de gestión para la eliminación de los HCFC</w:t>
      </w:r>
    </w:p>
    <w:p w14:paraId="1A48673E" w14:textId="638E9442" w:rsidR="00563DA8" w:rsidRPr="002D2ED7" w:rsidRDefault="00563DA8" w:rsidP="00C101F7">
      <w:pPr>
        <w:pStyle w:val="Heading1"/>
        <w:rPr>
          <w:lang w:val="es-ES"/>
        </w:rPr>
      </w:pPr>
      <w:r>
        <w:rPr>
          <w:lang w:val="es-ES"/>
        </w:rPr>
        <w:t xml:space="preserve">El plan de acción acordado, que se ejecutará entre el 1 de julio de 2026 y el 30 de junio de 2028, incluirá las siguientes actividades: </w:t>
      </w:r>
    </w:p>
    <w:p w14:paraId="66AD6600" w14:textId="41E08AC8" w:rsidR="00563DA8" w:rsidRPr="002D2ED7" w:rsidRDefault="005B0CCA" w:rsidP="0092494A">
      <w:pPr>
        <w:pStyle w:val="Heading2"/>
        <w:rPr>
          <w:lang w:val="es-ES"/>
        </w:rPr>
      </w:pPr>
      <w:r>
        <w:rPr>
          <w:i/>
          <w:iCs/>
          <w:lang w:val="es-ES"/>
        </w:rPr>
        <w:t>Fortalecimiento de las políticas y la normativa</w:t>
      </w:r>
      <w:r>
        <w:rPr>
          <w:lang w:val="es-ES"/>
        </w:rPr>
        <w:t>: Realizar consultas con las partes interesadas y redactar una prohibición de las importaciones de equipos a base de HCFC, así como enmiendas normativas para los controles vinculados a la certificación de las ventas de refrigerantes y la integración del registro de las personas técnicas en los sistemas de verificación de ventas; revisión y posibles enmiendas normativas según se identifiquen (PNUMA) (USD 9.000);</w:t>
      </w:r>
    </w:p>
    <w:p w14:paraId="1892CA6D" w14:textId="0CC71347" w:rsidR="00563DA8" w:rsidRPr="002D2ED7" w:rsidRDefault="005B0CCA" w:rsidP="004E4F96">
      <w:pPr>
        <w:pStyle w:val="Heading2"/>
        <w:widowControl/>
        <w:numPr>
          <w:ilvl w:val="1"/>
          <w:numId w:val="1"/>
        </w:numPr>
        <w:rPr>
          <w:lang w:val="es-ES"/>
        </w:rPr>
      </w:pPr>
      <w:r>
        <w:rPr>
          <w:i/>
          <w:iCs/>
          <w:lang w:val="es-ES"/>
        </w:rPr>
        <w:t>Aplicación del sistema de licencias y cuotas</w:t>
      </w:r>
      <w:r>
        <w:rPr>
          <w:lang w:val="es-ES"/>
        </w:rPr>
        <w:t>: adopción de procedimientos operativos estándar (SOP) para reforzar la coordinación entre la ONO, las autoridades aduaneras y marítimas; capacitación para un total de entre 8 y 10 personas fiscales y personal aduanero; un manual de aplicación actualizado sobre la identificación de sustancias controladas; revisión de los procedimientos de licencias y cuotas; un taller de participación para cinco personas agentes; actualización de los códigos HS nacionales para HCFC, HFC, mezclas y refrigerantes a base de hidrocarburos; integración de criterios de perfil de riesgo en SIDUNEA; y capacitación inicial para una o dos personas por isla en el uso de identificadores de refrigerantes (PNUMA) (USD 9.600);</w:t>
      </w:r>
    </w:p>
    <w:p w14:paraId="7B3CEC04" w14:textId="77777777" w:rsidR="00276FC7" w:rsidRPr="002D2ED7" w:rsidRDefault="00276FC7" w:rsidP="00276FC7">
      <w:pPr>
        <w:pStyle w:val="Heading2"/>
        <w:widowControl/>
        <w:numPr>
          <w:ilvl w:val="1"/>
          <w:numId w:val="1"/>
        </w:numPr>
        <w:rPr>
          <w:lang w:val="es-ES"/>
        </w:rPr>
      </w:pPr>
      <w:r>
        <w:rPr>
          <w:i/>
          <w:iCs/>
          <w:lang w:val="es-ES"/>
        </w:rPr>
        <w:t>Coordinación institucional y asociación gremial del sector refrigeración y aire acondicionado</w:t>
      </w:r>
      <w:r>
        <w:rPr>
          <w:lang w:val="es-ES"/>
        </w:rPr>
        <w:t xml:space="preserve">: restablecimiento, registro legal y fortalecimiento operativo de la asociación gremial del sector refrigeración y aire acondicionado; desarrollo de estructuras </w:t>
      </w:r>
      <w:r>
        <w:rPr>
          <w:lang w:val="es-ES"/>
        </w:rPr>
        <w:lastRenderedPageBreak/>
        <w:t xml:space="preserve">de gobernanza y afiliación, una constitución y estatutos, un marco de presentación de informes y un modelo de sostenibilidad financiera; un taller de planificación estratégica para planificar mecanismos de coordinación entre instituciones en ambas islas y la clarificación de las funciones institucionales en materia de certificación, presentación de informes y supervisión del cumplimiento (PNUMA) (USD 9.000); </w:t>
      </w:r>
    </w:p>
    <w:p w14:paraId="12A1ECE7" w14:textId="48DA7632" w:rsidR="005B0CCA" w:rsidRPr="002D2ED7" w:rsidRDefault="005B0CCA" w:rsidP="00355EB0">
      <w:pPr>
        <w:pStyle w:val="Heading2"/>
        <w:widowControl/>
        <w:numPr>
          <w:ilvl w:val="1"/>
          <w:numId w:val="1"/>
        </w:numPr>
        <w:rPr>
          <w:i/>
          <w:iCs/>
          <w:lang w:val="es-ES"/>
        </w:rPr>
      </w:pPr>
      <w:r>
        <w:rPr>
          <w:i/>
          <w:iCs/>
          <w:lang w:val="es-ES"/>
        </w:rPr>
        <w:t xml:space="preserve">Capacitación y certificación de personas técnicas de refrigeración y aire acondicionado (RAC): </w:t>
      </w:r>
      <w:r>
        <w:rPr>
          <w:lang w:val="es-ES"/>
        </w:rPr>
        <w:t xml:space="preserve">Dos talleres de capacitación dirigidos a un grupo de entre 15 y 20 personas técnicas; elaboración de normas nacionales de competencia laboral, guías normalizadas para personas formadoras, actualización de los módulos de capacitación para reflejar las prácticas de recuperación y de uso de sustancias de bajo PCA, y herramientas de evaluación para la certificación; programa de capacitación de personas formadoras para un máximo de 1–2 personas instructoras certificadas a nivel nacional; actualización del plan de estudios de capacitación y orientación de las personas instructoras sobre los módulos revisados </w:t>
      </w:r>
      <w:r>
        <w:rPr>
          <w:i/>
          <w:iCs/>
          <w:lang w:val="es-ES"/>
        </w:rPr>
        <w:t>(</w:t>
      </w:r>
      <w:r>
        <w:rPr>
          <w:lang w:val="es-ES"/>
        </w:rPr>
        <w:t>PNUMA) (USD 27.300);</w:t>
      </w:r>
    </w:p>
    <w:p w14:paraId="33AD71E4" w14:textId="42875549" w:rsidR="005B0CCA" w:rsidRPr="002D2ED7" w:rsidRDefault="005B0CCA" w:rsidP="00D1603E">
      <w:pPr>
        <w:pStyle w:val="Heading2"/>
        <w:widowControl/>
        <w:numPr>
          <w:ilvl w:val="1"/>
          <w:numId w:val="1"/>
        </w:numPr>
        <w:rPr>
          <w:lang w:val="es-ES"/>
        </w:rPr>
      </w:pPr>
      <w:r>
        <w:rPr>
          <w:i/>
          <w:iCs/>
          <w:lang w:val="es-ES"/>
        </w:rPr>
        <w:t>Plan nacional de recuperación y reciclaje</w:t>
      </w:r>
      <w:r>
        <w:rPr>
          <w:lang w:val="es-ES"/>
        </w:rPr>
        <w:t>: Puesta en práctica de sistemas de recuperación mediante una evaluación de necesidades para elaborar un modelo de gestión y un inventario de equipos; adquisición de la partida inicial de equipos basándose en los resultados de la evaluación y el inventario; orientación básica para personas operadoras (capacitación de la primera promoción de personas técnicas en el uso de los equipos); establecimiento de un sistema de seguimiento y etiquetado de equipos; protocolos de mantenimiento, almacenamiento, uso final y presentación de informes; (ONUDI) (USD 35.000);</w:t>
      </w:r>
    </w:p>
    <w:p w14:paraId="4448FFC8" w14:textId="5DB2A7A7" w:rsidR="00355EB0" w:rsidRPr="002D2ED7" w:rsidRDefault="005B0CCA" w:rsidP="005B0CCA">
      <w:pPr>
        <w:pStyle w:val="Heading2"/>
        <w:widowControl/>
        <w:numPr>
          <w:ilvl w:val="1"/>
          <w:numId w:val="1"/>
        </w:numPr>
        <w:rPr>
          <w:lang w:val="es-ES"/>
        </w:rPr>
      </w:pPr>
      <w:r>
        <w:rPr>
          <w:i/>
          <w:iCs/>
          <w:lang w:val="es-ES"/>
        </w:rPr>
        <w:t xml:space="preserve">Programa de sensibilización pública y </w:t>
      </w:r>
      <w:r>
        <w:rPr>
          <w:lang w:val="es-ES"/>
        </w:rPr>
        <w:t>para</w:t>
      </w:r>
      <w:r>
        <w:rPr>
          <w:i/>
          <w:iCs/>
          <w:lang w:val="es-ES"/>
        </w:rPr>
        <w:t xml:space="preserve"> personas jóvenes</w:t>
      </w:r>
      <w:r>
        <w:rPr>
          <w:lang w:val="es-ES"/>
        </w:rPr>
        <w:t>: Capacitación de personas jóvenes embajadoras; elaboración y difusión de materiales de sensibilización; campaña en redes sociales sobre el sistema de concesión de licencias y cupos y la transición hacia refrigerantes de bajo PCA, incluidas actividades de extensión para incentivar el sector de la refrigeración y el aire acondicionado (RAC) entre las personas jóvenes, y la incorporación de personas de género femenino a carreras técnicas en dicho sector (PNUMA) (USD 5.000);</w:t>
      </w:r>
    </w:p>
    <w:p w14:paraId="0584B69C" w14:textId="55E82199" w:rsidR="005B0CCA" w:rsidRPr="002D2ED7" w:rsidRDefault="00355EB0" w:rsidP="005B0CCA">
      <w:pPr>
        <w:pStyle w:val="Heading2"/>
        <w:widowControl/>
        <w:numPr>
          <w:ilvl w:val="1"/>
          <w:numId w:val="1"/>
        </w:numPr>
        <w:rPr>
          <w:lang w:val="es-ES"/>
        </w:rPr>
      </w:pPr>
      <w:r>
        <w:rPr>
          <w:i/>
          <w:iCs/>
          <w:lang w:val="es-ES"/>
        </w:rPr>
        <w:t>Actividades para mantener la eficiencia energética en el sector de servicio y mantenimiento de equipos de refrigeración y aire acondicionado:</w:t>
      </w:r>
      <w:r>
        <w:rPr>
          <w:lang w:val="es-ES"/>
        </w:rPr>
        <w:t xml:space="preserve"> Establecimiento de un mecanismo nacional de coordinación para el sector de la refrigeración y el aire acondicionado (RAC), organización de tres talleres para facilitar la adopción de normas mínimas de eficiencia energética (NMEE) y el etiquetado; elaboración de una hoja de ruta para la adopción de las NMEE y el etiquetado con referencia a las normas regionales de la CARICOM, evaluación del nivel básico de referencia en cuanto a equipos de bajo PCA y con alta eficiencia energética y de la demanda en el país, elaboración de recomendaciones para armonizar la transición de refrigerantes con las mejoras en la eficiencia energética (USD 40.000); y</w:t>
      </w:r>
    </w:p>
    <w:p w14:paraId="05B1A02B" w14:textId="7130FAE3" w:rsidR="005B0CCA" w:rsidRPr="002D2ED7" w:rsidRDefault="005B0CCA" w:rsidP="005B0CCA">
      <w:pPr>
        <w:pStyle w:val="Heading2"/>
        <w:widowControl/>
        <w:numPr>
          <w:ilvl w:val="1"/>
          <w:numId w:val="1"/>
        </w:numPr>
        <w:rPr>
          <w:lang w:val="es-ES"/>
        </w:rPr>
      </w:pPr>
      <w:r>
        <w:rPr>
          <w:i/>
          <w:iCs/>
          <w:lang w:val="es-ES"/>
        </w:rPr>
        <w:t xml:space="preserve">Actividades de supervisión del proyecto </w:t>
      </w:r>
      <w:r>
        <w:rPr>
          <w:lang w:val="es-ES"/>
        </w:rPr>
        <w:t>(PNUMA) (USD 9.000): Incluyen el plan de trabajo anual, informes sobre la marcha de las actividades, seguimiento financiero, recopilación de datos desglosados por sexo; apoyo a la verificación y presentación de informes (USD 4.900); pasajes y traslados nacionales (USD 1.500); reuniones de coordinación (USD 1.400); presentación de informes, documentación y administración (USD 1.200).</w:t>
      </w:r>
    </w:p>
    <w:p w14:paraId="5B99156D" w14:textId="575DB22C" w:rsidR="00563DA8" w:rsidRPr="00981325" w:rsidRDefault="00563DA8" w:rsidP="001161CD">
      <w:pPr>
        <w:keepNext/>
        <w:shd w:val="clear" w:color="auto" w:fill="FFFFFF" w:themeFill="background1"/>
        <w:spacing w:after="240"/>
        <w:outlineLvl w:val="0"/>
        <w:rPr>
          <w:bCs/>
          <w:u w:val="single"/>
        </w:rPr>
      </w:pPr>
      <w:r>
        <w:rPr>
          <w:bCs/>
          <w:u w:val="single"/>
        </w:rPr>
        <w:lastRenderedPageBreak/>
        <w:t>Cofinanciación</w:t>
      </w:r>
    </w:p>
    <w:p w14:paraId="4E569384" w14:textId="56ADB1A6" w:rsidR="000D2501" w:rsidRPr="002D2ED7" w:rsidRDefault="000D2501" w:rsidP="000D2501">
      <w:pPr>
        <w:pStyle w:val="Heading1"/>
        <w:rPr>
          <w:lang w:val="es-ES"/>
        </w:rPr>
      </w:pPr>
      <w:r>
        <w:rPr>
          <w:lang w:val="es-ES"/>
        </w:rPr>
        <w:t>Durante la ejecución de la etapa II, el Gobierno de Saint Kitts y Nevis proporcionará apoyo en bienes y servicios, como oficinas, servicios públicos y apoyo administrativo a la ONO, así como el uso de salas y recintos de reuniones del Gobierno; apoyo logístico, como transporte, cuando proceda, y tiempo de trabajo del personal de los ministerios pertinentes que participen en la coordinación y supervisión del proyecto. Además, durante la etapa II, el Gobierno explorará oportunidades para aprovechar recursos complementarios, cuando sea factible, con el fin de mejorar el impacto y la sostenibilidad de las actividades del proyecto, y tratará de coordinar las actividades del PGEH, cuando proceda, con las políticas y programas nacionales relacionados con el cambio climático, la energía sostenible, la educación técnica y profesional, y la gestión ambiental.</w:t>
      </w:r>
    </w:p>
    <w:p w14:paraId="67C5636E" w14:textId="77777777" w:rsidR="00563DA8" w:rsidRPr="002D2ED7" w:rsidRDefault="00563DA8" w:rsidP="001161CD">
      <w:pPr>
        <w:keepNext/>
        <w:spacing w:after="240"/>
        <w:outlineLvl w:val="0"/>
        <w:rPr>
          <w:bCs/>
          <w:u w:val="single"/>
          <w:lang w:val="es-ES"/>
        </w:rPr>
      </w:pPr>
      <w:r>
        <w:rPr>
          <w:bCs/>
          <w:u w:val="single"/>
          <w:lang w:val="es-ES"/>
        </w:rPr>
        <w:t>Propuesta de plan administrativo del Fondo Multilateral para 2026–2028</w:t>
      </w:r>
    </w:p>
    <w:p w14:paraId="1A8465E7" w14:textId="02C765D3" w:rsidR="00563DA8" w:rsidRPr="002D2ED7" w:rsidRDefault="00697CB1" w:rsidP="001161CD">
      <w:pPr>
        <w:pStyle w:val="Heading1"/>
        <w:rPr>
          <w:lang w:val="es-ES"/>
        </w:rPr>
      </w:pPr>
      <w:r>
        <w:rPr>
          <w:lang w:val="es-ES"/>
        </w:rPr>
        <w:t>El PNUMA y la ONUDI solicitan USD 291.000, más los gastos de apoyo del organismo, para la ejecución de la etapa II del PGEH de Saint Kitts y Nevis. El valor total solicitado de USD 305.167, incluidos los gastos de apoyo del organismo para el período 2026–2028, supera en USD 170.490 la cantidad prevista en el plan administrativo.</w:t>
      </w:r>
    </w:p>
    <w:p w14:paraId="64461AD2" w14:textId="77777777" w:rsidR="00563DA8" w:rsidRPr="002D2ED7" w:rsidRDefault="00563DA8" w:rsidP="001161CD">
      <w:pPr>
        <w:keepNext/>
        <w:spacing w:after="240"/>
        <w:rPr>
          <w:iCs/>
          <w:u w:val="single"/>
          <w:lang w:val="es-ES"/>
        </w:rPr>
      </w:pPr>
      <w:r>
        <w:rPr>
          <w:iCs/>
          <w:u w:val="single"/>
          <w:lang w:val="es-ES"/>
        </w:rPr>
        <w:t>Aplicación de la política de género</w:t>
      </w:r>
    </w:p>
    <w:p w14:paraId="29799A2A" w14:textId="3160BC33" w:rsidR="001147B4" w:rsidRPr="002D2ED7" w:rsidRDefault="000C4D07" w:rsidP="008D327F">
      <w:pPr>
        <w:pStyle w:val="Heading1"/>
        <w:rPr>
          <w:lang w:val="es-ES"/>
        </w:rPr>
      </w:pPr>
      <w:r>
        <w:rPr>
          <w:lang w:val="es-ES"/>
        </w:rPr>
        <w:t>De acuerdo con las decisiones 84/92, 90/48 y 92/40, el Gobierno de Saint Kitts y Nevis ha incorporado la política en la preparación y formulación del proyecto para la etapa II del PGEH. Durante la ejecución de la etapa anterior, la ONO informó sobre la participación de las mujeres en la capacitación del personal aduanero y fiscalizador. Durante la preparación de proyectos, se llevó a cabo una evaluación de las barreras a la participación de las mujeres en el sector de la refrigeración y el aire acondicionado (RAC), y las recomendaciones de dicha evaluación se han incorporado a las actividades del proyecto en la etapa II. El objetivo general de participación de las mujeres en todas las actividades de la etapa II es del 20 %, con la excepción de las actividades de capacitación en</w:t>
      </w:r>
      <w:r>
        <w:rPr>
          <w:rFonts w:eastAsiaTheme="minorHAnsi"/>
          <w:lang w:val="es-ES"/>
        </w:rPr>
        <w:t xml:space="preserve"> RAC</w:t>
      </w:r>
      <w:r>
        <w:rPr>
          <w:lang w:val="es-ES"/>
        </w:rPr>
        <w:t>, donde los valores corrientes de participación femenina siguen siendo bajos. La ONO llevará a cabo actividades de sensibilización para incentivar a las mujeres a incorporarse al sector de la refrigeración y el aire acondicionado (RAC) y a participar en sesiones de formación y consultas; y continuará haciendo un seguimiento del número de mujeres y hombres que participan en la ejecución del proyecto. Para fomentar la participación de las mujeres en las actividades del PGEH, la programación, la selección de sedes y los métodos de comunicación tendrán en cuenta la accesibilidad para las personas. Las campañas de comunicación destacarán la presencia de mujeres en los ámbitos técnico y medioambiental y promoverán las carreras técnicas para las mujeres en tecnologías de refrigeración y compatibles con el clima. En la etapa II también se realizarán esfuerzos para identificar y apoyar a las candidatas mujeres para futuros puestos de instructorado.</w:t>
      </w:r>
    </w:p>
    <w:p w14:paraId="7096D787" w14:textId="77777777" w:rsidR="00563DA8" w:rsidRPr="002D2ED7" w:rsidRDefault="00563DA8" w:rsidP="001161CD">
      <w:pPr>
        <w:keepNext/>
        <w:spacing w:after="240"/>
        <w:rPr>
          <w:u w:val="single"/>
          <w:lang w:val="es-ES"/>
        </w:rPr>
      </w:pPr>
      <w:r>
        <w:rPr>
          <w:u w:val="single"/>
          <w:lang w:val="es-ES"/>
        </w:rPr>
        <w:t>Sostenibilidad de la eliminación de los HCFC y evaluación de los riesgos</w:t>
      </w:r>
    </w:p>
    <w:p w14:paraId="4D16ACDE" w14:textId="68D31D47" w:rsidR="00AC3F18" w:rsidRPr="002D2ED7" w:rsidRDefault="00AC3F18" w:rsidP="00AF4DE1">
      <w:pPr>
        <w:pStyle w:val="Heading1"/>
        <w:rPr>
          <w:lang w:val="es-ES"/>
        </w:rPr>
      </w:pPr>
      <w:r>
        <w:rPr>
          <w:lang w:val="es-ES"/>
        </w:rPr>
        <w:t>Las medidas institucionales establecidas y reforzadas en la etapa II, incluidos los mecanismos de certificación, las actualizaciones de los planes de formación, la cooperación en materia de cumplimiento y la coordinación de las partes interesadas, se integrarán en las funciones rutinarias del Gobierno y del sector para respaldar la sostenibilidad de largo plazo. La combinación de controles reglamentarios reforzados, la creación de capacidad institucional, la participación del sector de servicio y mantenimiento y la supervisión estructurada proporcionará una base sólida para la eliminación sostenible del consumo de HCFC en Saint Kitts y Nevis.</w:t>
      </w:r>
    </w:p>
    <w:p w14:paraId="73501284" w14:textId="6DCA810E" w:rsidR="00BF12BF" w:rsidRPr="002D2ED7" w:rsidRDefault="00BF12BF" w:rsidP="00AF4DE1">
      <w:pPr>
        <w:pStyle w:val="Heading1"/>
        <w:rPr>
          <w:lang w:val="es-ES"/>
        </w:rPr>
      </w:pPr>
      <w:r>
        <w:rPr>
          <w:lang w:val="es-ES"/>
        </w:rPr>
        <w:t xml:space="preserve">El PNUMA destacó además que el hecho de que la estructura de gestión de la etapa II se base en las instituciones nacionales existentes y no cree organismos de ejecución paralelos minimiza la dependencia de largo plazo de estructuras de proyecto externas y respalda la sostenibilidad institucional. Las capacidades desarrolladas en el ámbito de las aduanas, las instituciones de capacitación y la asociación gremial del sector </w:t>
      </w:r>
      <w:r>
        <w:rPr>
          <w:lang w:val="es-ES"/>
        </w:rPr>
        <w:lastRenderedPageBreak/>
        <w:t>refrigeración y aire acondicionado durante la etapa II seguirán integradas en los sistemas nacionales en el período posterior a la finalización del PGEH. Las funciones de supervisión asumidas por la ONO continuarán como parte de su mandato principal tras la finalización del PGEH, garantizando la sostenibilidad de los logros y el cumplimiento.</w:t>
      </w:r>
    </w:p>
    <w:p w14:paraId="2884BA9F" w14:textId="5BBDB87C" w:rsidR="00474DF5" w:rsidRPr="002D2ED7" w:rsidRDefault="00474DF5" w:rsidP="00AF4DE1">
      <w:pPr>
        <w:pStyle w:val="Heading1"/>
        <w:rPr>
          <w:lang w:val="es-ES"/>
        </w:rPr>
      </w:pPr>
      <w:r>
        <w:rPr>
          <w:lang w:val="es-ES"/>
        </w:rPr>
        <w:t>Para garantizar la sostenibilidad de la certificación en el período posterior a la financiación para el proyecto, el sistema de certificación pasará a un modelo de recuperación de costos, y los gastos recurrentes (por ejemplo, honorarios del personal examinador, costes de las instalaciones, mantenimiento del registro y actualizaciones del plan de estudios) se incorporarán a las estructuras operativas de las instituciones. La sostenibilidad de las prácticas de recuperación y reciclaje se garantizará mediante la integración de los requisitos pertinentes en el plan de certificación para el personal técnico.</w:t>
      </w:r>
    </w:p>
    <w:p w14:paraId="70026009" w14:textId="576C358E" w:rsidR="00474DF5" w:rsidRPr="002D2ED7" w:rsidRDefault="00474DF5" w:rsidP="00AF4DE1">
      <w:pPr>
        <w:pStyle w:val="Heading1"/>
        <w:rPr>
          <w:lang w:val="es-ES"/>
        </w:rPr>
      </w:pPr>
      <w:r>
        <w:rPr>
          <w:lang w:val="es-ES"/>
        </w:rPr>
        <w:t xml:space="preserve">Los riesgos asociados a las dificultades logísticas entre la isla de Saint Kitts y la isla de Nevis se abordarán estableciendo un requisito institucional de que todas las actividades a nivel nacional incluyan la participación de ambas islas, y de que se lleven a cabo consultas y coordinaciones para el cronograma y la organización de las actividades. </w:t>
      </w:r>
    </w:p>
    <w:p w14:paraId="2DCEE733" w14:textId="398C9DC3" w:rsidR="00563DA8" w:rsidRPr="00981325" w:rsidRDefault="00563DA8" w:rsidP="001161CD">
      <w:pPr>
        <w:keepNext/>
        <w:spacing w:after="240"/>
        <w:rPr>
          <w:u w:val="single"/>
        </w:rPr>
      </w:pPr>
      <w:r>
        <w:rPr>
          <w:u w:val="single"/>
        </w:rPr>
        <w:t>Efectos sobre el clima</w:t>
      </w:r>
    </w:p>
    <w:bookmarkEnd w:id="18"/>
    <w:p w14:paraId="75885150" w14:textId="44F1E5E4" w:rsidR="00563DA8" w:rsidRPr="002D2ED7" w:rsidRDefault="00563DA8" w:rsidP="001161CD">
      <w:pPr>
        <w:pStyle w:val="Heading1"/>
        <w:rPr>
          <w:lang w:val="es-ES"/>
        </w:rPr>
      </w:pPr>
      <w:r>
        <w:rPr>
          <w:lang w:val="es-ES"/>
        </w:rPr>
        <w:t xml:space="preserve">Las actividades propuestas en el sector de servicio y mantenimiento, incluida una mejor contención de los refrigerantes mediante la capacitación y el suministro de equipos, reducirán el uso de HCFC-22 en el servicio y mantenimiento. Cada kilogramo de HCFC-22 no emitido gracias a mejores prácticas de refrigeración supone un ahorro de aproximadamente 1,8 toneladas </w:t>
      </w:r>
      <w:r>
        <w:rPr>
          <w:vertAlign w:val="subscript"/>
          <w:lang w:val="es-ES"/>
        </w:rPr>
        <w:t>de CO₂</w:t>
      </w:r>
      <w:r>
        <w:rPr>
          <w:lang w:val="es-ES"/>
        </w:rPr>
        <w:t xml:space="preserve"> equivalente. Aunque en el PGEH no se incluyó un cálculo de los efectos sobre el clima, las actividades previstas por Saint Kitts y Nevis, incluidos sus esfuerzos por hacer efectiva la capacidad de aplicación de los sistemas de licencias y cupos de HCFC, promover alternativas de bajo PCA y la recuperación y reutilización de refrigerantes, y seguir desarrollando la capacidad de las personas técnicas de mantenimiento para reducir las fugas y garantizar la seguridad al trabajar con alternativas a los HCFC, indican que la aplicación del PGEH reducirá las emisiones de refrigerantes a la atmósfera, lo que reportará beneficios climáticos. </w:t>
      </w:r>
    </w:p>
    <w:p w14:paraId="09A45656" w14:textId="77777777" w:rsidR="00563DA8" w:rsidRPr="00DC2B3A" w:rsidRDefault="00563DA8" w:rsidP="00E02B33">
      <w:pPr>
        <w:keepNext/>
        <w:spacing w:after="240"/>
        <w:outlineLvl w:val="0"/>
        <w:rPr>
          <w:bCs/>
          <w:u w:val="single"/>
        </w:rPr>
      </w:pPr>
      <w:bookmarkStart w:id="19" w:name="_Hlk126916245"/>
      <w:r>
        <w:rPr>
          <w:bCs/>
          <w:u w:val="single"/>
        </w:rPr>
        <w:t>Proyecto de acuerdo</w:t>
      </w:r>
    </w:p>
    <w:bookmarkEnd w:id="19"/>
    <w:p w14:paraId="0090E6DB" w14:textId="02BCAE50" w:rsidR="00563DA8" w:rsidRPr="002D2ED7" w:rsidRDefault="00563DA8" w:rsidP="001161CD">
      <w:pPr>
        <w:pStyle w:val="Heading1"/>
        <w:rPr>
          <w:lang w:val="es-ES"/>
        </w:rPr>
      </w:pPr>
      <w:r>
        <w:rPr>
          <w:lang w:val="es-ES"/>
        </w:rPr>
        <w:t>En el anexo I del presente documento figura un proyecto de acuerdo entre el Gobierno de Saint Kitts y Nevis y el Comité Ejecutivo para la etapa II del PGEH.</w:t>
      </w:r>
    </w:p>
    <w:p w14:paraId="51F50938" w14:textId="77777777" w:rsidR="00563DA8" w:rsidRPr="00996241" w:rsidRDefault="00563DA8" w:rsidP="001161CD">
      <w:pPr>
        <w:keepNext/>
        <w:autoSpaceDE w:val="0"/>
        <w:autoSpaceDN w:val="0"/>
        <w:adjustRightInd w:val="0"/>
        <w:spacing w:before="360" w:after="240"/>
        <w:outlineLvl w:val="0"/>
        <w:rPr>
          <w:b/>
        </w:rPr>
      </w:pPr>
      <w:bookmarkStart w:id="20" w:name="_Hlk126916251"/>
      <w:r>
        <w:rPr>
          <w:b/>
        </w:rPr>
        <w:t>RECOMENDACIÓN</w:t>
      </w:r>
    </w:p>
    <w:bookmarkEnd w:id="20"/>
    <w:p w14:paraId="69B210A2" w14:textId="77777777" w:rsidR="00563DA8" w:rsidRPr="002D2ED7" w:rsidRDefault="00563DA8" w:rsidP="001161CD">
      <w:pPr>
        <w:pStyle w:val="Heading1"/>
        <w:keepNext/>
        <w:rPr>
          <w:lang w:val="es-ES"/>
        </w:rPr>
      </w:pPr>
      <w:r>
        <w:rPr>
          <w:lang w:val="es-ES"/>
        </w:rPr>
        <w:t>El Comité Ejecutivo podrá estimar oportuno:</w:t>
      </w:r>
    </w:p>
    <w:p w14:paraId="0B8C0A57" w14:textId="3C8F38F9" w:rsidR="00D25930" w:rsidRPr="002D2ED7" w:rsidRDefault="00563DA8" w:rsidP="00F30178">
      <w:pPr>
        <w:numPr>
          <w:ilvl w:val="1"/>
          <w:numId w:val="1"/>
        </w:numPr>
        <w:spacing w:before="240" w:after="240"/>
        <w:outlineLvl w:val="1"/>
        <w:rPr>
          <w:lang w:val="es-ES"/>
        </w:rPr>
      </w:pPr>
      <w:r>
        <w:rPr>
          <w:lang w:val="es-ES"/>
        </w:rPr>
        <w:t>Aprobar, en principio, la etapa II del plan de gestión para la eliminación de los HCFC (PGEH) de Saint Kitts y Nevis para el período 2026–2030, con el fin de eliminar por completo el consumo de HCFC, por un importe de USD 326.538, que comprende USD 233.700, más gastos de apoyo del organismo por valor de USD 30.381 para el PNUMA y USD 57.300, más gastos de apoyo del organismo por valor de USD 5.157 para la ONUDI, en el entendimiento de que no se proporcionará más financiamiento del Fondo Multilateral para la eliminación de los HCFC;</w:t>
      </w:r>
    </w:p>
    <w:p w14:paraId="24F6D91C" w14:textId="77777777" w:rsidR="00B91613" w:rsidRPr="002D2ED7" w:rsidRDefault="00563DA8" w:rsidP="00F30178">
      <w:pPr>
        <w:numPr>
          <w:ilvl w:val="1"/>
          <w:numId w:val="1"/>
        </w:numPr>
        <w:spacing w:after="240"/>
        <w:outlineLvl w:val="1"/>
        <w:rPr>
          <w:lang w:val="es-ES"/>
        </w:rPr>
      </w:pPr>
      <w:r>
        <w:rPr>
          <w:lang w:val="es-ES"/>
        </w:rPr>
        <w:t>Tomando nota del compromiso del Gobierno de Saint Kitts y Nevis:</w:t>
      </w:r>
    </w:p>
    <w:p w14:paraId="08AA4B52" w14:textId="3F598445" w:rsidR="00371F3E" w:rsidRPr="002D2ED7" w:rsidRDefault="00563DA8" w:rsidP="00EB4E6C">
      <w:pPr>
        <w:pStyle w:val="Heading3"/>
        <w:rPr>
          <w:lang w:val="es-ES"/>
        </w:rPr>
      </w:pPr>
      <w:r>
        <w:rPr>
          <w:lang w:val="es-ES"/>
        </w:rPr>
        <w:t>A eliminar por completo los HCFC antes del 1 de enero de 2030, y a que no se importen HCFC después de esa fecha, salvo los permitidos para una reserva para servicio técnico entre 2030–2040, cuando sea necesario, en concordancia con las disposiciones del Protocolo de Montreal;</w:t>
      </w:r>
    </w:p>
    <w:p w14:paraId="62237D39" w14:textId="3AC22F72" w:rsidR="00397983" w:rsidRPr="002D2ED7" w:rsidRDefault="00397983" w:rsidP="00A3259E">
      <w:pPr>
        <w:pStyle w:val="Heading3"/>
        <w:rPr>
          <w:lang w:val="es-ES"/>
        </w:rPr>
      </w:pPr>
      <w:r>
        <w:rPr>
          <w:lang w:val="es-ES"/>
        </w:rPr>
        <w:lastRenderedPageBreak/>
        <w:t>Adoptar la prohibición de la importación de equipos a base de HCFC antes de diciembre de 2027;</w:t>
      </w:r>
    </w:p>
    <w:p w14:paraId="7750FA3A" w14:textId="134BE317" w:rsidR="00BF589C" w:rsidRPr="002D2ED7" w:rsidRDefault="00BF589C" w:rsidP="00BF589C">
      <w:pPr>
        <w:pStyle w:val="Heading2"/>
        <w:numPr>
          <w:ilvl w:val="1"/>
          <w:numId w:val="1"/>
        </w:numPr>
        <w:rPr>
          <w:lang w:val="es-ES"/>
        </w:rPr>
      </w:pPr>
      <w:r>
        <w:rPr>
          <w:lang w:val="es-ES"/>
        </w:rPr>
        <w:t>Señalando asimismo que la etapa II del PGEH incluye financiamiento para actividades adicionales destinadas a mantener la eficiencia energética en el sector de servicio y mantenimiento de equipos de refrigeración por un importe de USD 100.000, más los gastos de apoyo del organismo de USD 13.000, para el PNUMA;</w:t>
      </w:r>
    </w:p>
    <w:p w14:paraId="454CA187" w14:textId="14913BDA" w:rsidR="00563DA8" w:rsidRPr="002D2ED7" w:rsidRDefault="00563DA8" w:rsidP="001161CD">
      <w:pPr>
        <w:numPr>
          <w:ilvl w:val="1"/>
          <w:numId w:val="1"/>
        </w:numPr>
        <w:spacing w:after="240"/>
        <w:outlineLvl w:val="1"/>
        <w:rPr>
          <w:lang w:val="es-ES"/>
        </w:rPr>
      </w:pPr>
      <w:r>
        <w:rPr>
          <w:lang w:val="es-ES"/>
        </w:rPr>
        <w:t>Descontando 0,32 toneladas PAO de HCFC del consumo remanente de HCFC admisible para financiamiento;</w:t>
      </w:r>
    </w:p>
    <w:p w14:paraId="27DD91BC" w14:textId="5A164D49" w:rsidR="00563DA8" w:rsidRPr="002D2ED7" w:rsidRDefault="00563DA8" w:rsidP="001161CD">
      <w:pPr>
        <w:numPr>
          <w:ilvl w:val="1"/>
          <w:numId w:val="1"/>
        </w:numPr>
        <w:spacing w:after="240"/>
        <w:outlineLvl w:val="1"/>
        <w:rPr>
          <w:lang w:val="es-ES"/>
        </w:rPr>
      </w:pPr>
      <w:r>
        <w:rPr>
          <w:lang w:val="es-ES"/>
        </w:rPr>
        <w:t>Aprobando el proyecto de acuerdo entre el Gobierno de Saint Kitts y Nevis y el Comité Ejecutivo para la reducción del consumo de HCFC, de conformidad con la etapa II del PGEH, que figura en el anexo I del presente documento;</w:t>
      </w:r>
    </w:p>
    <w:p w14:paraId="7A2C9D07" w14:textId="31A7D47C" w:rsidR="00563DA8" w:rsidRPr="002D2ED7" w:rsidRDefault="00563DA8" w:rsidP="001161CD">
      <w:pPr>
        <w:pStyle w:val="Heading2"/>
        <w:widowControl/>
        <w:numPr>
          <w:ilvl w:val="1"/>
          <w:numId w:val="1"/>
        </w:numPr>
        <w:rPr>
          <w:lang w:val="es-ES"/>
        </w:rPr>
      </w:pPr>
      <w:r>
        <w:rPr>
          <w:lang w:val="es-ES"/>
        </w:rPr>
        <w:t>Que, a fin de permitir el examen del último tramo de su PGEH, el Gobierno de Saint Kitts y Nevis presente:</w:t>
      </w:r>
    </w:p>
    <w:p w14:paraId="1C911D8A" w14:textId="77777777" w:rsidR="00563DA8" w:rsidRPr="002D2ED7" w:rsidRDefault="00563DA8" w:rsidP="001161CD">
      <w:pPr>
        <w:numPr>
          <w:ilvl w:val="2"/>
          <w:numId w:val="1"/>
        </w:numPr>
        <w:spacing w:after="240"/>
        <w:outlineLvl w:val="2"/>
        <w:rPr>
          <w:lang w:val="es-ES"/>
        </w:rPr>
      </w:pPr>
      <w:r>
        <w:rPr>
          <w:lang w:val="es-ES"/>
        </w:rPr>
        <w:t>Una descripción detallada del marco reglamentario y normativo vigente para ejecutar medidas que garanticen que el consumo de HCFC se ajusta a lo dispuesto en el párrafo 8 ter e) i) del artículo 5 del Protocolo de Montreal para el período</w:t>
      </w:r>
      <w:r>
        <w:rPr>
          <w:lang w:val="es-ES"/>
        </w:rPr>
        <w:br/>
        <w:t>2030–2040;</w:t>
      </w:r>
    </w:p>
    <w:p w14:paraId="062704B0" w14:textId="2AC6CA0E" w:rsidR="00563DA8" w:rsidRPr="002D2ED7" w:rsidRDefault="00563DA8" w:rsidP="001161CD">
      <w:pPr>
        <w:pStyle w:val="Heading3"/>
        <w:widowControl/>
        <w:numPr>
          <w:ilvl w:val="2"/>
          <w:numId w:val="1"/>
        </w:numPr>
        <w:rPr>
          <w:lang w:val="es-ES"/>
        </w:rPr>
      </w:pPr>
      <w:r>
        <w:rPr>
          <w:lang w:val="es-ES"/>
        </w:rPr>
        <w:t>El consumo anual previsto de HCFC en Saint Kitts y Nevis para el período 2030–2040; y</w:t>
      </w:r>
    </w:p>
    <w:p w14:paraId="21EB8757" w14:textId="74800ED5" w:rsidR="00563DA8" w:rsidRPr="002D2ED7" w:rsidRDefault="00563DA8" w:rsidP="001161CD">
      <w:pPr>
        <w:numPr>
          <w:ilvl w:val="1"/>
          <w:numId w:val="1"/>
        </w:numPr>
        <w:spacing w:after="240"/>
        <w:outlineLvl w:val="1"/>
        <w:rPr>
          <w:lang w:val="es-ES"/>
        </w:rPr>
      </w:pPr>
      <w:r>
        <w:rPr>
          <w:lang w:val="es-ES"/>
        </w:rPr>
        <w:t>Aprobar el primer tramo de la etapa II del PGEH para Saint Kitts y Nevis, y el correspondiente plan de ejecución del tramo, por un importe de USD 161.207, compuesto por USD 108.900, más los gastos de apoyo del organismo de USD 14.157, para el PNUMA, y USD 35.000, más gastos de apoyo del organismo por valor de USD 3.150, para la ONUDI.</w:t>
      </w:r>
    </w:p>
    <w:p w14:paraId="00DC782B" w14:textId="77777777" w:rsidR="00563DA8" w:rsidRPr="002D2ED7" w:rsidRDefault="00563DA8" w:rsidP="001161CD">
      <w:pPr>
        <w:rPr>
          <w:lang w:val="es-ES"/>
        </w:rPr>
      </w:pPr>
    </w:p>
    <w:p w14:paraId="43D04743" w14:textId="77777777" w:rsidR="006E6CA2" w:rsidRPr="002D2ED7" w:rsidRDefault="006E6CA2" w:rsidP="001161CD">
      <w:pPr>
        <w:rPr>
          <w:lang w:val="es-ES"/>
        </w:rPr>
      </w:pPr>
    </w:p>
    <w:p w14:paraId="12A36079" w14:textId="730D199C" w:rsidR="006E6CA2" w:rsidRPr="002D2ED7" w:rsidRDefault="006E6CA2" w:rsidP="001161CD">
      <w:pPr>
        <w:rPr>
          <w:lang w:val="es-ES"/>
        </w:rPr>
        <w:sectPr w:rsidR="006E6CA2" w:rsidRPr="002D2ED7" w:rsidSect="00563DA8">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cols w:space="720"/>
          <w:titlePg/>
        </w:sectPr>
      </w:pPr>
    </w:p>
    <w:p w14:paraId="20B8AADF" w14:textId="77777777" w:rsidR="00563DA8" w:rsidRPr="002D2ED7" w:rsidRDefault="00563DA8" w:rsidP="001161CD">
      <w:pPr>
        <w:spacing w:after="240"/>
        <w:jc w:val="center"/>
        <w:rPr>
          <w:b/>
          <w:bCs/>
          <w:lang w:val="es-ES"/>
        </w:rPr>
      </w:pPr>
      <w:r>
        <w:rPr>
          <w:b/>
          <w:bCs/>
          <w:lang w:val="es-ES"/>
        </w:rPr>
        <w:lastRenderedPageBreak/>
        <w:t>Anexo I</w:t>
      </w:r>
    </w:p>
    <w:p w14:paraId="677FE73B" w14:textId="148ADD42" w:rsidR="00563DA8" w:rsidRPr="002D2ED7" w:rsidRDefault="00563DA8" w:rsidP="001161CD">
      <w:pPr>
        <w:jc w:val="center"/>
        <w:rPr>
          <w:b/>
          <w:lang w:val="es-ES"/>
        </w:rPr>
      </w:pPr>
      <w:r>
        <w:rPr>
          <w:b/>
          <w:lang w:val="es-ES"/>
        </w:rPr>
        <w:t>PROYECTO DE ACUERDO ENTRE EL GOBIERNO DE SAINT KITTS Y NEVIS</w:t>
      </w:r>
      <w:r>
        <w:rPr>
          <w:b/>
          <w:lang w:val="es-ES"/>
        </w:rPr>
        <w:br/>
        <w:t>Y EL COMITÉ EJECUTIVO DEL FONDO MULTILATERAL</w:t>
      </w:r>
      <w:r>
        <w:rPr>
          <w:b/>
          <w:lang w:val="es-ES"/>
        </w:rPr>
        <w:br/>
        <w:t>PARA LA REDUCCIÓN DEL CONSUMO DE HIDROCLOROFLUOROCARBUROS</w:t>
      </w:r>
      <w:r>
        <w:rPr>
          <w:b/>
          <w:lang w:val="es-ES"/>
        </w:rPr>
        <w:br/>
        <w:t>DE CONFORMIDAD CON LA ETAPA II DEL PLAN DE GESTIÓN PARA LA ELIMINACIÓN DE LOS HCFC</w:t>
      </w:r>
    </w:p>
    <w:p w14:paraId="30D6A172" w14:textId="77777777" w:rsidR="00563DA8" w:rsidRPr="00B375EA" w:rsidRDefault="00563DA8" w:rsidP="001161CD">
      <w:pPr>
        <w:keepNext/>
        <w:spacing w:before="240" w:after="240"/>
        <w:rPr>
          <w:b/>
        </w:rPr>
      </w:pPr>
      <w:r>
        <w:rPr>
          <w:b/>
        </w:rPr>
        <w:t>Objetivo</w:t>
      </w:r>
    </w:p>
    <w:p w14:paraId="34FC522E" w14:textId="01B13C75" w:rsidR="00563DA8" w:rsidRPr="002D2ED7" w:rsidRDefault="00563DA8" w:rsidP="001161CD">
      <w:pPr>
        <w:pStyle w:val="Heading1"/>
        <w:numPr>
          <w:ilvl w:val="0"/>
          <w:numId w:val="40"/>
        </w:numPr>
        <w:rPr>
          <w:lang w:val="es-ES"/>
        </w:rPr>
      </w:pPr>
      <w:r>
        <w:rPr>
          <w:lang w:val="es-ES"/>
        </w:rPr>
        <w:t xml:space="preserve">El presente Acuerdo constituye el entendimiento entre el Gobierno de Saint Kitts y Nevis (el “País”) y el Comité Ejecutivo con respecto a la reducción de los usos controlados de las sustancias que agotan la capa de ozono (SAO) establecidas en el Apéndice 1-A (“Las Sustancias”) hasta un nivel sostenido de 0 </w:t>
      </w:r>
      <w:r w:rsidR="003B4C6B">
        <w:rPr>
          <w:lang w:val="es-ES"/>
        </w:rPr>
        <w:t>t</w:t>
      </w:r>
      <w:r>
        <w:rPr>
          <w:lang w:val="es-ES"/>
        </w:rPr>
        <w:t>oneladas PAO a más tardar el 1 de enero de 2030, en cumplimiento del calendario del Protocolo de Montreal.</w:t>
      </w:r>
    </w:p>
    <w:p w14:paraId="4EE9784A" w14:textId="2FE873CD" w:rsidR="00563DA8" w:rsidRPr="002D2ED7" w:rsidRDefault="00563DA8" w:rsidP="001161CD">
      <w:pPr>
        <w:pStyle w:val="Heading1"/>
        <w:rPr>
          <w:lang w:val="es-ES"/>
        </w:rPr>
      </w:pPr>
      <w:r>
        <w:rPr>
          <w:lang w:val="es-ES"/>
        </w:rPr>
        <w:t>El País se compromete a cumplir los límites de consumo anual de las Sustancias establecidos en el renglón 1.2 del Apéndice 2-A (“Objetivos y financiación”) del presente Acuerdo, así como en el calendario de reducción del Protocolo de Montreal para todas las Sustancias mencionadas en el Apéndice 1-A. El País acepta que, mediante su aceptación del presente Acuerdo y el cumplimiento por parte del Comité Ejecutivo de sus obligaciones de financiación descritas en el párrafo 3, queda impedido de solicitar o recibir financiación adicional del Fondo Multilateral en relación con cualquier consumo de las Sustancias que exceda el nivel definido en el renglón 1.2 del Apéndice 2-A como etapa final de reducción en virtud del presente Acuerdo para todas las Sustancias especificadas en el Apéndice 1-A, y en relación con cualquier consumo de cada una de las Sustancias que exceda el nivel definido en el renglón 4.1.3 (consumo remanente admisible para financiamiento).</w:t>
      </w:r>
    </w:p>
    <w:p w14:paraId="6DB896F5" w14:textId="77777777" w:rsidR="00563DA8" w:rsidRPr="002D2ED7" w:rsidRDefault="00563DA8" w:rsidP="001161CD">
      <w:pPr>
        <w:pStyle w:val="Heading1"/>
        <w:rPr>
          <w:lang w:val="es-ES"/>
        </w:rPr>
      </w:pPr>
      <w:r>
        <w:rPr>
          <w:lang w:val="es-ES"/>
        </w:rPr>
        <w:t>Siempre que el País cumpla con las obligaciones establecidas en el presente Acuerdo, el Comité Ejecutivo acepta, en principio, proporcionar al País el financiamiento indicado en el renglón 3.1 del Apéndice 2-A. El Comité Ejecutivo proporcionará, en principio, dicho financiamiento en las reuniones del Comité Ejecutivo especificadas en el Apéndice 3-A (“Calendario de aprobación del financiamiento”).</w:t>
      </w:r>
    </w:p>
    <w:p w14:paraId="5D841A4E" w14:textId="261702F3" w:rsidR="00563DA8" w:rsidRPr="002D2ED7" w:rsidRDefault="00563DA8" w:rsidP="001161CD">
      <w:pPr>
        <w:pStyle w:val="Heading1"/>
        <w:rPr>
          <w:lang w:val="es-ES"/>
        </w:rPr>
      </w:pPr>
      <w:r>
        <w:rPr>
          <w:lang w:val="es-ES"/>
        </w:rPr>
        <w:t>El País se compromete a aplicar el presente Acuerdo de conformidad con la etapa II del plan de gestión de la eliminación de los HCFC aprobado (“el Plan”). De conformidad con el apartado 5 b) del presente Acuerdo, el País aceptará la verificación independiente del cumplimiento de los límites de consumo anual de las Sustancias establecidos en la fila 1.2 del Apéndice 2-A del presente Acuerdo. La verificación antes mencionada será encargada por el organismo bilateral o de ejecución pertinente.</w:t>
      </w:r>
    </w:p>
    <w:p w14:paraId="2FF2125B" w14:textId="77777777" w:rsidR="00563DA8" w:rsidRPr="002D2ED7" w:rsidRDefault="00563DA8" w:rsidP="001161CD">
      <w:pPr>
        <w:keepNext/>
        <w:spacing w:after="240"/>
        <w:rPr>
          <w:b/>
          <w:lang w:val="es-ES"/>
        </w:rPr>
      </w:pPr>
      <w:r>
        <w:rPr>
          <w:b/>
          <w:lang w:val="es-ES"/>
        </w:rPr>
        <w:t>Condiciones para la entrega de fondos</w:t>
      </w:r>
    </w:p>
    <w:p w14:paraId="74B6F5BC" w14:textId="77777777" w:rsidR="00563DA8" w:rsidRPr="002D2ED7" w:rsidRDefault="00563DA8" w:rsidP="001161CD">
      <w:pPr>
        <w:pStyle w:val="Heading1"/>
        <w:rPr>
          <w:lang w:val="es-ES"/>
        </w:rPr>
      </w:pPr>
      <w:r>
        <w:rPr>
          <w:lang w:val="es-ES"/>
        </w:rPr>
        <w:t>El Comité Ejecutivo solo proporcionará el financiamiento de conformidad con el cronograma de aprobación de financiamiento cuando el país cumpla las siguientes condiciones con al menos ocho semanas de antelación a la reunión del Comité Ejecutivo correspondiente establecida en dicho cronograma:</w:t>
      </w:r>
    </w:p>
    <w:p w14:paraId="29FE34D8" w14:textId="77777777" w:rsidR="00563DA8" w:rsidRPr="002D2ED7" w:rsidRDefault="00563DA8" w:rsidP="001161CD">
      <w:pPr>
        <w:pStyle w:val="Heading2"/>
        <w:widowControl/>
        <w:numPr>
          <w:ilvl w:val="1"/>
          <w:numId w:val="1"/>
        </w:numPr>
        <w:tabs>
          <w:tab w:val="clear" w:pos="0"/>
          <w:tab w:val="num" w:pos="-720"/>
        </w:tabs>
        <w:rPr>
          <w:lang w:val="es-ES"/>
        </w:rPr>
      </w:pPr>
      <w:r>
        <w:rPr>
          <w:lang w:val="es-ES"/>
        </w:rPr>
        <w:t>Que el País haya cumplido las metas establecidas en el renglón 1.2 del Apéndice 2-A para todos los años pertinentes. Se consideran años pertinentes todos los años transcurridos desde el año en que se aprobó el presente Acuerdo. Quedan excluidos los años para los que no existan informes de ejecución del programa de país a la fecha de la reunión del Comité Ejecutivo en la que se presente la solicitud de financiamiento;</w:t>
      </w:r>
    </w:p>
    <w:p w14:paraId="183E0C93" w14:textId="77777777" w:rsidR="00563DA8" w:rsidRPr="002D2ED7" w:rsidRDefault="00563DA8" w:rsidP="001161CD">
      <w:pPr>
        <w:pStyle w:val="Heading2"/>
        <w:widowControl/>
        <w:numPr>
          <w:ilvl w:val="1"/>
          <w:numId w:val="1"/>
        </w:numPr>
        <w:tabs>
          <w:tab w:val="clear" w:pos="0"/>
          <w:tab w:val="num" w:pos="-720"/>
        </w:tabs>
        <w:rPr>
          <w:lang w:val="es-ES"/>
        </w:rPr>
      </w:pPr>
      <w:r>
        <w:rPr>
          <w:lang w:val="es-ES"/>
        </w:rPr>
        <w:t>Que el cumplimiento de estos objetivos haya sido verificado de forma independiente para todos los años pertinentes, a menos que el Comité Ejecutivo haya decidido que dicha verificación no es necesaria;</w:t>
      </w:r>
    </w:p>
    <w:p w14:paraId="1F752F88" w14:textId="77777777" w:rsidR="00563DA8" w:rsidRPr="002D2ED7" w:rsidRDefault="00563DA8" w:rsidP="001161CD">
      <w:pPr>
        <w:pStyle w:val="Heading2"/>
        <w:widowControl/>
        <w:numPr>
          <w:ilvl w:val="1"/>
          <w:numId w:val="1"/>
        </w:numPr>
        <w:tabs>
          <w:tab w:val="clear" w:pos="0"/>
          <w:tab w:val="num" w:pos="-720"/>
        </w:tabs>
        <w:rPr>
          <w:lang w:val="es-ES"/>
        </w:rPr>
      </w:pPr>
      <w:r>
        <w:rPr>
          <w:lang w:val="es-ES"/>
        </w:rPr>
        <w:lastRenderedPageBreak/>
        <w:t>Que el país haya presentado un informe de ejecución del tramo con arreglo al modelo del Apéndice 4-A (“Formato de informes y planes de ejecución de tramos”) que abarque cada año civil anterior; que haya alcanzado un nivel significativo de ejecución de las actividades iniciadas con tramos aprobados anteriormente; y que la tasa de desembolso de los fondos disponibles del tramo de financiamiento aprobado haya sido superior al 20 %; y</w:t>
      </w:r>
    </w:p>
    <w:p w14:paraId="6DAD3CDC" w14:textId="77777777" w:rsidR="00563DA8" w:rsidRPr="002D2ED7" w:rsidRDefault="00563DA8" w:rsidP="001161CD">
      <w:pPr>
        <w:pStyle w:val="Heading2"/>
        <w:widowControl/>
        <w:numPr>
          <w:ilvl w:val="1"/>
          <w:numId w:val="1"/>
        </w:numPr>
        <w:tabs>
          <w:tab w:val="clear" w:pos="0"/>
          <w:tab w:val="num" w:pos="-720"/>
        </w:tabs>
        <w:rPr>
          <w:lang w:val="es-ES"/>
        </w:rPr>
      </w:pPr>
      <w:r>
        <w:rPr>
          <w:lang w:val="es-ES"/>
        </w:rPr>
        <w:t>Que el país haya presentado un plan de ejecución del tramo, con arreglo al modelo del apéndice 4-A, que abarque cada año civil hasta el año para el que el cronograma de financiamiento prevé la presentación del siguiente tramo, incluido dicho año, o, en el caso del tramo final, hasta la finalización de todas las actividades previstas.</w:t>
      </w:r>
    </w:p>
    <w:p w14:paraId="2A04B690" w14:textId="77777777" w:rsidR="00563DA8" w:rsidRPr="005D03A9" w:rsidRDefault="00563DA8" w:rsidP="001161CD">
      <w:pPr>
        <w:keepNext/>
        <w:spacing w:before="240" w:after="240"/>
        <w:rPr>
          <w:b/>
        </w:rPr>
      </w:pPr>
      <w:r>
        <w:rPr>
          <w:b/>
        </w:rPr>
        <w:t>Seguimiento</w:t>
      </w:r>
    </w:p>
    <w:p w14:paraId="11DC88DC" w14:textId="77777777" w:rsidR="00563DA8" w:rsidRPr="002D2ED7" w:rsidRDefault="00563DA8" w:rsidP="001161CD">
      <w:pPr>
        <w:pStyle w:val="Heading1"/>
        <w:rPr>
          <w:lang w:val="es-ES"/>
        </w:rPr>
      </w:pPr>
      <w:r>
        <w:rPr>
          <w:lang w:val="es-ES"/>
        </w:rPr>
        <w:t>El país se asegurará de llevar a cabo un seguimiento preciso de sus actividades en el marco del presente Acuerdo. Las instituciones que figuran en el apéndice 5-A (“Instituciones de supervisión y funciones”) supervisarán y realizarán la notificación sobre la ejecución de las actividades de los planes de ejecución de tramos anteriores, de conformidad con las funciones y responsabilidades establecidas en dicho apéndice.</w:t>
      </w:r>
    </w:p>
    <w:p w14:paraId="547B0B87" w14:textId="77777777" w:rsidR="00563DA8" w:rsidRPr="002D2ED7" w:rsidRDefault="00563DA8" w:rsidP="001161CD">
      <w:pPr>
        <w:keepNext/>
        <w:spacing w:before="240" w:after="240"/>
        <w:rPr>
          <w:b/>
          <w:lang w:val="es-ES"/>
        </w:rPr>
      </w:pPr>
      <w:r>
        <w:rPr>
          <w:b/>
          <w:lang w:val="es-ES"/>
        </w:rPr>
        <w:t>Flexibilidad en la reasignación de fondos</w:t>
      </w:r>
    </w:p>
    <w:p w14:paraId="0F762F4F" w14:textId="77777777" w:rsidR="00563DA8" w:rsidRPr="002D2ED7" w:rsidRDefault="00563DA8" w:rsidP="001161CD">
      <w:pPr>
        <w:pStyle w:val="Heading1"/>
        <w:rPr>
          <w:lang w:val="es-ES"/>
        </w:rPr>
      </w:pPr>
      <w:r>
        <w:rPr>
          <w:lang w:val="es-ES"/>
        </w:rPr>
        <w:t>El Comité Ejecutivo acuerda que el País podrá disponer de flexibilidad para reasignar parte o la totalidad de los fondos aprobados, de acuerdo con la evolución de las circunstancias, a fin de lograr la reducción más fluida del consumo y la eliminación gradual de las Sustancias especificadas en el Apéndice 1-A:</w:t>
      </w:r>
    </w:p>
    <w:p w14:paraId="4401A771" w14:textId="6A3C51D3" w:rsidR="00563DA8" w:rsidRPr="008C07DA" w:rsidRDefault="00563DA8" w:rsidP="001161CD">
      <w:pPr>
        <w:pStyle w:val="Heading2"/>
        <w:widowControl/>
        <w:numPr>
          <w:ilvl w:val="1"/>
          <w:numId w:val="1"/>
        </w:numPr>
        <w:tabs>
          <w:tab w:val="clear" w:pos="0"/>
          <w:tab w:val="num" w:pos="-720"/>
        </w:tabs>
        <w:rPr>
          <w:lang w:val="es-ES"/>
        </w:rPr>
      </w:pPr>
      <w:r>
        <w:rPr>
          <w:lang w:val="es-ES"/>
        </w:rPr>
        <w:t>Las reasignaciones clasificadas como cambios importantes deberán documentarse con antelación, ya sea en un plan de ejecución del tramo, tal y como se prevé en el inciso 5 d) anterior, o como una revisión de un plan de ejecución del tramo existente, que deberá presentarse ocho semanas antes de cualquier reunión del Comité Ejecutivo, para su aprobación. Los cambios importantes se referirían a:</w:t>
      </w:r>
    </w:p>
    <w:p w14:paraId="0E81674E" w14:textId="77777777" w:rsidR="00563DA8" w:rsidRPr="002D2ED7" w:rsidRDefault="00563DA8" w:rsidP="001161CD">
      <w:pPr>
        <w:pStyle w:val="Heading3"/>
        <w:widowControl/>
        <w:numPr>
          <w:ilvl w:val="2"/>
          <w:numId w:val="1"/>
        </w:numPr>
        <w:rPr>
          <w:lang w:val="es-ES"/>
        </w:rPr>
      </w:pPr>
      <w:r>
        <w:rPr>
          <w:lang w:val="es-ES"/>
        </w:rPr>
        <w:t>Asuntos que pudieran afectar el reglamento y las políticas del Fondo Multilateral;</w:t>
      </w:r>
    </w:p>
    <w:p w14:paraId="1564D93B" w14:textId="77777777" w:rsidR="00563DA8" w:rsidRPr="002D2ED7" w:rsidRDefault="00563DA8" w:rsidP="001161CD">
      <w:pPr>
        <w:pStyle w:val="Heading3"/>
        <w:widowControl/>
        <w:numPr>
          <w:ilvl w:val="2"/>
          <w:numId w:val="1"/>
        </w:numPr>
        <w:rPr>
          <w:lang w:val="es-ES"/>
        </w:rPr>
      </w:pPr>
      <w:r>
        <w:rPr>
          <w:lang w:val="es-ES"/>
        </w:rPr>
        <w:t>Cambios que modifiquen las cláusulas de este Acuerdo;</w:t>
      </w:r>
    </w:p>
    <w:p w14:paraId="58EE6142" w14:textId="77777777" w:rsidR="00563DA8" w:rsidRPr="002D2ED7" w:rsidRDefault="00563DA8" w:rsidP="001161CD">
      <w:pPr>
        <w:pStyle w:val="Heading3"/>
        <w:widowControl/>
        <w:numPr>
          <w:ilvl w:val="2"/>
          <w:numId w:val="1"/>
        </w:numPr>
        <w:rPr>
          <w:lang w:val="es-ES"/>
        </w:rPr>
      </w:pPr>
      <w:r>
        <w:rPr>
          <w:lang w:val="es-ES"/>
        </w:rPr>
        <w:t>Cambios en los niveles anuales de financiamiento asignados a organismos bilaterales o de ejecución individuales para los diferentes tramos;</w:t>
      </w:r>
    </w:p>
    <w:p w14:paraId="4C15FCFD" w14:textId="77777777" w:rsidR="00563DA8" w:rsidRPr="002D2ED7" w:rsidRDefault="00563DA8" w:rsidP="001161CD">
      <w:pPr>
        <w:pStyle w:val="Heading3"/>
        <w:widowControl/>
        <w:numPr>
          <w:ilvl w:val="2"/>
          <w:numId w:val="1"/>
        </w:numPr>
        <w:rPr>
          <w:lang w:val="es-ES"/>
        </w:rPr>
      </w:pPr>
      <w:r>
        <w:rPr>
          <w:lang w:val="es-ES"/>
        </w:rPr>
        <w:t>La provisión de financiamiento para actividades no incluidas en el plan de ejecución del tramo actualmente aprobado, o la supresión de una actividad del plan de ejecución del tramo, con un costo superior al 30 % del costo total del último tramo aprobado;</w:t>
      </w:r>
    </w:p>
    <w:p w14:paraId="029751DA" w14:textId="77777777" w:rsidR="00563DA8" w:rsidRPr="002D2ED7" w:rsidRDefault="00563DA8" w:rsidP="001161CD">
      <w:pPr>
        <w:pStyle w:val="Heading3"/>
        <w:widowControl/>
        <w:numPr>
          <w:ilvl w:val="2"/>
          <w:numId w:val="1"/>
        </w:numPr>
        <w:rPr>
          <w:lang w:val="es-ES"/>
        </w:rPr>
      </w:pPr>
      <w:r>
        <w:rPr>
          <w:lang w:val="es-ES"/>
        </w:rPr>
        <w:t>Cambios en las tecnologías alternativas, en el entendimiento de que cualquier solicitud de este tipo identificaría los costos incrementales asociados, los efectos potenciales sobre el clima y cualquier diferencia en las toneladas PAO que se eliminarán, si procede, además de confirmar que el país acepta que los ahorros potenciales relacionados con el cambio de tecnología reducirían en consecuencia el nivel general de financiación en virtud del presente Acuerdo;</w:t>
      </w:r>
    </w:p>
    <w:p w14:paraId="022BC6CE" w14:textId="77777777" w:rsidR="00563DA8" w:rsidRPr="002D2ED7" w:rsidRDefault="00563DA8" w:rsidP="001161CD">
      <w:pPr>
        <w:pStyle w:val="Heading2"/>
        <w:widowControl/>
        <w:numPr>
          <w:ilvl w:val="1"/>
          <w:numId w:val="1"/>
        </w:numPr>
        <w:tabs>
          <w:tab w:val="clear" w:pos="0"/>
          <w:tab w:val="num" w:pos="-720"/>
        </w:tabs>
        <w:rPr>
          <w:lang w:val="es-ES"/>
        </w:rPr>
      </w:pPr>
      <w:r>
        <w:rPr>
          <w:lang w:val="es-ES"/>
        </w:rPr>
        <w:lastRenderedPageBreak/>
        <w:t>Las reasignaciones que no se clasifiquen como cambios importantes podrán incorporarse al plan de ejecución del tramo aprobado, que se esté ejecutando en ese momento, y comunicarse al Comité Ejecutivo en el siguiente informe de ejecución del tramo; y</w:t>
      </w:r>
    </w:p>
    <w:p w14:paraId="793D26F9" w14:textId="77777777" w:rsidR="00563DA8" w:rsidRPr="002D2ED7" w:rsidRDefault="00563DA8" w:rsidP="001161CD">
      <w:pPr>
        <w:pStyle w:val="Heading2"/>
        <w:widowControl/>
        <w:numPr>
          <w:ilvl w:val="1"/>
          <w:numId w:val="1"/>
        </w:numPr>
        <w:tabs>
          <w:tab w:val="clear" w:pos="0"/>
          <w:tab w:val="num" w:pos="-720"/>
        </w:tabs>
        <w:rPr>
          <w:lang w:val="es-ES"/>
        </w:rPr>
      </w:pPr>
      <w:r>
        <w:rPr>
          <w:lang w:val="es-ES"/>
        </w:rPr>
        <w:t>Cualquier fondo restante en poder de los organismos bilaterales y de ejecución o del país en el marco del Plan se reintegrará al Fondo Multilateral una vez completado el último tramo previsto en el presente Acuerdo.</w:t>
      </w:r>
    </w:p>
    <w:p w14:paraId="3A0D0BB4" w14:textId="77777777" w:rsidR="00563DA8" w:rsidRPr="002D2ED7" w:rsidRDefault="00563DA8" w:rsidP="001161CD">
      <w:pPr>
        <w:keepNext/>
        <w:spacing w:before="240" w:after="240"/>
        <w:rPr>
          <w:b/>
          <w:lang w:val="es-ES"/>
        </w:rPr>
      </w:pPr>
      <w:r>
        <w:rPr>
          <w:b/>
          <w:lang w:val="es-ES"/>
        </w:rPr>
        <w:t>Consideraciones relativas al sector de servicio y mantenimiento de equipos de refrigeración</w:t>
      </w:r>
    </w:p>
    <w:p w14:paraId="2186CBF0" w14:textId="77777777" w:rsidR="00563DA8" w:rsidRPr="002D2ED7" w:rsidRDefault="00563DA8" w:rsidP="001161CD">
      <w:pPr>
        <w:pStyle w:val="Heading1"/>
        <w:rPr>
          <w:lang w:val="es-ES"/>
        </w:rPr>
      </w:pPr>
      <w:r>
        <w:rPr>
          <w:lang w:val="es-ES"/>
        </w:rPr>
        <w:t>Se prestará especial atención a la ejecución de las actividades del sector de servicio y mantenimiento de equipos de refrigeración incluidas en el Plan, en particular:</w:t>
      </w:r>
    </w:p>
    <w:p w14:paraId="4B4A7DF8" w14:textId="77777777" w:rsidR="00563DA8" w:rsidRPr="002D2ED7" w:rsidRDefault="00563DA8" w:rsidP="001161CD">
      <w:pPr>
        <w:pStyle w:val="Heading2"/>
        <w:widowControl/>
        <w:numPr>
          <w:ilvl w:val="1"/>
          <w:numId w:val="1"/>
        </w:numPr>
        <w:tabs>
          <w:tab w:val="clear" w:pos="0"/>
          <w:tab w:val="num" w:pos="-720"/>
        </w:tabs>
        <w:rPr>
          <w:lang w:val="es-ES"/>
        </w:rPr>
      </w:pPr>
      <w:r>
        <w:rPr>
          <w:lang w:val="es-ES"/>
        </w:rPr>
        <w:t>El país utilizaría la flexibilidad disponible en virtud del presente Acuerdo para abordar las necesidades específicas que pudieran surgir durante la ejecución de proyectos; y</w:t>
      </w:r>
    </w:p>
    <w:p w14:paraId="03CF6D63" w14:textId="77777777" w:rsidR="00563DA8" w:rsidRPr="002D2ED7" w:rsidRDefault="00563DA8" w:rsidP="001161CD">
      <w:pPr>
        <w:pStyle w:val="Heading2"/>
        <w:widowControl/>
        <w:numPr>
          <w:ilvl w:val="1"/>
          <w:numId w:val="1"/>
        </w:numPr>
        <w:tabs>
          <w:tab w:val="clear" w:pos="0"/>
          <w:tab w:val="num" w:pos="-720"/>
        </w:tabs>
        <w:rPr>
          <w:lang w:val="es-ES"/>
        </w:rPr>
      </w:pPr>
      <w:r>
        <w:rPr>
          <w:lang w:val="es-ES"/>
        </w:rPr>
        <w:t>El país y los organismos bilaterales y de ejecución respectivos tendrían en cuenta las decisiones pertinentes sobre el sector de servicio y mantenimiento de equipos de refrigeración durante la ejecución del Plan.</w:t>
      </w:r>
    </w:p>
    <w:p w14:paraId="47A41DB8" w14:textId="77777777" w:rsidR="00563DA8" w:rsidRPr="00F61D55" w:rsidRDefault="00563DA8" w:rsidP="001161CD">
      <w:pPr>
        <w:keepNext/>
        <w:spacing w:before="240" w:after="240"/>
        <w:rPr>
          <w:b/>
        </w:rPr>
      </w:pPr>
      <w:r>
        <w:rPr>
          <w:b/>
        </w:rPr>
        <w:t>Organismos bilaterales y de ejecución</w:t>
      </w:r>
    </w:p>
    <w:p w14:paraId="7E1502DE" w14:textId="3BD89F0E" w:rsidR="00563DA8" w:rsidRPr="002D2ED7" w:rsidRDefault="00563DA8" w:rsidP="001161CD">
      <w:pPr>
        <w:pStyle w:val="Heading1"/>
        <w:rPr>
          <w:lang w:val="es-ES"/>
        </w:rPr>
      </w:pPr>
      <w:r>
        <w:rPr>
          <w:lang w:val="es-ES"/>
        </w:rPr>
        <w:t>El País se compromete a asumir la responsabilidad general de la gestión y la ejecución del presente Acuerdo y de todas las actividades emprendidas por él o en su nombre para cumplir las obligaciones derivadas del mismo. El PNUMA ha aceptado ser el principal organismo de ejecución (el “Principal organismo de ejecución”) y la ONUDI ha aceptado ser el organismo de ejecución cooperante (el “Organismo de Ejecución Cooperante”) bajo la dirección del Principal organismo de ejecución en lo que respecta a las actividades del País en el marco del presente Acuerdo. El País acepta las evaluaciones que puedan llevarse a cabo en el marco de los programas de trabajo de supervisión y evaluación del Fondo Multilateral o en el marco del programa de evaluación del principal organismo de ejecución y/o del organismo cooperante que participen en el presente Acuerdo.</w:t>
      </w:r>
    </w:p>
    <w:p w14:paraId="071BF57D" w14:textId="2F5D69D9" w:rsidR="00563DA8" w:rsidRPr="002D2ED7" w:rsidRDefault="00563DA8" w:rsidP="001161CD">
      <w:pPr>
        <w:pStyle w:val="Heading1"/>
        <w:rPr>
          <w:lang w:val="es-ES"/>
        </w:rPr>
      </w:pPr>
      <w:r>
        <w:rPr>
          <w:lang w:val="es-ES"/>
        </w:rPr>
        <w:t>El principal organismo de ejecución será responsable de garantizar la planificación, la ejecución y la presentación de informes coordinadas de todas las actividades en el marco del presente Acuerdo, incluyendo, entre otras cosas, la verificación independiente según el inciso 5 b). El organismo de ejecución cooperante prestará apoyo al principal organismo de ejecución mediante la ejecución del Plan bajo la coordinación general del principal organismo de ejecución. Las funciones del principal organismo de ejecución y del organismo de ejecución cooperante figuran en el apéndice 6-A y el apéndice 6-B, respectivamente. El Comité Ejecutivo acuerda, en principio, abonar al principal organismo de ejecución y al organismo de ejecución cooperante los honorarios establecidos en los renglones 2.2 y 2.4 del apéndice 2-A.</w:t>
      </w:r>
    </w:p>
    <w:p w14:paraId="56A5732F" w14:textId="77777777" w:rsidR="00563DA8" w:rsidRPr="002D2ED7" w:rsidRDefault="00563DA8" w:rsidP="001161CD">
      <w:pPr>
        <w:keepNext/>
        <w:spacing w:before="240" w:after="240"/>
        <w:rPr>
          <w:b/>
          <w:lang w:val="es-ES"/>
        </w:rPr>
      </w:pPr>
      <w:r>
        <w:rPr>
          <w:b/>
          <w:lang w:val="es-ES"/>
        </w:rPr>
        <w:t>Incumplimiento con lo estipulado en el Acuerdo</w:t>
      </w:r>
    </w:p>
    <w:p w14:paraId="2440A373" w14:textId="77777777" w:rsidR="00563DA8" w:rsidRPr="002D2ED7" w:rsidRDefault="00563DA8" w:rsidP="001161CD">
      <w:pPr>
        <w:pStyle w:val="Heading1"/>
        <w:spacing w:before="240"/>
        <w:rPr>
          <w:lang w:val="es-ES"/>
        </w:rPr>
      </w:pPr>
      <w:r>
        <w:rPr>
          <w:lang w:val="es-ES"/>
        </w:rPr>
        <w:t xml:space="preserve">En caso de que el País, por cualquier motivo, no cumpla los objetivos de eliminación de las sustancias establecidos en el renglón 1.2 del Apéndice 2-A o incumpla de cualquier otra forma el presente Acuerdo, el País acepta que no tendrá derecho a la financiación de conformidad con el cronograma de aprobación de la financiación. A discreción del Comité Ejecutivo, la financiación se restablecerá de acuerdo con un cronograma de aprobación de la financiación revisado, determinado por el Comité Ejecutivo, posterior a la demostración por parte del País de que ha cumplido todas las obligaciones que debía haber cumplido antes de recibir el siguiente tramo de financiamiento previsto en el cronograma de aprobación de la financiación. El País reconoce que el Comité Ejecutivo podrá reducir el importe del financiamiento en la cuantía establecida en el Apéndice 7-A (“Reducción del financiamiento por incumplimiento”) por cada kg </w:t>
      </w:r>
      <w:r>
        <w:rPr>
          <w:lang w:val="es-ES"/>
        </w:rPr>
        <w:lastRenderedPageBreak/>
        <w:t>de PAO de reducción del consumo no alcanzado en cualquier año. El Comité Ejecutivo examinará cada caso específico en el que el País no haya cumplido lo estipulado en el Acuerdo y adoptará las decisiones pertinentes. Una vez adoptadas las decisiones, el caso específico de incumplimiento con lo estipulado en el Acuerdo no constituirá un impedimento para la provisión de financiamiento para futuros tramos, de conformidad con el párrafo 5 anterior.</w:t>
      </w:r>
    </w:p>
    <w:p w14:paraId="5ECB304B" w14:textId="77777777" w:rsidR="00563DA8" w:rsidRPr="002D2ED7" w:rsidRDefault="00563DA8" w:rsidP="001161CD">
      <w:pPr>
        <w:pStyle w:val="Heading1"/>
        <w:rPr>
          <w:lang w:val="es-ES"/>
        </w:rPr>
      </w:pPr>
      <w:r>
        <w:rPr>
          <w:lang w:val="es-ES"/>
        </w:rPr>
        <w:t>El financiamiento del presente Acuerdo no se modificará sobre la base de ninguna decisión futura del Comité Ejecutivo que pueda afectar al financiamiento de otros proyectos del sector consumo o de cualquier otra actividad relacionada en el País.</w:t>
      </w:r>
    </w:p>
    <w:p w14:paraId="34088BF5" w14:textId="2EC81F77" w:rsidR="00563DA8" w:rsidRPr="002D2ED7" w:rsidRDefault="00563DA8" w:rsidP="001161CD">
      <w:pPr>
        <w:pStyle w:val="Heading1"/>
        <w:rPr>
          <w:lang w:val="es-ES"/>
        </w:rPr>
      </w:pPr>
      <w:r>
        <w:rPr>
          <w:lang w:val="es-ES"/>
        </w:rPr>
        <w:t>El País cumplirá con cualquier solicitud razonable del Comité Ejecutivo, el principal organismo de ejecución y el organismo de ejecución cooperante para facilitar la ejecución del presente Acuerdo. En particular, proporcionará al principal organismo de ejecución y al organismo de ejecución cooperante acceso a la información necesaria para verificar el cumplimiento del presente Acuerdo.</w:t>
      </w:r>
    </w:p>
    <w:p w14:paraId="46EE0042" w14:textId="77777777" w:rsidR="00563DA8" w:rsidRPr="00F61D55" w:rsidRDefault="00563DA8" w:rsidP="001161CD">
      <w:pPr>
        <w:keepNext/>
        <w:spacing w:before="240" w:after="240"/>
        <w:rPr>
          <w:b/>
        </w:rPr>
      </w:pPr>
      <w:r>
        <w:rPr>
          <w:b/>
        </w:rPr>
        <w:t>Fecha de finalización</w:t>
      </w:r>
    </w:p>
    <w:p w14:paraId="338CBE0B" w14:textId="3BE56D3E" w:rsidR="00563DA8" w:rsidRPr="002D2ED7" w:rsidRDefault="00563DA8" w:rsidP="001161CD">
      <w:pPr>
        <w:pStyle w:val="Heading1"/>
        <w:spacing w:before="240"/>
        <w:rPr>
          <w:lang w:val="es-ES"/>
        </w:rPr>
      </w:pPr>
      <w:r>
        <w:rPr>
          <w:lang w:val="es-ES"/>
        </w:rPr>
        <w:t>La finalización del Plan y del Acuerdo asociado tendrá lugar al final del año siguiente al último año para el que se haya especificado un nivel de consumo total máximo permitido en el Apéndice 2-A. Si en ese momento aún quedaran actividades pendientes, y que estuvieran previstas en el último plan de ejecución del tramo y sus revisiones posteriores de conformidad con el inciso 5 d) y el párrafo 7, la finalización del Plan se aplazará hasta el final del año siguiente a la ejecución de las actividades restantes. Los requisitos de presentación de informes según los incisos 1 a), 1 b), 1 d) y 1 e) del apéndice 4-A continuarán hasta el momento de la finalización del Plan, salvo que el Comité Ejecutivo especifique lo contrario.</w:t>
      </w:r>
    </w:p>
    <w:p w14:paraId="39636C36" w14:textId="77777777" w:rsidR="00563DA8" w:rsidRPr="00B375EA" w:rsidRDefault="00563DA8" w:rsidP="001161CD">
      <w:pPr>
        <w:keepNext/>
        <w:spacing w:before="240" w:after="240"/>
      </w:pPr>
      <w:r>
        <w:rPr>
          <w:b/>
        </w:rPr>
        <w:t>Validez</w:t>
      </w:r>
    </w:p>
    <w:p w14:paraId="363B20A5" w14:textId="77777777" w:rsidR="00563DA8" w:rsidRPr="002D2ED7" w:rsidRDefault="00563DA8" w:rsidP="001161CD">
      <w:pPr>
        <w:pStyle w:val="Heading1"/>
        <w:spacing w:before="240"/>
        <w:rPr>
          <w:lang w:val="es-ES"/>
        </w:rPr>
      </w:pPr>
      <w:r>
        <w:rPr>
          <w:lang w:val="es-ES"/>
        </w:rPr>
        <w:t>Todas las condiciones establecidas en el presente Acuerdo se asumen exclusivamente en el marco del Protocolo de Montreal y tal como se especifica en el presente Acuerdo. Todos los términos utilizados en el presente Acuerdo tienen el significado que se les atribuye en el Protocolo de Montreal, salvo que se definan de otro modo en el presente documento.</w:t>
      </w:r>
    </w:p>
    <w:p w14:paraId="1560294B" w14:textId="77777777" w:rsidR="00563DA8" w:rsidRPr="002D2ED7" w:rsidRDefault="00563DA8" w:rsidP="001161CD">
      <w:pPr>
        <w:pStyle w:val="Heading1"/>
        <w:rPr>
          <w:lang w:val="es-ES"/>
        </w:rPr>
      </w:pPr>
      <w:r>
        <w:rPr>
          <w:lang w:val="es-ES"/>
        </w:rPr>
        <w:t>El presente Acuerdo solo podrá modificarse o rescindirse mediante acuerdo mutuo por escrito entre el Gobierno del País y el Comité Ejecutivo del Fondo Multilateral.</w:t>
      </w:r>
    </w:p>
    <w:p w14:paraId="251CE370" w14:textId="77777777" w:rsidR="00563DA8" w:rsidRPr="00FB39AB" w:rsidRDefault="00563DA8" w:rsidP="001161CD">
      <w:pPr>
        <w:pStyle w:val="Heading1"/>
        <w:keepNext/>
        <w:numPr>
          <w:ilvl w:val="0"/>
          <w:numId w:val="0"/>
        </w:numPr>
        <w:spacing w:before="360" w:after="360"/>
        <w:rPr>
          <w:b/>
        </w:rPr>
      </w:pPr>
      <w:r>
        <w:rPr>
          <w:b/>
        </w:rPr>
        <w:t>APÉNDICES</w:t>
      </w:r>
    </w:p>
    <w:p w14:paraId="604DF436" w14:textId="77777777" w:rsidR="00563DA8" w:rsidRPr="00B375EA" w:rsidRDefault="00563DA8" w:rsidP="001161CD">
      <w:pPr>
        <w:pStyle w:val="Heading1"/>
        <w:keepNext/>
        <w:numPr>
          <w:ilvl w:val="0"/>
          <w:numId w:val="0"/>
        </w:numPr>
        <w:spacing w:before="360"/>
        <w:rPr>
          <w:b/>
        </w:rPr>
      </w:pPr>
      <w:r>
        <w:rPr>
          <w:b/>
        </w:rPr>
        <w:t>Apéndice 1-A: Sustancias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55"/>
        <w:gridCol w:w="1260"/>
        <w:gridCol w:w="1350"/>
        <w:gridCol w:w="5485"/>
      </w:tblGrid>
      <w:tr w:rsidR="00563DA8" w:rsidRPr="00E60A01" w14:paraId="2A3C9394" w14:textId="77777777" w:rsidTr="00EB4E6C">
        <w:trPr>
          <w:trHeight w:val="413"/>
          <w:tblHeader/>
        </w:trPr>
        <w:tc>
          <w:tcPr>
            <w:tcW w:w="671" w:type="pct"/>
            <w:vAlign w:val="center"/>
          </w:tcPr>
          <w:p w14:paraId="299EA21F" w14:textId="77777777" w:rsidR="00563DA8" w:rsidRPr="00B375EA" w:rsidRDefault="00563DA8" w:rsidP="001161CD">
            <w:pPr>
              <w:keepNext/>
              <w:jc w:val="center"/>
              <w:rPr>
                <w:sz w:val="20"/>
                <w:szCs w:val="20"/>
              </w:rPr>
            </w:pPr>
            <w:r>
              <w:rPr>
                <w:sz w:val="20"/>
                <w:szCs w:val="20"/>
              </w:rPr>
              <w:t>Sustancia</w:t>
            </w:r>
          </w:p>
        </w:tc>
        <w:tc>
          <w:tcPr>
            <w:tcW w:w="674" w:type="pct"/>
            <w:vAlign w:val="center"/>
          </w:tcPr>
          <w:p w14:paraId="45BE4552" w14:textId="77777777" w:rsidR="00563DA8" w:rsidRPr="00B375EA" w:rsidRDefault="00563DA8" w:rsidP="001161CD">
            <w:pPr>
              <w:keepNext/>
              <w:jc w:val="center"/>
              <w:rPr>
                <w:sz w:val="20"/>
                <w:szCs w:val="20"/>
              </w:rPr>
            </w:pPr>
            <w:r>
              <w:rPr>
                <w:sz w:val="20"/>
                <w:szCs w:val="20"/>
              </w:rPr>
              <w:t>Anexo</w:t>
            </w:r>
          </w:p>
        </w:tc>
        <w:tc>
          <w:tcPr>
            <w:tcW w:w="722" w:type="pct"/>
            <w:vAlign w:val="center"/>
          </w:tcPr>
          <w:p w14:paraId="2F762E43" w14:textId="77777777" w:rsidR="00563DA8" w:rsidRPr="00B375EA" w:rsidRDefault="00563DA8" w:rsidP="001161CD">
            <w:pPr>
              <w:keepNext/>
              <w:jc w:val="center"/>
              <w:rPr>
                <w:sz w:val="20"/>
                <w:szCs w:val="20"/>
              </w:rPr>
            </w:pPr>
            <w:r>
              <w:rPr>
                <w:sz w:val="20"/>
                <w:szCs w:val="20"/>
              </w:rPr>
              <w:t>Grupo</w:t>
            </w:r>
          </w:p>
        </w:tc>
        <w:tc>
          <w:tcPr>
            <w:tcW w:w="2933" w:type="pct"/>
            <w:vAlign w:val="center"/>
          </w:tcPr>
          <w:p w14:paraId="63D98127" w14:textId="0DFCFA51" w:rsidR="00563DA8" w:rsidRPr="002D2ED7" w:rsidRDefault="00563DA8" w:rsidP="001161CD">
            <w:pPr>
              <w:keepNext/>
              <w:jc w:val="center"/>
              <w:rPr>
                <w:sz w:val="20"/>
                <w:szCs w:val="20"/>
                <w:lang w:val="es-ES"/>
              </w:rPr>
            </w:pPr>
            <w:r>
              <w:rPr>
                <w:sz w:val="20"/>
                <w:szCs w:val="20"/>
                <w:lang w:val="es-ES"/>
              </w:rPr>
              <w:t>Punto de partida para las reducciones acumuladas en el consumo (toneladas PAO)</w:t>
            </w:r>
          </w:p>
        </w:tc>
      </w:tr>
      <w:tr w:rsidR="00563DA8" w:rsidRPr="00B375EA" w14:paraId="42B896EE" w14:textId="77777777" w:rsidTr="00EB4E6C">
        <w:tc>
          <w:tcPr>
            <w:tcW w:w="671" w:type="pct"/>
          </w:tcPr>
          <w:p w14:paraId="70F66982" w14:textId="77777777" w:rsidR="00563DA8" w:rsidRPr="00B375EA" w:rsidRDefault="00563DA8" w:rsidP="001161CD">
            <w:pPr>
              <w:keepNext/>
              <w:rPr>
                <w:sz w:val="20"/>
                <w:szCs w:val="20"/>
              </w:rPr>
            </w:pPr>
            <w:r>
              <w:rPr>
                <w:sz w:val="20"/>
                <w:szCs w:val="20"/>
              </w:rPr>
              <w:t>HCFC-22</w:t>
            </w:r>
          </w:p>
        </w:tc>
        <w:tc>
          <w:tcPr>
            <w:tcW w:w="674" w:type="pct"/>
            <w:vAlign w:val="center"/>
          </w:tcPr>
          <w:p w14:paraId="383A8AC7" w14:textId="73E06F92" w:rsidR="00563DA8" w:rsidRPr="00B375EA" w:rsidRDefault="00EB4E6C" w:rsidP="001161CD">
            <w:pPr>
              <w:keepNext/>
              <w:jc w:val="center"/>
              <w:rPr>
                <w:sz w:val="20"/>
                <w:szCs w:val="20"/>
              </w:rPr>
            </w:pPr>
            <w:r>
              <w:rPr>
                <w:sz w:val="20"/>
                <w:szCs w:val="20"/>
              </w:rPr>
              <w:t>C</w:t>
            </w:r>
          </w:p>
        </w:tc>
        <w:tc>
          <w:tcPr>
            <w:tcW w:w="722" w:type="pct"/>
            <w:vAlign w:val="center"/>
          </w:tcPr>
          <w:p w14:paraId="38EAB329" w14:textId="77777777" w:rsidR="00563DA8" w:rsidRPr="00B375EA" w:rsidRDefault="00563DA8" w:rsidP="001161CD">
            <w:pPr>
              <w:keepNext/>
              <w:jc w:val="center"/>
              <w:rPr>
                <w:sz w:val="20"/>
                <w:szCs w:val="20"/>
              </w:rPr>
            </w:pPr>
            <w:r>
              <w:rPr>
                <w:sz w:val="20"/>
                <w:szCs w:val="20"/>
              </w:rPr>
              <w:t>I</w:t>
            </w:r>
          </w:p>
        </w:tc>
        <w:tc>
          <w:tcPr>
            <w:tcW w:w="2933" w:type="pct"/>
            <w:shd w:val="clear" w:color="auto" w:fill="FFFFFF" w:themeFill="background1"/>
          </w:tcPr>
          <w:p w14:paraId="1EE7EE95" w14:textId="10E063FB" w:rsidR="00563DA8" w:rsidRPr="00AB6689" w:rsidRDefault="00BF589C" w:rsidP="001161CD">
            <w:pPr>
              <w:keepNext/>
              <w:jc w:val="right"/>
              <w:rPr>
                <w:sz w:val="20"/>
                <w:szCs w:val="20"/>
                <w:highlight w:val="cyan"/>
              </w:rPr>
            </w:pPr>
            <w:r>
              <w:rPr>
                <w:sz w:val="20"/>
                <w:szCs w:val="20"/>
              </w:rPr>
              <w:t>0,50</w:t>
            </w:r>
          </w:p>
        </w:tc>
      </w:tr>
    </w:tbl>
    <w:p w14:paraId="0401E667" w14:textId="77777777" w:rsidR="00563DA8" w:rsidRPr="00EB4E6C" w:rsidRDefault="00563DA8" w:rsidP="001161CD">
      <w:pPr>
        <w:pStyle w:val="Heading1"/>
        <w:keepNext/>
        <w:numPr>
          <w:ilvl w:val="0"/>
          <w:numId w:val="0"/>
        </w:numPr>
        <w:spacing w:before="360"/>
        <w:rPr>
          <w:b/>
          <w:lang w:val="es-ES"/>
        </w:rPr>
      </w:pPr>
      <w:r>
        <w:rPr>
          <w:b/>
          <w:lang w:val="es-ES"/>
        </w:rPr>
        <w:t>Apéndice 2-A: objetivos y financiación</w:t>
      </w:r>
    </w:p>
    <w:tbl>
      <w:tblPr>
        <w:tblW w:w="5012" w:type="pct"/>
        <w:jc w:val="center"/>
        <w:tblCellMar>
          <w:left w:w="85" w:type="dxa"/>
          <w:right w:w="85" w:type="dxa"/>
        </w:tblCellMar>
        <w:tblLook w:val="04A0" w:firstRow="1" w:lastRow="0" w:firstColumn="1" w:lastColumn="0" w:noHBand="0" w:noVBand="1"/>
      </w:tblPr>
      <w:tblGrid>
        <w:gridCol w:w="811"/>
        <w:gridCol w:w="3169"/>
        <w:gridCol w:w="899"/>
        <w:gridCol w:w="899"/>
        <w:gridCol w:w="900"/>
        <w:gridCol w:w="900"/>
        <w:gridCol w:w="959"/>
        <w:gridCol w:w="835"/>
      </w:tblGrid>
      <w:tr w:rsidR="00563DA8" w:rsidRPr="00EB4E6C" w14:paraId="0B85EFF5" w14:textId="77777777" w:rsidTr="004F3F9F">
        <w:trPr>
          <w:cantSplit/>
          <w:trHeight w:val="116"/>
          <w:tblHeader/>
          <w:jc w:val="center"/>
        </w:trPr>
        <w:tc>
          <w:tcPr>
            <w:tcW w:w="307" w:type="pct"/>
            <w:tcBorders>
              <w:top w:val="single" w:sz="4" w:space="0" w:color="auto"/>
              <w:left w:val="single" w:sz="4" w:space="0" w:color="auto"/>
              <w:bottom w:val="single" w:sz="4" w:space="0" w:color="auto"/>
              <w:right w:val="single" w:sz="4" w:space="0" w:color="auto"/>
            </w:tcBorders>
            <w:hideMark/>
          </w:tcPr>
          <w:p w14:paraId="57F0B40A" w14:textId="77777777" w:rsidR="00563DA8" w:rsidRPr="00EB4E6C" w:rsidRDefault="00563DA8" w:rsidP="001161CD">
            <w:pPr>
              <w:keepNext/>
              <w:keepLines/>
              <w:jc w:val="center"/>
              <w:rPr>
                <w:b/>
                <w:bCs/>
                <w:color w:val="000000"/>
                <w:sz w:val="18"/>
                <w:szCs w:val="18"/>
                <w:lang w:eastAsia="en-CA"/>
              </w:rPr>
            </w:pPr>
            <w:r>
              <w:rPr>
                <w:b/>
                <w:bCs/>
                <w:color w:val="000000"/>
                <w:sz w:val="18"/>
                <w:szCs w:val="18"/>
                <w:lang w:eastAsia="en-CA"/>
              </w:rPr>
              <w:t>Renglón</w:t>
            </w:r>
          </w:p>
        </w:tc>
        <w:tc>
          <w:tcPr>
            <w:tcW w:w="1709" w:type="pct"/>
            <w:tcBorders>
              <w:top w:val="single" w:sz="4" w:space="0" w:color="auto"/>
              <w:left w:val="nil"/>
              <w:bottom w:val="single" w:sz="4" w:space="0" w:color="auto"/>
              <w:right w:val="single" w:sz="4" w:space="0" w:color="auto"/>
            </w:tcBorders>
            <w:hideMark/>
          </w:tcPr>
          <w:p w14:paraId="4837CD6E" w14:textId="77777777" w:rsidR="00563DA8" w:rsidRPr="00EB4E6C" w:rsidRDefault="00563DA8" w:rsidP="001161CD">
            <w:pPr>
              <w:keepNext/>
              <w:keepLines/>
              <w:jc w:val="center"/>
              <w:rPr>
                <w:b/>
                <w:bCs/>
                <w:color w:val="000000"/>
                <w:sz w:val="18"/>
                <w:szCs w:val="18"/>
                <w:lang w:eastAsia="en-CA"/>
              </w:rPr>
            </w:pPr>
            <w:r>
              <w:rPr>
                <w:b/>
                <w:bCs/>
                <w:color w:val="000000"/>
                <w:sz w:val="18"/>
                <w:szCs w:val="18"/>
                <w:lang w:eastAsia="en-CA"/>
              </w:rPr>
              <w:t>Concepto</w:t>
            </w:r>
          </w:p>
        </w:tc>
        <w:tc>
          <w:tcPr>
            <w:tcW w:w="498" w:type="pct"/>
            <w:tcBorders>
              <w:top w:val="single" w:sz="4" w:space="0" w:color="auto"/>
              <w:left w:val="nil"/>
              <w:bottom w:val="single" w:sz="4" w:space="0" w:color="auto"/>
              <w:right w:val="single" w:sz="4" w:space="0" w:color="auto"/>
            </w:tcBorders>
            <w:shd w:val="clear" w:color="auto" w:fill="FFFFFF" w:themeFill="background1"/>
            <w:hideMark/>
          </w:tcPr>
          <w:p w14:paraId="1FD0E116" w14:textId="77777777" w:rsidR="00563DA8" w:rsidRPr="00EB4E6C" w:rsidRDefault="00D423D4" w:rsidP="001161CD">
            <w:pPr>
              <w:keepNext/>
              <w:keepLines/>
              <w:jc w:val="center"/>
              <w:rPr>
                <w:b/>
                <w:bCs/>
                <w:color w:val="000000"/>
                <w:sz w:val="18"/>
                <w:szCs w:val="18"/>
                <w:lang w:eastAsia="en-CA"/>
              </w:rPr>
            </w:pPr>
            <w:r>
              <w:rPr>
                <w:b/>
                <w:bCs/>
                <w:color w:val="000000"/>
                <w:sz w:val="18"/>
                <w:szCs w:val="18"/>
                <w:lang w:eastAsia="en-CA"/>
              </w:rPr>
              <w:t>2026</w:t>
            </w:r>
          </w:p>
        </w:tc>
        <w:tc>
          <w:tcPr>
            <w:tcW w:w="498" w:type="pct"/>
            <w:tcBorders>
              <w:top w:val="single" w:sz="4" w:space="0" w:color="auto"/>
              <w:left w:val="nil"/>
              <w:bottom w:val="single" w:sz="4" w:space="0" w:color="auto"/>
              <w:right w:val="single" w:sz="4" w:space="0" w:color="auto"/>
            </w:tcBorders>
            <w:shd w:val="clear" w:color="auto" w:fill="FFFFFF" w:themeFill="background1"/>
            <w:hideMark/>
          </w:tcPr>
          <w:p w14:paraId="2B57C097" w14:textId="77777777" w:rsidR="00563DA8" w:rsidRPr="00EB4E6C" w:rsidRDefault="00D423D4" w:rsidP="001161CD">
            <w:pPr>
              <w:keepNext/>
              <w:keepLines/>
              <w:jc w:val="center"/>
              <w:rPr>
                <w:b/>
                <w:bCs/>
                <w:color w:val="000000"/>
                <w:sz w:val="18"/>
                <w:szCs w:val="18"/>
                <w:lang w:eastAsia="en-CA"/>
              </w:rPr>
            </w:pPr>
            <w:r>
              <w:rPr>
                <w:b/>
                <w:bCs/>
                <w:color w:val="000000"/>
                <w:sz w:val="18"/>
                <w:szCs w:val="18"/>
                <w:lang w:eastAsia="en-CA"/>
              </w:rPr>
              <w:t>2027</w:t>
            </w:r>
          </w:p>
        </w:tc>
        <w:tc>
          <w:tcPr>
            <w:tcW w:w="498" w:type="pct"/>
            <w:tcBorders>
              <w:top w:val="single" w:sz="4" w:space="0" w:color="auto"/>
              <w:left w:val="nil"/>
              <w:bottom w:val="single" w:sz="4" w:space="0" w:color="auto"/>
              <w:right w:val="single" w:sz="4" w:space="0" w:color="auto"/>
            </w:tcBorders>
            <w:shd w:val="clear" w:color="auto" w:fill="FFFFFF" w:themeFill="background1"/>
            <w:hideMark/>
          </w:tcPr>
          <w:p w14:paraId="60843227" w14:textId="77777777" w:rsidR="00563DA8" w:rsidRPr="00EB4E6C" w:rsidRDefault="00D423D4" w:rsidP="001161CD">
            <w:pPr>
              <w:keepNext/>
              <w:keepLines/>
              <w:jc w:val="center"/>
              <w:rPr>
                <w:b/>
                <w:bCs/>
                <w:color w:val="000000"/>
                <w:sz w:val="18"/>
                <w:szCs w:val="18"/>
                <w:lang w:eastAsia="en-CA"/>
              </w:rPr>
            </w:pPr>
            <w:r>
              <w:rPr>
                <w:b/>
                <w:bCs/>
                <w:color w:val="000000"/>
                <w:sz w:val="18"/>
                <w:szCs w:val="18"/>
                <w:lang w:eastAsia="en-CA"/>
              </w:rPr>
              <w:t>2028</w:t>
            </w:r>
          </w:p>
        </w:tc>
        <w:tc>
          <w:tcPr>
            <w:tcW w:w="498" w:type="pct"/>
            <w:tcBorders>
              <w:top w:val="single" w:sz="4" w:space="0" w:color="auto"/>
              <w:left w:val="nil"/>
              <w:bottom w:val="single" w:sz="4" w:space="0" w:color="auto"/>
              <w:right w:val="single" w:sz="4" w:space="0" w:color="auto"/>
            </w:tcBorders>
            <w:shd w:val="clear" w:color="auto" w:fill="FFFFFF" w:themeFill="background1"/>
            <w:hideMark/>
          </w:tcPr>
          <w:p w14:paraId="4A84DF14" w14:textId="77777777" w:rsidR="00563DA8" w:rsidRPr="00EB4E6C" w:rsidRDefault="00D423D4" w:rsidP="001161CD">
            <w:pPr>
              <w:keepNext/>
              <w:keepLines/>
              <w:jc w:val="center"/>
              <w:rPr>
                <w:b/>
                <w:bCs/>
                <w:color w:val="000000"/>
                <w:sz w:val="18"/>
                <w:szCs w:val="18"/>
                <w:lang w:eastAsia="en-CA"/>
              </w:rPr>
            </w:pPr>
            <w:r>
              <w:rPr>
                <w:b/>
                <w:bCs/>
                <w:color w:val="000000"/>
                <w:sz w:val="18"/>
                <w:szCs w:val="18"/>
                <w:lang w:eastAsia="en-CA"/>
              </w:rPr>
              <w:t>2029</w:t>
            </w:r>
          </w:p>
        </w:tc>
        <w:tc>
          <w:tcPr>
            <w:tcW w:w="529" w:type="pct"/>
            <w:tcBorders>
              <w:top w:val="single" w:sz="4" w:space="0" w:color="auto"/>
              <w:left w:val="nil"/>
              <w:bottom w:val="single" w:sz="4" w:space="0" w:color="auto"/>
              <w:right w:val="single" w:sz="4" w:space="0" w:color="auto"/>
            </w:tcBorders>
            <w:shd w:val="clear" w:color="auto" w:fill="FFFFFF" w:themeFill="background1"/>
            <w:hideMark/>
          </w:tcPr>
          <w:p w14:paraId="666EE518" w14:textId="77777777" w:rsidR="00563DA8" w:rsidRPr="00EB4E6C" w:rsidRDefault="00563DA8" w:rsidP="001161CD">
            <w:pPr>
              <w:keepNext/>
              <w:keepLines/>
              <w:jc w:val="center"/>
              <w:rPr>
                <w:b/>
                <w:bCs/>
                <w:color w:val="000000"/>
                <w:sz w:val="18"/>
                <w:szCs w:val="18"/>
                <w:lang w:eastAsia="en-CA"/>
              </w:rPr>
            </w:pPr>
            <w:r>
              <w:rPr>
                <w:b/>
                <w:bCs/>
                <w:color w:val="000000"/>
                <w:sz w:val="18"/>
                <w:szCs w:val="18"/>
                <w:lang w:eastAsia="en-CA"/>
              </w:rPr>
              <w:t>2030</w:t>
            </w:r>
          </w:p>
        </w:tc>
        <w:tc>
          <w:tcPr>
            <w:tcW w:w="463" w:type="pct"/>
            <w:tcBorders>
              <w:top w:val="single" w:sz="4" w:space="0" w:color="auto"/>
              <w:left w:val="nil"/>
              <w:bottom w:val="single" w:sz="4" w:space="0" w:color="auto"/>
              <w:right w:val="single" w:sz="4" w:space="0" w:color="auto"/>
            </w:tcBorders>
            <w:shd w:val="clear" w:color="auto" w:fill="FFFFFF" w:themeFill="background1"/>
            <w:hideMark/>
          </w:tcPr>
          <w:p w14:paraId="4757B9F6" w14:textId="77777777" w:rsidR="00563DA8" w:rsidRPr="00EB4E6C" w:rsidRDefault="00563DA8" w:rsidP="001161CD">
            <w:pPr>
              <w:keepNext/>
              <w:keepLines/>
              <w:jc w:val="center"/>
              <w:rPr>
                <w:b/>
                <w:bCs/>
                <w:color w:val="000000"/>
                <w:sz w:val="18"/>
                <w:szCs w:val="18"/>
                <w:lang w:eastAsia="en-CA"/>
              </w:rPr>
            </w:pPr>
            <w:r>
              <w:rPr>
                <w:b/>
                <w:bCs/>
                <w:color w:val="000000"/>
                <w:sz w:val="18"/>
                <w:szCs w:val="18"/>
                <w:lang w:eastAsia="en-CA"/>
              </w:rPr>
              <w:t>Total</w:t>
            </w:r>
          </w:p>
        </w:tc>
      </w:tr>
      <w:tr w:rsidR="007A2308" w:rsidRPr="00EB4E6C" w14:paraId="67530159" w14:textId="77777777" w:rsidTr="004F3F9F">
        <w:trPr>
          <w:trHeight w:val="489"/>
          <w:jc w:val="center"/>
        </w:trPr>
        <w:tc>
          <w:tcPr>
            <w:tcW w:w="307" w:type="pct"/>
            <w:tcBorders>
              <w:top w:val="nil"/>
              <w:left w:val="single" w:sz="4" w:space="0" w:color="auto"/>
              <w:bottom w:val="single" w:sz="4" w:space="0" w:color="auto"/>
              <w:right w:val="single" w:sz="4" w:space="0" w:color="auto"/>
            </w:tcBorders>
            <w:hideMark/>
          </w:tcPr>
          <w:p w14:paraId="2C533876" w14:textId="5A29C527" w:rsidR="007A2308" w:rsidRPr="00EB4E6C" w:rsidRDefault="007A2308" w:rsidP="007A2308">
            <w:pPr>
              <w:keepNext/>
              <w:keepLines/>
              <w:jc w:val="left"/>
              <w:rPr>
                <w:color w:val="000000"/>
                <w:sz w:val="18"/>
                <w:szCs w:val="18"/>
                <w:lang w:eastAsia="en-CA"/>
              </w:rPr>
            </w:pPr>
            <w:r>
              <w:rPr>
                <w:color w:val="000000"/>
                <w:sz w:val="18"/>
                <w:szCs w:val="18"/>
                <w:lang w:eastAsia="en-CA"/>
              </w:rPr>
              <w:t>1.1</w:t>
            </w:r>
          </w:p>
        </w:tc>
        <w:tc>
          <w:tcPr>
            <w:tcW w:w="1709" w:type="pct"/>
            <w:tcBorders>
              <w:top w:val="nil"/>
              <w:left w:val="nil"/>
              <w:bottom w:val="single" w:sz="4" w:space="0" w:color="auto"/>
              <w:right w:val="single" w:sz="4" w:space="0" w:color="auto"/>
            </w:tcBorders>
            <w:hideMark/>
          </w:tcPr>
          <w:p w14:paraId="0FA9D206" w14:textId="78FC088D" w:rsidR="007A2308" w:rsidRPr="00EB4E6C" w:rsidRDefault="007A2308" w:rsidP="007A2308">
            <w:pPr>
              <w:keepNext/>
              <w:keepLines/>
              <w:jc w:val="left"/>
              <w:rPr>
                <w:color w:val="000000"/>
                <w:sz w:val="18"/>
                <w:szCs w:val="18"/>
                <w:lang w:val="es-ES" w:eastAsia="en-CA"/>
              </w:rPr>
            </w:pPr>
            <w:r>
              <w:rPr>
                <w:color w:val="000000"/>
                <w:sz w:val="18"/>
                <w:szCs w:val="18"/>
                <w:lang w:val="es-ES" w:eastAsia="en-CA"/>
              </w:rPr>
              <w:t>Calendario del Protocolo de Montreal para la reducción de las sustancias del Anexo C, Grupo I (tons. PAO)</w:t>
            </w:r>
          </w:p>
        </w:tc>
        <w:tc>
          <w:tcPr>
            <w:tcW w:w="498" w:type="pct"/>
            <w:tcBorders>
              <w:top w:val="nil"/>
              <w:left w:val="nil"/>
              <w:bottom w:val="single" w:sz="4" w:space="0" w:color="auto"/>
              <w:right w:val="single" w:sz="4" w:space="0" w:color="auto"/>
            </w:tcBorders>
            <w:shd w:val="clear" w:color="auto" w:fill="FFFFFF" w:themeFill="background1"/>
          </w:tcPr>
          <w:p w14:paraId="00EAEAC7" w14:textId="10256956" w:rsidR="007A2308" w:rsidRPr="00EB4E6C" w:rsidRDefault="007A2308" w:rsidP="007A2308">
            <w:pPr>
              <w:keepNext/>
              <w:keepLines/>
              <w:jc w:val="right"/>
              <w:rPr>
                <w:color w:val="000000"/>
                <w:sz w:val="18"/>
                <w:szCs w:val="18"/>
                <w:lang w:eastAsia="en-CA"/>
              </w:rPr>
            </w:pPr>
            <w:r>
              <w:rPr>
                <w:sz w:val="18"/>
                <w:szCs w:val="18"/>
              </w:rPr>
              <w:t>0,16</w:t>
            </w:r>
          </w:p>
        </w:tc>
        <w:tc>
          <w:tcPr>
            <w:tcW w:w="498" w:type="pct"/>
            <w:tcBorders>
              <w:top w:val="nil"/>
              <w:left w:val="nil"/>
              <w:bottom w:val="single" w:sz="4" w:space="0" w:color="auto"/>
              <w:right w:val="single" w:sz="4" w:space="0" w:color="auto"/>
            </w:tcBorders>
            <w:shd w:val="clear" w:color="auto" w:fill="FFFFFF" w:themeFill="background1"/>
          </w:tcPr>
          <w:p w14:paraId="4F3D896B" w14:textId="0646B7D3" w:rsidR="007A2308" w:rsidRPr="00EB4E6C" w:rsidRDefault="007A2308" w:rsidP="007A2308">
            <w:pPr>
              <w:keepNext/>
              <w:keepLines/>
              <w:jc w:val="right"/>
              <w:rPr>
                <w:color w:val="000000"/>
                <w:sz w:val="18"/>
                <w:szCs w:val="18"/>
                <w:lang w:eastAsia="en-CA"/>
              </w:rPr>
            </w:pPr>
            <w:r>
              <w:rPr>
                <w:sz w:val="18"/>
                <w:szCs w:val="18"/>
              </w:rPr>
              <w:t>0,16</w:t>
            </w:r>
          </w:p>
        </w:tc>
        <w:tc>
          <w:tcPr>
            <w:tcW w:w="498" w:type="pct"/>
            <w:tcBorders>
              <w:top w:val="nil"/>
              <w:left w:val="nil"/>
              <w:bottom w:val="single" w:sz="4" w:space="0" w:color="auto"/>
              <w:right w:val="single" w:sz="4" w:space="0" w:color="auto"/>
            </w:tcBorders>
            <w:shd w:val="clear" w:color="auto" w:fill="FFFFFF" w:themeFill="background1"/>
          </w:tcPr>
          <w:p w14:paraId="06CD9F66" w14:textId="6206DA3D" w:rsidR="007A2308" w:rsidRPr="00EB4E6C" w:rsidRDefault="007A2308" w:rsidP="007A2308">
            <w:pPr>
              <w:keepNext/>
              <w:keepLines/>
              <w:jc w:val="right"/>
              <w:rPr>
                <w:color w:val="000000"/>
                <w:sz w:val="18"/>
                <w:szCs w:val="18"/>
                <w:lang w:eastAsia="en-CA"/>
              </w:rPr>
            </w:pPr>
            <w:r>
              <w:rPr>
                <w:sz w:val="18"/>
                <w:szCs w:val="18"/>
              </w:rPr>
              <w:t>0,16</w:t>
            </w:r>
          </w:p>
        </w:tc>
        <w:tc>
          <w:tcPr>
            <w:tcW w:w="498" w:type="pct"/>
            <w:tcBorders>
              <w:top w:val="nil"/>
              <w:left w:val="nil"/>
              <w:bottom w:val="single" w:sz="4" w:space="0" w:color="auto"/>
              <w:right w:val="single" w:sz="4" w:space="0" w:color="auto"/>
            </w:tcBorders>
            <w:shd w:val="clear" w:color="auto" w:fill="FFFFFF" w:themeFill="background1"/>
          </w:tcPr>
          <w:p w14:paraId="1968BC9C" w14:textId="3BEF4607" w:rsidR="007A2308" w:rsidRPr="00EB4E6C" w:rsidRDefault="007A2308" w:rsidP="007A2308">
            <w:pPr>
              <w:keepNext/>
              <w:keepLines/>
              <w:jc w:val="right"/>
              <w:rPr>
                <w:color w:val="000000"/>
                <w:sz w:val="18"/>
                <w:szCs w:val="18"/>
                <w:lang w:eastAsia="en-CA"/>
              </w:rPr>
            </w:pPr>
            <w:r>
              <w:rPr>
                <w:sz w:val="18"/>
                <w:szCs w:val="18"/>
              </w:rPr>
              <w:t>0,16</w:t>
            </w:r>
          </w:p>
        </w:tc>
        <w:tc>
          <w:tcPr>
            <w:tcW w:w="529" w:type="pct"/>
            <w:tcBorders>
              <w:top w:val="nil"/>
              <w:left w:val="nil"/>
              <w:bottom w:val="single" w:sz="4" w:space="0" w:color="auto"/>
              <w:right w:val="single" w:sz="4" w:space="0" w:color="auto"/>
            </w:tcBorders>
            <w:shd w:val="clear" w:color="auto" w:fill="FFFFFF" w:themeFill="background1"/>
          </w:tcPr>
          <w:p w14:paraId="62187B1F" w14:textId="655E5BA6" w:rsidR="007A2308" w:rsidRPr="00EB4E6C" w:rsidRDefault="007A2308" w:rsidP="007A2308">
            <w:pPr>
              <w:keepNext/>
              <w:keepLines/>
              <w:jc w:val="right"/>
              <w:rPr>
                <w:color w:val="000000"/>
                <w:sz w:val="18"/>
                <w:szCs w:val="18"/>
                <w:lang w:eastAsia="en-CA"/>
              </w:rPr>
            </w:pPr>
            <w:r>
              <w:rPr>
                <w:sz w:val="18"/>
                <w:szCs w:val="18"/>
              </w:rPr>
              <w:t>0</w:t>
            </w:r>
          </w:p>
        </w:tc>
        <w:tc>
          <w:tcPr>
            <w:tcW w:w="463" w:type="pct"/>
            <w:tcBorders>
              <w:top w:val="nil"/>
              <w:left w:val="nil"/>
              <w:bottom w:val="single" w:sz="4" w:space="0" w:color="auto"/>
              <w:right w:val="single" w:sz="4" w:space="0" w:color="auto"/>
            </w:tcBorders>
            <w:shd w:val="clear" w:color="auto" w:fill="FFFFFF" w:themeFill="background1"/>
          </w:tcPr>
          <w:p w14:paraId="603834EB" w14:textId="77777777" w:rsidR="007A2308" w:rsidRPr="00EB4E6C" w:rsidRDefault="007A2308" w:rsidP="007A2308">
            <w:pPr>
              <w:keepNext/>
              <w:keepLines/>
              <w:jc w:val="right"/>
              <w:rPr>
                <w:color w:val="000000"/>
                <w:sz w:val="18"/>
                <w:szCs w:val="18"/>
                <w:lang w:eastAsia="en-CA"/>
              </w:rPr>
            </w:pPr>
            <w:r>
              <w:rPr>
                <w:color w:val="000000"/>
                <w:sz w:val="18"/>
                <w:szCs w:val="18"/>
                <w:lang w:eastAsia="en-CA"/>
              </w:rPr>
              <w:t>n.a.</w:t>
            </w:r>
          </w:p>
        </w:tc>
      </w:tr>
      <w:tr w:rsidR="007A2308" w:rsidRPr="00EB4E6C" w14:paraId="4F9C881F" w14:textId="77777777" w:rsidTr="004F3F9F">
        <w:trPr>
          <w:trHeight w:val="489"/>
          <w:jc w:val="center"/>
        </w:trPr>
        <w:tc>
          <w:tcPr>
            <w:tcW w:w="307" w:type="pct"/>
            <w:tcBorders>
              <w:top w:val="nil"/>
              <w:left w:val="single" w:sz="4" w:space="0" w:color="auto"/>
              <w:bottom w:val="single" w:sz="4" w:space="0" w:color="auto"/>
              <w:right w:val="single" w:sz="4" w:space="0" w:color="auto"/>
            </w:tcBorders>
            <w:hideMark/>
          </w:tcPr>
          <w:p w14:paraId="76679556" w14:textId="553281DF" w:rsidR="007A2308" w:rsidRPr="00EB4E6C" w:rsidRDefault="007A2308" w:rsidP="007A2308">
            <w:pPr>
              <w:jc w:val="left"/>
              <w:rPr>
                <w:color w:val="000000"/>
                <w:sz w:val="18"/>
                <w:szCs w:val="18"/>
                <w:lang w:eastAsia="en-CA"/>
              </w:rPr>
            </w:pPr>
            <w:r>
              <w:rPr>
                <w:color w:val="000000"/>
                <w:sz w:val="18"/>
                <w:szCs w:val="18"/>
                <w:lang w:eastAsia="en-CA"/>
              </w:rPr>
              <w:t>1.2</w:t>
            </w:r>
          </w:p>
        </w:tc>
        <w:tc>
          <w:tcPr>
            <w:tcW w:w="1709" w:type="pct"/>
            <w:tcBorders>
              <w:top w:val="nil"/>
              <w:left w:val="nil"/>
              <w:bottom w:val="single" w:sz="4" w:space="0" w:color="auto"/>
              <w:right w:val="single" w:sz="4" w:space="0" w:color="auto"/>
            </w:tcBorders>
            <w:hideMark/>
          </w:tcPr>
          <w:p w14:paraId="7ED8F48E" w14:textId="4BAFB9ED" w:rsidR="007A2308" w:rsidRPr="00EB4E6C" w:rsidRDefault="007A2308" w:rsidP="007A2308">
            <w:pPr>
              <w:jc w:val="left"/>
              <w:rPr>
                <w:color w:val="000000"/>
                <w:sz w:val="18"/>
                <w:szCs w:val="18"/>
                <w:lang w:val="es-ES" w:eastAsia="en-CA"/>
              </w:rPr>
            </w:pPr>
            <w:r>
              <w:rPr>
                <w:color w:val="000000"/>
                <w:sz w:val="18"/>
                <w:szCs w:val="18"/>
                <w:lang w:val="es-ES" w:eastAsia="en-CA"/>
              </w:rPr>
              <w:t>Consumo total máximo permitido de sustancias del Anexo C, Grupo I (tons. PAO)</w:t>
            </w:r>
          </w:p>
        </w:tc>
        <w:tc>
          <w:tcPr>
            <w:tcW w:w="498" w:type="pct"/>
            <w:tcBorders>
              <w:top w:val="nil"/>
              <w:left w:val="nil"/>
              <w:bottom w:val="single" w:sz="4" w:space="0" w:color="auto"/>
              <w:right w:val="single" w:sz="4" w:space="0" w:color="auto"/>
            </w:tcBorders>
            <w:shd w:val="clear" w:color="auto" w:fill="FFFFFF" w:themeFill="background1"/>
          </w:tcPr>
          <w:p w14:paraId="642AF693" w14:textId="6FEED8BA" w:rsidR="007A2308" w:rsidRPr="00EB4E6C" w:rsidRDefault="007A2308" w:rsidP="007A2308">
            <w:pPr>
              <w:jc w:val="right"/>
              <w:rPr>
                <w:color w:val="000000"/>
                <w:sz w:val="18"/>
                <w:szCs w:val="18"/>
                <w:lang w:eastAsia="en-CA"/>
              </w:rPr>
            </w:pPr>
            <w:r>
              <w:rPr>
                <w:sz w:val="18"/>
                <w:szCs w:val="18"/>
              </w:rPr>
              <w:t>0,16</w:t>
            </w:r>
          </w:p>
        </w:tc>
        <w:tc>
          <w:tcPr>
            <w:tcW w:w="498" w:type="pct"/>
            <w:tcBorders>
              <w:top w:val="nil"/>
              <w:left w:val="nil"/>
              <w:bottom w:val="single" w:sz="4" w:space="0" w:color="auto"/>
              <w:right w:val="single" w:sz="4" w:space="0" w:color="auto"/>
            </w:tcBorders>
            <w:shd w:val="clear" w:color="auto" w:fill="FFFFFF" w:themeFill="background1"/>
          </w:tcPr>
          <w:p w14:paraId="5F426381" w14:textId="38FD4737" w:rsidR="007A2308" w:rsidRPr="00EB4E6C" w:rsidRDefault="007A2308" w:rsidP="007A2308">
            <w:pPr>
              <w:jc w:val="right"/>
              <w:rPr>
                <w:color w:val="000000"/>
                <w:sz w:val="18"/>
                <w:szCs w:val="18"/>
                <w:lang w:eastAsia="en-CA"/>
              </w:rPr>
            </w:pPr>
            <w:r>
              <w:rPr>
                <w:sz w:val="18"/>
                <w:szCs w:val="18"/>
              </w:rPr>
              <w:t>0,16</w:t>
            </w:r>
          </w:p>
        </w:tc>
        <w:tc>
          <w:tcPr>
            <w:tcW w:w="498" w:type="pct"/>
            <w:tcBorders>
              <w:top w:val="nil"/>
              <w:left w:val="nil"/>
              <w:bottom w:val="single" w:sz="4" w:space="0" w:color="auto"/>
              <w:right w:val="single" w:sz="4" w:space="0" w:color="auto"/>
            </w:tcBorders>
            <w:shd w:val="clear" w:color="auto" w:fill="FFFFFF" w:themeFill="background1"/>
          </w:tcPr>
          <w:p w14:paraId="10F0409B" w14:textId="67A1D555" w:rsidR="007A2308" w:rsidRPr="00EB4E6C" w:rsidRDefault="007A2308" w:rsidP="007A2308">
            <w:pPr>
              <w:jc w:val="right"/>
              <w:rPr>
                <w:color w:val="000000"/>
                <w:sz w:val="18"/>
                <w:szCs w:val="18"/>
                <w:lang w:eastAsia="en-CA"/>
              </w:rPr>
            </w:pPr>
            <w:r>
              <w:rPr>
                <w:sz w:val="18"/>
                <w:szCs w:val="18"/>
              </w:rPr>
              <w:t>0,16</w:t>
            </w:r>
          </w:p>
        </w:tc>
        <w:tc>
          <w:tcPr>
            <w:tcW w:w="498" w:type="pct"/>
            <w:tcBorders>
              <w:top w:val="nil"/>
              <w:left w:val="nil"/>
              <w:bottom w:val="single" w:sz="4" w:space="0" w:color="auto"/>
              <w:right w:val="single" w:sz="4" w:space="0" w:color="auto"/>
            </w:tcBorders>
            <w:shd w:val="clear" w:color="auto" w:fill="FFFFFF" w:themeFill="background1"/>
          </w:tcPr>
          <w:p w14:paraId="6BEB2DA2" w14:textId="4681FB3D" w:rsidR="007A2308" w:rsidRPr="00EB4E6C" w:rsidRDefault="007A2308" w:rsidP="007A2308">
            <w:pPr>
              <w:jc w:val="right"/>
              <w:rPr>
                <w:color w:val="000000"/>
                <w:sz w:val="18"/>
                <w:szCs w:val="18"/>
                <w:lang w:eastAsia="en-CA"/>
              </w:rPr>
            </w:pPr>
            <w:r>
              <w:rPr>
                <w:sz w:val="18"/>
                <w:szCs w:val="18"/>
              </w:rPr>
              <w:t>0,16</w:t>
            </w:r>
          </w:p>
        </w:tc>
        <w:tc>
          <w:tcPr>
            <w:tcW w:w="529" w:type="pct"/>
            <w:tcBorders>
              <w:top w:val="nil"/>
              <w:left w:val="nil"/>
              <w:bottom w:val="single" w:sz="4" w:space="0" w:color="auto"/>
              <w:right w:val="single" w:sz="4" w:space="0" w:color="auto"/>
            </w:tcBorders>
            <w:shd w:val="clear" w:color="auto" w:fill="FFFFFF" w:themeFill="background1"/>
          </w:tcPr>
          <w:p w14:paraId="384289F3" w14:textId="03903971" w:rsidR="007A2308" w:rsidRPr="00EB4E6C" w:rsidRDefault="007A2308" w:rsidP="007A2308">
            <w:pPr>
              <w:jc w:val="right"/>
              <w:rPr>
                <w:color w:val="000000"/>
                <w:sz w:val="18"/>
                <w:szCs w:val="18"/>
                <w:lang w:eastAsia="en-CA"/>
              </w:rPr>
            </w:pPr>
            <w:r>
              <w:rPr>
                <w:sz w:val="18"/>
                <w:szCs w:val="18"/>
              </w:rPr>
              <w:t>0</w:t>
            </w:r>
          </w:p>
        </w:tc>
        <w:tc>
          <w:tcPr>
            <w:tcW w:w="463" w:type="pct"/>
            <w:tcBorders>
              <w:top w:val="nil"/>
              <w:left w:val="nil"/>
              <w:bottom w:val="single" w:sz="4" w:space="0" w:color="auto"/>
              <w:right w:val="single" w:sz="4" w:space="0" w:color="auto"/>
            </w:tcBorders>
            <w:shd w:val="clear" w:color="auto" w:fill="FFFFFF" w:themeFill="background1"/>
          </w:tcPr>
          <w:p w14:paraId="6BB310E8" w14:textId="77777777" w:rsidR="007A2308" w:rsidRPr="00EB4E6C" w:rsidRDefault="007A2308" w:rsidP="007A2308">
            <w:pPr>
              <w:jc w:val="right"/>
              <w:rPr>
                <w:color w:val="000000"/>
                <w:sz w:val="18"/>
                <w:szCs w:val="18"/>
                <w:lang w:eastAsia="en-CA"/>
              </w:rPr>
            </w:pPr>
            <w:r>
              <w:rPr>
                <w:color w:val="000000"/>
                <w:sz w:val="18"/>
                <w:szCs w:val="18"/>
                <w:lang w:eastAsia="en-CA"/>
              </w:rPr>
              <w:t>n.a.</w:t>
            </w:r>
          </w:p>
        </w:tc>
      </w:tr>
      <w:tr w:rsidR="004F3F9F" w:rsidRPr="00EB4E6C" w14:paraId="741F765F" w14:textId="77777777" w:rsidTr="004F3F9F">
        <w:trPr>
          <w:trHeight w:val="139"/>
          <w:jc w:val="center"/>
        </w:trPr>
        <w:tc>
          <w:tcPr>
            <w:tcW w:w="307" w:type="pct"/>
            <w:tcBorders>
              <w:top w:val="nil"/>
              <w:left w:val="single" w:sz="4" w:space="0" w:color="auto"/>
              <w:bottom w:val="single" w:sz="4" w:space="0" w:color="auto"/>
              <w:right w:val="single" w:sz="4" w:space="0" w:color="auto"/>
            </w:tcBorders>
            <w:hideMark/>
          </w:tcPr>
          <w:p w14:paraId="431EE035" w14:textId="44A26942" w:rsidR="004F3F9F" w:rsidRPr="00EB4E6C" w:rsidRDefault="004F3F9F" w:rsidP="004F3F9F">
            <w:pPr>
              <w:jc w:val="left"/>
              <w:rPr>
                <w:color w:val="000000"/>
                <w:sz w:val="18"/>
                <w:szCs w:val="18"/>
                <w:lang w:eastAsia="en-CA"/>
              </w:rPr>
            </w:pPr>
            <w:r>
              <w:rPr>
                <w:color w:val="000000"/>
                <w:sz w:val="18"/>
                <w:szCs w:val="18"/>
                <w:lang w:eastAsia="en-CA"/>
              </w:rPr>
              <w:lastRenderedPageBreak/>
              <w:t>2.1</w:t>
            </w:r>
          </w:p>
        </w:tc>
        <w:tc>
          <w:tcPr>
            <w:tcW w:w="1709" w:type="pct"/>
            <w:tcBorders>
              <w:top w:val="nil"/>
              <w:left w:val="nil"/>
              <w:bottom w:val="single" w:sz="4" w:space="0" w:color="auto"/>
              <w:right w:val="single" w:sz="4" w:space="0" w:color="auto"/>
            </w:tcBorders>
            <w:hideMark/>
          </w:tcPr>
          <w:p w14:paraId="128C2E05" w14:textId="64BD476B" w:rsidR="004F3F9F" w:rsidRPr="00EB4E6C" w:rsidRDefault="004F3F9F" w:rsidP="004F3F9F">
            <w:pPr>
              <w:jc w:val="left"/>
              <w:rPr>
                <w:color w:val="000000"/>
                <w:sz w:val="18"/>
                <w:szCs w:val="18"/>
                <w:lang w:val="es-ES" w:eastAsia="en-CA"/>
              </w:rPr>
            </w:pPr>
            <w:r>
              <w:rPr>
                <w:color w:val="000000"/>
                <w:sz w:val="18"/>
                <w:szCs w:val="18"/>
                <w:lang w:val="es-ES" w:eastAsia="en-CA"/>
              </w:rPr>
              <w:t>Principal organismo de ejecución (PNUMA) financiamiento convenido (USD)</w:t>
            </w:r>
          </w:p>
        </w:tc>
        <w:tc>
          <w:tcPr>
            <w:tcW w:w="498" w:type="pct"/>
            <w:tcBorders>
              <w:top w:val="nil"/>
              <w:left w:val="nil"/>
              <w:bottom w:val="single" w:sz="4" w:space="0" w:color="auto"/>
              <w:right w:val="single" w:sz="4" w:space="0" w:color="auto"/>
            </w:tcBorders>
            <w:shd w:val="clear" w:color="auto" w:fill="FFFFFF" w:themeFill="background1"/>
          </w:tcPr>
          <w:p w14:paraId="26CE2459" w14:textId="6FC5E841" w:rsidR="004F3F9F" w:rsidRPr="00EB4E6C" w:rsidRDefault="004F3F9F" w:rsidP="004F3F9F">
            <w:pPr>
              <w:jc w:val="right"/>
              <w:rPr>
                <w:color w:val="000000"/>
                <w:sz w:val="18"/>
                <w:szCs w:val="18"/>
                <w:lang w:eastAsia="en-CA"/>
              </w:rPr>
            </w:pPr>
            <w:r>
              <w:rPr>
                <w:color w:val="000000"/>
                <w:sz w:val="18"/>
                <w:szCs w:val="18"/>
              </w:rPr>
              <w:t>108.900</w:t>
            </w:r>
          </w:p>
        </w:tc>
        <w:tc>
          <w:tcPr>
            <w:tcW w:w="498" w:type="pct"/>
            <w:tcBorders>
              <w:top w:val="nil"/>
              <w:left w:val="nil"/>
              <w:bottom w:val="single" w:sz="4" w:space="0" w:color="auto"/>
              <w:right w:val="single" w:sz="4" w:space="0" w:color="auto"/>
            </w:tcBorders>
            <w:shd w:val="clear" w:color="auto" w:fill="FFFFFF" w:themeFill="background1"/>
          </w:tcPr>
          <w:p w14:paraId="4D553C74" w14:textId="485EDC02" w:rsidR="004F3F9F" w:rsidRPr="00EB4E6C" w:rsidRDefault="004F3F9F" w:rsidP="004F3F9F">
            <w:pPr>
              <w:jc w:val="right"/>
              <w:rPr>
                <w:color w:val="000000"/>
                <w:sz w:val="18"/>
                <w:szCs w:val="18"/>
                <w:lang w:eastAsia="en-CA"/>
              </w:rPr>
            </w:pPr>
            <w:r>
              <w:rPr>
                <w:color w:val="000000"/>
                <w:sz w:val="18"/>
                <w:szCs w:val="18"/>
              </w:rPr>
              <w:t>0</w:t>
            </w:r>
          </w:p>
        </w:tc>
        <w:tc>
          <w:tcPr>
            <w:tcW w:w="498" w:type="pct"/>
            <w:tcBorders>
              <w:top w:val="nil"/>
              <w:left w:val="nil"/>
              <w:bottom w:val="single" w:sz="4" w:space="0" w:color="auto"/>
              <w:right w:val="single" w:sz="4" w:space="0" w:color="auto"/>
            </w:tcBorders>
            <w:shd w:val="clear" w:color="auto" w:fill="FFFFFF" w:themeFill="background1"/>
          </w:tcPr>
          <w:p w14:paraId="59FD0AFA" w14:textId="00379A6D" w:rsidR="004F3F9F" w:rsidRPr="00EB4E6C" w:rsidRDefault="004F3F9F" w:rsidP="004F3F9F">
            <w:pPr>
              <w:jc w:val="right"/>
              <w:rPr>
                <w:color w:val="000000"/>
                <w:sz w:val="18"/>
                <w:szCs w:val="18"/>
                <w:lang w:eastAsia="en-CA"/>
              </w:rPr>
            </w:pPr>
            <w:r>
              <w:rPr>
                <w:sz w:val="18"/>
                <w:szCs w:val="18"/>
              </w:rPr>
              <w:t>111.000</w:t>
            </w:r>
          </w:p>
        </w:tc>
        <w:tc>
          <w:tcPr>
            <w:tcW w:w="498" w:type="pct"/>
            <w:tcBorders>
              <w:top w:val="nil"/>
              <w:left w:val="nil"/>
              <w:bottom w:val="single" w:sz="4" w:space="0" w:color="auto"/>
              <w:right w:val="single" w:sz="4" w:space="0" w:color="auto"/>
            </w:tcBorders>
            <w:shd w:val="clear" w:color="auto" w:fill="FFFFFF" w:themeFill="background1"/>
          </w:tcPr>
          <w:p w14:paraId="5B9AF4AE" w14:textId="614EB807" w:rsidR="004F3F9F" w:rsidRPr="00EB4E6C" w:rsidRDefault="004F3F9F" w:rsidP="004F3F9F">
            <w:pPr>
              <w:jc w:val="right"/>
              <w:rPr>
                <w:color w:val="000000"/>
                <w:sz w:val="18"/>
                <w:szCs w:val="18"/>
                <w:lang w:eastAsia="en-CA"/>
              </w:rPr>
            </w:pPr>
            <w:r>
              <w:rPr>
                <w:color w:val="000000"/>
                <w:sz w:val="18"/>
                <w:szCs w:val="18"/>
              </w:rPr>
              <w:t>0</w:t>
            </w:r>
          </w:p>
        </w:tc>
        <w:tc>
          <w:tcPr>
            <w:tcW w:w="529" w:type="pct"/>
            <w:tcBorders>
              <w:top w:val="nil"/>
              <w:left w:val="nil"/>
              <w:bottom w:val="single" w:sz="4" w:space="0" w:color="auto"/>
              <w:right w:val="single" w:sz="4" w:space="0" w:color="auto"/>
            </w:tcBorders>
            <w:shd w:val="clear" w:color="auto" w:fill="FFFFFF" w:themeFill="background1"/>
          </w:tcPr>
          <w:p w14:paraId="62A9AB93" w14:textId="23F6CD38" w:rsidR="004F3F9F" w:rsidRPr="00EB4E6C" w:rsidRDefault="004F3F9F" w:rsidP="004F3F9F">
            <w:pPr>
              <w:jc w:val="right"/>
              <w:rPr>
                <w:color w:val="000000"/>
                <w:sz w:val="18"/>
                <w:szCs w:val="18"/>
                <w:lang w:eastAsia="en-CA"/>
              </w:rPr>
            </w:pPr>
            <w:r>
              <w:rPr>
                <w:sz w:val="18"/>
                <w:szCs w:val="18"/>
              </w:rPr>
              <w:t>13.800</w:t>
            </w:r>
          </w:p>
        </w:tc>
        <w:tc>
          <w:tcPr>
            <w:tcW w:w="463" w:type="pct"/>
            <w:tcBorders>
              <w:top w:val="nil"/>
              <w:left w:val="nil"/>
              <w:bottom w:val="single" w:sz="4" w:space="0" w:color="auto"/>
              <w:right w:val="single" w:sz="4" w:space="0" w:color="auto"/>
            </w:tcBorders>
            <w:shd w:val="clear" w:color="auto" w:fill="FFFFFF" w:themeFill="background1"/>
          </w:tcPr>
          <w:p w14:paraId="2228039E" w14:textId="4E2BADAB" w:rsidR="004F3F9F" w:rsidRPr="00EB4E6C" w:rsidRDefault="004F3F9F" w:rsidP="004F3F9F">
            <w:pPr>
              <w:jc w:val="right"/>
              <w:rPr>
                <w:color w:val="000000"/>
                <w:sz w:val="18"/>
                <w:szCs w:val="18"/>
                <w:lang w:eastAsia="en-CA"/>
              </w:rPr>
            </w:pPr>
            <w:r>
              <w:rPr>
                <w:sz w:val="18"/>
                <w:szCs w:val="18"/>
              </w:rPr>
              <w:t>233.700</w:t>
            </w:r>
          </w:p>
        </w:tc>
      </w:tr>
      <w:tr w:rsidR="004F3F9F" w:rsidRPr="00EB4E6C" w14:paraId="0BB74074" w14:textId="77777777" w:rsidTr="004F3F9F">
        <w:trPr>
          <w:trHeight w:val="66"/>
          <w:jc w:val="center"/>
        </w:trPr>
        <w:tc>
          <w:tcPr>
            <w:tcW w:w="307" w:type="pct"/>
            <w:tcBorders>
              <w:top w:val="nil"/>
              <w:left w:val="single" w:sz="4" w:space="0" w:color="auto"/>
              <w:bottom w:val="single" w:sz="4" w:space="0" w:color="auto"/>
              <w:right w:val="single" w:sz="4" w:space="0" w:color="auto"/>
            </w:tcBorders>
            <w:hideMark/>
          </w:tcPr>
          <w:p w14:paraId="760D20A1" w14:textId="7335ECBA" w:rsidR="004F3F9F" w:rsidRPr="00EB4E6C" w:rsidRDefault="004F3F9F" w:rsidP="004F3F9F">
            <w:pPr>
              <w:jc w:val="left"/>
              <w:rPr>
                <w:color w:val="000000"/>
                <w:sz w:val="18"/>
                <w:szCs w:val="18"/>
                <w:lang w:eastAsia="en-CA"/>
              </w:rPr>
            </w:pPr>
            <w:r>
              <w:rPr>
                <w:color w:val="000000"/>
                <w:sz w:val="18"/>
                <w:szCs w:val="18"/>
                <w:lang w:eastAsia="en-CA"/>
              </w:rPr>
              <w:t>2.2</w:t>
            </w:r>
          </w:p>
        </w:tc>
        <w:tc>
          <w:tcPr>
            <w:tcW w:w="1709" w:type="pct"/>
            <w:tcBorders>
              <w:top w:val="nil"/>
              <w:left w:val="nil"/>
              <w:bottom w:val="single" w:sz="4" w:space="0" w:color="auto"/>
              <w:right w:val="single" w:sz="4" w:space="0" w:color="auto"/>
            </w:tcBorders>
            <w:hideMark/>
          </w:tcPr>
          <w:p w14:paraId="70A9C615" w14:textId="77777777" w:rsidR="004F3F9F" w:rsidRPr="00EB4E6C" w:rsidRDefault="004F3F9F" w:rsidP="004F3F9F">
            <w:pPr>
              <w:jc w:val="left"/>
              <w:rPr>
                <w:color w:val="000000"/>
                <w:sz w:val="18"/>
                <w:szCs w:val="18"/>
                <w:lang w:val="es-ES" w:eastAsia="en-CA"/>
              </w:rPr>
            </w:pPr>
            <w:r>
              <w:rPr>
                <w:color w:val="000000"/>
                <w:sz w:val="18"/>
                <w:szCs w:val="18"/>
                <w:lang w:val="es-ES" w:eastAsia="en-CA"/>
              </w:rPr>
              <w:t>Gastos de apoyo para el principal organismo de ejecución (USD)</w:t>
            </w:r>
          </w:p>
        </w:tc>
        <w:tc>
          <w:tcPr>
            <w:tcW w:w="498" w:type="pct"/>
            <w:tcBorders>
              <w:top w:val="nil"/>
              <w:left w:val="nil"/>
              <w:bottom w:val="single" w:sz="4" w:space="0" w:color="auto"/>
              <w:right w:val="single" w:sz="4" w:space="0" w:color="auto"/>
            </w:tcBorders>
            <w:shd w:val="clear" w:color="auto" w:fill="FFFFFF" w:themeFill="background1"/>
          </w:tcPr>
          <w:p w14:paraId="3C210EBD" w14:textId="7E31808A" w:rsidR="004F3F9F" w:rsidRPr="00EB4E6C" w:rsidRDefault="004F3F9F" w:rsidP="004F3F9F">
            <w:pPr>
              <w:jc w:val="right"/>
              <w:rPr>
                <w:color w:val="000000"/>
                <w:sz w:val="18"/>
                <w:szCs w:val="18"/>
                <w:lang w:eastAsia="en-CA"/>
              </w:rPr>
            </w:pPr>
            <w:r>
              <w:rPr>
                <w:color w:val="000000"/>
                <w:sz w:val="18"/>
                <w:szCs w:val="18"/>
              </w:rPr>
              <w:t>14.157</w:t>
            </w:r>
          </w:p>
        </w:tc>
        <w:tc>
          <w:tcPr>
            <w:tcW w:w="498" w:type="pct"/>
            <w:tcBorders>
              <w:top w:val="nil"/>
              <w:left w:val="nil"/>
              <w:bottom w:val="single" w:sz="4" w:space="0" w:color="auto"/>
              <w:right w:val="single" w:sz="4" w:space="0" w:color="auto"/>
            </w:tcBorders>
            <w:shd w:val="clear" w:color="auto" w:fill="FFFFFF" w:themeFill="background1"/>
          </w:tcPr>
          <w:p w14:paraId="5B3F2CEB" w14:textId="5E878BA9" w:rsidR="004F3F9F" w:rsidRPr="00EB4E6C" w:rsidRDefault="004F3F9F" w:rsidP="004F3F9F">
            <w:pPr>
              <w:jc w:val="right"/>
              <w:rPr>
                <w:color w:val="000000"/>
                <w:sz w:val="18"/>
                <w:szCs w:val="18"/>
                <w:lang w:eastAsia="en-CA"/>
              </w:rPr>
            </w:pPr>
            <w:r>
              <w:rPr>
                <w:color w:val="000000"/>
                <w:sz w:val="18"/>
                <w:szCs w:val="18"/>
              </w:rPr>
              <w:t>0</w:t>
            </w:r>
          </w:p>
        </w:tc>
        <w:tc>
          <w:tcPr>
            <w:tcW w:w="498" w:type="pct"/>
            <w:tcBorders>
              <w:top w:val="nil"/>
              <w:left w:val="nil"/>
              <w:bottom w:val="single" w:sz="4" w:space="0" w:color="auto"/>
              <w:right w:val="single" w:sz="4" w:space="0" w:color="auto"/>
            </w:tcBorders>
            <w:shd w:val="clear" w:color="auto" w:fill="FFFFFF" w:themeFill="background1"/>
          </w:tcPr>
          <w:p w14:paraId="21AB1F6B" w14:textId="4C1D2C89" w:rsidR="004F3F9F" w:rsidRPr="00EB4E6C" w:rsidRDefault="004F3F9F" w:rsidP="004F3F9F">
            <w:pPr>
              <w:jc w:val="right"/>
              <w:rPr>
                <w:color w:val="000000"/>
                <w:sz w:val="18"/>
                <w:szCs w:val="18"/>
                <w:lang w:eastAsia="en-CA"/>
              </w:rPr>
            </w:pPr>
            <w:r>
              <w:rPr>
                <w:sz w:val="18"/>
                <w:szCs w:val="18"/>
              </w:rPr>
              <w:t>14.430</w:t>
            </w:r>
          </w:p>
        </w:tc>
        <w:tc>
          <w:tcPr>
            <w:tcW w:w="498" w:type="pct"/>
            <w:tcBorders>
              <w:top w:val="nil"/>
              <w:left w:val="nil"/>
              <w:bottom w:val="single" w:sz="4" w:space="0" w:color="auto"/>
              <w:right w:val="single" w:sz="4" w:space="0" w:color="auto"/>
            </w:tcBorders>
            <w:shd w:val="clear" w:color="auto" w:fill="FFFFFF" w:themeFill="background1"/>
          </w:tcPr>
          <w:p w14:paraId="3CE122DD" w14:textId="2453ACF3" w:rsidR="004F3F9F" w:rsidRPr="00EB4E6C" w:rsidRDefault="004F3F9F" w:rsidP="004F3F9F">
            <w:pPr>
              <w:jc w:val="right"/>
              <w:rPr>
                <w:color w:val="000000"/>
                <w:sz w:val="18"/>
                <w:szCs w:val="18"/>
                <w:lang w:eastAsia="en-CA"/>
              </w:rPr>
            </w:pPr>
            <w:r>
              <w:rPr>
                <w:color w:val="000000"/>
                <w:sz w:val="18"/>
                <w:szCs w:val="18"/>
              </w:rPr>
              <w:t>0</w:t>
            </w:r>
          </w:p>
        </w:tc>
        <w:tc>
          <w:tcPr>
            <w:tcW w:w="529" w:type="pct"/>
            <w:tcBorders>
              <w:top w:val="nil"/>
              <w:left w:val="nil"/>
              <w:bottom w:val="single" w:sz="4" w:space="0" w:color="auto"/>
              <w:right w:val="single" w:sz="4" w:space="0" w:color="auto"/>
            </w:tcBorders>
            <w:shd w:val="clear" w:color="auto" w:fill="FFFFFF" w:themeFill="background1"/>
          </w:tcPr>
          <w:p w14:paraId="24034DB5" w14:textId="391EB22E" w:rsidR="004F3F9F" w:rsidRPr="00EB4E6C" w:rsidRDefault="004F3F9F" w:rsidP="004F3F9F">
            <w:pPr>
              <w:jc w:val="right"/>
              <w:rPr>
                <w:color w:val="000000"/>
                <w:sz w:val="18"/>
                <w:szCs w:val="18"/>
                <w:lang w:eastAsia="en-CA"/>
              </w:rPr>
            </w:pPr>
            <w:r>
              <w:rPr>
                <w:sz w:val="18"/>
                <w:szCs w:val="18"/>
              </w:rPr>
              <w:t>1.794</w:t>
            </w:r>
          </w:p>
        </w:tc>
        <w:tc>
          <w:tcPr>
            <w:tcW w:w="463" w:type="pct"/>
            <w:tcBorders>
              <w:top w:val="nil"/>
              <w:left w:val="nil"/>
              <w:bottom w:val="single" w:sz="4" w:space="0" w:color="auto"/>
              <w:right w:val="single" w:sz="4" w:space="0" w:color="auto"/>
            </w:tcBorders>
            <w:shd w:val="clear" w:color="auto" w:fill="FFFFFF" w:themeFill="background1"/>
          </w:tcPr>
          <w:p w14:paraId="2DC8CEEE" w14:textId="69A6689F" w:rsidR="004F3F9F" w:rsidRPr="00EB4E6C" w:rsidRDefault="004F3F9F" w:rsidP="004F3F9F">
            <w:pPr>
              <w:jc w:val="right"/>
              <w:rPr>
                <w:color w:val="000000"/>
                <w:sz w:val="18"/>
                <w:szCs w:val="18"/>
                <w:lang w:eastAsia="en-CA"/>
              </w:rPr>
            </w:pPr>
            <w:r>
              <w:rPr>
                <w:sz w:val="18"/>
                <w:szCs w:val="18"/>
              </w:rPr>
              <w:t>30.381</w:t>
            </w:r>
          </w:p>
        </w:tc>
      </w:tr>
      <w:tr w:rsidR="004F3F9F" w:rsidRPr="00EB4E6C" w14:paraId="311B9442" w14:textId="77777777" w:rsidTr="004F3F9F">
        <w:trPr>
          <w:trHeight w:val="192"/>
          <w:jc w:val="center"/>
        </w:trPr>
        <w:tc>
          <w:tcPr>
            <w:tcW w:w="307" w:type="pct"/>
            <w:tcBorders>
              <w:top w:val="nil"/>
              <w:left w:val="single" w:sz="4" w:space="0" w:color="auto"/>
              <w:bottom w:val="single" w:sz="4" w:space="0" w:color="auto"/>
              <w:right w:val="single" w:sz="4" w:space="0" w:color="auto"/>
            </w:tcBorders>
            <w:hideMark/>
          </w:tcPr>
          <w:p w14:paraId="10305A44" w14:textId="602349F5" w:rsidR="004F3F9F" w:rsidRPr="00EB4E6C" w:rsidRDefault="004F3F9F" w:rsidP="004F3F9F">
            <w:pPr>
              <w:jc w:val="left"/>
              <w:rPr>
                <w:color w:val="000000"/>
                <w:sz w:val="18"/>
                <w:szCs w:val="18"/>
                <w:lang w:eastAsia="en-CA"/>
              </w:rPr>
            </w:pPr>
            <w:r>
              <w:rPr>
                <w:color w:val="000000"/>
                <w:sz w:val="18"/>
                <w:szCs w:val="18"/>
                <w:lang w:eastAsia="en-CA"/>
              </w:rPr>
              <w:t>2.3</w:t>
            </w:r>
          </w:p>
        </w:tc>
        <w:tc>
          <w:tcPr>
            <w:tcW w:w="1709" w:type="pct"/>
            <w:tcBorders>
              <w:top w:val="nil"/>
              <w:left w:val="nil"/>
              <w:bottom w:val="single" w:sz="4" w:space="0" w:color="auto"/>
              <w:right w:val="single" w:sz="4" w:space="0" w:color="auto"/>
            </w:tcBorders>
            <w:hideMark/>
          </w:tcPr>
          <w:p w14:paraId="2A03980E" w14:textId="41B7BFE3" w:rsidR="004F3F9F" w:rsidRPr="00EB4E6C" w:rsidRDefault="004F3F9F" w:rsidP="004F3F9F">
            <w:pPr>
              <w:jc w:val="left"/>
              <w:rPr>
                <w:color w:val="000000"/>
                <w:sz w:val="18"/>
                <w:szCs w:val="18"/>
                <w:lang w:val="es-ES" w:eastAsia="en-CA"/>
              </w:rPr>
            </w:pPr>
            <w:r>
              <w:rPr>
                <w:color w:val="000000"/>
                <w:sz w:val="18"/>
                <w:szCs w:val="18"/>
                <w:lang w:val="es-ES" w:eastAsia="en-CA"/>
              </w:rPr>
              <w:t>Organismo cooperante (ONUDI) - financiamiento convenido (USD)</w:t>
            </w:r>
          </w:p>
        </w:tc>
        <w:tc>
          <w:tcPr>
            <w:tcW w:w="498" w:type="pct"/>
            <w:tcBorders>
              <w:top w:val="nil"/>
              <w:left w:val="nil"/>
              <w:bottom w:val="single" w:sz="4" w:space="0" w:color="auto"/>
              <w:right w:val="single" w:sz="4" w:space="0" w:color="auto"/>
            </w:tcBorders>
          </w:tcPr>
          <w:p w14:paraId="66ED1126" w14:textId="6AC41A73" w:rsidR="004F3F9F" w:rsidRPr="00EB4E6C" w:rsidRDefault="004F3F9F" w:rsidP="004F3F9F">
            <w:pPr>
              <w:jc w:val="right"/>
              <w:rPr>
                <w:color w:val="000000"/>
                <w:sz w:val="18"/>
                <w:szCs w:val="18"/>
                <w:lang w:eastAsia="en-CA"/>
              </w:rPr>
            </w:pPr>
            <w:r>
              <w:rPr>
                <w:color w:val="000000"/>
                <w:sz w:val="18"/>
                <w:szCs w:val="18"/>
              </w:rPr>
              <w:t>35.000</w:t>
            </w:r>
          </w:p>
        </w:tc>
        <w:tc>
          <w:tcPr>
            <w:tcW w:w="498" w:type="pct"/>
            <w:tcBorders>
              <w:top w:val="nil"/>
              <w:left w:val="nil"/>
              <w:bottom w:val="single" w:sz="4" w:space="0" w:color="auto"/>
              <w:right w:val="single" w:sz="4" w:space="0" w:color="auto"/>
            </w:tcBorders>
          </w:tcPr>
          <w:p w14:paraId="2FB7C442" w14:textId="55262678" w:rsidR="004F3F9F" w:rsidRPr="00EB4E6C" w:rsidRDefault="004F3F9F" w:rsidP="004F3F9F">
            <w:pPr>
              <w:jc w:val="right"/>
              <w:rPr>
                <w:color w:val="000000"/>
                <w:sz w:val="18"/>
                <w:szCs w:val="18"/>
                <w:lang w:eastAsia="en-CA"/>
              </w:rPr>
            </w:pPr>
            <w:r>
              <w:rPr>
                <w:color w:val="000000"/>
                <w:sz w:val="18"/>
                <w:szCs w:val="18"/>
              </w:rPr>
              <w:t>0</w:t>
            </w:r>
          </w:p>
        </w:tc>
        <w:tc>
          <w:tcPr>
            <w:tcW w:w="498" w:type="pct"/>
            <w:tcBorders>
              <w:top w:val="nil"/>
              <w:left w:val="nil"/>
              <w:bottom w:val="single" w:sz="4" w:space="0" w:color="auto"/>
              <w:right w:val="single" w:sz="4" w:space="0" w:color="auto"/>
            </w:tcBorders>
          </w:tcPr>
          <w:p w14:paraId="37F0EF92" w14:textId="702C099B" w:rsidR="004F3F9F" w:rsidRPr="00EB4E6C" w:rsidRDefault="004F3F9F" w:rsidP="004F3F9F">
            <w:pPr>
              <w:jc w:val="right"/>
              <w:rPr>
                <w:color w:val="000000"/>
                <w:sz w:val="18"/>
                <w:szCs w:val="18"/>
                <w:lang w:eastAsia="en-CA"/>
              </w:rPr>
            </w:pPr>
            <w:r>
              <w:rPr>
                <w:sz w:val="18"/>
                <w:szCs w:val="18"/>
              </w:rPr>
              <w:t>17.000</w:t>
            </w:r>
          </w:p>
        </w:tc>
        <w:tc>
          <w:tcPr>
            <w:tcW w:w="498" w:type="pct"/>
            <w:tcBorders>
              <w:top w:val="nil"/>
              <w:left w:val="nil"/>
              <w:bottom w:val="single" w:sz="4" w:space="0" w:color="auto"/>
              <w:right w:val="single" w:sz="4" w:space="0" w:color="auto"/>
            </w:tcBorders>
          </w:tcPr>
          <w:p w14:paraId="3123747B" w14:textId="6C013C2D" w:rsidR="004F3F9F" w:rsidRPr="00EB4E6C" w:rsidRDefault="004F3F9F" w:rsidP="004F3F9F">
            <w:pPr>
              <w:jc w:val="right"/>
              <w:rPr>
                <w:color w:val="000000"/>
                <w:sz w:val="18"/>
                <w:szCs w:val="18"/>
                <w:lang w:eastAsia="en-CA"/>
              </w:rPr>
            </w:pPr>
            <w:r>
              <w:rPr>
                <w:color w:val="000000"/>
                <w:sz w:val="18"/>
                <w:szCs w:val="18"/>
              </w:rPr>
              <w:t>0</w:t>
            </w:r>
          </w:p>
        </w:tc>
        <w:tc>
          <w:tcPr>
            <w:tcW w:w="529" w:type="pct"/>
            <w:tcBorders>
              <w:top w:val="nil"/>
              <w:left w:val="nil"/>
              <w:bottom w:val="single" w:sz="4" w:space="0" w:color="auto"/>
              <w:right w:val="single" w:sz="4" w:space="0" w:color="auto"/>
            </w:tcBorders>
          </w:tcPr>
          <w:p w14:paraId="38384E41" w14:textId="066E8E73" w:rsidR="004F3F9F" w:rsidRPr="00EB4E6C" w:rsidRDefault="004F3F9F" w:rsidP="004F3F9F">
            <w:pPr>
              <w:jc w:val="right"/>
              <w:rPr>
                <w:color w:val="000000"/>
                <w:sz w:val="18"/>
                <w:szCs w:val="18"/>
                <w:lang w:eastAsia="en-CA"/>
              </w:rPr>
            </w:pPr>
            <w:r>
              <w:rPr>
                <w:sz w:val="18"/>
                <w:szCs w:val="18"/>
              </w:rPr>
              <w:t>5.300</w:t>
            </w:r>
          </w:p>
        </w:tc>
        <w:tc>
          <w:tcPr>
            <w:tcW w:w="463" w:type="pct"/>
            <w:tcBorders>
              <w:top w:val="nil"/>
              <w:left w:val="nil"/>
              <w:bottom w:val="single" w:sz="4" w:space="0" w:color="auto"/>
              <w:right w:val="single" w:sz="4" w:space="0" w:color="auto"/>
            </w:tcBorders>
          </w:tcPr>
          <w:p w14:paraId="631ED699" w14:textId="5A5B8E3E" w:rsidR="004F3F9F" w:rsidRPr="00EB4E6C" w:rsidRDefault="004F3F9F" w:rsidP="004F3F9F">
            <w:pPr>
              <w:jc w:val="right"/>
              <w:rPr>
                <w:color w:val="000000"/>
                <w:sz w:val="18"/>
                <w:szCs w:val="18"/>
                <w:lang w:eastAsia="en-CA"/>
              </w:rPr>
            </w:pPr>
            <w:r>
              <w:rPr>
                <w:sz w:val="18"/>
                <w:szCs w:val="18"/>
              </w:rPr>
              <w:t>57.300</w:t>
            </w:r>
          </w:p>
        </w:tc>
      </w:tr>
      <w:tr w:rsidR="004F3F9F" w:rsidRPr="00EB4E6C" w14:paraId="146AC09F" w14:textId="77777777" w:rsidTr="004F3F9F">
        <w:trPr>
          <w:trHeight w:val="71"/>
          <w:jc w:val="center"/>
        </w:trPr>
        <w:tc>
          <w:tcPr>
            <w:tcW w:w="307" w:type="pct"/>
            <w:tcBorders>
              <w:top w:val="nil"/>
              <w:left w:val="single" w:sz="4" w:space="0" w:color="auto"/>
              <w:bottom w:val="single" w:sz="4" w:space="0" w:color="auto"/>
              <w:right w:val="single" w:sz="4" w:space="0" w:color="auto"/>
            </w:tcBorders>
            <w:hideMark/>
          </w:tcPr>
          <w:p w14:paraId="0A13784E" w14:textId="594FB84F" w:rsidR="004F3F9F" w:rsidRPr="00EB4E6C" w:rsidRDefault="004F3F9F" w:rsidP="004F3F9F">
            <w:pPr>
              <w:jc w:val="left"/>
              <w:rPr>
                <w:color w:val="000000"/>
                <w:sz w:val="18"/>
                <w:szCs w:val="18"/>
                <w:lang w:eastAsia="en-CA"/>
              </w:rPr>
            </w:pPr>
            <w:r>
              <w:rPr>
                <w:color w:val="000000"/>
                <w:sz w:val="18"/>
                <w:szCs w:val="18"/>
                <w:lang w:eastAsia="en-CA"/>
              </w:rPr>
              <w:t>2.4</w:t>
            </w:r>
          </w:p>
        </w:tc>
        <w:tc>
          <w:tcPr>
            <w:tcW w:w="1709" w:type="pct"/>
            <w:tcBorders>
              <w:top w:val="nil"/>
              <w:left w:val="nil"/>
              <w:bottom w:val="single" w:sz="4" w:space="0" w:color="auto"/>
              <w:right w:val="single" w:sz="4" w:space="0" w:color="auto"/>
            </w:tcBorders>
            <w:hideMark/>
          </w:tcPr>
          <w:p w14:paraId="27FAF106" w14:textId="77777777" w:rsidR="004F3F9F" w:rsidRPr="00EB4E6C" w:rsidRDefault="004F3F9F" w:rsidP="004F3F9F">
            <w:pPr>
              <w:jc w:val="left"/>
              <w:rPr>
                <w:color w:val="000000"/>
                <w:sz w:val="18"/>
                <w:szCs w:val="18"/>
                <w:lang w:val="es-ES" w:eastAsia="en-CA"/>
              </w:rPr>
            </w:pPr>
            <w:r>
              <w:rPr>
                <w:color w:val="000000"/>
                <w:sz w:val="18"/>
                <w:szCs w:val="18"/>
                <w:lang w:val="es-ES" w:eastAsia="en-CA"/>
              </w:rPr>
              <w:t>Gastos de apoyo para el organismo cooperante (USD)</w:t>
            </w:r>
          </w:p>
        </w:tc>
        <w:tc>
          <w:tcPr>
            <w:tcW w:w="498" w:type="pct"/>
            <w:tcBorders>
              <w:top w:val="nil"/>
              <w:left w:val="nil"/>
              <w:bottom w:val="single" w:sz="4" w:space="0" w:color="auto"/>
              <w:right w:val="single" w:sz="4" w:space="0" w:color="auto"/>
            </w:tcBorders>
          </w:tcPr>
          <w:p w14:paraId="60FD3EDB" w14:textId="0050C3F1" w:rsidR="004F3F9F" w:rsidRPr="00EB4E6C" w:rsidRDefault="004F3F9F" w:rsidP="004F3F9F">
            <w:pPr>
              <w:jc w:val="right"/>
              <w:rPr>
                <w:color w:val="000000"/>
                <w:sz w:val="18"/>
                <w:szCs w:val="18"/>
                <w:lang w:eastAsia="en-CA"/>
              </w:rPr>
            </w:pPr>
            <w:r>
              <w:rPr>
                <w:color w:val="000000"/>
                <w:sz w:val="18"/>
                <w:szCs w:val="18"/>
              </w:rPr>
              <w:t>3.150</w:t>
            </w:r>
          </w:p>
        </w:tc>
        <w:tc>
          <w:tcPr>
            <w:tcW w:w="498" w:type="pct"/>
            <w:tcBorders>
              <w:top w:val="nil"/>
              <w:left w:val="nil"/>
              <w:bottom w:val="single" w:sz="4" w:space="0" w:color="auto"/>
              <w:right w:val="single" w:sz="4" w:space="0" w:color="auto"/>
            </w:tcBorders>
          </w:tcPr>
          <w:p w14:paraId="6E6142EE" w14:textId="3A91CCCA" w:rsidR="004F3F9F" w:rsidRPr="00EB4E6C" w:rsidRDefault="004F3F9F" w:rsidP="004F3F9F">
            <w:pPr>
              <w:jc w:val="right"/>
              <w:rPr>
                <w:color w:val="000000"/>
                <w:sz w:val="18"/>
                <w:szCs w:val="18"/>
                <w:lang w:eastAsia="en-CA"/>
              </w:rPr>
            </w:pPr>
            <w:r>
              <w:rPr>
                <w:color w:val="000000"/>
                <w:sz w:val="18"/>
                <w:szCs w:val="18"/>
              </w:rPr>
              <w:t>0</w:t>
            </w:r>
          </w:p>
        </w:tc>
        <w:tc>
          <w:tcPr>
            <w:tcW w:w="498" w:type="pct"/>
            <w:tcBorders>
              <w:top w:val="nil"/>
              <w:left w:val="nil"/>
              <w:bottom w:val="single" w:sz="4" w:space="0" w:color="auto"/>
              <w:right w:val="single" w:sz="4" w:space="0" w:color="auto"/>
            </w:tcBorders>
          </w:tcPr>
          <w:p w14:paraId="24518977" w14:textId="59643721" w:rsidR="004F3F9F" w:rsidRPr="00EB4E6C" w:rsidRDefault="004F3F9F" w:rsidP="004F3F9F">
            <w:pPr>
              <w:jc w:val="right"/>
              <w:rPr>
                <w:color w:val="000000"/>
                <w:sz w:val="18"/>
                <w:szCs w:val="18"/>
                <w:lang w:eastAsia="en-CA"/>
              </w:rPr>
            </w:pPr>
            <w:r>
              <w:rPr>
                <w:sz w:val="18"/>
                <w:szCs w:val="18"/>
              </w:rPr>
              <w:t>1.530</w:t>
            </w:r>
          </w:p>
        </w:tc>
        <w:tc>
          <w:tcPr>
            <w:tcW w:w="498" w:type="pct"/>
            <w:tcBorders>
              <w:top w:val="nil"/>
              <w:left w:val="nil"/>
              <w:bottom w:val="single" w:sz="4" w:space="0" w:color="auto"/>
              <w:right w:val="single" w:sz="4" w:space="0" w:color="auto"/>
            </w:tcBorders>
          </w:tcPr>
          <w:p w14:paraId="67136E5F" w14:textId="33AE340B" w:rsidR="004F3F9F" w:rsidRPr="00EB4E6C" w:rsidRDefault="004F3F9F" w:rsidP="004F3F9F">
            <w:pPr>
              <w:jc w:val="right"/>
              <w:rPr>
                <w:color w:val="000000"/>
                <w:sz w:val="18"/>
                <w:szCs w:val="18"/>
                <w:lang w:eastAsia="en-CA"/>
              </w:rPr>
            </w:pPr>
            <w:r>
              <w:rPr>
                <w:color w:val="000000"/>
                <w:sz w:val="18"/>
                <w:szCs w:val="18"/>
              </w:rPr>
              <w:t>00</w:t>
            </w:r>
          </w:p>
        </w:tc>
        <w:tc>
          <w:tcPr>
            <w:tcW w:w="529" w:type="pct"/>
            <w:tcBorders>
              <w:top w:val="nil"/>
              <w:left w:val="nil"/>
              <w:bottom w:val="single" w:sz="4" w:space="0" w:color="auto"/>
              <w:right w:val="single" w:sz="4" w:space="0" w:color="auto"/>
            </w:tcBorders>
          </w:tcPr>
          <w:p w14:paraId="6F7E3209" w14:textId="3D0F6AF4" w:rsidR="004F3F9F" w:rsidRPr="00EB4E6C" w:rsidRDefault="004F3F9F" w:rsidP="004F3F9F">
            <w:pPr>
              <w:jc w:val="right"/>
              <w:rPr>
                <w:color w:val="000000"/>
                <w:sz w:val="18"/>
                <w:szCs w:val="18"/>
                <w:lang w:eastAsia="en-CA"/>
              </w:rPr>
            </w:pPr>
            <w:r>
              <w:rPr>
                <w:sz w:val="18"/>
                <w:szCs w:val="18"/>
              </w:rPr>
              <w:t>477</w:t>
            </w:r>
          </w:p>
        </w:tc>
        <w:tc>
          <w:tcPr>
            <w:tcW w:w="463" w:type="pct"/>
            <w:tcBorders>
              <w:top w:val="nil"/>
              <w:left w:val="nil"/>
              <w:bottom w:val="single" w:sz="4" w:space="0" w:color="auto"/>
              <w:right w:val="single" w:sz="4" w:space="0" w:color="auto"/>
            </w:tcBorders>
          </w:tcPr>
          <w:p w14:paraId="57528951" w14:textId="1386EE22" w:rsidR="004F3F9F" w:rsidRPr="00EB4E6C" w:rsidRDefault="004F3F9F" w:rsidP="004F3F9F">
            <w:pPr>
              <w:jc w:val="right"/>
              <w:rPr>
                <w:color w:val="000000"/>
                <w:sz w:val="18"/>
                <w:szCs w:val="18"/>
                <w:lang w:eastAsia="en-CA"/>
              </w:rPr>
            </w:pPr>
            <w:r>
              <w:rPr>
                <w:sz w:val="18"/>
                <w:szCs w:val="18"/>
              </w:rPr>
              <w:t>5.157</w:t>
            </w:r>
          </w:p>
        </w:tc>
      </w:tr>
      <w:tr w:rsidR="004F3F9F" w:rsidRPr="00EB4E6C" w14:paraId="3C0523A4" w14:textId="77777777" w:rsidTr="004F3F9F">
        <w:trPr>
          <w:trHeight w:val="73"/>
          <w:jc w:val="center"/>
        </w:trPr>
        <w:tc>
          <w:tcPr>
            <w:tcW w:w="307" w:type="pct"/>
            <w:tcBorders>
              <w:top w:val="nil"/>
              <w:left w:val="single" w:sz="4" w:space="0" w:color="auto"/>
              <w:bottom w:val="single" w:sz="4" w:space="0" w:color="auto"/>
              <w:right w:val="single" w:sz="4" w:space="0" w:color="auto"/>
            </w:tcBorders>
            <w:hideMark/>
          </w:tcPr>
          <w:p w14:paraId="5E6C3F38" w14:textId="61BF8FC0" w:rsidR="004F3F9F" w:rsidRPr="00EB4E6C" w:rsidRDefault="004F3F9F" w:rsidP="004F3F9F">
            <w:pPr>
              <w:jc w:val="left"/>
              <w:rPr>
                <w:color w:val="000000"/>
                <w:sz w:val="18"/>
                <w:szCs w:val="18"/>
                <w:lang w:eastAsia="en-CA"/>
              </w:rPr>
            </w:pPr>
            <w:r>
              <w:rPr>
                <w:color w:val="000000"/>
                <w:sz w:val="18"/>
                <w:szCs w:val="18"/>
                <w:lang w:eastAsia="en-CA"/>
              </w:rPr>
              <w:t>3.1</w:t>
            </w:r>
          </w:p>
        </w:tc>
        <w:tc>
          <w:tcPr>
            <w:tcW w:w="1709" w:type="pct"/>
            <w:tcBorders>
              <w:top w:val="nil"/>
              <w:left w:val="nil"/>
              <w:bottom w:val="single" w:sz="4" w:space="0" w:color="auto"/>
              <w:right w:val="single" w:sz="4" w:space="0" w:color="auto"/>
            </w:tcBorders>
            <w:hideMark/>
          </w:tcPr>
          <w:p w14:paraId="79C22EAB" w14:textId="77777777" w:rsidR="004F3F9F" w:rsidRPr="00EB4E6C" w:rsidRDefault="004F3F9F" w:rsidP="004F3F9F">
            <w:pPr>
              <w:jc w:val="left"/>
              <w:rPr>
                <w:color w:val="000000"/>
                <w:sz w:val="18"/>
                <w:szCs w:val="18"/>
                <w:lang w:eastAsia="en-CA"/>
              </w:rPr>
            </w:pPr>
            <w:r>
              <w:rPr>
                <w:color w:val="000000"/>
                <w:sz w:val="18"/>
                <w:szCs w:val="18"/>
                <w:lang w:eastAsia="en-CA"/>
              </w:rPr>
              <w:t>Financiamiento convenido total (USD)</w:t>
            </w:r>
          </w:p>
        </w:tc>
        <w:tc>
          <w:tcPr>
            <w:tcW w:w="498" w:type="pct"/>
            <w:tcBorders>
              <w:top w:val="nil"/>
              <w:left w:val="nil"/>
              <w:bottom w:val="single" w:sz="4" w:space="0" w:color="auto"/>
              <w:right w:val="single" w:sz="4" w:space="0" w:color="auto"/>
            </w:tcBorders>
          </w:tcPr>
          <w:p w14:paraId="29854278" w14:textId="16426E18" w:rsidR="004F3F9F" w:rsidRPr="00EB4E6C" w:rsidRDefault="004F3F9F" w:rsidP="004F3F9F">
            <w:pPr>
              <w:jc w:val="right"/>
              <w:rPr>
                <w:color w:val="000000"/>
                <w:sz w:val="18"/>
                <w:szCs w:val="18"/>
                <w:lang w:eastAsia="en-CA"/>
              </w:rPr>
            </w:pPr>
            <w:r>
              <w:rPr>
                <w:color w:val="000000"/>
                <w:sz w:val="18"/>
                <w:szCs w:val="18"/>
              </w:rPr>
              <w:t>143.900</w:t>
            </w:r>
          </w:p>
        </w:tc>
        <w:tc>
          <w:tcPr>
            <w:tcW w:w="498" w:type="pct"/>
            <w:tcBorders>
              <w:top w:val="nil"/>
              <w:left w:val="nil"/>
              <w:bottom w:val="single" w:sz="4" w:space="0" w:color="auto"/>
              <w:right w:val="single" w:sz="4" w:space="0" w:color="auto"/>
            </w:tcBorders>
          </w:tcPr>
          <w:p w14:paraId="7853C23E" w14:textId="182D220C" w:rsidR="004F3F9F" w:rsidRPr="00EB4E6C" w:rsidRDefault="004F3F9F" w:rsidP="004F3F9F">
            <w:pPr>
              <w:jc w:val="right"/>
              <w:rPr>
                <w:color w:val="000000"/>
                <w:sz w:val="18"/>
                <w:szCs w:val="18"/>
                <w:lang w:eastAsia="en-CA"/>
              </w:rPr>
            </w:pPr>
            <w:r>
              <w:rPr>
                <w:color w:val="000000"/>
                <w:sz w:val="18"/>
                <w:szCs w:val="18"/>
              </w:rPr>
              <w:t>0</w:t>
            </w:r>
          </w:p>
        </w:tc>
        <w:tc>
          <w:tcPr>
            <w:tcW w:w="498" w:type="pct"/>
            <w:tcBorders>
              <w:top w:val="nil"/>
              <w:left w:val="nil"/>
              <w:bottom w:val="single" w:sz="4" w:space="0" w:color="auto"/>
              <w:right w:val="single" w:sz="4" w:space="0" w:color="auto"/>
            </w:tcBorders>
          </w:tcPr>
          <w:p w14:paraId="404FBDC2" w14:textId="6479807C" w:rsidR="004F3F9F" w:rsidRPr="00EB4E6C" w:rsidRDefault="004F3F9F" w:rsidP="004F3F9F">
            <w:pPr>
              <w:jc w:val="right"/>
              <w:rPr>
                <w:color w:val="000000"/>
                <w:sz w:val="18"/>
                <w:szCs w:val="18"/>
                <w:lang w:eastAsia="en-CA"/>
              </w:rPr>
            </w:pPr>
            <w:r>
              <w:rPr>
                <w:sz w:val="18"/>
                <w:szCs w:val="18"/>
              </w:rPr>
              <w:t>128.000</w:t>
            </w:r>
          </w:p>
        </w:tc>
        <w:tc>
          <w:tcPr>
            <w:tcW w:w="498" w:type="pct"/>
            <w:tcBorders>
              <w:top w:val="nil"/>
              <w:left w:val="nil"/>
              <w:bottom w:val="single" w:sz="4" w:space="0" w:color="auto"/>
              <w:right w:val="single" w:sz="4" w:space="0" w:color="auto"/>
            </w:tcBorders>
          </w:tcPr>
          <w:p w14:paraId="4E2F916B" w14:textId="41535E3C" w:rsidR="004F3F9F" w:rsidRPr="00EB4E6C" w:rsidRDefault="004F3F9F" w:rsidP="004F3F9F">
            <w:pPr>
              <w:jc w:val="right"/>
              <w:rPr>
                <w:color w:val="000000"/>
                <w:sz w:val="18"/>
                <w:szCs w:val="18"/>
                <w:lang w:eastAsia="en-CA"/>
              </w:rPr>
            </w:pPr>
            <w:r>
              <w:rPr>
                <w:color w:val="000000"/>
                <w:sz w:val="18"/>
                <w:szCs w:val="18"/>
              </w:rPr>
              <w:t>0</w:t>
            </w:r>
          </w:p>
        </w:tc>
        <w:tc>
          <w:tcPr>
            <w:tcW w:w="529" w:type="pct"/>
            <w:tcBorders>
              <w:top w:val="nil"/>
              <w:left w:val="nil"/>
              <w:bottom w:val="single" w:sz="4" w:space="0" w:color="auto"/>
              <w:right w:val="single" w:sz="4" w:space="0" w:color="auto"/>
            </w:tcBorders>
          </w:tcPr>
          <w:p w14:paraId="11EA9CD3" w14:textId="3652F6D1" w:rsidR="004F3F9F" w:rsidRPr="00EB4E6C" w:rsidRDefault="004F3F9F" w:rsidP="004F3F9F">
            <w:pPr>
              <w:jc w:val="right"/>
              <w:rPr>
                <w:color w:val="000000"/>
                <w:sz w:val="18"/>
                <w:szCs w:val="18"/>
                <w:lang w:eastAsia="en-CA"/>
              </w:rPr>
            </w:pPr>
            <w:r>
              <w:rPr>
                <w:sz w:val="18"/>
                <w:szCs w:val="18"/>
              </w:rPr>
              <w:t>19.100</w:t>
            </w:r>
          </w:p>
        </w:tc>
        <w:tc>
          <w:tcPr>
            <w:tcW w:w="463" w:type="pct"/>
            <w:tcBorders>
              <w:top w:val="nil"/>
              <w:left w:val="nil"/>
              <w:bottom w:val="single" w:sz="4" w:space="0" w:color="auto"/>
              <w:right w:val="single" w:sz="4" w:space="0" w:color="auto"/>
            </w:tcBorders>
          </w:tcPr>
          <w:p w14:paraId="708F1428" w14:textId="27D393A8" w:rsidR="004F3F9F" w:rsidRPr="00EB4E6C" w:rsidRDefault="004F3F9F" w:rsidP="004F3F9F">
            <w:pPr>
              <w:jc w:val="right"/>
              <w:rPr>
                <w:color w:val="000000"/>
                <w:sz w:val="18"/>
                <w:szCs w:val="18"/>
                <w:lang w:eastAsia="en-CA"/>
              </w:rPr>
            </w:pPr>
            <w:r>
              <w:rPr>
                <w:sz w:val="18"/>
                <w:szCs w:val="18"/>
              </w:rPr>
              <w:t>291.000</w:t>
            </w:r>
          </w:p>
        </w:tc>
      </w:tr>
      <w:tr w:rsidR="004F3F9F" w:rsidRPr="00EB4E6C" w14:paraId="4213112D" w14:textId="77777777" w:rsidTr="004F3F9F">
        <w:trPr>
          <w:trHeight w:val="73"/>
          <w:jc w:val="center"/>
        </w:trPr>
        <w:tc>
          <w:tcPr>
            <w:tcW w:w="307" w:type="pct"/>
            <w:tcBorders>
              <w:top w:val="nil"/>
              <w:left w:val="single" w:sz="4" w:space="0" w:color="auto"/>
              <w:bottom w:val="single" w:sz="4" w:space="0" w:color="auto"/>
              <w:right w:val="single" w:sz="4" w:space="0" w:color="auto"/>
            </w:tcBorders>
            <w:hideMark/>
          </w:tcPr>
          <w:p w14:paraId="2C350DA4" w14:textId="03E1FC04" w:rsidR="004F3F9F" w:rsidRPr="00EB4E6C" w:rsidRDefault="004F3F9F" w:rsidP="004F3F9F">
            <w:pPr>
              <w:jc w:val="left"/>
              <w:rPr>
                <w:color w:val="000000"/>
                <w:sz w:val="18"/>
                <w:szCs w:val="18"/>
                <w:lang w:eastAsia="en-CA"/>
              </w:rPr>
            </w:pPr>
            <w:r>
              <w:rPr>
                <w:color w:val="000000"/>
                <w:sz w:val="18"/>
                <w:szCs w:val="18"/>
                <w:lang w:eastAsia="en-CA"/>
              </w:rPr>
              <w:t>3.2</w:t>
            </w:r>
          </w:p>
        </w:tc>
        <w:tc>
          <w:tcPr>
            <w:tcW w:w="1709" w:type="pct"/>
            <w:tcBorders>
              <w:top w:val="nil"/>
              <w:left w:val="nil"/>
              <w:bottom w:val="single" w:sz="4" w:space="0" w:color="auto"/>
              <w:right w:val="single" w:sz="4" w:space="0" w:color="auto"/>
            </w:tcBorders>
            <w:hideMark/>
          </w:tcPr>
          <w:p w14:paraId="0A5915DD" w14:textId="77777777" w:rsidR="004F3F9F" w:rsidRPr="00EB4E6C" w:rsidRDefault="004F3F9F" w:rsidP="004F3F9F">
            <w:pPr>
              <w:jc w:val="left"/>
              <w:rPr>
                <w:color w:val="000000"/>
                <w:sz w:val="18"/>
                <w:szCs w:val="18"/>
                <w:lang w:val="es-ES" w:eastAsia="en-CA"/>
              </w:rPr>
            </w:pPr>
            <w:r>
              <w:rPr>
                <w:color w:val="000000"/>
                <w:sz w:val="18"/>
                <w:szCs w:val="18"/>
                <w:lang w:val="es-ES" w:eastAsia="en-CA"/>
              </w:rPr>
              <w:t>Total gastos de apoyo (USD)</w:t>
            </w:r>
          </w:p>
        </w:tc>
        <w:tc>
          <w:tcPr>
            <w:tcW w:w="498" w:type="pct"/>
            <w:tcBorders>
              <w:top w:val="nil"/>
              <w:left w:val="nil"/>
              <w:bottom w:val="single" w:sz="4" w:space="0" w:color="auto"/>
              <w:right w:val="single" w:sz="4" w:space="0" w:color="auto"/>
            </w:tcBorders>
            <w:shd w:val="clear" w:color="auto" w:fill="FFFFFF" w:themeFill="background1"/>
          </w:tcPr>
          <w:p w14:paraId="16A86520" w14:textId="76F3384D" w:rsidR="004F3F9F" w:rsidRPr="00EB4E6C" w:rsidRDefault="004F3F9F" w:rsidP="004F3F9F">
            <w:pPr>
              <w:jc w:val="right"/>
              <w:rPr>
                <w:color w:val="000000"/>
                <w:sz w:val="18"/>
                <w:szCs w:val="18"/>
                <w:lang w:eastAsia="en-CA"/>
              </w:rPr>
            </w:pPr>
            <w:r>
              <w:rPr>
                <w:color w:val="000000"/>
                <w:sz w:val="18"/>
                <w:szCs w:val="18"/>
              </w:rPr>
              <w:t>17.307</w:t>
            </w:r>
          </w:p>
        </w:tc>
        <w:tc>
          <w:tcPr>
            <w:tcW w:w="498" w:type="pct"/>
            <w:tcBorders>
              <w:top w:val="nil"/>
              <w:left w:val="nil"/>
              <w:bottom w:val="single" w:sz="4" w:space="0" w:color="auto"/>
              <w:right w:val="single" w:sz="4" w:space="0" w:color="auto"/>
            </w:tcBorders>
            <w:shd w:val="clear" w:color="auto" w:fill="FFFFFF" w:themeFill="background1"/>
          </w:tcPr>
          <w:p w14:paraId="553C4C0C" w14:textId="412C0555" w:rsidR="004F3F9F" w:rsidRPr="00EB4E6C" w:rsidRDefault="004F3F9F" w:rsidP="004F3F9F">
            <w:pPr>
              <w:jc w:val="right"/>
              <w:rPr>
                <w:color w:val="000000"/>
                <w:sz w:val="18"/>
                <w:szCs w:val="18"/>
                <w:lang w:eastAsia="en-CA"/>
              </w:rPr>
            </w:pPr>
            <w:r>
              <w:rPr>
                <w:color w:val="000000"/>
                <w:sz w:val="18"/>
                <w:szCs w:val="18"/>
              </w:rPr>
              <w:t>0</w:t>
            </w:r>
          </w:p>
        </w:tc>
        <w:tc>
          <w:tcPr>
            <w:tcW w:w="498" w:type="pct"/>
            <w:tcBorders>
              <w:top w:val="nil"/>
              <w:left w:val="nil"/>
              <w:bottom w:val="single" w:sz="4" w:space="0" w:color="auto"/>
              <w:right w:val="single" w:sz="4" w:space="0" w:color="auto"/>
            </w:tcBorders>
            <w:shd w:val="clear" w:color="auto" w:fill="FFFFFF" w:themeFill="background1"/>
          </w:tcPr>
          <w:p w14:paraId="053E56E2" w14:textId="6BC3DC41" w:rsidR="004F3F9F" w:rsidRPr="00EB4E6C" w:rsidRDefault="004F3F9F" w:rsidP="004F3F9F">
            <w:pPr>
              <w:jc w:val="right"/>
              <w:rPr>
                <w:color w:val="000000"/>
                <w:sz w:val="18"/>
                <w:szCs w:val="18"/>
                <w:lang w:eastAsia="en-CA"/>
              </w:rPr>
            </w:pPr>
            <w:r>
              <w:rPr>
                <w:sz w:val="18"/>
                <w:szCs w:val="18"/>
              </w:rPr>
              <w:t>15.960</w:t>
            </w:r>
          </w:p>
        </w:tc>
        <w:tc>
          <w:tcPr>
            <w:tcW w:w="498" w:type="pct"/>
            <w:tcBorders>
              <w:top w:val="nil"/>
              <w:left w:val="nil"/>
              <w:bottom w:val="single" w:sz="4" w:space="0" w:color="auto"/>
              <w:right w:val="single" w:sz="4" w:space="0" w:color="auto"/>
            </w:tcBorders>
            <w:shd w:val="clear" w:color="auto" w:fill="FFFFFF" w:themeFill="background1"/>
          </w:tcPr>
          <w:p w14:paraId="4397CC81" w14:textId="25E7904B" w:rsidR="004F3F9F" w:rsidRPr="00EB4E6C" w:rsidRDefault="004F3F9F" w:rsidP="004F3F9F">
            <w:pPr>
              <w:jc w:val="right"/>
              <w:rPr>
                <w:color w:val="000000"/>
                <w:sz w:val="18"/>
                <w:szCs w:val="18"/>
                <w:lang w:eastAsia="en-CA"/>
              </w:rPr>
            </w:pPr>
            <w:r>
              <w:rPr>
                <w:color w:val="000000"/>
                <w:sz w:val="18"/>
                <w:szCs w:val="18"/>
              </w:rPr>
              <w:t>0</w:t>
            </w:r>
          </w:p>
        </w:tc>
        <w:tc>
          <w:tcPr>
            <w:tcW w:w="529" w:type="pct"/>
            <w:tcBorders>
              <w:top w:val="nil"/>
              <w:left w:val="nil"/>
              <w:bottom w:val="single" w:sz="4" w:space="0" w:color="auto"/>
              <w:right w:val="single" w:sz="4" w:space="0" w:color="auto"/>
            </w:tcBorders>
            <w:shd w:val="clear" w:color="auto" w:fill="FFFFFF" w:themeFill="background1"/>
          </w:tcPr>
          <w:p w14:paraId="318D57BE" w14:textId="3F975900" w:rsidR="004F3F9F" w:rsidRPr="00EB4E6C" w:rsidRDefault="004F3F9F" w:rsidP="004F3F9F">
            <w:pPr>
              <w:jc w:val="right"/>
              <w:rPr>
                <w:color w:val="000000"/>
                <w:sz w:val="18"/>
                <w:szCs w:val="18"/>
                <w:lang w:eastAsia="en-CA"/>
              </w:rPr>
            </w:pPr>
            <w:r>
              <w:rPr>
                <w:sz w:val="18"/>
                <w:szCs w:val="18"/>
              </w:rPr>
              <w:t>2.271</w:t>
            </w:r>
          </w:p>
        </w:tc>
        <w:tc>
          <w:tcPr>
            <w:tcW w:w="463" w:type="pct"/>
            <w:tcBorders>
              <w:top w:val="nil"/>
              <w:left w:val="nil"/>
              <w:bottom w:val="single" w:sz="4" w:space="0" w:color="auto"/>
              <w:right w:val="single" w:sz="4" w:space="0" w:color="auto"/>
            </w:tcBorders>
            <w:shd w:val="clear" w:color="auto" w:fill="FFFFFF" w:themeFill="background1"/>
          </w:tcPr>
          <w:p w14:paraId="166BD690" w14:textId="2C3E20FB" w:rsidR="004F3F9F" w:rsidRPr="00EB4E6C" w:rsidRDefault="004F3F9F" w:rsidP="004F3F9F">
            <w:pPr>
              <w:jc w:val="right"/>
              <w:rPr>
                <w:color w:val="000000"/>
                <w:sz w:val="18"/>
                <w:szCs w:val="18"/>
                <w:lang w:eastAsia="en-CA"/>
              </w:rPr>
            </w:pPr>
            <w:r>
              <w:rPr>
                <w:sz w:val="18"/>
                <w:szCs w:val="18"/>
              </w:rPr>
              <w:t>35.538</w:t>
            </w:r>
          </w:p>
        </w:tc>
      </w:tr>
      <w:tr w:rsidR="004F3F9F" w:rsidRPr="00EB4E6C" w14:paraId="5C0283B5" w14:textId="77777777" w:rsidTr="004F3F9F">
        <w:trPr>
          <w:trHeight w:val="63"/>
          <w:jc w:val="center"/>
        </w:trPr>
        <w:tc>
          <w:tcPr>
            <w:tcW w:w="307" w:type="pct"/>
            <w:tcBorders>
              <w:top w:val="nil"/>
              <w:left w:val="single" w:sz="4" w:space="0" w:color="auto"/>
              <w:bottom w:val="single" w:sz="4" w:space="0" w:color="auto"/>
              <w:right w:val="single" w:sz="4" w:space="0" w:color="auto"/>
            </w:tcBorders>
            <w:hideMark/>
          </w:tcPr>
          <w:p w14:paraId="7086D465" w14:textId="4D3E515C" w:rsidR="004F3F9F" w:rsidRPr="00EB4E6C" w:rsidRDefault="004F3F9F" w:rsidP="004F3F9F">
            <w:pPr>
              <w:jc w:val="left"/>
              <w:rPr>
                <w:color w:val="000000"/>
                <w:sz w:val="18"/>
                <w:szCs w:val="18"/>
                <w:lang w:eastAsia="en-CA"/>
              </w:rPr>
            </w:pPr>
            <w:r>
              <w:rPr>
                <w:color w:val="000000"/>
                <w:sz w:val="18"/>
                <w:szCs w:val="18"/>
                <w:lang w:eastAsia="en-CA"/>
              </w:rPr>
              <w:t>3.3</w:t>
            </w:r>
          </w:p>
        </w:tc>
        <w:tc>
          <w:tcPr>
            <w:tcW w:w="1709" w:type="pct"/>
            <w:tcBorders>
              <w:top w:val="nil"/>
              <w:left w:val="nil"/>
              <w:bottom w:val="single" w:sz="4" w:space="0" w:color="auto"/>
              <w:right w:val="single" w:sz="4" w:space="0" w:color="auto"/>
            </w:tcBorders>
            <w:hideMark/>
          </w:tcPr>
          <w:p w14:paraId="7F8F19DA" w14:textId="77777777" w:rsidR="004F3F9F" w:rsidRPr="00EB4E6C" w:rsidRDefault="004F3F9F" w:rsidP="004F3F9F">
            <w:pPr>
              <w:jc w:val="left"/>
              <w:rPr>
                <w:color w:val="000000"/>
                <w:sz w:val="18"/>
                <w:szCs w:val="18"/>
                <w:lang w:val="es-ES" w:eastAsia="en-CA"/>
              </w:rPr>
            </w:pPr>
            <w:r>
              <w:rPr>
                <w:color w:val="000000"/>
                <w:sz w:val="18"/>
                <w:szCs w:val="18"/>
                <w:lang w:val="es-ES" w:eastAsia="en-CA"/>
              </w:rPr>
              <w:t>Total de costos convenidos (USD)</w:t>
            </w:r>
          </w:p>
        </w:tc>
        <w:tc>
          <w:tcPr>
            <w:tcW w:w="498" w:type="pct"/>
            <w:tcBorders>
              <w:top w:val="nil"/>
              <w:left w:val="nil"/>
              <w:bottom w:val="single" w:sz="4" w:space="0" w:color="auto"/>
              <w:right w:val="single" w:sz="4" w:space="0" w:color="auto"/>
            </w:tcBorders>
            <w:shd w:val="clear" w:color="auto" w:fill="FFFFFF" w:themeFill="background1"/>
          </w:tcPr>
          <w:p w14:paraId="2FDFC771" w14:textId="53E5943C" w:rsidR="004F3F9F" w:rsidRPr="00EB4E6C" w:rsidRDefault="004F3F9F" w:rsidP="004F3F9F">
            <w:pPr>
              <w:jc w:val="right"/>
              <w:rPr>
                <w:color w:val="000000"/>
                <w:sz w:val="18"/>
                <w:szCs w:val="18"/>
                <w:lang w:eastAsia="en-CA"/>
              </w:rPr>
            </w:pPr>
            <w:r>
              <w:rPr>
                <w:color w:val="000000"/>
                <w:sz w:val="18"/>
                <w:szCs w:val="18"/>
              </w:rPr>
              <w:t>161.207</w:t>
            </w:r>
          </w:p>
        </w:tc>
        <w:tc>
          <w:tcPr>
            <w:tcW w:w="498" w:type="pct"/>
            <w:tcBorders>
              <w:top w:val="nil"/>
              <w:left w:val="nil"/>
              <w:bottom w:val="single" w:sz="4" w:space="0" w:color="auto"/>
              <w:right w:val="single" w:sz="4" w:space="0" w:color="auto"/>
            </w:tcBorders>
            <w:shd w:val="clear" w:color="auto" w:fill="FFFFFF" w:themeFill="background1"/>
          </w:tcPr>
          <w:p w14:paraId="36F30EA5" w14:textId="6FC288E8" w:rsidR="004F3F9F" w:rsidRPr="00EB4E6C" w:rsidRDefault="004F3F9F" w:rsidP="004F3F9F">
            <w:pPr>
              <w:jc w:val="right"/>
              <w:rPr>
                <w:color w:val="000000"/>
                <w:sz w:val="18"/>
                <w:szCs w:val="18"/>
                <w:lang w:eastAsia="en-CA"/>
              </w:rPr>
            </w:pPr>
            <w:r>
              <w:rPr>
                <w:color w:val="000000"/>
                <w:sz w:val="18"/>
                <w:szCs w:val="18"/>
              </w:rPr>
              <w:t>0</w:t>
            </w:r>
          </w:p>
        </w:tc>
        <w:tc>
          <w:tcPr>
            <w:tcW w:w="498" w:type="pct"/>
            <w:tcBorders>
              <w:top w:val="nil"/>
              <w:left w:val="nil"/>
              <w:bottom w:val="single" w:sz="4" w:space="0" w:color="auto"/>
              <w:right w:val="single" w:sz="4" w:space="0" w:color="auto"/>
            </w:tcBorders>
            <w:shd w:val="clear" w:color="auto" w:fill="FFFFFF" w:themeFill="background1"/>
          </w:tcPr>
          <w:p w14:paraId="2585AC8E" w14:textId="2974ADEC" w:rsidR="004F3F9F" w:rsidRPr="00EB4E6C" w:rsidRDefault="004F3F9F" w:rsidP="004F3F9F">
            <w:pPr>
              <w:jc w:val="right"/>
              <w:rPr>
                <w:color w:val="000000"/>
                <w:sz w:val="18"/>
                <w:szCs w:val="18"/>
                <w:lang w:eastAsia="en-CA"/>
              </w:rPr>
            </w:pPr>
            <w:r>
              <w:rPr>
                <w:sz w:val="18"/>
                <w:szCs w:val="18"/>
              </w:rPr>
              <w:t>143.960</w:t>
            </w:r>
          </w:p>
        </w:tc>
        <w:tc>
          <w:tcPr>
            <w:tcW w:w="498" w:type="pct"/>
            <w:tcBorders>
              <w:top w:val="nil"/>
              <w:left w:val="nil"/>
              <w:bottom w:val="single" w:sz="4" w:space="0" w:color="auto"/>
              <w:right w:val="single" w:sz="4" w:space="0" w:color="auto"/>
            </w:tcBorders>
            <w:shd w:val="clear" w:color="auto" w:fill="FFFFFF" w:themeFill="background1"/>
          </w:tcPr>
          <w:p w14:paraId="14398A8C" w14:textId="68156A09" w:rsidR="004F3F9F" w:rsidRPr="00EB4E6C" w:rsidRDefault="004F3F9F" w:rsidP="004F3F9F">
            <w:pPr>
              <w:jc w:val="right"/>
              <w:rPr>
                <w:color w:val="000000"/>
                <w:sz w:val="18"/>
                <w:szCs w:val="18"/>
                <w:lang w:eastAsia="en-CA"/>
              </w:rPr>
            </w:pPr>
            <w:r>
              <w:rPr>
                <w:color w:val="000000"/>
                <w:sz w:val="18"/>
                <w:szCs w:val="18"/>
              </w:rPr>
              <w:t>0</w:t>
            </w:r>
          </w:p>
        </w:tc>
        <w:tc>
          <w:tcPr>
            <w:tcW w:w="529" w:type="pct"/>
            <w:tcBorders>
              <w:top w:val="nil"/>
              <w:left w:val="nil"/>
              <w:bottom w:val="single" w:sz="4" w:space="0" w:color="auto"/>
              <w:right w:val="single" w:sz="4" w:space="0" w:color="auto"/>
            </w:tcBorders>
            <w:shd w:val="clear" w:color="auto" w:fill="FFFFFF" w:themeFill="background1"/>
          </w:tcPr>
          <w:p w14:paraId="7E84D0DB" w14:textId="1891BC3B" w:rsidR="004F3F9F" w:rsidRPr="00EB4E6C" w:rsidRDefault="004F3F9F" w:rsidP="004F3F9F">
            <w:pPr>
              <w:jc w:val="right"/>
              <w:rPr>
                <w:color w:val="000000"/>
                <w:sz w:val="18"/>
                <w:szCs w:val="18"/>
                <w:lang w:eastAsia="en-CA"/>
              </w:rPr>
            </w:pPr>
            <w:r>
              <w:rPr>
                <w:sz w:val="18"/>
                <w:szCs w:val="18"/>
              </w:rPr>
              <w:t>21.371</w:t>
            </w:r>
          </w:p>
        </w:tc>
        <w:tc>
          <w:tcPr>
            <w:tcW w:w="463" w:type="pct"/>
            <w:tcBorders>
              <w:top w:val="nil"/>
              <w:left w:val="nil"/>
              <w:bottom w:val="single" w:sz="4" w:space="0" w:color="auto"/>
              <w:right w:val="single" w:sz="4" w:space="0" w:color="auto"/>
            </w:tcBorders>
            <w:shd w:val="clear" w:color="auto" w:fill="FFFFFF" w:themeFill="background1"/>
          </w:tcPr>
          <w:p w14:paraId="484D6402" w14:textId="29EED88F" w:rsidR="004F3F9F" w:rsidRPr="00EB4E6C" w:rsidRDefault="004F3F9F" w:rsidP="004F3F9F">
            <w:pPr>
              <w:jc w:val="right"/>
              <w:rPr>
                <w:color w:val="000000"/>
                <w:sz w:val="18"/>
                <w:szCs w:val="18"/>
                <w:lang w:eastAsia="en-CA"/>
              </w:rPr>
            </w:pPr>
            <w:r>
              <w:rPr>
                <w:sz w:val="18"/>
                <w:szCs w:val="18"/>
              </w:rPr>
              <w:t>326.538</w:t>
            </w:r>
          </w:p>
        </w:tc>
      </w:tr>
      <w:tr w:rsidR="00563DA8" w:rsidRPr="00EB4E6C" w14:paraId="18F15919" w14:textId="77777777" w:rsidTr="004F3F9F">
        <w:trPr>
          <w:trHeight w:val="63"/>
          <w:jc w:val="center"/>
        </w:trPr>
        <w:tc>
          <w:tcPr>
            <w:tcW w:w="307" w:type="pct"/>
            <w:tcBorders>
              <w:top w:val="single" w:sz="4" w:space="0" w:color="auto"/>
              <w:left w:val="single" w:sz="4" w:space="0" w:color="auto"/>
              <w:bottom w:val="single" w:sz="4" w:space="0" w:color="auto"/>
              <w:right w:val="single" w:sz="4" w:space="0" w:color="auto"/>
            </w:tcBorders>
            <w:hideMark/>
          </w:tcPr>
          <w:p w14:paraId="67838E91" w14:textId="77777777" w:rsidR="00563DA8" w:rsidRPr="00EB4E6C" w:rsidRDefault="00563DA8" w:rsidP="001161CD">
            <w:pPr>
              <w:jc w:val="left"/>
              <w:rPr>
                <w:color w:val="000000"/>
                <w:sz w:val="18"/>
                <w:szCs w:val="18"/>
                <w:lang w:eastAsia="en-CA"/>
              </w:rPr>
            </w:pPr>
            <w:r>
              <w:rPr>
                <w:color w:val="000000"/>
                <w:sz w:val="18"/>
                <w:szCs w:val="18"/>
                <w:lang w:eastAsia="en-CA"/>
              </w:rPr>
              <w:t>4.1.1</w:t>
            </w:r>
          </w:p>
        </w:tc>
        <w:tc>
          <w:tcPr>
            <w:tcW w:w="4230" w:type="pct"/>
            <w:gridSpan w:val="6"/>
            <w:tcBorders>
              <w:top w:val="single" w:sz="4" w:space="0" w:color="auto"/>
              <w:left w:val="nil"/>
              <w:bottom w:val="single" w:sz="4" w:space="0" w:color="auto"/>
              <w:right w:val="single" w:sz="4" w:space="0" w:color="000000"/>
            </w:tcBorders>
            <w:hideMark/>
          </w:tcPr>
          <w:p w14:paraId="3D014C62" w14:textId="5C5C8D7C" w:rsidR="00563DA8" w:rsidRPr="00EB4E6C" w:rsidRDefault="00563DA8" w:rsidP="001161CD">
            <w:pPr>
              <w:jc w:val="left"/>
              <w:rPr>
                <w:color w:val="000000"/>
                <w:sz w:val="18"/>
                <w:szCs w:val="18"/>
                <w:lang w:val="es-ES" w:eastAsia="en-CA"/>
              </w:rPr>
            </w:pPr>
            <w:r>
              <w:rPr>
                <w:color w:val="000000"/>
                <w:sz w:val="18"/>
                <w:szCs w:val="18"/>
                <w:lang w:val="es-ES" w:eastAsia="en-CA"/>
              </w:rPr>
              <w:t>Eliminación total de HCFC-22 convenida en el presente Acuerdo (tons. PAO)</w:t>
            </w:r>
          </w:p>
        </w:tc>
        <w:tc>
          <w:tcPr>
            <w:tcW w:w="463" w:type="pct"/>
            <w:tcBorders>
              <w:top w:val="single" w:sz="4" w:space="0" w:color="auto"/>
              <w:left w:val="nil"/>
              <w:bottom w:val="single" w:sz="4" w:space="0" w:color="auto"/>
              <w:right w:val="single" w:sz="4" w:space="0" w:color="auto"/>
            </w:tcBorders>
            <w:shd w:val="clear" w:color="auto" w:fill="FFFFFF" w:themeFill="background1"/>
          </w:tcPr>
          <w:p w14:paraId="75DC212B" w14:textId="3A039074" w:rsidR="00563DA8" w:rsidRPr="00EB4E6C" w:rsidRDefault="00BF589C" w:rsidP="001161CD">
            <w:pPr>
              <w:jc w:val="right"/>
              <w:rPr>
                <w:color w:val="000000"/>
                <w:sz w:val="18"/>
                <w:szCs w:val="18"/>
                <w:lang w:eastAsia="en-CA"/>
              </w:rPr>
            </w:pPr>
            <w:r>
              <w:rPr>
                <w:color w:val="000000"/>
                <w:sz w:val="18"/>
                <w:szCs w:val="18"/>
                <w:lang w:eastAsia="en-CA"/>
              </w:rPr>
              <w:t>0,32</w:t>
            </w:r>
          </w:p>
        </w:tc>
      </w:tr>
      <w:tr w:rsidR="00563DA8" w:rsidRPr="00EB4E6C" w14:paraId="2DFF0528" w14:textId="77777777" w:rsidTr="004F3F9F">
        <w:trPr>
          <w:trHeight w:val="139"/>
          <w:jc w:val="center"/>
        </w:trPr>
        <w:tc>
          <w:tcPr>
            <w:tcW w:w="307" w:type="pct"/>
            <w:tcBorders>
              <w:top w:val="nil"/>
              <w:left w:val="single" w:sz="4" w:space="0" w:color="auto"/>
              <w:bottom w:val="single" w:sz="4" w:space="0" w:color="auto"/>
              <w:right w:val="single" w:sz="4" w:space="0" w:color="auto"/>
            </w:tcBorders>
            <w:hideMark/>
          </w:tcPr>
          <w:p w14:paraId="7DF3CBE6" w14:textId="77777777" w:rsidR="00563DA8" w:rsidRPr="00EB4E6C" w:rsidRDefault="00563DA8" w:rsidP="001161CD">
            <w:pPr>
              <w:jc w:val="left"/>
              <w:rPr>
                <w:color w:val="000000"/>
                <w:sz w:val="18"/>
                <w:szCs w:val="18"/>
                <w:lang w:eastAsia="en-CA"/>
              </w:rPr>
            </w:pPr>
            <w:r>
              <w:rPr>
                <w:color w:val="000000"/>
                <w:sz w:val="18"/>
                <w:szCs w:val="18"/>
                <w:lang w:eastAsia="en-CA"/>
              </w:rPr>
              <w:t>4.1.2</w:t>
            </w:r>
          </w:p>
        </w:tc>
        <w:tc>
          <w:tcPr>
            <w:tcW w:w="4230" w:type="pct"/>
            <w:gridSpan w:val="6"/>
            <w:tcBorders>
              <w:top w:val="single" w:sz="4" w:space="0" w:color="auto"/>
              <w:left w:val="nil"/>
              <w:bottom w:val="single" w:sz="4" w:space="0" w:color="auto"/>
              <w:right w:val="single" w:sz="4" w:space="0" w:color="000000"/>
            </w:tcBorders>
            <w:hideMark/>
          </w:tcPr>
          <w:p w14:paraId="0CE24320" w14:textId="198B1867" w:rsidR="00563DA8" w:rsidRPr="00EB4E6C" w:rsidRDefault="00563DA8" w:rsidP="001161CD">
            <w:pPr>
              <w:jc w:val="left"/>
              <w:rPr>
                <w:color w:val="000000"/>
                <w:sz w:val="18"/>
                <w:szCs w:val="18"/>
                <w:lang w:val="es-ES" w:eastAsia="en-CA"/>
              </w:rPr>
            </w:pPr>
            <w:r>
              <w:rPr>
                <w:color w:val="000000"/>
                <w:sz w:val="18"/>
                <w:szCs w:val="18"/>
                <w:lang w:val="es-ES" w:eastAsia="en-CA"/>
              </w:rPr>
              <w:t>Eliminación de HCFC-22 prevista en proyectos previamente aprobados (tons. PAO)</w:t>
            </w:r>
          </w:p>
        </w:tc>
        <w:tc>
          <w:tcPr>
            <w:tcW w:w="463" w:type="pct"/>
            <w:tcBorders>
              <w:top w:val="nil"/>
              <w:left w:val="nil"/>
              <w:bottom w:val="single" w:sz="4" w:space="0" w:color="auto"/>
              <w:right w:val="single" w:sz="4" w:space="0" w:color="auto"/>
            </w:tcBorders>
            <w:shd w:val="clear" w:color="auto" w:fill="FFFFFF" w:themeFill="background1"/>
          </w:tcPr>
          <w:p w14:paraId="5F35CCCF" w14:textId="3E7B8C39" w:rsidR="00563DA8" w:rsidRPr="00EB4E6C" w:rsidRDefault="00BF589C" w:rsidP="001161CD">
            <w:pPr>
              <w:jc w:val="right"/>
              <w:rPr>
                <w:color w:val="000000"/>
                <w:sz w:val="18"/>
                <w:szCs w:val="18"/>
                <w:lang w:eastAsia="en-CA"/>
              </w:rPr>
            </w:pPr>
            <w:r>
              <w:rPr>
                <w:color w:val="000000"/>
                <w:sz w:val="18"/>
                <w:szCs w:val="18"/>
                <w:lang w:eastAsia="en-CA"/>
              </w:rPr>
              <w:t>0,18</w:t>
            </w:r>
          </w:p>
        </w:tc>
      </w:tr>
      <w:tr w:rsidR="00563DA8" w:rsidRPr="00EB4E6C" w14:paraId="1991DAAE" w14:textId="77777777" w:rsidTr="004F3F9F">
        <w:trPr>
          <w:trHeight w:val="116"/>
          <w:jc w:val="center"/>
        </w:trPr>
        <w:tc>
          <w:tcPr>
            <w:tcW w:w="307" w:type="pct"/>
            <w:tcBorders>
              <w:top w:val="nil"/>
              <w:left w:val="single" w:sz="4" w:space="0" w:color="auto"/>
              <w:bottom w:val="single" w:sz="4" w:space="0" w:color="auto"/>
              <w:right w:val="single" w:sz="4" w:space="0" w:color="auto"/>
            </w:tcBorders>
            <w:hideMark/>
          </w:tcPr>
          <w:p w14:paraId="2B758ED9" w14:textId="77777777" w:rsidR="00563DA8" w:rsidRPr="00EB4E6C" w:rsidRDefault="00563DA8" w:rsidP="001161CD">
            <w:pPr>
              <w:jc w:val="left"/>
              <w:rPr>
                <w:color w:val="000000"/>
                <w:sz w:val="18"/>
                <w:szCs w:val="18"/>
                <w:lang w:eastAsia="en-CA"/>
              </w:rPr>
            </w:pPr>
            <w:r>
              <w:rPr>
                <w:color w:val="000000"/>
                <w:sz w:val="18"/>
                <w:szCs w:val="18"/>
                <w:lang w:eastAsia="en-CA"/>
              </w:rPr>
              <w:t>4.1.3</w:t>
            </w:r>
          </w:p>
        </w:tc>
        <w:tc>
          <w:tcPr>
            <w:tcW w:w="4230" w:type="pct"/>
            <w:gridSpan w:val="6"/>
            <w:tcBorders>
              <w:top w:val="single" w:sz="4" w:space="0" w:color="auto"/>
              <w:left w:val="nil"/>
              <w:bottom w:val="single" w:sz="4" w:space="0" w:color="auto"/>
              <w:right w:val="single" w:sz="4" w:space="0" w:color="000000"/>
            </w:tcBorders>
            <w:hideMark/>
          </w:tcPr>
          <w:p w14:paraId="57F5E0F7" w14:textId="2B5E24E4" w:rsidR="00563DA8" w:rsidRPr="00EB4E6C" w:rsidRDefault="00563DA8" w:rsidP="001161CD">
            <w:pPr>
              <w:jc w:val="left"/>
              <w:rPr>
                <w:color w:val="000000"/>
                <w:sz w:val="18"/>
                <w:szCs w:val="18"/>
                <w:lang w:val="es-ES" w:eastAsia="en-CA"/>
              </w:rPr>
            </w:pPr>
            <w:r>
              <w:rPr>
                <w:color w:val="000000"/>
                <w:sz w:val="18"/>
                <w:szCs w:val="18"/>
                <w:lang w:val="es-ES" w:eastAsia="en-CA"/>
              </w:rPr>
              <w:t>Consumo admisible remanente de HCFC-22 (tons. PAO)</w:t>
            </w:r>
          </w:p>
        </w:tc>
        <w:tc>
          <w:tcPr>
            <w:tcW w:w="463" w:type="pct"/>
            <w:tcBorders>
              <w:top w:val="nil"/>
              <w:left w:val="nil"/>
              <w:bottom w:val="single" w:sz="4" w:space="0" w:color="auto"/>
              <w:right w:val="single" w:sz="4" w:space="0" w:color="auto"/>
            </w:tcBorders>
            <w:shd w:val="clear" w:color="auto" w:fill="FFFFFF" w:themeFill="background1"/>
          </w:tcPr>
          <w:p w14:paraId="0EC43E2C" w14:textId="21839561" w:rsidR="00563DA8" w:rsidRPr="00EB4E6C" w:rsidRDefault="00BF589C" w:rsidP="001161CD">
            <w:pPr>
              <w:jc w:val="right"/>
              <w:rPr>
                <w:color w:val="000000"/>
                <w:sz w:val="18"/>
                <w:szCs w:val="18"/>
                <w:lang w:eastAsia="en-CA"/>
              </w:rPr>
            </w:pPr>
            <w:r>
              <w:rPr>
                <w:color w:val="000000"/>
                <w:sz w:val="18"/>
                <w:szCs w:val="18"/>
                <w:lang w:eastAsia="en-CA"/>
              </w:rPr>
              <w:t>0,00</w:t>
            </w:r>
          </w:p>
        </w:tc>
      </w:tr>
    </w:tbl>
    <w:p w14:paraId="7A1D7883" w14:textId="7067A79F" w:rsidR="00563DA8" w:rsidRPr="002D2ED7" w:rsidRDefault="00563DA8" w:rsidP="001161CD">
      <w:pPr>
        <w:pStyle w:val="Heading1"/>
        <w:numPr>
          <w:ilvl w:val="0"/>
          <w:numId w:val="0"/>
        </w:numPr>
        <w:rPr>
          <w:sz w:val="18"/>
          <w:szCs w:val="16"/>
          <w:lang w:val="es-ES"/>
        </w:rPr>
      </w:pPr>
      <w:r>
        <w:rPr>
          <w:sz w:val="18"/>
          <w:szCs w:val="16"/>
          <w:lang w:val="es-ES"/>
        </w:rPr>
        <w:t>*Fecha de finalización de la etapa I, prorrogada por el Comité Ejecutivo en su 93ª reunión: 30 de junio de 2024</w:t>
      </w:r>
    </w:p>
    <w:p w14:paraId="57A53EF6" w14:textId="77777777" w:rsidR="00563DA8" w:rsidRPr="002D2ED7" w:rsidRDefault="00563DA8" w:rsidP="001161CD">
      <w:pPr>
        <w:keepNext/>
        <w:spacing w:before="360" w:after="240"/>
        <w:rPr>
          <w:b/>
          <w:lang w:val="es-ES"/>
        </w:rPr>
      </w:pPr>
      <w:r>
        <w:rPr>
          <w:b/>
          <w:lang w:val="es-ES"/>
        </w:rPr>
        <w:t>Apéndice 3-A: calendario de aprobación del financiamiento</w:t>
      </w:r>
    </w:p>
    <w:p w14:paraId="796D497E" w14:textId="243939D8" w:rsidR="00563DA8" w:rsidRPr="002D2ED7" w:rsidRDefault="00563DA8" w:rsidP="001161CD">
      <w:pPr>
        <w:pStyle w:val="Heading1"/>
        <w:numPr>
          <w:ilvl w:val="0"/>
          <w:numId w:val="33"/>
        </w:numPr>
        <w:rPr>
          <w:lang w:val="es-ES"/>
        </w:rPr>
      </w:pPr>
      <w:r>
        <w:rPr>
          <w:lang w:val="es-ES"/>
        </w:rPr>
        <w:t>El financiamiento de los futuros tramos se considerará para la aprobación en la primera reunión del año especificada en el Apéndice 2-A.</w:t>
      </w:r>
    </w:p>
    <w:p w14:paraId="70A956B7" w14:textId="77777777" w:rsidR="00563DA8" w:rsidRPr="002D2ED7" w:rsidRDefault="00563DA8" w:rsidP="001161CD">
      <w:pPr>
        <w:keepNext/>
        <w:spacing w:before="360" w:after="240"/>
        <w:rPr>
          <w:b/>
          <w:lang w:val="es-ES"/>
        </w:rPr>
      </w:pPr>
      <w:r>
        <w:rPr>
          <w:b/>
          <w:lang w:val="es-ES"/>
        </w:rPr>
        <w:t>Apéndice 4-A: Formato de informes y planes de ejecución de tramos</w:t>
      </w:r>
    </w:p>
    <w:p w14:paraId="2B7092B5" w14:textId="77777777" w:rsidR="00563DA8" w:rsidRPr="002D2ED7" w:rsidRDefault="00563DA8" w:rsidP="001161CD">
      <w:pPr>
        <w:pStyle w:val="Heading1"/>
        <w:numPr>
          <w:ilvl w:val="0"/>
          <w:numId w:val="34"/>
        </w:numPr>
        <w:rPr>
          <w:lang w:val="es-ES"/>
        </w:rPr>
      </w:pPr>
      <w:r>
        <w:rPr>
          <w:lang w:val="es-ES"/>
        </w:rPr>
        <w:t>La presentación del informe de ejecución del tramo y del plan de ejecución de cada solicitud de tramo constará de cinco partes:</w:t>
      </w:r>
    </w:p>
    <w:p w14:paraId="18B8F6B5" w14:textId="77777777" w:rsidR="00563DA8" w:rsidRPr="002D2ED7" w:rsidRDefault="00563DA8" w:rsidP="001161CD">
      <w:pPr>
        <w:pStyle w:val="Heading2"/>
        <w:widowControl/>
        <w:numPr>
          <w:ilvl w:val="1"/>
          <w:numId w:val="1"/>
        </w:numPr>
        <w:rPr>
          <w:lang w:val="es-ES"/>
        </w:rPr>
      </w:pPr>
      <w:r>
        <w:rPr>
          <w:lang w:val="es-ES"/>
        </w:rPr>
        <w:t>Un informe descriptivo, con datos proporcionados por tramos, en el que se describan los avances logrados desde el informe anterior, reflejando la situación del país en lo que respecta a la eliminación de las sustancias, cómo contribuyen a ello las diferentes actividades y cómo se relacionan entre sí. El informe deberá incluir la cantidad de SAO eliminadas como resultado directo de la ejecución de las actividades, desglosada por sustancia, así como la tecnología alternativa utilizada y la introducción progresiva de alternativas, a fin de que la Secretaría pueda proporcionar al Comité Ejecutivo información sobre el cambio resultante en las emisiones relevantes para el clima. El informe deberá destacar además los éxitos, las experiencias y las dificultades relacionadas con las diferentes actividades incluidas en el Plan, reflejando cualquier cambio en las circunstancias del país y proporcionando otra información pertinente. El informe deberá incluir también información y justificación de cualquier cambio con respecto a los planes de ejecución de los tramos presentados anteriormente, tales como retrasos, el uso de la flexibilidad para la reasignación de fondos durante la ejecución de un tramo, según lo dispuesto en el párrafo 7 del presente Acuerdo, u otros cambios;</w:t>
      </w:r>
    </w:p>
    <w:p w14:paraId="0ADD4623" w14:textId="77777777" w:rsidR="00563DA8" w:rsidRPr="002D2ED7" w:rsidRDefault="00563DA8" w:rsidP="001161CD">
      <w:pPr>
        <w:pStyle w:val="Heading2"/>
        <w:widowControl/>
        <w:numPr>
          <w:ilvl w:val="1"/>
          <w:numId w:val="1"/>
        </w:numPr>
        <w:tabs>
          <w:tab w:val="clear" w:pos="0"/>
          <w:tab w:val="num" w:pos="-720"/>
        </w:tabs>
        <w:rPr>
          <w:lang w:val="es-ES"/>
        </w:rPr>
      </w:pPr>
      <w:r>
        <w:rPr>
          <w:lang w:val="es-ES"/>
        </w:rPr>
        <w:t>Un informe de verificación independiente de los resultados del Plan y del consumo de las Sustancias, de conformidad con el inciso 5 b) del Acuerdo. A menos que el Comité Ejecutivo decida lo contrario, dicha verificación deberá presentarse junto con cada solicitud de tramo y deberá verificar el consumo de todos los años pertinentes especificados en el inciso 5 a) del Acuerdo para los que el Comité aún no haya recibido un informe de verificación;</w:t>
      </w:r>
    </w:p>
    <w:p w14:paraId="65D87206" w14:textId="77777777" w:rsidR="00563DA8" w:rsidRPr="002D2ED7" w:rsidRDefault="00563DA8" w:rsidP="001161CD">
      <w:pPr>
        <w:pStyle w:val="Heading2"/>
        <w:widowControl/>
        <w:numPr>
          <w:ilvl w:val="1"/>
          <w:numId w:val="1"/>
        </w:numPr>
        <w:tabs>
          <w:tab w:val="clear" w:pos="0"/>
          <w:tab w:val="num" w:pos="-720"/>
        </w:tabs>
        <w:rPr>
          <w:lang w:val="es-ES"/>
        </w:rPr>
      </w:pPr>
      <w:r>
        <w:rPr>
          <w:lang w:val="es-ES"/>
        </w:rPr>
        <w:t xml:space="preserve">Una descripción por escrito de las actividades que se llevarán a cabo durante el período cubierto por el tramo solicitado, en la que se destaquen los hitos de la ejecución, el plazo de finalización y la interdependencia de las actividades, y se tengan en cuenta las experiencias adquiridas y los avances logrados en la ejecución de tramos anteriores; los </w:t>
      </w:r>
      <w:r>
        <w:rPr>
          <w:lang w:val="es-ES"/>
        </w:rPr>
        <w:lastRenderedPageBreak/>
        <w:t>datos del plan se facilitarán por año civil. La descripción deberá incluir también una referencia al Plan general y a los avances logrados, así como a cualquier posible cambio previsto en el Plan general. La descripción deberá especificar y explicar detalladamente dichos cambios en el Plan general. Esta descripción de las actividades futuras podrá presentarse como parte del mismo documento que el informe narrativo previsto en el inciso a) anterior;</w:t>
      </w:r>
    </w:p>
    <w:p w14:paraId="3B9B2AB2" w14:textId="77777777" w:rsidR="00563DA8" w:rsidRPr="002D2ED7" w:rsidRDefault="00563DA8" w:rsidP="001161CD">
      <w:pPr>
        <w:pStyle w:val="Heading2"/>
        <w:widowControl/>
        <w:numPr>
          <w:ilvl w:val="1"/>
          <w:numId w:val="1"/>
        </w:numPr>
        <w:tabs>
          <w:tab w:val="clear" w:pos="0"/>
          <w:tab w:val="num" w:pos="-720"/>
        </w:tabs>
        <w:rPr>
          <w:lang w:val="es-ES"/>
        </w:rPr>
      </w:pPr>
      <w:r>
        <w:rPr>
          <w:lang w:val="es-ES"/>
        </w:rPr>
        <w:t>Un conjunto de información cuantitativa para todos los informes de ejecución y planes de ejecución de los tramos, presentados a través de una base de datos electrónica; y</w:t>
      </w:r>
    </w:p>
    <w:p w14:paraId="4AC1B253" w14:textId="252AA197" w:rsidR="00563DA8" w:rsidRPr="002D2ED7" w:rsidRDefault="00563DA8" w:rsidP="001161CD">
      <w:pPr>
        <w:pStyle w:val="Heading2"/>
        <w:widowControl/>
        <w:numPr>
          <w:ilvl w:val="1"/>
          <w:numId w:val="1"/>
        </w:numPr>
        <w:tabs>
          <w:tab w:val="clear" w:pos="0"/>
          <w:tab w:val="num" w:pos="-720"/>
        </w:tabs>
        <w:rPr>
          <w:lang w:val="es-ES"/>
        </w:rPr>
      </w:pPr>
      <w:r>
        <w:rPr>
          <w:lang w:val="es-ES"/>
        </w:rPr>
        <w:t>Un resumen ejecutivo de unos cinco párrafos, que resuma la información de los incisos 1 a)–1 d) anteriores.</w:t>
      </w:r>
    </w:p>
    <w:p w14:paraId="03E2F4D2" w14:textId="77777777" w:rsidR="00563DA8" w:rsidRPr="002D2ED7" w:rsidRDefault="00563DA8" w:rsidP="001161CD">
      <w:pPr>
        <w:pStyle w:val="Heading1"/>
        <w:rPr>
          <w:lang w:val="es-ES"/>
        </w:rPr>
      </w:pPr>
      <w:r>
        <w:rPr>
          <w:lang w:val="es-ES"/>
        </w:rPr>
        <w:t>En caso de que en un año concreto se estén ejecutando en paralelo dos etapas del Plan, deberán tenerse en cuenta las siguientes consideraciones al elaborar los informes de ejecución y planes de ejecución de los tramos:</w:t>
      </w:r>
    </w:p>
    <w:p w14:paraId="34D6C786" w14:textId="77777777" w:rsidR="00563DA8" w:rsidRPr="002D2ED7" w:rsidRDefault="00563DA8" w:rsidP="001161CD">
      <w:pPr>
        <w:pStyle w:val="Heading2"/>
        <w:widowControl/>
        <w:numPr>
          <w:ilvl w:val="1"/>
          <w:numId w:val="1"/>
        </w:numPr>
        <w:tabs>
          <w:tab w:val="clear" w:pos="0"/>
          <w:tab w:val="num" w:pos="-720"/>
        </w:tabs>
        <w:rPr>
          <w:lang w:val="es-ES"/>
        </w:rPr>
      </w:pPr>
      <w:r>
        <w:rPr>
          <w:lang w:val="es-ES"/>
        </w:rPr>
        <w:t>Los informes de ejecución y planes de ejecución de los tramos a los que se hace referencia en el marco del presente Acuerdo se referirán exclusivamente a las actividades y los fondos cubiertos por el presente Acuerdo; y</w:t>
      </w:r>
    </w:p>
    <w:p w14:paraId="2EB1321A" w14:textId="77777777" w:rsidR="00563DA8" w:rsidRPr="002D2ED7" w:rsidRDefault="00563DA8" w:rsidP="001161CD">
      <w:pPr>
        <w:pStyle w:val="Heading2"/>
        <w:widowControl/>
        <w:numPr>
          <w:ilvl w:val="1"/>
          <w:numId w:val="1"/>
        </w:numPr>
        <w:tabs>
          <w:tab w:val="clear" w:pos="0"/>
          <w:tab w:val="num" w:pos="-720"/>
        </w:tabs>
        <w:rPr>
          <w:lang w:val="es-ES"/>
        </w:rPr>
      </w:pPr>
      <w:r>
        <w:rPr>
          <w:lang w:val="es-ES"/>
        </w:rPr>
        <w:t>Si las etapas en curso de ejecución tienen diferentes objetivos de consumo de HCFC según el Apéndice 2-A de cada Acuerdo en un año determinado, se utilizará el objetivo de consumo de HCFC más bajo como referencia para el cumplimiento de estos Acuerdos y será la base para la verificación independiente.</w:t>
      </w:r>
    </w:p>
    <w:p w14:paraId="5EDBE1CA" w14:textId="77777777" w:rsidR="00563DA8" w:rsidRPr="002D2ED7" w:rsidRDefault="00563DA8" w:rsidP="001161CD">
      <w:pPr>
        <w:keepNext/>
        <w:spacing w:before="360" w:after="240"/>
        <w:rPr>
          <w:b/>
          <w:lang w:val="es-ES"/>
        </w:rPr>
      </w:pPr>
      <w:r>
        <w:rPr>
          <w:b/>
          <w:lang w:val="es-ES"/>
        </w:rPr>
        <w:t>Apéndice 5-A: Instituciones de supervisión y funciones</w:t>
      </w:r>
    </w:p>
    <w:p w14:paraId="2DFFE0E5" w14:textId="04651293" w:rsidR="007A2308" w:rsidRPr="002D2ED7" w:rsidRDefault="007A2308" w:rsidP="007A2308">
      <w:pPr>
        <w:pStyle w:val="Heading1"/>
        <w:numPr>
          <w:ilvl w:val="0"/>
          <w:numId w:val="35"/>
        </w:numPr>
        <w:rPr>
          <w:lang w:val="es-ES"/>
        </w:rPr>
      </w:pPr>
      <w:r>
        <w:rPr>
          <w:lang w:val="es-ES"/>
        </w:rPr>
        <w:t>La responsabilidad de la ejecución del Plan recae en el Ministerio del Medio Ambiente, Acción Climática y Empoderamiento de las Comunidades, en cuyo seno se encuentra la Oficina Nacional del Ozono (ONO). La persona Secretaria Permanente del Ministerio, bajo la orientación de la persona Directora, tendrá la responsabilidad general del proyecto. La ejecución diaria del proyecto será responsabilidad de la persona Encargada Nacional del Ozono, quien contará con la asistencia de una persona Asistente Nacional del Ozono que se contratará para alcanzar el objetivo. El diseño de las actividades del proyecto se llevará a cabo en consulta con las partes interesadas individualizadas.</w:t>
      </w:r>
    </w:p>
    <w:p w14:paraId="4C638EED" w14:textId="2E891A31" w:rsidR="007A2308" w:rsidRPr="002D2ED7" w:rsidRDefault="007A2308" w:rsidP="007A2308">
      <w:pPr>
        <w:pStyle w:val="Heading1"/>
        <w:numPr>
          <w:ilvl w:val="0"/>
          <w:numId w:val="35"/>
        </w:numPr>
        <w:rPr>
          <w:lang w:val="es-ES"/>
        </w:rPr>
      </w:pPr>
      <w:r>
        <w:rPr>
          <w:lang w:val="es-ES"/>
        </w:rPr>
        <w:t>La ejecución contará con la participación del principal organismo de ejecución a lo largo de toda la duración del proyecto. Esto incluirá recibir orientación del principal organismo de ejecución, presentar informes periódicos sobre los avances, incluidos los informes financieros, y coordinar las solicitudes de tramos de conformidad con el presente Acuerdo. La ONO y el principal organismo de ejecución coordinarán con el organismo de ejecución cooperante la ejecución del componente de inversión del proyecto. Estos organismos utilizarán los procedimientos establecidos que rigen la contratación pública, la gestión financiera, la presentación de informes y el seguimiento de la agencia de ejecución pertinente y los mecanismos de financiación internacionales, concretamente el Fondo Multilateral para la Aplicación del Protocolo de Montreal. La ejecución contará además con el apoyo de diversos órganos administrativos y de servicios del Gobierno, personas consultoras internacionales y nacionales, proveedoras de equipos y servicios, y empresas beneficiarias.</w:t>
      </w:r>
    </w:p>
    <w:p w14:paraId="12AF3F21" w14:textId="77777777" w:rsidR="00563DA8" w:rsidRPr="002D2ED7" w:rsidRDefault="00563DA8" w:rsidP="001161CD">
      <w:pPr>
        <w:keepNext/>
        <w:spacing w:before="360" w:after="240"/>
        <w:rPr>
          <w:b/>
          <w:lang w:val="es-ES"/>
        </w:rPr>
      </w:pPr>
      <w:r>
        <w:rPr>
          <w:b/>
          <w:lang w:val="es-ES"/>
        </w:rPr>
        <w:t>Apéndice 6-A: Funciones del principal organismo de ejecución</w:t>
      </w:r>
    </w:p>
    <w:p w14:paraId="68157DBF" w14:textId="77777777" w:rsidR="00563DA8" w:rsidRPr="002D2ED7" w:rsidRDefault="00563DA8" w:rsidP="001161CD">
      <w:pPr>
        <w:pStyle w:val="Heading1"/>
        <w:numPr>
          <w:ilvl w:val="0"/>
          <w:numId w:val="36"/>
        </w:numPr>
        <w:rPr>
          <w:lang w:val="es-ES"/>
        </w:rPr>
      </w:pPr>
      <w:r>
        <w:rPr>
          <w:lang w:val="es-ES"/>
        </w:rPr>
        <w:t>El principal organismo de ejecución será responsable de una serie de actividades, entre las que se incluyen, como mínimo, las siguientes:</w:t>
      </w:r>
    </w:p>
    <w:p w14:paraId="1B860166" w14:textId="77777777" w:rsidR="00563DA8" w:rsidRPr="002D2ED7" w:rsidRDefault="00563DA8" w:rsidP="001161CD">
      <w:pPr>
        <w:pStyle w:val="Heading2"/>
        <w:widowControl/>
        <w:numPr>
          <w:ilvl w:val="1"/>
          <w:numId w:val="1"/>
        </w:numPr>
        <w:rPr>
          <w:lang w:val="es-ES"/>
        </w:rPr>
      </w:pPr>
      <w:r>
        <w:rPr>
          <w:lang w:val="es-ES"/>
        </w:rPr>
        <w:lastRenderedPageBreak/>
        <w:t>Garantizar la verificación del desempeño y las finanzas de conformidad con el presente Acuerdo y con sus procedimientos y requisitos internos específicos, tal y como se establecen en el Plan del país;</w:t>
      </w:r>
    </w:p>
    <w:p w14:paraId="7EF066F0" w14:textId="77777777" w:rsidR="00563DA8" w:rsidRPr="002D2ED7" w:rsidRDefault="00563DA8" w:rsidP="001161CD">
      <w:pPr>
        <w:pStyle w:val="Heading2"/>
        <w:widowControl/>
        <w:numPr>
          <w:ilvl w:val="1"/>
          <w:numId w:val="1"/>
        </w:numPr>
        <w:tabs>
          <w:tab w:val="clear" w:pos="0"/>
          <w:tab w:val="num" w:pos="-720"/>
        </w:tabs>
        <w:rPr>
          <w:lang w:val="es-ES"/>
        </w:rPr>
      </w:pPr>
      <w:r>
        <w:rPr>
          <w:lang w:val="es-ES"/>
        </w:rPr>
        <w:t>Prestar asistencia al país en la preparación de los informes de ejecución y planes de ejecución de los tramos, de conformidad con el Apéndice 4-A;</w:t>
      </w:r>
    </w:p>
    <w:p w14:paraId="67AA10ED" w14:textId="77777777" w:rsidR="00563DA8" w:rsidRPr="002D2ED7" w:rsidRDefault="00563DA8" w:rsidP="001161CD">
      <w:pPr>
        <w:pStyle w:val="Heading2"/>
        <w:widowControl/>
        <w:numPr>
          <w:ilvl w:val="1"/>
          <w:numId w:val="1"/>
        </w:numPr>
        <w:tabs>
          <w:tab w:val="clear" w:pos="0"/>
          <w:tab w:val="num" w:pos="-720"/>
        </w:tabs>
        <w:rPr>
          <w:lang w:val="es-ES"/>
        </w:rPr>
      </w:pPr>
      <w:r>
        <w:rPr>
          <w:lang w:val="es-ES"/>
        </w:rPr>
        <w:t>Proporcionar al Comité Ejecutivo una verificación independiente de que se han cumplido los objetivos y se han completado las actividades de los tramos correspondientes, tal y como se indica en el plan de ejecución del tramo, en concordancia con el Apéndice 4-A;</w:t>
      </w:r>
    </w:p>
    <w:p w14:paraId="02584B2A" w14:textId="77777777" w:rsidR="00563DA8" w:rsidRPr="002D2ED7" w:rsidRDefault="00563DA8" w:rsidP="001161CD">
      <w:pPr>
        <w:pStyle w:val="Heading2"/>
        <w:widowControl/>
        <w:numPr>
          <w:ilvl w:val="1"/>
          <w:numId w:val="1"/>
        </w:numPr>
        <w:tabs>
          <w:tab w:val="clear" w:pos="0"/>
          <w:tab w:val="num" w:pos="-720"/>
        </w:tabs>
        <w:rPr>
          <w:lang w:val="es-ES"/>
        </w:rPr>
      </w:pPr>
      <w:r>
        <w:rPr>
          <w:lang w:val="es-ES"/>
        </w:rPr>
        <w:t>Garantizar que las experiencias y los avances se reflejen en las actualizaciones del plan general y en los futuros planes de ejecución de los tramos, en concordancia con los incisos 1c) y 1d) del apéndice 4-A;</w:t>
      </w:r>
    </w:p>
    <w:p w14:paraId="10482F6D" w14:textId="163E6AFC" w:rsidR="00563DA8" w:rsidRPr="002D2ED7" w:rsidRDefault="00563DA8" w:rsidP="001161CD">
      <w:pPr>
        <w:pStyle w:val="Heading2"/>
        <w:widowControl/>
        <w:numPr>
          <w:ilvl w:val="1"/>
          <w:numId w:val="1"/>
        </w:numPr>
        <w:tabs>
          <w:tab w:val="clear" w:pos="0"/>
          <w:tab w:val="num" w:pos="-720"/>
        </w:tabs>
        <w:rPr>
          <w:lang w:val="es-ES"/>
        </w:rPr>
      </w:pPr>
      <w:r>
        <w:rPr>
          <w:lang w:val="es-ES"/>
        </w:rPr>
        <w:t>Cumplir los requisitos de presentación de informes para los informes y planes de ejecución de los tramos y el plan general, tal y como se especifica en el apéndice 4-A, para su presentación al Comité Ejecutivo, y que deben incluir las actividades ejecutadas por el organismo de ejecución cooperante;</w:t>
      </w:r>
    </w:p>
    <w:p w14:paraId="3C501FAC" w14:textId="77777777" w:rsidR="00563DA8" w:rsidRPr="002D2ED7" w:rsidRDefault="00563DA8" w:rsidP="001161CD">
      <w:pPr>
        <w:pStyle w:val="Heading2"/>
        <w:widowControl/>
        <w:numPr>
          <w:ilvl w:val="1"/>
          <w:numId w:val="1"/>
        </w:numPr>
        <w:tabs>
          <w:tab w:val="clear" w:pos="0"/>
          <w:tab w:val="num" w:pos="-720"/>
        </w:tabs>
        <w:rPr>
          <w:lang w:val="es-ES"/>
        </w:rPr>
      </w:pPr>
      <w:r>
        <w:rPr>
          <w:lang w:val="es-ES"/>
        </w:rPr>
        <w:t>En caso de que el último tramo de financiamiento se solicite uno o más años antes del último año para el que se haya establecido un objetivo de consumo, deberán presentarse informes anuales de ejecución de los tramos y, cuando proceda, informes de verificación sobre la fase actual del Plan hasta que se hayan completado todas las actividades previstas y se hayan cumplido los objetivos de consumo de HCFC;</w:t>
      </w:r>
    </w:p>
    <w:p w14:paraId="68DBE75E" w14:textId="77777777" w:rsidR="00563DA8" w:rsidRPr="002D2ED7" w:rsidRDefault="00563DA8" w:rsidP="001161CD">
      <w:pPr>
        <w:pStyle w:val="Heading2"/>
        <w:widowControl/>
        <w:numPr>
          <w:ilvl w:val="1"/>
          <w:numId w:val="1"/>
        </w:numPr>
        <w:tabs>
          <w:tab w:val="clear" w:pos="0"/>
          <w:tab w:val="num" w:pos="-720"/>
        </w:tabs>
        <w:rPr>
          <w:lang w:val="es-ES"/>
        </w:rPr>
      </w:pPr>
      <w:r>
        <w:rPr>
          <w:lang w:val="es-ES"/>
        </w:rPr>
        <w:t>Garantizar que personas expertas técnicas independientes adecuadas lleven a cabo los análisis técnicos;</w:t>
      </w:r>
    </w:p>
    <w:p w14:paraId="5747F1D7" w14:textId="77777777" w:rsidR="00563DA8" w:rsidRPr="002D2ED7" w:rsidRDefault="00563DA8" w:rsidP="001161CD">
      <w:pPr>
        <w:pStyle w:val="Heading2"/>
        <w:widowControl/>
        <w:numPr>
          <w:ilvl w:val="1"/>
          <w:numId w:val="1"/>
        </w:numPr>
        <w:tabs>
          <w:tab w:val="clear" w:pos="0"/>
          <w:tab w:val="num" w:pos="-720"/>
        </w:tabs>
        <w:rPr>
          <w:lang w:val="es-ES"/>
        </w:rPr>
      </w:pPr>
      <w:r>
        <w:rPr>
          <w:lang w:val="es-ES"/>
        </w:rPr>
        <w:t>Llevar a cabo las labores de supervisión que sea preciso;</w:t>
      </w:r>
    </w:p>
    <w:p w14:paraId="7E15A622" w14:textId="77777777" w:rsidR="00563DA8" w:rsidRPr="002D2ED7" w:rsidRDefault="00563DA8" w:rsidP="001161CD">
      <w:pPr>
        <w:pStyle w:val="Heading2"/>
        <w:widowControl/>
        <w:numPr>
          <w:ilvl w:val="1"/>
          <w:numId w:val="1"/>
        </w:numPr>
        <w:tabs>
          <w:tab w:val="clear" w:pos="0"/>
          <w:tab w:val="num" w:pos="-720"/>
        </w:tabs>
        <w:rPr>
          <w:lang w:val="es-ES"/>
        </w:rPr>
      </w:pPr>
      <w:r>
        <w:rPr>
          <w:lang w:val="es-ES"/>
        </w:rPr>
        <w:t>Garantizar la existencia de un mecanismo operativo que permita la ejecución eficaz y transparente del plan de ejecución del tramo y la presentación de datos precisos;</w:t>
      </w:r>
    </w:p>
    <w:p w14:paraId="1F936F2C" w14:textId="2B24D0B4" w:rsidR="00563DA8" w:rsidRPr="002D2ED7" w:rsidRDefault="00563DA8" w:rsidP="001161CD">
      <w:pPr>
        <w:pStyle w:val="Heading2"/>
        <w:widowControl/>
        <w:numPr>
          <w:ilvl w:val="1"/>
          <w:numId w:val="1"/>
        </w:numPr>
        <w:tabs>
          <w:tab w:val="clear" w:pos="0"/>
          <w:tab w:val="num" w:pos="-720"/>
        </w:tabs>
        <w:rPr>
          <w:lang w:val="es-ES"/>
        </w:rPr>
      </w:pPr>
      <w:r>
        <w:rPr>
          <w:lang w:val="es-ES"/>
        </w:rPr>
        <w:t>Coordinar las actividades del organismo de ejecución cooperante y garantizar la secuencia adecuada de las mismas;</w:t>
      </w:r>
    </w:p>
    <w:p w14:paraId="761CB888" w14:textId="45084482" w:rsidR="00563DA8" w:rsidRPr="002D2ED7" w:rsidRDefault="00563DA8" w:rsidP="001161CD">
      <w:pPr>
        <w:pStyle w:val="Heading2"/>
        <w:widowControl/>
        <w:numPr>
          <w:ilvl w:val="1"/>
          <w:numId w:val="1"/>
        </w:numPr>
        <w:tabs>
          <w:tab w:val="clear" w:pos="0"/>
          <w:tab w:val="num" w:pos="-720"/>
        </w:tabs>
        <w:rPr>
          <w:lang w:val="es-ES"/>
        </w:rPr>
      </w:pPr>
      <w:r>
        <w:rPr>
          <w:lang w:val="es-ES"/>
        </w:rPr>
        <w:t>En caso de reducciones de la financiación por incumplimiento de lo dispuesto en el párrafo 11 del Acuerdo, determinar, en consulta con el país y el organismo de ejecución cooperante, la asignación de las reducciones a las diferentes partidas presupuestarias y a la financiación del principal organismo de ejecución y de cada organismo de ejecución cooperante;</w:t>
      </w:r>
    </w:p>
    <w:p w14:paraId="46E03989" w14:textId="77777777" w:rsidR="00563DA8" w:rsidRPr="002D2ED7" w:rsidRDefault="00563DA8" w:rsidP="001161CD">
      <w:pPr>
        <w:pStyle w:val="Heading2"/>
        <w:widowControl/>
        <w:numPr>
          <w:ilvl w:val="1"/>
          <w:numId w:val="1"/>
        </w:numPr>
        <w:tabs>
          <w:tab w:val="clear" w:pos="0"/>
          <w:tab w:val="num" w:pos="-720"/>
        </w:tabs>
        <w:rPr>
          <w:lang w:val="es-ES"/>
        </w:rPr>
      </w:pPr>
      <w:r>
        <w:rPr>
          <w:lang w:val="es-ES"/>
        </w:rPr>
        <w:t>Garantizar que los desembolsos realizados al país se basen en el uso de los indicadores;</w:t>
      </w:r>
    </w:p>
    <w:p w14:paraId="230C07A0" w14:textId="77777777" w:rsidR="00563DA8" w:rsidRPr="002D2ED7" w:rsidRDefault="00563DA8" w:rsidP="001161CD">
      <w:pPr>
        <w:pStyle w:val="Heading2"/>
        <w:widowControl/>
        <w:numPr>
          <w:ilvl w:val="1"/>
          <w:numId w:val="1"/>
        </w:numPr>
        <w:tabs>
          <w:tab w:val="clear" w:pos="0"/>
          <w:tab w:val="num" w:pos="-720"/>
        </w:tabs>
        <w:rPr>
          <w:lang w:val="es-ES"/>
        </w:rPr>
      </w:pPr>
      <w:r>
        <w:rPr>
          <w:lang w:val="es-ES"/>
        </w:rPr>
        <w:t>Prestar asistencia en materia de políticas, gestión y apoyo técnico cuando sea necesario;</w:t>
      </w:r>
    </w:p>
    <w:p w14:paraId="1F8D4A36" w14:textId="0E037BE1" w:rsidR="00563DA8" w:rsidRPr="002D2ED7" w:rsidRDefault="00563DA8" w:rsidP="007D01F2">
      <w:pPr>
        <w:pStyle w:val="Heading2"/>
        <w:widowControl/>
        <w:numPr>
          <w:ilvl w:val="1"/>
          <w:numId w:val="1"/>
        </w:numPr>
        <w:tabs>
          <w:tab w:val="clear" w:pos="0"/>
          <w:tab w:val="num" w:pos="-720"/>
        </w:tabs>
        <w:rPr>
          <w:lang w:val="es-ES"/>
        </w:rPr>
      </w:pPr>
      <w:r>
        <w:rPr>
          <w:lang w:val="es-ES"/>
        </w:rPr>
        <w:t xml:space="preserve">Llegar a un consenso con el organismo de ejecución cooperante sobre cualquier disposición de planificación, coordinación y presentación de informes necesaria para facilitar la ejecución del Plan; </w:t>
      </w:r>
      <w:r>
        <w:rPr>
          <w:shd w:val="clear" w:color="auto" w:fill="FFFFFF" w:themeFill="background1"/>
          <w:lang w:val="es-ES"/>
        </w:rPr>
        <w:t>y</w:t>
      </w:r>
    </w:p>
    <w:p w14:paraId="0A64BF3B" w14:textId="77777777" w:rsidR="00563DA8" w:rsidRPr="002D2ED7" w:rsidRDefault="00563DA8" w:rsidP="001161CD">
      <w:pPr>
        <w:pStyle w:val="Heading2"/>
        <w:widowControl/>
        <w:numPr>
          <w:ilvl w:val="1"/>
          <w:numId w:val="1"/>
        </w:numPr>
        <w:tabs>
          <w:tab w:val="clear" w:pos="0"/>
          <w:tab w:val="num" w:pos="-720"/>
        </w:tabs>
        <w:rPr>
          <w:lang w:val="es-ES"/>
        </w:rPr>
      </w:pPr>
      <w:r>
        <w:rPr>
          <w:lang w:val="es-ES"/>
        </w:rPr>
        <w:t>Liberar oportunamente el financiamiento al País o a las empresas participantes para la realización de las actividades relacionadas con el proyecto.</w:t>
      </w:r>
    </w:p>
    <w:p w14:paraId="5608E418" w14:textId="720170EB" w:rsidR="00563DA8" w:rsidRPr="002D2ED7" w:rsidRDefault="00563DA8" w:rsidP="001161CD">
      <w:pPr>
        <w:pStyle w:val="Heading1"/>
        <w:rPr>
          <w:lang w:val="es-ES"/>
        </w:rPr>
      </w:pPr>
      <w:r>
        <w:rPr>
          <w:lang w:val="es-ES"/>
        </w:rPr>
        <w:lastRenderedPageBreak/>
        <w:t>Tras consultar con el país y teniendo en cuenta las opiniones expresadas, el principal organismo de ejecución seleccionará y encargará a una entidad independiente que lleve a cabo la verificación de los resultados del Plan y del consumo de las sustancias mencionadas en el Apéndice 1-A, de conformidad con el inciso 5 b) del Acuerdo y el inciso 1 b) del Apéndice 4-A.</w:t>
      </w:r>
    </w:p>
    <w:p w14:paraId="2E234642" w14:textId="77777777" w:rsidR="00563DA8" w:rsidRPr="002D2ED7" w:rsidRDefault="00563DA8" w:rsidP="00B85B61">
      <w:pPr>
        <w:keepNext/>
        <w:spacing w:before="360" w:after="240"/>
        <w:rPr>
          <w:b/>
          <w:lang w:val="es-ES"/>
        </w:rPr>
      </w:pPr>
      <w:r>
        <w:rPr>
          <w:b/>
          <w:lang w:val="es-ES"/>
        </w:rPr>
        <w:t>Apéndice 6-B: Funciones del organismo de ejecución cooperante</w:t>
      </w:r>
    </w:p>
    <w:p w14:paraId="1A4B2E24" w14:textId="074F8FAA" w:rsidR="00563DA8" w:rsidRPr="002D2ED7" w:rsidRDefault="00563DA8" w:rsidP="00B85B61">
      <w:pPr>
        <w:pStyle w:val="Heading1"/>
        <w:numPr>
          <w:ilvl w:val="0"/>
          <w:numId w:val="30"/>
        </w:numPr>
        <w:rPr>
          <w:lang w:val="es-ES"/>
        </w:rPr>
      </w:pPr>
      <w:r>
        <w:rPr>
          <w:lang w:val="es-ES"/>
        </w:rPr>
        <w:t xml:space="preserve">El organismo de ejecución cooperante será responsable de una gama de actividades. Estas actividades se especifican en el Plan e incluyen, como mínimo, las siguientes: </w:t>
      </w:r>
    </w:p>
    <w:p w14:paraId="5135DE96" w14:textId="77777777" w:rsidR="00563DA8" w:rsidRPr="002D2ED7" w:rsidRDefault="00563DA8" w:rsidP="00B85B61">
      <w:pPr>
        <w:pStyle w:val="Heading2"/>
        <w:widowControl/>
        <w:numPr>
          <w:ilvl w:val="1"/>
          <w:numId w:val="1"/>
        </w:numPr>
        <w:tabs>
          <w:tab w:val="clear" w:pos="0"/>
          <w:tab w:val="num" w:pos="-720"/>
        </w:tabs>
        <w:rPr>
          <w:lang w:val="es-ES"/>
        </w:rPr>
      </w:pPr>
      <w:r>
        <w:rPr>
          <w:lang w:val="es-ES"/>
        </w:rPr>
        <w:t xml:space="preserve">Prestar asistencia para la formulación de políticas cuando sea necesario; </w:t>
      </w:r>
    </w:p>
    <w:p w14:paraId="1AA91396" w14:textId="340A647C" w:rsidR="00563DA8" w:rsidRPr="002D2ED7" w:rsidRDefault="00563DA8" w:rsidP="00B85B61">
      <w:pPr>
        <w:pStyle w:val="Heading2"/>
        <w:widowControl/>
        <w:numPr>
          <w:ilvl w:val="1"/>
          <w:numId w:val="1"/>
        </w:numPr>
        <w:tabs>
          <w:tab w:val="clear" w:pos="0"/>
          <w:tab w:val="num" w:pos="-720"/>
        </w:tabs>
        <w:rPr>
          <w:lang w:val="es-ES"/>
        </w:rPr>
      </w:pPr>
      <w:r>
        <w:rPr>
          <w:lang w:val="es-ES"/>
        </w:rPr>
        <w:t>Prestar asistencia al país en la ejecución y evaluación de las actividades financiadas por el organismo de ejecución cooperante, y derivar la consulta al principal organismo de ejecución para garantizar una secuencia coordinada de las actividades;</w:t>
      </w:r>
    </w:p>
    <w:p w14:paraId="636114F7" w14:textId="77777777" w:rsidR="00563DA8" w:rsidRPr="002D2ED7" w:rsidRDefault="00563DA8" w:rsidP="00B85B61">
      <w:pPr>
        <w:pStyle w:val="Heading2"/>
        <w:widowControl/>
        <w:numPr>
          <w:ilvl w:val="1"/>
          <w:numId w:val="1"/>
        </w:numPr>
        <w:tabs>
          <w:tab w:val="clear" w:pos="0"/>
          <w:tab w:val="num" w:pos="-720"/>
        </w:tabs>
        <w:rPr>
          <w:lang w:val="es-ES"/>
        </w:rPr>
      </w:pPr>
      <w:r>
        <w:rPr>
          <w:lang w:val="es-ES"/>
        </w:rPr>
        <w:t>Presentar informes al principal organismo de ejecución sobre estas actividades, para su inclusión en los informes consolidados según el Apéndice 4-A; y</w:t>
      </w:r>
    </w:p>
    <w:p w14:paraId="1E6E3FC5" w14:textId="77777777" w:rsidR="00563DA8" w:rsidRPr="002D2ED7" w:rsidRDefault="00563DA8" w:rsidP="00B85B61">
      <w:pPr>
        <w:pStyle w:val="Heading2"/>
        <w:widowControl/>
        <w:numPr>
          <w:ilvl w:val="1"/>
          <w:numId w:val="1"/>
        </w:numPr>
        <w:tabs>
          <w:tab w:val="clear" w:pos="0"/>
          <w:tab w:val="num" w:pos="-720"/>
        </w:tabs>
        <w:rPr>
          <w:lang w:val="es-ES"/>
        </w:rPr>
      </w:pPr>
      <w:r>
        <w:rPr>
          <w:lang w:val="es-ES"/>
        </w:rPr>
        <w:t>Llegar a un consenso con el principal organismo de ejecución sobre cualquier disposición de planificación, coordinación y presentación de informes necesaria para facilitar la ejecución del Plan.</w:t>
      </w:r>
    </w:p>
    <w:p w14:paraId="06911B99" w14:textId="77777777" w:rsidR="00563DA8" w:rsidRPr="002D2ED7" w:rsidRDefault="00563DA8" w:rsidP="001161CD">
      <w:pPr>
        <w:keepNext/>
        <w:spacing w:before="360" w:after="240"/>
        <w:rPr>
          <w:b/>
          <w:lang w:val="es-ES"/>
        </w:rPr>
      </w:pPr>
      <w:r>
        <w:rPr>
          <w:b/>
          <w:lang w:val="es-ES"/>
        </w:rPr>
        <w:t>Apéndice 7-A: Reducción del financiamiento por incumplimiento</w:t>
      </w:r>
    </w:p>
    <w:p w14:paraId="07DC6473" w14:textId="02C37D11" w:rsidR="00563DA8" w:rsidRPr="002D2ED7" w:rsidRDefault="00563DA8" w:rsidP="001161CD">
      <w:pPr>
        <w:pStyle w:val="Heading1"/>
        <w:numPr>
          <w:ilvl w:val="0"/>
          <w:numId w:val="26"/>
        </w:numPr>
        <w:rPr>
          <w:lang w:val="es-ES"/>
        </w:rPr>
      </w:pPr>
      <w:r>
        <w:rPr>
          <w:lang w:val="es-ES"/>
        </w:rPr>
        <w:t>De conformidad con el párrafo 11 del Acuerdo, el importe de la financiación proporcionada podrá reducirse en USD 180 por cada kg de consumo de PAO que supere el nivel definido en el renglón 1.2 del Apéndice 2-A por cada año en que no se haya cumplido el objetivo especificado en el renglón 1.2 del Apéndice 2-A, en el entendimiento de que la reducción máxima de la financiación no superará el nivel de financiamiento del tramo solicitado. Podrán considerarse medidas adicionales en los casos en que el incumplimiento se prolongue durante dos años consecutivos.</w:t>
      </w:r>
    </w:p>
    <w:p w14:paraId="2D06352B" w14:textId="77777777" w:rsidR="00563DA8" w:rsidRPr="002D2ED7" w:rsidRDefault="00563DA8" w:rsidP="001161CD">
      <w:pPr>
        <w:pStyle w:val="Heading1"/>
        <w:rPr>
          <w:lang w:val="es-ES"/>
        </w:rPr>
      </w:pPr>
      <w:r>
        <w:rPr>
          <w:lang w:val="es-ES"/>
        </w:rPr>
        <w:t>En caso de que sea necesario aplicar la sanción en un año en el que haya dos Acuerdos en vigor (dos etapas del Plan que se están ejecutando en paralelo) con diferentes niveles de sanción, la aplicación de la sanción se determinará caso a caso, teniendo en cuenta los sectores específicos que dan lugar al incumplimiento. Si no es posible determinar un sector, o si ambas etapas se refieren al mismo sector, el nivel de penalización que se aplicará será el más elevado.</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0"/>
        <w:gridCol w:w="1872"/>
        <w:gridCol w:w="1872"/>
        <w:gridCol w:w="1872"/>
        <w:gridCol w:w="1874"/>
      </w:tblGrid>
      <w:tr w:rsidR="00563DA8" w:rsidRPr="00E60A01" w14:paraId="641A2650" w14:textId="77777777" w:rsidTr="00222D4D">
        <w:tc>
          <w:tcPr>
            <w:tcW w:w="999" w:type="pct"/>
          </w:tcPr>
          <w:p w14:paraId="2A5F6DC0" w14:textId="77777777" w:rsidR="00563DA8" w:rsidRPr="002D2ED7" w:rsidRDefault="00563DA8" w:rsidP="001161CD">
            <w:pPr>
              <w:rPr>
                <w:lang w:val="es-ES"/>
              </w:rPr>
            </w:pPr>
          </w:p>
        </w:tc>
        <w:tc>
          <w:tcPr>
            <w:tcW w:w="1000" w:type="pct"/>
          </w:tcPr>
          <w:p w14:paraId="2A023465" w14:textId="77777777" w:rsidR="00563DA8" w:rsidRPr="002D2ED7" w:rsidRDefault="00563DA8" w:rsidP="001161CD">
            <w:pPr>
              <w:rPr>
                <w:lang w:val="es-ES"/>
              </w:rPr>
            </w:pPr>
          </w:p>
        </w:tc>
        <w:tc>
          <w:tcPr>
            <w:tcW w:w="1000" w:type="pct"/>
            <w:tcBorders>
              <w:bottom w:val="single" w:sz="4" w:space="0" w:color="auto"/>
            </w:tcBorders>
          </w:tcPr>
          <w:p w14:paraId="31A0D1C5" w14:textId="77777777" w:rsidR="00563DA8" w:rsidRPr="002D2ED7" w:rsidRDefault="00563DA8" w:rsidP="001161CD">
            <w:pPr>
              <w:rPr>
                <w:lang w:val="es-ES"/>
              </w:rPr>
            </w:pPr>
          </w:p>
        </w:tc>
        <w:tc>
          <w:tcPr>
            <w:tcW w:w="1000" w:type="pct"/>
          </w:tcPr>
          <w:p w14:paraId="019C4C8F" w14:textId="77777777" w:rsidR="00563DA8" w:rsidRPr="002D2ED7" w:rsidRDefault="00563DA8" w:rsidP="001161CD">
            <w:pPr>
              <w:rPr>
                <w:lang w:val="es-ES"/>
              </w:rPr>
            </w:pPr>
          </w:p>
        </w:tc>
        <w:tc>
          <w:tcPr>
            <w:tcW w:w="1001" w:type="pct"/>
          </w:tcPr>
          <w:p w14:paraId="6431C331" w14:textId="77777777" w:rsidR="00563DA8" w:rsidRPr="002D2ED7" w:rsidRDefault="00563DA8" w:rsidP="001161CD">
            <w:pPr>
              <w:rPr>
                <w:lang w:val="es-ES"/>
              </w:rPr>
            </w:pPr>
          </w:p>
        </w:tc>
      </w:tr>
    </w:tbl>
    <w:p w14:paraId="5A3CA580" w14:textId="77777777" w:rsidR="00563DA8" w:rsidRPr="002D2ED7" w:rsidRDefault="00563DA8" w:rsidP="001161CD">
      <w:pPr>
        <w:jc w:val="center"/>
        <w:rPr>
          <w:sz w:val="16"/>
          <w:lang w:val="es-ES"/>
        </w:rPr>
      </w:pPr>
    </w:p>
    <w:sectPr w:rsidR="00563DA8" w:rsidRPr="002D2ED7" w:rsidSect="00563DA8">
      <w:headerReference w:type="even" r:id="rId18"/>
      <w:headerReference w:type="default" r:id="rId19"/>
      <w:footerReference w:type="even" r:id="rId20"/>
      <w:footerReference w:type="default" r:id="rId21"/>
      <w:headerReference w:type="first" r:id="rId22"/>
      <w:footerReference w:type="first" r:id="rId23"/>
      <w:pgSz w:w="12240" w:h="15840" w:code="1"/>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8649CD" w14:textId="77777777" w:rsidR="00F6404A" w:rsidRDefault="00F6404A" w:rsidP="004A504B">
      <w:r>
        <w:separator/>
      </w:r>
    </w:p>
  </w:endnote>
  <w:endnote w:type="continuationSeparator" w:id="0">
    <w:p w14:paraId="1312DF14" w14:textId="77777777" w:rsidR="00F6404A" w:rsidRDefault="00F6404A" w:rsidP="004A504B">
      <w:r>
        <w:continuationSeparator/>
      </w:r>
    </w:p>
  </w:endnote>
  <w:endnote w:type="continuationNotice" w:id="1">
    <w:p w14:paraId="0C167EB6" w14:textId="77777777" w:rsidR="00F6404A" w:rsidRDefault="00F6404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Univers">
    <w:charset w:val="00"/>
    <w:family w:val="swiss"/>
    <w:pitch w:val="variable"/>
    <w:sig w:usb0="80000287" w:usb1="00000000" w:usb2="00000000" w:usb3="00000000" w:csb0="0000000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189641" w14:textId="77777777" w:rsidR="00563DA8" w:rsidRPr="0033525D" w:rsidRDefault="00563DA8">
    <w:pPr>
      <w:jc w:val="center"/>
    </w:pPr>
    <w:r>
      <w:fldChar w:fldCharType="begin"/>
    </w:r>
    <w:r>
      <w:instrText xml:space="preserve"> PAGE </w:instrText>
    </w:r>
    <w:r>
      <w:fldChar w:fldCharType="separate"/>
    </w:r>
    <w:r>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BE5A63" w14:textId="77777777" w:rsidR="00563DA8" w:rsidRPr="0033525D" w:rsidRDefault="00563DA8">
    <w:pPr>
      <w:jc w:val="center"/>
    </w:pPr>
    <w:r>
      <w:fldChar w:fldCharType="begin"/>
    </w:r>
    <w:r>
      <w:instrText xml:space="preserve"> PAGE </w:instrText>
    </w:r>
    <w:r>
      <w:fldChar w:fldCharType="separate"/>
    </w:r>
    <w:r>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98B9C7" w14:textId="77777777" w:rsidR="008E1E68" w:rsidRPr="00AD113B" w:rsidRDefault="008E1E68" w:rsidP="004E7F9C">
    <w:pPr>
      <w:pBdr>
        <w:top w:val="single" w:sz="4" w:space="1" w:color="auto"/>
        <w:left w:val="single" w:sz="4" w:space="4" w:color="auto"/>
        <w:bottom w:val="single" w:sz="4" w:space="1" w:color="auto"/>
        <w:right w:val="single" w:sz="4" w:space="4" w:color="auto"/>
      </w:pBdr>
      <w:jc w:val="center"/>
      <w:rPr>
        <w:sz w:val="8"/>
        <w:szCs w:val="8"/>
      </w:rPr>
    </w:pPr>
  </w:p>
  <w:p w14:paraId="031BE1E3" w14:textId="77777777" w:rsidR="00563DA8" w:rsidRPr="002D2ED7" w:rsidRDefault="00563DA8" w:rsidP="004E7F9C">
    <w:pPr>
      <w:pBdr>
        <w:top w:val="single" w:sz="4" w:space="1" w:color="auto"/>
        <w:left w:val="single" w:sz="4" w:space="4" w:color="auto"/>
        <w:bottom w:val="single" w:sz="4" w:space="1" w:color="auto"/>
        <w:right w:val="single" w:sz="4" w:space="4" w:color="auto"/>
      </w:pBdr>
      <w:jc w:val="center"/>
      <w:rPr>
        <w:sz w:val="18"/>
        <w:szCs w:val="18"/>
        <w:lang w:val="es-ES"/>
      </w:rPr>
    </w:pPr>
    <w:r w:rsidRPr="002D2ED7">
      <w:rPr>
        <w:sz w:val="18"/>
        <w:szCs w:val="18"/>
        <w:lang w:val="es-ES"/>
      </w:rPr>
      <w:t>Los documentos previos al período de sesiones del Comité Ejecutivo del Fondo Multilateral para la Aplicación del Protocolo de Montreal no van en perjuicio de las decisiones que el Comité pudiera adoptar después de la emisión de los mismos.</w:t>
    </w:r>
  </w:p>
  <w:p w14:paraId="5FB565BB" w14:textId="77777777" w:rsidR="00563DA8" w:rsidRPr="002D2ED7" w:rsidRDefault="00563DA8" w:rsidP="004E7F9C">
    <w:pPr>
      <w:pBdr>
        <w:top w:val="single" w:sz="4" w:space="1" w:color="auto"/>
        <w:left w:val="single" w:sz="4" w:space="4" w:color="auto"/>
        <w:bottom w:val="single" w:sz="4" w:space="1" w:color="auto"/>
        <w:right w:val="single" w:sz="4" w:space="4" w:color="auto"/>
      </w:pBdr>
      <w:jc w:val="center"/>
      <w:rPr>
        <w:sz w:val="10"/>
        <w:szCs w:val="10"/>
        <w:lang w:val="es-ES"/>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670350"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B8981C" w14:textId="77777777"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BE7B16" w14:textId="77777777" w:rsidR="004E7F9C" w:rsidRPr="002D2ED7" w:rsidRDefault="004E7F9C" w:rsidP="004E7F9C">
    <w:pPr>
      <w:pBdr>
        <w:top w:val="single" w:sz="4" w:space="1" w:color="auto"/>
        <w:left w:val="single" w:sz="4" w:space="4" w:color="auto"/>
        <w:bottom w:val="single" w:sz="4" w:space="1" w:color="auto"/>
        <w:right w:val="single" w:sz="4" w:space="4" w:color="auto"/>
      </w:pBdr>
      <w:jc w:val="center"/>
      <w:rPr>
        <w:sz w:val="18"/>
        <w:szCs w:val="18"/>
        <w:lang w:val="es-ES"/>
      </w:rPr>
    </w:pPr>
    <w:r w:rsidRPr="002D2ED7">
      <w:rPr>
        <w:sz w:val="18"/>
        <w:szCs w:val="18"/>
        <w:lang w:val="es-ES"/>
      </w:rPr>
      <w:t>Los documentos previos al período de sesiones del Comité Ejecutivo del Fondo Multilateral para la Aplicación del Protocolo de Montreal no van en perjuicio de las decisiones que el Comité pudiera adoptar después de la emisión de los mismos.</w:t>
    </w:r>
  </w:p>
  <w:p w14:paraId="6E84E144" w14:textId="77777777" w:rsidR="004E7F9C" w:rsidRPr="002D2ED7" w:rsidRDefault="004E7F9C" w:rsidP="00D85651">
    <w:pPr>
      <w:pBdr>
        <w:top w:val="single" w:sz="4" w:space="1" w:color="auto"/>
        <w:left w:val="single" w:sz="4" w:space="4" w:color="auto"/>
        <w:bottom w:val="single" w:sz="4" w:space="1" w:color="auto"/>
        <w:right w:val="single" w:sz="4" w:space="4" w:color="auto"/>
      </w:pBdr>
      <w:jc w:val="center"/>
      <w:rPr>
        <w:sz w:val="18"/>
        <w:szCs w:val="18"/>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03B203" w14:textId="77777777" w:rsidR="00F6404A" w:rsidRDefault="00F6404A" w:rsidP="004A504B">
      <w:r>
        <w:separator/>
      </w:r>
    </w:p>
  </w:footnote>
  <w:footnote w:type="continuationSeparator" w:id="0">
    <w:p w14:paraId="365C6B26" w14:textId="77777777" w:rsidR="00F6404A" w:rsidRDefault="00F6404A" w:rsidP="004A504B">
      <w:r>
        <w:continuationSeparator/>
      </w:r>
    </w:p>
  </w:footnote>
  <w:footnote w:type="continuationNotice" w:id="1">
    <w:p w14:paraId="6E5B4166" w14:textId="77777777" w:rsidR="00F6404A" w:rsidRDefault="00F6404A"/>
  </w:footnote>
  <w:footnote w:id="2">
    <w:p w14:paraId="3C5A9B98" w14:textId="77777777" w:rsidR="002D2ED7" w:rsidRPr="002D2ED7" w:rsidRDefault="002D2ED7" w:rsidP="002D2ED7">
      <w:pPr>
        <w:pStyle w:val="FootnoteText"/>
        <w:spacing w:after="120"/>
        <w:rPr>
          <w:lang w:val="es-ES"/>
        </w:rPr>
      </w:pPr>
      <w:r w:rsidRPr="00E55B0A">
        <w:rPr>
          <w:rStyle w:val="FootnoteReference"/>
        </w:rPr>
        <w:footnoteRef/>
      </w:r>
      <w:r w:rsidRPr="002D2ED7">
        <w:rPr>
          <w:lang w:val="es-ES"/>
        </w:rPr>
        <w:t xml:space="preserve"> UNEP/OzL.Pro/ExCom/98/1</w:t>
      </w:r>
    </w:p>
  </w:footnote>
  <w:footnote w:id="3">
    <w:p w14:paraId="15D64AB8" w14:textId="58EBB46D" w:rsidR="00563DA8" w:rsidRPr="002D2ED7" w:rsidRDefault="00563DA8" w:rsidP="00BE2DAA">
      <w:pPr>
        <w:pStyle w:val="FootnoteText"/>
        <w:rPr>
          <w:lang w:val="es-ES"/>
        </w:rPr>
      </w:pPr>
      <w:r w:rsidRPr="00FE3307">
        <w:rPr>
          <w:rStyle w:val="FootnoteReference"/>
        </w:rPr>
        <w:footnoteRef/>
      </w:r>
      <w:r w:rsidRPr="002D2ED7">
        <w:rPr>
          <w:lang w:val="es-ES"/>
        </w:rPr>
        <w:t xml:space="preserve"> De conformidad con la carta de fecha</w:t>
      </w:r>
      <w:r w:rsidR="00D7261A" w:rsidRPr="002D2ED7">
        <w:rPr>
          <w:lang w:val="es-ES"/>
        </w:rPr>
        <w:t xml:space="preserve"> 13 de febrero </w:t>
      </w:r>
      <w:r w:rsidR="009C7DD7" w:rsidRPr="002D2ED7">
        <w:rPr>
          <w:lang w:val="es-ES"/>
        </w:rPr>
        <w:t xml:space="preserve">de 2026 </w:t>
      </w:r>
      <w:r w:rsidRPr="002D2ED7">
        <w:rPr>
          <w:lang w:val="es-ES"/>
        </w:rPr>
        <w:t xml:space="preserve">dirigida a la Secretaría por el Ministerio del </w:t>
      </w:r>
      <w:r w:rsidR="00266CDA" w:rsidRPr="002D2ED7">
        <w:rPr>
          <w:lang w:val="es-ES"/>
        </w:rPr>
        <w:t xml:space="preserve">Medio Ambiente, Acción Climática y </w:t>
      </w:r>
      <w:r w:rsidR="00A33F2E" w:rsidRPr="002D2ED7">
        <w:rPr>
          <w:lang w:val="es-ES"/>
        </w:rPr>
        <w:t>Empoderamiento</w:t>
      </w:r>
      <w:r w:rsidR="00266CDA" w:rsidRPr="002D2ED7">
        <w:rPr>
          <w:lang w:val="es-ES"/>
        </w:rPr>
        <w:t xml:space="preserve"> </w:t>
      </w:r>
      <w:r w:rsidRPr="002D2ED7">
        <w:rPr>
          <w:lang w:val="es-ES"/>
        </w:rPr>
        <w:t>de</w:t>
      </w:r>
      <w:r w:rsidR="00266CDA" w:rsidRPr="002D2ED7">
        <w:rPr>
          <w:lang w:val="es-ES"/>
        </w:rPr>
        <w:t xml:space="preserve"> las Comunidades </w:t>
      </w:r>
      <w:r w:rsidRPr="002D2ED7">
        <w:rPr>
          <w:lang w:val="es-ES"/>
        </w:rPr>
        <w:t xml:space="preserve">de </w:t>
      </w:r>
      <w:r w:rsidR="00A33F2E" w:rsidRPr="002D2ED7">
        <w:rPr>
          <w:lang w:val="es-ES"/>
        </w:rPr>
        <w:t>Saint Kitts y Nevis</w:t>
      </w:r>
      <w:r w:rsidRPr="002D2ED7">
        <w:rPr>
          <w:lang w:val="es-ES"/>
        </w:rPr>
        <w:t>.</w:t>
      </w:r>
    </w:p>
  </w:footnote>
  <w:footnote w:id="4">
    <w:p w14:paraId="58FD368E" w14:textId="77777777" w:rsidR="00563DA8" w:rsidRPr="002D2ED7" w:rsidRDefault="00563DA8" w:rsidP="00BE2DAA">
      <w:pPr>
        <w:pStyle w:val="FootnoteText"/>
        <w:rPr>
          <w:lang w:val="es-ES"/>
        </w:rPr>
      </w:pPr>
      <w:r>
        <w:rPr>
          <w:rStyle w:val="FootnoteReference"/>
        </w:rPr>
        <w:footnoteRef/>
      </w:r>
      <w:r w:rsidRPr="002D2ED7">
        <w:rPr>
          <w:lang w:val="es-ES"/>
        </w:rPr>
        <w:t xml:space="preserve"> De acuerdo con lo dispuesto en la decisión 89/6, los países con bajo volumen de consumo pueden incluir en sus planes de gestión para la eliminación de los HCFC (PGEH) actividades adicionales para la introducción de alternativas a los HCFC con un potencial de calentamiento global de bajo o nulo y para mantener la eficiencia energética en el sector de servicio y mantenimiento de equipos de refrigeración.</w:t>
      </w:r>
    </w:p>
  </w:footnote>
  <w:footnote w:id="5">
    <w:p w14:paraId="0522CAE5" w14:textId="081D6710" w:rsidR="00563DA8" w:rsidRPr="002D2ED7" w:rsidRDefault="00563DA8" w:rsidP="00BE2DAA">
      <w:pPr>
        <w:pStyle w:val="FootnoteText"/>
        <w:rPr>
          <w:lang w:val="es-ES"/>
        </w:rPr>
      </w:pPr>
      <w:r>
        <w:rPr>
          <w:rStyle w:val="FootnoteReference"/>
        </w:rPr>
        <w:footnoteRef/>
      </w:r>
      <w:r w:rsidRPr="002D2ED7">
        <w:rPr>
          <w:lang w:val="es-ES"/>
        </w:rPr>
        <w:t xml:space="preserve"> Decisión</w:t>
      </w:r>
      <w:r w:rsidR="00C71D4A" w:rsidRPr="002D2ED7">
        <w:rPr>
          <w:lang w:val="es-ES"/>
        </w:rPr>
        <w:t xml:space="preserve"> 64/36</w:t>
      </w:r>
    </w:p>
  </w:footnote>
  <w:footnote w:id="6">
    <w:p w14:paraId="0B2E73FD" w14:textId="2421CDB7" w:rsidR="00155447" w:rsidRPr="002D2ED7" w:rsidRDefault="00155447">
      <w:pPr>
        <w:pStyle w:val="FootnoteText"/>
        <w:rPr>
          <w:lang w:val="es-ES"/>
        </w:rPr>
      </w:pPr>
      <w:r>
        <w:rPr>
          <w:rStyle w:val="FootnoteReference"/>
        </w:rPr>
        <w:footnoteRef/>
      </w:r>
      <w:r w:rsidRPr="002D2ED7">
        <w:rPr>
          <w:lang w:val="es-ES"/>
        </w:rPr>
        <w:t xml:space="preserve"> </w:t>
      </w:r>
      <w:r w:rsidR="0089366C" w:rsidRPr="002D2ED7">
        <w:rPr>
          <w:lang w:val="es-ES"/>
        </w:rPr>
        <w:t xml:space="preserve">De conformidad con el anexo XIV </w:t>
      </w:r>
      <w:r w:rsidR="00960F67" w:rsidRPr="002D2ED7">
        <w:rPr>
          <w:lang w:val="es-ES"/>
        </w:rPr>
        <w:t>del documento UNEP/OzL.Pro/ExCom/93/105</w:t>
      </w:r>
    </w:p>
  </w:footnote>
  <w:footnote w:id="7">
    <w:p w14:paraId="7ECF415B" w14:textId="10E5E236" w:rsidR="00F83214" w:rsidRPr="002D2ED7" w:rsidRDefault="00F83214" w:rsidP="00F30178">
      <w:pPr>
        <w:pStyle w:val="FootnoteText"/>
        <w:keepLines/>
        <w:widowControl w:val="0"/>
        <w:rPr>
          <w:lang w:val="es-ES"/>
        </w:rPr>
      </w:pPr>
      <w:r w:rsidRPr="00F30178">
        <w:rPr>
          <w:rStyle w:val="FootnoteReference"/>
          <w:sz w:val="19"/>
          <w:szCs w:val="19"/>
        </w:rPr>
        <w:footnoteRef/>
      </w:r>
      <w:r w:rsidRPr="002D2ED7">
        <w:rPr>
          <w:sz w:val="19"/>
          <w:szCs w:val="19"/>
          <w:lang w:val="es-ES"/>
        </w:rPr>
        <w:t xml:space="preserve"> </w:t>
      </w:r>
      <w:r w:rsidR="00422F2E" w:rsidRPr="002D2ED7">
        <w:rPr>
          <w:lang w:val="es-ES"/>
        </w:rPr>
        <w:t>Incluyendo una unidad de formación para cada uno de los siguientes ámbitos: refrigeración, refrigeración doméstica, refrigeración comercial y aire acondicionado residencial; dos unidades de cada una de las herramientas y equipos especializados seleccionados, entre los que se incluyen, entre otros, balanzas electrónicas para refrigerantes, vacuómetros digitales, balanzas de carga, máquinas de recuperación y analizadores de compresores; seis bombonas de refrigerante y unidades de vacío/carga; y ocho unidades de herramientas básicas de mantenimiento.</w:t>
      </w:r>
    </w:p>
  </w:footnote>
  <w:footnote w:id="8">
    <w:p w14:paraId="526C773A" w14:textId="77777777" w:rsidR="00D86EFC" w:rsidRPr="002D2ED7" w:rsidRDefault="00D86EFC" w:rsidP="00D86EFC">
      <w:pPr>
        <w:pStyle w:val="FootnoteText"/>
        <w:rPr>
          <w:lang w:val="es-ES"/>
        </w:rPr>
      </w:pPr>
      <w:r>
        <w:rPr>
          <w:rStyle w:val="FootnoteReference"/>
        </w:rPr>
        <w:footnoteRef/>
      </w:r>
      <w:r w:rsidRPr="002D2ED7">
        <w:rPr>
          <w:lang w:val="es-ES"/>
        </w:rPr>
        <w:t xml:space="preserve"> Decisión 93/36</w:t>
      </w:r>
    </w:p>
  </w:footnote>
  <w:footnote w:id="9">
    <w:p w14:paraId="6E15DDFB" w14:textId="577C3915" w:rsidR="00B965C5" w:rsidRPr="002D2ED7" w:rsidRDefault="00B965C5">
      <w:pPr>
        <w:pStyle w:val="FootnoteText"/>
        <w:rPr>
          <w:lang w:val="es-ES"/>
        </w:rPr>
      </w:pPr>
      <w:r>
        <w:rPr>
          <w:rStyle w:val="FootnoteReference"/>
        </w:rPr>
        <w:footnoteRef/>
      </w:r>
      <w:r w:rsidRPr="002D2ED7">
        <w:rPr>
          <w:lang w:val="es-ES"/>
        </w:rPr>
        <w:t xml:space="preserve"> El Sistema Aduanero Automatizado (SIDUNEA) es un sistema informatizado diseñado por la Conferencia de las Naciones Unidas sobre Comercio y Desarrollo para gestionar las aduanas de un país.</w:t>
      </w:r>
    </w:p>
  </w:footnote>
  <w:footnote w:id="10">
    <w:p w14:paraId="15B800AD" w14:textId="4DDF5F71" w:rsidR="00B965C5" w:rsidRPr="002D2ED7" w:rsidRDefault="00B965C5">
      <w:pPr>
        <w:pStyle w:val="FootnoteText"/>
        <w:rPr>
          <w:lang w:val="es-ES"/>
        </w:rPr>
      </w:pPr>
      <w:r>
        <w:rPr>
          <w:rStyle w:val="FootnoteReference"/>
        </w:rPr>
        <w:footnoteRef/>
      </w:r>
      <w:r w:rsidRPr="002D2ED7">
        <w:rPr>
          <w:lang w:val="es-ES"/>
        </w:rPr>
        <w:t xml:space="preserve"> El proceso de planificación estratégica cuenta con la participación de las principales partes interesadas, incluidos representantes del sector de servicio y mantenimiento de equipos de refrigeración y aire acondicionado y de instituciones gubernamentales clave (autoridades aduaneras, Oficina de Normalización, Ministerio de Industria y Comercio, Ministerio de Comercio, ministerio responsable de la mujer y el Departamento de Medio Ambiente).</w:t>
      </w:r>
    </w:p>
  </w:footnote>
  <w:footnote w:id="11">
    <w:p w14:paraId="429A67CF" w14:textId="1C55D528" w:rsidR="00B965C5" w:rsidRPr="002D2ED7" w:rsidRDefault="00B965C5" w:rsidP="00AA7EDD">
      <w:pPr>
        <w:spacing w:after="100" w:afterAutospacing="1"/>
        <w:jc w:val="left"/>
        <w:rPr>
          <w:sz w:val="20"/>
          <w:szCs w:val="20"/>
          <w:lang w:val="es-ES"/>
        </w:rPr>
      </w:pPr>
      <w:r w:rsidRPr="00D12F37">
        <w:rPr>
          <w:rStyle w:val="FootnoteReference"/>
          <w:sz w:val="20"/>
          <w:szCs w:val="20"/>
        </w:rPr>
        <w:footnoteRef/>
      </w:r>
      <w:r w:rsidRPr="002D2ED7">
        <w:rPr>
          <w:sz w:val="20"/>
          <w:szCs w:val="20"/>
          <w:lang w:val="es-ES"/>
        </w:rPr>
        <w:t xml:space="preserve"> Por ejemplo, al menos ocho máquinas de recuperación de HCFC y HFC y balanzas de carga digitales (seis para Saint Kitts; dos para Nevis); 40 bombonas de recuperación recargables (tamaños pequeños y grandes); tres identificadores de refrigerantes y bastidores de almacenamiento de bombonas; materiales de etiquetado y registro; y mangueras, adaptadores y kits básicos de servicio y mantenimiento esenciales.</w:t>
      </w:r>
    </w:p>
  </w:footnote>
  <w:footnote w:id="12">
    <w:p w14:paraId="60D89BBA" w14:textId="77777777" w:rsidR="00563DA8" w:rsidRPr="002D2ED7" w:rsidRDefault="00563DA8" w:rsidP="00BE2DAA">
      <w:pPr>
        <w:pStyle w:val="FootnoteText"/>
        <w:rPr>
          <w:lang w:val="es-ES"/>
        </w:rPr>
      </w:pPr>
      <w:r>
        <w:rPr>
          <w:rStyle w:val="FootnoteReference"/>
        </w:rPr>
        <w:footnoteRef/>
      </w:r>
      <w:r w:rsidRPr="002D2ED7">
        <w:rPr>
          <w:lang w:val="es-ES"/>
        </w:rPr>
        <w:t xml:space="preserve"> El consumo de HCFC podrá ser superior a cero en cualquier año, siempre que la suma de sus niveles de consumo calculados durante el período de diez años comprendido entre el 1 de enero de 2030–1 de enero de 2040, dividida por 10, no supere el 2,5 % del nivel básico de referencia de HCFC.</w:t>
      </w:r>
    </w:p>
  </w:footnote>
  <w:footnote w:id="13">
    <w:p w14:paraId="0B94428D" w14:textId="77777777" w:rsidR="00854D45" w:rsidRPr="002D2ED7" w:rsidRDefault="00854D45" w:rsidP="00854D45">
      <w:pPr>
        <w:pStyle w:val="FootnoteText"/>
        <w:rPr>
          <w:lang w:val="es-ES"/>
        </w:rPr>
      </w:pPr>
      <w:r>
        <w:rPr>
          <w:rStyle w:val="FootnoteReference"/>
        </w:rPr>
        <w:footnoteRef/>
      </w:r>
      <w:r w:rsidRPr="002D2ED7">
        <w:rPr>
          <w:lang w:val="es-ES"/>
        </w:rPr>
        <w:t xml:space="preserve"> Decisión 96/23</w:t>
      </w:r>
    </w:p>
  </w:footnote>
  <w:footnote w:id="14">
    <w:p w14:paraId="2C1612D0" w14:textId="3751146C" w:rsidR="006A30FD" w:rsidRPr="002D2ED7" w:rsidRDefault="006A30FD" w:rsidP="006A30FD">
      <w:pPr>
        <w:pStyle w:val="FootnoteText"/>
        <w:rPr>
          <w:lang w:val="es-ES"/>
        </w:rPr>
      </w:pPr>
      <w:r>
        <w:rPr>
          <w:rStyle w:val="FootnoteReference"/>
        </w:rPr>
        <w:footnoteRef/>
      </w:r>
      <w:r w:rsidRPr="002D2ED7">
        <w:rPr>
          <w:lang w:val="es-ES"/>
        </w:rPr>
        <w:t xml:space="preserve"> El Sistema Aduanero Automatizado (SIDUNEA) es un sistema informatizado diseñado por la Conferencia de las Naciones Unidas sobre Comercio y Desarrollo para administrar las aduanas de un país</w:t>
      </w:r>
      <w:r w:rsidR="009201E3" w:rsidRPr="002D2ED7">
        <w:rPr>
          <w:lang w:val="es-ES"/>
        </w:rPr>
        <w:t>, que se utiliza en Saint Kitts y Nevis</w:t>
      </w:r>
      <w:r w:rsidRPr="002D2ED7">
        <w:rPr>
          <w:lang w:val="es-ES"/>
        </w:rPr>
        <w:t>.</w:t>
      </w:r>
    </w:p>
  </w:footnote>
  <w:footnote w:id="15">
    <w:p w14:paraId="65DC92B2" w14:textId="77777777" w:rsidR="006A30FD" w:rsidRPr="002D2ED7" w:rsidRDefault="006A30FD" w:rsidP="006A30FD">
      <w:pPr>
        <w:pStyle w:val="FootnoteText"/>
        <w:rPr>
          <w:lang w:val="es-ES"/>
        </w:rPr>
      </w:pPr>
      <w:r>
        <w:rPr>
          <w:rStyle w:val="FootnoteReference"/>
        </w:rPr>
        <w:footnoteRef/>
      </w:r>
      <w:r w:rsidRPr="002D2ED7">
        <w:rPr>
          <w:lang w:val="es-ES"/>
        </w:rPr>
        <w:t xml:space="preserve"> El proceso de planificación estratégica cuenta con la participación de las principales partes interesadas, entre las que se incluyen representantes del sector de servicio y mantenimiento de equipos de refrigeración y aire acondicionado (RAC) y de instituciones gubernamentales clave (autoridades aduaneras, Oficina de Normalización, Ministerio de Industria y Comercio, Ministerio de Comercio, ministerio responsable de asuntos de la mujer y el Departamento de Medio Ambiente).</w:t>
      </w:r>
    </w:p>
  </w:footnote>
  <w:footnote w:id="16">
    <w:p w14:paraId="59F4AE66" w14:textId="67A96C35" w:rsidR="006A30FD" w:rsidRPr="002D2ED7" w:rsidRDefault="006A30FD" w:rsidP="004D287F">
      <w:pPr>
        <w:pStyle w:val="font-claude-response-body"/>
        <w:spacing w:before="0" w:beforeAutospacing="0" w:after="0" w:afterAutospacing="0"/>
        <w:jc w:val="both"/>
        <w:rPr>
          <w:strike/>
          <w:sz w:val="20"/>
          <w:szCs w:val="20"/>
          <w:lang w:val="es-ES"/>
        </w:rPr>
      </w:pPr>
      <w:r w:rsidRPr="00D12F37">
        <w:rPr>
          <w:rStyle w:val="FootnoteReference"/>
          <w:sz w:val="20"/>
          <w:szCs w:val="20"/>
        </w:rPr>
        <w:footnoteRef/>
      </w:r>
      <w:r w:rsidRPr="002D2ED7">
        <w:rPr>
          <w:sz w:val="20"/>
          <w:szCs w:val="20"/>
          <w:lang w:val="es-ES"/>
        </w:rPr>
        <w:t xml:space="preserve"> Por ejemplo, máquinas de recuperación de HCFC y HFC y balanzas digitales de carga (</w:t>
      </w:r>
      <w:r w:rsidR="003750D1" w:rsidRPr="002D2ED7">
        <w:rPr>
          <w:sz w:val="20"/>
          <w:szCs w:val="20"/>
          <w:lang w:val="es-ES"/>
        </w:rPr>
        <w:t>3 para Saint Kitts; 1 para Nevis);</w:t>
      </w:r>
      <w:r w:rsidR="00D75576" w:rsidRPr="002D2ED7">
        <w:rPr>
          <w:sz w:val="20"/>
          <w:szCs w:val="20"/>
          <w:lang w:val="es-ES"/>
        </w:rPr>
        <w:t xml:space="preserve"> 20 </w:t>
      </w:r>
      <w:r w:rsidRPr="002D2ED7">
        <w:rPr>
          <w:sz w:val="20"/>
          <w:szCs w:val="20"/>
          <w:lang w:val="es-ES"/>
        </w:rPr>
        <w:t>bombonas de recuperación recargables (de tamaño pequeño y grande); identificadores de refrigerantes y bastidores de almacenamiento de cilindros (uno por isla); materiales de etiquetado y registro; y mangueras, adaptadores y kits básicos de mantenimiento esenciales.</w:t>
      </w:r>
    </w:p>
  </w:footnote>
  <w:footnote w:id="17">
    <w:p w14:paraId="08593512" w14:textId="59C882B2" w:rsidR="00EB0D32" w:rsidRPr="002D2ED7" w:rsidRDefault="00EB0D32" w:rsidP="00A3259E">
      <w:pPr>
        <w:pStyle w:val="font-claude-response-body"/>
        <w:jc w:val="both"/>
        <w:rPr>
          <w:sz w:val="20"/>
          <w:szCs w:val="20"/>
          <w:lang w:val="es-ES"/>
        </w:rPr>
      </w:pPr>
      <w:r>
        <w:rPr>
          <w:rStyle w:val="FootnoteReference"/>
        </w:rPr>
        <w:footnoteRef/>
      </w:r>
      <w:r w:rsidRPr="002D2ED7">
        <w:rPr>
          <w:lang w:val="es-ES"/>
        </w:rPr>
        <w:t xml:space="preserve"> </w:t>
      </w:r>
      <w:r w:rsidRPr="002D2ED7">
        <w:rPr>
          <w:sz w:val="20"/>
          <w:szCs w:val="20"/>
          <w:lang w:val="es-ES"/>
        </w:rPr>
        <w:t>La ejecución de estas actividades se ajusta a la “Vía regional para aumentar la participación de las personas jóvenes en el sector de servicio y mantenimiento de equipos de refrigeración y aire acondicionado” del PAC del PNUMA, adoptada en junio de 2025, que se dirige específicamente a las personas jóvenes y a las personas técnicas.</w:t>
      </w:r>
    </w:p>
    <w:p w14:paraId="4EEF854A" w14:textId="6155999A" w:rsidR="00EB0D32" w:rsidRPr="002D2ED7" w:rsidRDefault="00EB0D32">
      <w:pPr>
        <w:pStyle w:val="FootnoteText"/>
        <w:rPr>
          <w:lang w:val="es-E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7B0234" w14:textId="717DF4F8" w:rsidR="00563DA8" w:rsidRPr="009B0D30" w:rsidRDefault="00981325" w:rsidP="00BE2DAA">
    <w:fldSimple w:instr=" DOCPROPERTY &quot;Document number&quot;  \* MERGEFORMAT ">
      <w:r>
        <w:t>UNEP/OzL.Pro/ExCom/98/46</w:t>
      </w:r>
    </w:fldSimple>
  </w:p>
  <w:p w14:paraId="35104C73" w14:textId="77777777" w:rsidR="00563DA8" w:rsidRPr="0033525D" w:rsidRDefault="00563DA8"/>
  <w:p w14:paraId="4D519D29" w14:textId="77777777" w:rsidR="00563DA8" w:rsidRPr="0033525D" w:rsidRDefault="00563DA8"/>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E5BBC7" w14:textId="70DBDC3E" w:rsidR="00563DA8" w:rsidRPr="009B0D30" w:rsidRDefault="00981325" w:rsidP="00BE2DAA">
    <w:pPr>
      <w:jc w:val="right"/>
    </w:pPr>
    <w:fldSimple w:instr=" DOCPROPERTY &quot;Document number&quot;  \* MERGEFORMAT ">
      <w:r>
        <w:t>UNEP/OzL.Pro/ExCom/98/46</w:t>
      </w:r>
    </w:fldSimple>
  </w:p>
  <w:p w14:paraId="74619C54" w14:textId="77777777" w:rsidR="00563DA8" w:rsidRPr="0033525D" w:rsidRDefault="00563DA8" w:rsidP="00630F36">
    <w:pPr>
      <w:jc w:val="right"/>
    </w:pPr>
  </w:p>
  <w:p w14:paraId="5FB736F4" w14:textId="77777777" w:rsidR="00563DA8" w:rsidRPr="0033525D" w:rsidRDefault="00563DA8" w:rsidP="00630F36">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9C6A4B" w14:textId="0199143A" w:rsidR="00DC6A10" w:rsidRPr="0033525D" w:rsidRDefault="00981325">
    <w:fldSimple w:instr=" DOCPROPERTY &quot;Document number&quot;  \* MERGEFORMAT ">
      <w:r>
        <w:t>UNEP/OzL.Pro/ExCom/98/46</w:t>
      </w:r>
    </w:fldSimple>
  </w:p>
  <w:p w14:paraId="0CA6AB72" w14:textId="77777777" w:rsidR="00DC6A10" w:rsidRPr="0033525D" w:rsidRDefault="00563DA8">
    <w:r>
      <w:t>Anexo I</w:t>
    </w:r>
  </w:p>
  <w:p w14:paraId="710BF2FA" w14:textId="77777777" w:rsidR="00DC6A10" w:rsidRPr="0033525D" w:rsidRDefault="00DC6A10"/>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322ADC" w14:textId="55CB2DB4" w:rsidR="00DC6A10" w:rsidRPr="0033525D" w:rsidRDefault="00981325" w:rsidP="00563DA8">
    <w:pPr>
      <w:jc w:val="right"/>
    </w:pPr>
    <w:fldSimple w:instr=" DOCPROPERTY &quot;Document number&quot;  \* MERGEFORMAT ">
      <w:r>
        <w:t>UNEP/OzL.Pro/ExCom/98/46</w:t>
      </w:r>
    </w:fldSimple>
  </w:p>
  <w:p w14:paraId="11A300E2" w14:textId="77777777" w:rsidR="00DC6A10" w:rsidRPr="0033525D" w:rsidRDefault="00563DA8" w:rsidP="00563DA8">
    <w:pPr>
      <w:jc w:val="right"/>
    </w:pPr>
    <w:r>
      <w:t>Anexo I</w:t>
    </w:r>
  </w:p>
  <w:p w14:paraId="3565921A" w14:textId="77777777" w:rsidR="00DC6A10" w:rsidRPr="0033525D" w:rsidRDefault="00DC6A10" w:rsidP="00563DA8">
    <w:pPr>
      <w:pStyle w:val="Header"/>
      <w:jc w:val="righ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7BC0C7" w14:textId="77777777" w:rsidR="00563DA8" w:rsidRDefault="00563DA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822A050A"/>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rPr>
        <w:rFonts w:ascii="Times New Roman" w:eastAsia="Times New Roman" w:hAnsi="Times New Roman" w:cs="Times New Roman"/>
        <w:i w:val="0"/>
        <w:iCs w:val="0"/>
      </w:rPr>
    </w:lvl>
    <w:lvl w:ilvl="2">
      <w:start w:val="1"/>
      <w:numFmt w:val="lowerRoman"/>
      <w:pStyle w:val="Heading3"/>
      <w:lvlText w:val="%3)"/>
      <w:lvlJc w:val="left"/>
      <w:pPr>
        <w:tabs>
          <w:tab w:val="num" w:pos="0"/>
        </w:tabs>
        <w:ind w:left="2160" w:hanging="720"/>
      </w:pPr>
      <w:rPr>
        <w:rFonts w:ascii="Times New Roman" w:eastAsia="Times New Roman" w:hAnsi="Times New Roman" w:cs="Times New Roman"/>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12D3C03"/>
    <w:multiLevelType w:val="multilevel"/>
    <w:tmpl w:val="FF24AB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F893F59"/>
    <w:multiLevelType w:val="hybridMultilevel"/>
    <w:tmpl w:val="CF2A230C"/>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F5C4EA2"/>
    <w:multiLevelType w:val="hybridMultilevel"/>
    <w:tmpl w:val="A3C41F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5CE0E3F"/>
    <w:multiLevelType w:val="multilevel"/>
    <w:tmpl w:val="55FAC7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B9B1847"/>
    <w:multiLevelType w:val="hybridMultilevel"/>
    <w:tmpl w:val="03C019B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15:restartNumberingAfterBreak="0">
    <w:nsid w:val="2BC55E56"/>
    <w:multiLevelType w:val="multilevel"/>
    <w:tmpl w:val="2B1648DA"/>
    <w:lvl w:ilvl="0">
      <w:start w:val="1"/>
      <w:numFmt w:val="decimal"/>
      <w:lvlText w:val="%1."/>
      <w:lvlJc w:val="left"/>
      <w:pPr>
        <w:ind w:left="360" w:hanging="360"/>
      </w:pPr>
      <w:rPr>
        <w:rFonts w:hint="default"/>
        <w:b/>
      </w:rPr>
    </w:lvl>
    <w:lvl w:ilvl="1">
      <w:start w:val="2"/>
      <w:numFmt w:val="decimal"/>
      <w:lvlText w:val="%1.%2."/>
      <w:lvlJc w:val="left"/>
      <w:pPr>
        <w:ind w:left="360" w:hanging="360"/>
      </w:pPr>
      <w:rPr>
        <w:rFonts w:hint="default"/>
        <w:b w:val="0"/>
        <w:bCs/>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720" w:hanging="72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080" w:hanging="1080"/>
      </w:pPr>
      <w:rPr>
        <w:rFonts w:hint="default"/>
        <w:b/>
      </w:rPr>
    </w:lvl>
    <w:lvl w:ilvl="7">
      <w:start w:val="1"/>
      <w:numFmt w:val="decimal"/>
      <w:lvlText w:val="%1.%2.%3.%4.%5.%6.%7.%8."/>
      <w:lvlJc w:val="left"/>
      <w:pPr>
        <w:ind w:left="1080" w:hanging="1080"/>
      </w:pPr>
      <w:rPr>
        <w:rFonts w:hint="default"/>
        <w:b/>
      </w:rPr>
    </w:lvl>
    <w:lvl w:ilvl="8">
      <w:start w:val="1"/>
      <w:numFmt w:val="decimal"/>
      <w:lvlText w:val="%1.%2.%3.%4.%5.%6.%7.%8.%9."/>
      <w:lvlJc w:val="left"/>
      <w:pPr>
        <w:ind w:left="1440" w:hanging="1440"/>
      </w:pPr>
      <w:rPr>
        <w:rFonts w:hint="default"/>
        <w:b/>
      </w:rPr>
    </w:lvl>
  </w:abstractNum>
  <w:abstractNum w:abstractNumId="17"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8"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9" w15:restartNumberingAfterBreak="0">
    <w:nsid w:val="37B02280"/>
    <w:multiLevelType w:val="hybridMultilevel"/>
    <w:tmpl w:val="62F6CBBA"/>
    <w:lvl w:ilvl="0" w:tplc="10090019">
      <w:start w:val="1"/>
      <w:numFmt w:val="lowerLetter"/>
      <w:lvlText w:val="%1."/>
      <w:lvlJc w:val="left"/>
      <w:pPr>
        <w:ind w:left="1440" w:hanging="360"/>
      </w:p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start w:val="1"/>
      <w:numFmt w:val="lowerLetter"/>
      <w:lvlText w:val="%5."/>
      <w:lvlJc w:val="left"/>
      <w:pPr>
        <w:ind w:left="4320" w:hanging="360"/>
      </w:pPr>
    </w:lvl>
    <w:lvl w:ilvl="5" w:tplc="0409001B">
      <w:start w:val="1"/>
      <w:numFmt w:val="lowerRoman"/>
      <w:lvlText w:val="%6."/>
      <w:lvlJc w:val="right"/>
      <w:pPr>
        <w:ind w:left="5040" w:hanging="180"/>
      </w:pPr>
    </w:lvl>
    <w:lvl w:ilvl="6" w:tplc="0409000F">
      <w:start w:val="1"/>
      <w:numFmt w:val="decimal"/>
      <w:lvlText w:val="%7."/>
      <w:lvlJc w:val="left"/>
      <w:pPr>
        <w:ind w:left="5760" w:hanging="360"/>
      </w:pPr>
    </w:lvl>
    <w:lvl w:ilvl="7" w:tplc="04090019">
      <w:start w:val="1"/>
      <w:numFmt w:val="lowerLetter"/>
      <w:lvlText w:val="%8."/>
      <w:lvlJc w:val="left"/>
      <w:pPr>
        <w:ind w:left="6480" w:hanging="360"/>
      </w:pPr>
    </w:lvl>
    <w:lvl w:ilvl="8" w:tplc="0409001B">
      <w:start w:val="1"/>
      <w:numFmt w:val="lowerRoman"/>
      <w:lvlText w:val="%9."/>
      <w:lvlJc w:val="right"/>
      <w:pPr>
        <w:ind w:left="7200" w:hanging="180"/>
      </w:pPr>
    </w:lvl>
  </w:abstractNum>
  <w:abstractNum w:abstractNumId="20" w15:restartNumberingAfterBreak="0">
    <w:nsid w:val="380B4E91"/>
    <w:multiLevelType w:val="multilevel"/>
    <w:tmpl w:val="26EC99BA"/>
    <w:lvl w:ilvl="0">
      <w:start w:val="1"/>
      <w:numFmt w:val="decimal"/>
      <w:lvlText w:val="%1."/>
      <w:lvlJc w:val="left"/>
      <w:pPr>
        <w:ind w:left="360" w:hanging="360"/>
      </w:pPr>
      <w:rPr>
        <w:rFonts w:hint="default"/>
        <w:b/>
      </w:rPr>
    </w:lvl>
    <w:lvl w:ilvl="1">
      <w:start w:val="1"/>
      <w:numFmt w:val="decimal"/>
      <w:lvlText w:val="%1.%2."/>
      <w:lvlJc w:val="left"/>
      <w:pPr>
        <w:ind w:left="360" w:hanging="360"/>
      </w:pPr>
      <w:rPr>
        <w:rFonts w:hint="default"/>
        <w:b w:val="0"/>
        <w:bCs/>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720" w:hanging="72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080" w:hanging="1080"/>
      </w:pPr>
      <w:rPr>
        <w:rFonts w:hint="default"/>
        <w:b/>
      </w:rPr>
    </w:lvl>
    <w:lvl w:ilvl="7">
      <w:start w:val="1"/>
      <w:numFmt w:val="decimal"/>
      <w:lvlText w:val="%1.%2.%3.%4.%5.%6.%7.%8."/>
      <w:lvlJc w:val="left"/>
      <w:pPr>
        <w:ind w:left="1080" w:hanging="1080"/>
      </w:pPr>
      <w:rPr>
        <w:rFonts w:hint="default"/>
        <w:b/>
      </w:rPr>
    </w:lvl>
    <w:lvl w:ilvl="8">
      <w:start w:val="1"/>
      <w:numFmt w:val="decimal"/>
      <w:lvlText w:val="%1.%2.%3.%4.%5.%6.%7.%8.%9."/>
      <w:lvlJc w:val="left"/>
      <w:pPr>
        <w:ind w:left="1440" w:hanging="1440"/>
      </w:pPr>
      <w:rPr>
        <w:rFonts w:hint="default"/>
        <w:b/>
      </w:rPr>
    </w:lvl>
  </w:abstractNum>
  <w:abstractNum w:abstractNumId="21" w15:restartNumberingAfterBreak="0">
    <w:nsid w:val="396054E3"/>
    <w:multiLevelType w:val="hybridMultilevel"/>
    <w:tmpl w:val="B15CB94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C7605AC"/>
    <w:multiLevelType w:val="multilevel"/>
    <w:tmpl w:val="A6A69F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4FB21661"/>
    <w:multiLevelType w:val="hybridMultilevel"/>
    <w:tmpl w:val="895036E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7" w15:restartNumberingAfterBreak="0">
    <w:nsid w:val="5E856D74"/>
    <w:multiLevelType w:val="multilevel"/>
    <w:tmpl w:val="86E477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FD4054B"/>
    <w:multiLevelType w:val="hybridMultilevel"/>
    <w:tmpl w:val="464AD9D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9" w15:restartNumberingAfterBreak="0">
    <w:nsid w:val="60950B77"/>
    <w:multiLevelType w:val="hybridMultilevel"/>
    <w:tmpl w:val="2526934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0" w15:restartNumberingAfterBreak="0">
    <w:nsid w:val="66FE77DA"/>
    <w:multiLevelType w:val="hybridMultilevel"/>
    <w:tmpl w:val="58AC448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1" w15:restartNumberingAfterBreak="0">
    <w:nsid w:val="683A4DA2"/>
    <w:multiLevelType w:val="hybridMultilevel"/>
    <w:tmpl w:val="F4D65104"/>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6CA30471"/>
    <w:multiLevelType w:val="hybridMultilevel"/>
    <w:tmpl w:val="92400546"/>
    <w:lvl w:ilvl="0" w:tplc="0809000F">
      <w:start w:val="1"/>
      <w:numFmt w:val="decimal"/>
      <w:lvlText w:val="%1."/>
      <w:lvlJc w:val="left"/>
      <w:pPr>
        <w:ind w:left="360" w:hanging="360"/>
      </w:pPr>
      <w:rPr>
        <w:rFonts w:hint="default"/>
      </w:rPr>
    </w:lvl>
    <w:lvl w:ilvl="1" w:tplc="C4127F10">
      <w:start w:val="1"/>
      <w:numFmt w:val="decimal"/>
      <w:lvlText w:val="%2."/>
      <w:lvlJc w:val="left"/>
      <w:pPr>
        <w:ind w:left="1080" w:hanging="360"/>
      </w:pPr>
      <w:rPr>
        <w:rFonts w:ascii="Times New Roman" w:eastAsiaTheme="minorHAnsi" w:hAnsi="Times New Roman" w:cs="Times New Roman"/>
      </w:r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3" w15:restartNumberingAfterBreak="0">
    <w:nsid w:val="7C4D6726"/>
    <w:multiLevelType w:val="multilevel"/>
    <w:tmpl w:val="F21CE5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7"/>
  </w:num>
  <w:num w:numId="17" w16cid:durableId="299306927">
    <w:abstractNumId w:val="24"/>
  </w:num>
  <w:num w:numId="18" w16cid:durableId="559828470">
    <w:abstractNumId w:val="26"/>
  </w:num>
  <w:num w:numId="19" w16cid:durableId="1488010068">
    <w:abstractNumId w:val="34"/>
  </w:num>
  <w:num w:numId="20" w16cid:durableId="444007775">
    <w:abstractNumId w:val="18"/>
  </w:num>
  <w:num w:numId="21" w16cid:durableId="2081637436">
    <w:abstractNumId w:val="28"/>
  </w:num>
  <w:num w:numId="22" w16cid:durableId="1708261730">
    <w:abstractNumId w:val="22"/>
  </w:num>
  <w:num w:numId="23" w16cid:durableId="30921359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143500165">
    <w:abstractNumId w:val="10"/>
    <w:lvlOverride w:ilvl="0">
      <w:startOverride w:val="4"/>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2122458732">
    <w:abstractNumId w:val="13"/>
  </w:num>
  <w:num w:numId="26" w16cid:durableId="198003935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70354908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19684526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58676170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24684025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68882508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63043334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93050852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68211860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79486472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59809749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68467247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47876477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41265500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8461249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656572739">
    <w:abstractNumId w:val="10"/>
  </w:num>
  <w:num w:numId="42" w16cid:durableId="2044162217">
    <w:abstractNumId w:val="10"/>
  </w:num>
  <w:num w:numId="43" w16cid:durableId="2012248256">
    <w:abstractNumId w:val="10"/>
  </w:num>
  <w:num w:numId="44" w16cid:durableId="246621520">
    <w:abstractNumId w:val="10"/>
  </w:num>
  <w:num w:numId="45" w16cid:durableId="767509102">
    <w:abstractNumId w:val="10"/>
  </w:num>
  <w:num w:numId="46" w16cid:durableId="676734516">
    <w:abstractNumId w:val="10"/>
  </w:num>
  <w:num w:numId="47" w16cid:durableId="283124736">
    <w:abstractNumId w:val="10"/>
  </w:num>
  <w:num w:numId="48" w16cid:durableId="416102292">
    <w:abstractNumId w:val="10"/>
  </w:num>
  <w:num w:numId="49" w16cid:durableId="1459952958">
    <w:abstractNumId w:val="10"/>
  </w:num>
  <w:num w:numId="50" w16cid:durableId="1309896210">
    <w:abstractNumId w:val="10"/>
  </w:num>
  <w:num w:numId="51" w16cid:durableId="1663241010">
    <w:abstractNumId w:val="10"/>
  </w:num>
  <w:num w:numId="52" w16cid:durableId="638606613">
    <w:abstractNumId w:val="10"/>
  </w:num>
  <w:num w:numId="53" w16cid:durableId="234508652">
    <w:abstractNumId w:val="10"/>
  </w:num>
  <w:num w:numId="54" w16cid:durableId="866062229">
    <w:abstractNumId w:val="30"/>
  </w:num>
  <w:num w:numId="55" w16cid:durableId="1633093260">
    <w:abstractNumId w:val="10"/>
  </w:num>
  <w:num w:numId="56" w16cid:durableId="51511558">
    <w:abstractNumId w:val="10"/>
  </w:num>
  <w:num w:numId="57" w16cid:durableId="730156286">
    <w:abstractNumId w:val="10"/>
  </w:num>
  <w:num w:numId="58" w16cid:durableId="414741927">
    <w:abstractNumId w:val="10"/>
  </w:num>
  <w:num w:numId="59" w16cid:durableId="1152600813">
    <w:abstractNumId w:val="27"/>
  </w:num>
  <w:num w:numId="60" w16cid:durableId="373046290">
    <w:abstractNumId w:val="10"/>
  </w:num>
  <w:num w:numId="61" w16cid:durableId="460536695">
    <w:abstractNumId w:val="10"/>
  </w:num>
  <w:num w:numId="62" w16cid:durableId="254676995">
    <w:abstractNumId w:val="10"/>
  </w:num>
  <w:num w:numId="63" w16cid:durableId="1705213423">
    <w:abstractNumId w:val="10"/>
  </w:num>
  <w:num w:numId="64" w16cid:durableId="864055144">
    <w:abstractNumId w:val="15"/>
  </w:num>
  <w:num w:numId="65" w16cid:durableId="1509834260">
    <w:abstractNumId w:val="25"/>
  </w:num>
  <w:num w:numId="66" w16cid:durableId="740180458">
    <w:abstractNumId w:val="11"/>
  </w:num>
  <w:num w:numId="67" w16cid:durableId="850487416">
    <w:abstractNumId w:val="23"/>
  </w:num>
  <w:num w:numId="68" w16cid:durableId="133425924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16cid:durableId="487671825">
    <w:abstractNumId w:val="10"/>
    <w:lvlOverride w:ilvl="0">
      <w:startOverride w:val="1"/>
    </w:lvlOverride>
    <w:lvlOverride w:ilvl="1">
      <w:startOverride w:val="1"/>
    </w:lvlOverride>
    <w:lvlOverride w:ilvl="2">
      <w:startOverride w:val="1"/>
    </w:lvlOverride>
    <w:lvlOverride w:ilvl="3">
      <w:startOverride w:val="3"/>
    </w:lvlOverride>
  </w:num>
  <w:num w:numId="70" w16cid:durableId="892693952">
    <w:abstractNumId w:val="21"/>
  </w:num>
  <w:num w:numId="71" w16cid:durableId="98323919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2" w16cid:durableId="1115173201">
    <w:abstractNumId w:val="14"/>
  </w:num>
  <w:num w:numId="73" w16cid:durableId="856312513">
    <w:abstractNumId w:val="32"/>
  </w:num>
  <w:num w:numId="74" w16cid:durableId="1235706515">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5" w16cid:durableId="716777781">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6" w16cid:durableId="1902448907">
    <w:abstractNumId w:val="31"/>
  </w:num>
  <w:num w:numId="77" w16cid:durableId="1453136690">
    <w:abstractNumId w:val="12"/>
  </w:num>
  <w:num w:numId="78" w16cid:durableId="1915431813">
    <w:abstractNumId w:val="10"/>
  </w:num>
  <w:num w:numId="79" w16cid:durableId="473565093">
    <w:abstractNumId w:val="10"/>
  </w:num>
  <w:num w:numId="80" w16cid:durableId="1462654610">
    <w:abstractNumId w:val="10"/>
  </w:num>
  <w:num w:numId="81" w16cid:durableId="1040085255">
    <w:abstractNumId w:val="10"/>
  </w:num>
  <w:num w:numId="82" w16cid:durableId="1216161647">
    <w:abstractNumId w:val="10"/>
  </w:num>
  <w:num w:numId="83" w16cid:durableId="178471697">
    <w:abstractNumId w:val="10"/>
  </w:num>
  <w:num w:numId="84" w16cid:durableId="602766408">
    <w:abstractNumId w:val="10"/>
  </w:num>
  <w:num w:numId="85" w16cid:durableId="1558395426">
    <w:abstractNumId w:val="10"/>
  </w:num>
  <w:num w:numId="86" w16cid:durableId="1838307812">
    <w:abstractNumId w:val="10"/>
  </w:num>
  <w:num w:numId="87" w16cid:durableId="1226142594">
    <w:abstractNumId w:val="10"/>
  </w:num>
  <w:num w:numId="88" w16cid:durableId="455685631">
    <w:abstractNumId w:val="10"/>
  </w:num>
  <w:num w:numId="89" w16cid:durableId="1946693346">
    <w:abstractNumId w:val="10"/>
  </w:num>
  <w:num w:numId="90" w16cid:durableId="1391271741">
    <w:abstractNumId w:val="10"/>
  </w:num>
  <w:num w:numId="91" w16cid:durableId="1002658257">
    <w:abstractNumId w:val="10"/>
  </w:num>
  <w:num w:numId="92" w16cid:durableId="310408928">
    <w:abstractNumId w:val="10"/>
  </w:num>
  <w:num w:numId="93" w16cid:durableId="2015498546">
    <w:abstractNumId w:val="10"/>
  </w:num>
  <w:num w:numId="94" w16cid:durableId="608313715">
    <w:abstractNumId w:val="10"/>
  </w:num>
  <w:num w:numId="95" w16cid:durableId="603617620">
    <w:abstractNumId w:val="10"/>
  </w:num>
  <w:num w:numId="96" w16cid:durableId="2085830995">
    <w:abstractNumId w:val="20"/>
  </w:num>
  <w:num w:numId="97" w16cid:durableId="385107536">
    <w:abstractNumId w:val="16"/>
  </w:num>
  <w:num w:numId="98" w16cid:durableId="1379743269">
    <w:abstractNumId w:val="33"/>
  </w:num>
  <w:num w:numId="99" w16cid:durableId="2115976505">
    <w:abstractNumId w:val="10"/>
  </w:num>
  <w:num w:numId="100" w16cid:durableId="2065062538">
    <w:abstractNumId w:val="10"/>
  </w:num>
  <w:num w:numId="101" w16cid:durableId="1469401211">
    <w:abstractNumId w:val="10"/>
  </w:num>
  <w:numIdMacAtCleanup w:val="9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3E17DB"/>
    <w:rsid w:val="0000025F"/>
    <w:rsid w:val="000003C1"/>
    <w:rsid w:val="00000FED"/>
    <w:rsid w:val="00002259"/>
    <w:rsid w:val="000023CF"/>
    <w:rsid w:val="00003129"/>
    <w:rsid w:val="000033EA"/>
    <w:rsid w:val="000038F6"/>
    <w:rsid w:val="0000391A"/>
    <w:rsid w:val="00003926"/>
    <w:rsid w:val="00003C43"/>
    <w:rsid w:val="0000434E"/>
    <w:rsid w:val="00004627"/>
    <w:rsid w:val="00004C80"/>
    <w:rsid w:val="00005658"/>
    <w:rsid w:val="00012670"/>
    <w:rsid w:val="00012A3D"/>
    <w:rsid w:val="000172E9"/>
    <w:rsid w:val="0001790E"/>
    <w:rsid w:val="00017F67"/>
    <w:rsid w:val="000211A9"/>
    <w:rsid w:val="00021238"/>
    <w:rsid w:val="00022071"/>
    <w:rsid w:val="00022A14"/>
    <w:rsid w:val="00022B68"/>
    <w:rsid w:val="00022F94"/>
    <w:rsid w:val="00023100"/>
    <w:rsid w:val="000253B7"/>
    <w:rsid w:val="00025CB6"/>
    <w:rsid w:val="000275B3"/>
    <w:rsid w:val="00027AAC"/>
    <w:rsid w:val="00031260"/>
    <w:rsid w:val="000319BF"/>
    <w:rsid w:val="00034F18"/>
    <w:rsid w:val="000351D8"/>
    <w:rsid w:val="00035533"/>
    <w:rsid w:val="00035759"/>
    <w:rsid w:val="0003681A"/>
    <w:rsid w:val="00036C9A"/>
    <w:rsid w:val="000372B7"/>
    <w:rsid w:val="00040058"/>
    <w:rsid w:val="00041F11"/>
    <w:rsid w:val="00042CB8"/>
    <w:rsid w:val="00046239"/>
    <w:rsid w:val="00046C62"/>
    <w:rsid w:val="00047BFE"/>
    <w:rsid w:val="0005048D"/>
    <w:rsid w:val="00050F6E"/>
    <w:rsid w:val="000519A7"/>
    <w:rsid w:val="00051CA0"/>
    <w:rsid w:val="0005318D"/>
    <w:rsid w:val="00055347"/>
    <w:rsid w:val="000561A0"/>
    <w:rsid w:val="00056F74"/>
    <w:rsid w:val="00057067"/>
    <w:rsid w:val="000574EF"/>
    <w:rsid w:val="00057543"/>
    <w:rsid w:val="000611D2"/>
    <w:rsid w:val="00061DDB"/>
    <w:rsid w:val="00061EC2"/>
    <w:rsid w:val="0006256D"/>
    <w:rsid w:val="00062FEB"/>
    <w:rsid w:val="000630D5"/>
    <w:rsid w:val="000633D6"/>
    <w:rsid w:val="000647A1"/>
    <w:rsid w:val="00064B69"/>
    <w:rsid w:val="000651FA"/>
    <w:rsid w:val="0006616F"/>
    <w:rsid w:val="00066CE8"/>
    <w:rsid w:val="000705B2"/>
    <w:rsid w:val="00071A22"/>
    <w:rsid w:val="0007201A"/>
    <w:rsid w:val="000731F8"/>
    <w:rsid w:val="00075B40"/>
    <w:rsid w:val="00075C9A"/>
    <w:rsid w:val="00080ED0"/>
    <w:rsid w:val="00081C87"/>
    <w:rsid w:val="0008451D"/>
    <w:rsid w:val="0008467F"/>
    <w:rsid w:val="00085411"/>
    <w:rsid w:val="00085B8F"/>
    <w:rsid w:val="00090481"/>
    <w:rsid w:val="000947BC"/>
    <w:rsid w:val="00094BD1"/>
    <w:rsid w:val="00094DDE"/>
    <w:rsid w:val="00096447"/>
    <w:rsid w:val="00096B10"/>
    <w:rsid w:val="0009794E"/>
    <w:rsid w:val="00097D0E"/>
    <w:rsid w:val="000A0552"/>
    <w:rsid w:val="000A066C"/>
    <w:rsid w:val="000A254B"/>
    <w:rsid w:val="000A3826"/>
    <w:rsid w:val="000A4AA0"/>
    <w:rsid w:val="000A4E6B"/>
    <w:rsid w:val="000A6C26"/>
    <w:rsid w:val="000A7043"/>
    <w:rsid w:val="000B10DA"/>
    <w:rsid w:val="000B266C"/>
    <w:rsid w:val="000B36C8"/>
    <w:rsid w:val="000B3DFF"/>
    <w:rsid w:val="000B5532"/>
    <w:rsid w:val="000B5C50"/>
    <w:rsid w:val="000B6189"/>
    <w:rsid w:val="000B6664"/>
    <w:rsid w:val="000B7B25"/>
    <w:rsid w:val="000B7CBF"/>
    <w:rsid w:val="000C2E8E"/>
    <w:rsid w:val="000C45A2"/>
    <w:rsid w:val="000C4D07"/>
    <w:rsid w:val="000C4E63"/>
    <w:rsid w:val="000C547B"/>
    <w:rsid w:val="000C54F0"/>
    <w:rsid w:val="000C6E2A"/>
    <w:rsid w:val="000C7B59"/>
    <w:rsid w:val="000D0968"/>
    <w:rsid w:val="000D0AF8"/>
    <w:rsid w:val="000D2501"/>
    <w:rsid w:val="000D2902"/>
    <w:rsid w:val="000D330B"/>
    <w:rsid w:val="000D35AD"/>
    <w:rsid w:val="000D4B5C"/>
    <w:rsid w:val="000D4D72"/>
    <w:rsid w:val="000D4FC9"/>
    <w:rsid w:val="000D52A4"/>
    <w:rsid w:val="000D586F"/>
    <w:rsid w:val="000D5E93"/>
    <w:rsid w:val="000D70AC"/>
    <w:rsid w:val="000E07BC"/>
    <w:rsid w:val="000E2E21"/>
    <w:rsid w:val="000E41DE"/>
    <w:rsid w:val="000E5238"/>
    <w:rsid w:val="000F1CD4"/>
    <w:rsid w:val="000F2FF8"/>
    <w:rsid w:val="000F367F"/>
    <w:rsid w:val="000F3C51"/>
    <w:rsid w:val="000F4103"/>
    <w:rsid w:val="000F41CD"/>
    <w:rsid w:val="000F65BE"/>
    <w:rsid w:val="000F70A7"/>
    <w:rsid w:val="000F7764"/>
    <w:rsid w:val="00101613"/>
    <w:rsid w:val="00101F29"/>
    <w:rsid w:val="00102EBD"/>
    <w:rsid w:val="00103C3D"/>
    <w:rsid w:val="001040FE"/>
    <w:rsid w:val="00104D57"/>
    <w:rsid w:val="00107739"/>
    <w:rsid w:val="0011004C"/>
    <w:rsid w:val="001105B0"/>
    <w:rsid w:val="0011168B"/>
    <w:rsid w:val="001118FB"/>
    <w:rsid w:val="00112C90"/>
    <w:rsid w:val="0011335E"/>
    <w:rsid w:val="00113911"/>
    <w:rsid w:val="00113CCA"/>
    <w:rsid w:val="001147B4"/>
    <w:rsid w:val="00115D26"/>
    <w:rsid w:val="001161CD"/>
    <w:rsid w:val="0011648A"/>
    <w:rsid w:val="001164D9"/>
    <w:rsid w:val="00116A81"/>
    <w:rsid w:val="001214A1"/>
    <w:rsid w:val="00122F25"/>
    <w:rsid w:val="00123E9C"/>
    <w:rsid w:val="00124499"/>
    <w:rsid w:val="001260FE"/>
    <w:rsid w:val="001263DC"/>
    <w:rsid w:val="00126D25"/>
    <w:rsid w:val="00127C86"/>
    <w:rsid w:val="00130D12"/>
    <w:rsid w:val="001324D5"/>
    <w:rsid w:val="001332B0"/>
    <w:rsid w:val="00133C48"/>
    <w:rsid w:val="00134274"/>
    <w:rsid w:val="00134759"/>
    <w:rsid w:val="00134CD8"/>
    <w:rsid w:val="00135102"/>
    <w:rsid w:val="00135980"/>
    <w:rsid w:val="0013786F"/>
    <w:rsid w:val="00140007"/>
    <w:rsid w:val="00146825"/>
    <w:rsid w:val="00147DC9"/>
    <w:rsid w:val="00151533"/>
    <w:rsid w:val="0015444A"/>
    <w:rsid w:val="001549CA"/>
    <w:rsid w:val="00154B57"/>
    <w:rsid w:val="00155447"/>
    <w:rsid w:val="00155608"/>
    <w:rsid w:val="00160768"/>
    <w:rsid w:val="0016093B"/>
    <w:rsid w:val="0016152A"/>
    <w:rsid w:val="00162E9F"/>
    <w:rsid w:val="00164719"/>
    <w:rsid w:val="00165F55"/>
    <w:rsid w:val="00166FC4"/>
    <w:rsid w:val="001677AC"/>
    <w:rsid w:val="00167FCE"/>
    <w:rsid w:val="0017066C"/>
    <w:rsid w:val="00170C58"/>
    <w:rsid w:val="00171925"/>
    <w:rsid w:val="00171BF6"/>
    <w:rsid w:val="00173261"/>
    <w:rsid w:val="001762AB"/>
    <w:rsid w:val="00176656"/>
    <w:rsid w:val="00176B46"/>
    <w:rsid w:val="001776D3"/>
    <w:rsid w:val="001804EA"/>
    <w:rsid w:val="0018252E"/>
    <w:rsid w:val="001830D2"/>
    <w:rsid w:val="001858DB"/>
    <w:rsid w:val="00186682"/>
    <w:rsid w:val="001874AC"/>
    <w:rsid w:val="00190A61"/>
    <w:rsid w:val="00191B35"/>
    <w:rsid w:val="0019219B"/>
    <w:rsid w:val="0019374D"/>
    <w:rsid w:val="001943AB"/>
    <w:rsid w:val="00195D6F"/>
    <w:rsid w:val="00196904"/>
    <w:rsid w:val="00197179"/>
    <w:rsid w:val="00197F39"/>
    <w:rsid w:val="001A2215"/>
    <w:rsid w:val="001A2246"/>
    <w:rsid w:val="001A25EE"/>
    <w:rsid w:val="001A3342"/>
    <w:rsid w:val="001A35BD"/>
    <w:rsid w:val="001A3E3D"/>
    <w:rsid w:val="001A6D7D"/>
    <w:rsid w:val="001A7049"/>
    <w:rsid w:val="001A71CA"/>
    <w:rsid w:val="001A73C7"/>
    <w:rsid w:val="001A7BF7"/>
    <w:rsid w:val="001B0F6B"/>
    <w:rsid w:val="001B1E40"/>
    <w:rsid w:val="001B2A51"/>
    <w:rsid w:val="001B313E"/>
    <w:rsid w:val="001B47D0"/>
    <w:rsid w:val="001C04E4"/>
    <w:rsid w:val="001C0F09"/>
    <w:rsid w:val="001C4416"/>
    <w:rsid w:val="001C466A"/>
    <w:rsid w:val="001C5BE7"/>
    <w:rsid w:val="001C70D4"/>
    <w:rsid w:val="001C764E"/>
    <w:rsid w:val="001D0097"/>
    <w:rsid w:val="001D11FA"/>
    <w:rsid w:val="001D2935"/>
    <w:rsid w:val="001D3E36"/>
    <w:rsid w:val="001D50E5"/>
    <w:rsid w:val="001D5255"/>
    <w:rsid w:val="001D5633"/>
    <w:rsid w:val="001D668A"/>
    <w:rsid w:val="001D6719"/>
    <w:rsid w:val="001E1052"/>
    <w:rsid w:val="001E2072"/>
    <w:rsid w:val="001E21B1"/>
    <w:rsid w:val="001E2F93"/>
    <w:rsid w:val="001E31F4"/>
    <w:rsid w:val="001E32C1"/>
    <w:rsid w:val="001E43B5"/>
    <w:rsid w:val="001E4554"/>
    <w:rsid w:val="001E4F21"/>
    <w:rsid w:val="001E5EC1"/>
    <w:rsid w:val="001E5FC0"/>
    <w:rsid w:val="001E61E5"/>
    <w:rsid w:val="001E64D7"/>
    <w:rsid w:val="001E6E48"/>
    <w:rsid w:val="001F0016"/>
    <w:rsid w:val="001F0070"/>
    <w:rsid w:val="001F00D4"/>
    <w:rsid w:val="001F04EE"/>
    <w:rsid w:val="001F2159"/>
    <w:rsid w:val="001F2CC3"/>
    <w:rsid w:val="001F3278"/>
    <w:rsid w:val="001F4F65"/>
    <w:rsid w:val="001F53FD"/>
    <w:rsid w:val="001F5E2A"/>
    <w:rsid w:val="001F7727"/>
    <w:rsid w:val="001F7B0F"/>
    <w:rsid w:val="001F7C5B"/>
    <w:rsid w:val="0020107A"/>
    <w:rsid w:val="00203085"/>
    <w:rsid w:val="002034D9"/>
    <w:rsid w:val="00206355"/>
    <w:rsid w:val="00206ADB"/>
    <w:rsid w:val="0021011C"/>
    <w:rsid w:val="00210B48"/>
    <w:rsid w:val="00210B8B"/>
    <w:rsid w:val="00210D7D"/>
    <w:rsid w:val="00211E0E"/>
    <w:rsid w:val="002132EE"/>
    <w:rsid w:val="00214863"/>
    <w:rsid w:val="002156B4"/>
    <w:rsid w:val="00220496"/>
    <w:rsid w:val="0022102C"/>
    <w:rsid w:val="0022176B"/>
    <w:rsid w:val="002229C4"/>
    <w:rsid w:val="00222D4D"/>
    <w:rsid w:val="002233A9"/>
    <w:rsid w:val="00223844"/>
    <w:rsid w:val="00224808"/>
    <w:rsid w:val="00224FCD"/>
    <w:rsid w:val="0022502D"/>
    <w:rsid w:val="00225F1C"/>
    <w:rsid w:val="00232A8F"/>
    <w:rsid w:val="00234966"/>
    <w:rsid w:val="00234E04"/>
    <w:rsid w:val="00234E64"/>
    <w:rsid w:val="0023597B"/>
    <w:rsid w:val="00236260"/>
    <w:rsid w:val="002362DC"/>
    <w:rsid w:val="00237902"/>
    <w:rsid w:val="00240999"/>
    <w:rsid w:val="00241C5E"/>
    <w:rsid w:val="0024268A"/>
    <w:rsid w:val="00242D5A"/>
    <w:rsid w:val="00244AD2"/>
    <w:rsid w:val="002452C6"/>
    <w:rsid w:val="00246B94"/>
    <w:rsid w:val="00250DFA"/>
    <w:rsid w:val="0025181E"/>
    <w:rsid w:val="00253222"/>
    <w:rsid w:val="00253B61"/>
    <w:rsid w:val="00253FE6"/>
    <w:rsid w:val="00256CAF"/>
    <w:rsid w:val="002614FE"/>
    <w:rsid w:val="00261C13"/>
    <w:rsid w:val="00262847"/>
    <w:rsid w:val="00262E48"/>
    <w:rsid w:val="0026334B"/>
    <w:rsid w:val="00263959"/>
    <w:rsid w:val="00266CDA"/>
    <w:rsid w:val="002700C0"/>
    <w:rsid w:val="00272559"/>
    <w:rsid w:val="00274128"/>
    <w:rsid w:val="0027476C"/>
    <w:rsid w:val="002748AF"/>
    <w:rsid w:val="00274AC4"/>
    <w:rsid w:val="00276DF7"/>
    <w:rsid w:val="00276FC7"/>
    <w:rsid w:val="00277424"/>
    <w:rsid w:val="00281395"/>
    <w:rsid w:val="00281BB2"/>
    <w:rsid w:val="00283A7C"/>
    <w:rsid w:val="00284BB8"/>
    <w:rsid w:val="00284C01"/>
    <w:rsid w:val="0028670C"/>
    <w:rsid w:val="002921C3"/>
    <w:rsid w:val="00292416"/>
    <w:rsid w:val="00294709"/>
    <w:rsid w:val="00295AFE"/>
    <w:rsid w:val="00296847"/>
    <w:rsid w:val="002A03C3"/>
    <w:rsid w:val="002A0D9B"/>
    <w:rsid w:val="002A15DA"/>
    <w:rsid w:val="002A45E0"/>
    <w:rsid w:val="002A5522"/>
    <w:rsid w:val="002A5C8A"/>
    <w:rsid w:val="002A60BF"/>
    <w:rsid w:val="002A69C7"/>
    <w:rsid w:val="002A6D12"/>
    <w:rsid w:val="002A7B18"/>
    <w:rsid w:val="002B112F"/>
    <w:rsid w:val="002B1A84"/>
    <w:rsid w:val="002B1D08"/>
    <w:rsid w:val="002B1F7B"/>
    <w:rsid w:val="002B230F"/>
    <w:rsid w:val="002B254E"/>
    <w:rsid w:val="002B418B"/>
    <w:rsid w:val="002B4A7F"/>
    <w:rsid w:val="002B4CE8"/>
    <w:rsid w:val="002B4D52"/>
    <w:rsid w:val="002B72E9"/>
    <w:rsid w:val="002C02A3"/>
    <w:rsid w:val="002C1B61"/>
    <w:rsid w:val="002C1E1A"/>
    <w:rsid w:val="002C2995"/>
    <w:rsid w:val="002C32FC"/>
    <w:rsid w:val="002C3D58"/>
    <w:rsid w:val="002C5491"/>
    <w:rsid w:val="002C5A11"/>
    <w:rsid w:val="002C62B6"/>
    <w:rsid w:val="002C6787"/>
    <w:rsid w:val="002C747E"/>
    <w:rsid w:val="002C7534"/>
    <w:rsid w:val="002C7768"/>
    <w:rsid w:val="002C7849"/>
    <w:rsid w:val="002C7998"/>
    <w:rsid w:val="002D1061"/>
    <w:rsid w:val="002D1882"/>
    <w:rsid w:val="002D2ED7"/>
    <w:rsid w:val="002D6BF2"/>
    <w:rsid w:val="002D7075"/>
    <w:rsid w:val="002D723B"/>
    <w:rsid w:val="002D733D"/>
    <w:rsid w:val="002E1842"/>
    <w:rsid w:val="002E1DC0"/>
    <w:rsid w:val="002E25F0"/>
    <w:rsid w:val="002E38C6"/>
    <w:rsid w:val="002E3A0C"/>
    <w:rsid w:val="002E6DDE"/>
    <w:rsid w:val="002E79B8"/>
    <w:rsid w:val="002F09D3"/>
    <w:rsid w:val="002F19B9"/>
    <w:rsid w:val="002F1D93"/>
    <w:rsid w:val="002F1E53"/>
    <w:rsid w:val="002F2CAA"/>
    <w:rsid w:val="002F2E97"/>
    <w:rsid w:val="002F4584"/>
    <w:rsid w:val="002F6C3D"/>
    <w:rsid w:val="0030052C"/>
    <w:rsid w:val="003009AB"/>
    <w:rsid w:val="00300D98"/>
    <w:rsid w:val="00305495"/>
    <w:rsid w:val="003062E7"/>
    <w:rsid w:val="003070BB"/>
    <w:rsid w:val="00307395"/>
    <w:rsid w:val="00307B68"/>
    <w:rsid w:val="0031018E"/>
    <w:rsid w:val="00311E25"/>
    <w:rsid w:val="00314173"/>
    <w:rsid w:val="00316805"/>
    <w:rsid w:val="00316947"/>
    <w:rsid w:val="00317657"/>
    <w:rsid w:val="0031786A"/>
    <w:rsid w:val="003211A3"/>
    <w:rsid w:val="00324543"/>
    <w:rsid w:val="003245B8"/>
    <w:rsid w:val="00326529"/>
    <w:rsid w:val="00327122"/>
    <w:rsid w:val="0032744E"/>
    <w:rsid w:val="00327F84"/>
    <w:rsid w:val="00330395"/>
    <w:rsid w:val="003306D9"/>
    <w:rsid w:val="003306E1"/>
    <w:rsid w:val="00330EEE"/>
    <w:rsid w:val="003310ED"/>
    <w:rsid w:val="003320E4"/>
    <w:rsid w:val="00332148"/>
    <w:rsid w:val="00334FA0"/>
    <w:rsid w:val="0033525D"/>
    <w:rsid w:val="00336436"/>
    <w:rsid w:val="003414F3"/>
    <w:rsid w:val="00341B14"/>
    <w:rsid w:val="00341D26"/>
    <w:rsid w:val="00344F7A"/>
    <w:rsid w:val="00346453"/>
    <w:rsid w:val="00346624"/>
    <w:rsid w:val="0034775E"/>
    <w:rsid w:val="0035008A"/>
    <w:rsid w:val="0035028B"/>
    <w:rsid w:val="003502EB"/>
    <w:rsid w:val="00350BD6"/>
    <w:rsid w:val="00351C38"/>
    <w:rsid w:val="003540B0"/>
    <w:rsid w:val="003549A9"/>
    <w:rsid w:val="00355562"/>
    <w:rsid w:val="00355A6D"/>
    <w:rsid w:val="00355EB0"/>
    <w:rsid w:val="0035613E"/>
    <w:rsid w:val="00357E79"/>
    <w:rsid w:val="00360E70"/>
    <w:rsid w:val="00360E9D"/>
    <w:rsid w:val="00363524"/>
    <w:rsid w:val="0036358B"/>
    <w:rsid w:val="00363EE9"/>
    <w:rsid w:val="00367214"/>
    <w:rsid w:val="0036762A"/>
    <w:rsid w:val="0036770B"/>
    <w:rsid w:val="0036793B"/>
    <w:rsid w:val="0037032E"/>
    <w:rsid w:val="00371252"/>
    <w:rsid w:val="00371F3E"/>
    <w:rsid w:val="00372AD4"/>
    <w:rsid w:val="00373029"/>
    <w:rsid w:val="00373796"/>
    <w:rsid w:val="003750D1"/>
    <w:rsid w:val="00375613"/>
    <w:rsid w:val="00376128"/>
    <w:rsid w:val="00376210"/>
    <w:rsid w:val="0037626C"/>
    <w:rsid w:val="0037742E"/>
    <w:rsid w:val="00377D56"/>
    <w:rsid w:val="00381BBE"/>
    <w:rsid w:val="00381DC3"/>
    <w:rsid w:val="0038245A"/>
    <w:rsid w:val="003840E6"/>
    <w:rsid w:val="00384FBD"/>
    <w:rsid w:val="00385CFC"/>
    <w:rsid w:val="00385E98"/>
    <w:rsid w:val="00387F60"/>
    <w:rsid w:val="0039337A"/>
    <w:rsid w:val="00394078"/>
    <w:rsid w:val="00394751"/>
    <w:rsid w:val="00395036"/>
    <w:rsid w:val="00395932"/>
    <w:rsid w:val="00396665"/>
    <w:rsid w:val="0039764E"/>
    <w:rsid w:val="00397983"/>
    <w:rsid w:val="003A175A"/>
    <w:rsid w:val="003A1FAB"/>
    <w:rsid w:val="003A255F"/>
    <w:rsid w:val="003A2C92"/>
    <w:rsid w:val="003A3189"/>
    <w:rsid w:val="003A3CA7"/>
    <w:rsid w:val="003A44FB"/>
    <w:rsid w:val="003A673E"/>
    <w:rsid w:val="003A6DAD"/>
    <w:rsid w:val="003B0D5D"/>
    <w:rsid w:val="003B2F7C"/>
    <w:rsid w:val="003B33BD"/>
    <w:rsid w:val="003B45E9"/>
    <w:rsid w:val="003B4C6B"/>
    <w:rsid w:val="003B569D"/>
    <w:rsid w:val="003B6C36"/>
    <w:rsid w:val="003B717D"/>
    <w:rsid w:val="003B7326"/>
    <w:rsid w:val="003B7F79"/>
    <w:rsid w:val="003C16A5"/>
    <w:rsid w:val="003C1D00"/>
    <w:rsid w:val="003C2AFA"/>
    <w:rsid w:val="003C2C80"/>
    <w:rsid w:val="003C3107"/>
    <w:rsid w:val="003C3C0E"/>
    <w:rsid w:val="003C5415"/>
    <w:rsid w:val="003C5774"/>
    <w:rsid w:val="003C6A89"/>
    <w:rsid w:val="003C77FC"/>
    <w:rsid w:val="003C7AE3"/>
    <w:rsid w:val="003D01D8"/>
    <w:rsid w:val="003D09C0"/>
    <w:rsid w:val="003D17F8"/>
    <w:rsid w:val="003D2E72"/>
    <w:rsid w:val="003D37C3"/>
    <w:rsid w:val="003D42A6"/>
    <w:rsid w:val="003D47B1"/>
    <w:rsid w:val="003D4F21"/>
    <w:rsid w:val="003D4FAC"/>
    <w:rsid w:val="003D5F5C"/>
    <w:rsid w:val="003E0388"/>
    <w:rsid w:val="003E0E2B"/>
    <w:rsid w:val="003E17DB"/>
    <w:rsid w:val="003E1885"/>
    <w:rsid w:val="003E55E6"/>
    <w:rsid w:val="003E65C8"/>
    <w:rsid w:val="003E7800"/>
    <w:rsid w:val="003E7906"/>
    <w:rsid w:val="003F000F"/>
    <w:rsid w:val="003F17E1"/>
    <w:rsid w:val="003F1C9F"/>
    <w:rsid w:val="003F286A"/>
    <w:rsid w:val="003F2ADC"/>
    <w:rsid w:val="003F3C50"/>
    <w:rsid w:val="003F4018"/>
    <w:rsid w:val="003F5696"/>
    <w:rsid w:val="003F5AB0"/>
    <w:rsid w:val="003F6BF8"/>
    <w:rsid w:val="003F7CB0"/>
    <w:rsid w:val="004001AC"/>
    <w:rsid w:val="00405327"/>
    <w:rsid w:val="00406202"/>
    <w:rsid w:val="00406A6A"/>
    <w:rsid w:val="00406B22"/>
    <w:rsid w:val="00407147"/>
    <w:rsid w:val="004078FA"/>
    <w:rsid w:val="00411E4F"/>
    <w:rsid w:val="004126DC"/>
    <w:rsid w:val="00412DA4"/>
    <w:rsid w:val="00413472"/>
    <w:rsid w:val="00413EAA"/>
    <w:rsid w:val="004149CF"/>
    <w:rsid w:val="004159B2"/>
    <w:rsid w:val="00417AD6"/>
    <w:rsid w:val="00417C92"/>
    <w:rsid w:val="004227A7"/>
    <w:rsid w:val="00422F2E"/>
    <w:rsid w:val="00423A65"/>
    <w:rsid w:val="004263AD"/>
    <w:rsid w:val="00427BB9"/>
    <w:rsid w:val="00430701"/>
    <w:rsid w:val="00430E99"/>
    <w:rsid w:val="00431E08"/>
    <w:rsid w:val="004328A7"/>
    <w:rsid w:val="00434C74"/>
    <w:rsid w:val="00434E36"/>
    <w:rsid w:val="00435D7C"/>
    <w:rsid w:val="00443EE8"/>
    <w:rsid w:val="00443FE4"/>
    <w:rsid w:val="00445875"/>
    <w:rsid w:val="00450271"/>
    <w:rsid w:val="004515D3"/>
    <w:rsid w:val="00451808"/>
    <w:rsid w:val="00451CAF"/>
    <w:rsid w:val="00451F21"/>
    <w:rsid w:val="00454CAB"/>
    <w:rsid w:val="00456EB4"/>
    <w:rsid w:val="00457827"/>
    <w:rsid w:val="00457AF8"/>
    <w:rsid w:val="004619DE"/>
    <w:rsid w:val="00463D28"/>
    <w:rsid w:val="004640D3"/>
    <w:rsid w:val="00467CD8"/>
    <w:rsid w:val="004718F3"/>
    <w:rsid w:val="00471F62"/>
    <w:rsid w:val="004724DF"/>
    <w:rsid w:val="00473044"/>
    <w:rsid w:val="00474BD8"/>
    <w:rsid w:val="00474DF5"/>
    <w:rsid w:val="00475040"/>
    <w:rsid w:val="0047515D"/>
    <w:rsid w:val="00475165"/>
    <w:rsid w:val="00476518"/>
    <w:rsid w:val="004765DB"/>
    <w:rsid w:val="0047776F"/>
    <w:rsid w:val="00480355"/>
    <w:rsid w:val="0048132B"/>
    <w:rsid w:val="004816A6"/>
    <w:rsid w:val="0048235B"/>
    <w:rsid w:val="00483714"/>
    <w:rsid w:val="004855D5"/>
    <w:rsid w:val="00485827"/>
    <w:rsid w:val="00490C06"/>
    <w:rsid w:val="0049304B"/>
    <w:rsid w:val="00493D40"/>
    <w:rsid w:val="00493EE3"/>
    <w:rsid w:val="00494186"/>
    <w:rsid w:val="004943CA"/>
    <w:rsid w:val="004967B6"/>
    <w:rsid w:val="00497EC5"/>
    <w:rsid w:val="004A352E"/>
    <w:rsid w:val="004A4122"/>
    <w:rsid w:val="004A504B"/>
    <w:rsid w:val="004A568C"/>
    <w:rsid w:val="004A6911"/>
    <w:rsid w:val="004A7B65"/>
    <w:rsid w:val="004B03FD"/>
    <w:rsid w:val="004B1C71"/>
    <w:rsid w:val="004B2214"/>
    <w:rsid w:val="004B3652"/>
    <w:rsid w:val="004B5470"/>
    <w:rsid w:val="004B54E0"/>
    <w:rsid w:val="004B6F95"/>
    <w:rsid w:val="004B7384"/>
    <w:rsid w:val="004B7E18"/>
    <w:rsid w:val="004C26EB"/>
    <w:rsid w:val="004C27CE"/>
    <w:rsid w:val="004C4269"/>
    <w:rsid w:val="004C4778"/>
    <w:rsid w:val="004C5F0F"/>
    <w:rsid w:val="004C7595"/>
    <w:rsid w:val="004C7CFB"/>
    <w:rsid w:val="004D287F"/>
    <w:rsid w:val="004D2A84"/>
    <w:rsid w:val="004D322A"/>
    <w:rsid w:val="004D5607"/>
    <w:rsid w:val="004D6236"/>
    <w:rsid w:val="004D6B7B"/>
    <w:rsid w:val="004D7F27"/>
    <w:rsid w:val="004D7F90"/>
    <w:rsid w:val="004E0D88"/>
    <w:rsid w:val="004E0E70"/>
    <w:rsid w:val="004E4DBB"/>
    <w:rsid w:val="004E4E41"/>
    <w:rsid w:val="004E5301"/>
    <w:rsid w:val="004E54D7"/>
    <w:rsid w:val="004E690C"/>
    <w:rsid w:val="004E73DB"/>
    <w:rsid w:val="004E7F9C"/>
    <w:rsid w:val="004F0247"/>
    <w:rsid w:val="004F33BC"/>
    <w:rsid w:val="004F3493"/>
    <w:rsid w:val="004F3F9F"/>
    <w:rsid w:val="004F5143"/>
    <w:rsid w:val="004F5296"/>
    <w:rsid w:val="004F5F54"/>
    <w:rsid w:val="004F650F"/>
    <w:rsid w:val="004F68FA"/>
    <w:rsid w:val="004F7917"/>
    <w:rsid w:val="00502A6F"/>
    <w:rsid w:val="00502E00"/>
    <w:rsid w:val="005031A2"/>
    <w:rsid w:val="00504624"/>
    <w:rsid w:val="005064C9"/>
    <w:rsid w:val="00510A2C"/>
    <w:rsid w:val="00511B67"/>
    <w:rsid w:val="00512B09"/>
    <w:rsid w:val="005137D8"/>
    <w:rsid w:val="00514469"/>
    <w:rsid w:val="005146CD"/>
    <w:rsid w:val="00515035"/>
    <w:rsid w:val="005151F4"/>
    <w:rsid w:val="00515680"/>
    <w:rsid w:val="005166C8"/>
    <w:rsid w:val="005167C1"/>
    <w:rsid w:val="0051759B"/>
    <w:rsid w:val="00521FD0"/>
    <w:rsid w:val="005220ED"/>
    <w:rsid w:val="005234E0"/>
    <w:rsid w:val="00524894"/>
    <w:rsid w:val="00524B46"/>
    <w:rsid w:val="00524CCC"/>
    <w:rsid w:val="00524DFF"/>
    <w:rsid w:val="00525B46"/>
    <w:rsid w:val="00526CEB"/>
    <w:rsid w:val="005273A6"/>
    <w:rsid w:val="00527CD2"/>
    <w:rsid w:val="00530950"/>
    <w:rsid w:val="00530FCF"/>
    <w:rsid w:val="00532AEC"/>
    <w:rsid w:val="00533796"/>
    <w:rsid w:val="00533BB4"/>
    <w:rsid w:val="00536BF6"/>
    <w:rsid w:val="00537343"/>
    <w:rsid w:val="005409C5"/>
    <w:rsid w:val="0054129A"/>
    <w:rsid w:val="00541AAD"/>
    <w:rsid w:val="00541CD4"/>
    <w:rsid w:val="00542658"/>
    <w:rsid w:val="00543356"/>
    <w:rsid w:val="00543DCF"/>
    <w:rsid w:val="005463E0"/>
    <w:rsid w:val="00547B37"/>
    <w:rsid w:val="00547D39"/>
    <w:rsid w:val="00547EEB"/>
    <w:rsid w:val="00550C9F"/>
    <w:rsid w:val="005510E5"/>
    <w:rsid w:val="005516F3"/>
    <w:rsid w:val="005517B4"/>
    <w:rsid w:val="00553B40"/>
    <w:rsid w:val="00553C5A"/>
    <w:rsid w:val="0055409E"/>
    <w:rsid w:val="00555D75"/>
    <w:rsid w:val="005564E2"/>
    <w:rsid w:val="00556662"/>
    <w:rsid w:val="00557170"/>
    <w:rsid w:val="00560DF0"/>
    <w:rsid w:val="00561720"/>
    <w:rsid w:val="00562B8C"/>
    <w:rsid w:val="00562EBF"/>
    <w:rsid w:val="005635ED"/>
    <w:rsid w:val="0056376B"/>
    <w:rsid w:val="00563A43"/>
    <w:rsid w:val="00563DA8"/>
    <w:rsid w:val="00564A7B"/>
    <w:rsid w:val="00565A94"/>
    <w:rsid w:val="0056694B"/>
    <w:rsid w:val="00566A56"/>
    <w:rsid w:val="0056759C"/>
    <w:rsid w:val="00570BEE"/>
    <w:rsid w:val="00570D04"/>
    <w:rsid w:val="005720BB"/>
    <w:rsid w:val="00573C20"/>
    <w:rsid w:val="00574D74"/>
    <w:rsid w:val="00575CAC"/>
    <w:rsid w:val="0057623C"/>
    <w:rsid w:val="00577075"/>
    <w:rsid w:val="00581C99"/>
    <w:rsid w:val="00581E30"/>
    <w:rsid w:val="00582A8B"/>
    <w:rsid w:val="005833CC"/>
    <w:rsid w:val="00583F23"/>
    <w:rsid w:val="00584990"/>
    <w:rsid w:val="00584BF9"/>
    <w:rsid w:val="00585081"/>
    <w:rsid w:val="00585ADC"/>
    <w:rsid w:val="00587249"/>
    <w:rsid w:val="00587B5C"/>
    <w:rsid w:val="005902E2"/>
    <w:rsid w:val="00591CF1"/>
    <w:rsid w:val="005924EC"/>
    <w:rsid w:val="0059513E"/>
    <w:rsid w:val="005963E5"/>
    <w:rsid w:val="0059716E"/>
    <w:rsid w:val="005A0157"/>
    <w:rsid w:val="005A1A66"/>
    <w:rsid w:val="005A1CDC"/>
    <w:rsid w:val="005A2A68"/>
    <w:rsid w:val="005A316F"/>
    <w:rsid w:val="005A4B75"/>
    <w:rsid w:val="005A645C"/>
    <w:rsid w:val="005A6AA4"/>
    <w:rsid w:val="005A6C31"/>
    <w:rsid w:val="005A6D9F"/>
    <w:rsid w:val="005B0CCA"/>
    <w:rsid w:val="005B1A57"/>
    <w:rsid w:val="005B2D3D"/>
    <w:rsid w:val="005B355A"/>
    <w:rsid w:val="005B48FF"/>
    <w:rsid w:val="005B5F0B"/>
    <w:rsid w:val="005B630C"/>
    <w:rsid w:val="005B6998"/>
    <w:rsid w:val="005B7166"/>
    <w:rsid w:val="005B7802"/>
    <w:rsid w:val="005C13C5"/>
    <w:rsid w:val="005C1E32"/>
    <w:rsid w:val="005C2ABD"/>
    <w:rsid w:val="005C3B15"/>
    <w:rsid w:val="005C3D4F"/>
    <w:rsid w:val="005C3F76"/>
    <w:rsid w:val="005C5ACB"/>
    <w:rsid w:val="005C6014"/>
    <w:rsid w:val="005C670D"/>
    <w:rsid w:val="005C6894"/>
    <w:rsid w:val="005C79C5"/>
    <w:rsid w:val="005D0079"/>
    <w:rsid w:val="005D26F0"/>
    <w:rsid w:val="005D33AB"/>
    <w:rsid w:val="005D363F"/>
    <w:rsid w:val="005D36CA"/>
    <w:rsid w:val="005D55B2"/>
    <w:rsid w:val="005D56BB"/>
    <w:rsid w:val="005D753A"/>
    <w:rsid w:val="005E0E3D"/>
    <w:rsid w:val="005E21ED"/>
    <w:rsid w:val="005E2529"/>
    <w:rsid w:val="005E3548"/>
    <w:rsid w:val="005E3E14"/>
    <w:rsid w:val="005E5953"/>
    <w:rsid w:val="005E6811"/>
    <w:rsid w:val="005E7A15"/>
    <w:rsid w:val="005F0426"/>
    <w:rsid w:val="005F110D"/>
    <w:rsid w:val="005F1564"/>
    <w:rsid w:val="005F1E75"/>
    <w:rsid w:val="005F2561"/>
    <w:rsid w:val="005F528C"/>
    <w:rsid w:val="005F6049"/>
    <w:rsid w:val="005F797A"/>
    <w:rsid w:val="0060065D"/>
    <w:rsid w:val="00600B32"/>
    <w:rsid w:val="00602B1E"/>
    <w:rsid w:val="00602B77"/>
    <w:rsid w:val="006031CA"/>
    <w:rsid w:val="0060340A"/>
    <w:rsid w:val="00604C15"/>
    <w:rsid w:val="00604EFE"/>
    <w:rsid w:val="00605C61"/>
    <w:rsid w:val="00607E3A"/>
    <w:rsid w:val="006115EA"/>
    <w:rsid w:val="006118BA"/>
    <w:rsid w:val="00611EBE"/>
    <w:rsid w:val="006128D8"/>
    <w:rsid w:val="00612921"/>
    <w:rsid w:val="006129B7"/>
    <w:rsid w:val="006145FB"/>
    <w:rsid w:val="006158D5"/>
    <w:rsid w:val="00615B95"/>
    <w:rsid w:val="006204F1"/>
    <w:rsid w:val="00620EC1"/>
    <w:rsid w:val="006211E3"/>
    <w:rsid w:val="00625D83"/>
    <w:rsid w:val="00631E92"/>
    <w:rsid w:val="006357B6"/>
    <w:rsid w:val="00635EBF"/>
    <w:rsid w:val="006361FA"/>
    <w:rsid w:val="006428F0"/>
    <w:rsid w:val="00642CE4"/>
    <w:rsid w:val="00642D5D"/>
    <w:rsid w:val="0064373E"/>
    <w:rsid w:val="00644E5D"/>
    <w:rsid w:val="0064573D"/>
    <w:rsid w:val="0064683D"/>
    <w:rsid w:val="00647168"/>
    <w:rsid w:val="006500B2"/>
    <w:rsid w:val="00651984"/>
    <w:rsid w:val="00651F9B"/>
    <w:rsid w:val="006522C4"/>
    <w:rsid w:val="00652C11"/>
    <w:rsid w:val="00656D96"/>
    <w:rsid w:val="006572E1"/>
    <w:rsid w:val="00661783"/>
    <w:rsid w:val="006623E7"/>
    <w:rsid w:val="00662B80"/>
    <w:rsid w:val="00662BAB"/>
    <w:rsid w:val="00663BAD"/>
    <w:rsid w:val="00664B1B"/>
    <w:rsid w:val="00665448"/>
    <w:rsid w:val="006656E2"/>
    <w:rsid w:val="00665801"/>
    <w:rsid w:val="00666E98"/>
    <w:rsid w:val="00667227"/>
    <w:rsid w:val="0066768F"/>
    <w:rsid w:val="00670F6C"/>
    <w:rsid w:val="00670FF8"/>
    <w:rsid w:val="00674540"/>
    <w:rsid w:val="006749C9"/>
    <w:rsid w:val="00676755"/>
    <w:rsid w:val="00676E58"/>
    <w:rsid w:val="00677011"/>
    <w:rsid w:val="0067704A"/>
    <w:rsid w:val="00677A2B"/>
    <w:rsid w:val="00681B02"/>
    <w:rsid w:val="00681B3E"/>
    <w:rsid w:val="00681BD9"/>
    <w:rsid w:val="006852C7"/>
    <w:rsid w:val="006852CE"/>
    <w:rsid w:val="00691E39"/>
    <w:rsid w:val="006928BD"/>
    <w:rsid w:val="00692D14"/>
    <w:rsid w:val="00694A84"/>
    <w:rsid w:val="00694D0E"/>
    <w:rsid w:val="00697920"/>
    <w:rsid w:val="00697CB1"/>
    <w:rsid w:val="006A08F4"/>
    <w:rsid w:val="006A25F1"/>
    <w:rsid w:val="006A30FD"/>
    <w:rsid w:val="006A3CD9"/>
    <w:rsid w:val="006A5802"/>
    <w:rsid w:val="006A77D7"/>
    <w:rsid w:val="006A7A3B"/>
    <w:rsid w:val="006A7AD6"/>
    <w:rsid w:val="006B3DE0"/>
    <w:rsid w:val="006B57FD"/>
    <w:rsid w:val="006B65C7"/>
    <w:rsid w:val="006C07F5"/>
    <w:rsid w:val="006C1727"/>
    <w:rsid w:val="006C2A82"/>
    <w:rsid w:val="006C32FD"/>
    <w:rsid w:val="006C3919"/>
    <w:rsid w:val="006C39CE"/>
    <w:rsid w:val="006C3A83"/>
    <w:rsid w:val="006C41CB"/>
    <w:rsid w:val="006C617B"/>
    <w:rsid w:val="006C61A9"/>
    <w:rsid w:val="006D03D1"/>
    <w:rsid w:val="006D0FCC"/>
    <w:rsid w:val="006D21F5"/>
    <w:rsid w:val="006D2448"/>
    <w:rsid w:val="006D3089"/>
    <w:rsid w:val="006D64F8"/>
    <w:rsid w:val="006E126D"/>
    <w:rsid w:val="006E1FC3"/>
    <w:rsid w:val="006E3935"/>
    <w:rsid w:val="006E39AE"/>
    <w:rsid w:val="006E4411"/>
    <w:rsid w:val="006E4769"/>
    <w:rsid w:val="006E4891"/>
    <w:rsid w:val="006E6CA2"/>
    <w:rsid w:val="006E73B2"/>
    <w:rsid w:val="006E7A72"/>
    <w:rsid w:val="006F043C"/>
    <w:rsid w:val="006F083A"/>
    <w:rsid w:val="006F4670"/>
    <w:rsid w:val="006F4C91"/>
    <w:rsid w:val="006F4DA9"/>
    <w:rsid w:val="006F50D8"/>
    <w:rsid w:val="007017D2"/>
    <w:rsid w:val="00701BC5"/>
    <w:rsid w:val="00703F8A"/>
    <w:rsid w:val="00704CE9"/>
    <w:rsid w:val="0070575E"/>
    <w:rsid w:val="00705848"/>
    <w:rsid w:val="0070616B"/>
    <w:rsid w:val="00706295"/>
    <w:rsid w:val="00706FDA"/>
    <w:rsid w:val="0071018F"/>
    <w:rsid w:val="00710ED2"/>
    <w:rsid w:val="00711F9A"/>
    <w:rsid w:val="00712EFB"/>
    <w:rsid w:val="00713810"/>
    <w:rsid w:val="007143ED"/>
    <w:rsid w:val="00714D17"/>
    <w:rsid w:val="00716544"/>
    <w:rsid w:val="00716ADB"/>
    <w:rsid w:val="0072006B"/>
    <w:rsid w:val="0072403E"/>
    <w:rsid w:val="00724181"/>
    <w:rsid w:val="007242C5"/>
    <w:rsid w:val="00724701"/>
    <w:rsid w:val="00725D04"/>
    <w:rsid w:val="007266FD"/>
    <w:rsid w:val="00727093"/>
    <w:rsid w:val="007303A5"/>
    <w:rsid w:val="00730763"/>
    <w:rsid w:val="00730B3E"/>
    <w:rsid w:val="00731F8D"/>
    <w:rsid w:val="007332A3"/>
    <w:rsid w:val="00733E38"/>
    <w:rsid w:val="0073420B"/>
    <w:rsid w:val="00736367"/>
    <w:rsid w:val="00736BA5"/>
    <w:rsid w:val="00740863"/>
    <w:rsid w:val="007413AA"/>
    <w:rsid w:val="00742867"/>
    <w:rsid w:val="007448BE"/>
    <w:rsid w:val="00745C41"/>
    <w:rsid w:val="0074702D"/>
    <w:rsid w:val="0074760E"/>
    <w:rsid w:val="00747658"/>
    <w:rsid w:val="00747BFA"/>
    <w:rsid w:val="00750387"/>
    <w:rsid w:val="007548C4"/>
    <w:rsid w:val="00754ABA"/>
    <w:rsid w:val="007571B7"/>
    <w:rsid w:val="007572BC"/>
    <w:rsid w:val="0076244C"/>
    <w:rsid w:val="007624A2"/>
    <w:rsid w:val="007635C2"/>
    <w:rsid w:val="00765E49"/>
    <w:rsid w:val="0077030B"/>
    <w:rsid w:val="007717BF"/>
    <w:rsid w:val="0077289D"/>
    <w:rsid w:val="007734D6"/>
    <w:rsid w:val="00774084"/>
    <w:rsid w:val="0077727D"/>
    <w:rsid w:val="0077794E"/>
    <w:rsid w:val="0078189C"/>
    <w:rsid w:val="00781A16"/>
    <w:rsid w:val="0078218A"/>
    <w:rsid w:val="0078218C"/>
    <w:rsid w:val="00782B0D"/>
    <w:rsid w:val="00785C18"/>
    <w:rsid w:val="00786B53"/>
    <w:rsid w:val="007873A7"/>
    <w:rsid w:val="00787924"/>
    <w:rsid w:val="00790F8E"/>
    <w:rsid w:val="00794048"/>
    <w:rsid w:val="00795AD9"/>
    <w:rsid w:val="007976F4"/>
    <w:rsid w:val="0079781A"/>
    <w:rsid w:val="007A1546"/>
    <w:rsid w:val="007A228C"/>
    <w:rsid w:val="007A2308"/>
    <w:rsid w:val="007A368E"/>
    <w:rsid w:val="007A5868"/>
    <w:rsid w:val="007A5991"/>
    <w:rsid w:val="007A7F97"/>
    <w:rsid w:val="007B04CE"/>
    <w:rsid w:val="007B1535"/>
    <w:rsid w:val="007B2497"/>
    <w:rsid w:val="007B2D0E"/>
    <w:rsid w:val="007B5F67"/>
    <w:rsid w:val="007B6871"/>
    <w:rsid w:val="007B7A2F"/>
    <w:rsid w:val="007C0EEF"/>
    <w:rsid w:val="007C2B69"/>
    <w:rsid w:val="007C32EE"/>
    <w:rsid w:val="007C3D33"/>
    <w:rsid w:val="007C488C"/>
    <w:rsid w:val="007C5D2E"/>
    <w:rsid w:val="007C61BC"/>
    <w:rsid w:val="007C643B"/>
    <w:rsid w:val="007C6EA4"/>
    <w:rsid w:val="007D01F2"/>
    <w:rsid w:val="007D294A"/>
    <w:rsid w:val="007D3399"/>
    <w:rsid w:val="007D3E03"/>
    <w:rsid w:val="007D3E48"/>
    <w:rsid w:val="007D47D2"/>
    <w:rsid w:val="007D5984"/>
    <w:rsid w:val="007D6EC0"/>
    <w:rsid w:val="007D7E1D"/>
    <w:rsid w:val="007E1D1A"/>
    <w:rsid w:val="007E1F74"/>
    <w:rsid w:val="007E2D2F"/>
    <w:rsid w:val="007E31A9"/>
    <w:rsid w:val="007E3504"/>
    <w:rsid w:val="007E503C"/>
    <w:rsid w:val="007E56E0"/>
    <w:rsid w:val="007E5D72"/>
    <w:rsid w:val="007E6645"/>
    <w:rsid w:val="007E6BD7"/>
    <w:rsid w:val="007F00BD"/>
    <w:rsid w:val="007F0A10"/>
    <w:rsid w:val="007F0C33"/>
    <w:rsid w:val="007F42D2"/>
    <w:rsid w:val="007F4478"/>
    <w:rsid w:val="007F48A4"/>
    <w:rsid w:val="007F4FCA"/>
    <w:rsid w:val="007F5E9E"/>
    <w:rsid w:val="007F643E"/>
    <w:rsid w:val="007F6853"/>
    <w:rsid w:val="007F7282"/>
    <w:rsid w:val="007F7394"/>
    <w:rsid w:val="00801924"/>
    <w:rsid w:val="00802802"/>
    <w:rsid w:val="0080345C"/>
    <w:rsid w:val="00804250"/>
    <w:rsid w:val="00805306"/>
    <w:rsid w:val="00805E47"/>
    <w:rsid w:val="00807903"/>
    <w:rsid w:val="00807D6B"/>
    <w:rsid w:val="008113EB"/>
    <w:rsid w:val="008118C5"/>
    <w:rsid w:val="008156D7"/>
    <w:rsid w:val="00815D36"/>
    <w:rsid w:val="0081728A"/>
    <w:rsid w:val="0081784C"/>
    <w:rsid w:val="00822174"/>
    <w:rsid w:val="00822C58"/>
    <w:rsid w:val="00823C9D"/>
    <w:rsid w:val="00824722"/>
    <w:rsid w:val="0082522F"/>
    <w:rsid w:val="00825F75"/>
    <w:rsid w:val="00826C64"/>
    <w:rsid w:val="008317E3"/>
    <w:rsid w:val="00831979"/>
    <w:rsid w:val="00831AD1"/>
    <w:rsid w:val="00831CFF"/>
    <w:rsid w:val="00834896"/>
    <w:rsid w:val="008350BF"/>
    <w:rsid w:val="008357A7"/>
    <w:rsid w:val="008359CD"/>
    <w:rsid w:val="008365D2"/>
    <w:rsid w:val="00836B88"/>
    <w:rsid w:val="00840046"/>
    <w:rsid w:val="008405AF"/>
    <w:rsid w:val="00844785"/>
    <w:rsid w:val="008458F0"/>
    <w:rsid w:val="00846A08"/>
    <w:rsid w:val="00846DC1"/>
    <w:rsid w:val="00846ED3"/>
    <w:rsid w:val="00847385"/>
    <w:rsid w:val="00847EA8"/>
    <w:rsid w:val="00851060"/>
    <w:rsid w:val="008511BC"/>
    <w:rsid w:val="00851352"/>
    <w:rsid w:val="00851EE8"/>
    <w:rsid w:val="00852EA1"/>
    <w:rsid w:val="008534CE"/>
    <w:rsid w:val="008549C4"/>
    <w:rsid w:val="00854D45"/>
    <w:rsid w:val="00857077"/>
    <w:rsid w:val="008573D6"/>
    <w:rsid w:val="008576A8"/>
    <w:rsid w:val="00857D13"/>
    <w:rsid w:val="0086165F"/>
    <w:rsid w:val="00861829"/>
    <w:rsid w:val="00863230"/>
    <w:rsid w:val="00863F66"/>
    <w:rsid w:val="00864C62"/>
    <w:rsid w:val="00865BD0"/>
    <w:rsid w:val="0086617F"/>
    <w:rsid w:val="008675B7"/>
    <w:rsid w:val="00870FAB"/>
    <w:rsid w:val="008717D8"/>
    <w:rsid w:val="00871C0F"/>
    <w:rsid w:val="00871F8F"/>
    <w:rsid w:val="0087215C"/>
    <w:rsid w:val="00873AF6"/>
    <w:rsid w:val="00873D97"/>
    <w:rsid w:val="00874F1A"/>
    <w:rsid w:val="0087527C"/>
    <w:rsid w:val="00875D25"/>
    <w:rsid w:val="00875E29"/>
    <w:rsid w:val="0087787E"/>
    <w:rsid w:val="00880256"/>
    <w:rsid w:val="00880E35"/>
    <w:rsid w:val="00882597"/>
    <w:rsid w:val="00884603"/>
    <w:rsid w:val="008851B7"/>
    <w:rsid w:val="00885A17"/>
    <w:rsid w:val="0088698D"/>
    <w:rsid w:val="00886C3F"/>
    <w:rsid w:val="00886E80"/>
    <w:rsid w:val="00887003"/>
    <w:rsid w:val="008875FE"/>
    <w:rsid w:val="00887F8E"/>
    <w:rsid w:val="008902BD"/>
    <w:rsid w:val="008902D4"/>
    <w:rsid w:val="00892040"/>
    <w:rsid w:val="00893626"/>
    <w:rsid w:val="0089366C"/>
    <w:rsid w:val="0089527B"/>
    <w:rsid w:val="00896234"/>
    <w:rsid w:val="00897870"/>
    <w:rsid w:val="00897E43"/>
    <w:rsid w:val="00897E4B"/>
    <w:rsid w:val="008A0BBA"/>
    <w:rsid w:val="008A24EF"/>
    <w:rsid w:val="008A31E4"/>
    <w:rsid w:val="008A32F0"/>
    <w:rsid w:val="008A368E"/>
    <w:rsid w:val="008A4572"/>
    <w:rsid w:val="008A4B99"/>
    <w:rsid w:val="008A4CF1"/>
    <w:rsid w:val="008A4FD0"/>
    <w:rsid w:val="008A5A1B"/>
    <w:rsid w:val="008A5F93"/>
    <w:rsid w:val="008A61F5"/>
    <w:rsid w:val="008A675E"/>
    <w:rsid w:val="008A6DFC"/>
    <w:rsid w:val="008B43C5"/>
    <w:rsid w:val="008B5142"/>
    <w:rsid w:val="008B52AA"/>
    <w:rsid w:val="008B5714"/>
    <w:rsid w:val="008B692B"/>
    <w:rsid w:val="008C01D4"/>
    <w:rsid w:val="008C07DA"/>
    <w:rsid w:val="008C0AC4"/>
    <w:rsid w:val="008C14F0"/>
    <w:rsid w:val="008C1524"/>
    <w:rsid w:val="008C222B"/>
    <w:rsid w:val="008C278D"/>
    <w:rsid w:val="008C42C0"/>
    <w:rsid w:val="008C5260"/>
    <w:rsid w:val="008C5738"/>
    <w:rsid w:val="008C63C6"/>
    <w:rsid w:val="008C7103"/>
    <w:rsid w:val="008C7B67"/>
    <w:rsid w:val="008C7EAD"/>
    <w:rsid w:val="008D0CFE"/>
    <w:rsid w:val="008D0F25"/>
    <w:rsid w:val="008D2041"/>
    <w:rsid w:val="008D327F"/>
    <w:rsid w:val="008D4325"/>
    <w:rsid w:val="008D45FF"/>
    <w:rsid w:val="008D5C60"/>
    <w:rsid w:val="008D5E05"/>
    <w:rsid w:val="008D6152"/>
    <w:rsid w:val="008D6F9E"/>
    <w:rsid w:val="008D7173"/>
    <w:rsid w:val="008E156E"/>
    <w:rsid w:val="008E1D5B"/>
    <w:rsid w:val="008E1E68"/>
    <w:rsid w:val="008E389E"/>
    <w:rsid w:val="008E3BEB"/>
    <w:rsid w:val="008E3E09"/>
    <w:rsid w:val="008E472B"/>
    <w:rsid w:val="008E4905"/>
    <w:rsid w:val="008E7BA9"/>
    <w:rsid w:val="008E7CC8"/>
    <w:rsid w:val="008F010E"/>
    <w:rsid w:val="008F0D4E"/>
    <w:rsid w:val="008F0F81"/>
    <w:rsid w:val="008F1103"/>
    <w:rsid w:val="008F27BF"/>
    <w:rsid w:val="008F2E64"/>
    <w:rsid w:val="008F4744"/>
    <w:rsid w:val="008F5AF2"/>
    <w:rsid w:val="008F5EC3"/>
    <w:rsid w:val="008F6332"/>
    <w:rsid w:val="008F747A"/>
    <w:rsid w:val="008F75F4"/>
    <w:rsid w:val="00901184"/>
    <w:rsid w:val="00901451"/>
    <w:rsid w:val="0090285A"/>
    <w:rsid w:val="009041D3"/>
    <w:rsid w:val="00904896"/>
    <w:rsid w:val="00905148"/>
    <w:rsid w:val="00905A5C"/>
    <w:rsid w:val="00910044"/>
    <w:rsid w:val="009111F7"/>
    <w:rsid w:val="009130EB"/>
    <w:rsid w:val="00913B98"/>
    <w:rsid w:val="009140FE"/>
    <w:rsid w:val="009142EC"/>
    <w:rsid w:val="009145E4"/>
    <w:rsid w:val="0091461D"/>
    <w:rsid w:val="00914D61"/>
    <w:rsid w:val="00915071"/>
    <w:rsid w:val="009154C3"/>
    <w:rsid w:val="00915AB0"/>
    <w:rsid w:val="00915AF1"/>
    <w:rsid w:val="009201E3"/>
    <w:rsid w:val="009216F9"/>
    <w:rsid w:val="00922FA9"/>
    <w:rsid w:val="00923540"/>
    <w:rsid w:val="00924AEB"/>
    <w:rsid w:val="00926619"/>
    <w:rsid w:val="00926767"/>
    <w:rsid w:val="00927E77"/>
    <w:rsid w:val="009302AE"/>
    <w:rsid w:val="0093112C"/>
    <w:rsid w:val="009361D5"/>
    <w:rsid w:val="00936D2B"/>
    <w:rsid w:val="00937781"/>
    <w:rsid w:val="00940CBA"/>
    <w:rsid w:val="009420C0"/>
    <w:rsid w:val="009421CD"/>
    <w:rsid w:val="009428A4"/>
    <w:rsid w:val="00942B1F"/>
    <w:rsid w:val="00944DB4"/>
    <w:rsid w:val="00944E38"/>
    <w:rsid w:val="00950076"/>
    <w:rsid w:val="0095029D"/>
    <w:rsid w:val="009504B6"/>
    <w:rsid w:val="00951F2F"/>
    <w:rsid w:val="00951FBF"/>
    <w:rsid w:val="00954370"/>
    <w:rsid w:val="00954896"/>
    <w:rsid w:val="00954C2A"/>
    <w:rsid w:val="00955E60"/>
    <w:rsid w:val="00957554"/>
    <w:rsid w:val="00957706"/>
    <w:rsid w:val="00960F67"/>
    <w:rsid w:val="00962B00"/>
    <w:rsid w:val="009637C4"/>
    <w:rsid w:val="00964B1D"/>
    <w:rsid w:val="0096565D"/>
    <w:rsid w:val="009659F4"/>
    <w:rsid w:val="00966AE1"/>
    <w:rsid w:val="00966AF1"/>
    <w:rsid w:val="00970171"/>
    <w:rsid w:val="00970D60"/>
    <w:rsid w:val="009710C6"/>
    <w:rsid w:val="00971DA6"/>
    <w:rsid w:val="00972790"/>
    <w:rsid w:val="00974102"/>
    <w:rsid w:val="00975252"/>
    <w:rsid w:val="00975B4D"/>
    <w:rsid w:val="009778FE"/>
    <w:rsid w:val="00977B34"/>
    <w:rsid w:val="00981325"/>
    <w:rsid w:val="009842C4"/>
    <w:rsid w:val="00984463"/>
    <w:rsid w:val="009846FA"/>
    <w:rsid w:val="009854AA"/>
    <w:rsid w:val="00986EE1"/>
    <w:rsid w:val="009874D0"/>
    <w:rsid w:val="0098778F"/>
    <w:rsid w:val="00987CA4"/>
    <w:rsid w:val="00990092"/>
    <w:rsid w:val="00990934"/>
    <w:rsid w:val="00990F96"/>
    <w:rsid w:val="00992BE9"/>
    <w:rsid w:val="0099390E"/>
    <w:rsid w:val="009946D5"/>
    <w:rsid w:val="00995485"/>
    <w:rsid w:val="00995BBC"/>
    <w:rsid w:val="00995F6E"/>
    <w:rsid w:val="009960E5"/>
    <w:rsid w:val="00997D6F"/>
    <w:rsid w:val="009A40F2"/>
    <w:rsid w:val="009A481C"/>
    <w:rsid w:val="009A6121"/>
    <w:rsid w:val="009A6D6E"/>
    <w:rsid w:val="009A77BF"/>
    <w:rsid w:val="009A7ADC"/>
    <w:rsid w:val="009B0D30"/>
    <w:rsid w:val="009B4590"/>
    <w:rsid w:val="009B4BF5"/>
    <w:rsid w:val="009B5013"/>
    <w:rsid w:val="009C19B7"/>
    <w:rsid w:val="009C59FF"/>
    <w:rsid w:val="009C5ABB"/>
    <w:rsid w:val="009C6EBC"/>
    <w:rsid w:val="009C7005"/>
    <w:rsid w:val="009C793E"/>
    <w:rsid w:val="009C7DD7"/>
    <w:rsid w:val="009D4649"/>
    <w:rsid w:val="009D52E6"/>
    <w:rsid w:val="009D57BD"/>
    <w:rsid w:val="009D69A1"/>
    <w:rsid w:val="009D7C51"/>
    <w:rsid w:val="009E0205"/>
    <w:rsid w:val="009E07C8"/>
    <w:rsid w:val="009E0CE2"/>
    <w:rsid w:val="009E196C"/>
    <w:rsid w:val="009E2EB0"/>
    <w:rsid w:val="009E3D96"/>
    <w:rsid w:val="009E4CE6"/>
    <w:rsid w:val="009E5648"/>
    <w:rsid w:val="009E5AE5"/>
    <w:rsid w:val="009E6A0A"/>
    <w:rsid w:val="009F0332"/>
    <w:rsid w:val="009F26AB"/>
    <w:rsid w:val="009F2B0C"/>
    <w:rsid w:val="009F3322"/>
    <w:rsid w:val="009F36BF"/>
    <w:rsid w:val="009F48B6"/>
    <w:rsid w:val="009F6581"/>
    <w:rsid w:val="009F6C27"/>
    <w:rsid w:val="009F6DF8"/>
    <w:rsid w:val="009F752A"/>
    <w:rsid w:val="009F786B"/>
    <w:rsid w:val="009F7888"/>
    <w:rsid w:val="00A00C57"/>
    <w:rsid w:val="00A0127C"/>
    <w:rsid w:val="00A0222C"/>
    <w:rsid w:val="00A02C19"/>
    <w:rsid w:val="00A036E4"/>
    <w:rsid w:val="00A07500"/>
    <w:rsid w:val="00A07F1D"/>
    <w:rsid w:val="00A111B6"/>
    <w:rsid w:val="00A11765"/>
    <w:rsid w:val="00A14E26"/>
    <w:rsid w:val="00A169FD"/>
    <w:rsid w:val="00A16AF2"/>
    <w:rsid w:val="00A16EAF"/>
    <w:rsid w:val="00A17A8F"/>
    <w:rsid w:val="00A20453"/>
    <w:rsid w:val="00A2203C"/>
    <w:rsid w:val="00A22184"/>
    <w:rsid w:val="00A224E8"/>
    <w:rsid w:val="00A247FD"/>
    <w:rsid w:val="00A2663A"/>
    <w:rsid w:val="00A26D27"/>
    <w:rsid w:val="00A2786A"/>
    <w:rsid w:val="00A30950"/>
    <w:rsid w:val="00A30A3D"/>
    <w:rsid w:val="00A30E53"/>
    <w:rsid w:val="00A314A5"/>
    <w:rsid w:val="00A31ACE"/>
    <w:rsid w:val="00A31BA2"/>
    <w:rsid w:val="00A324B6"/>
    <w:rsid w:val="00A3259E"/>
    <w:rsid w:val="00A32E2B"/>
    <w:rsid w:val="00A335E5"/>
    <w:rsid w:val="00A33F2E"/>
    <w:rsid w:val="00A3425F"/>
    <w:rsid w:val="00A36B22"/>
    <w:rsid w:val="00A376EE"/>
    <w:rsid w:val="00A40AF3"/>
    <w:rsid w:val="00A42A42"/>
    <w:rsid w:val="00A42A99"/>
    <w:rsid w:val="00A43905"/>
    <w:rsid w:val="00A44429"/>
    <w:rsid w:val="00A4525F"/>
    <w:rsid w:val="00A47DB5"/>
    <w:rsid w:val="00A50B8E"/>
    <w:rsid w:val="00A5151A"/>
    <w:rsid w:val="00A53CF9"/>
    <w:rsid w:val="00A55913"/>
    <w:rsid w:val="00A56725"/>
    <w:rsid w:val="00A57E0A"/>
    <w:rsid w:val="00A60624"/>
    <w:rsid w:val="00A61A2E"/>
    <w:rsid w:val="00A63F38"/>
    <w:rsid w:val="00A64942"/>
    <w:rsid w:val="00A64978"/>
    <w:rsid w:val="00A65168"/>
    <w:rsid w:val="00A65F24"/>
    <w:rsid w:val="00A7061E"/>
    <w:rsid w:val="00A735BE"/>
    <w:rsid w:val="00A7369E"/>
    <w:rsid w:val="00A7663C"/>
    <w:rsid w:val="00A770C6"/>
    <w:rsid w:val="00A77919"/>
    <w:rsid w:val="00A806B8"/>
    <w:rsid w:val="00A80CE5"/>
    <w:rsid w:val="00A823F6"/>
    <w:rsid w:val="00A82770"/>
    <w:rsid w:val="00A8432D"/>
    <w:rsid w:val="00A85592"/>
    <w:rsid w:val="00A86CCB"/>
    <w:rsid w:val="00A8719E"/>
    <w:rsid w:val="00A87587"/>
    <w:rsid w:val="00A9184B"/>
    <w:rsid w:val="00A94EB9"/>
    <w:rsid w:val="00A96B59"/>
    <w:rsid w:val="00A97208"/>
    <w:rsid w:val="00AA07A3"/>
    <w:rsid w:val="00AA0A89"/>
    <w:rsid w:val="00AA1C42"/>
    <w:rsid w:val="00AA2391"/>
    <w:rsid w:val="00AA23AA"/>
    <w:rsid w:val="00AA5368"/>
    <w:rsid w:val="00AA6429"/>
    <w:rsid w:val="00AA76FB"/>
    <w:rsid w:val="00AA7961"/>
    <w:rsid w:val="00AA7EDD"/>
    <w:rsid w:val="00AB002E"/>
    <w:rsid w:val="00AB0100"/>
    <w:rsid w:val="00AB0E38"/>
    <w:rsid w:val="00AB1FE0"/>
    <w:rsid w:val="00AB42F1"/>
    <w:rsid w:val="00AB478D"/>
    <w:rsid w:val="00AB4C67"/>
    <w:rsid w:val="00AB6689"/>
    <w:rsid w:val="00AB7CC5"/>
    <w:rsid w:val="00AC01AA"/>
    <w:rsid w:val="00AC22AC"/>
    <w:rsid w:val="00AC29BE"/>
    <w:rsid w:val="00AC3AEF"/>
    <w:rsid w:val="00AC3EE9"/>
    <w:rsid w:val="00AC3F18"/>
    <w:rsid w:val="00AC433E"/>
    <w:rsid w:val="00AC4F72"/>
    <w:rsid w:val="00AC5041"/>
    <w:rsid w:val="00AC615F"/>
    <w:rsid w:val="00AC734A"/>
    <w:rsid w:val="00AD0205"/>
    <w:rsid w:val="00AD113B"/>
    <w:rsid w:val="00AD1F4B"/>
    <w:rsid w:val="00AD2D4A"/>
    <w:rsid w:val="00AD2E11"/>
    <w:rsid w:val="00AD410B"/>
    <w:rsid w:val="00AD5DE1"/>
    <w:rsid w:val="00AD5E0C"/>
    <w:rsid w:val="00AD633D"/>
    <w:rsid w:val="00AD6F9A"/>
    <w:rsid w:val="00AD7AA9"/>
    <w:rsid w:val="00AD7C00"/>
    <w:rsid w:val="00AE022A"/>
    <w:rsid w:val="00AE1848"/>
    <w:rsid w:val="00AE2FE0"/>
    <w:rsid w:val="00AE39C6"/>
    <w:rsid w:val="00AE482E"/>
    <w:rsid w:val="00AE5322"/>
    <w:rsid w:val="00AE71C2"/>
    <w:rsid w:val="00AE7D18"/>
    <w:rsid w:val="00AF15D7"/>
    <w:rsid w:val="00AF185C"/>
    <w:rsid w:val="00AF1B39"/>
    <w:rsid w:val="00AF2E13"/>
    <w:rsid w:val="00AF4466"/>
    <w:rsid w:val="00AF46D7"/>
    <w:rsid w:val="00AF4DE1"/>
    <w:rsid w:val="00AF5E52"/>
    <w:rsid w:val="00AF741A"/>
    <w:rsid w:val="00B00233"/>
    <w:rsid w:val="00B01ADB"/>
    <w:rsid w:val="00B03035"/>
    <w:rsid w:val="00B04161"/>
    <w:rsid w:val="00B04BDA"/>
    <w:rsid w:val="00B056F9"/>
    <w:rsid w:val="00B0724B"/>
    <w:rsid w:val="00B10597"/>
    <w:rsid w:val="00B116D7"/>
    <w:rsid w:val="00B11886"/>
    <w:rsid w:val="00B11A05"/>
    <w:rsid w:val="00B11B30"/>
    <w:rsid w:val="00B11E3D"/>
    <w:rsid w:val="00B11F27"/>
    <w:rsid w:val="00B12711"/>
    <w:rsid w:val="00B128E2"/>
    <w:rsid w:val="00B133B5"/>
    <w:rsid w:val="00B13C0F"/>
    <w:rsid w:val="00B14681"/>
    <w:rsid w:val="00B14D2C"/>
    <w:rsid w:val="00B16F27"/>
    <w:rsid w:val="00B17E82"/>
    <w:rsid w:val="00B21B2E"/>
    <w:rsid w:val="00B223F7"/>
    <w:rsid w:val="00B22661"/>
    <w:rsid w:val="00B242DE"/>
    <w:rsid w:val="00B254D9"/>
    <w:rsid w:val="00B26A6C"/>
    <w:rsid w:val="00B27394"/>
    <w:rsid w:val="00B317CE"/>
    <w:rsid w:val="00B32F2F"/>
    <w:rsid w:val="00B35FCB"/>
    <w:rsid w:val="00B371D3"/>
    <w:rsid w:val="00B407A0"/>
    <w:rsid w:val="00B40A23"/>
    <w:rsid w:val="00B42E6D"/>
    <w:rsid w:val="00B44F43"/>
    <w:rsid w:val="00B45088"/>
    <w:rsid w:val="00B4575A"/>
    <w:rsid w:val="00B46F5B"/>
    <w:rsid w:val="00B47A77"/>
    <w:rsid w:val="00B50B08"/>
    <w:rsid w:val="00B51D38"/>
    <w:rsid w:val="00B51EEA"/>
    <w:rsid w:val="00B575BA"/>
    <w:rsid w:val="00B57A6D"/>
    <w:rsid w:val="00B57AD8"/>
    <w:rsid w:val="00B60056"/>
    <w:rsid w:val="00B617D5"/>
    <w:rsid w:val="00B61DF5"/>
    <w:rsid w:val="00B62645"/>
    <w:rsid w:val="00B645A2"/>
    <w:rsid w:val="00B64C2D"/>
    <w:rsid w:val="00B65204"/>
    <w:rsid w:val="00B65A18"/>
    <w:rsid w:val="00B6601B"/>
    <w:rsid w:val="00B676D4"/>
    <w:rsid w:val="00B678A9"/>
    <w:rsid w:val="00B701A0"/>
    <w:rsid w:val="00B7095A"/>
    <w:rsid w:val="00B70D1C"/>
    <w:rsid w:val="00B70EFE"/>
    <w:rsid w:val="00B71608"/>
    <w:rsid w:val="00B71C4A"/>
    <w:rsid w:val="00B7296D"/>
    <w:rsid w:val="00B74F49"/>
    <w:rsid w:val="00B75EA6"/>
    <w:rsid w:val="00B75F5B"/>
    <w:rsid w:val="00B76429"/>
    <w:rsid w:val="00B770C6"/>
    <w:rsid w:val="00B80CF9"/>
    <w:rsid w:val="00B813C9"/>
    <w:rsid w:val="00B8143E"/>
    <w:rsid w:val="00B8181E"/>
    <w:rsid w:val="00B81CE3"/>
    <w:rsid w:val="00B83107"/>
    <w:rsid w:val="00B849EC"/>
    <w:rsid w:val="00B85776"/>
    <w:rsid w:val="00B85AA6"/>
    <w:rsid w:val="00B85B61"/>
    <w:rsid w:val="00B86471"/>
    <w:rsid w:val="00B87334"/>
    <w:rsid w:val="00B90536"/>
    <w:rsid w:val="00B90FF1"/>
    <w:rsid w:val="00B91237"/>
    <w:rsid w:val="00B91613"/>
    <w:rsid w:val="00B918D0"/>
    <w:rsid w:val="00B9246D"/>
    <w:rsid w:val="00B92EF4"/>
    <w:rsid w:val="00B956D4"/>
    <w:rsid w:val="00B965C5"/>
    <w:rsid w:val="00B972F9"/>
    <w:rsid w:val="00B97446"/>
    <w:rsid w:val="00BA030D"/>
    <w:rsid w:val="00BA0838"/>
    <w:rsid w:val="00BA1354"/>
    <w:rsid w:val="00BA15A0"/>
    <w:rsid w:val="00BA1A91"/>
    <w:rsid w:val="00BA2B55"/>
    <w:rsid w:val="00BA4CA3"/>
    <w:rsid w:val="00BA5262"/>
    <w:rsid w:val="00BA7432"/>
    <w:rsid w:val="00BA782F"/>
    <w:rsid w:val="00BB201B"/>
    <w:rsid w:val="00BB2764"/>
    <w:rsid w:val="00BB315D"/>
    <w:rsid w:val="00BB3385"/>
    <w:rsid w:val="00BB3649"/>
    <w:rsid w:val="00BB504F"/>
    <w:rsid w:val="00BB6880"/>
    <w:rsid w:val="00BB6C8B"/>
    <w:rsid w:val="00BC0AF0"/>
    <w:rsid w:val="00BC0BCE"/>
    <w:rsid w:val="00BC10D7"/>
    <w:rsid w:val="00BC1AA0"/>
    <w:rsid w:val="00BC1BC6"/>
    <w:rsid w:val="00BC2495"/>
    <w:rsid w:val="00BC30BF"/>
    <w:rsid w:val="00BC314A"/>
    <w:rsid w:val="00BC4F39"/>
    <w:rsid w:val="00BC5B59"/>
    <w:rsid w:val="00BC7D11"/>
    <w:rsid w:val="00BC7EB9"/>
    <w:rsid w:val="00BD2643"/>
    <w:rsid w:val="00BD304B"/>
    <w:rsid w:val="00BD370F"/>
    <w:rsid w:val="00BD45AB"/>
    <w:rsid w:val="00BD56B1"/>
    <w:rsid w:val="00BD56C2"/>
    <w:rsid w:val="00BD6558"/>
    <w:rsid w:val="00BE0629"/>
    <w:rsid w:val="00BE0F4E"/>
    <w:rsid w:val="00BE126C"/>
    <w:rsid w:val="00BE190D"/>
    <w:rsid w:val="00BE2393"/>
    <w:rsid w:val="00BE24E8"/>
    <w:rsid w:val="00BE2DAA"/>
    <w:rsid w:val="00BE3640"/>
    <w:rsid w:val="00BE4184"/>
    <w:rsid w:val="00BE433D"/>
    <w:rsid w:val="00BE46D7"/>
    <w:rsid w:val="00BE58BA"/>
    <w:rsid w:val="00BF0BEA"/>
    <w:rsid w:val="00BF0E0C"/>
    <w:rsid w:val="00BF0EAF"/>
    <w:rsid w:val="00BF12BF"/>
    <w:rsid w:val="00BF15D1"/>
    <w:rsid w:val="00BF22F3"/>
    <w:rsid w:val="00BF2AD7"/>
    <w:rsid w:val="00BF2F76"/>
    <w:rsid w:val="00BF3022"/>
    <w:rsid w:val="00BF3214"/>
    <w:rsid w:val="00BF49A5"/>
    <w:rsid w:val="00BF4C95"/>
    <w:rsid w:val="00BF4E5B"/>
    <w:rsid w:val="00BF4FA1"/>
    <w:rsid w:val="00BF5230"/>
    <w:rsid w:val="00BF5573"/>
    <w:rsid w:val="00BF589C"/>
    <w:rsid w:val="00BF6359"/>
    <w:rsid w:val="00BF6F3B"/>
    <w:rsid w:val="00C00021"/>
    <w:rsid w:val="00C00FEA"/>
    <w:rsid w:val="00C03595"/>
    <w:rsid w:val="00C03742"/>
    <w:rsid w:val="00C03A44"/>
    <w:rsid w:val="00C05DE3"/>
    <w:rsid w:val="00C0676B"/>
    <w:rsid w:val="00C07127"/>
    <w:rsid w:val="00C101F7"/>
    <w:rsid w:val="00C10243"/>
    <w:rsid w:val="00C12658"/>
    <w:rsid w:val="00C1434F"/>
    <w:rsid w:val="00C14D21"/>
    <w:rsid w:val="00C15867"/>
    <w:rsid w:val="00C1689C"/>
    <w:rsid w:val="00C17667"/>
    <w:rsid w:val="00C20D41"/>
    <w:rsid w:val="00C22398"/>
    <w:rsid w:val="00C2296D"/>
    <w:rsid w:val="00C23155"/>
    <w:rsid w:val="00C23DA2"/>
    <w:rsid w:val="00C2416F"/>
    <w:rsid w:val="00C255E4"/>
    <w:rsid w:val="00C25CC3"/>
    <w:rsid w:val="00C25CC4"/>
    <w:rsid w:val="00C25EA1"/>
    <w:rsid w:val="00C2663D"/>
    <w:rsid w:val="00C30283"/>
    <w:rsid w:val="00C30970"/>
    <w:rsid w:val="00C30C33"/>
    <w:rsid w:val="00C31AFF"/>
    <w:rsid w:val="00C31F5B"/>
    <w:rsid w:val="00C32829"/>
    <w:rsid w:val="00C3306A"/>
    <w:rsid w:val="00C33528"/>
    <w:rsid w:val="00C33AB0"/>
    <w:rsid w:val="00C34E19"/>
    <w:rsid w:val="00C3673E"/>
    <w:rsid w:val="00C367A7"/>
    <w:rsid w:val="00C40C41"/>
    <w:rsid w:val="00C41B4F"/>
    <w:rsid w:val="00C42D56"/>
    <w:rsid w:val="00C43111"/>
    <w:rsid w:val="00C448A4"/>
    <w:rsid w:val="00C44CFB"/>
    <w:rsid w:val="00C45885"/>
    <w:rsid w:val="00C461FA"/>
    <w:rsid w:val="00C47538"/>
    <w:rsid w:val="00C50F22"/>
    <w:rsid w:val="00C51522"/>
    <w:rsid w:val="00C51D19"/>
    <w:rsid w:val="00C547F4"/>
    <w:rsid w:val="00C54FA6"/>
    <w:rsid w:val="00C56812"/>
    <w:rsid w:val="00C57971"/>
    <w:rsid w:val="00C57BB0"/>
    <w:rsid w:val="00C57C02"/>
    <w:rsid w:val="00C62B4B"/>
    <w:rsid w:val="00C62F4E"/>
    <w:rsid w:val="00C63024"/>
    <w:rsid w:val="00C6315D"/>
    <w:rsid w:val="00C63398"/>
    <w:rsid w:val="00C636A6"/>
    <w:rsid w:val="00C6479C"/>
    <w:rsid w:val="00C65BD7"/>
    <w:rsid w:val="00C67752"/>
    <w:rsid w:val="00C7063F"/>
    <w:rsid w:val="00C71D4A"/>
    <w:rsid w:val="00C76BA4"/>
    <w:rsid w:val="00C774F2"/>
    <w:rsid w:val="00C77616"/>
    <w:rsid w:val="00C77EBC"/>
    <w:rsid w:val="00C80541"/>
    <w:rsid w:val="00C82924"/>
    <w:rsid w:val="00C82A3E"/>
    <w:rsid w:val="00C8340E"/>
    <w:rsid w:val="00C83A48"/>
    <w:rsid w:val="00C84121"/>
    <w:rsid w:val="00C85865"/>
    <w:rsid w:val="00C85E85"/>
    <w:rsid w:val="00C86A5D"/>
    <w:rsid w:val="00C908FD"/>
    <w:rsid w:val="00C926C8"/>
    <w:rsid w:val="00C92FCB"/>
    <w:rsid w:val="00C93DFE"/>
    <w:rsid w:val="00C953BF"/>
    <w:rsid w:val="00C97E18"/>
    <w:rsid w:val="00CA03DA"/>
    <w:rsid w:val="00CA13D5"/>
    <w:rsid w:val="00CA2EAE"/>
    <w:rsid w:val="00CA30DC"/>
    <w:rsid w:val="00CA319B"/>
    <w:rsid w:val="00CA3933"/>
    <w:rsid w:val="00CA3BA1"/>
    <w:rsid w:val="00CA4AC1"/>
    <w:rsid w:val="00CA5784"/>
    <w:rsid w:val="00CA5833"/>
    <w:rsid w:val="00CA59FB"/>
    <w:rsid w:val="00CA6055"/>
    <w:rsid w:val="00CA68A2"/>
    <w:rsid w:val="00CA6A2B"/>
    <w:rsid w:val="00CB0316"/>
    <w:rsid w:val="00CB049E"/>
    <w:rsid w:val="00CB0B11"/>
    <w:rsid w:val="00CB1DBA"/>
    <w:rsid w:val="00CB26A4"/>
    <w:rsid w:val="00CB26C4"/>
    <w:rsid w:val="00CB426A"/>
    <w:rsid w:val="00CB4A66"/>
    <w:rsid w:val="00CB5354"/>
    <w:rsid w:val="00CB5AF6"/>
    <w:rsid w:val="00CB5C8F"/>
    <w:rsid w:val="00CB5E6F"/>
    <w:rsid w:val="00CB67A2"/>
    <w:rsid w:val="00CB6963"/>
    <w:rsid w:val="00CC12C0"/>
    <w:rsid w:val="00CC1FE7"/>
    <w:rsid w:val="00CC2435"/>
    <w:rsid w:val="00CC3243"/>
    <w:rsid w:val="00CC3C9E"/>
    <w:rsid w:val="00CC6A14"/>
    <w:rsid w:val="00CC70A3"/>
    <w:rsid w:val="00CD2029"/>
    <w:rsid w:val="00CD2612"/>
    <w:rsid w:val="00CD33F3"/>
    <w:rsid w:val="00CD43F3"/>
    <w:rsid w:val="00CD4442"/>
    <w:rsid w:val="00CD53C3"/>
    <w:rsid w:val="00CD574E"/>
    <w:rsid w:val="00CD6907"/>
    <w:rsid w:val="00CE0951"/>
    <w:rsid w:val="00CE3CD9"/>
    <w:rsid w:val="00CE4C22"/>
    <w:rsid w:val="00CE5FDD"/>
    <w:rsid w:val="00CE6038"/>
    <w:rsid w:val="00CE76E5"/>
    <w:rsid w:val="00CF0036"/>
    <w:rsid w:val="00CF10FA"/>
    <w:rsid w:val="00CF41EC"/>
    <w:rsid w:val="00CF5AC2"/>
    <w:rsid w:val="00CF5D04"/>
    <w:rsid w:val="00CF6F75"/>
    <w:rsid w:val="00CF735C"/>
    <w:rsid w:val="00CF7813"/>
    <w:rsid w:val="00D0016E"/>
    <w:rsid w:val="00D00FE3"/>
    <w:rsid w:val="00D01735"/>
    <w:rsid w:val="00D01CD5"/>
    <w:rsid w:val="00D021E0"/>
    <w:rsid w:val="00D0273D"/>
    <w:rsid w:val="00D02E66"/>
    <w:rsid w:val="00D030C9"/>
    <w:rsid w:val="00D03591"/>
    <w:rsid w:val="00D03817"/>
    <w:rsid w:val="00D03915"/>
    <w:rsid w:val="00D04187"/>
    <w:rsid w:val="00D04DE4"/>
    <w:rsid w:val="00D05819"/>
    <w:rsid w:val="00D063F1"/>
    <w:rsid w:val="00D06EC8"/>
    <w:rsid w:val="00D07FBE"/>
    <w:rsid w:val="00D109F4"/>
    <w:rsid w:val="00D11735"/>
    <w:rsid w:val="00D121C9"/>
    <w:rsid w:val="00D127C9"/>
    <w:rsid w:val="00D1290A"/>
    <w:rsid w:val="00D12E19"/>
    <w:rsid w:val="00D12F37"/>
    <w:rsid w:val="00D14531"/>
    <w:rsid w:val="00D14CCA"/>
    <w:rsid w:val="00D14F22"/>
    <w:rsid w:val="00D15E4D"/>
    <w:rsid w:val="00D16038"/>
    <w:rsid w:val="00D20F1F"/>
    <w:rsid w:val="00D21945"/>
    <w:rsid w:val="00D2194B"/>
    <w:rsid w:val="00D22D07"/>
    <w:rsid w:val="00D25930"/>
    <w:rsid w:val="00D26D68"/>
    <w:rsid w:val="00D31317"/>
    <w:rsid w:val="00D31B56"/>
    <w:rsid w:val="00D35178"/>
    <w:rsid w:val="00D35BEE"/>
    <w:rsid w:val="00D35D49"/>
    <w:rsid w:val="00D35DF2"/>
    <w:rsid w:val="00D37F01"/>
    <w:rsid w:val="00D423D4"/>
    <w:rsid w:val="00D44B53"/>
    <w:rsid w:val="00D47303"/>
    <w:rsid w:val="00D4741C"/>
    <w:rsid w:val="00D4744F"/>
    <w:rsid w:val="00D50C41"/>
    <w:rsid w:val="00D5187B"/>
    <w:rsid w:val="00D527EF"/>
    <w:rsid w:val="00D52B1D"/>
    <w:rsid w:val="00D544F0"/>
    <w:rsid w:val="00D551A4"/>
    <w:rsid w:val="00D55C76"/>
    <w:rsid w:val="00D56108"/>
    <w:rsid w:val="00D565D9"/>
    <w:rsid w:val="00D57918"/>
    <w:rsid w:val="00D60618"/>
    <w:rsid w:val="00D63FE2"/>
    <w:rsid w:val="00D65CA1"/>
    <w:rsid w:val="00D664DC"/>
    <w:rsid w:val="00D66A78"/>
    <w:rsid w:val="00D72014"/>
    <w:rsid w:val="00D722CC"/>
    <w:rsid w:val="00D7257C"/>
    <w:rsid w:val="00D7261A"/>
    <w:rsid w:val="00D72BC7"/>
    <w:rsid w:val="00D72DFE"/>
    <w:rsid w:val="00D73302"/>
    <w:rsid w:val="00D7379B"/>
    <w:rsid w:val="00D73DC6"/>
    <w:rsid w:val="00D74C1A"/>
    <w:rsid w:val="00D754C0"/>
    <w:rsid w:val="00D754C1"/>
    <w:rsid w:val="00D75576"/>
    <w:rsid w:val="00D77393"/>
    <w:rsid w:val="00D77A35"/>
    <w:rsid w:val="00D80EA8"/>
    <w:rsid w:val="00D81B3E"/>
    <w:rsid w:val="00D85651"/>
    <w:rsid w:val="00D86EFC"/>
    <w:rsid w:val="00D87BA4"/>
    <w:rsid w:val="00D87DB4"/>
    <w:rsid w:val="00D90C70"/>
    <w:rsid w:val="00D90E49"/>
    <w:rsid w:val="00D92FE9"/>
    <w:rsid w:val="00D934B4"/>
    <w:rsid w:val="00D945F1"/>
    <w:rsid w:val="00D947DD"/>
    <w:rsid w:val="00D969DC"/>
    <w:rsid w:val="00D96ADE"/>
    <w:rsid w:val="00D97D6D"/>
    <w:rsid w:val="00DA0179"/>
    <w:rsid w:val="00DA0CE2"/>
    <w:rsid w:val="00DA222B"/>
    <w:rsid w:val="00DA2387"/>
    <w:rsid w:val="00DA4BCA"/>
    <w:rsid w:val="00DB62DD"/>
    <w:rsid w:val="00DB6E60"/>
    <w:rsid w:val="00DB7F3B"/>
    <w:rsid w:val="00DC07D6"/>
    <w:rsid w:val="00DC2877"/>
    <w:rsid w:val="00DC2B9B"/>
    <w:rsid w:val="00DC4F8A"/>
    <w:rsid w:val="00DC521B"/>
    <w:rsid w:val="00DC561D"/>
    <w:rsid w:val="00DC6196"/>
    <w:rsid w:val="00DC636D"/>
    <w:rsid w:val="00DC6A10"/>
    <w:rsid w:val="00DC7A50"/>
    <w:rsid w:val="00DD192B"/>
    <w:rsid w:val="00DD28FD"/>
    <w:rsid w:val="00DD2FF2"/>
    <w:rsid w:val="00DD32BB"/>
    <w:rsid w:val="00DD3444"/>
    <w:rsid w:val="00DD3B9F"/>
    <w:rsid w:val="00DD3E31"/>
    <w:rsid w:val="00DE0106"/>
    <w:rsid w:val="00DE0A64"/>
    <w:rsid w:val="00DE4286"/>
    <w:rsid w:val="00DE4AD9"/>
    <w:rsid w:val="00DE589C"/>
    <w:rsid w:val="00DE657E"/>
    <w:rsid w:val="00DE6850"/>
    <w:rsid w:val="00DE6E58"/>
    <w:rsid w:val="00DF19E9"/>
    <w:rsid w:val="00DF26D7"/>
    <w:rsid w:val="00DF3C6E"/>
    <w:rsid w:val="00DF4704"/>
    <w:rsid w:val="00DF48A0"/>
    <w:rsid w:val="00E01ED5"/>
    <w:rsid w:val="00E01F5A"/>
    <w:rsid w:val="00E024AA"/>
    <w:rsid w:val="00E02960"/>
    <w:rsid w:val="00E02A64"/>
    <w:rsid w:val="00E02B33"/>
    <w:rsid w:val="00E03100"/>
    <w:rsid w:val="00E06739"/>
    <w:rsid w:val="00E06FCA"/>
    <w:rsid w:val="00E0725B"/>
    <w:rsid w:val="00E072D9"/>
    <w:rsid w:val="00E103CE"/>
    <w:rsid w:val="00E11385"/>
    <w:rsid w:val="00E13F9A"/>
    <w:rsid w:val="00E140D7"/>
    <w:rsid w:val="00E14B1B"/>
    <w:rsid w:val="00E15C77"/>
    <w:rsid w:val="00E15FCA"/>
    <w:rsid w:val="00E16882"/>
    <w:rsid w:val="00E1693E"/>
    <w:rsid w:val="00E16A9B"/>
    <w:rsid w:val="00E201D2"/>
    <w:rsid w:val="00E2184F"/>
    <w:rsid w:val="00E22614"/>
    <w:rsid w:val="00E22AE1"/>
    <w:rsid w:val="00E24E3F"/>
    <w:rsid w:val="00E250F1"/>
    <w:rsid w:val="00E2524B"/>
    <w:rsid w:val="00E25A51"/>
    <w:rsid w:val="00E26BD1"/>
    <w:rsid w:val="00E304ED"/>
    <w:rsid w:val="00E32EE3"/>
    <w:rsid w:val="00E33422"/>
    <w:rsid w:val="00E33CEC"/>
    <w:rsid w:val="00E35155"/>
    <w:rsid w:val="00E35170"/>
    <w:rsid w:val="00E3550D"/>
    <w:rsid w:val="00E3730D"/>
    <w:rsid w:val="00E404A1"/>
    <w:rsid w:val="00E417B4"/>
    <w:rsid w:val="00E42C8B"/>
    <w:rsid w:val="00E440E8"/>
    <w:rsid w:val="00E455D9"/>
    <w:rsid w:val="00E45940"/>
    <w:rsid w:val="00E52838"/>
    <w:rsid w:val="00E53D3A"/>
    <w:rsid w:val="00E57087"/>
    <w:rsid w:val="00E5713A"/>
    <w:rsid w:val="00E5754F"/>
    <w:rsid w:val="00E60A01"/>
    <w:rsid w:val="00E60BB5"/>
    <w:rsid w:val="00E614E0"/>
    <w:rsid w:val="00E65C6B"/>
    <w:rsid w:val="00E65DFA"/>
    <w:rsid w:val="00E70154"/>
    <w:rsid w:val="00E7025F"/>
    <w:rsid w:val="00E7181A"/>
    <w:rsid w:val="00E73F7F"/>
    <w:rsid w:val="00E743C4"/>
    <w:rsid w:val="00E753C6"/>
    <w:rsid w:val="00E753E8"/>
    <w:rsid w:val="00E757FF"/>
    <w:rsid w:val="00E76ABD"/>
    <w:rsid w:val="00E811A7"/>
    <w:rsid w:val="00E84DC3"/>
    <w:rsid w:val="00E85409"/>
    <w:rsid w:val="00E86928"/>
    <w:rsid w:val="00E91712"/>
    <w:rsid w:val="00E9339B"/>
    <w:rsid w:val="00E97ADF"/>
    <w:rsid w:val="00EA1817"/>
    <w:rsid w:val="00EA2052"/>
    <w:rsid w:val="00EA220E"/>
    <w:rsid w:val="00EA429F"/>
    <w:rsid w:val="00EA4F9E"/>
    <w:rsid w:val="00EA5366"/>
    <w:rsid w:val="00EA63CA"/>
    <w:rsid w:val="00EA6D3B"/>
    <w:rsid w:val="00EA7A29"/>
    <w:rsid w:val="00EA7FC2"/>
    <w:rsid w:val="00EB00AD"/>
    <w:rsid w:val="00EB0D32"/>
    <w:rsid w:val="00EB136C"/>
    <w:rsid w:val="00EB17C3"/>
    <w:rsid w:val="00EB1E8D"/>
    <w:rsid w:val="00EB31CD"/>
    <w:rsid w:val="00EB480E"/>
    <w:rsid w:val="00EB4E6C"/>
    <w:rsid w:val="00EB4EBD"/>
    <w:rsid w:val="00EB5EC6"/>
    <w:rsid w:val="00EB5F41"/>
    <w:rsid w:val="00EB66A4"/>
    <w:rsid w:val="00EB6BAD"/>
    <w:rsid w:val="00EB7FC9"/>
    <w:rsid w:val="00EC1ABD"/>
    <w:rsid w:val="00EC2FD6"/>
    <w:rsid w:val="00EC5146"/>
    <w:rsid w:val="00EC5B8C"/>
    <w:rsid w:val="00EC5D7A"/>
    <w:rsid w:val="00EC6025"/>
    <w:rsid w:val="00EC682D"/>
    <w:rsid w:val="00ED0FE4"/>
    <w:rsid w:val="00ED27E8"/>
    <w:rsid w:val="00ED4604"/>
    <w:rsid w:val="00ED4D52"/>
    <w:rsid w:val="00ED5772"/>
    <w:rsid w:val="00ED65A3"/>
    <w:rsid w:val="00ED7137"/>
    <w:rsid w:val="00ED758B"/>
    <w:rsid w:val="00ED7A2E"/>
    <w:rsid w:val="00ED7F16"/>
    <w:rsid w:val="00EE2FA2"/>
    <w:rsid w:val="00EE3762"/>
    <w:rsid w:val="00EE3A14"/>
    <w:rsid w:val="00EE5744"/>
    <w:rsid w:val="00EE62EB"/>
    <w:rsid w:val="00EE73B1"/>
    <w:rsid w:val="00EE7E63"/>
    <w:rsid w:val="00EF05BF"/>
    <w:rsid w:val="00EF06EA"/>
    <w:rsid w:val="00EF21FB"/>
    <w:rsid w:val="00EF37E5"/>
    <w:rsid w:val="00EF3D91"/>
    <w:rsid w:val="00F0034E"/>
    <w:rsid w:val="00F01798"/>
    <w:rsid w:val="00F02A1A"/>
    <w:rsid w:val="00F02CB2"/>
    <w:rsid w:val="00F03635"/>
    <w:rsid w:val="00F04904"/>
    <w:rsid w:val="00F064B3"/>
    <w:rsid w:val="00F07604"/>
    <w:rsid w:val="00F10333"/>
    <w:rsid w:val="00F10452"/>
    <w:rsid w:val="00F1273B"/>
    <w:rsid w:val="00F1527E"/>
    <w:rsid w:val="00F165B4"/>
    <w:rsid w:val="00F17FB4"/>
    <w:rsid w:val="00F205C9"/>
    <w:rsid w:val="00F21088"/>
    <w:rsid w:val="00F21354"/>
    <w:rsid w:val="00F219C0"/>
    <w:rsid w:val="00F21ACD"/>
    <w:rsid w:val="00F249D7"/>
    <w:rsid w:val="00F25CAD"/>
    <w:rsid w:val="00F26491"/>
    <w:rsid w:val="00F26C92"/>
    <w:rsid w:val="00F27909"/>
    <w:rsid w:val="00F30178"/>
    <w:rsid w:val="00F3031A"/>
    <w:rsid w:val="00F31148"/>
    <w:rsid w:val="00F313F2"/>
    <w:rsid w:val="00F326BF"/>
    <w:rsid w:val="00F327E7"/>
    <w:rsid w:val="00F345C8"/>
    <w:rsid w:val="00F34D65"/>
    <w:rsid w:val="00F35746"/>
    <w:rsid w:val="00F3651E"/>
    <w:rsid w:val="00F378C3"/>
    <w:rsid w:val="00F43680"/>
    <w:rsid w:val="00F447C7"/>
    <w:rsid w:val="00F4562F"/>
    <w:rsid w:val="00F45773"/>
    <w:rsid w:val="00F459B4"/>
    <w:rsid w:val="00F45A38"/>
    <w:rsid w:val="00F45C02"/>
    <w:rsid w:val="00F47BDE"/>
    <w:rsid w:val="00F5211B"/>
    <w:rsid w:val="00F52227"/>
    <w:rsid w:val="00F53374"/>
    <w:rsid w:val="00F53A78"/>
    <w:rsid w:val="00F53B12"/>
    <w:rsid w:val="00F554A9"/>
    <w:rsid w:val="00F56A3E"/>
    <w:rsid w:val="00F56E1D"/>
    <w:rsid w:val="00F573D1"/>
    <w:rsid w:val="00F6404A"/>
    <w:rsid w:val="00F646D1"/>
    <w:rsid w:val="00F653FD"/>
    <w:rsid w:val="00F65492"/>
    <w:rsid w:val="00F65FA4"/>
    <w:rsid w:val="00F66E93"/>
    <w:rsid w:val="00F70F1B"/>
    <w:rsid w:val="00F710D2"/>
    <w:rsid w:val="00F71519"/>
    <w:rsid w:val="00F716FD"/>
    <w:rsid w:val="00F71812"/>
    <w:rsid w:val="00F73F82"/>
    <w:rsid w:val="00F742D4"/>
    <w:rsid w:val="00F7435E"/>
    <w:rsid w:val="00F7503B"/>
    <w:rsid w:val="00F75254"/>
    <w:rsid w:val="00F75C4B"/>
    <w:rsid w:val="00F75E15"/>
    <w:rsid w:val="00F77397"/>
    <w:rsid w:val="00F80355"/>
    <w:rsid w:val="00F83214"/>
    <w:rsid w:val="00F8733D"/>
    <w:rsid w:val="00F873D1"/>
    <w:rsid w:val="00F873E0"/>
    <w:rsid w:val="00F87487"/>
    <w:rsid w:val="00F87C43"/>
    <w:rsid w:val="00F901EC"/>
    <w:rsid w:val="00F9054E"/>
    <w:rsid w:val="00F9166F"/>
    <w:rsid w:val="00F92A95"/>
    <w:rsid w:val="00F93AF6"/>
    <w:rsid w:val="00F94052"/>
    <w:rsid w:val="00F940F6"/>
    <w:rsid w:val="00F94AC6"/>
    <w:rsid w:val="00F95FA5"/>
    <w:rsid w:val="00F9712F"/>
    <w:rsid w:val="00FA0460"/>
    <w:rsid w:val="00FA0E78"/>
    <w:rsid w:val="00FA26CD"/>
    <w:rsid w:val="00FA2896"/>
    <w:rsid w:val="00FA2D0C"/>
    <w:rsid w:val="00FA2DE4"/>
    <w:rsid w:val="00FA5722"/>
    <w:rsid w:val="00FA7A26"/>
    <w:rsid w:val="00FA7C67"/>
    <w:rsid w:val="00FB0C81"/>
    <w:rsid w:val="00FB1184"/>
    <w:rsid w:val="00FB2706"/>
    <w:rsid w:val="00FB3964"/>
    <w:rsid w:val="00FB39AB"/>
    <w:rsid w:val="00FB3F0A"/>
    <w:rsid w:val="00FB4160"/>
    <w:rsid w:val="00FB4188"/>
    <w:rsid w:val="00FB58F8"/>
    <w:rsid w:val="00FB6852"/>
    <w:rsid w:val="00FB73CA"/>
    <w:rsid w:val="00FC0A65"/>
    <w:rsid w:val="00FC1252"/>
    <w:rsid w:val="00FC1487"/>
    <w:rsid w:val="00FC1726"/>
    <w:rsid w:val="00FC2200"/>
    <w:rsid w:val="00FC2540"/>
    <w:rsid w:val="00FC29D6"/>
    <w:rsid w:val="00FC307F"/>
    <w:rsid w:val="00FC4680"/>
    <w:rsid w:val="00FC4D76"/>
    <w:rsid w:val="00FC4F2F"/>
    <w:rsid w:val="00FC572E"/>
    <w:rsid w:val="00FC5919"/>
    <w:rsid w:val="00FC69FF"/>
    <w:rsid w:val="00FC6DA5"/>
    <w:rsid w:val="00FC7182"/>
    <w:rsid w:val="00FD3131"/>
    <w:rsid w:val="00FD3268"/>
    <w:rsid w:val="00FD395B"/>
    <w:rsid w:val="00FE08A1"/>
    <w:rsid w:val="00FE0D37"/>
    <w:rsid w:val="00FE1572"/>
    <w:rsid w:val="00FE3F45"/>
    <w:rsid w:val="00FE436E"/>
    <w:rsid w:val="00FE5055"/>
    <w:rsid w:val="00FE6B05"/>
    <w:rsid w:val="00FE7D26"/>
    <w:rsid w:val="00FF0204"/>
    <w:rsid w:val="00FF0669"/>
    <w:rsid w:val="00FF180A"/>
    <w:rsid w:val="00FF2427"/>
    <w:rsid w:val="00FF2BAB"/>
    <w:rsid w:val="00FF3AED"/>
    <w:rsid w:val="00FF4125"/>
    <w:rsid w:val="00FF6AC0"/>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14F359A"/>
  <w15:docId w15:val="{053D2ADD-8DA7-4702-B263-06231A53F9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标题 41,He=ding 41,标 题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ußnot"/>
    <w:basedOn w:val="Normal"/>
    <w:link w:val="FootnoteTextChar"/>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ußnot Char"/>
    <w:basedOn w:val="DefaultParagraphFont"/>
    <w:link w:val="FootnoteText"/>
    <w:qFormat/>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iPriority w:val="99"/>
    <w:unhideWhenUsed/>
    <w:qFormat/>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paragraph" w:styleId="ListParagraph">
    <w:name w:val="List Paragraph"/>
    <w:aliases w:val="列出段落YUAN,List Paragraph (numbered (a)) Char,List Paragraph Char Char Char,List Paragraph (numbered (a)),Use Case List Paragraph,List Paragraph2,Numbered List Paragraph,Main numbered paragraph,Bullet paras,ANNEX,NORMAL,Bullets,Heading,b1,l"/>
    <w:basedOn w:val="Normal"/>
    <w:link w:val="ListParagraphChar"/>
    <w:qFormat/>
    <w:rsid w:val="00563DA8"/>
    <w:pPr>
      <w:ind w:left="720"/>
      <w:contextualSpacing/>
    </w:pPr>
    <w:rPr>
      <w:lang w:val="en-GB"/>
    </w:rPr>
  </w:style>
  <w:style w:type="character" w:customStyle="1" w:styleId="ListParagraphChar">
    <w:name w:val="List Paragraph Char"/>
    <w:aliases w:val="列出段落YUAN Char,List Paragraph (numbered (a)) Char Char,List Paragraph Char Char Char Char,List Paragraph (numbered (a)) Char1,Use Case List Paragraph Char,List Paragraph2 Char,Numbered List Paragraph Char,Main numbered paragraph Char"/>
    <w:basedOn w:val="DefaultParagraphFont"/>
    <w:link w:val="ListParagraph"/>
    <w:uiPriority w:val="34"/>
    <w:qFormat/>
    <w:locked/>
    <w:rsid w:val="00563DA8"/>
    <w:rPr>
      <w:sz w:val="22"/>
      <w:szCs w:val="22"/>
      <w:lang w:val="en-GB"/>
    </w:rPr>
  </w:style>
  <w:style w:type="paragraph" w:customStyle="1" w:styleId="Default">
    <w:name w:val="Default"/>
    <w:rsid w:val="00563DA8"/>
    <w:pPr>
      <w:widowControl w:val="0"/>
      <w:autoSpaceDE w:val="0"/>
      <w:autoSpaceDN w:val="0"/>
      <w:adjustRightInd w:val="0"/>
    </w:pPr>
    <w:rPr>
      <w:color w:val="000000"/>
      <w:sz w:val="24"/>
      <w:szCs w:val="24"/>
    </w:rPr>
  </w:style>
  <w:style w:type="table" w:customStyle="1" w:styleId="TableGrid10">
    <w:name w:val="Table Grid1"/>
    <w:basedOn w:val="TableNormal"/>
    <w:next w:val="TableGrid"/>
    <w:uiPriority w:val="59"/>
    <w:rsid w:val="00563DA8"/>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563DA8"/>
    <w:rPr>
      <w:sz w:val="22"/>
      <w:szCs w:val="22"/>
      <w:lang w:val="en-GB"/>
    </w:rPr>
  </w:style>
  <w:style w:type="paragraph" w:styleId="NormalWeb">
    <w:name w:val="Normal (Web)"/>
    <w:basedOn w:val="Normal"/>
    <w:uiPriority w:val="99"/>
    <w:semiHidden/>
    <w:unhideWhenUsed/>
    <w:rsid w:val="00563DA8"/>
    <w:pPr>
      <w:jc w:val="left"/>
    </w:pPr>
    <w:rPr>
      <w:rFonts w:eastAsiaTheme="minorHAnsi"/>
      <w:sz w:val="24"/>
      <w:szCs w:val="24"/>
      <w:lang w:val="en-US"/>
    </w:rPr>
  </w:style>
  <w:style w:type="paragraph" w:styleId="EndnoteText">
    <w:name w:val="endnote text"/>
    <w:basedOn w:val="Normal"/>
    <w:link w:val="EndnoteTextChar"/>
    <w:uiPriority w:val="99"/>
    <w:semiHidden/>
    <w:unhideWhenUsed/>
    <w:rsid w:val="00563DA8"/>
    <w:rPr>
      <w:sz w:val="20"/>
      <w:szCs w:val="20"/>
      <w:lang w:val="en-GB"/>
    </w:rPr>
  </w:style>
  <w:style w:type="character" w:customStyle="1" w:styleId="EndnoteTextChar">
    <w:name w:val="Endnote Text Char"/>
    <w:basedOn w:val="DefaultParagraphFont"/>
    <w:link w:val="EndnoteText"/>
    <w:uiPriority w:val="99"/>
    <w:semiHidden/>
    <w:rsid w:val="00563DA8"/>
    <w:rPr>
      <w:lang w:val="en-GB"/>
    </w:rPr>
  </w:style>
  <w:style w:type="character" w:styleId="EndnoteReference">
    <w:name w:val="endnote reference"/>
    <w:basedOn w:val="DefaultParagraphFont"/>
    <w:uiPriority w:val="99"/>
    <w:semiHidden/>
    <w:unhideWhenUsed/>
    <w:rsid w:val="00563DA8"/>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563DA8"/>
    <w:rPr>
      <w:sz w:val="22"/>
      <w:szCs w:val="22"/>
      <w:lang w:val="en-CA"/>
    </w:rPr>
  </w:style>
  <w:style w:type="paragraph" w:customStyle="1" w:styleId="p1">
    <w:name w:val="p1"/>
    <w:basedOn w:val="Normal"/>
    <w:rsid w:val="00E16A9B"/>
    <w:pPr>
      <w:spacing w:before="100" w:beforeAutospacing="1" w:after="100" w:afterAutospacing="1"/>
      <w:jc w:val="left"/>
    </w:pPr>
    <w:rPr>
      <w:sz w:val="24"/>
      <w:szCs w:val="24"/>
      <w:lang w:eastAsia="zh-CN"/>
    </w:rPr>
  </w:style>
  <w:style w:type="character" w:customStyle="1" w:styleId="s1">
    <w:name w:val="s1"/>
    <w:basedOn w:val="DefaultParagraphFont"/>
    <w:rsid w:val="00DD2FF2"/>
  </w:style>
  <w:style w:type="paragraph" w:customStyle="1" w:styleId="p3">
    <w:name w:val="p3"/>
    <w:basedOn w:val="Normal"/>
    <w:rsid w:val="00AC3F18"/>
    <w:pPr>
      <w:spacing w:before="100" w:beforeAutospacing="1" w:after="100" w:afterAutospacing="1"/>
      <w:jc w:val="left"/>
    </w:pPr>
    <w:rPr>
      <w:sz w:val="24"/>
      <w:szCs w:val="24"/>
      <w:lang w:eastAsia="zh-CN"/>
    </w:rPr>
  </w:style>
  <w:style w:type="character" w:customStyle="1" w:styleId="cf01">
    <w:name w:val="cf01"/>
    <w:basedOn w:val="DefaultParagraphFont"/>
    <w:rsid w:val="005463E0"/>
    <w:rPr>
      <w:rFonts w:ascii="Segoe UI" w:hAnsi="Segoe UI" w:cs="Segoe UI" w:hint="default"/>
      <w:sz w:val="18"/>
      <w:szCs w:val="18"/>
    </w:rPr>
  </w:style>
  <w:style w:type="paragraph" w:customStyle="1" w:styleId="p2">
    <w:name w:val="p2"/>
    <w:basedOn w:val="Normal"/>
    <w:rsid w:val="005463E0"/>
    <w:pPr>
      <w:spacing w:before="100" w:beforeAutospacing="1" w:after="100" w:afterAutospacing="1"/>
      <w:jc w:val="left"/>
    </w:pPr>
    <w:rPr>
      <w:sz w:val="24"/>
      <w:szCs w:val="24"/>
      <w:lang w:eastAsia="zh-CN"/>
    </w:rPr>
  </w:style>
  <w:style w:type="paragraph" w:customStyle="1" w:styleId="font-claude-response-body">
    <w:name w:val="font-claude-response-body"/>
    <w:basedOn w:val="Normal"/>
    <w:rsid w:val="00B71C4A"/>
    <w:pPr>
      <w:spacing w:before="100" w:beforeAutospacing="1" w:after="100" w:afterAutospacing="1"/>
      <w:jc w:val="left"/>
    </w:pPr>
    <w:rPr>
      <w:sz w:val="24"/>
      <w:szCs w:val="24"/>
      <w:lang w:val="en-029" w:eastAsia="zh-CN"/>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2D2ED7"/>
    <w:pPr>
      <w:spacing w:after="160" w:line="240" w:lineRule="exact"/>
    </w:pPr>
    <w:rPr>
      <w:sz w:val="20"/>
      <w:szCs w:val="20"/>
      <w:vertAlign w:val="superscript"/>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898516818">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footer" Target="footer6.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eader" Target="header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7" ma:contentTypeDescription="Create a new document." ma:contentTypeScope="" ma:versionID="1f027ecfec9634dc720f040c2427a9af">
  <xsd:schema xmlns:xsd="http://www.w3.org/2001/XMLSchema" xmlns:xs="http://www.w3.org/2001/XMLSchema" xmlns:p="http://schemas.microsoft.com/office/2006/metadata/properties" xmlns:ns1="http://schemas.microsoft.com/sharepoint/v3" xmlns:ns2="b93c647f-d63b-431a-95c8-8e00048cff23" xmlns:ns3="eb6c2e4c-3f1c-4103-a37b-37c984dbe58f" targetNamespace="http://schemas.microsoft.com/office/2006/metadata/properties" ma:root="true" ma:fieldsID="712025cbba6f4e5f1826e577f3ddda2d" ns1:_="" ns2:_="" ns3:_="">
    <xsd:import namespace="http://schemas.microsoft.com/sharepoint/v3"/>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2.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eb6c2e4c-3f1c-4103-a37b-37c984dbe58f"/>
    <ds:schemaRef ds:uri="b93c647f-d63b-431a-95c8-8e00048cff23"/>
    <ds:schemaRef ds:uri="http://schemas.microsoft.com/sharepoint/v3"/>
  </ds:schemaRefs>
</ds:datastoreItem>
</file>

<file path=customXml/itemProps3.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4.xml><?xml version="1.0" encoding="utf-8"?>
<ds:datastoreItem xmlns:ds="http://schemas.openxmlformats.org/officeDocument/2006/customXml" ds:itemID="{ABB66E7B-7746-4513-B5D8-BBCD6E8DFE2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Template>
  <TotalTime>8</TotalTime>
  <Pages>30</Pages>
  <Words>13013</Words>
  <Characters>74180</Characters>
  <Application>Microsoft Office Word</Application>
  <DocSecurity>0</DocSecurity>
  <Lines>618</Lines>
  <Paragraphs>174</Paragraphs>
  <ScaleCrop>false</ScaleCrop>
  <HeadingPairs>
    <vt:vector size="2" baseType="variant">
      <vt:variant>
        <vt:lpstr>Title</vt:lpstr>
      </vt:variant>
      <vt:variant>
        <vt:i4>1</vt:i4>
      </vt:variant>
    </vt:vector>
  </HeadingPairs>
  <TitlesOfParts>
    <vt:vector size="1" baseType="lpstr">
      <vt:lpstr>Project proposal: Saint Kitts and Nevis</vt:lpstr>
    </vt:vector>
  </TitlesOfParts>
  <Company>UNMFS</Company>
  <LinksUpToDate>false</LinksUpToDate>
  <CharactersWithSpaces>87019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Saint Kitts and Nevis</dc:title>
  <dc:creator>RSR KM</dc:creator>
  <cp:keywords>98th ExCom, docId:34885999DC45DD23EF99B8D99A2F15D7</cp:keywords>
  <dc:description>HPMP stage request template + Agreement annex</dc:description>
  <cp:lastModifiedBy>Angela Xue He Yan</cp:lastModifiedBy>
  <cp:revision>8</cp:revision>
  <cp:lastPrinted>2001-05-26T16:40:00Z</cp:lastPrinted>
  <dcterms:created xsi:type="dcterms:W3CDTF">2026-06-09T21:15:00Z</dcterms:created>
  <dcterms:modified xsi:type="dcterms:W3CDTF">2026-06-11T18:33:00Z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UNEP/OzL.Pro/ExCom/98/46</vt:lpwstr>
  </property>
  <property fmtid="{D5CDD505-2E9C-101B-9397-08002B2CF9AE}" pid="3" name="Revision date">
    <vt:lpwstr>05/31/2026</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y fmtid="{D5CDD505-2E9C-101B-9397-08002B2CF9AE}" pid="7" name="GrammarlyDocumentId">
    <vt:lpwstr>5889824c-a96f-4f0c-a252-442be4a296d9</vt:lpwstr>
  </property>
</Properties>
</file>