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DC202C">
        <w:trPr>
          <w:trHeight w:val="720"/>
        </w:trPr>
        <w:tc>
          <w:tcPr>
            <w:tcW w:w="5490" w:type="dxa"/>
            <w:gridSpan w:val="2"/>
            <w:tcBorders>
              <w:bottom w:val="single" w:sz="18" w:space="0" w:color="auto"/>
            </w:tcBorders>
          </w:tcPr>
          <w:p w:rsidR="00C15867" w:rsidRPr="0000434E" w:rsidRDefault="00C15867" w:rsidP="00506B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506B9C">
            <w:pPr>
              <w:jc w:val="right"/>
              <w:rPr>
                <w:sz w:val="52"/>
                <w:szCs w:val="52"/>
              </w:rPr>
            </w:pPr>
            <w:r>
              <w:rPr>
                <w:rFonts w:ascii="Univers Bold" w:hAnsi="Univers Bold"/>
                <w:b/>
                <w:sz w:val="72"/>
              </w:rPr>
              <w:t>EP</w:t>
            </w:r>
          </w:p>
        </w:tc>
      </w:tr>
      <w:tr w:rsidR="00C15867" w:rsidTr="00DC20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506B9C">
            <w:pPr>
              <w:spacing w:before="120"/>
            </w:pPr>
            <w:r>
              <w:rPr>
                <w:noProof/>
                <w:lang w:val="en-US"/>
              </w:rPr>
              <w:drawing>
                <wp:anchor distT="0" distB="0" distL="114300" distR="114300" simplePos="0" relativeHeight="251660288" behindDoc="0" locked="0" layoutInCell="1" allowOverlap="1" wp14:anchorId="61F8DE0C" wp14:editId="236B626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1312" behindDoc="1" locked="0" layoutInCell="0" allowOverlap="1" wp14:anchorId="69A9EBEB" wp14:editId="36CC778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506B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506B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506B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506B9C">
            <w:pPr>
              <w:spacing w:before="720"/>
              <w:ind w:left="158"/>
            </w:pPr>
          </w:p>
        </w:tc>
        <w:tc>
          <w:tcPr>
            <w:tcW w:w="4590" w:type="dxa"/>
            <w:tcBorders>
              <w:top w:val="nil"/>
              <w:left w:val="nil"/>
              <w:bottom w:val="single" w:sz="36" w:space="0" w:color="auto"/>
              <w:right w:val="nil"/>
            </w:tcBorders>
          </w:tcPr>
          <w:p w:rsidR="00C15867" w:rsidRPr="0033525D" w:rsidRDefault="00C15867" w:rsidP="00506B9C">
            <w:r w:rsidRPr="0033525D">
              <w:t>Distr.</w:t>
            </w:r>
          </w:p>
          <w:p w:rsidR="00923540" w:rsidRPr="0033525D" w:rsidRDefault="00923540" w:rsidP="00506B9C">
            <w:r w:rsidRPr="0033525D">
              <w:t>GENERAL</w:t>
            </w:r>
          </w:p>
          <w:p w:rsidR="00C15867" w:rsidRPr="0033525D" w:rsidRDefault="00C15867" w:rsidP="00506B9C"/>
          <w:p w:rsidR="00C15867" w:rsidRPr="003F73BA" w:rsidRDefault="00C15867" w:rsidP="00506B9C"/>
          <w:p w:rsidR="00C15867" w:rsidRPr="003F73BA" w:rsidRDefault="002D31CD" w:rsidP="00506B9C">
            <w:r>
              <w:fldChar w:fldCharType="begin"/>
            </w:r>
            <w:r>
              <w:instrText xml:space="preserve"> DOCPROPERTY "Document number"  \* MERGEFORMAT </w:instrText>
            </w:r>
            <w:r>
              <w:fldChar w:fldCharType="separate"/>
            </w:r>
            <w:r w:rsidR="00E40866">
              <w:t>UNEP/</w:t>
            </w:r>
            <w:proofErr w:type="spellStart"/>
            <w:r w:rsidR="00E40866">
              <w:t>OzL.Pro</w:t>
            </w:r>
            <w:proofErr w:type="spellEnd"/>
            <w:r w:rsidR="00E40866">
              <w:t>/</w:t>
            </w:r>
            <w:proofErr w:type="spellStart"/>
            <w:r w:rsidR="00E40866">
              <w:t>ExCom</w:t>
            </w:r>
            <w:proofErr w:type="spellEnd"/>
            <w:r w:rsidR="00E40866">
              <w:t>/80/56</w:t>
            </w:r>
            <w:r>
              <w:fldChar w:fldCharType="end"/>
            </w:r>
          </w:p>
          <w:p w:rsidR="00C15867" w:rsidRPr="003F73BA" w:rsidRDefault="00BC2495" w:rsidP="00506B9C">
            <w:r>
              <w:fldChar w:fldCharType="begin"/>
            </w:r>
            <w:r w:rsidR="00851352">
              <w:instrText xml:space="preserve"> DOCPROPERTY "Revision date" \@ "d MMMM YYYY"  \* MERGEFORMAT </w:instrText>
            </w:r>
            <w:r>
              <w:fldChar w:fldCharType="separate"/>
            </w:r>
            <w:r w:rsidR="00E40866">
              <w:t>13 October 2017</w:t>
            </w:r>
            <w:r>
              <w:fldChar w:fldCharType="end"/>
            </w:r>
          </w:p>
          <w:p w:rsidR="00C15867" w:rsidRPr="00000FED" w:rsidRDefault="00C15867" w:rsidP="00506B9C">
            <w:pPr>
              <w:rPr>
                <w:caps/>
              </w:rPr>
            </w:pPr>
          </w:p>
          <w:p w:rsidR="00C15867" w:rsidRDefault="00C15867" w:rsidP="00506B9C">
            <w:r w:rsidRPr="0033525D">
              <w:t>ORIGINAL: ENGLISH</w:t>
            </w:r>
          </w:p>
        </w:tc>
      </w:tr>
    </w:tbl>
    <w:p w:rsidR="00BF3022" w:rsidRPr="00612F2F" w:rsidRDefault="00C15867" w:rsidP="00506B9C">
      <w:pPr>
        <w:jc w:val="left"/>
      </w:pPr>
      <w:r w:rsidRPr="0033525D">
        <w:t>EXECUTIVE COMMITTEE OF</w:t>
      </w:r>
      <w:r w:rsidRPr="0033525D">
        <w:br/>
      </w:r>
      <w:r w:rsidR="003C00F5">
        <w:t xml:space="preserve"> </w:t>
      </w:r>
      <w:r w:rsidRPr="0033525D">
        <w:t>THE MULTILATERAL FUND FOR THE</w:t>
      </w:r>
      <w:r w:rsidRPr="0033525D">
        <w:br/>
      </w:r>
      <w:r w:rsidR="003C00F5">
        <w:t xml:space="preserve"> </w:t>
      </w:r>
      <w:r w:rsidRPr="0033525D">
        <w:t>IMPLEMENTATION OF THE MONTREAL PROTOCOL</w:t>
      </w:r>
      <w:r w:rsidRPr="0033525D">
        <w:br/>
      </w:r>
      <w:r w:rsidR="003B33BD">
        <w:rPr>
          <w:lang w:val="en-CA"/>
        </w:rPr>
        <w:t>Eightieth</w:t>
      </w:r>
      <w:r w:rsidR="00831979">
        <w:rPr>
          <w:lang w:val="en-CA"/>
        </w:rPr>
        <w:t xml:space="preserve"> </w:t>
      </w:r>
      <w:r w:rsidR="00BF3022">
        <w:t>Meeting</w:t>
      </w:r>
    </w:p>
    <w:p w:rsidR="009960E5" w:rsidRPr="006C39CE" w:rsidRDefault="003B33BD" w:rsidP="00506B9C">
      <w:pPr>
        <w:jc w:val="left"/>
        <w:rPr>
          <w:lang w:val="en-CA"/>
        </w:rPr>
      </w:pPr>
      <w:r>
        <w:rPr>
          <w:lang w:val="en-CA"/>
        </w:rPr>
        <w:t>Montreal</w:t>
      </w:r>
      <w:r w:rsidR="00BF3022" w:rsidRPr="00042E3E">
        <w:rPr>
          <w:lang w:val="en-CA"/>
        </w:rPr>
        <w:t xml:space="preserve">, </w:t>
      </w:r>
      <w:r>
        <w:t>13</w:t>
      </w:r>
      <w:r w:rsidR="009154C3">
        <w:t>-</w:t>
      </w:r>
      <w:r>
        <w:t>17 November 2017</w:t>
      </w:r>
    </w:p>
    <w:p w:rsidR="00C15867" w:rsidRPr="00765DE4" w:rsidRDefault="00C15867" w:rsidP="00506B9C">
      <w:pPr>
        <w:jc w:val="left"/>
        <w:rPr>
          <w:lang w:val="en-US"/>
        </w:rPr>
      </w:pPr>
    </w:p>
    <w:p w:rsidR="004E7F9C" w:rsidRDefault="004E7F9C" w:rsidP="00506B9C"/>
    <w:p w:rsidR="000A366E" w:rsidRDefault="000A366E" w:rsidP="00506B9C">
      <w:pPr>
        <w:jc w:val="center"/>
        <w:rPr>
          <w:b/>
          <w:lang w:val="en-CA"/>
        </w:rPr>
      </w:pPr>
    </w:p>
    <w:p w:rsidR="00506B9C" w:rsidRPr="00506B9C" w:rsidRDefault="00506B9C" w:rsidP="00506B9C">
      <w:pPr>
        <w:jc w:val="center"/>
        <w:rPr>
          <w:b/>
          <w:lang w:val="en-CA"/>
        </w:rPr>
      </w:pPr>
      <w:r w:rsidRPr="00506B9C">
        <w:rPr>
          <w:b/>
          <w:lang w:val="en-CA"/>
        </w:rPr>
        <w:t>KEY ASPECTS RELATED TO HFC-23 BY-PRODUCT CONTROL TECHNOLOGIES</w:t>
      </w:r>
      <w:r>
        <w:rPr>
          <w:b/>
          <w:lang w:val="en-CA"/>
        </w:rPr>
        <w:t>:</w:t>
      </w:r>
    </w:p>
    <w:p w:rsidR="00B75FDD" w:rsidRPr="00572436" w:rsidRDefault="0081196F" w:rsidP="00506B9C">
      <w:pPr>
        <w:jc w:val="center"/>
        <w:rPr>
          <w:b/>
          <w:lang w:val="en-CA"/>
        </w:rPr>
      </w:pPr>
      <w:r>
        <w:rPr>
          <w:b/>
          <w:lang w:val="en-CA"/>
        </w:rPr>
        <w:t>PRELIMINARY DATA TO CLOSE H</w:t>
      </w:r>
      <w:r w:rsidRPr="0081196F">
        <w:rPr>
          <w:b/>
          <w:lang w:val="en-CA"/>
        </w:rPr>
        <w:t>CFC-22</w:t>
      </w:r>
      <w:r>
        <w:rPr>
          <w:b/>
          <w:lang w:val="en-CA"/>
        </w:rPr>
        <w:t xml:space="preserve"> PRODUCTION SWING PLANTS</w:t>
      </w:r>
    </w:p>
    <w:p w:rsidR="00B75FDD" w:rsidRDefault="00B75FDD" w:rsidP="00506B9C">
      <w:pPr>
        <w:rPr>
          <w:lang w:val="en-CA"/>
        </w:rPr>
      </w:pPr>
    </w:p>
    <w:p w:rsidR="000A366E" w:rsidRPr="00506B9C" w:rsidRDefault="00506B9C" w:rsidP="00267A2A">
      <w:pPr>
        <w:rPr>
          <w:b/>
          <w:lang w:val="en-CA"/>
        </w:rPr>
      </w:pPr>
      <w:r w:rsidRPr="00506B9C">
        <w:rPr>
          <w:b/>
          <w:lang w:val="en-CA"/>
        </w:rPr>
        <w:t>Background</w:t>
      </w:r>
    </w:p>
    <w:p w:rsidR="00506B9C" w:rsidRDefault="00506B9C" w:rsidP="00267A2A">
      <w:pPr>
        <w:rPr>
          <w:lang w:val="en-CA"/>
        </w:rPr>
      </w:pPr>
    </w:p>
    <w:p w:rsidR="000218AD" w:rsidRPr="000218AD" w:rsidRDefault="00506B9C" w:rsidP="00267A2A">
      <w:pPr>
        <w:pStyle w:val="Heading1"/>
        <w:rPr>
          <w:lang w:val="en-CA"/>
        </w:rPr>
      </w:pPr>
      <w:r w:rsidRPr="000218AD">
        <w:rPr>
          <w:lang w:val="en-CA"/>
        </w:rPr>
        <w:t xml:space="preserve">At </w:t>
      </w:r>
      <w:r w:rsidR="003637F1" w:rsidRPr="000218AD">
        <w:rPr>
          <w:lang w:val="en-CA"/>
        </w:rPr>
        <w:t xml:space="preserve">the </w:t>
      </w:r>
      <w:r w:rsidRPr="000218AD">
        <w:rPr>
          <w:lang w:val="en-CA"/>
        </w:rPr>
        <w:t>79</w:t>
      </w:r>
      <w:r w:rsidRPr="000218AD">
        <w:rPr>
          <w:vertAlign w:val="superscript"/>
          <w:lang w:val="en-CA"/>
        </w:rPr>
        <w:t>th</w:t>
      </w:r>
      <w:r w:rsidRPr="000218AD">
        <w:rPr>
          <w:lang w:val="en-CA"/>
        </w:rPr>
        <w:t xml:space="preserve"> meeting, under agenda item 11(d), Matters related to the Kigali Amendment to the Montreal Protocol: key aspects related to HFC-23 by-product control technologies, the Executive Committee considered a document on Key aspects related to HFC-23 by-product control technologies</w:t>
      </w:r>
      <w:r w:rsidR="003637F1" w:rsidRPr="000218AD">
        <w:rPr>
          <w:lang w:val="en-CA"/>
        </w:rPr>
        <w:t>.</w:t>
      </w:r>
      <w:r>
        <w:rPr>
          <w:rStyle w:val="FootnoteReference"/>
          <w:lang w:val="en-CA"/>
        </w:rPr>
        <w:footnoteReference w:id="1"/>
      </w:r>
      <w:r w:rsidR="000218AD" w:rsidRPr="000218AD">
        <w:rPr>
          <w:lang w:val="en-CA"/>
        </w:rPr>
        <w:t xml:space="preserve"> The document presented </w:t>
      </w:r>
      <w:r w:rsidR="0066617F">
        <w:rPr>
          <w:lang w:val="en-CA"/>
        </w:rPr>
        <w:t xml:space="preserve">information provided in line with decisions 77/59(c) and 78/5(d) and from other sources, including </w:t>
      </w:r>
      <w:r w:rsidR="000218AD" w:rsidRPr="000218AD">
        <w:rPr>
          <w:lang w:val="en-CA"/>
        </w:rPr>
        <w:t xml:space="preserve">an analysis of data available under the </w:t>
      </w:r>
      <w:r w:rsidR="000218AD">
        <w:t>the Clean Development Mechanism (</w:t>
      </w:r>
      <w:r w:rsidR="000218AD" w:rsidRPr="000218AD">
        <w:rPr>
          <w:lang w:val="en-CA"/>
        </w:rPr>
        <w:t xml:space="preserve">CDM) on HFC-23 by-product destruction. </w:t>
      </w:r>
      <w:r w:rsidR="00120900">
        <w:rPr>
          <w:lang w:val="en-CA"/>
        </w:rPr>
        <w:t xml:space="preserve">A summary of the information contained in the above-mentioned document and relevant to the present </w:t>
      </w:r>
      <w:r w:rsidR="0081488F">
        <w:rPr>
          <w:lang w:val="en-CA"/>
        </w:rPr>
        <w:t>document</w:t>
      </w:r>
      <w:r w:rsidR="00120900">
        <w:rPr>
          <w:lang w:val="en-CA"/>
        </w:rPr>
        <w:t xml:space="preserve"> is contained in Annex I.</w:t>
      </w:r>
    </w:p>
    <w:p w:rsidR="003637F1" w:rsidRPr="00F37EBE" w:rsidRDefault="003637F1" w:rsidP="00267A2A">
      <w:pPr>
        <w:pStyle w:val="Heading1"/>
        <w:rPr>
          <w:lang w:val="en-CA"/>
        </w:rPr>
      </w:pPr>
      <w:r>
        <w:rPr>
          <w:lang w:val="en-CA"/>
        </w:rPr>
        <w:t>During the discussion</w:t>
      </w:r>
      <w:r w:rsidR="00120900">
        <w:rPr>
          <w:lang w:val="en-CA"/>
        </w:rPr>
        <w:t xml:space="preserve"> of the document at the 79</w:t>
      </w:r>
      <w:r w:rsidR="00120900" w:rsidRPr="00120900">
        <w:rPr>
          <w:vertAlign w:val="superscript"/>
          <w:lang w:val="en-CA"/>
        </w:rPr>
        <w:t>th</w:t>
      </w:r>
      <w:r w:rsidR="00120900">
        <w:rPr>
          <w:lang w:val="en-CA"/>
        </w:rPr>
        <w:t xml:space="preserve"> meeting</w:t>
      </w:r>
      <w:r w:rsidR="00D16B2F">
        <w:rPr>
          <w:lang w:val="en-CA"/>
        </w:rPr>
        <w:t>,</w:t>
      </w:r>
      <w:r>
        <w:rPr>
          <w:rStyle w:val="FootnoteReference"/>
          <w:lang w:val="en-CA"/>
        </w:rPr>
        <w:footnoteReference w:id="2"/>
      </w:r>
      <w:r>
        <w:rPr>
          <w:lang w:val="en-CA"/>
        </w:rPr>
        <w:t xml:space="preserve"> Executive Committee members </w:t>
      </w:r>
      <w:r w:rsidRPr="00F37EBE">
        <w:rPr>
          <w:lang w:val="en-CA"/>
        </w:rPr>
        <w:t xml:space="preserve">recognized that a number of challenges were faced when considering of HFC-23 by-product control technologies. </w:t>
      </w:r>
      <w:r>
        <w:rPr>
          <w:lang w:val="en-CA"/>
        </w:rPr>
        <w:t>It was noted t</w:t>
      </w:r>
      <w:r w:rsidRPr="00F37EBE">
        <w:rPr>
          <w:lang w:val="en-CA"/>
        </w:rPr>
        <w:t>he wide range of incremental operating costs reported by those countries that had provided data, owing to differences in the type of facility, the methods of destruction used, the life span of the facility, and whether destruction was possible on site or not. It was recognized that several countries had already made progress on the matter, and had put in place relevant policies and control measures</w:t>
      </w:r>
      <w:r>
        <w:rPr>
          <w:lang w:val="en-CA"/>
        </w:rPr>
        <w:t>; and i</w:t>
      </w:r>
      <w:r w:rsidRPr="00F37EBE">
        <w:rPr>
          <w:lang w:val="en-CA"/>
        </w:rPr>
        <w:t xml:space="preserve">t was </w:t>
      </w:r>
      <w:r>
        <w:rPr>
          <w:lang w:val="en-CA"/>
        </w:rPr>
        <w:t xml:space="preserve">also </w:t>
      </w:r>
      <w:r w:rsidRPr="00F37EBE">
        <w:rPr>
          <w:lang w:val="en-CA"/>
        </w:rPr>
        <w:t xml:space="preserve">necessary to be cautious to ensure that the application of particular funding modalities did not create perverse incentives that encouraged an increase in by-product output in order to generate additional phase-down financing. The need for a flexible approach was stressed, given the range of different circumstances at national and industry level. </w:t>
      </w:r>
      <w:r>
        <w:rPr>
          <w:lang w:val="en-CA"/>
        </w:rPr>
        <w:t>T</w:t>
      </w:r>
      <w:r w:rsidRPr="00F37EBE">
        <w:rPr>
          <w:lang w:val="en-CA"/>
        </w:rPr>
        <w:t>he importance of the cost-effectiveness of measures to deal with emissions of HFC-23 by-product</w:t>
      </w:r>
      <w:r>
        <w:rPr>
          <w:lang w:val="en-CA"/>
        </w:rPr>
        <w:t xml:space="preserve"> as well a</w:t>
      </w:r>
      <w:r w:rsidRPr="00F37EBE">
        <w:rPr>
          <w:lang w:val="en-CA"/>
        </w:rPr>
        <w:t xml:space="preserve"> consideration of climate benefits </w:t>
      </w:r>
      <w:r>
        <w:rPr>
          <w:lang w:val="en-CA"/>
        </w:rPr>
        <w:t xml:space="preserve">were </w:t>
      </w:r>
      <w:r w:rsidRPr="00F37EBE">
        <w:rPr>
          <w:lang w:val="en-CA"/>
        </w:rPr>
        <w:t>highlighted.</w:t>
      </w:r>
    </w:p>
    <w:p w:rsidR="003637F1" w:rsidRPr="00F37EBE" w:rsidRDefault="003637F1" w:rsidP="00267A2A">
      <w:pPr>
        <w:pStyle w:val="Heading1"/>
        <w:rPr>
          <w:lang w:val="en-CA"/>
        </w:rPr>
      </w:pPr>
      <w:r>
        <w:rPr>
          <w:lang w:val="en-CA"/>
        </w:rPr>
        <w:t>I</w:t>
      </w:r>
      <w:r w:rsidRPr="00F37EBE">
        <w:rPr>
          <w:lang w:val="en-CA"/>
        </w:rPr>
        <w:t xml:space="preserve">ssues related to the closure of HCFC-22 swing plants were discussed, including the provision of relevant funding support, and whether that should be approached from the viewpoint of compliance with control measures under the Kigali Amendment, or from the more specific viewpoint of cost-effectiveness. Other matters requiring further consideration included: the timing of HCFC-22 swing plant closures in </w:t>
      </w:r>
      <w:r w:rsidRPr="00F37EBE">
        <w:rPr>
          <w:lang w:val="en-CA"/>
        </w:rPr>
        <w:lastRenderedPageBreak/>
        <w:t>relat</w:t>
      </w:r>
      <w:r>
        <w:rPr>
          <w:lang w:val="en-CA"/>
        </w:rPr>
        <w:t>ion to control obligations of 1 January </w:t>
      </w:r>
      <w:r w:rsidRPr="00F37EBE">
        <w:rPr>
          <w:lang w:val="en-CA"/>
        </w:rPr>
        <w:t xml:space="preserve">2020; the basis for compensation for plant closure; and the timeframe for compensation. </w:t>
      </w:r>
    </w:p>
    <w:p w:rsidR="003637F1" w:rsidRPr="00F37EBE" w:rsidRDefault="003637F1" w:rsidP="00267A2A">
      <w:pPr>
        <w:pStyle w:val="Heading1"/>
        <w:rPr>
          <w:lang w:val="en-CA"/>
        </w:rPr>
      </w:pPr>
      <w:r w:rsidRPr="00F37EBE">
        <w:rPr>
          <w:lang w:val="en-CA"/>
        </w:rPr>
        <w:t xml:space="preserve">The modalities for contracting an independent consultant to undertake a desk study on the cost of HFC-23 destruction and estimation of the necessary budget were discussed, including the scope of the study, the related matter of when the study would be ready, and the cost. </w:t>
      </w:r>
    </w:p>
    <w:p w:rsidR="003637F1" w:rsidRPr="00F37EBE" w:rsidRDefault="003637F1" w:rsidP="00267A2A">
      <w:pPr>
        <w:pStyle w:val="Heading1"/>
        <w:rPr>
          <w:lang w:val="en-CA"/>
        </w:rPr>
      </w:pPr>
      <w:r w:rsidRPr="00F37EBE">
        <w:rPr>
          <w:lang w:val="en-CA"/>
        </w:rPr>
        <w:t xml:space="preserve">The Executive Committee </w:t>
      </w:r>
      <w:r w:rsidRPr="00D27E50">
        <w:rPr>
          <w:lang w:val="en-CA"/>
        </w:rPr>
        <w:t>agreed</w:t>
      </w:r>
      <w:r w:rsidRPr="00F37EBE">
        <w:rPr>
          <w:lang w:val="en-CA"/>
        </w:rPr>
        <w:t xml:space="preserve"> to establish a contact group to further discuss issues related to HFC-23 emission control, the possible scope of further investigation, and the possible terms of reference of and issues to be covered by a desk study. </w:t>
      </w:r>
    </w:p>
    <w:p w:rsidR="00120900" w:rsidRDefault="003637F1" w:rsidP="00267A2A">
      <w:pPr>
        <w:pStyle w:val="Heading1"/>
        <w:rPr>
          <w:lang w:val="en-CA"/>
        </w:rPr>
      </w:pPr>
      <w:r w:rsidRPr="005B008C">
        <w:rPr>
          <w:lang w:val="en-CA"/>
        </w:rPr>
        <w:t>Following the discussions, the Executive Committee decided</w:t>
      </w:r>
      <w:r w:rsidR="005B008C" w:rsidRPr="005B008C">
        <w:rPr>
          <w:lang w:val="en-CA"/>
        </w:rPr>
        <w:t xml:space="preserve"> </w:t>
      </w:r>
      <w:r w:rsidR="005B008C" w:rsidRPr="005B008C">
        <w:rPr>
          <w:i/>
          <w:lang w:val="en-CA"/>
        </w:rPr>
        <w:t xml:space="preserve">inter alia </w:t>
      </w:r>
      <w:r w:rsidR="005B008C" w:rsidRPr="005B008C">
        <w:t>t</w:t>
      </w:r>
      <w:r w:rsidR="00E40866">
        <w:rPr>
          <w:lang w:val="en-CA"/>
        </w:rPr>
        <w:t>o consider possible cost</w:t>
      </w:r>
      <w:r w:rsidR="00E40866">
        <w:rPr>
          <w:lang w:val="en-CA"/>
        </w:rPr>
        <w:noBreakHyphen/>
      </w:r>
      <w:r w:rsidRPr="005B008C">
        <w:rPr>
          <w:lang w:val="en-CA"/>
        </w:rPr>
        <w:t>effective options for compensation for HCFC-22 swing plants to al</w:t>
      </w:r>
      <w:r w:rsidR="00E40866">
        <w:rPr>
          <w:lang w:val="en-CA"/>
        </w:rPr>
        <w:t>low for compliance with the HFC</w:t>
      </w:r>
      <w:r w:rsidR="00E40866">
        <w:rPr>
          <w:lang w:val="en-CA"/>
        </w:rPr>
        <w:noBreakHyphen/>
      </w:r>
      <w:r w:rsidRPr="005B008C">
        <w:rPr>
          <w:lang w:val="en-CA"/>
        </w:rPr>
        <w:t>23 by-product control obligations of the Kigali Amendment;</w:t>
      </w:r>
      <w:r w:rsidR="005B008C" w:rsidRPr="005B008C">
        <w:rPr>
          <w:lang w:val="en-CA"/>
        </w:rPr>
        <w:t xml:space="preserve"> and </w:t>
      </w:r>
      <w:r w:rsidRPr="005B008C">
        <w:rPr>
          <w:lang w:val="en-CA"/>
        </w:rPr>
        <w:t>request</w:t>
      </w:r>
      <w:r w:rsidR="005B008C">
        <w:rPr>
          <w:lang w:val="en-CA"/>
        </w:rPr>
        <w:t>ed</w:t>
      </w:r>
      <w:r w:rsidRPr="005B008C">
        <w:rPr>
          <w:lang w:val="en-CA"/>
        </w:rPr>
        <w:t xml:space="preserve"> relevant governments of Article 5 countries wishing to close HCFC-22 production swing plants countries to submit preliminary data</w:t>
      </w:r>
      <w:r w:rsidR="005E4DAA">
        <w:rPr>
          <w:rStyle w:val="FootnoteReference"/>
          <w:lang w:val="en-CA"/>
        </w:rPr>
        <w:footnoteReference w:id="3"/>
      </w:r>
      <w:r w:rsidR="005B008C">
        <w:rPr>
          <w:lang w:val="en-CA"/>
        </w:rPr>
        <w:t xml:space="preserve"> to the </w:t>
      </w:r>
      <w:r w:rsidRPr="005B008C">
        <w:rPr>
          <w:lang w:val="en-CA"/>
        </w:rPr>
        <w:t>80</w:t>
      </w:r>
      <w:r w:rsidRPr="005B008C">
        <w:rPr>
          <w:vertAlign w:val="superscript"/>
          <w:lang w:val="en-CA"/>
        </w:rPr>
        <w:t xml:space="preserve">th </w:t>
      </w:r>
      <w:r w:rsidRPr="005B008C">
        <w:rPr>
          <w:lang w:val="en-CA"/>
        </w:rPr>
        <w:t>meeting</w:t>
      </w:r>
      <w:r w:rsidR="00E40866">
        <w:rPr>
          <w:lang w:val="en-CA"/>
        </w:rPr>
        <w:t xml:space="preserve"> (decision 79/47</w:t>
      </w:r>
      <w:r w:rsidR="005B008C">
        <w:rPr>
          <w:lang w:val="en-CA"/>
        </w:rPr>
        <w:t>(c) and (d)).</w:t>
      </w:r>
      <w:r w:rsidRPr="005B008C">
        <w:rPr>
          <w:lang w:val="en-CA"/>
        </w:rPr>
        <w:t xml:space="preserve"> </w:t>
      </w:r>
    </w:p>
    <w:p w:rsidR="00A61A57" w:rsidRPr="00A61A57" w:rsidRDefault="00A61A57" w:rsidP="00267A2A">
      <w:pPr>
        <w:rPr>
          <w:u w:val="single"/>
          <w:lang w:val="en-CA"/>
        </w:rPr>
      </w:pPr>
      <w:r w:rsidRPr="00A61A57">
        <w:rPr>
          <w:u w:val="single"/>
          <w:lang w:val="en-CA"/>
        </w:rPr>
        <w:t>Preliminary data submitted by Article 5 countries</w:t>
      </w:r>
    </w:p>
    <w:p w:rsidR="00A61A57" w:rsidRPr="00A61A57" w:rsidRDefault="00A61A57" w:rsidP="00267A2A">
      <w:pPr>
        <w:rPr>
          <w:lang w:val="en-CA"/>
        </w:rPr>
      </w:pPr>
    </w:p>
    <w:p w:rsidR="00120900" w:rsidRDefault="005E4DAA" w:rsidP="00267A2A">
      <w:pPr>
        <w:pStyle w:val="Heading1"/>
        <w:rPr>
          <w:lang w:val="en-CA"/>
        </w:rPr>
      </w:pPr>
      <w:r w:rsidRPr="00120900">
        <w:rPr>
          <w:lang w:val="en-CA"/>
        </w:rPr>
        <w:t xml:space="preserve">In response to decision 79/47(d), </w:t>
      </w:r>
      <w:r w:rsidR="00B87B9D" w:rsidRPr="00120900">
        <w:rPr>
          <w:lang w:val="en-CA"/>
        </w:rPr>
        <w:t xml:space="preserve">on 7 September </w:t>
      </w:r>
      <w:r w:rsidR="0052640E" w:rsidRPr="00120900">
        <w:rPr>
          <w:lang w:val="en-CA"/>
        </w:rPr>
        <w:t xml:space="preserve">2017 </w:t>
      </w:r>
      <w:r w:rsidRPr="00120900">
        <w:rPr>
          <w:lang w:val="en-CA"/>
        </w:rPr>
        <w:t xml:space="preserve">the Secretariat sent </w:t>
      </w:r>
      <w:r w:rsidR="00B87B9D" w:rsidRPr="00120900">
        <w:rPr>
          <w:lang w:val="en-CA"/>
        </w:rPr>
        <w:t xml:space="preserve">messages to the </w:t>
      </w:r>
      <w:r w:rsidRPr="00120900">
        <w:rPr>
          <w:lang w:val="en-CA"/>
        </w:rPr>
        <w:t>Governments of Argentina</w:t>
      </w:r>
      <w:r w:rsidR="00B87B9D" w:rsidRPr="00120900">
        <w:rPr>
          <w:lang w:val="en-CA"/>
        </w:rPr>
        <w:t xml:space="preserve">, India, Mexico and the Bolivarian Republic of Venezuela, </w:t>
      </w:r>
      <w:r w:rsidR="0052640E" w:rsidRPr="00120900">
        <w:rPr>
          <w:lang w:val="en-CA"/>
        </w:rPr>
        <w:t xml:space="preserve">requesting to submit preliminary data through an implementing agency if they </w:t>
      </w:r>
      <w:r w:rsidR="00B87B9D" w:rsidRPr="00120900">
        <w:rPr>
          <w:lang w:val="en-CA"/>
        </w:rPr>
        <w:t>wish</w:t>
      </w:r>
      <w:r w:rsidR="0052640E" w:rsidRPr="00120900">
        <w:rPr>
          <w:lang w:val="en-CA"/>
        </w:rPr>
        <w:t>ed</w:t>
      </w:r>
      <w:r w:rsidR="00B87B9D" w:rsidRPr="00120900">
        <w:rPr>
          <w:lang w:val="en-CA"/>
        </w:rPr>
        <w:t xml:space="preserve"> to close HCFC-22 production swing plants</w:t>
      </w:r>
      <w:r w:rsidR="00120900" w:rsidRPr="00120900">
        <w:rPr>
          <w:lang w:val="en-CA"/>
        </w:rPr>
        <w:t xml:space="preserve"> in their respective countries. Subsequently</w:t>
      </w:r>
      <w:r w:rsidR="00120900">
        <w:rPr>
          <w:lang w:val="en-CA"/>
        </w:rPr>
        <w:t>:</w:t>
      </w:r>
    </w:p>
    <w:p w:rsidR="00AF1E8E" w:rsidRPr="00120900" w:rsidRDefault="00120900" w:rsidP="00267A2A">
      <w:pPr>
        <w:pStyle w:val="Heading2"/>
        <w:rPr>
          <w:lang w:val="en-CA"/>
        </w:rPr>
      </w:pPr>
      <w:r>
        <w:rPr>
          <w:lang w:val="en-CA"/>
        </w:rPr>
        <w:t>O</w:t>
      </w:r>
      <w:r w:rsidR="00B87B9D" w:rsidRPr="00120900">
        <w:rPr>
          <w:lang w:val="en-CA"/>
        </w:rPr>
        <w:t>n 8 September 2017 the Government of Argentina</w:t>
      </w:r>
      <w:r w:rsidR="00E40866">
        <w:rPr>
          <w:lang w:val="en-CA"/>
        </w:rPr>
        <w:t>,</w:t>
      </w:r>
      <w:r w:rsidR="00B87B9D" w:rsidRPr="00120900">
        <w:rPr>
          <w:lang w:val="en-CA"/>
        </w:rPr>
        <w:t xml:space="preserve"> through the World Bank</w:t>
      </w:r>
      <w:r w:rsidR="00E40866">
        <w:rPr>
          <w:lang w:val="en-CA"/>
        </w:rPr>
        <w:t>,</w:t>
      </w:r>
      <w:r w:rsidR="00B87B9D" w:rsidRPr="00120900">
        <w:rPr>
          <w:lang w:val="en-CA"/>
        </w:rPr>
        <w:t xml:space="preserve"> submitted preliminary data on the HCFC-22 production swing plant </w:t>
      </w:r>
      <w:proofErr w:type="spellStart"/>
      <w:r w:rsidR="00B87B9D" w:rsidRPr="00120900">
        <w:rPr>
          <w:lang w:val="en-CA"/>
        </w:rPr>
        <w:t>Frio</w:t>
      </w:r>
      <w:proofErr w:type="spellEnd"/>
      <w:r w:rsidR="00B87B9D" w:rsidRPr="00120900">
        <w:rPr>
          <w:lang w:val="en-CA"/>
        </w:rPr>
        <w:t xml:space="preserve"> </w:t>
      </w:r>
      <w:proofErr w:type="spellStart"/>
      <w:r w:rsidR="00B87B9D" w:rsidRPr="00120900">
        <w:rPr>
          <w:lang w:val="en-CA"/>
        </w:rPr>
        <w:t>Industrias</w:t>
      </w:r>
      <w:proofErr w:type="spellEnd"/>
      <w:r w:rsidR="00B87B9D" w:rsidRPr="00120900">
        <w:rPr>
          <w:lang w:val="en-CA"/>
        </w:rPr>
        <w:t xml:space="preserve"> </w:t>
      </w:r>
      <w:proofErr w:type="spellStart"/>
      <w:r w:rsidR="00B87B9D" w:rsidRPr="00120900">
        <w:rPr>
          <w:lang w:val="en-CA"/>
        </w:rPr>
        <w:t>Argentinas</w:t>
      </w:r>
      <w:proofErr w:type="spellEnd"/>
      <w:r w:rsidR="00B87B9D" w:rsidRPr="00120900">
        <w:rPr>
          <w:lang w:val="en-CA"/>
        </w:rPr>
        <w:t xml:space="preserve"> (FIASA),</w:t>
      </w:r>
      <w:r w:rsidR="0052640E">
        <w:rPr>
          <w:rStyle w:val="FootnoteReference"/>
          <w:lang w:val="en-CA"/>
        </w:rPr>
        <w:footnoteReference w:id="4"/>
      </w:r>
      <w:r w:rsidR="00B87B9D" w:rsidRPr="00120900">
        <w:rPr>
          <w:lang w:val="en-CA"/>
        </w:rPr>
        <w:t xml:space="preserve"> in line with decision 79/47(d)</w:t>
      </w:r>
      <w:r>
        <w:rPr>
          <w:lang w:val="en-CA"/>
        </w:rPr>
        <w:t xml:space="preserve">; and </w:t>
      </w:r>
    </w:p>
    <w:p w:rsidR="00A61A57" w:rsidRDefault="00A61A57" w:rsidP="00267A2A">
      <w:pPr>
        <w:pStyle w:val="Heading2"/>
        <w:rPr>
          <w:lang w:val="en-CA"/>
        </w:rPr>
      </w:pPr>
      <w:r w:rsidRPr="00A61A57">
        <w:rPr>
          <w:lang w:val="en-CA"/>
        </w:rPr>
        <w:t>O</w:t>
      </w:r>
      <w:r w:rsidR="00B87B9D" w:rsidRPr="00A61A57">
        <w:rPr>
          <w:lang w:val="en-CA"/>
        </w:rPr>
        <w:t>n 29 September 2017 the Government of India, submitted data on the HCFC-22 production swing plants</w:t>
      </w:r>
      <w:r w:rsidR="003B7A6F">
        <w:rPr>
          <w:lang w:val="en-CA"/>
        </w:rPr>
        <w:t>,</w:t>
      </w:r>
      <w:r w:rsidR="004D5B55">
        <w:rPr>
          <w:rStyle w:val="FootnoteReference"/>
          <w:lang w:val="en-CA"/>
        </w:rPr>
        <w:footnoteReference w:id="5"/>
      </w:r>
      <w:r w:rsidR="00B87B9D" w:rsidRPr="00A61A57">
        <w:rPr>
          <w:lang w:val="en-CA"/>
        </w:rPr>
        <w:t xml:space="preserve"> without indicating the implementing agency that could assist the country</w:t>
      </w:r>
      <w:r w:rsidR="002E612B" w:rsidRPr="00A61A57">
        <w:rPr>
          <w:lang w:val="en-CA"/>
        </w:rPr>
        <w:t xml:space="preserve"> in presenting the preliminary data to the Executive Committee. In reviewing the preliminary data</w:t>
      </w:r>
      <w:r w:rsidR="004D5B55" w:rsidRPr="00A61A57">
        <w:rPr>
          <w:lang w:val="en-CA"/>
        </w:rPr>
        <w:t>,</w:t>
      </w:r>
      <w:r w:rsidR="002E612B" w:rsidRPr="00A61A57">
        <w:rPr>
          <w:lang w:val="en-CA"/>
        </w:rPr>
        <w:t xml:space="preserve"> the Secretariat noted that not all the information requested under decision 79/47(d) had been submitted</w:t>
      </w:r>
      <w:r w:rsidRPr="00A61A57">
        <w:rPr>
          <w:lang w:val="en-CA"/>
        </w:rPr>
        <w:t xml:space="preserve">, and </w:t>
      </w:r>
      <w:r w:rsidR="002E612B" w:rsidRPr="00A61A57">
        <w:rPr>
          <w:lang w:val="en-CA"/>
        </w:rPr>
        <w:t xml:space="preserve">kindly requested the Government of India </w:t>
      </w:r>
      <w:r w:rsidR="004D5B55" w:rsidRPr="00A61A57">
        <w:rPr>
          <w:lang w:val="en-CA"/>
        </w:rPr>
        <w:t xml:space="preserve">to indicate the name of the implementing agency with whom </w:t>
      </w:r>
      <w:r w:rsidR="002E612B" w:rsidRPr="00A61A57">
        <w:rPr>
          <w:lang w:val="en-CA"/>
        </w:rPr>
        <w:t xml:space="preserve">the Secretariat </w:t>
      </w:r>
      <w:r w:rsidR="004D5B55" w:rsidRPr="00A61A57">
        <w:rPr>
          <w:lang w:val="en-CA"/>
        </w:rPr>
        <w:t>could address issues related to the submission.</w:t>
      </w:r>
      <w:r w:rsidR="00B0454B" w:rsidRPr="00A61A57">
        <w:rPr>
          <w:lang w:val="en-CA"/>
        </w:rPr>
        <w:t xml:space="preserve"> </w:t>
      </w:r>
    </w:p>
    <w:p w:rsidR="00A61A57" w:rsidRDefault="00A61A57" w:rsidP="00267A2A">
      <w:pPr>
        <w:keepNext/>
        <w:rPr>
          <w:u w:val="single"/>
          <w:lang w:val="en-CA"/>
        </w:rPr>
      </w:pPr>
      <w:r w:rsidRPr="00A61A57">
        <w:rPr>
          <w:u w:val="single"/>
          <w:lang w:val="en-CA"/>
        </w:rPr>
        <w:t>Scope of the document</w:t>
      </w:r>
    </w:p>
    <w:p w:rsidR="00A61A57" w:rsidRPr="00A61A57" w:rsidRDefault="00A61A57" w:rsidP="00267A2A">
      <w:pPr>
        <w:keepNext/>
        <w:rPr>
          <w:u w:val="single"/>
          <w:lang w:val="en-CA"/>
        </w:rPr>
      </w:pPr>
    </w:p>
    <w:p w:rsidR="00A61A57" w:rsidRDefault="00A61A57" w:rsidP="00267A2A">
      <w:pPr>
        <w:pStyle w:val="Heading1"/>
        <w:rPr>
          <w:lang w:val="en-CA"/>
        </w:rPr>
      </w:pPr>
      <w:r w:rsidRPr="00A61A57">
        <w:rPr>
          <w:lang w:val="en-CA"/>
        </w:rPr>
        <w:t>To facilitate the discussions at the 80</w:t>
      </w:r>
      <w:r w:rsidRPr="00A61A57">
        <w:rPr>
          <w:vertAlign w:val="superscript"/>
          <w:lang w:val="en-CA"/>
        </w:rPr>
        <w:t>th</w:t>
      </w:r>
      <w:r w:rsidRPr="00A61A57">
        <w:rPr>
          <w:lang w:val="en-CA"/>
        </w:rPr>
        <w:t xml:space="preserve"> meeting, the Secretariat has reviewed the preliminary data</w:t>
      </w:r>
      <w:r>
        <w:rPr>
          <w:lang w:val="en-CA"/>
        </w:rPr>
        <w:t xml:space="preserve"> submitted by the Government of Argentina</w:t>
      </w:r>
      <w:r w:rsidRPr="00A61A57">
        <w:rPr>
          <w:lang w:val="en-CA"/>
        </w:rPr>
        <w:t>, and prepared comments and a recommendation for consideration by the Executive Committee.</w:t>
      </w:r>
    </w:p>
    <w:p w:rsidR="00A61A57" w:rsidRDefault="00A61A57" w:rsidP="00267A2A">
      <w:pPr>
        <w:pStyle w:val="Heading1"/>
        <w:rPr>
          <w:lang w:val="en-CA"/>
        </w:rPr>
      </w:pPr>
      <w:r>
        <w:rPr>
          <w:lang w:val="en-CA"/>
        </w:rPr>
        <w:lastRenderedPageBreak/>
        <w:t>Given that the preliminary data for India was submitted two weeks prior to the date of submission of documents to the Executive Committee, the Secretariat will issue an addendum to the present document providing comments and a recommendation, no later than two weeks prior to the 80</w:t>
      </w:r>
      <w:r w:rsidRPr="00B0454B">
        <w:rPr>
          <w:vertAlign w:val="superscript"/>
          <w:lang w:val="en-CA"/>
        </w:rPr>
        <w:t>th</w:t>
      </w:r>
      <w:r>
        <w:rPr>
          <w:lang w:val="en-CA"/>
        </w:rPr>
        <w:t xml:space="preserve"> meeting, if the missing information is submitted by the Government.</w:t>
      </w:r>
    </w:p>
    <w:p w:rsidR="00A61A57" w:rsidRPr="00A61A57" w:rsidRDefault="00A61A57" w:rsidP="00267A2A">
      <w:pPr>
        <w:pStyle w:val="Heading1"/>
        <w:rPr>
          <w:lang w:val="en-CA"/>
        </w:rPr>
      </w:pPr>
      <w:r>
        <w:rPr>
          <w:lang w:val="en-CA"/>
        </w:rPr>
        <w:t>The present document contains the following two annexes:</w:t>
      </w:r>
    </w:p>
    <w:p w:rsidR="00A61A57" w:rsidRDefault="00A61A57" w:rsidP="00267A2A">
      <w:pPr>
        <w:pStyle w:val="Heading2"/>
        <w:numPr>
          <w:ilvl w:val="0"/>
          <w:numId w:val="0"/>
        </w:numPr>
        <w:ind w:left="2160" w:hanging="1440"/>
        <w:rPr>
          <w:lang w:val="en-CA"/>
        </w:rPr>
      </w:pPr>
      <w:r>
        <w:rPr>
          <w:lang w:val="en-CA"/>
        </w:rPr>
        <w:t>Annex I:</w:t>
      </w:r>
      <w:r>
        <w:rPr>
          <w:lang w:val="en-CA"/>
        </w:rPr>
        <w:tab/>
        <w:t xml:space="preserve">A summary of the information contained in the document on </w:t>
      </w:r>
      <w:r w:rsidRPr="00A61A57">
        <w:rPr>
          <w:lang w:val="en-CA"/>
        </w:rPr>
        <w:t>Key aspects related to HFC-23 by-product control technologies</w:t>
      </w:r>
      <w:r>
        <w:rPr>
          <w:lang w:val="en-CA"/>
        </w:rPr>
        <w:t xml:space="preserve"> submitted to the 79</w:t>
      </w:r>
      <w:r w:rsidRPr="00A61A57">
        <w:rPr>
          <w:vertAlign w:val="superscript"/>
          <w:lang w:val="en-CA"/>
        </w:rPr>
        <w:t>th</w:t>
      </w:r>
      <w:r>
        <w:rPr>
          <w:lang w:val="en-CA"/>
        </w:rPr>
        <w:t xml:space="preserve"> meeting, and relevant to the present </w:t>
      </w:r>
      <w:r w:rsidR="00445460">
        <w:rPr>
          <w:lang w:val="en-CA"/>
        </w:rPr>
        <w:t>document;</w:t>
      </w:r>
    </w:p>
    <w:p w:rsidR="00A61A57" w:rsidRDefault="00A61A57" w:rsidP="00267A2A">
      <w:pPr>
        <w:rPr>
          <w:lang w:val="en-CA"/>
        </w:rPr>
      </w:pPr>
      <w:r>
        <w:rPr>
          <w:lang w:val="en-CA"/>
        </w:rPr>
        <w:tab/>
        <w:t>Annex II:</w:t>
      </w:r>
      <w:r>
        <w:rPr>
          <w:lang w:val="en-CA"/>
        </w:rPr>
        <w:tab/>
        <w:t>P</w:t>
      </w:r>
      <w:r w:rsidRPr="00A61A57">
        <w:rPr>
          <w:lang w:val="en-CA"/>
        </w:rPr>
        <w:t xml:space="preserve">reliminary data </w:t>
      </w:r>
      <w:r>
        <w:rPr>
          <w:lang w:val="en-CA"/>
        </w:rPr>
        <w:t>submitted by the Government of Argentina</w:t>
      </w:r>
      <w:r w:rsidRPr="00A61A57">
        <w:rPr>
          <w:lang w:val="en-CA"/>
        </w:rPr>
        <w:t>.</w:t>
      </w:r>
    </w:p>
    <w:p w:rsidR="00A61A57" w:rsidRPr="00A61A57" w:rsidRDefault="00A61A57" w:rsidP="00267A2A">
      <w:pPr>
        <w:rPr>
          <w:lang w:val="en-CA"/>
        </w:rPr>
      </w:pPr>
    </w:p>
    <w:p w:rsidR="00B75FDD" w:rsidRPr="00572436" w:rsidRDefault="00B0454B" w:rsidP="00267A2A">
      <w:pPr>
        <w:rPr>
          <w:b/>
          <w:lang w:val="en-CA"/>
        </w:rPr>
      </w:pPr>
      <w:r>
        <w:rPr>
          <w:b/>
          <w:lang w:val="en-CA"/>
        </w:rPr>
        <w:t>P</w:t>
      </w:r>
      <w:r w:rsidRPr="00572436">
        <w:rPr>
          <w:b/>
          <w:lang w:val="en-CA"/>
        </w:rPr>
        <w:t>r</w:t>
      </w:r>
      <w:r>
        <w:rPr>
          <w:b/>
          <w:lang w:val="en-CA"/>
        </w:rPr>
        <w:t>eliminary data submitted by the Government of Argentina</w:t>
      </w:r>
    </w:p>
    <w:p w:rsidR="00B75FDD" w:rsidRPr="00572436" w:rsidRDefault="00B75FDD" w:rsidP="00267A2A">
      <w:pPr>
        <w:rPr>
          <w:lang w:val="en-CA"/>
        </w:rPr>
      </w:pPr>
    </w:p>
    <w:p w:rsidR="00B75FDD" w:rsidRPr="00572436" w:rsidRDefault="002C1708" w:rsidP="00267A2A">
      <w:pPr>
        <w:pStyle w:val="Heading1"/>
        <w:rPr>
          <w:lang w:val="en-CA"/>
        </w:rPr>
      </w:pPr>
      <w:r>
        <w:rPr>
          <w:lang w:val="en-CA"/>
        </w:rPr>
        <w:t xml:space="preserve">FIASA, </w:t>
      </w:r>
      <w:r w:rsidR="001E1F16">
        <w:rPr>
          <w:lang w:val="en-CA"/>
        </w:rPr>
        <w:t>the only HCFC producer in Argentina</w:t>
      </w:r>
      <w:r w:rsidR="008F6D9C">
        <w:rPr>
          <w:lang w:val="en-CA"/>
        </w:rPr>
        <w:t>,</w:t>
      </w:r>
      <w:r w:rsidR="001E1F16">
        <w:rPr>
          <w:lang w:val="en-CA"/>
        </w:rPr>
        <w:t xml:space="preserve"> is 100 per cent locally owned</w:t>
      </w:r>
      <w:r>
        <w:rPr>
          <w:lang w:val="en-CA"/>
        </w:rPr>
        <w:t>, and produces HCFC</w:t>
      </w:r>
      <w:r>
        <w:rPr>
          <w:lang w:val="en-CA"/>
        </w:rPr>
        <w:noBreakHyphen/>
      </w:r>
      <w:r w:rsidR="008F6D9C">
        <w:rPr>
          <w:lang w:val="en-CA"/>
        </w:rPr>
        <w:t>22 solely for domestic ODS use</w:t>
      </w:r>
      <w:r w:rsidR="001E1F16">
        <w:rPr>
          <w:lang w:val="en-CA"/>
        </w:rPr>
        <w:t xml:space="preserve">. </w:t>
      </w:r>
      <w:r>
        <w:rPr>
          <w:lang w:val="en-CA"/>
        </w:rPr>
        <w:t xml:space="preserve">The enterprise, </w:t>
      </w:r>
      <w:r w:rsidR="008F6D9C">
        <w:rPr>
          <w:lang w:val="en-CA"/>
        </w:rPr>
        <w:t>established in 1986</w:t>
      </w:r>
      <w:r w:rsidR="0079182B">
        <w:rPr>
          <w:lang w:val="en-CA"/>
        </w:rPr>
        <w:t xml:space="preserve">, has an HCFC-22 production capacity of </w:t>
      </w:r>
      <w:r w:rsidR="0079182B" w:rsidRPr="0079182B">
        <w:rPr>
          <w:lang w:val="en-CA"/>
        </w:rPr>
        <w:t xml:space="preserve">7,792 </w:t>
      </w:r>
      <w:proofErr w:type="spellStart"/>
      <w:r w:rsidR="0079182B">
        <w:rPr>
          <w:lang w:val="en-CA"/>
        </w:rPr>
        <w:t>mt</w:t>
      </w:r>
      <w:proofErr w:type="spellEnd"/>
      <w:r w:rsidR="0079182B">
        <w:rPr>
          <w:lang w:val="en-CA"/>
        </w:rPr>
        <w:t>,</w:t>
      </w:r>
      <w:r w:rsidR="008F6D9C">
        <w:rPr>
          <w:lang w:val="en-CA"/>
        </w:rPr>
        <w:t xml:space="preserve"> and had a maximum </w:t>
      </w:r>
      <w:r w:rsidR="008F6D9C" w:rsidRPr="008F6D9C">
        <w:rPr>
          <w:lang w:val="en-CA"/>
        </w:rPr>
        <w:t>production of HCFC-22</w:t>
      </w:r>
      <w:r w:rsidR="008F6D9C">
        <w:rPr>
          <w:lang w:val="en-CA"/>
        </w:rPr>
        <w:t xml:space="preserve"> of</w:t>
      </w:r>
      <w:r w:rsidR="008F6D9C" w:rsidRPr="008F6D9C">
        <w:rPr>
          <w:lang w:val="en-CA"/>
        </w:rPr>
        <w:t xml:space="preserve"> 4,251.46 </w:t>
      </w:r>
      <w:proofErr w:type="spellStart"/>
      <w:r w:rsidR="008F6D9C">
        <w:rPr>
          <w:lang w:val="en-CA"/>
        </w:rPr>
        <w:t>mt</w:t>
      </w:r>
      <w:proofErr w:type="spellEnd"/>
      <w:r w:rsidR="008F6D9C" w:rsidRPr="008F6D9C">
        <w:rPr>
          <w:lang w:val="en-CA"/>
        </w:rPr>
        <w:t xml:space="preserve"> in 2010</w:t>
      </w:r>
      <w:r w:rsidR="008F6D9C">
        <w:rPr>
          <w:lang w:val="en-CA"/>
        </w:rPr>
        <w:t xml:space="preserve">. Since then, production has fallen to </w:t>
      </w:r>
      <w:r w:rsidR="008F6D9C" w:rsidRPr="008F6D9C">
        <w:rPr>
          <w:lang w:val="en-CA"/>
        </w:rPr>
        <w:t>1,742.09</w:t>
      </w:r>
      <w:r w:rsidR="008F6D9C">
        <w:rPr>
          <w:lang w:val="en-CA"/>
        </w:rPr>
        <w:t xml:space="preserve"> </w:t>
      </w:r>
      <w:proofErr w:type="spellStart"/>
      <w:r w:rsidR="008F6D9C">
        <w:rPr>
          <w:lang w:val="en-CA"/>
        </w:rPr>
        <w:t>mt</w:t>
      </w:r>
      <w:proofErr w:type="spellEnd"/>
      <w:r w:rsidR="008F6D9C">
        <w:rPr>
          <w:lang w:val="en-CA"/>
        </w:rPr>
        <w:t xml:space="preserve"> in 2016. The preliminary data for the enterprise is consistent </w:t>
      </w:r>
      <w:r>
        <w:rPr>
          <w:lang w:val="en-CA"/>
        </w:rPr>
        <w:t>with the data</w:t>
      </w:r>
      <w:r w:rsidR="008F6D9C">
        <w:rPr>
          <w:lang w:val="en-CA"/>
        </w:rPr>
        <w:t xml:space="preserve"> submitted by the </w:t>
      </w:r>
      <w:r w:rsidR="00B75FDD" w:rsidRPr="00A635DF">
        <w:rPr>
          <w:lang w:val="en-CA"/>
        </w:rPr>
        <w:t xml:space="preserve">Government of </w:t>
      </w:r>
      <w:r w:rsidR="008F6D9C">
        <w:rPr>
          <w:lang w:val="en-CA"/>
        </w:rPr>
        <w:t>Argentina pursuant to Article 7 of the Montreal Protocol</w:t>
      </w:r>
      <w:r w:rsidR="0052640E">
        <w:rPr>
          <w:lang w:val="en-CA"/>
        </w:rPr>
        <w:t xml:space="preserve"> as shown in Table 1</w:t>
      </w:r>
      <w:r w:rsidR="008F6D9C">
        <w:rPr>
          <w:lang w:val="en-CA"/>
        </w:rPr>
        <w:t xml:space="preserve">. </w:t>
      </w:r>
    </w:p>
    <w:p w:rsidR="00B75FDD" w:rsidRPr="00D82BCD" w:rsidRDefault="00B75FDD" w:rsidP="00506B9C">
      <w:pPr>
        <w:rPr>
          <w:b/>
          <w:lang w:val="en-CA"/>
        </w:rPr>
      </w:pPr>
      <w:r w:rsidRPr="0082722D">
        <w:rPr>
          <w:b/>
          <w:lang w:val="en-CA"/>
        </w:rPr>
        <w:t>Table 1. HCFC</w:t>
      </w:r>
      <w:r w:rsidR="004965E6">
        <w:rPr>
          <w:b/>
          <w:lang w:val="en-CA"/>
        </w:rPr>
        <w:t>-22</w:t>
      </w:r>
      <w:r w:rsidRPr="0082722D">
        <w:rPr>
          <w:b/>
          <w:lang w:val="en-CA"/>
        </w:rPr>
        <w:t xml:space="preserve"> </w:t>
      </w:r>
      <w:r w:rsidR="004965E6">
        <w:rPr>
          <w:b/>
          <w:lang w:val="en-CA"/>
        </w:rPr>
        <w:t>production at FIASA</w:t>
      </w:r>
      <w:r w:rsidR="008F6D9C">
        <w:rPr>
          <w:b/>
          <w:lang w:val="en-CA"/>
        </w:rPr>
        <w:t xml:space="preserve"> </w:t>
      </w:r>
    </w:p>
    <w:tbl>
      <w:tblPr>
        <w:tblW w:w="5000" w:type="pct"/>
        <w:tblLook w:val="04A0" w:firstRow="1" w:lastRow="0" w:firstColumn="1" w:lastColumn="0" w:noHBand="0" w:noVBand="1"/>
      </w:tblPr>
      <w:tblGrid>
        <w:gridCol w:w="2879"/>
        <w:gridCol w:w="986"/>
        <w:gridCol w:w="986"/>
        <w:gridCol w:w="1114"/>
        <w:gridCol w:w="1113"/>
        <w:gridCol w:w="1161"/>
        <w:gridCol w:w="1111"/>
      </w:tblGrid>
      <w:tr w:rsidR="0079182B" w:rsidRPr="006B74B3" w:rsidTr="0079182B">
        <w:trPr>
          <w:tblHeader/>
        </w:trPr>
        <w:tc>
          <w:tcPr>
            <w:tcW w:w="15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9182B" w:rsidRPr="006B74B3" w:rsidRDefault="0079182B" w:rsidP="00506B9C">
            <w:pPr>
              <w:widowControl w:val="0"/>
              <w:jc w:val="left"/>
              <w:rPr>
                <w:b/>
                <w:bCs/>
                <w:color w:val="000000"/>
                <w:sz w:val="20"/>
                <w:szCs w:val="20"/>
                <w:lang w:val="en-CA"/>
              </w:rPr>
            </w:pPr>
            <w:r w:rsidRPr="006B74B3">
              <w:rPr>
                <w:b/>
                <w:bCs/>
                <w:color w:val="000000"/>
                <w:sz w:val="20"/>
                <w:szCs w:val="20"/>
                <w:lang w:val="en-CA"/>
              </w:rPr>
              <w:t>HCFC</w:t>
            </w:r>
            <w:r>
              <w:rPr>
                <w:b/>
                <w:bCs/>
                <w:color w:val="000000"/>
                <w:sz w:val="20"/>
                <w:szCs w:val="20"/>
                <w:lang w:val="en-CA"/>
              </w:rPr>
              <w:t>-22</w:t>
            </w:r>
          </w:p>
        </w:tc>
        <w:tc>
          <w:tcPr>
            <w:tcW w:w="527" w:type="pct"/>
            <w:tcBorders>
              <w:top w:val="single" w:sz="4" w:space="0" w:color="auto"/>
              <w:left w:val="nil"/>
              <w:bottom w:val="single" w:sz="4" w:space="0" w:color="auto"/>
              <w:right w:val="single" w:sz="4" w:space="0" w:color="auto"/>
            </w:tcBorders>
            <w:shd w:val="clear" w:color="auto" w:fill="auto"/>
            <w:vAlign w:val="center"/>
          </w:tcPr>
          <w:p w:rsidR="0079182B" w:rsidRPr="006B74B3" w:rsidRDefault="0079182B" w:rsidP="00506B9C">
            <w:pPr>
              <w:widowControl w:val="0"/>
              <w:jc w:val="center"/>
              <w:rPr>
                <w:b/>
                <w:bCs/>
                <w:color w:val="000000"/>
                <w:sz w:val="20"/>
                <w:szCs w:val="20"/>
                <w:lang w:val="en-CA"/>
              </w:rPr>
            </w:pPr>
            <w:r w:rsidRPr="006B74B3">
              <w:rPr>
                <w:b/>
                <w:bCs/>
                <w:color w:val="000000"/>
                <w:sz w:val="20"/>
                <w:szCs w:val="20"/>
                <w:lang w:val="en-CA"/>
              </w:rPr>
              <w:t>2014</w:t>
            </w:r>
          </w:p>
        </w:tc>
        <w:tc>
          <w:tcPr>
            <w:tcW w:w="527" w:type="pct"/>
            <w:tcBorders>
              <w:top w:val="single" w:sz="4" w:space="0" w:color="auto"/>
              <w:left w:val="single" w:sz="4" w:space="0" w:color="auto"/>
              <w:bottom w:val="single" w:sz="4" w:space="0" w:color="auto"/>
              <w:right w:val="single" w:sz="4" w:space="0" w:color="auto"/>
            </w:tcBorders>
            <w:vAlign w:val="center"/>
          </w:tcPr>
          <w:p w:rsidR="0079182B" w:rsidRPr="006B74B3" w:rsidRDefault="0079182B" w:rsidP="00506B9C">
            <w:pPr>
              <w:widowControl w:val="0"/>
              <w:jc w:val="center"/>
              <w:rPr>
                <w:b/>
                <w:bCs/>
                <w:color w:val="000000"/>
                <w:sz w:val="20"/>
                <w:szCs w:val="20"/>
                <w:lang w:val="en-CA"/>
              </w:rPr>
            </w:pPr>
            <w:r w:rsidRPr="006B74B3">
              <w:rPr>
                <w:b/>
                <w:bCs/>
                <w:color w:val="000000"/>
                <w:sz w:val="20"/>
                <w:szCs w:val="20"/>
                <w:lang w:val="en-CA"/>
              </w:rPr>
              <w:t>2015</w:t>
            </w:r>
          </w:p>
        </w:tc>
        <w:tc>
          <w:tcPr>
            <w:tcW w:w="596" w:type="pct"/>
            <w:tcBorders>
              <w:top w:val="single" w:sz="4" w:space="0" w:color="auto"/>
              <w:left w:val="single" w:sz="4" w:space="0" w:color="auto"/>
              <w:bottom w:val="single" w:sz="4" w:space="0" w:color="auto"/>
              <w:right w:val="single" w:sz="4" w:space="0" w:color="auto"/>
            </w:tcBorders>
            <w:vAlign w:val="center"/>
          </w:tcPr>
          <w:p w:rsidR="0079182B" w:rsidRPr="006B74B3" w:rsidRDefault="0079182B" w:rsidP="00506B9C">
            <w:pPr>
              <w:widowControl w:val="0"/>
              <w:jc w:val="center"/>
              <w:rPr>
                <w:b/>
                <w:bCs/>
                <w:color w:val="000000"/>
                <w:sz w:val="20"/>
                <w:szCs w:val="20"/>
                <w:lang w:val="en-CA"/>
              </w:rPr>
            </w:pPr>
            <w:r>
              <w:rPr>
                <w:b/>
                <w:bCs/>
                <w:color w:val="000000"/>
                <w:sz w:val="20"/>
                <w:szCs w:val="20"/>
                <w:lang w:val="en-CA"/>
              </w:rPr>
              <w:t>2016</w:t>
            </w:r>
          </w:p>
        </w:tc>
        <w:tc>
          <w:tcPr>
            <w:tcW w:w="595" w:type="pct"/>
            <w:tcBorders>
              <w:top w:val="single" w:sz="4" w:space="0" w:color="auto"/>
              <w:left w:val="single" w:sz="4" w:space="0" w:color="auto"/>
              <w:bottom w:val="single" w:sz="4" w:space="0" w:color="auto"/>
              <w:right w:val="single" w:sz="4" w:space="0" w:color="auto"/>
            </w:tcBorders>
            <w:vAlign w:val="center"/>
          </w:tcPr>
          <w:p w:rsidR="0079182B" w:rsidRDefault="0079182B" w:rsidP="00506B9C">
            <w:pPr>
              <w:widowControl w:val="0"/>
              <w:jc w:val="center"/>
              <w:rPr>
                <w:b/>
                <w:bCs/>
                <w:color w:val="000000"/>
                <w:sz w:val="20"/>
                <w:szCs w:val="20"/>
                <w:lang w:val="en-CA"/>
              </w:rPr>
            </w:pPr>
            <w:r>
              <w:rPr>
                <w:b/>
                <w:bCs/>
                <w:color w:val="000000"/>
                <w:sz w:val="20"/>
                <w:szCs w:val="20"/>
                <w:lang w:val="en-CA"/>
              </w:rPr>
              <w:t>Capacity</w:t>
            </w:r>
          </w:p>
        </w:tc>
        <w:tc>
          <w:tcPr>
            <w:tcW w:w="621" w:type="pct"/>
            <w:tcBorders>
              <w:top w:val="single" w:sz="4" w:space="0" w:color="auto"/>
              <w:left w:val="single" w:sz="4" w:space="0" w:color="auto"/>
              <w:bottom w:val="single" w:sz="4" w:space="0" w:color="auto"/>
              <w:right w:val="single" w:sz="4" w:space="0" w:color="auto"/>
            </w:tcBorders>
          </w:tcPr>
          <w:p w:rsidR="0079182B" w:rsidRPr="006B74B3" w:rsidRDefault="0079182B" w:rsidP="00506B9C">
            <w:pPr>
              <w:widowControl w:val="0"/>
              <w:jc w:val="center"/>
              <w:rPr>
                <w:b/>
                <w:bCs/>
                <w:color w:val="000000"/>
                <w:sz w:val="20"/>
                <w:szCs w:val="20"/>
                <w:lang w:val="en-CA"/>
              </w:rPr>
            </w:pPr>
            <w:r>
              <w:rPr>
                <w:b/>
                <w:bCs/>
                <w:color w:val="000000"/>
                <w:sz w:val="20"/>
                <w:szCs w:val="20"/>
                <w:lang w:val="en-CA"/>
              </w:rPr>
              <w:t>Maximum production</w:t>
            </w:r>
          </w:p>
        </w:tc>
        <w:tc>
          <w:tcPr>
            <w:tcW w:w="594" w:type="pct"/>
            <w:tcBorders>
              <w:top w:val="single" w:sz="4" w:space="0" w:color="auto"/>
              <w:left w:val="single" w:sz="4" w:space="0" w:color="auto"/>
              <w:bottom w:val="single" w:sz="4" w:space="0" w:color="auto"/>
              <w:right w:val="single" w:sz="4" w:space="0" w:color="auto"/>
            </w:tcBorders>
            <w:vAlign w:val="center"/>
          </w:tcPr>
          <w:p w:rsidR="0079182B" w:rsidRPr="006B74B3" w:rsidRDefault="0079182B" w:rsidP="00506B9C">
            <w:pPr>
              <w:widowControl w:val="0"/>
              <w:jc w:val="center"/>
              <w:rPr>
                <w:b/>
                <w:bCs/>
                <w:color w:val="000000"/>
                <w:sz w:val="20"/>
                <w:szCs w:val="20"/>
                <w:lang w:val="en-CA"/>
              </w:rPr>
            </w:pPr>
            <w:r w:rsidRPr="006B74B3">
              <w:rPr>
                <w:b/>
                <w:bCs/>
                <w:color w:val="000000"/>
                <w:sz w:val="20"/>
                <w:szCs w:val="20"/>
                <w:lang w:val="en-CA"/>
              </w:rPr>
              <w:t>Baseline</w:t>
            </w:r>
            <w:r>
              <w:rPr>
                <w:b/>
                <w:bCs/>
                <w:color w:val="000000"/>
                <w:sz w:val="20"/>
                <w:szCs w:val="20"/>
                <w:lang w:val="en-CA"/>
              </w:rPr>
              <w:t>*</w:t>
            </w:r>
          </w:p>
        </w:tc>
      </w:tr>
      <w:tr w:rsidR="0079182B" w:rsidRPr="006B74B3" w:rsidTr="0079182B">
        <w:tc>
          <w:tcPr>
            <w:tcW w:w="15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9182B" w:rsidRPr="00FA4E8A" w:rsidRDefault="0079182B" w:rsidP="00506B9C">
            <w:pPr>
              <w:widowControl w:val="0"/>
              <w:jc w:val="left"/>
              <w:rPr>
                <w:bCs/>
                <w:color w:val="000000"/>
                <w:sz w:val="20"/>
                <w:szCs w:val="20"/>
                <w:lang w:val="en-CA"/>
              </w:rPr>
            </w:pPr>
            <w:r w:rsidRPr="00FA4E8A">
              <w:rPr>
                <w:bCs/>
                <w:color w:val="000000"/>
                <w:sz w:val="20"/>
                <w:szCs w:val="20"/>
                <w:lang w:val="en-CA"/>
              </w:rPr>
              <w:t>Metric tonnes</w:t>
            </w:r>
          </w:p>
        </w:tc>
        <w:tc>
          <w:tcPr>
            <w:tcW w:w="527" w:type="pct"/>
            <w:tcBorders>
              <w:top w:val="single" w:sz="4" w:space="0" w:color="auto"/>
              <w:left w:val="nil"/>
              <w:bottom w:val="single" w:sz="4" w:space="0" w:color="auto"/>
              <w:right w:val="single" w:sz="4" w:space="0" w:color="auto"/>
            </w:tcBorders>
            <w:shd w:val="clear" w:color="auto" w:fill="auto"/>
          </w:tcPr>
          <w:p w:rsidR="0079182B" w:rsidRPr="006B74B3" w:rsidRDefault="0079182B" w:rsidP="00506B9C">
            <w:pPr>
              <w:widowControl w:val="0"/>
              <w:jc w:val="right"/>
              <w:rPr>
                <w:color w:val="000000"/>
                <w:sz w:val="20"/>
                <w:szCs w:val="20"/>
                <w:lang w:val="en-CA"/>
              </w:rPr>
            </w:pPr>
            <w:r w:rsidRPr="00B148C2">
              <w:t>2,285.95</w:t>
            </w:r>
          </w:p>
        </w:tc>
        <w:tc>
          <w:tcPr>
            <w:tcW w:w="527" w:type="pct"/>
            <w:tcBorders>
              <w:top w:val="nil"/>
              <w:left w:val="single" w:sz="4" w:space="0" w:color="auto"/>
              <w:bottom w:val="single" w:sz="4" w:space="0" w:color="auto"/>
              <w:right w:val="single" w:sz="4" w:space="0" w:color="auto"/>
            </w:tcBorders>
          </w:tcPr>
          <w:p w:rsidR="0079182B" w:rsidRPr="006B74B3" w:rsidRDefault="0079182B" w:rsidP="00506B9C">
            <w:pPr>
              <w:widowControl w:val="0"/>
              <w:jc w:val="right"/>
              <w:rPr>
                <w:color w:val="000000"/>
                <w:sz w:val="20"/>
                <w:szCs w:val="20"/>
                <w:lang w:val="en-CA"/>
              </w:rPr>
            </w:pPr>
            <w:r w:rsidRPr="00B148C2">
              <w:t>2,445.98</w:t>
            </w:r>
          </w:p>
        </w:tc>
        <w:tc>
          <w:tcPr>
            <w:tcW w:w="596" w:type="pct"/>
            <w:tcBorders>
              <w:top w:val="nil"/>
              <w:left w:val="single" w:sz="4" w:space="0" w:color="auto"/>
              <w:bottom w:val="single" w:sz="4" w:space="0" w:color="auto"/>
              <w:right w:val="single" w:sz="4" w:space="0" w:color="auto"/>
            </w:tcBorders>
          </w:tcPr>
          <w:p w:rsidR="0079182B" w:rsidRPr="00AD145E" w:rsidRDefault="0079182B" w:rsidP="00506B9C">
            <w:pPr>
              <w:widowControl w:val="0"/>
              <w:jc w:val="right"/>
              <w:rPr>
                <w:color w:val="000000"/>
                <w:sz w:val="20"/>
                <w:szCs w:val="20"/>
                <w:lang w:val="en-CA"/>
              </w:rPr>
            </w:pPr>
            <w:r w:rsidRPr="00B148C2">
              <w:t>1,742.09</w:t>
            </w:r>
          </w:p>
        </w:tc>
        <w:tc>
          <w:tcPr>
            <w:tcW w:w="595" w:type="pct"/>
            <w:tcBorders>
              <w:top w:val="nil"/>
              <w:left w:val="single" w:sz="4" w:space="0" w:color="auto"/>
              <w:bottom w:val="single" w:sz="4" w:space="0" w:color="auto"/>
              <w:right w:val="single" w:sz="4" w:space="0" w:color="auto"/>
            </w:tcBorders>
          </w:tcPr>
          <w:p w:rsidR="0079182B" w:rsidRDefault="0079182B" w:rsidP="00506B9C">
            <w:pPr>
              <w:widowControl w:val="0"/>
              <w:jc w:val="right"/>
              <w:rPr>
                <w:color w:val="000000"/>
                <w:sz w:val="20"/>
                <w:szCs w:val="20"/>
                <w:lang w:val="en-CA"/>
              </w:rPr>
            </w:pPr>
            <w:r w:rsidRPr="0079182B">
              <w:rPr>
                <w:color w:val="000000"/>
                <w:sz w:val="20"/>
                <w:szCs w:val="20"/>
                <w:lang w:val="en-CA"/>
              </w:rPr>
              <w:t>7,792</w:t>
            </w:r>
            <w:r w:rsidR="0052640E">
              <w:rPr>
                <w:color w:val="000000"/>
                <w:sz w:val="20"/>
                <w:szCs w:val="20"/>
                <w:lang w:val="en-CA"/>
              </w:rPr>
              <w:t>.0</w:t>
            </w:r>
          </w:p>
        </w:tc>
        <w:tc>
          <w:tcPr>
            <w:tcW w:w="621" w:type="pct"/>
            <w:tcBorders>
              <w:top w:val="nil"/>
              <w:left w:val="single" w:sz="4" w:space="0" w:color="auto"/>
              <w:bottom w:val="single" w:sz="4" w:space="0" w:color="auto"/>
              <w:right w:val="single" w:sz="4" w:space="0" w:color="auto"/>
            </w:tcBorders>
          </w:tcPr>
          <w:p w:rsidR="0079182B" w:rsidRDefault="0079182B" w:rsidP="00506B9C">
            <w:pPr>
              <w:widowControl w:val="0"/>
              <w:jc w:val="right"/>
              <w:rPr>
                <w:color w:val="000000"/>
                <w:sz w:val="20"/>
                <w:szCs w:val="20"/>
                <w:lang w:val="en-CA"/>
              </w:rPr>
            </w:pPr>
            <w:r>
              <w:rPr>
                <w:color w:val="000000"/>
                <w:sz w:val="20"/>
                <w:szCs w:val="20"/>
                <w:lang w:val="en-CA"/>
              </w:rPr>
              <w:t>4,251.46</w:t>
            </w:r>
          </w:p>
        </w:tc>
        <w:tc>
          <w:tcPr>
            <w:tcW w:w="594" w:type="pct"/>
            <w:tcBorders>
              <w:top w:val="nil"/>
              <w:left w:val="single" w:sz="4" w:space="0" w:color="auto"/>
              <w:bottom w:val="single" w:sz="4" w:space="0" w:color="auto"/>
              <w:right w:val="single" w:sz="4" w:space="0" w:color="auto"/>
            </w:tcBorders>
            <w:vAlign w:val="center"/>
          </w:tcPr>
          <w:p w:rsidR="0079182B" w:rsidRPr="006B74B3" w:rsidRDefault="0079182B" w:rsidP="00506B9C">
            <w:pPr>
              <w:widowControl w:val="0"/>
              <w:jc w:val="right"/>
              <w:rPr>
                <w:color w:val="000000"/>
                <w:sz w:val="20"/>
                <w:szCs w:val="20"/>
                <w:lang w:val="en-CA"/>
              </w:rPr>
            </w:pPr>
            <w:r>
              <w:rPr>
                <w:color w:val="000000"/>
                <w:sz w:val="20"/>
                <w:szCs w:val="20"/>
                <w:lang w:val="en-CA"/>
              </w:rPr>
              <w:t>4,082.73</w:t>
            </w:r>
          </w:p>
        </w:tc>
      </w:tr>
      <w:tr w:rsidR="0079182B" w:rsidRPr="006B74B3" w:rsidTr="0079182B">
        <w:tc>
          <w:tcPr>
            <w:tcW w:w="15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9182B" w:rsidRPr="00FA4E8A" w:rsidRDefault="0079182B" w:rsidP="00506B9C">
            <w:pPr>
              <w:widowControl w:val="0"/>
              <w:jc w:val="left"/>
              <w:rPr>
                <w:bCs/>
                <w:color w:val="000000"/>
                <w:sz w:val="20"/>
                <w:szCs w:val="20"/>
                <w:lang w:val="en-CA"/>
              </w:rPr>
            </w:pPr>
            <w:r w:rsidRPr="00FA4E8A">
              <w:rPr>
                <w:bCs/>
                <w:color w:val="000000"/>
                <w:sz w:val="20"/>
                <w:szCs w:val="20"/>
                <w:lang w:val="en-CA"/>
              </w:rPr>
              <w:t>ODP tonnes</w:t>
            </w:r>
          </w:p>
        </w:tc>
        <w:tc>
          <w:tcPr>
            <w:tcW w:w="527" w:type="pct"/>
            <w:tcBorders>
              <w:top w:val="single" w:sz="4" w:space="0" w:color="auto"/>
              <w:left w:val="single" w:sz="4" w:space="0" w:color="auto"/>
              <w:bottom w:val="single" w:sz="4" w:space="0" w:color="auto"/>
              <w:right w:val="single" w:sz="4" w:space="0" w:color="auto"/>
            </w:tcBorders>
            <w:shd w:val="clear" w:color="auto" w:fill="auto"/>
          </w:tcPr>
          <w:p w:rsidR="0079182B" w:rsidRPr="006B74B3" w:rsidRDefault="0079182B" w:rsidP="00506B9C">
            <w:pPr>
              <w:widowControl w:val="0"/>
              <w:jc w:val="right"/>
              <w:rPr>
                <w:color w:val="000000"/>
                <w:sz w:val="20"/>
                <w:szCs w:val="20"/>
                <w:lang w:val="en-CA"/>
              </w:rPr>
            </w:pPr>
            <w:r w:rsidRPr="0065551C">
              <w:t>125.7</w:t>
            </w:r>
          </w:p>
        </w:tc>
        <w:tc>
          <w:tcPr>
            <w:tcW w:w="527" w:type="pct"/>
            <w:tcBorders>
              <w:top w:val="single" w:sz="4" w:space="0" w:color="auto"/>
              <w:left w:val="single" w:sz="4" w:space="0" w:color="auto"/>
              <w:bottom w:val="single" w:sz="4" w:space="0" w:color="auto"/>
              <w:right w:val="single" w:sz="4" w:space="0" w:color="auto"/>
            </w:tcBorders>
          </w:tcPr>
          <w:p w:rsidR="0079182B" w:rsidRPr="006B74B3" w:rsidRDefault="0079182B" w:rsidP="00506B9C">
            <w:pPr>
              <w:widowControl w:val="0"/>
              <w:jc w:val="right"/>
              <w:rPr>
                <w:color w:val="000000"/>
                <w:sz w:val="20"/>
                <w:szCs w:val="20"/>
                <w:lang w:val="en-CA"/>
              </w:rPr>
            </w:pPr>
            <w:r w:rsidRPr="0065551C">
              <w:t>134.5</w:t>
            </w:r>
          </w:p>
        </w:tc>
        <w:tc>
          <w:tcPr>
            <w:tcW w:w="596" w:type="pct"/>
            <w:tcBorders>
              <w:top w:val="single" w:sz="4" w:space="0" w:color="auto"/>
              <w:left w:val="single" w:sz="4" w:space="0" w:color="auto"/>
              <w:bottom w:val="single" w:sz="4" w:space="0" w:color="auto"/>
              <w:right w:val="single" w:sz="4" w:space="0" w:color="auto"/>
            </w:tcBorders>
          </w:tcPr>
          <w:p w:rsidR="0079182B" w:rsidRPr="00AD145E" w:rsidRDefault="0079182B" w:rsidP="00506B9C">
            <w:pPr>
              <w:widowControl w:val="0"/>
              <w:jc w:val="right"/>
              <w:rPr>
                <w:color w:val="000000"/>
                <w:sz w:val="20"/>
                <w:szCs w:val="20"/>
                <w:lang w:val="en-CA"/>
              </w:rPr>
            </w:pPr>
            <w:r w:rsidRPr="0065551C">
              <w:t>95.8</w:t>
            </w:r>
          </w:p>
        </w:tc>
        <w:tc>
          <w:tcPr>
            <w:tcW w:w="595" w:type="pct"/>
            <w:tcBorders>
              <w:top w:val="single" w:sz="4" w:space="0" w:color="auto"/>
              <w:left w:val="single" w:sz="4" w:space="0" w:color="auto"/>
              <w:bottom w:val="single" w:sz="4" w:space="0" w:color="auto"/>
              <w:right w:val="single" w:sz="4" w:space="0" w:color="auto"/>
            </w:tcBorders>
          </w:tcPr>
          <w:p w:rsidR="0079182B" w:rsidRDefault="0079182B" w:rsidP="00506B9C">
            <w:pPr>
              <w:widowControl w:val="0"/>
              <w:jc w:val="right"/>
              <w:rPr>
                <w:color w:val="000000"/>
                <w:sz w:val="20"/>
                <w:szCs w:val="20"/>
                <w:lang w:val="en-CA"/>
              </w:rPr>
            </w:pPr>
            <w:r>
              <w:rPr>
                <w:color w:val="000000"/>
                <w:sz w:val="20"/>
                <w:szCs w:val="20"/>
                <w:lang w:val="en-CA"/>
              </w:rPr>
              <w:t>428.6</w:t>
            </w:r>
          </w:p>
        </w:tc>
        <w:tc>
          <w:tcPr>
            <w:tcW w:w="621" w:type="pct"/>
            <w:tcBorders>
              <w:top w:val="single" w:sz="4" w:space="0" w:color="auto"/>
              <w:left w:val="single" w:sz="4" w:space="0" w:color="auto"/>
              <w:bottom w:val="single" w:sz="4" w:space="0" w:color="auto"/>
              <w:right w:val="single" w:sz="4" w:space="0" w:color="auto"/>
            </w:tcBorders>
          </w:tcPr>
          <w:p w:rsidR="0079182B" w:rsidRDefault="0079182B" w:rsidP="00506B9C">
            <w:pPr>
              <w:widowControl w:val="0"/>
              <w:jc w:val="right"/>
              <w:rPr>
                <w:color w:val="000000"/>
                <w:sz w:val="20"/>
                <w:szCs w:val="20"/>
                <w:lang w:val="en-CA"/>
              </w:rPr>
            </w:pPr>
            <w:r>
              <w:rPr>
                <w:color w:val="000000"/>
                <w:sz w:val="20"/>
                <w:szCs w:val="20"/>
                <w:lang w:val="en-CA"/>
              </w:rPr>
              <w:t>233.8</w:t>
            </w:r>
          </w:p>
        </w:tc>
        <w:tc>
          <w:tcPr>
            <w:tcW w:w="594" w:type="pct"/>
            <w:tcBorders>
              <w:top w:val="single" w:sz="4" w:space="0" w:color="auto"/>
              <w:left w:val="single" w:sz="4" w:space="0" w:color="auto"/>
              <w:bottom w:val="single" w:sz="4" w:space="0" w:color="auto"/>
              <w:right w:val="single" w:sz="4" w:space="0" w:color="auto"/>
            </w:tcBorders>
            <w:vAlign w:val="center"/>
          </w:tcPr>
          <w:p w:rsidR="0079182B" w:rsidRPr="006B74B3" w:rsidRDefault="0079182B" w:rsidP="00506B9C">
            <w:pPr>
              <w:widowControl w:val="0"/>
              <w:jc w:val="right"/>
              <w:rPr>
                <w:color w:val="000000"/>
                <w:sz w:val="20"/>
                <w:szCs w:val="20"/>
                <w:lang w:val="en-CA"/>
              </w:rPr>
            </w:pPr>
            <w:r>
              <w:rPr>
                <w:color w:val="000000"/>
                <w:sz w:val="20"/>
                <w:szCs w:val="20"/>
                <w:lang w:val="en-CA"/>
              </w:rPr>
              <w:t>224.6</w:t>
            </w:r>
          </w:p>
        </w:tc>
      </w:tr>
    </w:tbl>
    <w:p w:rsidR="00B75FDD" w:rsidRPr="004965E6" w:rsidRDefault="004965E6" w:rsidP="00506B9C">
      <w:pPr>
        <w:rPr>
          <w:sz w:val="18"/>
          <w:szCs w:val="18"/>
          <w:lang w:val="en-CA"/>
        </w:rPr>
      </w:pPr>
      <w:r w:rsidRPr="004965E6">
        <w:rPr>
          <w:sz w:val="18"/>
          <w:szCs w:val="18"/>
          <w:lang w:val="en-CA"/>
        </w:rPr>
        <w:t xml:space="preserve">* </w:t>
      </w:r>
      <w:r w:rsidR="0052640E">
        <w:rPr>
          <w:sz w:val="18"/>
          <w:szCs w:val="18"/>
          <w:lang w:val="en-CA"/>
        </w:rPr>
        <w:t>A</w:t>
      </w:r>
      <w:r w:rsidRPr="004965E6">
        <w:rPr>
          <w:sz w:val="18"/>
          <w:szCs w:val="18"/>
          <w:lang w:val="en-CA"/>
        </w:rPr>
        <w:t>s reported under Article 7</w:t>
      </w:r>
      <w:r w:rsidR="0052640E">
        <w:rPr>
          <w:sz w:val="18"/>
          <w:szCs w:val="18"/>
          <w:lang w:val="en-CA"/>
        </w:rPr>
        <w:t>.</w:t>
      </w:r>
    </w:p>
    <w:p w:rsidR="00B75FDD" w:rsidRDefault="00B75FDD" w:rsidP="00506B9C">
      <w:pPr>
        <w:rPr>
          <w:lang w:val="en-CA"/>
        </w:rPr>
      </w:pPr>
    </w:p>
    <w:p w:rsidR="002D3F5C" w:rsidRPr="00085D62" w:rsidRDefault="00680863" w:rsidP="00267A2A">
      <w:pPr>
        <w:pStyle w:val="Heading1"/>
        <w:rPr>
          <w:lang w:val="en-CA"/>
        </w:rPr>
      </w:pPr>
      <w:r w:rsidRPr="00085D62">
        <w:rPr>
          <w:lang w:val="en-CA"/>
        </w:rPr>
        <w:t xml:space="preserve">The production process for HCFC-22 uses </w:t>
      </w:r>
      <w:r w:rsidR="00EB233D" w:rsidRPr="00085D62">
        <w:rPr>
          <w:lang w:val="en-CA"/>
        </w:rPr>
        <w:t>hydrogen fluoride (HF) and chloroform (</w:t>
      </w:r>
      <w:r w:rsidR="0052640E" w:rsidRPr="00D16B2F">
        <w:rPr>
          <w:lang w:val="en-CA"/>
        </w:rPr>
        <w:t>H</w:t>
      </w:r>
      <w:r w:rsidR="00972E3D" w:rsidRPr="00D16B2F">
        <w:rPr>
          <w:lang w:val="en-CA"/>
        </w:rPr>
        <w:t>C</w:t>
      </w:r>
      <w:r w:rsidR="00EB233D" w:rsidRPr="00D16B2F">
        <w:rPr>
          <w:lang w:val="en-CA"/>
        </w:rPr>
        <w:t>Cl</w:t>
      </w:r>
      <w:r w:rsidR="00EB233D" w:rsidRPr="00D16B2F">
        <w:rPr>
          <w:vertAlign w:val="subscript"/>
          <w:lang w:val="en-CA"/>
        </w:rPr>
        <w:t>3</w:t>
      </w:r>
      <w:r w:rsidR="00EB233D" w:rsidRPr="00085D62">
        <w:rPr>
          <w:lang w:val="en-CA"/>
        </w:rPr>
        <w:t>) as raw materials</w:t>
      </w:r>
      <w:r w:rsidR="006B6F2A" w:rsidRPr="00085D62">
        <w:rPr>
          <w:lang w:val="en-CA"/>
        </w:rPr>
        <w:t xml:space="preserve">, and </w:t>
      </w:r>
      <w:r w:rsidR="0052640E">
        <w:rPr>
          <w:lang w:val="en-CA"/>
        </w:rPr>
        <w:t>generates approximately three</w:t>
      </w:r>
      <w:r w:rsidR="0052640E" w:rsidRPr="00085D62">
        <w:rPr>
          <w:lang w:val="en-CA"/>
        </w:rPr>
        <w:t xml:space="preserve"> per cent of HFC-23 by-product</w:t>
      </w:r>
      <w:r w:rsidR="0052640E">
        <w:rPr>
          <w:lang w:val="en-CA"/>
        </w:rPr>
        <w:t>. T</w:t>
      </w:r>
      <w:r w:rsidR="006B6F2A" w:rsidRPr="00085D62">
        <w:rPr>
          <w:lang w:val="en-CA"/>
        </w:rPr>
        <w:t xml:space="preserve">he enterprise employed between 33 and 37 employees </w:t>
      </w:r>
      <w:r w:rsidR="00085D62" w:rsidRPr="00085D62">
        <w:rPr>
          <w:lang w:val="en-CA"/>
        </w:rPr>
        <w:t>(</w:t>
      </w:r>
      <w:r w:rsidR="002C1708">
        <w:rPr>
          <w:lang w:val="en-CA"/>
        </w:rPr>
        <w:t>T</w:t>
      </w:r>
      <w:r w:rsidR="006B6F2A" w:rsidRPr="00085D62">
        <w:rPr>
          <w:lang w:val="en-CA"/>
        </w:rPr>
        <w:t>able 2</w:t>
      </w:r>
      <w:r w:rsidR="00085D62" w:rsidRPr="00085D62">
        <w:rPr>
          <w:lang w:val="en-CA"/>
        </w:rPr>
        <w:t>)</w:t>
      </w:r>
      <w:r w:rsidR="006B6F2A" w:rsidRPr="00085D62">
        <w:rPr>
          <w:lang w:val="en-CA"/>
        </w:rPr>
        <w:t>.</w:t>
      </w:r>
      <w:r w:rsidR="006E710E" w:rsidRPr="00085D62">
        <w:rPr>
          <w:lang w:val="en-CA"/>
        </w:rPr>
        <w:t xml:space="preserve"> </w:t>
      </w:r>
    </w:p>
    <w:p w:rsidR="00EB233D" w:rsidRPr="00D82BCD" w:rsidRDefault="00EB233D" w:rsidP="00506B9C">
      <w:pPr>
        <w:rPr>
          <w:b/>
          <w:lang w:val="en-CA"/>
        </w:rPr>
      </w:pPr>
      <w:r w:rsidRPr="0082722D">
        <w:rPr>
          <w:b/>
          <w:lang w:val="en-CA"/>
        </w:rPr>
        <w:t>T</w:t>
      </w:r>
      <w:r>
        <w:rPr>
          <w:b/>
          <w:lang w:val="en-CA"/>
        </w:rPr>
        <w:t>able 2</w:t>
      </w:r>
      <w:r w:rsidRPr="0082722D">
        <w:rPr>
          <w:b/>
          <w:lang w:val="en-CA"/>
        </w:rPr>
        <w:t xml:space="preserve">. </w:t>
      </w:r>
      <w:r>
        <w:rPr>
          <w:b/>
          <w:lang w:val="en-CA"/>
        </w:rPr>
        <w:t>Raw materials (</w:t>
      </w:r>
      <w:proofErr w:type="spellStart"/>
      <w:r>
        <w:rPr>
          <w:b/>
          <w:lang w:val="en-CA"/>
        </w:rPr>
        <w:t>mt</w:t>
      </w:r>
      <w:proofErr w:type="spellEnd"/>
      <w:r>
        <w:rPr>
          <w:b/>
          <w:lang w:val="en-CA"/>
        </w:rPr>
        <w:t xml:space="preserve">) </w:t>
      </w:r>
      <w:r w:rsidR="006B6F2A">
        <w:rPr>
          <w:b/>
          <w:lang w:val="en-CA"/>
        </w:rPr>
        <w:t xml:space="preserve">and labor </w:t>
      </w:r>
      <w:r>
        <w:rPr>
          <w:b/>
          <w:lang w:val="en-CA"/>
        </w:rPr>
        <w:t xml:space="preserve">used by FIASA in the production of </w:t>
      </w:r>
      <w:r w:rsidRPr="0082722D">
        <w:rPr>
          <w:b/>
          <w:lang w:val="en-CA"/>
        </w:rPr>
        <w:t>HCFC</w:t>
      </w:r>
      <w:r>
        <w:rPr>
          <w:b/>
          <w:lang w:val="en-CA"/>
        </w:rPr>
        <w:t xml:space="preserve">-22 </w:t>
      </w:r>
    </w:p>
    <w:tbl>
      <w:tblPr>
        <w:tblW w:w="5000" w:type="pct"/>
        <w:tblLook w:val="04A0" w:firstRow="1" w:lastRow="0" w:firstColumn="1" w:lastColumn="0" w:noHBand="0" w:noVBand="1"/>
      </w:tblPr>
      <w:tblGrid>
        <w:gridCol w:w="2337"/>
        <w:gridCol w:w="2337"/>
        <w:gridCol w:w="2338"/>
        <w:gridCol w:w="2338"/>
      </w:tblGrid>
      <w:tr w:rsidR="00EB233D" w:rsidRPr="002C1708" w:rsidTr="002331A6">
        <w:trPr>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B233D" w:rsidRPr="002C1708" w:rsidRDefault="00EB233D" w:rsidP="00506B9C">
            <w:pPr>
              <w:widowControl w:val="0"/>
              <w:jc w:val="center"/>
              <w:rPr>
                <w:b/>
                <w:bCs/>
                <w:color w:val="000000"/>
                <w:lang w:val="en-CA"/>
              </w:rPr>
            </w:pPr>
          </w:p>
        </w:tc>
        <w:tc>
          <w:tcPr>
            <w:tcW w:w="1250" w:type="pct"/>
            <w:tcBorders>
              <w:top w:val="single" w:sz="4" w:space="0" w:color="auto"/>
              <w:left w:val="nil"/>
              <w:bottom w:val="single" w:sz="4" w:space="0" w:color="auto"/>
              <w:right w:val="single" w:sz="4" w:space="0" w:color="auto"/>
            </w:tcBorders>
            <w:shd w:val="clear" w:color="auto" w:fill="auto"/>
            <w:vAlign w:val="center"/>
          </w:tcPr>
          <w:p w:rsidR="00EB233D" w:rsidRPr="002C1708" w:rsidRDefault="00EB233D" w:rsidP="00506B9C">
            <w:pPr>
              <w:widowControl w:val="0"/>
              <w:jc w:val="center"/>
              <w:rPr>
                <w:b/>
                <w:bCs/>
                <w:color w:val="000000"/>
                <w:lang w:val="en-CA"/>
              </w:rPr>
            </w:pPr>
            <w:r w:rsidRPr="002C1708">
              <w:rPr>
                <w:b/>
                <w:bCs/>
                <w:color w:val="000000"/>
                <w:lang w:val="en-CA"/>
              </w:rPr>
              <w:t>2014</w:t>
            </w:r>
          </w:p>
        </w:tc>
        <w:tc>
          <w:tcPr>
            <w:tcW w:w="1250" w:type="pct"/>
            <w:tcBorders>
              <w:top w:val="single" w:sz="4" w:space="0" w:color="auto"/>
              <w:left w:val="single" w:sz="4" w:space="0" w:color="auto"/>
              <w:bottom w:val="single" w:sz="4" w:space="0" w:color="auto"/>
              <w:right w:val="single" w:sz="4" w:space="0" w:color="auto"/>
            </w:tcBorders>
            <w:vAlign w:val="center"/>
          </w:tcPr>
          <w:p w:rsidR="00EB233D" w:rsidRPr="002C1708" w:rsidRDefault="00EB233D" w:rsidP="00506B9C">
            <w:pPr>
              <w:widowControl w:val="0"/>
              <w:jc w:val="center"/>
              <w:rPr>
                <w:b/>
                <w:bCs/>
                <w:color w:val="000000"/>
                <w:lang w:val="en-CA"/>
              </w:rPr>
            </w:pPr>
            <w:r w:rsidRPr="002C1708">
              <w:rPr>
                <w:b/>
                <w:bCs/>
                <w:color w:val="000000"/>
                <w:lang w:val="en-CA"/>
              </w:rPr>
              <w:t>2015</w:t>
            </w:r>
          </w:p>
        </w:tc>
        <w:tc>
          <w:tcPr>
            <w:tcW w:w="1250" w:type="pct"/>
            <w:tcBorders>
              <w:top w:val="single" w:sz="4" w:space="0" w:color="auto"/>
              <w:left w:val="single" w:sz="4" w:space="0" w:color="auto"/>
              <w:bottom w:val="single" w:sz="4" w:space="0" w:color="auto"/>
              <w:right w:val="single" w:sz="4" w:space="0" w:color="auto"/>
            </w:tcBorders>
            <w:vAlign w:val="center"/>
          </w:tcPr>
          <w:p w:rsidR="00EB233D" w:rsidRPr="002C1708" w:rsidRDefault="00EB233D" w:rsidP="00506B9C">
            <w:pPr>
              <w:widowControl w:val="0"/>
              <w:jc w:val="center"/>
              <w:rPr>
                <w:b/>
                <w:bCs/>
                <w:color w:val="000000"/>
                <w:lang w:val="en-CA"/>
              </w:rPr>
            </w:pPr>
            <w:r w:rsidRPr="002C1708">
              <w:rPr>
                <w:b/>
                <w:bCs/>
                <w:color w:val="000000"/>
                <w:lang w:val="en-CA"/>
              </w:rPr>
              <w:t>2016</w:t>
            </w:r>
          </w:p>
        </w:tc>
      </w:tr>
      <w:tr w:rsidR="00EB233D" w:rsidRPr="002C1708" w:rsidTr="002331A6">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B233D" w:rsidRPr="002C1708" w:rsidRDefault="00EB233D" w:rsidP="00506B9C">
            <w:pPr>
              <w:widowControl w:val="0"/>
              <w:jc w:val="left"/>
              <w:rPr>
                <w:bCs/>
                <w:color w:val="000000"/>
                <w:lang w:val="en-CA"/>
              </w:rPr>
            </w:pPr>
            <w:r w:rsidRPr="002C1708">
              <w:rPr>
                <w:bCs/>
                <w:color w:val="000000"/>
                <w:lang w:val="en-CA"/>
              </w:rPr>
              <w:t>Hydrogen fluoride (HF)</w:t>
            </w:r>
          </w:p>
        </w:tc>
        <w:tc>
          <w:tcPr>
            <w:tcW w:w="1250" w:type="pct"/>
            <w:tcBorders>
              <w:top w:val="single" w:sz="4" w:space="0" w:color="auto"/>
              <w:left w:val="nil"/>
              <w:bottom w:val="single" w:sz="4" w:space="0" w:color="auto"/>
              <w:right w:val="single" w:sz="4" w:space="0" w:color="auto"/>
            </w:tcBorders>
            <w:shd w:val="clear" w:color="auto" w:fill="auto"/>
          </w:tcPr>
          <w:p w:rsidR="00EB233D" w:rsidRPr="002C1708" w:rsidRDefault="00EB233D" w:rsidP="00506B9C">
            <w:pPr>
              <w:widowControl w:val="0"/>
              <w:jc w:val="right"/>
              <w:rPr>
                <w:color w:val="000000"/>
                <w:lang w:val="en-CA"/>
              </w:rPr>
            </w:pPr>
            <w:r w:rsidRPr="002C1708">
              <w:t>1,182.39</w:t>
            </w:r>
          </w:p>
        </w:tc>
        <w:tc>
          <w:tcPr>
            <w:tcW w:w="1250" w:type="pct"/>
            <w:tcBorders>
              <w:top w:val="nil"/>
              <w:left w:val="single" w:sz="4" w:space="0" w:color="auto"/>
              <w:bottom w:val="single" w:sz="4" w:space="0" w:color="auto"/>
              <w:right w:val="single" w:sz="4" w:space="0" w:color="auto"/>
            </w:tcBorders>
          </w:tcPr>
          <w:p w:rsidR="00EB233D" w:rsidRPr="002C1708" w:rsidRDefault="00EB233D" w:rsidP="00506B9C">
            <w:pPr>
              <w:widowControl w:val="0"/>
              <w:jc w:val="right"/>
              <w:rPr>
                <w:color w:val="000000"/>
                <w:lang w:val="en-CA"/>
              </w:rPr>
            </w:pPr>
            <w:r w:rsidRPr="002C1708">
              <w:t>1,464.61</w:t>
            </w:r>
          </w:p>
        </w:tc>
        <w:tc>
          <w:tcPr>
            <w:tcW w:w="1250" w:type="pct"/>
            <w:tcBorders>
              <w:top w:val="nil"/>
              <w:left w:val="single" w:sz="4" w:space="0" w:color="auto"/>
              <w:bottom w:val="single" w:sz="4" w:space="0" w:color="auto"/>
              <w:right w:val="single" w:sz="4" w:space="0" w:color="auto"/>
            </w:tcBorders>
          </w:tcPr>
          <w:p w:rsidR="00EB233D" w:rsidRPr="002C1708" w:rsidRDefault="00EB233D" w:rsidP="00506B9C">
            <w:pPr>
              <w:widowControl w:val="0"/>
              <w:jc w:val="right"/>
              <w:rPr>
                <w:color w:val="000000"/>
                <w:lang w:val="en-CA"/>
              </w:rPr>
            </w:pPr>
            <w:r w:rsidRPr="002C1708">
              <w:t>770.82</w:t>
            </w:r>
          </w:p>
        </w:tc>
      </w:tr>
      <w:tr w:rsidR="00EB233D" w:rsidRPr="002C1708" w:rsidTr="002331A6">
        <w:tc>
          <w:tcPr>
            <w:tcW w:w="12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B233D" w:rsidRPr="002C1708" w:rsidRDefault="00EB233D" w:rsidP="00972E3D">
            <w:pPr>
              <w:widowControl w:val="0"/>
              <w:jc w:val="left"/>
              <w:rPr>
                <w:bCs/>
                <w:color w:val="000000"/>
                <w:lang w:val="en-CA"/>
              </w:rPr>
            </w:pPr>
            <w:r w:rsidRPr="002C1708">
              <w:rPr>
                <w:bCs/>
                <w:color w:val="000000"/>
                <w:lang w:val="en-CA"/>
              </w:rPr>
              <w:t>Chloroform (</w:t>
            </w:r>
            <w:r w:rsidR="00972E3D">
              <w:rPr>
                <w:bCs/>
                <w:color w:val="000000"/>
                <w:lang w:val="en-CA"/>
              </w:rPr>
              <w:t>H</w:t>
            </w:r>
            <w:r w:rsidRPr="002C1708">
              <w:rPr>
                <w:bCs/>
                <w:color w:val="000000"/>
                <w:lang w:val="en-CA"/>
              </w:rPr>
              <w:t>CCl</w:t>
            </w:r>
            <w:r w:rsidRPr="002C1708">
              <w:rPr>
                <w:bCs/>
                <w:color w:val="000000"/>
                <w:vertAlign w:val="subscript"/>
                <w:lang w:val="en-CA"/>
              </w:rPr>
              <w:t>3</w:t>
            </w:r>
            <w:r w:rsidRPr="002C1708">
              <w:rPr>
                <w:bCs/>
                <w:color w:val="000000"/>
                <w:lang w:val="en-CA"/>
              </w:rPr>
              <w:t>)</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EB233D" w:rsidRPr="002C1708" w:rsidRDefault="00EB233D" w:rsidP="00506B9C">
            <w:pPr>
              <w:widowControl w:val="0"/>
              <w:jc w:val="right"/>
              <w:rPr>
                <w:color w:val="000000"/>
                <w:lang w:val="en-CA"/>
              </w:rPr>
            </w:pPr>
            <w:r w:rsidRPr="002C1708">
              <w:t>3,145.30</w:t>
            </w:r>
          </w:p>
        </w:tc>
        <w:tc>
          <w:tcPr>
            <w:tcW w:w="1250" w:type="pct"/>
            <w:tcBorders>
              <w:top w:val="single" w:sz="4" w:space="0" w:color="auto"/>
              <w:left w:val="single" w:sz="4" w:space="0" w:color="auto"/>
              <w:bottom w:val="single" w:sz="4" w:space="0" w:color="auto"/>
              <w:right w:val="single" w:sz="4" w:space="0" w:color="auto"/>
            </w:tcBorders>
          </w:tcPr>
          <w:p w:rsidR="00EB233D" w:rsidRPr="002C1708" w:rsidRDefault="00EB233D" w:rsidP="00506B9C">
            <w:pPr>
              <w:widowControl w:val="0"/>
              <w:jc w:val="right"/>
              <w:rPr>
                <w:color w:val="000000"/>
                <w:lang w:val="en-CA"/>
              </w:rPr>
            </w:pPr>
            <w:r w:rsidRPr="002C1708">
              <w:t>4,099.31</w:t>
            </w:r>
          </w:p>
        </w:tc>
        <w:tc>
          <w:tcPr>
            <w:tcW w:w="1250" w:type="pct"/>
            <w:tcBorders>
              <w:top w:val="single" w:sz="4" w:space="0" w:color="auto"/>
              <w:left w:val="single" w:sz="4" w:space="0" w:color="auto"/>
              <w:bottom w:val="single" w:sz="4" w:space="0" w:color="auto"/>
              <w:right w:val="single" w:sz="4" w:space="0" w:color="auto"/>
            </w:tcBorders>
          </w:tcPr>
          <w:p w:rsidR="00EB233D" w:rsidRPr="002C1708" w:rsidRDefault="00EB233D" w:rsidP="00506B9C">
            <w:pPr>
              <w:widowControl w:val="0"/>
              <w:jc w:val="right"/>
              <w:rPr>
                <w:color w:val="000000"/>
                <w:lang w:val="en-CA"/>
              </w:rPr>
            </w:pPr>
            <w:r w:rsidRPr="002C1708">
              <w:t>3,140.14</w:t>
            </w:r>
          </w:p>
        </w:tc>
      </w:tr>
      <w:tr w:rsidR="006B6F2A" w:rsidRPr="002C1708" w:rsidTr="002331A6">
        <w:tc>
          <w:tcPr>
            <w:tcW w:w="12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6B6F2A" w:rsidRPr="002C1708" w:rsidRDefault="006B6F2A" w:rsidP="00506B9C">
            <w:pPr>
              <w:widowControl w:val="0"/>
              <w:jc w:val="left"/>
              <w:rPr>
                <w:bCs/>
                <w:color w:val="000000"/>
                <w:lang w:val="en-CA"/>
              </w:rPr>
            </w:pPr>
            <w:r w:rsidRPr="002C1708">
              <w:rPr>
                <w:bCs/>
                <w:color w:val="000000"/>
                <w:lang w:val="en-CA"/>
              </w:rPr>
              <w:t>Labor</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6B6F2A" w:rsidRPr="002C1708" w:rsidRDefault="006B6F2A" w:rsidP="00506B9C">
            <w:pPr>
              <w:widowControl w:val="0"/>
              <w:jc w:val="right"/>
            </w:pPr>
          </w:p>
        </w:tc>
        <w:tc>
          <w:tcPr>
            <w:tcW w:w="1250" w:type="pct"/>
            <w:tcBorders>
              <w:top w:val="single" w:sz="4" w:space="0" w:color="auto"/>
              <w:left w:val="single" w:sz="4" w:space="0" w:color="auto"/>
              <w:bottom w:val="single" w:sz="4" w:space="0" w:color="auto"/>
              <w:right w:val="single" w:sz="4" w:space="0" w:color="auto"/>
            </w:tcBorders>
          </w:tcPr>
          <w:p w:rsidR="006B6F2A" w:rsidRPr="002C1708" w:rsidRDefault="006B6F2A" w:rsidP="00506B9C">
            <w:pPr>
              <w:widowControl w:val="0"/>
              <w:jc w:val="right"/>
            </w:pPr>
          </w:p>
        </w:tc>
        <w:tc>
          <w:tcPr>
            <w:tcW w:w="1250" w:type="pct"/>
            <w:tcBorders>
              <w:top w:val="single" w:sz="4" w:space="0" w:color="auto"/>
              <w:left w:val="single" w:sz="4" w:space="0" w:color="auto"/>
              <w:bottom w:val="single" w:sz="4" w:space="0" w:color="auto"/>
              <w:right w:val="single" w:sz="4" w:space="0" w:color="auto"/>
            </w:tcBorders>
          </w:tcPr>
          <w:p w:rsidR="006B6F2A" w:rsidRPr="002C1708" w:rsidRDefault="006B6F2A" w:rsidP="00506B9C">
            <w:pPr>
              <w:widowControl w:val="0"/>
              <w:jc w:val="right"/>
            </w:pPr>
          </w:p>
        </w:tc>
      </w:tr>
      <w:tr w:rsidR="006B6F2A" w:rsidRPr="002C1708" w:rsidTr="002331A6">
        <w:tc>
          <w:tcPr>
            <w:tcW w:w="12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6B6F2A" w:rsidRPr="002C1708" w:rsidRDefault="006B6F2A" w:rsidP="00506B9C">
            <w:pPr>
              <w:widowControl w:val="0"/>
              <w:jc w:val="right"/>
              <w:rPr>
                <w:bCs/>
                <w:color w:val="000000"/>
                <w:lang w:val="en-CA"/>
              </w:rPr>
            </w:pPr>
            <w:r w:rsidRPr="002C1708">
              <w:rPr>
                <w:bCs/>
                <w:color w:val="000000"/>
                <w:lang w:val="en-CA"/>
              </w:rPr>
              <w:t>Direct labour</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6B6F2A" w:rsidRPr="002C1708" w:rsidRDefault="006B6F2A" w:rsidP="00506B9C">
            <w:pPr>
              <w:widowControl w:val="0"/>
              <w:jc w:val="right"/>
            </w:pPr>
            <w:r w:rsidRPr="002C1708">
              <w:t>12</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6B6F2A" w:rsidRPr="002C1708" w:rsidRDefault="006B6F2A" w:rsidP="00506B9C">
            <w:pPr>
              <w:widowControl w:val="0"/>
              <w:jc w:val="right"/>
            </w:pPr>
            <w:r w:rsidRPr="002C1708">
              <w:t>12</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6B6F2A" w:rsidRPr="002C1708" w:rsidRDefault="006B6F2A" w:rsidP="00506B9C">
            <w:pPr>
              <w:widowControl w:val="0"/>
              <w:jc w:val="right"/>
            </w:pPr>
            <w:r w:rsidRPr="002C1708">
              <w:t>12</w:t>
            </w:r>
          </w:p>
        </w:tc>
      </w:tr>
      <w:tr w:rsidR="006B6F2A" w:rsidRPr="002C1708" w:rsidTr="002331A6">
        <w:tc>
          <w:tcPr>
            <w:tcW w:w="12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6B6F2A" w:rsidRPr="002C1708" w:rsidRDefault="006B6F2A" w:rsidP="00506B9C">
            <w:pPr>
              <w:widowControl w:val="0"/>
              <w:jc w:val="right"/>
              <w:rPr>
                <w:bCs/>
                <w:color w:val="000000"/>
                <w:lang w:val="en-CA"/>
              </w:rPr>
            </w:pPr>
            <w:r w:rsidRPr="002C1708">
              <w:rPr>
                <w:bCs/>
                <w:color w:val="000000"/>
                <w:lang w:val="en-CA"/>
              </w:rPr>
              <w:t>Overhead</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6B6F2A" w:rsidRPr="002C1708" w:rsidRDefault="006B6F2A" w:rsidP="00506B9C">
            <w:pPr>
              <w:widowControl w:val="0"/>
              <w:jc w:val="right"/>
            </w:pPr>
            <w:r w:rsidRPr="002C1708">
              <w:t>11</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6B6F2A" w:rsidRPr="002C1708" w:rsidRDefault="006B6F2A" w:rsidP="00506B9C">
            <w:pPr>
              <w:widowControl w:val="0"/>
              <w:jc w:val="right"/>
            </w:pPr>
            <w:r w:rsidRPr="002C1708">
              <w:t>11</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6B6F2A" w:rsidRPr="002C1708" w:rsidRDefault="006B6F2A" w:rsidP="00506B9C">
            <w:pPr>
              <w:widowControl w:val="0"/>
              <w:jc w:val="right"/>
            </w:pPr>
            <w:r w:rsidRPr="002C1708">
              <w:t>13</w:t>
            </w:r>
          </w:p>
        </w:tc>
      </w:tr>
      <w:tr w:rsidR="006B6F2A" w:rsidRPr="002C1708" w:rsidTr="002331A6">
        <w:tc>
          <w:tcPr>
            <w:tcW w:w="12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6B6F2A" w:rsidRPr="002C1708" w:rsidRDefault="006B6F2A" w:rsidP="00506B9C">
            <w:pPr>
              <w:widowControl w:val="0"/>
              <w:jc w:val="right"/>
              <w:rPr>
                <w:bCs/>
                <w:color w:val="000000"/>
                <w:lang w:val="en-CA"/>
              </w:rPr>
            </w:pPr>
            <w:r w:rsidRPr="002C1708">
              <w:rPr>
                <w:bCs/>
                <w:color w:val="000000"/>
                <w:lang w:val="en-CA"/>
              </w:rPr>
              <w:t>Laboratories</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6B6F2A" w:rsidRPr="002C1708" w:rsidRDefault="006B6F2A" w:rsidP="00506B9C">
            <w:pPr>
              <w:widowControl w:val="0"/>
              <w:jc w:val="right"/>
            </w:pPr>
            <w:r w:rsidRPr="002C1708">
              <w:t>2</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6B6F2A" w:rsidRPr="002C1708" w:rsidRDefault="006B6F2A" w:rsidP="00506B9C">
            <w:pPr>
              <w:widowControl w:val="0"/>
              <w:jc w:val="right"/>
            </w:pPr>
            <w:r w:rsidRPr="002C1708">
              <w:t>4</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6B6F2A" w:rsidRPr="002C1708" w:rsidRDefault="006B6F2A" w:rsidP="00506B9C">
            <w:pPr>
              <w:widowControl w:val="0"/>
              <w:jc w:val="right"/>
            </w:pPr>
            <w:r w:rsidRPr="002C1708">
              <w:t>4</w:t>
            </w:r>
          </w:p>
        </w:tc>
      </w:tr>
      <w:tr w:rsidR="006B6F2A" w:rsidRPr="002C1708" w:rsidTr="002331A6">
        <w:tc>
          <w:tcPr>
            <w:tcW w:w="12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6B6F2A" w:rsidRPr="002C1708" w:rsidRDefault="006B6F2A" w:rsidP="00506B9C">
            <w:pPr>
              <w:widowControl w:val="0"/>
              <w:jc w:val="right"/>
              <w:rPr>
                <w:bCs/>
                <w:color w:val="000000"/>
                <w:lang w:val="en-CA"/>
              </w:rPr>
            </w:pPr>
            <w:r w:rsidRPr="002C1708">
              <w:rPr>
                <w:bCs/>
                <w:color w:val="000000"/>
                <w:lang w:val="en-CA"/>
              </w:rPr>
              <w:t>Maintenance</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6B6F2A" w:rsidRPr="002C1708" w:rsidRDefault="006B6F2A" w:rsidP="00506B9C">
            <w:pPr>
              <w:widowControl w:val="0"/>
              <w:jc w:val="right"/>
            </w:pPr>
            <w:r w:rsidRPr="002C1708">
              <w:t>7</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6B6F2A" w:rsidRPr="002C1708" w:rsidRDefault="006B6F2A" w:rsidP="00506B9C">
            <w:pPr>
              <w:widowControl w:val="0"/>
              <w:jc w:val="right"/>
            </w:pPr>
            <w:r w:rsidRPr="002C1708">
              <w:t>5</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6B6F2A" w:rsidRPr="002C1708" w:rsidRDefault="006B6F2A" w:rsidP="00506B9C">
            <w:pPr>
              <w:widowControl w:val="0"/>
              <w:jc w:val="right"/>
            </w:pPr>
            <w:r w:rsidRPr="002C1708">
              <w:t>6</w:t>
            </w:r>
          </w:p>
        </w:tc>
      </w:tr>
      <w:tr w:rsidR="006B6F2A" w:rsidRPr="002C1708" w:rsidTr="002331A6">
        <w:tc>
          <w:tcPr>
            <w:tcW w:w="12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6B6F2A" w:rsidRPr="002C1708" w:rsidRDefault="006B6F2A" w:rsidP="00506B9C">
            <w:pPr>
              <w:widowControl w:val="0"/>
              <w:jc w:val="right"/>
              <w:rPr>
                <w:bCs/>
                <w:color w:val="000000"/>
                <w:lang w:val="en-CA"/>
              </w:rPr>
            </w:pPr>
            <w:r w:rsidRPr="002C1708">
              <w:rPr>
                <w:bCs/>
                <w:color w:val="000000"/>
                <w:lang w:val="en-CA"/>
              </w:rPr>
              <w:t>Packaging</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6B6F2A" w:rsidRPr="002C1708" w:rsidRDefault="006B6F2A" w:rsidP="00506B9C">
            <w:pPr>
              <w:widowControl w:val="0"/>
              <w:jc w:val="right"/>
            </w:pPr>
            <w:r w:rsidRPr="002C1708">
              <w:t>1</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6B6F2A" w:rsidRPr="002C1708" w:rsidRDefault="006B6F2A" w:rsidP="00506B9C">
            <w:pPr>
              <w:widowControl w:val="0"/>
              <w:jc w:val="right"/>
            </w:pPr>
            <w:r w:rsidRPr="002C1708">
              <w:t>4</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6B6F2A" w:rsidRPr="002C1708" w:rsidRDefault="006B6F2A" w:rsidP="00506B9C">
            <w:pPr>
              <w:widowControl w:val="0"/>
              <w:jc w:val="right"/>
            </w:pPr>
            <w:r w:rsidRPr="002C1708">
              <w:t>2</w:t>
            </w:r>
          </w:p>
        </w:tc>
      </w:tr>
      <w:tr w:rsidR="006B6F2A" w:rsidRPr="002C1708" w:rsidTr="002331A6">
        <w:tc>
          <w:tcPr>
            <w:tcW w:w="12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6B6F2A" w:rsidRPr="002C1708" w:rsidRDefault="006B6F2A" w:rsidP="00506B9C">
            <w:pPr>
              <w:widowControl w:val="0"/>
              <w:jc w:val="right"/>
              <w:rPr>
                <w:b/>
                <w:bCs/>
                <w:color w:val="000000"/>
                <w:lang w:val="en-CA"/>
              </w:rPr>
            </w:pPr>
            <w:r w:rsidRPr="002C1708">
              <w:rPr>
                <w:b/>
                <w:bCs/>
                <w:color w:val="000000"/>
                <w:lang w:val="en-CA"/>
              </w:rPr>
              <w:t>Total</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6B6F2A" w:rsidRPr="002C1708" w:rsidRDefault="006B6F2A" w:rsidP="00506B9C">
            <w:pPr>
              <w:widowControl w:val="0"/>
              <w:jc w:val="right"/>
              <w:rPr>
                <w:b/>
              </w:rPr>
            </w:pPr>
            <w:r w:rsidRPr="002C1708">
              <w:rPr>
                <w:b/>
              </w:rPr>
              <w:t>33</w:t>
            </w:r>
          </w:p>
        </w:tc>
        <w:tc>
          <w:tcPr>
            <w:tcW w:w="1250" w:type="pct"/>
            <w:tcBorders>
              <w:top w:val="single" w:sz="4" w:space="0" w:color="auto"/>
              <w:left w:val="single" w:sz="4" w:space="0" w:color="auto"/>
              <w:bottom w:val="single" w:sz="4" w:space="0" w:color="auto"/>
              <w:right w:val="single" w:sz="4" w:space="0" w:color="auto"/>
            </w:tcBorders>
          </w:tcPr>
          <w:p w:rsidR="006B6F2A" w:rsidRPr="002C1708" w:rsidRDefault="006B6F2A" w:rsidP="00506B9C">
            <w:pPr>
              <w:widowControl w:val="0"/>
              <w:jc w:val="right"/>
              <w:rPr>
                <w:b/>
              </w:rPr>
            </w:pPr>
            <w:r w:rsidRPr="002C1708">
              <w:rPr>
                <w:b/>
              </w:rPr>
              <w:t>36</w:t>
            </w:r>
          </w:p>
        </w:tc>
        <w:tc>
          <w:tcPr>
            <w:tcW w:w="1250" w:type="pct"/>
            <w:tcBorders>
              <w:top w:val="single" w:sz="4" w:space="0" w:color="auto"/>
              <w:left w:val="single" w:sz="4" w:space="0" w:color="auto"/>
              <w:bottom w:val="single" w:sz="4" w:space="0" w:color="auto"/>
              <w:right w:val="single" w:sz="4" w:space="0" w:color="auto"/>
            </w:tcBorders>
          </w:tcPr>
          <w:p w:rsidR="006B6F2A" w:rsidRPr="002C1708" w:rsidRDefault="006B6F2A" w:rsidP="00506B9C">
            <w:pPr>
              <w:widowControl w:val="0"/>
              <w:jc w:val="right"/>
              <w:rPr>
                <w:b/>
              </w:rPr>
            </w:pPr>
            <w:r w:rsidRPr="002C1708">
              <w:rPr>
                <w:b/>
              </w:rPr>
              <w:t>37</w:t>
            </w:r>
          </w:p>
        </w:tc>
      </w:tr>
    </w:tbl>
    <w:p w:rsidR="00680863" w:rsidRPr="002C1708" w:rsidRDefault="00680863" w:rsidP="00506B9C">
      <w:pPr>
        <w:rPr>
          <w:b/>
          <w:lang w:val="en-CA"/>
        </w:rPr>
      </w:pPr>
    </w:p>
    <w:p w:rsidR="000576B1" w:rsidRPr="000576B1" w:rsidRDefault="000576B1" w:rsidP="00267A2A">
      <w:pPr>
        <w:pStyle w:val="Heading1"/>
        <w:rPr>
          <w:lang w:val="en-CA"/>
        </w:rPr>
      </w:pPr>
      <w:r w:rsidRPr="00C203D3">
        <w:t xml:space="preserve">The Government of Argentina in its response to decision 77/59(c) reported that under </w:t>
      </w:r>
      <w:r w:rsidR="002D5191">
        <w:t>the CDM</w:t>
      </w:r>
      <w:r w:rsidRPr="00C203D3">
        <w:t xml:space="preserve"> a destruction facility was set up to destroy HFC-23 by-product. </w:t>
      </w:r>
      <w:r w:rsidRPr="00C203D3">
        <w:rPr>
          <w:bCs/>
        </w:rPr>
        <w:t>However</w:t>
      </w:r>
      <w:r>
        <w:rPr>
          <w:bCs/>
        </w:rPr>
        <w:t>,</w:t>
      </w:r>
      <w:r w:rsidRPr="00C203D3">
        <w:t xml:space="preserve"> the destruction facility </w:t>
      </w:r>
      <w:r w:rsidR="00BD1285">
        <w:t xml:space="preserve">is currently not operating </w:t>
      </w:r>
      <w:r w:rsidRPr="00C203D3">
        <w:t xml:space="preserve">and all the HFC-23 </w:t>
      </w:r>
      <w:r>
        <w:t xml:space="preserve">by-product </w:t>
      </w:r>
      <w:r w:rsidRPr="00C203D3">
        <w:t>is vented.</w:t>
      </w:r>
      <w:r w:rsidR="00D16B2F" w:rsidRPr="00C203D3">
        <w:rPr>
          <w:rStyle w:val="FootnoteReference"/>
        </w:rPr>
        <w:footnoteReference w:id="6"/>
      </w:r>
      <w:r w:rsidRPr="00C203D3">
        <w:t xml:space="preserve"> </w:t>
      </w:r>
      <w:r w:rsidR="00972E3D" w:rsidRPr="00C203D3">
        <w:t xml:space="preserve">The </w:t>
      </w:r>
      <w:r w:rsidR="00972E3D" w:rsidRPr="00C203D3">
        <w:rPr>
          <w:bCs/>
        </w:rPr>
        <w:t xml:space="preserve">operating cost of destruction was estimated by the </w:t>
      </w:r>
      <w:r w:rsidR="00972E3D">
        <w:rPr>
          <w:bCs/>
        </w:rPr>
        <w:t>enterprise</w:t>
      </w:r>
      <w:r w:rsidR="00972E3D" w:rsidRPr="00C203D3">
        <w:rPr>
          <w:bCs/>
        </w:rPr>
        <w:t xml:space="preserve"> at approximately US $5.68/kg of HFC-23.</w:t>
      </w:r>
      <w:r w:rsidR="00972E3D">
        <w:rPr>
          <w:bCs/>
        </w:rPr>
        <w:t xml:space="preserve"> </w:t>
      </w:r>
      <w:r w:rsidR="00BD1285">
        <w:t>T</w:t>
      </w:r>
      <w:r w:rsidRPr="00C203D3">
        <w:t xml:space="preserve">he </w:t>
      </w:r>
      <w:r w:rsidR="00FB1F0D">
        <w:t>enterprise</w:t>
      </w:r>
      <w:r w:rsidRPr="00C203D3">
        <w:t xml:space="preserve"> believes that to start up the operation again, funding would be needed to replace a damaged absorption tower, valves, and to purchase </w:t>
      </w:r>
      <w:r w:rsidRPr="00C203D3">
        <w:lastRenderedPageBreak/>
        <w:t xml:space="preserve">zeolite for the oxygen generator. </w:t>
      </w:r>
      <w:r w:rsidR="00FD2393">
        <w:t xml:space="preserve">However, </w:t>
      </w:r>
      <w:r w:rsidR="008C4C9E">
        <w:t xml:space="preserve">FIASA </w:t>
      </w:r>
      <w:r w:rsidR="008C4C9E">
        <w:rPr>
          <w:lang w:val="en-CA"/>
        </w:rPr>
        <w:t>did not include an estimate of the costs to start up the destruction fac</w:t>
      </w:r>
      <w:r w:rsidR="00D16B2F">
        <w:rPr>
          <w:lang w:val="en-CA"/>
        </w:rPr>
        <w:t>ility.</w:t>
      </w:r>
    </w:p>
    <w:p w:rsidR="00B75FDD" w:rsidRDefault="00BD1285" w:rsidP="00267A2A">
      <w:pPr>
        <w:pStyle w:val="Heading1"/>
        <w:numPr>
          <w:ilvl w:val="0"/>
          <w:numId w:val="0"/>
        </w:numPr>
        <w:rPr>
          <w:b/>
          <w:lang w:val="en-CA"/>
        </w:rPr>
      </w:pPr>
      <w:r w:rsidRPr="00BD1285">
        <w:rPr>
          <w:b/>
          <w:lang w:val="en-CA"/>
        </w:rPr>
        <w:t>Secretariat’s comments</w:t>
      </w:r>
    </w:p>
    <w:p w:rsidR="00FD2393" w:rsidRPr="00FD2393" w:rsidRDefault="00FD2393" w:rsidP="00267A2A">
      <w:pPr>
        <w:rPr>
          <w:u w:val="single"/>
          <w:lang w:val="en-CA"/>
        </w:rPr>
      </w:pPr>
      <w:r w:rsidRPr="00FD2393">
        <w:rPr>
          <w:u w:val="single"/>
          <w:lang w:val="en-CA"/>
        </w:rPr>
        <w:t>Agreement for the CFC production in Argentina</w:t>
      </w:r>
    </w:p>
    <w:p w:rsidR="00FD2393" w:rsidRPr="00FD2393" w:rsidRDefault="00FD2393" w:rsidP="00267A2A">
      <w:pPr>
        <w:rPr>
          <w:lang w:val="en-CA"/>
        </w:rPr>
      </w:pPr>
    </w:p>
    <w:p w:rsidR="00BD3DDA" w:rsidRPr="00267A2A" w:rsidRDefault="00BD3DDA" w:rsidP="00267A2A">
      <w:pPr>
        <w:pStyle w:val="Heading1"/>
        <w:rPr>
          <w:lang w:val="en-CA"/>
        </w:rPr>
      </w:pPr>
      <w:r w:rsidRPr="00DC4A5A">
        <w:rPr>
          <w:lang w:val="en-CA"/>
        </w:rPr>
        <w:t>FIASA is a swing plant that was the only ODS production facility addressed under Argentina’s production sector Agreement with the Executive Committee. At the 38</w:t>
      </w:r>
      <w:r w:rsidRPr="00DC4A5A">
        <w:rPr>
          <w:vertAlign w:val="superscript"/>
          <w:lang w:val="en-CA"/>
        </w:rPr>
        <w:t>th</w:t>
      </w:r>
      <w:r w:rsidRPr="00DC4A5A">
        <w:rPr>
          <w:lang w:val="en-CA"/>
        </w:rPr>
        <w:t xml:space="preserve"> meeting, the Executive Committee approved the Agreement for the Argentina Production Sector at a funding level of US $3.8 million; and, at the 52</w:t>
      </w:r>
      <w:r w:rsidRPr="00DC4A5A">
        <w:rPr>
          <w:vertAlign w:val="superscript"/>
          <w:lang w:val="en-CA"/>
        </w:rPr>
        <w:t>nd</w:t>
      </w:r>
      <w:r w:rsidRPr="00DC4A5A">
        <w:rPr>
          <w:lang w:val="en-CA"/>
        </w:rPr>
        <w:t xml:space="preserve"> meeting, the Committee approved in </w:t>
      </w:r>
      <w:r w:rsidRPr="00267A2A">
        <w:rPr>
          <w:lang w:val="en-CA"/>
        </w:rPr>
        <w:t>principle an additional US $2.3 million for closing down the CFC production by the end of 2007, two years ahead of the phase-out schedule. The additional funding was disbursed at the 53</w:t>
      </w:r>
      <w:r w:rsidRPr="00267A2A">
        <w:rPr>
          <w:vertAlign w:val="superscript"/>
          <w:lang w:val="en-CA"/>
        </w:rPr>
        <w:t>rd</w:t>
      </w:r>
      <w:r w:rsidRPr="00267A2A">
        <w:rPr>
          <w:lang w:val="en-CA"/>
        </w:rPr>
        <w:t xml:space="preserve"> meeting, when the Executive Committee amended the Agreement specifying that “Argentina agrees that the funds being agreed in principle by the Executive Committee at its 38</w:t>
      </w:r>
      <w:r w:rsidRPr="00267A2A">
        <w:rPr>
          <w:vertAlign w:val="superscript"/>
          <w:lang w:val="en-CA"/>
        </w:rPr>
        <w:t>th</w:t>
      </w:r>
      <w:r w:rsidRPr="00267A2A">
        <w:rPr>
          <w:lang w:val="en-CA"/>
        </w:rPr>
        <w:t xml:space="preserve"> and 52</w:t>
      </w:r>
      <w:r w:rsidRPr="00267A2A">
        <w:rPr>
          <w:vertAlign w:val="superscript"/>
          <w:lang w:val="en-CA"/>
        </w:rPr>
        <w:t>nd</w:t>
      </w:r>
      <w:r w:rsidR="00267A2A" w:rsidRPr="00267A2A">
        <w:rPr>
          <w:lang w:val="en-CA"/>
        </w:rPr>
        <w:t> </w:t>
      </w:r>
      <w:r w:rsidRPr="00267A2A">
        <w:rPr>
          <w:lang w:val="en-CA"/>
        </w:rPr>
        <w:t>meetings for complete closure of its CFC production capacity is the total funding that will be available to it to enable its full compliance with the CFC production phase out requirements of the Montreal Protocol, and that no additional Multilateral Fund resources will be forthcoming for related activities including the development of infrastructure for the production of alternatives, the import of alternatives, or the eventual closure of any HCFC facilities that use existing CFC infrastructure.” At the 53</w:t>
      </w:r>
      <w:r w:rsidRPr="00267A2A">
        <w:rPr>
          <w:vertAlign w:val="superscript"/>
          <w:lang w:val="en-CA"/>
        </w:rPr>
        <w:t>rd</w:t>
      </w:r>
      <w:r w:rsidRPr="00267A2A">
        <w:rPr>
          <w:lang w:val="en-CA"/>
        </w:rPr>
        <w:t xml:space="preserve"> meeting, the Government of Argentina confirmed its concurrence with this provision with the understanding that if and when the Executive Committee decided in the future to finance HCFC facilities that used existing CFC infrastructure (i.e., HCFC-22 production swing plants), Argentina would be eligible and would be treated similarly to other Article 5 countries.</w:t>
      </w:r>
    </w:p>
    <w:p w:rsidR="00FD2393" w:rsidRPr="00267A2A" w:rsidRDefault="00A61A57" w:rsidP="00267A2A">
      <w:pPr>
        <w:rPr>
          <w:i/>
          <w:lang w:val="en-CA"/>
        </w:rPr>
      </w:pPr>
      <w:r w:rsidRPr="00267A2A">
        <w:rPr>
          <w:i/>
          <w:lang w:val="en-CA"/>
        </w:rPr>
        <w:t>Brief analysis of the preliminary data</w:t>
      </w:r>
    </w:p>
    <w:p w:rsidR="00FD2393" w:rsidRPr="00267A2A" w:rsidRDefault="00FD2393" w:rsidP="00267A2A">
      <w:pPr>
        <w:rPr>
          <w:lang w:val="en-CA"/>
        </w:rPr>
      </w:pPr>
    </w:p>
    <w:p w:rsidR="000814EA" w:rsidRPr="00A61A57" w:rsidRDefault="00082296" w:rsidP="00267A2A">
      <w:pPr>
        <w:pStyle w:val="Heading1"/>
        <w:rPr>
          <w:lang w:val="en-CA"/>
        </w:rPr>
      </w:pPr>
      <w:r w:rsidRPr="00267A2A">
        <w:rPr>
          <w:lang w:val="en-CA"/>
        </w:rPr>
        <w:t>The production of HCFC-22</w:t>
      </w:r>
      <w:r w:rsidR="00972E3D" w:rsidRPr="00267A2A">
        <w:rPr>
          <w:lang w:val="en-CA"/>
        </w:rPr>
        <w:t xml:space="preserve"> </w:t>
      </w:r>
      <w:r w:rsidRPr="00267A2A">
        <w:rPr>
          <w:lang w:val="en-CA"/>
        </w:rPr>
        <w:t>(HCClF</w:t>
      </w:r>
      <w:r w:rsidRPr="00267A2A">
        <w:rPr>
          <w:vertAlign w:val="subscript"/>
          <w:lang w:val="en-CA"/>
        </w:rPr>
        <w:t>2</w:t>
      </w:r>
      <w:r w:rsidRPr="00267A2A">
        <w:rPr>
          <w:lang w:val="en-CA"/>
        </w:rPr>
        <w:t xml:space="preserve">) is based on the reaction of </w:t>
      </w:r>
      <w:r w:rsidR="002331A6" w:rsidRPr="00267A2A">
        <w:rPr>
          <w:lang w:val="en-CA"/>
        </w:rPr>
        <w:t xml:space="preserve">two molecules of </w:t>
      </w:r>
      <w:r w:rsidRPr="00267A2A">
        <w:rPr>
          <w:lang w:val="en-CA"/>
        </w:rPr>
        <w:t xml:space="preserve">HF with </w:t>
      </w:r>
      <w:r w:rsidR="002331A6" w:rsidRPr="00267A2A">
        <w:rPr>
          <w:lang w:val="en-CA"/>
        </w:rPr>
        <w:t xml:space="preserve">one molecule of </w:t>
      </w:r>
      <w:r w:rsidRPr="00267A2A">
        <w:rPr>
          <w:lang w:val="en-CA"/>
        </w:rPr>
        <w:t>HCCl</w:t>
      </w:r>
      <w:r w:rsidRPr="00267A2A">
        <w:rPr>
          <w:vertAlign w:val="subscript"/>
          <w:lang w:val="en-CA"/>
        </w:rPr>
        <w:t>3</w:t>
      </w:r>
      <w:r w:rsidRPr="00267A2A">
        <w:rPr>
          <w:lang w:val="en-CA"/>
        </w:rPr>
        <w:t xml:space="preserve"> </w:t>
      </w:r>
      <w:r w:rsidR="002331A6" w:rsidRPr="00267A2A">
        <w:rPr>
          <w:lang w:val="en-CA"/>
        </w:rPr>
        <w:t>to produce one molecule of HCFC-22 (</w:t>
      </w:r>
      <w:r w:rsidRPr="00267A2A">
        <w:rPr>
          <w:lang w:val="en-CA"/>
        </w:rPr>
        <w:t xml:space="preserve">according to the </w:t>
      </w:r>
      <w:r w:rsidR="005375BF" w:rsidRPr="00267A2A">
        <w:rPr>
          <w:lang w:val="en-CA"/>
        </w:rPr>
        <w:t xml:space="preserve">chemical </w:t>
      </w:r>
      <w:r w:rsidRPr="00267A2A">
        <w:rPr>
          <w:lang w:val="en-CA"/>
        </w:rPr>
        <w:t>reaction: 2HF + HCCl</w:t>
      </w:r>
      <w:r w:rsidRPr="00267A2A">
        <w:rPr>
          <w:vertAlign w:val="subscript"/>
          <w:lang w:val="en-CA"/>
        </w:rPr>
        <w:t>3</w:t>
      </w:r>
      <w:r w:rsidRPr="00267A2A">
        <w:rPr>
          <w:lang w:val="en-CA"/>
        </w:rPr>
        <w:t xml:space="preserve"> → </w:t>
      </w:r>
      <w:r w:rsidR="002D5191" w:rsidRPr="00267A2A">
        <w:rPr>
          <w:lang w:val="en-CA"/>
        </w:rPr>
        <w:t>HCClF</w:t>
      </w:r>
      <w:r w:rsidR="002D5191" w:rsidRPr="00267A2A">
        <w:rPr>
          <w:vertAlign w:val="subscript"/>
          <w:lang w:val="en-CA"/>
        </w:rPr>
        <w:t>2</w:t>
      </w:r>
      <w:r w:rsidR="002331A6" w:rsidRPr="00267A2A">
        <w:rPr>
          <w:lang w:val="en-CA"/>
        </w:rPr>
        <w:t>)</w:t>
      </w:r>
      <w:r w:rsidRPr="00267A2A">
        <w:rPr>
          <w:lang w:val="en-CA"/>
        </w:rPr>
        <w:t xml:space="preserve">. </w:t>
      </w:r>
      <w:r w:rsidR="008430C5" w:rsidRPr="00267A2A">
        <w:rPr>
          <w:lang w:val="en-CA"/>
        </w:rPr>
        <w:t>Based on the preliminary data provided, it appears that FIASA typically runs its reactor with an excess of HF (i.e., molar ratio of HF to HCCl</w:t>
      </w:r>
      <w:r w:rsidR="008430C5" w:rsidRPr="00267A2A">
        <w:rPr>
          <w:vertAlign w:val="subscript"/>
          <w:lang w:val="en-CA"/>
        </w:rPr>
        <w:t>3</w:t>
      </w:r>
      <w:r w:rsidR="008430C5" w:rsidRPr="00267A2A">
        <w:rPr>
          <w:lang w:val="en-CA"/>
        </w:rPr>
        <w:t xml:space="preserve"> greater than 2), which is the common industry practice. </w:t>
      </w:r>
      <w:r w:rsidR="002331A6" w:rsidRPr="00267A2A">
        <w:rPr>
          <w:lang w:val="en-CA"/>
        </w:rPr>
        <w:t>It appears that some of the HF that was reported for 2015 was</w:t>
      </w:r>
      <w:r w:rsidR="00F95561" w:rsidRPr="00267A2A">
        <w:rPr>
          <w:lang w:val="en-CA"/>
        </w:rPr>
        <w:t xml:space="preserve"> stored and</w:t>
      </w:r>
      <w:r w:rsidR="002331A6" w:rsidRPr="00267A2A">
        <w:rPr>
          <w:lang w:val="en-CA"/>
        </w:rPr>
        <w:t xml:space="preserve"> used in 2016</w:t>
      </w:r>
      <w:r w:rsidR="004C2903" w:rsidRPr="00267A2A">
        <w:rPr>
          <w:lang w:val="en-CA"/>
        </w:rPr>
        <w:t xml:space="preserve"> as the theoretical yield, which is calculated based on stoichiometric quantities of the raw materials</w:t>
      </w:r>
      <w:r w:rsidR="002331A6" w:rsidRPr="00A61A57">
        <w:rPr>
          <w:lang w:val="en-CA"/>
        </w:rPr>
        <w:t xml:space="preserve">, </w:t>
      </w:r>
      <w:r w:rsidR="004C2903" w:rsidRPr="00A61A57">
        <w:rPr>
          <w:lang w:val="en-CA"/>
        </w:rPr>
        <w:t>is greater than 100 per cent</w:t>
      </w:r>
      <w:r w:rsidR="00972E3D" w:rsidRPr="00A61A57">
        <w:rPr>
          <w:lang w:val="en-CA"/>
        </w:rPr>
        <w:t xml:space="preserve">, as shown in </w:t>
      </w:r>
      <w:r w:rsidR="00F13951" w:rsidRPr="00A61A57">
        <w:rPr>
          <w:lang w:val="en-CA"/>
        </w:rPr>
        <w:t>T</w:t>
      </w:r>
      <w:r w:rsidR="004C2903" w:rsidRPr="00A61A57">
        <w:rPr>
          <w:lang w:val="en-CA"/>
        </w:rPr>
        <w:t>able 3.</w:t>
      </w:r>
      <w:r w:rsidR="00A61A57" w:rsidRPr="00A61A57">
        <w:rPr>
          <w:lang w:val="en-CA"/>
        </w:rPr>
        <w:t xml:space="preserve"> </w:t>
      </w:r>
    </w:p>
    <w:p w:rsidR="000814EA" w:rsidRPr="00D82BCD" w:rsidRDefault="00082296" w:rsidP="00267A2A">
      <w:pPr>
        <w:rPr>
          <w:b/>
          <w:lang w:val="en-CA"/>
        </w:rPr>
      </w:pPr>
      <w:r>
        <w:rPr>
          <w:b/>
          <w:lang w:val="en-CA"/>
        </w:rPr>
        <w:t>Table 3</w:t>
      </w:r>
      <w:r w:rsidR="000814EA" w:rsidRPr="0082722D">
        <w:rPr>
          <w:b/>
          <w:lang w:val="en-CA"/>
        </w:rPr>
        <w:t xml:space="preserve">. </w:t>
      </w:r>
      <w:r>
        <w:rPr>
          <w:b/>
          <w:lang w:val="en-CA"/>
        </w:rPr>
        <w:t xml:space="preserve">Molar ratio and theoretical yield </w:t>
      </w:r>
      <w:r w:rsidR="000814EA">
        <w:rPr>
          <w:b/>
          <w:lang w:val="en-CA"/>
        </w:rPr>
        <w:t xml:space="preserve">at FIASA </w:t>
      </w:r>
    </w:p>
    <w:tbl>
      <w:tblPr>
        <w:tblW w:w="5000" w:type="pct"/>
        <w:tblLook w:val="04A0" w:firstRow="1" w:lastRow="0" w:firstColumn="1" w:lastColumn="0" w:noHBand="0" w:noVBand="1"/>
      </w:tblPr>
      <w:tblGrid>
        <w:gridCol w:w="3116"/>
        <w:gridCol w:w="3117"/>
        <w:gridCol w:w="3117"/>
      </w:tblGrid>
      <w:tr w:rsidR="009E2E11" w:rsidRPr="006B74B3" w:rsidTr="009E2E11">
        <w:trPr>
          <w:tblHeader/>
        </w:trPr>
        <w:tc>
          <w:tcPr>
            <w:tcW w:w="16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E2E11" w:rsidRPr="006B74B3" w:rsidRDefault="009E2E11" w:rsidP="00506B9C">
            <w:pPr>
              <w:widowControl w:val="0"/>
              <w:jc w:val="center"/>
              <w:rPr>
                <w:b/>
                <w:bCs/>
                <w:color w:val="000000"/>
                <w:sz w:val="20"/>
                <w:szCs w:val="20"/>
                <w:lang w:val="en-CA"/>
              </w:rPr>
            </w:pPr>
            <w:r>
              <w:rPr>
                <w:b/>
                <w:bCs/>
                <w:color w:val="000000"/>
                <w:sz w:val="20"/>
                <w:szCs w:val="20"/>
                <w:lang w:val="en-CA"/>
              </w:rPr>
              <w:t>Year</w:t>
            </w:r>
          </w:p>
        </w:tc>
        <w:tc>
          <w:tcPr>
            <w:tcW w:w="1667" w:type="pct"/>
            <w:tcBorders>
              <w:top w:val="single" w:sz="4" w:space="0" w:color="auto"/>
              <w:left w:val="nil"/>
              <w:bottom w:val="single" w:sz="4" w:space="0" w:color="auto"/>
              <w:right w:val="single" w:sz="4" w:space="0" w:color="auto"/>
            </w:tcBorders>
            <w:shd w:val="clear" w:color="auto" w:fill="auto"/>
            <w:vAlign w:val="center"/>
          </w:tcPr>
          <w:p w:rsidR="009E2E11" w:rsidRPr="006B74B3" w:rsidRDefault="009E2E11" w:rsidP="00506B9C">
            <w:pPr>
              <w:widowControl w:val="0"/>
              <w:jc w:val="center"/>
              <w:rPr>
                <w:b/>
                <w:bCs/>
                <w:color w:val="000000"/>
                <w:sz w:val="20"/>
                <w:szCs w:val="20"/>
                <w:lang w:val="en-CA"/>
              </w:rPr>
            </w:pPr>
            <w:r>
              <w:rPr>
                <w:b/>
                <w:bCs/>
                <w:color w:val="000000"/>
                <w:sz w:val="20"/>
                <w:szCs w:val="20"/>
                <w:lang w:val="en-CA"/>
              </w:rPr>
              <w:t>Molar ratio (HF</w:t>
            </w:r>
            <w:r>
              <w:t>/</w:t>
            </w:r>
            <w:r w:rsidRPr="000814EA">
              <w:rPr>
                <w:b/>
                <w:bCs/>
                <w:color w:val="000000"/>
                <w:sz w:val="20"/>
                <w:szCs w:val="20"/>
                <w:lang w:val="en-CA"/>
              </w:rPr>
              <w:t>HCCl</w:t>
            </w:r>
            <w:r w:rsidRPr="000814EA">
              <w:rPr>
                <w:b/>
                <w:bCs/>
                <w:color w:val="000000"/>
                <w:sz w:val="20"/>
                <w:szCs w:val="20"/>
                <w:vertAlign w:val="subscript"/>
                <w:lang w:val="en-CA"/>
              </w:rPr>
              <w:t>3</w:t>
            </w:r>
            <w:r>
              <w:rPr>
                <w:b/>
                <w:bCs/>
                <w:color w:val="000000"/>
                <w:sz w:val="20"/>
                <w:szCs w:val="20"/>
                <w:lang w:val="en-CA"/>
              </w:rPr>
              <w:t>)</w:t>
            </w:r>
            <w:r w:rsidR="006C20A2">
              <w:rPr>
                <w:rStyle w:val="FootnoteReference"/>
                <w:b/>
                <w:bCs/>
                <w:color w:val="000000"/>
                <w:sz w:val="20"/>
                <w:szCs w:val="20"/>
                <w:lang w:val="en-CA"/>
              </w:rPr>
              <w:footnoteReference w:id="7"/>
            </w:r>
          </w:p>
        </w:tc>
        <w:tc>
          <w:tcPr>
            <w:tcW w:w="1667" w:type="pct"/>
            <w:tcBorders>
              <w:top w:val="single" w:sz="4" w:space="0" w:color="auto"/>
              <w:left w:val="single" w:sz="4" w:space="0" w:color="auto"/>
              <w:bottom w:val="single" w:sz="4" w:space="0" w:color="auto"/>
              <w:right w:val="single" w:sz="4" w:space="0" w:color="auto"/>
            </w:tcBorders>
            <w:vAlign w:val="center"/>
          </w:tcPr>
          <w:p w:rsidR="009E2E11" w:rsidRPr="006B74B3" w:rsidRDefault="009E2E11" w:rsidP="00506B9C">
            <w:pPr>
              <w:widowControl w:val="0"/>
              <w:jc w:val="center"/>
              <w:rPr>
                <w:b/>
                <w:bCs/>
                <w:color w:val="000000"/>
                <w:sz w:val="20"/>
                <w:szCs w:val="20"/>
                <w:lang w:val="en-CA"/>
              </w:rPr>
            </w:pPr>
            <w:r>
              <w:rPr>
                <w:b/>
                <w:bCs/>
                <w:color w:val="000000"/>
                <w:sz w:val="20"/>
                <w:szCs w:val="20"/>
                <w:lang w:val="en-CA"/>
              </w:rPr>
              <w:t>Theoretical yield (%)</w:t>
            </w:r>
          </w:p>
        </w:tc>
      </w:tr>
      <w:tr w:rsidR="009E2E11" w:rsidRPr="006B74B3" w:rsidTr="009E2E11">
        <w:tc>
          <w:tcPr>
            <w:tcW w:w="16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E2E11" w:rsidRPr="00FA4E8A" w:rsidRDefault="009E2E11" w:rsidP="00506B9C">
            <w:pPr>
              <w:widowControl w:val="0"/>
              <w:jc w:val="left"/>
              <w:rPr>
                <w:bCs/>
                <w:color w:val="000000"/>
                <w:sz w:val="20"/>
                <w:szCs w:val="20"/>
                <w:lang w:val="en-CA"/>
              </w:rPr>
            </w:pPr>
            <w:r>
              <w:rPr>
                <w:bCs/>
                <w:color w:val="000000"/>
                <w:sz w:val="20"/>
                <w:szCs w:val="20"/>
                <w:lang w:val="en-CA"/>
              </w:rPr>
              <w:t>2014</w:t>
            </w:r>
          </w:p>
        </w:tc>
        <w:tc>
          <w:tcPr>
            <w:tcW w:w="1667" w:type="pct"/>
            <w:tcBorders>
              <w:top w:val="single" w:sz="4" w:space="0" w:color="auto"/>
              <w:left w:val="nil"/>
              <w:bottom w:val="single" w:sz="4" w:space="0" w:color="auto"/>
              <w:right w:val="single" w:sz="4" w:space="0" w:color="auto"/>
            </w:tcBorders>
            <w:shd w:val="clear" w:color="auto" w:fill="auto"/>
          </w:tcPr>
          <w:p w:rsidR="009E2E11" w:rsidRPr="006B74B3" w:rsidRDefault="00082296" w:rsidP="00506B9C">
            <w:pPr>
              <w:widowControl w:val="0"/>
              <w:jc w:val="right"/>
              <w:rPr>
                <w:color w:val="000000"/>
                <w:sz w:val="20"/>
                <w:szCs w:val="20"/>
                <w:lang w:val="en-CA"/>
              </w:rPr>
            </w:pPr>
            <w:r>
              <w:t>2.24</w:t>
            </w:r>
          </w:p>
        </w:tc>
        <w:tc>
          <w:tcPr>
            <w:tcW w:w="1667" w:type="pct"/>
            <w:tcBorders>
              <w:top w:val="nil"/>
              <w:left w:val="single" w:sz="4" w:space="0" w:color="auto"/>
              <w:bottom w:val="single" w:sz="4" w:space="0" w:color="auto"/>
              <w:right w:val="single" w:sz="4" w:space="0" w:color="auto"/>
            </w:tcBorders>
          </w:tcPr>
          <w:p w:rsidR="009E2E11" w:rsidRPr="006B74B3" w:rsidRDefault="009E2E11" w:rsidP="00506B9C">
            <w:pPr>
              <w:widowControl w:val="0"/>
              <w:jc w:val="right"/>
              <w:rPr>
                <w:color w:val="000000"/>
                <w:sz w:val="20"/>
                <w:szCs w:val="20"/>
                <w:lang w:val="en-CA"/>
              </w:rPr>
            </w:pPr>
            <w:r>
              <w:t>100</w:t>
            </w:r>
          </w:p>
        </w:tc>
      </w:tr>
      <w:tr w:rsidR="009E2E11" w:rsidRPr="006B74B3" w:rsidTr="009E2E11">
        <w:tc>
          <w:tcPr>
            <w:tcW w:w="16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E2E11" w:rsidRPr="00FA4E8A" w:rsidRDefault="009E2E11" w:rsidP="00506B9C">
            <w:pPr>
              <w:widowControl w:val="0"/>
              <w:jc w:val="left"/>
              <w:rPr>
                <w:bCs/>
                <w:color w:val="000000"/>
                <w:sz w:val="20"/>
                <w:szCs w:val="20"/>
                <w:lang w:val="en-CA"/>
              </w:rPr>
            </w:pPr>
            <w:r>
              <w:rPr>
                <w:bCs/>
                <w:color w:val="000000"/>
                <w:sz w:val="20"/>
                <w:szCs w:val="20"/>
                <w:lang w:val="en-CA"/>
              </w:rPr>
              <w:t>2015</w:t>
            </w:r>
          </w:p>
        </w:tc>
        <w:tc>
          <w:tcPr>
            <w:tcW w:w="1667" w:type="pct"/>
            <w:tcBorders>
              <w:top w:val="single" w:sz="4" w:space="0" w:color="auto"/>
              <w:left w:val="single" w:sz="4" w:space="0" w:color="auto"/>
              <w:bottom w:val="single" w:sz="4" w:space="0" w:color="auto"/>
              <w:right w:val="single" w:sz="4" w:space="0" w:color="auto"/>
            </w:tcBorders>
            <w:shd w:val="clear" w:color="auto" w:fill="auto"/>
          </w:tcPr>
          <w:p w:rsidR="009E2E11" w:rsidRPr="006B74B3" w:rsidRDefault="00082296" w:rsidP="00506B9C">
            <w:pPr>
              <w:widowControl w:val="0"/>
              <w:jc w:val="right"/>
              <w:rPr>
                <w:color w:val="000000"/>
                <w:sz w:val="20"/>
                <w:szCs w:val="20"/>
                <w:lang w:val="en-CA"/>
              </w:rPr>
            </w:pPr>
            <w:r>
              <w:t>2.13</w:t>
            </w:r>
          </w:p>
        </w:tc>
        <w:tc>
          <w:tcPr>
            <w:tcW w:w="1667" w:type="pct"/>
            <w:tcBorders>
              <w:top w:val="single" w:sz="4" w:space="0" w:color="auto"/>
              <w:left w:val="single" w:sz="4" w:space="0" w:color="auto"/>
              <w:bottom w:val="single" w:sz="4" w:space="0" w:color="auto"/>
              <w:right w:val="single" w:sz="4" w:space="0" w:color="auto"/>
            </w:tcBorders>
          </w:tcPr>
          <w:p w:rsidR="009E2E11" w:rsidRPr="006B74B3" w:rsidRDefault="009E2E11" w:rsidP="00506B9C">
            <w:pPr>
              <w:widowControl w:val="0"/>
              <w:jc w:val="right"/>
              <w:rPr>
                <w:color w:val="000000"/>
                <w:sz w:val="20"/>
                <w:szCs w:val="20"/>
                <w:lang w:val="en-CA"/>
              </w:rPr>
            </w:pPr>
            <w:r>
              <w:t>82</w:t>
            </w:r>
          </w:p>
        </w:tc>
      </w:tr>
      <w:tr w:rsidR="009E2E11" w:rsidRPr="006B74B3" w:rsidTr="009E2E11">
        <w:tc>
          <w:tcPr>
            <w:tcW w:w="16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9E2E11" w:rsidRPr="00FA4E8A" w:rsidRDefault="009E2E11" w:rsidP="00506B9C">
            <w:pPr>
              <w:widowControl w:val="0"/>
              <w:jc w:val="left"/>
              <w:rPr>
                <w:bCs/>
                <w:color w:val="000000"/>
                <w:sz w:val="20"/>
                <w:szCs w:val="20"/>
                <w:lang w:val="en-CA"/>
              </w:rPr>
            </w:pPr>
            <w:r>
              <w:rPr>
                <w:bCs/>
                <w:color w:val="000000"/>
                <w:sz w:val="20"/>
                <w:szCs w:val="20"/>
                <w:lang w:val="en-CA"/>
              </w:rPr>
              <w:t>2016</w:t>
            </w:r>
          </w:p>
        </w:tc>
        <w:tc>
          <w:tcPr>
            <w:tcW w:w="1667" w:type="pct"/>
            <w:tcBorders>
              <w:top w:val="single" w:sz="4" w:space="0" w:color="auto"/>
              <w:left w:val="single" w:sz="4" w:space="0" w:color="auto"/>
              <w:bottom w:val="single" w:sz="4" w:space="0" w:color="auto"/>
              <w:right w:val="single" w:sz="4" w:space="0" w:color="auto"/>
            </w:tcBorders>
            <w:shd w:val="clear" w:color="auto" w:fill="auto"/>
          </w:tcPr>
          <w:p w:rsidR="009E2E11" w:rsidRPr="0065551C" w:rsidRDefault="00082296" w:rsidP="00506B9C">
            <w:pPr>
              <w:widowControl w:val="0"/>
              <w:jc w:val="right"/>
            </w:pPr>
            <w:r>
              <w:t>1.46</w:t>
            </w:r>
          </w:p>
        </w:tc>
        <w:tc>
          <w:tcPr>
            <w:tcW w:w="1667" w:type="pct"/>
            <w:tcBorders>
              <w:top w:val="single" w:sz="4" w:space="0" w:color="auto"/>
              <w:left w:val="single" w:sz="4" w:space="0" w:color="auto"/>
              <w:bottom w:val="single" w:sz="4" w:space="0" w:color="auto"/>
              <w:right w:val="single" w:sz="4" w:space="0" w:color="auto"/>
            </w:tcBorders>
          </w:tcPr>
          <w:p w:rsidR="009E2E11" w:rsidRPr="0065551C" w:rsidRDefault="009E2E11" w:rsidP="00506B9C">
            <w:pPr>
              <w:widowControl w:val="0"/>
              <w:jc w:val="right"/>
            </w:pPr>
            <w:r>
              <w:t>105</w:t>
            </w:r>
          </w:p>
        </w:tc>
      </w:tr>
    </w:tbl>
    <w:p w:rsidR="000814EA" w:rsidRDefault="000814EA" w:rsidP="00506B9C">
      <w:pPr>
        <w:rPr>
          <w:lang w:val="en-CA"/>
        </w:rPr>
      </w:pPr>
    </w:p>
    <w:p w:rsidR="00972E3D" w:rsidRDefault="00972E3D" w:rsidP="00267A2A">
      <w:pPr>
        <w:pStyle w:val="Heading1"/>
        <w:rPr>
          <w:lang w:val="en-CA"/>
        </w:rPr>
      </w:pPr>
      <w:r>
        <w:rPr>
          <w:lang w:val="en-CA"/>
        </w:rPr>
        <w:t>The number of employees at FIASA increased slightly in 2014-2016 period, notwithstanding the decreased production. The ratio of the number of employees per thousand metric tonnes of HCFC-22 produced, varied between 14.4 and 21.2; this ratio is comparable to that derived from data reported in several other Article 5 countries.</w:t>
      </w:r>
    </w:p>
    <w:p w:rsidR="00CA10FB" w:rsidRPr="00CA10FB" w:rsidRDefault="00CA10FB" w:rsidP="00267A2A">
      <w:pPr>
        <w:rPr>
          <w:u w:val="single"/>
          <w:lang w:val="en-CA"/>
        </w:rPr>
      </w:pPr>
      <w:r w:rsidRPr="00CA10FB">
        <w:rPr>
          <w:u w:val="single"/>
          <w:lang w:val="en-CA"/>
        </w:rPr>
        <w:t>Costs for destruction of HFC-23</w:t>
      </w:r>
    </w:p>
    <w:p w:rsidR="00CA10FB" w:rsidRPr="00CA10FB" w:rsidRDefault="00CA10FB" w:rsidP="00267A2A">
      <w:pPr>
        <w:rPr>
          <w:lang w:val="en-CA"/>
        </w:rPr>
      </w:pPr>
    </w:p>
    <w:p w:rsidR="00C53A13" w:rsidRPr="00267A2A" w:rsidRDefault="0087304D" w:rsidP="00267A2A">
      <w:pPr>
        <w:pStyle w:val="Heading1"/>
      </w:pPr>
      <w:r w:rsidRPr="00267A2A">
        <w:rPr>
          <w:lang w:val="en-CA"/>
        </w:rPr>
        <w:t xml:space="preserve">Based on the information available, the Secretariat is not in a position to identify the most </w:t>
      </w:r>
      <w:r w:rsidR="009757C9" w:rsidRPr="00267A2A">
        <w:rPr>
          <w:lang w:val="en-CA"/>
        </w:rPr>
        <w:t>cost</w:t>
      </w:r>
      <w:r w:rsidR="009757C9" w:rsidRPr="00267A2A">
        <w:rPr>
          <w:lang w:val="en-CA"/>
        </w:rPr>
        <w:noBreakHyphen/>
      </w:r>
      <w:r w:rsidRPr="00267A2A">
        <w:rPr>
          <w:lang w:val="en-CA"/>
        </w:rPr>
        <w:t xml:space="preserve">effective option for compensation for the enterprise to enable Argentina to comply with </w:t>
      </w:r>
      <w:r w:rsidR="008B0B56" w:rsidRPr="00267A2A">
        <w:rPr>
          <w:lang w:val="en-CA"/>
        </w:rPr>
        <w:t>the HFC-23 by</w:t>
      </w:r>
      <w:r w:rsidR="008B0B56" w:rsidRPr="00267A2A">
        <w:rPr>
          <w:lang w:val="en-CA"/>
        </w:rPr>
        <w:noBreakHyphen/>
      </w:r>
      <w:r w:rsidRPr="00267A2A">
        <w:rPr>
          <w:lang w:val="en-CA"/>
        </w:rPr>
        <w:t xml:space="preserve">product control obligations of the Kigali Amendment. </w:t>
      </w:r>
      <w:r w:rsidR="001907E3" w:rsidRPr="00267A2A">
        <w:rPr>
          <w:lang w:val="en-CA"/>
        </w:rPr>
        <w:t xml:space="preserve">The break-even point between closure and </w:t>
      </w:r>
      <w:r w:rsidR="001907E3" w:rsidRPr="00267A2A">
        <w:rPr>
          <w:lang w:val="en-CA"/>
        </w:rPr>
        <w:lastRenderedPageBreak/>
        <w:t>continued operation of the destruction facility is a function of a number of factors, including the remaining lifetime of the facility, the level of production of HCFC-22 in light of the Montreal Protocol phase-out schedule, the level of compensation provided for closure, the HFC-23 by-product generation rate, the level of incremental costs associated with the start-up of the</w:t>
      </w:r>
      <w:r w:rsidR="00267A2A" w:rsidRPr="00267A2A">
        <w:rPr>
          <w:lang w:val="en-CA"/>
        </w:rPr>
        <w:t xml:space="preserve"> destruction</w:t>
      </w:r>
      <w:r w:rsidR="001907E3" w:rsidRPr="00267A2A">
        <w:rPr>
          <w:lang w:val="en-CA"/>
        </w:rPr>
        <w:t xml:space="preserve"> facility, if any,</w:t>
      </w:r>
      <w:r w:rsidR="00267A2A" w:rsidRPr="00267A2A">
        <w:rPr>
          <w:lang w:val="en-CA"/>
        </w:rPr>
        <w:t xml:space="preserve"> the level of incremental operating costs (IOCs) for the continued operation of the destruction facility,</w:t>
      </w:r>
      <w:r w:rsidR="001907E3" w:rsidRPr="00267A2A">
        <w:rPr>
          <w:lang w:val="en-CA"/>
        </w:rPr>
        <w:t xml:space="preserve"> and other factors:</w:t>
      </w:r>
    </w:p>
    <w:p w:rsidR="00267A2A" w:rsidRDefault="004B4CC4" w:rsidP="00267A2A">
      <w:pPr>
        <w:pStyle w:val="Heading1"/>
        <w:rPr>
          <w:lang w:val="en-CA"/>
        </w:rPr>
      </w:pPr>
      <w:r w:rsidRPr="00267A2A">
        <w:rPr>
          <w:lang w:val="en-CA"/>
        </w:rPr>
        <w:t>Based on information provided in the CDM monitoring reports</w:t>
      </w:r>
      <w:r w:rsidR="00267A2A">
        <w:rPr>
          <w:lang w:val="en-CA"/>
        </w:rPr>
        <w:t>:</w:t>
      </w:r>
    </w:p>
    <w:p w:rsidR="00EB194E" w:rsidRPr="00267A2A" w:rsidRDefault="00267A2A" w:rsidP="00267A2A">
      <w:pPr>
        <w:pStyle w:val="Heading2"/>
        <w:rPr>
          <w:lang w:val="en-CA"/>
        </w:rPr>
      </w:pPr>
      <w:r>
        <w:rPr>
          <w:lang w:val="en-CA"/>
        </w:rPr>
        <w:t>T</w:t>
      </w:r>
      <w:r w:rsidR="009757C9" w:rsidRPr="00267A2A">
        <w:rPr>
          <w:lang w:val="en-CA"/>
        </w:rPr>
        <w:t>he average HFC-23 by</w:t>
      </w:r>
      <w:r w:rsidR="009757C9" w:rsidRPr="00267A2A">
        <w:rPr>
          <w:lang w:val="en-CA"/>
        </w:rPr>
        <w:noBreakHyphen/>
      </w:r>
      <w:r w:rsidR="001907E3" w:rsidRPr="00267A2A">
        <w:rPr>
          <w:lang w:val="en-CA"/>
        </w:rPr>
        <w:t>product generation rate at FIASA was 3.30 per cent, though the most recent monitoring report (1 January 2013 through 14 October 2013) indicated a generation rate of 1.89 per cent</w:t>
      </w:r>
      <w:r w:rsidR="004B4CC4" w:rsidRPr="00267A2A">
        <w:rPr>
          <w:lang w:val="en-CA"/>
        </w:rPr>
        <w:t xml:space="preserve"> (see </w:t>
      </w:r>
      <w:r>
        <w:rPr>
          <w:lang w:val="en-CA"/>
        </w:rPr>
        <w:t xml:space="preserve">paragraph 7 of </w:t>
      </w:r>
      <w:r w:rsidR="004B4CC4" w:rsidRPr="00267A2A">
        <w:rPr>
          <w:lang w:val="en-CA"/>
        </w:rPr>
        <w:t>Annex I)</w:t>
      </w:r>
      <w:r w:rsidR="001907E3" w:rsidRPr="00267A2A">
        <w:rPr>
          <w:lang w:val="en-CA"/>
        </w:rPr>
        <w:t xml:space="preserve">. It is unclear whether </w:t>
      </w:r>
      <w:r w:rsidR="00B70574" w:rsidRPr="00267A2A">
        <w:rPr>
          <w:lang w:val="en-CA"/>
        </w:rPr>
        <w:t xml:space="preserve">this was temporary or whether </w:t>
      </w:r>
      <w:r w:rsidR="001907E3" w:rsidRPr="00267A2A">
        <w:rPr>
          <w:lang w:val="en-CA"/>
        </w:rPr>
        <w:t>process improvements or other factors might have led to the reduced generation rate</w:t>
      </w:r>
      <w:r w:rsidR="00EB194E" w:rsidRPr="00267A2A">
        <w:rPr>
          <w:lang w:val="en-CA"/>
        </w:rPr>
        <w:t>;</w:t>
      </w:r>
    </w:p>
    <w:p w:rsidR="004B4CC4" w:rsidRPr="00267A2A" w:rsidRDefault="00267A2A" w:rsidP="00267A2A">
      <w:pPr>
        <w:pStyle w:val="Heading2"/>
        <w:rPr>
          <w:lang w:val="en-CA"/>
        </w:rPr>
      </w:pPr>
      <w:r>
        <w:rPr>
          <w:lang w:val="en-CA"/>
        </w:rPr>
        <w:t>T</w:t>
      </w:r>
      <w:r w:rsidR="004B4CC4" w:rsidRPr="00267A2A">
        <w:rPr>
          <w:lang w:val="en-CA"/>
        </w:rPr>
        <w:t>he average normalized use of natural gas and electricity at FIASA was 0.54 Nm</w:t>
      </w:r>
      <w:r w:rsidR="004B4CC4" w:rsidRPr="00267A2A">
        <w:rPr>
          <w:vertAlign w:val="superscript"/>
          <w:lang w:val="en-CA"/>
        </w:rPr>
        <w:t>3</w:t>
      </w:r>
      <w:r w:rsidR="004B4CC4" w:rsidRPr="00267A2A">
        <w:rPr>
          <w:lang w:val="en-CA"/>
        </w:rPr>
        <w:t xml:space="preserve">/kg of HFC-23 and 0.40 kWh/kg of HFC-23 (see </w:t>
      </w:r>
      <w:r>
        <w:rPr>
          <w:lang w:val="en-CA"/>
        </w:rPr>
        <w:t xml:space="preserve">paragraph 3 of </w:t>
      </w:r>
      <w:r w:rsidR="004B4CC4" w:rsidRPr="00267A2A">
        <w:rPr>
          <w:lang w:val="en-CA"/>
        </w:rPr>
        <w:t>Annex I). Assuming nominal costs of US $0.50/Nm</w:t>
      </w:r>
      <w:r w:rsidR="004B4CC4" w:rsidRPr="00267A2A">
        <w:rPr>
          <w:vertAlign w:val="superscript"/>
          <w:lang w:val="en-CA"/>
        </w:rPr>
        <w:t>3</w:t>
      </w:r>
      <w:r w:rsidR="004B4CC4" w:rsidRPr="00267A2A">
        <w:rPr>
          <w:lang w:val="en-CA"/>
        </w:rPr>
        <w:t xml:space="preserve"> for natural gas and US $0.10/kWh, suggests incremental costs for those two consumables of US $0.31/kg of HFC-23 destroyed;</w:t>
      </w:r>
    </w:p>
    <w:p w:rsidR="00EB194E" w:rsidRPr="00267A2A" w:rsidRDefault="00267A2A" w:rsidP="00267A2A">
      <w:pPr>
        <w:pStyle w:val="Heading2"/>
        <w:rPr>
          <w:lang w:val="en-CA"/>
        </w:rPr>
      </w:pPr>
      <w:r>
        <w:rPr>
          <w:lang w:val="en-CA"/>
        </w:rPr>
        <w:t>T</w:t>
      </w:r>
      <w:r w:rsidR="001907E3" w:rsidRPr="00267A2A">
        <w:rPr>
          <w:lang w:val="en-CA"/>
        </w:rPr>
        <w:t xml:space="preserve">he destruction technology used by FIASA does not result in the generation of sludge but instead a commercial liquid solution called HF50% </w:t>
      </w:r>
      <w:r>
        <w:rPr>
          <w:lang w:val="en-CA"/>
        </w:rPr>
        <w:t>(</w:t>
      </w:r>
      <w:r w:rsidR="001907E3" w:rsidRPr="00267A2A">
        <w:rPr>
          <w:lang w:val="en-CA"/>
        </w:rPr>
        <w:t>HF with traces of hydrogen ch</w:t>
      </w:r>
      <w:r w:rsidR="005F2060">
        <w:rPr>
          <w:lang w:val="en-CA"/>
        </w:rPr>
        <w:t>loride</w:t>
      </w:r>
      <w:r>
        <w:rPr>
          <w:lang w:val="en-CA"/>
        </w:rPr>
        <w:t>)</w:t>
      </w:r>
      <w:r w:rsidR="001907E3" w:rsidRPr="00267A2A">
        <w:rPr>
          <w:lang w:val="en-CA"/>
        </w:rPr>
        <w:t xml:space="preserve"> </w:t>
      </w:r>
      <w:r w:rsidR="004B4CC4" w:rsidRPr="00267A2A">
        <w:rPr>
          <w:lang w:val="en-CA"/>
        </w:rPr>
        <w:t xml:space="preserve">that </w:t>
      </w:r>
      <w:r w:rsidR="001907E3" w:rsidRPr="00267A2A">
        <w:rPr>
          <w:lang w:val="en-CA"/>
        </w:rPr>
        <w:t xml:space="preserve">is recovered, stored, transported </w:t>
      </w:r>
      <w:r>
        <w:rPr>
          <w:lang w:val="en-CA"/>
        </w:rPr>
        <w:t>and</w:t>
      </w:r>
      <w:r w:rsidR="001907E3" w:rsidRPr="00267A2A">
        <w:rPr>
          <w:lang w:val="en-CA"/>
        </w:rPr>
        <w:t xml:space="preserve"> sold as input for glass, metallurgy, or the chemical and fuel industry. The average quantity of HF50% </w:t>
      </w:r>
      <w:r w:rsidR="009757C9" w:rsidRPr="00267A2A">
        <w:rPr>
          <w:lang w:val="en-CA"/>
        </w:rPr>
        <w:t>recovered at FIASA was 1.75 </w:t>
      </w:r>
      <w:r w:rsidR="001907E3" w:rsidRPr="00267A2A">
        <w:rPr>
          <w:lang w:val="en-CA"/>
        </w:rPr>
        <w:t>kg/kg of HFC-23</w:t>
      </w:r>
      <w:r w:rsidR="00EB194E" w:rsidRPr="00267A2A">
        <w:rPr>
          <w:lang w:val="en-CA"/>
        </w:rPr>
        <w:t xml:space="preserve"> (see </w:t>
      </w:r>
      <w:r>
        <w:rPr>
          <w:lang w:val="en-CA"/>
        </w:rPr>
        <w:t xml:space="preserve">paragraph 6 of </w:t>
      </w:r>
      <w:r w:rsidR="00EB194E" w:rsidRPr="00267A2A">
        <w:rPr>
          <w:lang w:val="en-CA"/>
        </w:rPr>
        <w:t>Annex I); however, the level of revenue from the sale of HF50%, if any, is not clear;</w:t>
      </w:r>
      <w:r w:rsidR="009757C9" w:rsidRPr="00267A2A">
        <w:rPr>
          <w:lang w:val="en-CA"/>
        </w:rPr>
        <w:t xml:space="preserve"> and</w:t>
      </w:r>
    </w:p>
    <w:p w:rsidR="001907E3" w:rsidRPr="00267A2A" w:rsidRDefault="001907E3" w:rsidP="00267A2A">
      <w:pPr>
        <w:pStyle w:val="Heading1"/>
        <w:rPr>
          <w:lang w:val="en-CA"/>
        </w:rPr>
      </w:pPr>
      <w:r w:rsidRPr="00267A2A">
        <w:rPr>
          <w:lang w:val="en-CA"/>
        </w:rPr>
        <w:t xml:space="preserve">While no information is available of the costs to start up the destruction facility at FIASA, information available for the production facility in the Republic of Korea that had similarly stopped operating its HFC-23 destruction facility, estimated that approximately US $800,000 would be required for the destruction facility to be reactivated (see </w:t>
      </w:r>
      <w:r w:rsidR="00267A2A">
        <w:rPr>
          <w:lang w:val="en-CA"/>
        </w:rPr>
        <w:t xml:space="preserve">paragraph 8 of </w:t>
      </w:r>
      <w:r w:rsidRPr="00267A2A">
        <w:rPr>
          <w:lang w:val="en-CA"/>
        </w:rPr>
        <w:t>Annex I). The Secretariat has not assessed how the costs to reactivate the destruction facility in the Republic of Korea might compare with the costs to reactivate the destruction facility at FIASA.</w:t>
      </w:r>
    </w:p>
    <w:p w:rsidR="00CA10FB" w:rsidRPr="00CA10FB" w:rsidRDefault="0087304D" w:rsidP="00267A2A">
      <w:pPr>
        <w:pStyle w:val="Heading1"/>
      </w:pPr>
      <w:r>
        <w:rPr>
          <w:lang w:val="en-CA"/>
        </w:rPr>
        <w:t xml:space="preserve">For reference, </w:t>
      </w:r>
      <w:r w:rsidR="00CA10FB">
        <w:rPr>
          <w:lang w:val="en-CA"/>
        </w:rPr>
        <w:t>Table 4 provides an analysis of the b</w:t>
      </w:r>
      <w:r w:rsidR="00CA10FB" w:rsidRPr="00CA10FB">
        <w:rPr>
          <w:lang w:val="en-CA"/>
        </w:rPr>
        <w:t xml:space="preserve">reak-even point between closure and continued operation of the destruction facility </w:t>
      </w:r>
      <w:r w:rsidR="001A41DA">
        <w:rPr>
          <w:lang w:val="en-CA"/>
        </w:rPr>
        <w:t>b</w:t>
      </w:r>
      <w:r w:rsidR="008B0B56">
        <w:rPr>
          <w:lang w:val="en-CA"/>
        </w:rPr>
        <w:t>ased on</w:t>
      </w:r>
      <w:r w:rsidR="00CA10FB">
        <w:rPr>
          <w:lang w:val="en-CA"/>
        </w:rPr>
        <w:t>:</w:t>
      </w:r>
    </w:p>
    <w:p w:rsidR="00CA10FB" w:rsidRPr="00CA10FB" w:rsidRDefault="00CA10FB" w:rsidP="00267A2A">
      <w:pPr>
        <w:pStyle w:val="Heading2"/>
      </w:pPr>
      <w:r>
        <w:rPr>
          <w:lang w:val="en-CA"/>
        </w:rPr>
        <w:t>T</w:t>
      </w:r>
      <w:r w:rsidR="008B0B56">
        <w:rPr>
          <w:lang w:val="en-CA"/>
        </w:rPr>
        <w:t>he 2016 production</w:t>
      </w:r>
      <w:r>
        <w:rPr>
          <w:lang w:val="en-CA"/>
        </w:rPr>
        <w:t xml:space="preserve"> of HCFC-22 by FIASA</w:t>
      </w:r>
      <w:r w:rsidR="008B0B56">
        <w:rPr>
          <w:lang w:val="en-CA"/>
        </w:rPr>
        <w:t>, a three</w:t>
      </w:r>
      <w:r w:rsidR="001A41DA">
        <w:rPr>
          <w:lang w:val="en-CA"/>
        </w:rPr>
        <w:t xml:space="preserve"> per cent generation rate, the range of IOCs indicated by the TEAP </w:t>
      </w:r>
      <w:r>
        <w:rPr>
          <w:lang w:val="en-CA"/>
        </w:rPr>
        <w:t>R</w:t>
      </w:r>
      <w:r w:rsidR="001A41DA">
        <w:rPr>
          <w:lang w:val="en-CA"/>
        </w:rPr>
        <w:t xml:space="preserve">eplenishment </w:t>
      </w:r>
      <w:r>
        <w:rPr>
          <w:lang w:val="en-CA"/>
        </w:rPr>
        <w:t>T</w:t>
      </w:r>
      <w:r w:rsidR="001A41DA">
        <w:rPr>
          <w:lang w:val="en-CA"/>
        </w:rPr>
        <w:t xml:space="preserve">ask </w:t>
      </w:r>
      <w:r>
        <w:rPr>
          <w:lang w:val="en-CA"/>
        </w:rPr>
        <w:t>F</w:t>
      </w:r>
      <w:r w:rsidR="001A41DA">
        <w:rPr>
          <w:lang w:val="en-CA"/>
        </w:rPr>
        <w:t>orce</w:t>
      </w:r>
      <w:r w:rsidR="00445460">
        <w:rPr>
          <w:lang w:val="en-CA"/>
        </w:rPr>
        <w:t xml:space="preserve"> </w:t>
      </w:r>
      <w:r w:rsidR="00445460" w:rsidRPr="00445460">
        <w:rPr>
          <w:lang w:val="en-CA"/>
        </w:rPr>
        <w:t>in its 2017 TEAP XXVIII/5 Task Force (Replenishment) Report</w:t>
      </w:r>
      <w:r w:rsidR="001A41DA">
        <w:rPr>
          <w:lang w:val="en-CA"/>
        </w:rPr>
        <w:t xml:space="preserve">, </w:t>
      </w:r>
      <w:r w:rsidR="0087304D">
        <w:rPr>
          <w:lang w:val="en-CA"/>
        </w:rPr>
        <w:t xml:space="preserve">assuming comparable costs to restart the destruction </w:t>
      </w:r>
      <w:r w:rsidR="001A41DA">
        <w:rPr>
          <w:lang w:val="en-CA"/>
        </w:rPr>
        <w:t xml:space="preserve">facility as in the Republic of Korea, and assuming the same cost effectiveness </w:t>
      </w:r>
      <w:r w:rsidR="007E78BD">
        <w:rPr>
          <w:lang w:val="en-CA"/>
        </w:rPr>
        <w:t xml:space="preserve">for closure </w:t>
      </w:r>
      <w:r w:rsidR="001A41DA">
        <w:rPr>
          <w:lang w:val="en-CA"/>
        </w:rPr>
        <w:t xml:space="preserve">as for the CFC production phase-out </w:t>
      </w:r>
      <w:r w:rsidR="00F47E0D">
        <w:rPr>
          <w:lang w:val="en-CA"/>
        </w:rPr>
        <w:t xml:space="preserve">in Argentina </w:t>
      </w:r>
      <w:r w:rsidR="001A41DA">
        <w:rPr>
          <w:lang w:val="en-CA"/>
        </w:rPr>
        <w:t>(</w:t>
      </w:r>
      <w:r>
        <w:rPr>
          <w:lang w:val="en-CA"/>
        </w:rPr>
        <w:t xml:space="preserve">i.e., </w:t>
      </w:r>
      <w:r w:rsidR="001A41DA">
        <w:rPr>
          <w:lang w:val="en-CA"/>
        </w:rPr>
        <w:t xml:space="preserve">US $3.86/kg), </w:t>
      </w:r>
      <w:r>
        <w:rPr>
          <w:lang w:val="en-CA"/>
        </w:rPr>
        <w:t xml:space="preserve">the </w:t>
      </w:r>
      <w:r w:rsidR="001A41DA">
        <w:rPr>
          <w:lang w:val="en-CA"/>
        </w:rPr>
        <w:t xml:space="preserve">break-even point </w:t>
      </w:r>
      <w:r>
        <w:rPr>
          <w:lang w:val="en-CA"/>
        </w:rPr>
        <w:t xml:space="preserve">ranges </w:t>
      </w:r>
      <w:r w:rsidR="00B35B08">
        <w:rPr>
          <w:lang w:val="en-CA"/>
        </w:rPr>
        <w:t>between 76</w:t>
      </w:r>
      <w:r w:rsidR="001A41DA">
        <w:rPr>
          <w:lang w:val="en-CA"/>
        </w:rPr>
        <w:t xml:space="preserve"> and 227 year</w:t>
      </w:r>
      <w:r w:rsidR="00F47E0D">
        <w:rPr>
          <w:lang w:val="en-CA"/>
        </w:rPr>
        <w:t>s</w:t>
      </w:r>
      <w:r>
        <w:rPr>
          <w:lang w:val="en-CA"/>
        </w:rPr>
        <w:t>;</w:t>
      </w:r>
    </w:p>
    <w:p w:rsidR="00CA10FB" w:rsidRPr="00CA10FB" w:rsidRDefault="00CA10FB" w:rsidP="00267A2A">
      <w:pPr>
        <w:pStyle w:val="Heading2"/>
      </w:pPr>
      <w:r>
        <w:rPr>
          <w:lang w:val="en-CA"/>
        </w:rPr>
        <w:t xml:space="preserve">Using </w:t>
      </w:r>
      <w:r w:rsidR="00F47E0D">
        <w:rPr>
          <w:lang w:val="en-CA"/>
        </w:rPr>
        <w:t xml:space="preserve">the cost effectiveness of </w:t>
      </w:r>
      <w:r w:rsidR="001A41DA">
        <w:rPr>
          <w:lang w:val="en-CA"/>
        </w:rPr>
        <w:t xml:space="preserve">the China HCFC </w:t>
      </w:r>
      <w:r w:rsidR="00F47E0D">
        <w:rPr>
          <w:lang w:val="en-CA"/>
        </w:rPr>
        <w:t xml:space="preserve">production </w:t>
      </w:r>
      <w:r w:rsidR="001A41DA">
        <w:rPr>
          <w:lang w:val="en-CA"/>
        </w:rPr>
        <w:t xml:space="preserve">phase-out </w:t>
      </w:r>
      <w:r>
        <w:rPr>
          <w:lang w:val="en-CA"/>
        </w:rPr>
        <w:t xml:space="preserve">of </w:t>
      </w:r>
      <w:r w:rsidR="001A41DA">
        <w:rPr>
          <w:lang w:val="en-CA"/>
        </w:rPr>
        <w:t xml:space="preserve">US $0.86/kg, the break-even </w:t>
      </w:r>
      <w:r w:rsidR="007E78BD">
        <w:rPr>
          <w:lang w:val="en-CA"/>
        </w:rPr>
        <w:t xml:space="preserve">point </w:t>
      </w:r>
      <w:r w:rsidR="00EE31D0">
        <w:rPr>
          <w:lang w:val="en-CA"/>
        </w:rPr>
        <w:t>ranges between nine</w:t>
      </w:r>
      <w:r w:rsidR="001A41DA">
        <w:rPr>
          <w:lang w:val="en-CA"/>
        </w:rPr>
        <w:t xml:space="preserve"> and 27 years</w:t>
      </w:r>
      <w:r>
        <w:rPr>
          <w:lang w:val="en-CA"/>
        </w:rPr>
        <w:t>; and</w:t>
      </w:r>
    </w:p>
    <w:p w:rsidR="0087304D" w:rsidRDefault="00960E33" w:rsidP="00267A2A">
      <w:pPr>
        <w:pStyle w:val="Heading2"/>
      </w:pPr>
      <w:r>
        <w:rPr>
          <w:lang w:val="en-CA"/>
        </w:rPr>
        <w:t xml:space="preserve">Using the IOCs as estimated by </w:t>
      </w:r>
      <w:r w:rsidR="00CA10FB">
        <w:rPr>
          <w:lang w:val="en-CA"/>
        </w:rPr>
        <w:t xml:space="preserve">FIASA </w:t>
      </w:r>
      <w:r>
        <w:rPr>
          <w:lang w:val="en-CA"/>
        </w:rPr>
        <w:t xml:space="preserve">in line with </w:t>
      </w:r>
      <w:r w:rsidRPr="00C203D3">
        <w:t>decision 77/59(c)</w:t>
      </w:r>
      <w:r>
        <w:t xml:space="preserve">, the break-even point is </w:t>
      </w:r>
      <w:r w:rsidR="00EE31D0">
        <w:t>two</w:t>
      </w:r>
      <w:r w:rsidR="00CA10FB">
        <w:t xml:space="preserve"> </w:t>
      </w:r>
      <w:r>
        <w:t xml:space="preserve">years for a cost-effectiveness of </w:t>
      </w:r>
      <w:r w:rsidR="00880DD8">
        <w:t xml:space="preserve">closure of </w:t>
      </w:r>
      <w:r>
        <w:t>US $0.86/kg</w:t>
      </w:r>
      <w:r w:rsidR="00EE31D0">
        <w:t>, or 20 years based on a cost</w:t>
      </w:r>
      <w:r w:rsidR="00EE31D0">
        <w:noBreakHyphen/>
      </w:r>
      <w:r w:rsidR="00CA10FB">
        <w:t xml:space="preserve">effectiveness of </w:t>
      </w:r>
      <w:r w:rsidR="00880DD8">
        <w:t xml:space="preserve">closure of </w:t>
      </w:r>
      <w:r w:rsidR="00CA10FB">
        <w:rPr>
          <w:lang w:val="en-CA"/>
        </w:rPr>
        <w:t>US $3.86/kg</w:t>
      </w:r>
      <w:r>
        <w:t>.</w:t>
      </w:r>
      <w:r w:rsidR="00B3449D">
        <w:t xml:space="preserve"> </w:t>
      </w:r>
    </w:p>
    <w:p w:rsidR="00F47E0D" w:rsidRPr="00D82BCD" w:rsidRDefault="00F47E0D" w:rsidP="00267A2A">
      <w:pPr>
        <w:keepNext/>
        <w:keepLines/>
        <w:contextualSpacing/>
        <w:rPr>
          <w:b/>
          <w:lang w:val="en-CA"/>
        </w:rPr>
      </w:pPr>
      <w:r>
        <w:rPr>
          <w:b/>
          <w:lang w:val="en-CA"/>
        </w:rPr>
        <w:lastRenderedPageBreak/>
        <w:t>Table 4</w:t>
      </w:r>
      <w:r w:rsidRPr="0082722D">
        <w:rPr>
          <w:b/>
          <w:lang w:val="en-CA"/>
        </w:rPr>
        <w:t xml:space="preserve">. </w:t>
      </w:r>
      <w:r>
        <w:rPr>
          <w:b/>
          <w:lang w:val="en-CA"/>
        </w:rPr>
        <w:t>Break-even point between closure and continued operation of the destruction facility</w:t>
      </w:r>
      <w:r w:rsidR="00B35B08">
        <w:rPr>
          <w:b/>
          <w:lang w:val="en-CA"/>
        </w:rPr>
        <w:t>*</w:t>
      </w:r>
      <w:r>
        <w:rPr>
          <w:b/>
          <w:lang w:val="en-CA"/>
        </w:rPr>
        <w:t xml:space="preserve"> </w:t>
      </w:r>
    </w:p>
    <w:tbl>
      <w:tblPr>
        <w:tblW w:w="5000" w:type="pct"/>
        <w:tblLook w:val="04A0" w:firstRow="1" w:lastRow="0" w:firstColumn="1" w:lastColumn="0" w:noHBand="0" w:noVBand="1"/>
      </w:tblPr>
      <w:tblGrid>
        <w:gridCol w:w="3727"/>
        <w:gridCol w:w="2812"/>
        <w:gridCol w:w="2811"/>
      </w:tblGrid>
      <w:tr w:rsidR="00B35B08" w:rsidRPr="00BD1285" w:rsidTr="00A90D38">
        <w:trPr>
          <w:tblHeader/>
        </w:trPr>
        <w:tc>
          <w:tcPr>
            <w:tcW w:w="19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35B08" w:rsidRPr="00BD1285" w:rsidRDefault="00B35B08" w:rsidP="00267A2A">
            <w:pPr>
              <w:keepNext/>
              <w:keepLines/>
              <w:widowControl w:val="0"/>
              <w:jc w:val="center"/>
              <w:rPr>
                <w:b/>
                <w:bCs/>
                <w:color w:val="000000"/>
                <w:sz w:val="21"/>
                <w:szCs w:val="21"/>
                <w:lang w:val="en-CA"/>
              </w:rPr>
            </w:pPr>
            <w:r w:rsidRPr="00BD1285">
              <w:rPr>
                <w:b/>
                <w:bCs/>
                <w:color w:val="000000"/>
                <w:sz w:val="21"/>
                <w:szCs w:val="21"/>
                <w:lang w:val="en-CA"/>
              </w:rPr>
              <w:t>Assumed CE of closure (US $/kg)</w:t>
            </w:r>
          </w:p>
        </w:tc>
        <w:tc>
          <w:tcPr>
            <w:tcW w:w="1504" w:type="pct"/>
            <w:tcBorders>
              <w:top w:val="single" w:sz="4" w:space="0" w:color="auto"/>
              <w:left w:val="nil"/>
              <w:bottom w:val="single" w:sz="4" w:space="0" w:color="auto"/>
              <w:right w:val="single" w:sz="4" w:space="0" w:color="auto"/>
            </w:tcBorders>
            <w:shd w:val="clear" w:color="auto" w:fill="auto"/>
            <w:vAlign w:val="center"/>
          </w:tcPr>
          <w:p w:rsidR="00B35B08" w:rsidRPr="00BD1285" w:rsidRDefault="00B35B08" w:rsidP="00267A2A">
            <w:pPr>
              <w:keepNext/>
              <w:keepLines/>
              <w:widowControl w:val="0"/>
              <w:jc w:val="center"/>
              <w:rPr>
                <w:b/>
                <w:bCs/>
                <w:color w:val="000000"/>
                <w:sz w:val="21"/>
                <w:szCs w:val="21"/>
                <w:lang w:val="en-CA"/>
              </w:rPr>
            </w:pPr>
            <w:r w:rsidRPr="00BD1285">
              <w:rPr>
                <w:b/>
                <w:bCs/>
                <w:color w:val="000000"/>
                <w:sz w:val="21"/>
                <w:szCs w:val="21"/>
                <w:lang w:val="en-CA"/>
              </w:rPr>
              <w:t>Assumed IOC (US $/kg)</w:t>
            </w:r>
          </w:p>
        </w:tc>
        <w:tc>
          <w:tcPr>
            <w:tcW w:w="1503" w:type="pct"/>
            <w:tcBorders>
              <w:top w:val="single" w:sz="4" w:space="0" w:color="auto"/>
              <w:left w:val="single" w:sz="4" w:space="0" w:color="auto"/>
              <w:bottom w:val="single" w:sz="4" w:space="0" w:color="auto"/>
              <w:right w:val="single" w:sz="4" w:space="0" w:color="auto"/>
            </w:tcBorders>
            <w:vAlign w:val="center"/>
          </w:tcPr>
          <w:p w:rsidR="00B35B08" w:rsidRPr="00BD1285" w:rsidRDefault="00B35B08" w:rsidP="00267A2A">
            <w:pPr>
              <w:keepNext/>
              <w:keepLines/>
              <w:widowControl w:val="0"/>
              <w:jc w:val="center"/>
              <w:rPr>
                <w:b/>
                <w:bCs/>
                <w:color w:val="000000"/>
                <w:sz w:val="21"/>
                <w:szCs w:val="21"/>
                <w:lang w:val="en-CA"/>
              </w:rPr>
            </w:pPr>
            <w:r w:rsidRPr="00BD1285">
              <w:rPr>
                <w:b/>
                <w:bCs/>
                <w:color w:val="000000"/>
                <w:sz w:val="21"/>
                <w:szCs w:val="21"/>
                <w:lang w:val="en-CA"/>
              </w:rPr>
              <w:t>Break-even point (years)</w:t>
            </w:r>
          </w:p>
        </w:tc>
      </w:tr>
      <w:tr w:rsidR="00B35B08" w:rsidRPr="00BD1285" w:rsidTr="00A90D38">
        <w:tc>
          <w:tcPr>
            <w:tcW w:w="1993" w:type="pct"/>
            <w:tcBorders>
              <w:top w:val="single" w:sz="4" w:space="0" w:color="auto"/>
              <w:left w:val="single" w:sz="4" w:space="0" w:color="auto"/>
              <w:right w:val="single" w:sz="4" w:space="0" w:color="auto"/>
            </w:tcBorders>
            <w:shd w:val="clear" w:color="auto" w:fill="auto"/>
            <w:noWrap/>
            <w:tcMar>
              <w:left w:w="43" w:type="dxa"/>
              <w:right w:w="43" w:type="dxa"/>
            </w:tcMar>
            <w:vAlign w:val="center"/>
            <w:hideMark/>
          </w:tcPr>
          <w:p w:rsidR="00B35B08" w:rsidRPr="00BD1285" w:rsidRDefault="00B35B08" w:rsidP="00267A2A">
            <w:pPr>
              <w:keepNext/>
              <w:keepLines/>
              <w:widowControl w:val="0"/>
              <w:jc w:val="left"/>
              <w:rPr>
                <w:bCs/>
                <w:color w:val="000000"/>
                <w:sz w:val="21"/>
                <w:szCs w:val="21"/>
                <w:lang w:val="en-CA"/>
              </w:rPr>
            </w:pPr>
          </w:p>
        </w:tc>
        <w:tc>
          <w:tcPr>
            <w:tcW w:w="1504" w:type="pct"/>
            <w:tcBorders>
              <w:top w:val="single" w:sz="4" w:space="0" w:color="auto"/>
              <w:left w:val="nil"/>
              <w:bottom w:val="single" w:sz="4" w:space="0" w:color="auto"/>
              <w:right w:val="single" w:sz="4" w:space="0" w:color="auto"/>
            </w:tcBorders>
            <w:shd w:val="clear" w:color="auto" w:fill="auto"/>
          </w:tcPr>
          <w:p w:rsidR="00B35B08" w:rsidRPr="00BD1285" w:rsidRDefault="00B35B08" w:rsidP="00267A2A">
            <w:pPr>
              <w:keepNext/>
              <w:keepLines/>
              <w:widowControl w:val="0"/>
              <w:jc w:val="right"/>
              <w:rPr>
                <w:color w:val="000000"/>
                <w:sz w:val="21"/>
                <w:szCs w:val="21"/>
                <w:lang w:val="en-CA"/>
              </w:rPr>
            </w:pPr>
            <w:r w:rsidRPr="00BD1285">
              <w:rPr>
                <w:sz w:val="21"/>
                <w:szCs w:val="21"/>
              </w:rPr>
              <w:t>0.5</w:t>
            </w:r>
            <w:r w:rsidR="00CA10FB">
              <w:rPr>
                <w:sz w:val="21"/>
                <w:szCs w:val="21"/>
              </w:rPr>
              <w:t>0</w:t>
            </w:r>
          </w:p>
        </w:tc>
        <w:tc>
          <w:tcPr>
            <w:tcW w:w="1503" w:type="pct"/>
            <w:tcBorders>
              <w:top w:val="nil"/>
              <w:left w:val="single" w:sz="4" w:space="0" w:color="auto"/>
              <w:bottom w:val="single" w:sz="4" w:space="0" w:color="auto"/>
              <w:right w:val="single" w:sz="4" w:space="0" w:color="auto"/>
            </w:tcBorders>
          </w:tcPr>
          <w:p w:rsidR="00B35B08" w:rsidRPr="00BD1285" w:rsidRDefault="00B35B08" w:rsidP="00267A2A">
            <w:pPr>
              <w:keepNext/>
              <w:keepLines/>
              <w:widowControl w:val="0"/>
              <w:jc w:val="right"/>
              <w:rPr>
                <w:color w:val="000000"/>
                <w:sz w:val="21"/>
                <w:szCs w:val="21"/>
                <w:lang w:val="en-CA"/>
              </w:rPr>
            </w:pPr>
            <w:r w:rsidRPr="00BD1285">
              <w:rPr>
                <w:color w:val="000000"/>
                <w:sz w:val="21"/>
                <w:szCs w:val="21"/>
                <w:lang w:val="en-CA"/>
              </w:rPr>
              <w:t>227</w:t>
            </w:r>
          </w:p>
        </w:tc>
      </w:tr>
      <w:tr w:rsidR="00B35B08" w:rsidRPr="00BD1285" w:rsidTr="00A90D38">
        <w:tc>
          <w:tcPr>
            <w:tcW w:w="1993" w:type="pct"/>
            <w:tcBorders>
              <w:left w:val="single" w:sz="4" w:space="0" w:color="auto"/>
              <w:right w:val="single" w:sz="4" w:space="0" w:color="auto"/>
            </w:tcBorders>
            <w:shd w:val="clear" w:color="auto" w:fill="auto"/>
            <w:noWrap/>
            <w:tcMar>
              <w:left w:w="43" w:type="dxa"/>
              <w:right w:w="43" w:type="dxa"/>
            </w:tcMar>
            <w:vAlign w:val="center"/>
            <w:hideMark/>
          </w:tcPr>
          <w:p w:rsidR="00B35B08" w:rsidRPr="00BD1285" w:rsidRDefault="00A90D38" w:rsidP="00267A2A">
            <w:pPr>
              <w:keepNext/>
              <w:keepLines/>
              <w:widowControl w:val="0"/>
              <w:jc w:val="center"/>
              <w:rPr>
                <w:bCs/>
                <w:color w:val="000000"/>
                <w:sz w:val="21"/>
                <w:szCs w:val="21"/>
                <w:lang w:val="en-CA"/>
              </w:rPr>
            </w:pPr>
            <w:r w:rsidRPr="00BD1285">
              <w:rPr>
                <w:bCs/>
                <w:color w:val="000000"/>
                <w:sz w:val="21"/>
                <w:szCs w:val="21"/>
                <w:lang w:val="en-CA"/>
              </w:rPr>
              <w:t>3.86</w:t>
            </w:r>
          </w:p>
        </w:tc>
        <w:tc>
          <w:tcPr>
            <w:tcW w:w="1504" w:type="pct"/>
            <w:tcBorders>
              <w:top w:val="single" w:sz="4" w:space="0" w:color="auto"/>
              <w:left w:val="single" w:sz="4" w:space="0" w:color="auto"/>
              <w:bottom w:val="single" w:sz="4" w:space="0" w:color="auto"/>
              <w:right w:val="single" w:sz="4" w:space="0" w:color="auto"/>
            </w:tcBorders>
            <w:shd w:val="clear" w:color="auto" w:fill="auto"/>
          </w:tcPr>
          <w:p w:rsidR="00B35B08" w:rsidRPr="00BD1285" w:rsidRDefault="00B35B08" w:rsidP="00267A2A">
            <w:pPr>
              <w:keepNext/>
              <w:keepLines/>
              <w:widowControl w:val="0"/>
              <w:jc w:val="right"/>
              <w:rPr>
                <w:color w:val="000000"/>
                <w:sz w:val="21"/>
                <w:szCs w:val="21"/>
                <w:lang w:val="en-CA"/>
              </w:rPr>
            </w:pPr>
            <w:r w:rsidRPr="00BD1285">
              <w:rPr>
                <w:sz w:val="21"/>
                <w:szCs w:val="21"/>
              </w:rPr>
              <w:t>1.5</w:t>
            </w:r>
            <w:r w:rsidR="00CA10FB">
              <w:rPr>
                <w:sz w:val="21"/>
                <w:szCs w:val="21"/>
              </w:rPr>
              <w:t>0</w:t>
            </w:r>
          </w:p>
        </w:tc>
        <w:tc>
          <w:tcPr>
            <w:tcW w:w="1503" w:type="pct"/>
            <w:tcBorders>
              <w:top w:val="single" w:sz="4" w:space="0" w:color="auto"/>
              <w:left w:val="single" w:sz="4" w:space="0" w:color="auto"/>
              <w:bottom w:val="single" w:sz="4" w:space="0" w:color="auto"/>
              <w:right w:val="single" w:sz="4" w:space="0" w:color="auto"/>
            </w:tcBorders>
          </w:tcPr>
          <w:p w:rsidR="00B35B08" w:rsidRPr="00BD1285" w:rsidRDefault="00B35B08" w:rsidP="00267A2A">
            <w:pPr>
              <w:keepNext/>
              <w:keepLines/>
              <w:widowControl w:val="0"/>
              <w:jc w:val="right"/>
              <w:rPr>
                <w:color w:val="000000"/>
                <w:sz w:val="21"/>
                <w:szCs w:val="21"/>
                <w:lang w:val="en-CA"/>
              </w:rPr>
            </w:pPr>
            <w:r w:rsidRPr="00BD1285">
              <w:rPr>
                <w:color w:val="000000"/>
                <w:sz w:val="21"/>
                <w:szCs w:val="21"/>
                <w:lang w:val="en-CA"/>
              </w:rPr>
              <w:t>76</w:t>
            </w:r>
          </w:p>
        </w:tc>
      </w:tr>
      <w:tr w:rsidR="00B35B08" w:rsidRPr="00BD1285" w:rsidTr="00A90D38">
        <w:tc>
          <w:tcPr>
            <w:tcW w:w="1993" w:type="pct"/>
            <w:tcBorders>
              <w:left w:val="single" w:sz="4" w:space="0" w:color="auto"/>
              <w:bottom w:val="single" w:sz="4" w:space="0" w:color="auto"/>
              <w:right w:val="single" w:sz="4" w:space="0" w:color="auto"/>
            </w:tcBorders>
            <w:shd w:val="clear" w:color="auto" w:fill="auto"/>
            <w:noWrap/>
            <w:tcMar>
              <w:left w:w="43" w:type="dxa"/>
              <w:right w:w="43" w:type="dxa"/>
            </w:tcMar>
            <w:vAlign w:val="center"/>
          </w:tcPr>
          <w:p w:rsidR="00B35B08" w:rsidRPr="00BD1285" w:rsidRDefault="00B35B08" w:rsidP="00267A2A">
            <w:pPr>
              <w:keepNext/>
              <w:keepLines/>
              <w:widowControl w:val="0"/>
              <w:jc w:val="left"/>
              <w:rPr>
                <w:bCs/>
                <w:color w:val="000000"/>
                <w:sz w:val="21"/>
                <w:szCs w:val="21"/>
                <w:lang w:val="en-CA"/>
              </w:rPr>
            </w:pPr>
          </w:p>
        </w:tc>
        <w:tc>
          <w:tcPr>
            <w:tcW w:w="1504" w:type="pct"/>
            <w:tcBorders>
              <w:top w:val="single" w:sz="4" w:space="0" w:color="auto"/>
              <w:left w:val="single" w:sz="4" w:space="0" w:color="auto"/>
              <w:bottom w:val="single" w:sz="4" w:space="0" w:color="auto"/>
              <w:right w:val="single" w:sz="4" w:space="0" w:color="auto"/>
            </w:tcBorders>
            <w:shd w:val="clear" w:color="auto" w:fill="auto"/>
          </w:tcPr>
          <w:p w:rsidR="00B35B08" w:rsidRPr="00BD1285" w:rsidRDefault="00B35B08" w:rsidP="00267A2A">
            <w:pPr>
              <w:keepNext/>
              <w:keepLines/>
              <w:widowControl w:val="0"/>
              <w:jc w:val="right"/>
              <w:rPr>
                <w:sz w:val="21"/>
                <w:szCs w:val="21"/>
              </w:rPr>
            </w:pPr>
            <w:r w:rsidRPr="00BD1285">
              <w:rPr>
                <w:sz w:val="21"/>
                <w:szCs w:val="21"/>
              </w:rPr>
              <w:t>5.68</w:t>
            </w:r>
          </w:p>
        </w:tc>
        <w:tc>
          <w:tcPr>
            <w:tcW w:w="1503" w:type="pct"/>
            <w:tcBorders>
              <w:top w:val="single" w:sz="4" w:space="0" w:color="auto"/>
              <w:left w:val="single" w:sz="4" w:space="0" w:color="auto"/>
              <w:bottom w:val="single" w:sz="4" w:space="0" w:color="auto"/>
              <w:right w:val="single" w:sz="4" w:space="0" w:color="auto"/>
            </w:tcBorders>
          </w:tcPr>
          <w:p w:rsidR="00B35B08" w:rsidRPr="00BD1285" w:rsidRDefault="00B35B08" w:rsidP="00267A2A">
            <w:pPr>
              <w:keepNext/>
              <w:keepLines/>
              <w:widowControl w:val="0"/>
              <w:jc w:val="right"/>
              <w:rPr>
                <w:sz w:val="21"/>
                <w:szCs w:val="21"/>
              </w:rPr>
            </w:pPr>
            <w:r w:rsidRPr="00BD1285">
              <w:rPr>
                <w:sz w:val="21"/>
                <w:szCs w:val="21"/>
              </w:rPr>
              <w:t>20</w:t>
            </w:r>
          </w:p>
        </w:tc>
      </w:tr>
      <w:tr w:rsidR="00B35B08" w:rsidRPr="00BD1285" w:rsidTr="00A90D38">
        <w:tc>
          <w:tcPr>
            <w:tcW w:w="1993" w:type="pct"/>
            <w:tcBorders>
              <w:top w:val="single" w:sz="4" w:space="0" w:color="auto"/>
              <w:left w:val="single" w:sz="4" w:space="0" w:color="auto"/>
              <w:right w:val="single" w:sz="4" w:space="0" w:color="auto"/>
            </w:tcBorders>
            <w:shd w:val="clear" w:color="auto" w:fill="auto"/>
            <w:noWrap/>
            <w:tcMar>
              <w:left w:w="43" w:type="dxa"/>
              <w:right w:w="43" w:type="dxa"/>
            </w:tcMar>
            <w:vAlign w:val="center"/>
          </w:tcPr>
          <w:p w:rsidR="00B35B08" w:rsidRPr="00BD1285" w:rsidRDefault="00B35B08" w:rsidP="00BD1285">
            <w:pPr>
              <w:widowControl w:val="0"/>
              <w:jc w:val="center"/>
              <w:rPr>
                <w:bCs/>
                <w:color w:val="000000"/>
                <w:sz w:val="21"/>
                <w:szCs w:val="21"/>
                <w:lang w:val="en-CA"/>
              </w:rPr>
            </w:pPr>
          </w:p>
        </w:tc>
        <w:tc>
          <w:tcPr>
            <w:tcW w:w="1504" w:type="pct"/>
            <w:tcBorders>
              <w:top w:val="single" w:sz="4" w:space="0" w:color="auto"/>
              <w:left w:val="single" w:sz="4" w:space="0" w:color="auto"/>
              <w:bottom w:val="single" w:sz="4" w:space="0" w:color="auto"/>
              <w:right w:val="single" w:sz="4" w:space="0" w:color="auto"/>
            </w:tcBorders>
            <w:shd w:val="clear" w:color="auto" w:fill="auto"/>
          </w:tcPr>
          <w:p w:rsidR="00B35B08" w:rsidRPr="00BD1285" w:rsidRDefault="00B35B08" w:rsidP="00BD1285">
            <w:pPr>
              <w:widowControl w:val="0"/>
              <w:jc w:val="right"/>
              <w:rPr>
                <w:sz w:val="21"/>
                <w:szCs w:val="21"/>
              </w:rPr>
            </w:pPr>
            <w:r w:rsidRPr="00BD1285">
              <w:rPr>
                <w:sz w:val="21"/>
                <w:szCs w:val="21"/>
              </w:rPr>
              <w:t>0.5</w:t>
            </w:r>
            <w:r w:rsidR="00CA10FB">
              <w:rPr>
                <w:sz w:val="21"/>
                <w:szCs w:val="21"/>
              </w:rPr>
              <w:t>0</w:t>
            </w:r>
          </w:p>
        </w:tc>
        <w:tc>
          <w:tcPr>
            <w:tcW w:w="1503" w:type="pct"/>
            <w:tcBorders>
              <w:top w:val="single" w:sz="4" w:space="0" w:color="auto"/>
              <w:left w:val="single" w:sz="4" w:space="0" w:color="auto"/>
              <w:bottom w:val="single" w:sz="4" w:space="0" w:color="auto"/>
              <w:right w:val="single" w:sz="4" w:space="0" w:color="auto"/>
            </w:tcBorders>
          </w:tcPr>
          <w:p w:rsidR="00B35B08" w:rsidRPr="00BD1285" w:rsidRDefault="00B35B08" w:rsidP="00BD1285">
            <w:pPr>
              <w:widowControl w:val="0"/>
              <w:jc w:val="right"/>
              <w:rPr>
                <w:sz w:val="21"/>
                <w:szCs w:val="21"/>
              </w:rPr>
            </w:pPr>
            <w:r w:rsidRPr="00BD1285">
              <w:rPr>
                <w:sz w:val="21"/>
                <w:szCs w:val="21"/>
              </w:rPr>
              <w:t>76</w:t>
            </w:r>
          </w:p>
        </w:tc>
      </w:tr>
      <w:tr w:rsidR="00B35B08" w:rsidRPr="00BD1285" w:rsidTr="00A90D38">
        <w:tc>
          <w:tcPr>
            <w:tcW w:w="1993" w:type="pct"/>
            <w:tcBorders>
              <w:left w:val="single" w:sz="4" w:space="0" w:color="auto"/>
              <w:right w:val="single" w:sz="4" w:space="0" w:color="auto"/>
            </w:tcBorders>
            <w:shd w:val="clear" w:color="auto" w:fill="auto"/>
            <w:noWrap/>
            <w:tcMar>
              <w:left w:w="43" w:type="dxa"/>
              <w:right w:w="43" w:type="dxa"/>
            </w:tcMar>
            <w:vAlign w:val="center"/>
          </w:tcPr>
          <w:p w:rsidR="00B35B08" w:rsidRPr="00BD1285" w:rsidRDefault="00A90D38" w:rsidP="00BD1285">
            <w:pPr>
              <w:widowControl w:val="0"/>
              <w:jc w:val="center"/>
              <w:rPr>
                <w:bCs/>
                <w:color w:val="000000"/>
                <w:sz w:val="21"/>
                <w:szCs w:val="21"/>
                <w:lang w:val="en-CA"/>
              </w:rPr>
            </w:pPr>
            <w:r w:rsidRPr="00BD1285">
              <w:rPr>
                <w:bCs/>
                <w:color w:val="000000"/>
                <w:sz w:val="21"/>
                <w:szCs w:val="21"/>
                <w:lang w:val="en-CA"/>
              </w:rPr>
              <w:t>0.86</w:t>
            </w:r>
          </w:p>
        </w:tc>
        <w:tc>
          <w:tcPr>
            <w:tcW w:w="1504" w:type="pct"/>
            <w:tcBorders>
              <w:top w:val="single" w:sz="4" w:space="0" w:color="auto"/>
              <w:left w:val="single" w:sz="4" w:space="0" w:color="auto"/>
              <w:bottom w:val="single" w:sz="4" w:space="0" w:color="auto"/>
              <w:right w:val="single" w:sz="4" w:space="0" w:color="auto"/>
            </w:tcBorders>
            <w:shd w:val="clear" w:color="auto" w:fill="auto"/>
          </w:tcPr>
          <w:p w:rsidR="00B35B08" w:rsidRPr="00BD1285" w:rsidRDefault="00B35B08" w:rsidP="00BD1285">
            <w:pPr>
              <w:widowControl w:val="0"/>
              <w:jc w:val="right"/>
              <w:rPr>
                <w:sz w:val="21"/>
                <w:szCs w:val="21"/>
              </w:rPr>
            </w:pPr>
            <w:r w:rsidRPr="00BD1285">
              <w:rPr>
                <w:sz w:val="21"/>
                <w:szCs w:val="21"/>
              </w:rPr>
              <w:t>1.5</w:t>
            </w:r>
            <w:r w:rsidR="00CA10FB">
              <w:rPr>
                <w:sz w:val="21"/>
                <w:szCs w:val="21"/>
              </w:rPr>
              <w:t>0</w:t>
            </w:r>
          </w:p>
        </w:tc>
        <w:tc>
          <w:tcPr>
            <w:tcW w:w="1503" w:type="pct"/>
            <w:tcBorders>
              <w:top w:val="single" w:sz="4" w:space="0" w:color="auto"/>
              <w:left w:val="single" w:sz="4" w:space="0" w:color="auto"/>
              <w:bottom w:val="single" w:sz="4" w:space="0" w:color="auto"/>
              <w:right w:val="single" w:sz="4" w:space="0" w:color="auto"/>
            </w:tcBorders>
          </w:tcPr>
          <w:p w:rsidR="00B35B08" w:rsidRPr="00BD1285" w:rsidRDefault="00B35B08" w:rsidP="00BD1285">
            <w:pPr>
              <w:widowControl w:val="0"/>
              <w:jc w:val="right"/>
              <w:rPr>
                <w:sz w:val="21"/>
                <w:szCs w:val="21"/>
              </w:rPr>
            </w:pPr>
            <w:r w:rsidRPr="00BD1285">
              <w:rPr>
                <w:sz w:val="21"/>
                <w:szCs w:val="21"/>
              </w:rPr>
              <w:t>9</w:t>
            </w:r>
          </w:p>
        </w:tc>
      </w:tr>
      <w:tr w:rsidR="00B35B08" w:rsidRPr="00BD1285" w:rsidTr="00A90D38">
        <w:tc>
          <w:tcPr>
            <w:tcW w:w="1993" w:type="pct"/>
            <w:tcBorders>
              <w:left w:val="single" w:sz="4" w:space="0" w:color="auto"/>
              <w:bottom w:val="single" w:sz="4" w:space="0" w:color="auto"/>
              <w:right w:val="single" w:sz="4" w:space="0" w:color="auto"/>
            </w:tcBorders>
            <w:shd w:val="clear" w:color="auto" w:fill="auto"/>
            <w:noWrap/>
            <w:tcMar>
              <w:left w:w="43" w:type="dxa"/>
              <w:right w:w="43" w:type="dxa"/>
            </w:tcMar>
            <w:vAlign w:val="center"/>
          </w:tcPr>
          <w:p w:rsidR="00B35B08" w:rsidRPr="00BD1285" w:rsidRDefault="00B35B08" w:rsidP="00BD1285">
            <w:pPr>
              <w:widowControl w:val="0"/>
              <w:jc w:val="center"/>
              <w:rPr>
                <w:bCs/>
                <w:color w:val="000000"/>
                <w:sz w:val="21"/>
                <w:szCs w:val="21"/>
                <w:lang w:val="en-CA"/>
              </w:rPr>
            </w:pPr>
          </w:p>
        </w:tc>
        <w:tc>
          <w:tcPr>
            <w:tcW w:w="1504" w:type="pct"/>
            <w:tcBorders>
              <w:top w:val="single" w:sz="4" w:space="0" w:color="auto"/>
              <w:left w:val="single" w:sz="4" w:space="0" w:color="auto"/>
              <w:bottom w:val="single" w:sz="4" w:space="0" w:color="auto"/>
              <w:right w:val="single" w:sz="4" w:space="0" w:color="auto"/>
            </w:tcBorders>
            <w:shd w:val="clear" w:color="auto" w:fill="auto"/>
          </w:tcPr>
          <w:p w:rsidR="00B35B08" w:rsidRPr="00BD1285" w:rsidRDefault="00B35B08" w:rsidP="00BD1285">
            <w:pPr>
              <w:widowControl w:val="0"/>
              <w:jc w:val="right"/>
              <w:rPr>
                <w:sz w:val="21"/>
                <w:szCs w:val="21"/>
              </w:rPr>
            </w:pPr>
            <w:r w:rsidRPr="00BD1285">
              <w:rPr>
                <w:sz w:val="21"/>
                <w:szCs w:val="21"/>
              </w:rPr>
              <w:t>5.68</w:t>
            </w:r>
          </w:p>
        </w:tc>
        <w:tc>
          <w:tcPr>
            <w:tcW w:w="1503" w:type="pct"/>
            <w:tcBorders>
              <w:top w:val="single" w:sz="4" w:space="0" w:color="auto"/>
              <w:left w:val="single" w:sz="4" w:space="0" w:color="auto"/>
              <w:bottom w:val="single" w:sz="4" w:space="0" w:color="auto"/>
              <w:right w:val="single" w:sz="4" w:space="0" w:color="auto"/>
            </w:tcBorders>
          </w:tcPr>
          <w:p w:rsidR="00B35B08" w:rsidRPr="00BD1285" w:rsidRDefault="00B35B08" w:rsidP="00BD1285">
            <w:pPr>
              <w:widowControl w:val="0"/>
              <w:jc w:val="right"/>
              <w:rPr>
                <w:sz w:val="21"/>
                <w:szCs w:val="21"/>
              </w:rPr>
            </w:pPr>
            <w:r w:rsidRPr="00BD1285">
              <w:rPr>
                <w:sz w:val="21"/>
                <w:szCs w:val="21"/>
              </w:rPr>
              <w:t>2</w:t>
            </w:r>
          </w:p>
        </w:tc>
      </w:tr>
    </w:tbl>
    <w:p w:rsidR="00F47E0D" w:rsidRPr="00B35B08" w:rsidRDefault="00B35B08" w:rsidP="00506B9C">
      <w:pPr>
        <w:rPr>
          <w:sz w:val="18"/>
          <w:szCs w:val="18"/>
        </w:rPr>
      </w:pPr>
      <w:r w:rsidRPr="00B35B08">
        <w:rPr>
          <w:sz w:val="18"/>
          <w:szCs w:val="18"/>
        </w:rPr>
        <w:t xml:space="preserve">* Assuming (constant) 2016 production of 1,742.09 </w:t>
      </w:r>
      <w:proofErr w:type="spellStart"/>
      <w:r w:rsidRPr="00B35B08">
        <w:rPr>
          <w:sz w:val="18"/>
          <w:szCs w:val="18"/>
        </w:rPr>
        <w:t>mt</w:t>
      </w:r>
      <w:proofErr w:type="spellEnd"/>
      <w:r w:rsidRPr="00B35B08">
        <w:rPr>
          <w:sz w:val="18"/>
          <w:szCs w:val="18"/>
        </w:rPr>
        <w:t xml:space="preserve"> of HCFC-22, 3 per cent HFC-23 by-product generation rate</w:t>
      </w:r>
      <w:r w:rsidR="00955C53">
        <w:rPr>
          <w:sz w:val="18"/>
          <w:szCs w:val="18"/>
        </w:rPr>
        <w:t>.</w:t>
      </w:r>
    </w:p>
    <w:p w:rsidR="00B35B08" w:rsidRDefault="00B35B08" w:rsidP="00506B9C"/>
    <w:p w:rsidR="00B42EA6" w:rsidRPr="00D3148C" w:rsidRDefault="00E056A3" w:rsidP="00E87FC4">
      <w:pPr>
        <w:pStyle w:val="Heading1"/>
      </w:pPr>
      <w:r w:rsidRPr="00267A2A">
        <w:t xml:space="preserve">The preliminary data submitted by the Government of Argentina indicates the schedule of closure is to be defined, possibly starting in 2021. </w:t>
      </w:r>
      <w:r w:rsidRPr="00D3148C">
        <w:t xml:space="preserve">The HFC-23 </w:t>
      </w:r>
      <w:r w:rsidR="00682575" w:rsidRPr="00D3148C">
        <w:t xml:space="preserve">by-product emission </w:t>
      </w:r>
      <w:r w:rsidRPr="00D3148C">
        <w:t>control obligations under the Kigali Amendment</w:t>
      </w:r>
      <w:r w:rsidR="008B159A" w:rsidRPr="00D3148C">
        <w:t xml:space="preserve"> commence on</w:t>
      </w:r>
      <w:r w:rsidR="001A2589" w:rsidRPr="00D3148C">
        <w:t xml:space="preserve"> the later of</w:t>
      </w:r>
      <w:r w:rsidRPr="00D3148C">
        <w:t xml:space="preserve"> 1 January 2020</w:t>
      </w:r>
      <w:r w:rsidR="00682575" w:rsidRPr="00D3148C">
        <w:t xml:space="preserve"> or upon entry into force of the Amendment for the Party</w:t>
      </w:r>
      <w:r w:rsidRPr="00D3148C">
        <w:t xml:space="preserve">. </w:t>
      </w:r>
      <w:r w:rsidR="008B159A" w:rsidRPr="00D3148C">
        <w:t>Should the Executive Committee wish to consider closure of FIASA to allow for compliance with the HFC-23 by-product control obligations of the Kigali Amendment, t</w:t>
      </w:r>
      <w:r w:rsidRPr="00D3148C">
        <w:t>he Executive Committee may wish to consider a</w:t>
      </w:r>
      <w:r w:rsidR="004D7D30" w:rsidRPr="00D3148C">
        <w:t>n earlier</w:t>
      </w:r>
      <w:r w:rsidRPr="00D3148C">
        <w:t xml:space="preserve"> closure schedule </w:t>
      </w:r>
      <w:r w:rsidR="00E40866" w:rsidRPr="00D3148C">
        <w:t>(i.e., </w:t>
      </w:r>
      <w:r w:rsidR="00402BFF" w:rsidRPr="00D3148C">
        <w:t>1 </w:t>
      </w:r>
      <w:r w:rsidRPr="00D3148C">
        <w:t>January 2020</w:t>
      </w:r>
      <w:r w:rsidR="004D7D30" w:rsidRPr="00D3148C">
        <w:t>)</w:t>
      </w:r>
      <w:r w:rsidRPr="00D3148C">
        <w:t xml:space="preserve"> or </w:t>
      </w:r>
      <w:r w:rsidR="008B159A" w:rsidRPr="00D3148C">
        <w:t xml:space="preserve">measures that would allow compliance with the control obligations in 2020, such as restarting the incineration facility </w:t>
      </w:r>
      <w:r w:rsidR="004D7D30" w:rsidRPr="00D3148C">
        <w:t>until closure</w:t>
      </w:r>
      <w:r w:rsidR="008B159A" w:rsidRPr="00D3148C">
        <w:t>, or capture and off-site destruction</w:t>
      </w:r>
      <w:r w:rsidR="00402BFF" w:rsidRPr="00D3148C">
        <w:t xml:space="preserve"> of the HFC-23 by</w:t>
      </w:r>
      <w:r w:rsidR="00402BFF" w:rsidRPr="00D3148C">
        <w:noBreakHyphen/>
      </w:r>
      <w:r w:rsidR="004D7D30" w:rsidRPr="00D3148C">
        <w:t>product</w:t>
      </w:r>
      <w:r w:rsidR="001A2589" w:rsidRPr="00D3148C">
        <w:t>, assuming entry into force of the Amendment for Argentina</w:t>
      </w:r>
      <w:r w:rsidR="008B159A" w:rsidRPr="00D3148C">
        <w:t xml:space="preserve">. </w:t>
      </w:r>
      <w:r w:rsidR="00E87FC4" w:rsidRPr="00D3148C">
        <w:t>Document UNEP/</w:t>
      </w:r>
      <w:proofErr w:type="spellStart"/>
      <w:r w:rsidR="00E87FC4" w:rsidRPr="00D3148C">
        <w:t>OzL.Pro</w:t>
      </w:r>
      <w:proofErr w:type="spellEnd"/>
      <w:r w:rsidR="00E87FC4" w:rsidRPr="00D3148C">
        <w:t>/</w:t>
      </w:r>
      <w:proofErr w:type="spellStart"/>
      <w:r w:rsidR="00E87FC4" w:rsidRPr="00D3148C">
        <w:t>ExCom</w:t>
      </w:r>
      <w:proofErr w:type="spellEnd"/>
      <w:r w:rsidR="00E87FC4" w:rsidRPr="00D3148C">
        <w:t>/79/48</w:t>
      </w:r>
      <w:r w:rsidR="00D3148C">
        <w:rPr>
          <w:rStyle w:val="FootnoteReference"/>
        </w:rPr>
        <w:footnoteReference w:id="8"/>
      </w:r>
      <w:r w:rsidR="00E87FC4" w:rsidRPr="00D3148C">
        <w:t xml:space="preserve"> contains limited information on the estimated costs of off-site destruction</w:t>
      </w:r>
      <w:r w:rsidR="00DD14DF" w:rsidRPr="00D3148C">
        <w:t>, with estimates ranging between US $3.00/kg of ODS destroyed to US $8.</w:t>
      </w:r>
      <w:r w:rsidR="00D3148C">
        <w:t>00/kg of ODS destroyed</w:t>
      </w:r>
      <w:r w:rsidR="00DD14DF" w:rsidRPr="00D3148C">
        <w:t>. The Secretariat has not assessed whether a suitable off-site destruction facility would be available in Argentina, nor how such costs might compare with those in Argentina.</w:t>
      </w:r>
    </w:p>
    <w:p w:rsidR="00B42EA6" w:rsidRPr="00B42EA6" w:rsidRDefault="00B42EA6" w:rsidP="00267A2A">
      <w:pPr>
        <w:keepNext/>
        <w:keepLines/>
        <w:spacing w:before="120" w:after="240"/>
        <w:rPr>
          <w:u w:val="single"/>
        </w:rPr>
      </w:pPr>
      <w:r w:rsidRPr="00B42EA6">
        <w:rPr>
          <w:u w:val="single"/>
        </w:rPr>
        <w:t>Procedures of the Multilateral Fund for the production sector</w:t>
      </w:r>
    </w:p>
    <w:p w:rsidR="00804AB8" w:rsidRDefault="002A3FF7" w:rsidP="00267A2A">
      <w:pPr>
        <w:pStyle w:val="Heading1"/>
        <w:rPr>
          <w:lang w:val="en-CA"/>
        </w:rPr>
      </w:pPr>
      <w:r w:rsidRPr="00804AB8">
        <w:rPr>
          <w:lang w:val="en-CA"/>
        </w:rPr>
        <w:t xml:space="preserve">To date, </w:t>
      </w:r>
      <w:r w:rsidR="00804AB8" w:rsidRPr="00804AB8">
        <w:rPr>
          <w:lang w:val="en-CA"/>
        </w:rPr>
        <w:t>the Executive Committee has always provided funding for the production sector on the basis of cessation of production of the controlled substance, which for the circumstances considered was the most cost-effective and efficient option. The cost of closure includes lost profit, compensation to displaced workers, the cost of dismantling production facilities, and other costs.</w:t>
      </w:r>
    </w:p>
    <w:p w:rsidR="00804AB8" w:rsidRDefault="00804AB8" w:rsidP="00267A2A">
      <w:pPr>
        <w:pStyle w:val="Heading1"/>
        <w:rPr>
          <w:lang w:val="en-CA"/>
        </w:rPr>
      </w:pPr>
      <w:r>
        <w:rPr>
          <w:lang w:val="en-CA"/>
        </w:rPr>
        <w:t>T</w:t>
      </w:r>
      <w:r w:rsidR="002A3FF7" w:rsidRPr="00804AB8">
        <w:rPr>
          <w:lang w:val="en-CA"/>
        </w:rPr>
        <w:t xml:space="preserve">he process by which phase-out projects in the production sector have been reviewed and approved by the Executive Committee has differed from the process used in the consumption sector. In accordance with the practices and procedures in decision 19/36, each Article 5 producer country provides preliminary data and informs the Executive Committee eight months before it is ready to submit its sector phase-out; the Executive Committee then commissions a technical audit of the production sector in conjunction with the preparation of the sector plan prepared by the relevant implementing agency. The results of the technical audit, which should be incorporated into the sector plan, serve as a reference point for reviewing the plan. After review by the Secretariat, the plan is considered by the </w:t>
      </w:r>
      <w:r w:rsidR="00B42EA6">
        <w:rPr>
          <w:lang w:val="en-CA"/>
        </w:rPr>
        <w:t>P</w:t>
      </w:r>
      <w:r w:rsidR="002A3FF7" w:rsidRPr="00804AB8">
        <w:rPr>
          <w:lang w:val="en-CA"/>
        </w:rPr>
        <w:t xml:space="preserve">roduction </w:t>
      </w:r>
      <w:r w:rsidR="00B42EA6">
        <w:rPr>
          <w:lang w:val="en-CA"/>
        </w:rPr>
        <w:t>S</w:t>
      </w:r>
      <w:r w:rsidR="002A3FF7" w:rsidRPr="00804AB8">
        <w:rPr>
          <w:lang w:val="en-CA"/>
        </w:rPr>
        <w:t xml:space="preserve">ector </w:t>
      </w:r>
      <w:r w:rsidR="00B42EA6">
        <w:rPr>
          <w:lang w:val="en-CA"/>
        </w:rPr>
        <w:t>S</w:t>
      </w:r>
      <w:r w:rsidR="002A3FF7" w:rsidRPr="00804AB8">
        <w:rPr>
          <w:lang w:val="en-CA"/>
        </w:rPr>
        <w:t xml:space="preserve">ub-group. If needed, additional technical audits may be commissioned to address specific questions or issues. The plan is reviewed based on the technical audit, and in accordance with the indicative list of eligible costs. </w:t>
      </w:r>
    </w:p>
    <w:p w:rsidR="00B42EA6" w:rsidRPr="00402BFF" w:rsidRDefault="00B42EA6" w:rsidP="00267A2A">
      <w:pPr>
        <w:keepNext/>
        <w:keepLines/>
        <w:spacing w:before="120" w:after="240"/>
        <w:rPr>
          <w:u w:val="single"/>
          <w:lang w:val="en-CA"/>
        </w:rPr>
      </w:pPr>
      <w:r w:rsidRPr="00B42EA6">
        <w:rPr>
          <w:u w:val="single"/>
          <w:lang w:val="en-CA"/>
        </w:rPr>
        <w:t>Guidance by the Executive Committee</w:t>
      </w:r>
    </w:p>
    <w:p w:rsidR="00E85165" w:rsidRPr="00267A2A" w:rsidRDefault="00E85165" w:rsidP="00267A2A">
      <w:pPr>
        <w:pStyle w:val="Heading1"/>
        <w:rPr>
          <w:lang w:val="en-CA"/>
        </w:rPr>
      </w:pPr>
      <w:r w:rsidRPr="00267A2A">
        <w:rPr>
          <w:lang w:val="en-CA"/>
        </w:rPr>
        <w:t xml:space="preserve">The Secretariat seeks the guidance of the Executive Committee on whether it wishes to follow the same approach </w:t>
      </w:r>
      <w:r w:rsidR="00682575">
        <w:rPr>
          <w:lang w:val="en-CA"/>
        </w:rPr>
        <w:t>outlined in decision 19/36</w:t>
      </w:r>
      <w:r w:rsidR="00267A2A">
        <w:rPr>
          <w:lang w:val="en-CA"/>
        </w:rPr>
        <w:t xml:space="preserve"> and</w:t>
      </w:r>
      <w:r w:rsidR="00682575">
        <w:rPr>
          <w:lang w:val="en-CA"/>
        </w:rPr>
        <w:t>,</w:t>
      </w:r>
      <w:r w:rsidRPr="00267A2A">
        <w:rPr>
          <w:lang w:val="en-CA"/>
        </w:rPr>
        <w:t xml:space="preserve"> as a next step, request a technical audit</w:t>
      </w:r>
      <w:r w:rsidR="00267A2A">
        <w:rPr>
          <w:lang w:val="en-CA"/>
        </w:rPr>
        <w:t xml:space="preserve"> of FIASA</w:t>
      </w:r>
      <w:r w:rsidRPr="00267A2A">
        <w:rPr>
          <w:lang w:val="en-CA"/>
        </w:rPr>
        <w:t>,</w:t>
      </w:r>
      <w:r w:rsidRPr="00267A2A">
        <w:rPr>
          <w:rStyle w:val="FootnoteReference"/>
          <w:lang w:val="en-CA"/>
        </w:rPr>
        <w:footnoteReference w:id="9"/>
      </w:r>
      <w:r w:rsidRPr="00267A2A">
        <w:rPr>
          <w:lang w:val="en-CA"/>
        </w:rPr>
        <w:t xml:space="preserve"> or if it wishes to wait for the evaluation </w:t>
      </w:r>
      <w:r w:rsidR="00402BFF" w:rsidRPr="00267A2A">
        <w:rPr>
          <w:lang w:val="en-CA"/>
        </w:rPr>
        <w:t>of cost</w:t>
      </w:r>
      <w:r w:rsidR="00402BFF" w:rsidRPr="00267A2A">
        <w:rPr>
          <w:lang w:val="en-CA"/>
        </w:rPr>
        <w:noBreakHyphen/>
      </w:r>
      <w:r w:rsidRPr="00267A2A">
        <w:rPr>
          <w:lang w:val="en-CA"/>
        </w:rPr>
        <w:t>effective and environment</w:t>
      </w:r>
      <w:r w:rsidR="00267A2A">
        <w:rPr>
          <w:lang w:val="en-CA"/>
        </w:rPr>
        <w:t>ally sustainable options of HFC</w:t>
      </w:r>
      <w:r w:rsidR="00267A2A">
        <w:rPr>
          <w:lang w:val="en-CA"/>
        </w:rPr>
        <w:noBreakHyphen/>
      </w:r>
      <w:r w:rsidRPr="00267A2A">
        <w:rPr>
          <w:lang w:val="en-CA"/>
        </w:rPr>
        <w:t>23 destruction from HCFC-22 production facilities that will be submitted to the 81</w:t>
      </w:r>
      <w:r w:rsidRPr="00267A2A">
        <w:rPr>
          <w:vertAlign w:val="superscript"/>
          <w:lang w:val="en-CA"/>
        </w:rPr>
        <w:t>st</w:t>
      </w:r>
      <w:r w:rsidR="00233577" w:rsidRPr="00267A2A">
        <w:rPr>
          <w:lang w:val="en-CA"/>
        </w:rPr>
        <w:t xml:space="preserve"> </w:t>
      </w:r>
      <w:r w:rsidRPr="00267A2A">
        <w:rPr>
          <w:lang w:val="en-CA"/>
        </w:rPr>
        <w:t>meeting in line with decision 79/47(e)</w:t>
      </w:r>
      <w:r w:rsidR="00936D0F" w:rsidRPr="00267A2A">
        <w:rPr>
          <w:lang w:val="en-CA"/>
        </w:rPr>
        <w:t xml:space="preserve"> before deciding whether to request a technical audit</w:t>
      </w:r>
      <w:r w:rsidRPr="00267A2A">
        <w:rPr>
          <w:lang w:val="en-CA"/>
        </w:rPr>
        <w:t>.</w:t>
      </w:r>
    </w:p>
    <w:p w:rsidR="00F323E9" w:rsidRPr="00E85165" w:rsidRDefault="00E85165" w:rsidP="00267A2A">
      <w:pPr>
        <w:pStyle w:val="Heading1"/>
        <w:spacing w:before="120"/>
        <w:rPr>
          <w:lang w:val="en-CA"/>
        </w:rPr>
      </w:pPr>
      <w:r w:rsidRPr="00E85165">
        <w:rPr>
          <w:lang w:val="en-CA"/>
        </w:rPr>
        <w:lastRenderedPageBreak/>
        <w:t>In addition, the Executive Committee may wish to note that the business plan currently does not include funding for project preparation associated with the closure of FIASA in Argentina, and may wish to decide whether to add such project preparation.</w:t>
      </w:r>
      <w:r w:rsidR="003C00F5" w:rsidRPr="00E85165">
        <w:rPr>
          <w:lang w:val="en-CA"/>
        </w:rPr>
        <w:t xml:space="preserve"> </w:t>
      </w:r>
    </w:p>
    <w:p w:rsidR="00B75FDD" w:rsidRPr="00572436" w:rsidRDefault="00B75FDD" w:rsidP="00267A2A">
      <w:pPr>
        <w:keepNext/>
        <w:keepLines/>
        <w:spacing w:before="120" w:after="240"/>
        <w:rPr>
          <w:lang w:val="en-CA"/>
        </w:rPr>
      </w:pPr>
      <w:r w:rsidRPr="00572436">
        <w:rPr>
          <w:b/>
          <w:lang w:val="en-CA"/>
        </w:rPr>
        <w:t>RECOMMENDATION</w:t>
      </w:r>
      <w:r w:rsidRPr="00572436">
        <w:rPr>
          <w:lang w:val="en-CA"/>
        </w:rPr>
        <w:t xml:space="preserve"> </w:t>
      </w:r>
    </w:p>
    <w:p w:rsidR="00B75FDD" w:rsidRPr="00572436" w:rsidRDefault="00B75FDD" w:rsidP="00267A2A">
      <w:pPr>
        <w:pStyle w:val="Heading1"/>
        <w:spacing w:before="120"/>
        <w:rPr>
          <w:lang w:val="en-CA"/>
        </w:rPr>
      </w:pPr>
      <w:r w:rsidRPr="00572436">
        <w:rPr>
          <w:lang w:val="en-CA"/>
        </w:rPr>
        <w:t>The Executive Committee may wish to consider:</w:t>
      </w:r>
    </w:p>
    <w:p w:rsidR="006074FB" w:rsidRDefault="00B75FDD" w:rsidP="00267A2A">
      <w:pPr>
        <w:pStyle w:val="Heading2"/>
        <w:rPr>
          <w:lang w:val="en-CA"/>
        </w:rPr>
      </w:pPr>
      <w:r w:rsidRPr="006074FB">
        <w:rPr>
          <w:lang w:val="en-CA"/>
        </w:rPr>
        <w:t>Noting</w:t>
      </w:r>
      <w:r w:rsidR="006074FB" w:rsidRPr="006074FB">
        <w:rPr>
          <w:lang w:val="en-CA"/>
        </w:rPr>
        <w:t xml:space="preserve"> the submission </w:t>
      </w:r>
      <w:r w:rsidR="006074FB">
        <w:rPr>
          <w:lang w:val="en-CA"/>
        </w:rPr>
        <w:t xml:space="preserve">by the Government of Argentina </w:t>
      </w:r>
      <w:r w:rsidR="006074FB" w:rsidRPr="006074FB">
        <w:rPr>
          <w:lang w:val="en-CA"/>
        </w:rPr>
        <w:t xml:space="preserve">of the preliminary data </w:t>
      </w:r>
      <w:r w:rsidR="00B42EA6">
        <w:rPr>
          <w:lang w:val="en-CA"/>
        </w:rPr>
        <w:t>o</w:t>
      </w:r>
      <w:r w:rsidR="006074FB" w:rsidRPr="006074FB">
        <w:rPr>
          <w:lang w:val="en-CA"/>
        </w:rPr>
        <w:t>n the HCF</w:t>
      </w:r>
      <w:r w:rsidR="00B42EA6">
        <w:rPr>
          <w:lang w:val="en-CA"/>
        </w:rPr>
        <w:t>C</w:t>
      </w:r>
      <w:r w:rsidR="006074FB" w:rsidRPr="006074FB">
        <w:rPr>
          <w:lang w:val="en-CA"/>
        </w:rPr>
        <w:t xml:space="preserve">-22 swing plant </w:t>
      </w:r>
      <w:proofErr w:type="spellStart"/>
      <w:r w:rsidR="006074FB" w:rsidRPr="006074FB">
        <w:rPr>
          <w:lang w:val="en-CA"/>
        </w:rPr>
        <w:t>Frio</w:t>
      </w:r>
      <w:proofErr w:type="spellEnd"/>
      <w:r w:rsidR="006074FB" w:rsidRPr="006074FB">
        <w:rPr>
          <w:lang w:val="en-CA"/>
        </w:rPr>
        <w:t xml:space="preserve"> </w:t>
      </w:r>
      <w:proofErr w:type="spellStart"/>
      <w:r w:rsidR="006074FB" w:rsidRPr="006074FB">
        <w:rPr>
          <w:lang w:val="en-CA"/>
        </w:rPr>
        <w:t>Industrias</w:t>
      </w:r>
      <w:proofErr w:type="spellEnd"/>
      <w:r w:rsidR="006074FB" w:rsidRPr="006074FB">
        <w:rPr>
          <w:lang w:val="en-CA"/>
        </w:rPr>
        <w:t xml:space="preserve"> </w:t>
      </w:r>
      <w:proofErr w:type="spellStart"/>
      <w:r w:rsidR="006074FB" w:rsidRPr="006074FB">
        <w:rPr>
          <w:lang w:val="en-CA"/>
        </w:rPr>
        <w:t>Argentinas</w:t>
      </w:r>
      <w:proofErr w:type="spellEnd"/>
      <w:r w:rsidR="00B42EA6">
        <w:rPr>
          <w:lang w:val="en-CA"/>
        </w:rPr>
        <w:t>, S.A. (FIASA)</w:t>
      </w:r>
      <w:r w:rsidR="006074FB" w:rsidRPr="006074FB">
        <w:rPr>
          <w:lang w:val="en-CA"/>
        </w:rPr>
        <w:t xml:space="preserve"> contained i</w:t>
      </w:r>
      <w:r w:rsidR="006074FB">
        <w:rPr>
          <w:lang w:val="en-CA"/>
        </w:rPr>
        <w:t>n document UNEP/</w:t>
      </w:r>
      <w:proofErr w:type="spellStart"/>
      <w:r w:rsidR="006074FB">
        <w:rPr>
          <w:lang w:val="en-CA"/>
        </w:rPr>
        <w:t>OzL.Pro</w:t>
      </w:r>
      <w:proofErr w:type="spellEnd"/>
      <w:r w:rsidR="006074FB">
        <w:rPr>
          <w:lang w:val="en-CA"/>
        </w:rPr>
        <w:t>/</w:t>
      </w:r>
      <w:proofErr w:type="spellStart"/>
      <w:r w:rsidR="006074FB">
        <w:rPr>
          <w:lang w:val="en-CA"/>
        </w:rPr>
        <w:t>ExCom</w:t>
      </w:r>
      <w:proofErr w:type="spellEnd"/>
      <w:r w:rsidR="006074FB">
        <w:rPr>
          <w:lang w:val="en-CA"/>
        </w:rPr>
        <w:t>/80</w:t>
      </w:r>
      <w:r w:rsidR="006074FB" w:rsidRPr="006074FB">
        <w:rPr>
          <w:lang w:val="en-CA"/>
        </w:rPr>
        <w:t>/</w:t>
      </w:r>
      <w:r w:rsidR="006364E6">
        <w:rPr>
          <w:lang w:val="en-CA"/>
        </w:rPr>
        <w:t>56</w:t>
      </w:r>
      <w:r w:rsidR="006074FB">
        <w:rPr>
          <w:lang w:val="en-CA"/>
        </w:rPr>
        <w:t>;</w:t>
      </w:r>
    </w:p>
    <w:p w:rsidR="008D2EE1" w:rsidRPr="00E85165" w:rsidRDefault="00526EAD" w:rsidP="00267A2A">
      <w:pPr>
        <w:pStyle w:val="Heading2"/>
        <w:rPr>
          <w:lang w:val="en-CA"/>
        </w:rPr>
      </w:pPr>
      <w:r>
        <w:rPr>
          <w:lang w:val="en-CA"/>
        </w:rPr>
        <w:t>Whether to r</w:t>
      </w:r>
      <w:r w:rsidR="008D2EE1" w:rsidRPr="00E85165">
        <w:rPr>
          <w:lang w:val="en-CA"/>
        </w:rPr>
        <w:t>equest a technical audit</w:t>
      </w:r>
      <w:r w:rsidR="00B42EA6" w:rsidRPr="00E85165">
        <w:rPr>
          <w:lang w:val="en-CA"/>
        </w:rPr>
        <w:t xml:space="preserve"> of FIASA</w:t>
      </w:r>
      <w:r w:rsidR="00E85165" w:rsidRPr="00E85165">
        <w:rPr>
          <w:lang w:val="en-CA"/>
        </w:rPr>
        <w:t xml:space="preserve"> and replenish</w:t>
      </w:r>
      <w:r w:rsidR="00E85165">
        <w:rPr>
          <w:lang w:val="en-CA"/>
        </w:rPr>
        <w:t>ing</w:t>
      </w:r>
      <w:r w:rsidR="00E85165" w:rsidRPr="00E85165">
        <w:rPr>
          <w:lang w:val="en-CA"/>
        </w:rPr>
        <w:t xml:space="preserve"> the sub-account for technical audits in the amount of US $50,000, and authorize the Fund Secretariat to initiate the related contracting process,</w:t>
      </w:r>
      <w:r w:rsidR="00E85165">
        <w:rPr>
          <w:lang w:val="en-CA"/>
        </w:rPr>
        <w:t xml:space="preserve"> </w:t>
      </w:r>
      <w:r w:rsidR="00E85165" w:rsidRPr="00E85165">
        <w:rPr>
          <w:lang w:val="en-CA"/>
        </w:rPr>
        <w:t>accordingly</w:t>
      </w:r>
      <w:r w:rsidR="00E85165">
        <w:rPr>
          <w:lang w:val="en-CA"/>
        </w:rPr>
        <w:t xml:space="preserve">; </w:t>
      </w:r>
      <w:r w:rsidR="008D2EE1" w:rsidRPr="00E85165">
        <w:rPr>
          <w:lang w:val="en-CA"/>
        </w:rPr>
        <w:t xml:space="preserve">or </w:t>
      </w:r>
      <w:r>
        <w:rPr>
          <w:lang w:val="en-CA"/>
        </w:rPr>
        <w:t>to wait</w:t>
      </w:r>
      <w:r w:rsidR="008D2EE1" w:rsidRPr="00E85165">
        <w:rPr>
          <w:lang w:val="en-CA"/>
        </w:rPr>
        <w:t xml:space="preserve"> for the evaluation by an independent consultant</w:t>
      </w:r>
      <w:r w:rsidR="008D2EE1" w:rsidRPr="00804AB8">
        <w:t xml:space="preserve"> </w:t>
      </w:r>
      <w:r w:rsidR="008D2EE1" w:rsidRPr="00E85165">
        <w:rPr>
          <w:lang w:val="en-CA"/>
        </w:rPr>
        <w:t xml:space="preserve">of cost-effective and environmentally sustainable options </w:t>
      </w:r>
      <w:r w:rsidR="006F6881" w:rsidRPr="00E85165">
        <w:rPr>
          <w:lang w:val="en-CA"/>
        </w:rPr>
        <w:t>of HFC-23 destruction from HCFC</w:t>
      </w:r>
      <w:r w:rsidR="006F6881" w:rsidRPr="00E85165">
        <w:rPr>
          <w:lang w:val="en-CA"/>
        </w:rPr>
        <w:noBreakHyphen/>
      </w:r>
      <w:r w:rsidR="008D2EE1" w:rsidRPr="00E85165">
        <w:rPr>
          <w:lang w:val="en-CA"/>
        </w:rPr>
        <w:t>22 production facilities that will be submitted to the 81</w:t>
      </w:r>
      <w:r w:rsidR="008D2EE1" w:rsidRPr="00E85165">
        <w:rPr>
          <w:vertAlign w:val="superscript"/>
          <w:lang w:val="en-CA"/>
        </w:rPr>
        <w:t>st</w:t>
      </w:r>
      <w:r w:rsidR="008D2EE1" w:rsidRPr="00E85165">
        <w:rPr>
          <w:lang w:val="en-CA"/>
        </w:rPr>
        <w:t xml:space="preserve"> meeting in line with decision 79/47(e); and</w:t>
      </w:r>
    </w:p>
    <w:p w:rsidR="00B75FDD" w:rsidRDefault="006F6881" w:rsidP="00267A2A">
      <w:pPr>
        <w:pStyle w:val="Heading2"/>
        <w:rPr>
          <w:lang w:val="en-CA"/>
        </w:rPr>
      </w:pPr>
      <w:r>
        <w:rPr>
          <w:lang w:val="en-CA"/>
        </w:rPr>
        <w:t>Including</w:t>
      </w:r>
      <w:r w:rsidR="008D2EE1">
        <w:rPr>
          <w:lang w:val="en-CA"/>
        </w:rPr>
        <w:t xml:space="preserve"> in the </w:t>
      </w:r>
      <w:proofErr w:type="gramStart"/>
      <w:r w:rsidR="00B42EA6">
        <w:rPr>
          <w:lang w:val="en-CA"/>
        </w:rPr>
        <w:t>Consolidated</w:t>
      </w:r>
      <w:proofErr w:type="gramEnd"/>
      <w:r w:rsidR="00B42EA6">
        <w:rPr>
          <w:lang w:val="en-CA"/>
        </w:rPr>
        <w:t xml:space="preserve"> </w:t>
      </w:r>
      <w:r w:rsidR="008D2EE1">
        <w:rPr>
          <w:lang w:val="en-CA"/>
        </w:rPr>
        <w:t xml:space="preserve">2018-2020 business plan </w:t>
      </w:r>
      <w:r w:rsidR="00B42EA6">
        <w:rPr>
          <w:lang w:val="en-CA"/>
        </w:rPr>
        <w:t xml:space="preserve">of the Multilateral Fund </w:t>
      </w:r>
      <w:r w:rsidR="008D2EE1">
        <w:rPr>
          <w:lang w:val="en-CA"/>
        </w:rPr>
        <w:t>funding for project preparation associated with the closure of FIASA in Argentina</w:t>
      </w:r>
      <w:r w:rsidR="00B42EA6">
        <w:rPr>
          <w:lang w:val="en-CA"/>
        </w:rPr>
        <w:t>, to be implemented by the World Bank</w:t>
      </w:r>
      <w:r w:rsidR="008D2EE1">
        <w:rPr>
          <w:lang w:val="en-CA"/>
        </w:rPr>
        <w:t>.</w:t>
      </w:r>
    </w:p>
    <w:p w:rsidR="00EA2D04" w:rsidRPr="00EA2D04" w:rsidRDefault="00EA2D04" w:rsidP="00267A2A"/>
    <w:p w:rsidR="00E85409" w:rsidRDefault="00E85409" w:rsidP="00506B9C">
      <w:pPr>
        <w:rPr>
          <w:lang w:val="en-CA"/>
        </w:rPr>
      </w:pPr>
    </w:p>
    <w:p w:rsidR="002C1708" w:rsidRDefault="002C1708" w:rsidP="00506B9C">
      <w:pPr>
        <w:rPr>
          <w:lang w:val="en-CA"/>
        </w:rPr>
        <w:sectPr w:rsidR="002C1708" w:rsidSect="005819E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docGrid w:linePitch="299"/>
        </w:sectPr>
      </w:pPr>
    </w:p>
    <w:p w:rsidR="007735DF" w:rsidRPr="007735DF" w:rsidRDefault="007735DF" w:rsidP="007735DF">
      <w:pPr>
        <w:pStyle w:val="0Heading0"/>
        <w:jc w:val="center"/>
        <w:rPr>
          <w:b/>
        </w:rPr>
      </w:pPr>
      <w:r w:rsidRPr="007735DF">
        <w:rPr>
          <w:b/>
        </w:rPr>
        <w:lastRenderedPageBreak/>
        <w:t>Annex I</w:t>
      </w:r>
    </w:p>
    <w:p w:rsidR="007735DF" w:rsidRPr="007735DF" w:rsidRDefault="007735DF" w:rsidP="007735DF">
      <w:pPr>
        <w:pStyle w:val="0Heading0"/>
        <w:jc w:val="center"/>
        <w:rPr>
          <w:b/>
        </w:rPr>
      </w:pPr>
    </w:p>
    <w:p w:rsidR="007735DF" w:rsidRPr="007735DF" w:rsidRDefault="007735DF" w:rsidP="008D6142">
      <w:pPr>
        <w:pStyle w:val="0Heading0"/>
        <w:jc w:val="center"/>
        <w:rPr>
          <w:b/>
        </w:rPr>
      </w:pPr>
      <w:r w:rsidRPr="007735DF">
        <w:rPr>
          <w:b/>
        </w:rPr>
        <w:t>SUMMARY OF DOCUMENT ON KEY ASPECTS RELATED TO HFC-23 BY-PRODUCT CONTROL TECHNOLOGIES</w:t>
      </w:r>
      <w:r>
        <w:rPr>
          <w:rStyle w:val="FootnoteReference"/>
          <w:lang w:val="en-CA"/>
        </w:rPr>
        <w:footnoteReference w:id="10"/>
      </w:r>
      <w:r w:rsidR="008D6142">
        <w:rPr>
          <w:b/>
        </w:rPr>
        <w:t xml:space="preserve"> RELEVANT TO THE PRESENT DOCUMENT</w:t>
      </w:r>
    </w:p>
    <w:p w:rsidR="007735DF" w:rsidRDefault="007735DF" w:rsidP="007735DF">
      <w:pPr>
        <w:pStyle w:val="0Heading0"/>
      </w:pPr>
    </w:p>
    <w:p w:rsidR="007735DF" w:rsidRPr="007735DF" w:rsidRDefault="007735DF" w:rsidP="007735DF">
      <w:pPr>
        <w:pStyle w:val="Heading1"/>
        <w:numPr>
          <w:ilvl w:val="0"/>
          <w:numId w:val="44"/>
        </w:numPr>
        <w:rPr>
          <w:lang w:val="en-CA"/>
        </w:rPr>
      </w:pPr>
      <w:r w:rsidRPr="007735DF">
        <w:rPr>
          <w:lang w:val="en-CA"/>
        </w:rPr>
        <w:t>At its 79</w:t>
      </w:r>
      <w:r w:rsidRPr="007735DF">
        <w:rPr>
          <w:vertAlign w:val="superscript"/>
          <w:lang w:val="en-CA"/>
        </w:rPr>
        <w:t>th</w:t>
      </w:r>
      <w:r w:rsidRPr="007735DF">
        <w:rPr>
          <w:lang w:val="en-CA"/>
        </w:rPr>
        <w:t xml:space="preserve"> meeting, the Executive Committee decided to consider possible cost-effective options for compensation for HCFC-22 swing plants to allow for compliance with the HFC-23 by-product control obligations of the Kigali Amendment (decision 79/47(c)).</w:t>
      </w:r>
      <w:r w:rsidRPr="007735DF">
        <w:rPr>
          <w:rStyle w:val="FootnoteReference"/>
          <w:lang w:val="en-CA"/>
        </w:rPr>
        <w:footnoteReference w:id="11"/>
      </w:r>
    </w:p>
    <w:p w:rsidR="007735DF" w:rsidRPr="007735DF" w:rsidRDefault="007735DF" w:rsidP="007735DF">
      <w:pPr>
        <w:pStyle w:val="Heading1"/>
        <w:rPr>
          <w:lang w:val="en-CA"/>
        </w:rPr>
      </w:pPr>
      <w:r w:rsidRPr="007735DF">
        <w:rPr>
          <w:lang w:val="en-CA"/>
        </w:rPr>
        <w:t>The Secretariat presented an analysis of data available under the CDM on HFC-23 by-product destruction, including at FIASA, in document UNEP/</w:t>
      </w:r>
      <w:proofErr w:type="spellStart"/>
      <w:r w:rsidRPr="007735DF">
        <w:rPr>
          <w:lang w:val="en-CA"/>
        </w:rPr>
        <w:t>OzL.Pro</w:t>
      </w:r>
      <w:proofErr w:type="spellEnd"/>
      <w:r w:rsidRPr="007735DF">
        <w:rPr>
          <w:lang w:val="en-CA"/>
        </w:rPr>
        <w:t>/</w:t>
      </w:r>
      <w:proofErr w:type="spellStart"/>
      <w:r w:rsidRPr="007735DF">
        <w:rPr>
          <w:lang w:val="en-CA"/>
        </w:rPr>
        <w:t>ExCom</w:t>
      </w:r>
      <w:proofErr w:type="spellEnd"/>
      <w:r w:rsidRPr="007735DF">
        <w:rPr>
          <w:lang w:val="en-CA"/>
        </w:rPr>
        <w:t xml:space="preserve">/79/48. In particular, detailed information on the destruction facility and its operation is available in the monitoring reports provided under the CDM. For 13 of the 19 HFC-23 destruction projects registered under the CDM, the Secretariat collected the data from the ten most recent monitoring reports (for which request for issuance of credits was issued); for the remaining six projects, the Secretariat collected data from all the monitoring reports to assess whether using only data from the ten most recent reports affected the analysis. FIASA was one of the six projects for which data from all monitoring reports was collected. </w:t>
      </w:r>
    </w:p>
    <w:p w:rsidR="007735DF" w:rsidRPr="007735DF" w:rsidRDefault="007735DF" w:rsidP="007735DF">
      <w:pPr>
        <w:pStyle w:val="Heading1"/>
        <w:rPr>
          <w:lang w:val="en-CA"/>
        </w:rPr>
      </w:pPr>
      <w:r w:rsidRPr="007735DF">
        <w:rPr>
          <w:lang w:val="en-CA"/>
        </w:rPr>
        <w:t>For its analysis, the Secretariat normalized the use of the consumables and waste by the amount of HFC-23 that was destroyed in order to estimate the associated costs per kilogram of HFC-23 destroyed. The monitoring reports for FIASA provide the quantity of natural gas and electricity consumed in the HFC</w:t>
      </w:r>
      <w:r w:rsidRPr="007735DF">
        <w:rPr>
          <w:lang w:val="en-CA"/>
        </w:rPr>
        <w:noBreakHyphen/>
        <w:t>23 destruction process, as well as the amount of HCFC-22 produced and HFC-23 by-product generated. The average normalized use of natural gas and electricity was 0.54 Nm</w:t>
      </w:r>
      <w:r w:rsidRPr="007735DF">
        <w:rPr>
          <w:vertAlign w:val="superscript"/>
          <w:lang w:val="en-CA"/>
        </w:rPr>
        <w:t>3</w:t>
      </w:r>
      <w:r w:rsidRPr="007735DF">
        <w:rPr>
          <w:lang w:val="en-CA"/>
        </w:rPr>
        <w:t>/kg of HFC-23 and 0.40 kWh/kg of HFC-23. Assuming nominal costs of US $0.50/Nm</w:t>
      </w:r>
      <w:r w:rsidRPr="007735DF">
        <w:rPr>
          <w:vertAlign w:val="superscript"/>
          <w:lang w:val="en-CA"/>
        </w:rPr>
        <w:t>3</w:t>
      </w:r>
      <w:r w:rsidRPr="007735DF">
        <w:rPr>
          <w:lang w:val="en-CA"/>
        </w:rPr>
        <w:t xml:space="preserve"> for natural gas and US $0.10/kWh, suggests incremental costs for those two consumables of US $0.31/kg of HFC-23 destroyed.</w:t>
      </w:r>
    </w:p>
    <w:p w:rsidR="007735DF" w:rsidRPr="007735DF" w:rsidRDefault="007735DF" w:rsidP="007735DF">
      <w:pPr>
        <w:pStyle w:val="Heading1"/>
        <w:rPr>
          <w:lang w:val="en-CA"/>
        </w:rPr>
      </w:pPr>
      <w:r w:rsidRPr="007735DF">
        <w:rPr>
          <w:lang w:val="en-CA"/>
        </w:rPr>
        <w:t>As noted in document UNEP/</w:t>
      </w:r>
      <w:proofErr w:type="spellStart"/>
      <w:r w:rsidRPr="007735DF">
        <w:rPr>
          <w:lang w:val="en-CA"/>
        </w:rPr>
        <w:t>OzL.Pro</w:t>
      </w:r>
      <w:proofErr w:type="spellEnd"/>
      <w:r w:rsidRPr="007735DF">
        <w:rPr>
          <w:lang w:val="en-CA"/>
        </w:rPr>
        <w:t>/</w:t>
      </w:r>
      <w:proofErr w:type="spellStart"/>
      <w:r w:rsidRPr="007735DF">
        <w:rPr>
          <w:lang w:val="en-CA"/>
        </w:rPr>
        <w:t>ExCom</w:t>
      </w:r>
      <w:proofErr w:type="spellEnd"/>
      <w:r w:rsidRPr="007735DF">
        <w:rPr>
          <w:lang w:val="en-CA"/>
        </w:rPr>
        <w:t xml:space="preserve">/79/48, while the monitoring reports provide detailed information on the operation of the destruction facility, they do not provide information on the incremental costs to operate the destruction facility. The Secretariat’s analysis was therefore necessarily limited by the information provided; as the incremental cost of the reported consumables does not include maintenance, labour, costs associated with monitoring, or other expenses that may affect the incremental operating costs (IOC) of destruction, the incremental costs of the reported consumables likely represents a lower bound on the IOC of destruction. The Secretariat considers that maintenance costs are likely to be significant as incinerators typically operate at 1,200°C and contain corrosive chemicals (e.g., re-bricking of the incinerator approximately every six years is a common industrial practice). Costs associated with labour are likely to be small given that an incinerator can be controlled from the same control room used to control the rest of the HCFC-22 production facility; however, the Secretariat has not analysed such costs. Monitoring costs, depending on the monitoring requirements, are likely to be present but small relative to the cost of consumables such as fuel and electricity. </w:t>
      </w:r>
    </w:p>
    <w:p w:rsidR="007735DF" w:rsidRPr="007735DF" w:rsidRDefault="007735DF" w:rsidP="007735DF">
      <w:pPr>
        <w:pStyle w:val="Heading1"/>
        <w:rPr>
          <w:lang w:val="en-CA"/>
        </w:rPr>
      </w:pPr>
      <w:r w:rsidRPr="007735DF">
        <w:rPr>
          <w:lang w:val="en-CA"/>
        </w:rPr>
        <w:t xml:space="preserve">For reference, the Secretariat’s analysis of the 19 CDM HFC-23 destruction projects indicated that the incremental cost of consumables and waste was in all cases below US $1/kg of HFC-23. This value is comparable to the analysis conducted by the </w:t>
      </w:r>
      <w:proofErr w:type="spellStart"/>
      <w:r w:rsidRPr="007735DF">
        <w:rPr>
          <w:lang w:val="en-CA"/>
        </w:rPr>
        <w:t>Öko</w:t>
      </w:r>
      <w:proofErr w:type="spellEnd"/>
      <w:r w:rsidRPr="007735DF">
        <w:rPr>
          <w:lang w:val="en-CA"/>
        </w:rPr>
        <w:t xml:space="preserve"> Institute for Applied Ecology,</w:t>
      </w:r>
      <w:r w:rsidRPr="007735DF">
        <w:rPr>
          <w:rStyle w:val="FootnoteReference"/>
          <w:lang w:val="en-CA"/>
        </w:rPr>
        <w:footnoteReference w:id="12"/>
      </w:r>
      <w:r w:rsidRPr="007735DF">
        <w:rPr>
          <w:lang w:val="en-CA"/>
        </w:rPr>
        <w:t xml:space="preserve"> which found that the typical marginal technical abatement costs of HFC-23 destruction (i.e., the IOCs) was 0.07 €/tCO</w:t>
      </w:r>
      <w:r w:rsidRPr="00E81750">
        <w:rPr>
          <w:vertAlign w:val="subscript"/>
          <w:lang w:val="en-CA"/>
        </w:rPr>
        <w:t>2</w:t>
      </w:r>
      <w:r w:rsidRPr="007735DF">
        <w:rPr>
          <w:lang w:val="en-CA"/>
        </w:rPr>
        <w:t xml:space="preserve">e (approximately US $1.17/kg of HFC-23, converted on 4 June 2017), including the cost of maintenance, </w:t>
      </w:r>
      <w:r w:rsidRPr="007735DF">
        <w:rPr>
          <w:lang w:val="en-CA"/>
        </w:rPr>
        <w:lastRenderedPageBreak/>
        <w:t>labour, monitoring, and other expenses. Similarly, the TEAP Replenishment Task Force estimated a range of US $0.50-1.50/kg of HFC-23 in its 2017 TEAP XXVIII/5 Task Force (Replenishment) Report.</w:t>
      </w:r>
    </w:p>
    <w:p w:rsidR="007735DF" w:rsidRPr="007735DF" w:rsidRDefault="007735DF" w:rsidP="007735DF">
      <w:pPr>
        <w:pStyle w:val="Heading1"/>
        <w:rPr>
          <w:lang w:val="en-CA"/>
        </w:rPr>
      </w:pPr>
      <w:r w:rsidRPr="007735DF">
        <w:rPr>
          <w:lang w:val="en-CA"/>
        </w:rPr>
        <w:t>The Secretariat did not account for possible revenue streams from the recovery of HF from the destruction process.</w:t>
      </w:r>
      <w:r w:rsidRPr="007735DF">
        <w:rPr>
          <w:rStyle w:val="FootnoteReference"/>
          <w:lang w:val="en-CA"/>
        </w:rPr>
        <w:footnoteReference w:id="13"/>
      </w:r>
      <w:r w:rsidRPr="007735DF">
        <w:rPr>
          <w:lang w:val="en-CA"/>
        </w:rPr>
        <w:t xml:space="preserve"> The CDM monitoring reports indicates that the destruction technology used by FIASA does not result in the generation of sludge but instead a commercial liquid solution called HF50% composed of HF with traces of hydrogen chloride (</w:t>
      </w:r>
      <w:proofErr w:type="spellStart"/>
      <w:r w:rsidRPr="007735DF">
        <w:rPr>
          <w:lang w:val="en-CA"/>
        </w:rPr>
        <w:t>HCl</w:t>
      </w:r>
      <w:proofErr w:type="spellEnd"/>
      <w:r w:rsidRPr="007735DF">
        <w:rPr>
          <w:lang w:val="en-CA"/>
        </w:rPr>
        <w:t xml:space="preserve">) </w:t>
      </w:r>
      <w:r w:rsidR="00F95561">
        <w:rPr>
          <w:lang w:val="en-CA"/>
        </w:rPr>
        <w:t xml:space="preserve">that </w:t>
      </w:r>
      <w:r w:rsidRPr="007735DF">
        <w:rPr>
          <w:lang w:val="en-CA"/>
        </w:rPr>
        <w:t xml:space="preserve">is recovered, stored, and then transported to Buenos Aires to be sold as input for glass, metallurgy, or the chemical and fuel industry. The average quantity of HF50% recovered at FIASA was 1.75 kg/kg of HFC-23. </w:t>
      </w:r>
    </w:p>
    <w:p w:rsidR="007735DF" w:rsidRPr="007735DF" w:rsidRDefault="007735DF" w:rsidP="007735DF">
      <w:pPr>
        <w:pStyle w:val="Heading1"/>
        <w:rPr>
          <w:lang w:val="en-CA"/>
        </w:rPr>
      </w:pPr>
      <w:r w:rsidRPr="007735DF">
        <w:rPr>
          <w:lang w:val="en-CA"/>
        </w:rPr>
        <w:t>The average HFC-23 by-product generation rate (</w:t>
      </w:r>
      <w:r w:rsidRPr="007735DF">
        <w:rPr>
          <w:i/>
          <w:lang w:val="en-CA"/>
        </w:rPr>
        <w:t>w</w:t>
      </w:r>
      <w:r w:rsidRPr="007735DF">
        <w:rPr>
          <w:lang w:val="en-CA"/>
        </w:rPr>
        <w:t>) was 3.30 per cent</w:t>
      </w:r>
      <w:r w:rsidR="00F95561">
        <w:rPr>
          <w:lang w:val="en-CA"/>
        </w:rPr>
        <w:t xml:space="preserve"> at FIASA</w:t>
      </w:r>
      <w:r w:rsidRPr="007735DF">
        <w:rPr>
          <w:lang w:val="en-CA"/>
        </w:rPr>
        <w:t>, though the most recent monitoring report (1 January 2013 through 14 October 2013) indicated a generation rate of 1.89 per cent. It is unclear whether process improvements or other factors might have led to the reduced generation rate.</w:t>
      </w:r>
      <w:bookmarkStart w:id="0" w:name="_GoBack"/>
      <w:bookmarkEnd w:id="0"/>
    </w:p>
    <w:p w:rsidR="007735DF" w:rsidRPr="00963105" w:rsidRDefault="007735DF" w:rsidP="007735DF">
      <w:pPr>
        <w:pStyle w:val="Heading1"/>
        <w:rPr>
          <w:lang w:val="en-CA"/>
        </w:rPr>
      </w:pPr>
      <w:r w:rsidRPr="007735DF">
        <w:rPr>
          <w:lang w:val="en-CA"/>
        </w:rPr>
        <w:t xml:space="preserve">In the information provided by the Government of Argentina in line with decision 77/59(c), the Government did not include an estimate of the costs to start up the destruction facility at FIASA. In response to decision 78/5(d), the Republic of Korea provided information indicating that the HCFC-22 production facility in Republic of Korea had similarly stopped operating its HFC-23 destruction facility, and estimated that approximately US $800,000 would be required for the destruction facility to be reactivated. The Secretariat has </w:t>
      </w:r>
      <w:r w:rsidRPr="00963105">
        <w:rPr>
          <w:lang w:val="en-CA"/>
        </w:rPr>
        <w:t>not assessed how the costs to reactivate the destruction facility in the Republic of Korea might compare with the costs to reactivate the destruction facility at FIASA.</w:t>
      </w:r>
    </w:p>
    <w:p w:rsidR="00D3756F" w:rsidRPr="00963105" w:rsidRDefault="00D3756F" w:rsidP="00D3756F">
      <w:pPr>
        <w:pStyle w:val="Heading1"/>
        <w:rPr>
          <w:lang w:val="en-CA"/>
        </w:rPr>
      </w:pPr>
      <w:r w:rsidRPr="00963105">
        <w:rPr>
          <w:lang w:val="en-CA"/>
        </w:rPr>
        <w:t xml:space="preserve">Regarding the collection of HFC-23 for off-site destruction, </w:t>
      </w:r>
      <w:r w:rsidRPr="00963105">
        <w:rPr>
          <w:rFonts w:eastAsia="SimSun"/>
          <w:lang w:val="en-CA"/>
        </w:rPr>
        <w:t xml:space="preserve">a </w:t>
      </w:r>
      <w:r w:rsidRPr="00963105">
        <w:rPr>
          <w:lang w:val="en-CA"/>
        </w:rPr>
        <w:t>producer based in the United States of America emphasized that, depending on the plant set-up, not all the HFC-23 that is generated can be destroyed given limitations in the ability to separate and capture HFC-23 from other streams in the process. In particular, the gas mixture exiting the HCFC-22 reactor typically contains HCFC-22, HCFC</w:t>
      </w:r>
      <w:r w:rsidRPr="00963105">
        <w:rPr>
          <w:lang w:val="en-CA"/>
        </w:rPr>
        <w:noBreakHyphen/>
        <w:t xml:space="preserve">21, HFC-23, </w:t>
      </w:r>
      <w:proofErr w:type="spellStart"/>
      <w:r w:rsidRPr="00963105">
        <w:rPr>
          <w:lang w:val="en-CA"/>
        </w:rPr>
        <w:t>HCl</w:t>
      </w:r>
      <w:proofErr w:type="spellEnd"/>
      <w:r w:rsidRPr="00963105">
        <w:rPr>
          <w:lang w:val="en-CA"/>
        </w:rPr>
        <w:t xml:space="preserve"> and HF. The HFC-23 tends to travel with the </w:t>
      </w:r>
      <w:proofErr w:type="spellStart"/>
      <w:r w:rsidRPr="00963105">
        <w:rPr>
          <w:lang w:val="en-CA"/>
        </w:rPr>
        <w:t>HCl</w:t>
      </w:r>
      <w:proofErr w:type="spellEnd"/>
      <w:r w:rsidRPr="00963105">
        <w:rPr>
          <w:lang w:val="en-CA"/>
        </w:rPr>
        <w:t xml:space="preserve"> stream and is difficult to separate without a liquid absorption system.</w:t>
      </w:r>
    </w:p>
    <w:p w:rsidR="007735DF" w:rsidRPr="00963105" w:rsidRDefault="00D3756F" w:rsidP="00D3756F">
      <w:pPr>
        <w:pStyle w:val="Heading1"/>
        <w:rPr>
          <w:lang w:val="en-CA"/>
        </w:rPr>
      </w:pPr>
      <w:r w:rsidRPr="00963105">
        <w:rPr>
          <w:lang w:val="en-CA"/>
        </w:rPr>
        <w:t xml:space="preserve">The estimated cost of off-site destruction of </w:t>
      </w:r>
      <w:proofErr w:type="spellStart"/>
      <w:r w:rsidRPr="00963105">
        <w:rPr>
          <w:lang w:val="en-CA"/>
        </w:rPr>
        <w:t>fluorochemicals</w:t>
      </w:r>
      <w:proofErr w:type="spellEnd"/>
      <w:r w:rsidRPr="00963105">
        <w:rPr>
          <w:lang w:val="en-CA"/>
        </w:rPr>
        <w:t xml:space="preserve"> varies, with one estimate of approximately US $3.00/kg in the United States of America (plus shipping). Proposals for demonstration projects for the disposal of ozone-depleting substances in accordance with decision 58/19 provided varying costs of off-site destruction, as submitted. For example, the project in Mexico</w:t>
      </w:r>
      <w:r w:rsidRPr="00963105">
        <w:rPr>
          <w:rStyle w:val="FootnoteReference"/>
          <w:lang w:val="en-CA"/>
        </w:rPr>
        <w:footnoteReference w:id="14"/>
      </w:r>
      <w:r w:rsidRPr="00963105">
        <w:rPr>
          <w:lang w:val="en-CA"/>
        </w:rPr>
        <w:t xml:space="preserve"> estimated a cost of US $3.00/kg for CFC-11 and US $5.50/kg for CFC-12 for off-site destruction in Mexico and in the United States of America, respectively, as submitted; the project in Ghana</w:t>
      </w:r>
      <w:r w:rsidRPr="00963105">
        <w:rPr>
          <w:rStyle w:val="FootnoteReference"/>
          <w:lang w:val="en-CA"/>
        </w:rPr>
        <w:footnoteReference w:id="15"/>
      </w:r>
      <w:r w:rsidRPr="00963105">
        <w:rPr>
          <w:lang w:val="en-CA"/>
        </w:rPr>
        <w:t xml:space="preserve"> estimated a cost of US $4.19/kg of CFC-12 for destruction at a facility in the EU, as submitted; the regional project in Europe and Central Asia</w:t>
      </w:r>
      <w:r w:rsidRPr="00963105">
        <w:rPr>
          <w:rStyle w:val="FootnoteReference"/>
          <w:lang w:val="en-CA"/>
        </w:rPr>
        <w:footnoteReference w:id="16"/>
      </w:r>
      <w:r w:rsidRPr="00963105">
        <w:rPr>
          <w:lang w:val="en-CA"/>
        </w:rPr>
        <w:t xml:space="preserve"> and the project in Lebanon</w:t>
      </w:r>
      <w:r w:rsidRPr="00963105">
        <w:rPr>
          <w:rStyle w:val="FootnoteReference"/>
          <w:lang w:val="en-CA"/>
        </w:rPr>
        <w:footnoteReference w:id="17"/>
      </w:r>
      <w:r w:rsidRPr="00963105">
        <w:rPr>
          <w:lang w:val="en-CA"/>
        </w:rPr>
        <w:t xml:space="preserve"> estimated a cost of US $5.00/kg of ODS at a facility in the EU, as submitted; the project in Georgia</w:t>
      </w:r>
      <w:r w:rsidRPr="00963105">
        <w:rPr>
          <w:rStyle w:val="FootnoteReference"/>
          <w:lang w:val="en-CA"/>
        </w:rPr>
        <w:footnoteReference w:id="18"/>
      </w:r>
      <w:r w:rsidRPr="00963105">
        <w:rPr>
          <w:lang w:val="en-CA"/>
        </w:rPr>
        <w:t xml:space="preserve"> estimated a cost of US $8.00/kg for CFC-12 and HCFCs, including transportation, at a facility in the EU, as submitted.</w:t>
      </w:r>
    </w:p>
    <w:p w:rsidR="00D3756F" w:rsidRDefault="00D3756F" w:rsidP="007735DF">
      <w:pPr>
        <w:pStyle w:val="0Heading0"/>
        <w:rPr>
          <w:lang w:val="en-CA"/>
        </w:rPr>
        <w:sectPr w:rsidR="00D3756F" w:rsidSect="005819E9">
          <w:headerReference w:type="even" r:id="rId15"/>
          <w:headerReference w:type="default" r:id="rId16"/>
          <w:footerReference w:type="even" r:id="rId17"/>
          <w:footerReference w:type="default" r:id="rId18"/>
          <w:pgSz w:w="12240" w:h="15840"/>
          <w:pgMar w:top="1440" w:right="1440" w:bottom="1440" w:left="1440" w:header="720" w:footer="720" w:gutter="0"/>
          <w:pgNumType w:start="1"/>
          <w:cols w:space="720"/>
          <w:docGrid w:linePitch="360"/>
        </w:sectPr>
      </w:pPr>
    </w:p>
    <w:p w:rsidR="007735DF" w:rsidRPr="007735DF" w:rsidRDefault="007735DF" w:rsidP="007735DF">
      <w:pPr>
        <w:pStyle w:val="0Heading0"/>
        <w:rPr>
          <w:lang w:val="en-CA"/>
        </w:rPr>
      </w:pPr>
    </w:p>
    <w:p w:rsidR="002C1708" w:rsidRPr="007735DF" w:rsidRDefault="00BD1285" w:rsidP="00506B9C">
      <w:pPr>
        <w:autoSpaceDE w:val="0"/>
        <w:autoSpaceDN w:val="0"/>
        <w:adjustRightInd w:val="0"/>
        <w:jc w:val="center"/>
        <w:rPr>
          <w:b/>
        </w:rPr>
      </w:pPr>
      <w:r w:rsidRPr="007735DF">
        <w:rPr>
          <w:b/>
        </w:rPr>
        <w:t>Annex</w:t>
      </w:r>
      <w:r w:rsidR="002C1708" w:rsidRPr="007735DF">
        <w:rPr>
          <w:b/>
        </w:rPr>
        <w:t xml:space="preserve"> I</w:t>
      </w:r>
      <w:r w:rsidR="007735DF" w:rsidRPr="007735DF">
        <w:rPr>
          <w:b/>
        </w:rPr>
        <w:t>I</w:t>
      </w:r>
    </w:p>
    <w:p w:rsidR="002C1708" w:rsidRPr="007735DF" w:rsidRDefault="002C1708" w:rsidP="00506B9C">
      <w:pPr>
        <w:autoSpaceDE w:val="0"/>
        <w:autoSpaceDN w:val="0"/>
        <w:adjustRightInd w:val="0"/>
        <w:jc w:val="center"/>
        <w:rPr>
          <w:b/>
        </w:rPr>
      </w:pPr>
    </w:p>
    <w:p w:rsidR="007735DF" w:rsidRDefault="002C1708" w:rsidP="00506B9C">
      <w:pPr>
        <w:autoSpaceDE w:val="0"/>
        <w:autoSpaceDN w:val="0"/>
        <w:adjustRightInd w:val="0"/>
        <w:jc w:val="center"/>
        <w:rPr>
          <w:lang w:val="en-CA"/>
        </w:rPr>
      </w:pPr>
      <w:r w:rsidRPr="007735DF">
        <w:rPr>
          <w:b/>
        </w:rPr>
        <w:t>PRELIMINARY DATA TO CLOSE HCFC-22 PRODUCTION SWING PLANT OF</w:t>
      </w:r>
      <w:r w:rsidR="007735DF" w:rsidRPr="007735DF">
        <w:rPr>
          <w:lang w:val="en-CA"/>
        </w:rPr>
        <w:t xml:space="preserve"> </w:t>
      </w:r>
    </w:p>
    <w:p w:rsidR="002C1708" w:rsidRPr="007735DF" w:rsidRDefault="007735DF" w:rsidP="00506B9C">
      <w:pPr>
        <w:autoSpaceDE w:val="0"/>
        <w:autoSpaceDN w:val="0"/>
        <w:adjustRightInd w:val="0"/>
        <w:jc w:val="center"/>
        <w:rPr>
          <w:b/>
          <w:lang w:val="es-ES_tradnl"/>
        </w:rPr>
      </w:pPr>
      <w:r w:rsidRPr="007735DF">
        <w:rPr>
          <w:b/>
          <w:lang w:val="es-ES_tradnl"/>
        </w:rPr>
        <w:t>FRIO INDUSTRIAS ARGENTINAS S.A (</w:t>
      </w:r>
      <w:r w:rsidR="002C1708" w:rsidRPr="007735DF">
        <w:rPr>
          <w:b/>
          <w:lang w:val="es-ES_tradnl"/>
        </w:rPr>
        <w:t>FIASA</w:t>
      </w:r>
      <w:r w:rsidRPr="007735DF">
        <w:rPr>
          <w:b/>
          <w:lang w:val="es-ES_tradnl"/>
        </w:rPr>
        <w:t>)</w:t>
      </w:r>
      <w:r w:rsidR="002C1708" w:rsidRPr="007735DF">
        <w:rPr>
          <w:b/>
          <w:lang w:val="es-ES_tradnl"/>
        </w:rPr>
        <w:t xml:space="preserve"> IN ARGENTINA </w:t>
      </w:r>
    </w:p>
    <w:p w:rsidR="002C1708" w:rsidRPr="007735DF" w:rsidRDefault="002C1708" w:rsidP="00506B9C">
      <w:pPr>
        <w:autoSpaceDE w:val="0"/>
        <w:autoSpaceDN w:val="0"/>
        <w:adjustRightInd w:val="0"/>
        <w:rPr>
          <w:lang w:val="es-ES_tradnl"/>
        </w:rPr>
      </w:pPr>
    </w:p>
    <w:p w:rsidR="002C1708" w:rsidRPr="006A7823" w:rsidRDefault="002C1708" w:rsidP="00506B9C">
      <w:pPr>
        <w:pStyle w:val="Heading3"/>
        <w:numPr>
          <w:ilvl w:val="2"/>
          <w:numId w:val="29"/>
        </w:numPr>
        <w:ind w:left="720" w:hanging="720"/>
        <w:rPr>
          <w:b/>
        </w:rPr>
      </w:pPr>
      <w:r w:rsidRPr="006A7823">
        <w:rPr>
          <w:b/>
        </w:rPr>
        <w:t>A list of HCFC-22 swing plants in the country</w:t>
      </w:r>
      <w:r w:rsidR="00B5716A" w:rsidRPr="006A7823">
        <w:rPr>
          <w:b/>
        </w:rPr>
        <w:t>.</w:t>
      </w:r>
    </w:p>
    <w:p w:rsidR="002C1708" w:rsidRPr="006A7823" w:rsidRDefault="002C1708" w:rsidP="00506B9C">
      <w:pPr>
        <w:pStyle w:val="ListParagraph"/>
        <w:numPr>
          <w:ilvl w:val="1"/>
          <w:numId w:val="31"/>
        </w:numPr>
        <w:autoSpaceDE w:val="0"/>
        <w:autoSpaceDN w:val="0"/>
        <w:adjustRightInd w:val="0"/>
        <w:spacing w:before="120" w:after="120"/>
        <w:ind w:left="1440" w:hanging="720"/>
        <w:contextualSpacing w:val="0"/>
        <w:rPr>
          <w:lang w:val="es-AR"/>
        </w:rPr>
      </w:pPr>
      <w:proofErr w:type="spellStart"/>
      <w:r w:rsidRPr="006A7823">
        <w:rPr>
          <w:b/>
          <w:lang w:val="es-AR"/>
        </w:rPr>
        <w:t>Name</w:t>
      </w:r>
      <w:proofErr w:type="spellEnd"/>
      <w:r w:rsidRPr="006A7823">
        <w:rPr>
          <w:lang w:val="es-AR"/>
        </w:rPr>
        <w:t>: Frio Industrias Argentinas S.A.</w:t>
      </w:r>
    </w:p>
    <w:p w:rsidR="002C1708" w:rsidRPr="006A7823" w:rsidRDefault="002C1708" w:rsidP="00506B9C">
      <w:pPr>
        <w:pStyle w:val="ListParagraph"/>
        <w:numPr>
          <w:ilvl w:val="1"/>
          <w:numId w:val="31"/>
        </w:numPr>
        <w:autoSpaceDE w:val="0"/>
        <w:autoSpaceDN w:val="0"/>
        <w:adjustRightInd w:val="0"/>
        <w:spacing w:before="120" w:after="120"/>
        <w:ind w:left="1440" w:hanging="720"/>
        <w:contextualSpacing w:val="0"/>
        <w:rPr>
          <w:lang w:val="es-AR"/>
        </w:rPr>
      </w:pPr>
      <w:proofErr w:type="spellStart"/>
      <w:r w:rsidRPr="006A7823">
        <w:rPr>
          <w:b/>
          <w:lang w:val="es-AR"/>
        </w:rPr>
        <w:t>Location</w:t>
      </w:r>
      <w:proofErr w:type="spellEnd"/>
      <w:r w:rsidRPr="006A7823">
        <w:rPr>
          <w:lang w:val="es-AR"/>
        </w:rPr>
        <w:t>: Ruta 7 km 703 y Ruta Provincial 2 – CP: 5730, Villa Mercedes, San Luis, Argentina</w:t>
      </w:r>
    </w:p>
    <w:p w:rsidR="002C1708" w:rsidRPr="006A7823" w:rsidRDefault="002C1708" w:rsidP="00506B9C">
      <w:pPr>
        <w:pStyle w:val="ListParagraph"/>
        <w:numPr>
          <w:ilvl w:val="1"/>
          <w:numId w:val="31"/>
        </w:numPr>
        <w:autoSpaceDE w:val="0"/>
        <w:autoSpaceDN w:val="0"/>
        <w:adjustRightInd w:val="0"/>
        <w:spacing w:before="120" w:after="120"/>
        <w:ind w:left="1440" w:hanging="720"/>
        <w:contextualSpacing w:val="0"/>
      </w:pPr>
      <w:r w:rsidRPr="006A7823">
        <w:rPr>
          <w:b/>
        </w:rPr>
        <w:t>HCFC-22 production capacity</w:t>
      </w:r>
      <w:r w:rsidRPr="006A7823">
        <w:t>: 7,792 tonnes</w:t>
      </w:r>
    </w:p>
    <w:p w:rsidR="002C1708" w:rsidRPr="006A7823" w:rsidRDefault="002C1708" w:rsidP="00506B9C">
      <w:pPr>
        <w:pStyle w:val="ListParagraph"/>
        <w:numPr>
          <w:ilvl w:val="1"/>
          <w:numId w:val="31"/>
        </w:numPr>
        <w:autoSpaceDE w:val="0"/>
        <w:autoSpaceDN w:val="0"/>
        <w:adjustRightInd w:val="0"/>
        <w:spacing w:before="120" w:after="120"/>
        <w:ind w:left="1440" w:hanging="720"/>
        <w:contextualSpacing w:val="0"/>
      </w:pPr>
      <w:r w:rsidRPr="006A7823">
        <w:rPr>
          <w:b/>
        </w:rPr>
        <w:t>Schedule for closure</w:t>
      </w:r>
      <w:r w:rsidRPr="006A7823">
        <w:t>: To be defined. Possibly starting in 2021.</w:t>
      </w:r>
    </w:p>
    <w:p w:rsidR="002C1708" w:rsidRPr="006A7823" w:rsidRDefault="002C1708" w:rsidP="00506B9C">
      <w:pPr>
        <w:pStyle w:val="ListParagraph"/>
        <w:numPr>
          <w:ilvl w:val="1"/>
          <w:numId w:val="31"/>
        </w:numPr>
        <w:autoSpaceDE w:val="0"/>
        <w:autoSpaceDN w:val="0"/>
        <w:adjustRightInd w:val="0"/>
        <w:spacing w:before="120" w:after="120"/>
        <w:ind w:left="1440" w:hanging="720"/>
        <w:contextualSpacing w:val="0"/>
      </w:pPr>
      <w:r w:rsidRPr="006A7823">
        <w:rPr>
          <w:b/>
        </w:rPr>
        <w:t>Date of establishment</w:t>
      </w:r>
      <w:r w:rsidRPr="006A7823">
        <w:t>: 1986</w:t>
      </w:r>
    </w:p>
    <w:p w:rsidR="002C1708" w:rsidRPr="006A7823" w:rsidRDefault="002C1708" w:rsidP="00506B9C">
      <w:pPr>
        <w:pStyle w:val="ListParagraph"/>
        <w:numPr>
          <w:ilvl w:val="1"/>
          <w:numId w:val="31"/>
        </w:numPr>
        <w:autoSpaceDE w:val="0"/>
        <w:autoSpaceDN w:val="0"/>
        <w:adjustRightInd w:val="0"/>
        <w:spacing w:before="120" w:after="120"/>
        <w:ind w:left="1440" w:hanging="720"/>
        <w:contextualSpacing w:val="0"/>
      </w:pPr>
      <w:r w:rsidRPr="006A7823">
        <w:rPr>
          <w:b/>
        </w:rPr>
        <w:t>Name of proprietors</w:t>
      </w:r>
      <w:r w:rsidRPr="006A7823">
        <w:t xml:space="preserve">: Alfonso Salvador Silva (22%) and </w:t>
      </w:r>
      <w:proofErr w:type="spellStart"/>
      <w:r w:rsidRPr="006A7823">
        <w:t>Pancor</w:t>
      </w:r>
      <w:proofErr w:type="spellEnd"/>
      <w:r w:rsidRPr="006A7823">
        <w:t xml:space="preserve"> S.A. (78%)</w:t>
      </w:r>
    </w:p>
    <w:p w:rsidR="002C1708" w:rsidRPr="006A7823" w:rsidRDefault="002C1708" w:rsidP="00506B9C">
      <w:pPr>
        <w:pStyle w:val="ListParagraph"/>
        <w:numPr>
          <w:ilvl w:val="1"/>
          <w:numId w:val="31"/>
        </w:numPr>
        <w:spacing w:before="120" w:after="120"/>
        <w:ind w:left="1440" w:hanging="720"/>
        <w:contextualSpacing w:val="0"/>
      </w:pPr>
      <w:r w:rsidRPr="006A7823">
        <w:rPr>
          <w:b/>
        </w:rPr>
        <w:t>Ownership</w:t>
      </w:r>
      <w:r w:rsidRPr="006A7823">
        <w:t>: 100% Argentine capital</w:t>
      </w:r>
    </w:p>
    <w:p w:rsidR="002C1708" w:rsidRPr="006A7823" w:rsidRDefault="002C1708" w:rsidP="00506B9C">
      <w:pPr>
        <w:pStyle w:val="ListParagraph"/>
        <w:numPr>
          <w:ilvl w:val="1"/>
          <w:numId w:val="31"/>
        </w:numPr>
        <w:spacing w:before="120" w:after="120"/>
        <w:ind w:left="1440" w:hanging="720"/>
        <w:contextualSpacing w:val="0"/>
      </w:pPr>
      <w:r w:rsidRPr="006A7823">
        <w:rPr>
          <w:b/>
        </w:rPr>
        <w:t>Emissions and ratio of HFC-23 by-product: Approximately 3% of the HCFC-22 production</w:t>
      </w:r>
    </w:p>
    <w:p w:rsidR="002C1708" w:rsidRPr="006A7823" w:rsidRDefault="002C1708" w:rsidP="00506B9C">
      <w:pPr>
        <w:pStyle w:val="ListParagraph"/>
        <w:numPr>
          <w:ilvl w:val="1"/>
          <w:numId w:val="31"/>
        </w:numPr>
        <w:spacing w:before="120" w:after="240"/>
        <w:ind w:left="1440" w:hanging="720"/>
        <w:contextualSpacing w:val="0"/>
      </w:pPr>
      <w:r w:rsidRPr="006A7823">
        <w:rPr>
          <w:b/>
        </w:rPr>
        <w:t>Maximum production of HCFC-22</w:t>
      </w:r>
      <w:r w:rsidRPr="006A7823">
        <w:t>: 4,251.46 tonnes in 2010</w:t>
      </w:r>
    </w:p>
    <w:p w:rsidR="002C1708" w:rsidRPr="006A7823" w:rsidRDefault="002C1708" w:rsidP="00506B9C">
      <w:pPr>
        <w:pStyle w:val="Heading3"/>
        <w:numPr>
          <w:ilvl w:val="2"/>
          <w:numId w:val="29"/>
        </w:numPr>
        <w:ind w:left="720" w:hanging="720"/>
        <w:rPr>
          <w:b/>
        </w:rPr>
      </w:pPr>
      <w:r w:rsidRPr="006A7823">
        <w:rPr>
          <w:b/>
        </w:rPr>
        <w:t>HCFC-22 production in the last three years countrywide</w:t>
      </w:r>
      <w:r w:rsidR="00B5716A" w:rsidRPr="006A7823">
        <w:rPr>
          <w:b/>
        </w:rPr>
        <w:t>.</w:t>
      </w:r>
    </w:p>
    <w:tbl>
      <w:tblPr>
        <w:tblStyle w:val="TableGrid"/>
        <w:tblW w:w="0" w:type="auto"/>
        <w:tblInd w:w="715" w:type="dxa"/>
        <w:tblLook w:val="04A0" w:firstRow="1" w:lastRow="0" w:firstColumn="1" w:lastColumn="0" w:noHBand="0" w:noVBand="1"/>
      </w:tblPr>
      <w:tblGrid>
        <w:gridCol w:w="1255"/>
        <w:gridCol w:w="1350"/>
      </w:tblGrid>
      <w:tr w:rsidR="002C1708" w:rsidRPr="006A7823" w:rsidTr="00B5716A">
        <w:tc>
          <w:tcPr>
            <w:tcW w:w="1255" w:type="dxa"/>
          </w:tcPr>
          <w:p w:rsidR="002C1708" w:rsidRPr="006A7823" w:rsidRDefault="002C1708" w:rsidP="00506B9C">
            <w:pPr>
              <w:autoSpaceDE w:val="0"/>
              <w:autoSpaceDN w:val="0"/>
              <w:adjustRightInd w:val="0"/>
              <w:jc w:val="center"/>
            </w:pPr>
            <w:r w:rsidRPr="006A7823">
              <w:rPr>
                <w:b/>
              </w:rPr>
              <w:t>Year</w:t>
            </w:r>
          </w:p>
        </w:tc>
        <w:tc>
          <w:tcPr>
            <w:tcW w:w="1350" w:type="dxa"/>
          </w:tcPr>
          <w:p w:rsidR="002C1708" w:rsidRPr="006A7823" w:rsidRDefault="002C1708" w:rsidP="00506B9C">
            <w:pPr>
              <w:autoSpaceDE w:val="0"/>
              <w:autoSpaceDN w:val="0"/>
              <w:adjustRightInd w:val="0"/>
              <w:jc w:val="center"/>
            </w:pPr>
            <w:r w:rsidRPr="006A7823">
              <w:rPr>
                <w:b/>
              </w:rPr>
              <w:t>Tonnes</w:t>
            </w:r>
          </w:p>
        </w:tc>
      </w:tr>
      <w:tr w:rsidR="002C1708" w:rsidRPr="006A7823" w:rsidTr="00B5716A">
        <w:tc>
          <w:tcPr>
            <w:tcW w:w="1255" w:type="dxa"/>
          </w:tcPr>
          <w:p w:rsidR="002C1708" w:rsidRPr="006A7823" w:rsidRDefault="002C1708" w:rsidP="00506B9C">
            <w:pPr>
              <w:autoSpaceDE w:val="0"/>
              <w:autoSpaceDN w:val="0"/>
              <w:adjustRightInd w:val="0"/>
              <w:jc w:val="center"/>
            </w:pPr>
            <w:r w:rsidRPr="006A7823">
              <w:t>2014</w:t>
            </w:r>
          </w:p>
        </w:tc>
        <w:tc>
          <w:tcPr>
            <w:tcW w:w="1350" w:type="dxa"/>
          </w:tcPr>
          <w:p w:rsidR="002C1708" w:rsidRPr="006A7823" w:rsidRDefault="002C1708" w:rsidP="00506B9C">
            <w:pPr>
              <w:autoSpaceDE w:val="0"/>
              <w:autoSpaceDN w:val="0"/>
              <w:adjustRightInd w:val="0"/>
              <w:jc w:val="center"/>
            </w:pPr>
            <w:r w:rsidRPr="006A7823">
              <w:t>2,285.95</w:t>
            </w:r>
          </w:p>
        </w:tc>
      </w:tr>
      <w:tr w:rsidR="002C1708" w:rsidRPr="006A7823" w:rsidTr="00B5716A">
        <w:tc>
          <w:tcPr>
            <w:tcW w:w="1255" w:type="dxa"/>
          </w:tcPr>
          <w:p w:rsidR="002C1708" w:rsidRPr="006A7823" w:rsidRDefault="002C1708" w:rsidP="00506B9C">
            <w:pPr>
              <w:autoSpaceDE w:val="0"/>
              <w:autoSpaceDN w:val="0"/>
              <w:adjustRightInd w:val="0"/>
              <w:jc w:val="center"/>
            </w:pPr>
            <w:r w:rsidRPr="006A7823">
              <w:t>2015</w:t>
            </w:r>
          </w:p>
        </w:tc>
        <w:tc>
          <w:tcPr>
            <w:tcW w:w="1350" w:type="dxa"/>
          </w:tcPr>
          <w:p w:rsidR="002C1708" w:rsidRPr="006A7823" w:rsidRDefault="002C1708" w:rsidP="00506B9C">
            <w:pPr>
              <w:autoSpaceDE w:val="0"/>
              <w:autoSpaceDN w:val="0"/>
              <w:adjustRightInd w:val="0"/>
              <w:jc w:val="center"/>
            </w:pPr>
            <w:r w:rsidRPr="006A7823">
              <w:t>2,445.98</w:t>
            </w:r>
          </w:p>
        </w:tc>
      </w:tr>
      <w:tr w:rsidR="002C1708" w:rsidRPr="006A7823" w:rsidTr="00B5716A">
        <w:tc>
          <w:tcPr>
            <w:tcW w:w="1255" w:type="dxa"/>
          </w:tcPr>
          <w:p w:rsidR="002C1708" w:rsidRPr="006A7823" w:rsidRDefault="002C1708" w:rsidP="00506B9C">
            <w:pPr>
              <w:autoSpaceDE w:val="0"/>
              <w:autoSpaceDN w:val="0"/>
              <w:adjustRightInd w:val="0"/>
              <w:jc w:val="center"/>
            </w:pPr>
            <w:r w:rsidRPr="006A7823">
              <w:t>2016</w:t>
            </w:r>
          </w:p>
        </w:tc>
        <w:tc>
          <w:tcPr>
            <w:tcW w:w="1350" w:type="dxa"/>
          </w:tcPr>
          <w:p w:rsidR="002C1708" w:rsidRPr="006A7823" w:rsidRDefault="002C1708" w:rsidP="00506B9C">
            <w:pPr>
              <w:autoSpaceDE w:val="0"/>
              <w:autoSpaceDN w:val="0"/>
              <w:adjustRightInd w:val="0"/>
              <w:jc w:val="center"/>
            </w:pPr>
            <w:r w:rsidRPr="006A7823">
              <w:t>1,742.09</w:t>
            </w:r>
          </w:p>
        </w:tc>
      </w:tr>
    </w:tbl>
    <w:p w:rsidR="002C1708" w:rsidRPr="006A7823" w:rsidRDefault="002C1708" w:rsidP="00506B9C">
      <w:pPr>
        <w:autoSpaceDE w:val="0"/>
        <w:autoSpaceDN w:val="0"/>
        <w:adjustRightInd w:val="0"/>
      </w:pPr>
    </w:p>
    <w:p w:rsidR="002C1708" w:rsidRPr="006A7823" w:rsidRDefault="002C1708" w:rsidP="00506B9C">
      <w:pPr>
        <w:pStyle w:val="Heading3"/>
        <w:numPr>
          <w:ilvl w:val="2"/>
          <w:numId w:val="29"/>
        </w:numPr>
        <w:ind w:left="720" w:hanging="720"/>
        <w:rPr>
          <w:b/>
        </w:rPr>
      </w:pPr>
      <w:r w:rsidRPr="006A7823">
        <w:rPr>
          <w:b/>
        </w:rPr>
        <w:t>HCFC-22 production in the last three years for each swing plant</w:t>
      </w:r>
      <w:r w:rsidR="00B5716A" w:rsidRPr="006A7823">
        <w:rPr>
          <w:b/>
        </w:rPr>
        <w:t>.</w:t>
      </w:r>
    </w:p>
    <w:p w:rsidR="002C1708" w:rsidRPr="006A7823" w:rsidRDefault="002C1708" w:rsidP="00506B9C">
      <w:pPr>
        <w:pStyle w:val="ListParagraph"/>
        <w:numPr>
          <w:ilvl w:val="0"/>
          <w:numId w:val="28"/>
        </w:numPr>
        <w:autoSpaceDE w:val="0"/>
        <w:autoSpaceDN w:val="0"/>
        <w:adjustRightInd w:val="0"/>
        <w:jc w:val="left"/>
        <w:rPr>
          <w:lang w:val="es-AR"/>
        </w:rPr>
      </w:pPr>
      <w:r w:rsidRPr="006A7823">
        <w:rPr>
          <w:lang w:val="es-AR"/>
        </w:rPr>
        <w:t>Frio Industrias Argentinas S.A.</w:t>
      </w:r>
    </w:p>
    <w:p w:rsidR="002C1708" w:rsidRPr="006A7823" w:rsidRDefault="002C1708" w:rsidP="00506B9C">
      <w:pPr>
        <w:autoSpaceDE w:val="0"/>
        <w:autoSpaceDN w:val="0"/>
        <w:adjustRightInd w:val="0"/>
        <w:rPr>
          <w:lang w:val="es-AR"/>
        </w:rPr>
      </w:pPr>
    </w:p>
    <w:tbl>
      <w:tblPr>
        <w:tblStyle w:val="TableGrid"/>
        <w:tblW w:w="0" w:type="auto"/>
        <w:tblInd w:w="715" w:type="dxa"/>
        <w:tblLook w:val="04A0" w:firstRow="1" w:lastRow="0" w:firstColumn="1" w:lastColumn="0" w:noHBand="0" w:noVBand="1"/>
      </w:tblPr>
      <w:tblGrid>
        <w:gridCol w:w="1255"/>
        <w:gridCol w:w="1350"/>
      </w:tblGrid>
      <w:tr w:rsidR="00B5716A" w:rsidRPr="006A7823" w:rsidTr="005819E9">
        <w:tc>
          <w:tcPr>
            <w:tcW w:w="1255" w:type="dxa"/>
          </w:tcPr>
          <w:p w:rsidR="00B5716A" w:rsidRPr="006A7823" w:rsidRDefault="00B5716A" w:rsidP="00506B9C">
            <w:pPr>
              <w:autoSpaceDE w:val="0"/>
              <w:autoSpaceDN w:val="0"/>
              <w:adjustRightInd w:val="0"/>
              <w:jc w:val="center"/>
            </w:pPr>
            <w:r w:rsidRPr="006A7823">
              <w:rPr>
                <w:b/>
              </w:rPr>
              <w:t>Year</w:t>
            </w:r>
          </w:p>
        </w:tc>
        <w:tc>
          <w:tcPr>
            <w:tcW w:w="1350" w:type="dxa"/>
          </w:tcPr>
          <w:p w:rsidR="00B5716A" w:rsidRPr="006A7823" w:rsidRDefault="00B5716A" w:rsidP="00506B9C">
            <w:pPr>
              <w:autoSpaceDE w:val="0"/>
              <w:autoSpaceDN w:val="0"/>
              <w:adjustRightInd w:val="0"/>
              <w:jc w:val="center"/>
            </w:pPr>
            <w:r w:rsidRPr="006A7823">
              <w:rPr>
                <w:b/>
              </w:rPr>
              <w:t>Tonnes</w:t>
            </w:r>
          </w:p>
        </w:tc>
      </w:tr>
      <w:tr w:rsidR="00B5716A" w:rsidRPr="006A7823" w:rsidTr="005819E9">
        <w:tc>
          <w:tcPr>
            <w:tcW w:w="1255" w:type="dxa"/>
          </w:tcPr>
          <w:p w:rsidR="00B5716A" w:rsidRPr="006A7823" w:rsidRDefault="00B5716A" w:rsidP="00506B9C">
            <w:pPr>
              <w:autoSpaceDE w:val="0"/>
              <w:autoSpaceDN w:val="0"/>
              <w:adjustRightInd w:val="0"/>
              <w:jc w:val="center"/>
            </w:pPr>
            <w:r w:rsidRPr="006A7823">
              <w:t>2014</w:t>
            </w:r>
          </w:p>
        </w:tc>
        <w:tc>
          <w:tcPr>
            <w:tcW w:w="1350" w:type="dxa"/>
          </w:tcPr>
          <w:p w:rsidR="00B5716A" w:rsidRPr="006A7823" w:rsidRDefault="00B5716A" w:rsidP="00506B9C">
            <w:pPr>
              <w:autoSpaceDE w:val="0"/>
              <w:autoSpaceDN w:val="0"/>
              <w:adjustRightInd w:val="0"/>
              <w:jc w:val="center"/>
            </w:pPr>
            <w:r w:rsidRPr="006A7823">
              <w:t>2,285.95</w:t>
            </w:r>
          </w:p>
        </w:tc>
      </w:tr>
      <w:tr w:rsidR="00B5716A" w:rsidRPr="006A7823" w:rsidTr="005819E9">
        <w:tc>
          <w:tcPr>
            <w:tcW w:w="1255" w:type="dxa"/>
          </w:tcPr>
          <w:p w:rsidR="00B5716A" w:rsidRPr="006A7823" w:rsidRDefault="00B5716A" w:rsidP="00506B9C">
            <w:pPr>
              <w:autoSpaceDE w:val="0"/>
              <w:autoSpaceDN w:val="0"/>
              <w:adjustRightInd w:val="0"/>
              <w:jc w:val="center"/>
            </w:pPr>
            <w:r w:rsidRPr="006A7823">
              <w:t>2015</w:t>
            </w:r>
          </w:p>
        </w:tc>
        <w:tc>
          <w:tcPr>
            <w:tcW w:w="1350" w:type="dxa"/>
          </w:tcPr>
          <w:p w:rsidR="00B5716A" w:rsidRPr="006A7823" w:rsidRDefault="00B5716A" w:rsidP="00506B9C">
            <w:pPr>
              <w:autoSpaceDE w:val="0"/>
              <w:autoSpaceDN w:val="0"/>
              <w:adjustRightInd w:val="0"/>
              <w:jc w:val="center"/>
            </w:pPr>
            <w:r w:rsidRPr="006A7823">
              <w:t>2,445.98</w:t>
            </w:r>
          </w:p>
        </w:tc>
      </w:tr>
      <w:tr w:rsidR="00B5716A" w:rsidRPr="006A7823" w:rsidTr="005819E9">
        <w:tc>
          <w:tcPr>
            <w:tcW w:w="1255" w:type="dxa"/>
          </w:tcPr>
          <w:p w:rsidR="00B5716A" w:rsidRPr="006A7823" w:rsidRDefault="00B5716A" w:rsidP="00506B9C">
            <w:pPr>
              <w:autoSpaceDE w:val="0"/>
              <w:autoSpaceDN w:val="0"/>
              <w:adjustRightInd w:val="0"/>
              <w:jc w:val="center"/>
            </w:pPr>
            <w:r w:rsidRPr="006A7823">
              <w:t>2016</w:t>
            </w:r>
          </w:p>
        </w:tc>
        <w:tc>
          <w:tcPr>
            <w:tcW w:w="1350" w:type="dxa"/>
          </w:tcPr>
          <w:p w:rsidR="00B5716A" w:rsidRPr="006A7823" w:rsidRDefault="00B5716A" w:rsidP="00506B9C">
            <w:pPr>
              <w:autoSpaceDE w:val="0"/>
              <w:autoSpaceDN w:val="0"/>
              <w:adjustRightInd w:val="0"/>
              <w:jc w:val="center"/>
            </w:pPr>
            <w:r w:rsidRPr="006A7823">
              <w:t>1,742.09</w:t>
            </w:r>
          </w:p>
        </w:tc>
      </w:tr>
    </w:tbl>
    <w:p w:rsidR="002C1708" w:rsidRPr="006A7823" w:rsidRDefault="002C1708" w:rsidP="00506B9C">
      <w:pPr>
        <w:autoSpaceDE w:val="0"/>
        <w:autoSpaceDN w:val="0"/>
        <w:adjustRightInd w:val="0"/>
      </w:pPr>
    </w:p>
    <w:p w:rsidR="002C1708" w:rsidRPr="006A7823" w:rsidRDefault="002C1708" w:rsidP="00506B9C">
      <w:pPr>
        <w:pStyle w:val="Heading3"/>
        <w:numPr>
          <w:ilvl w:val="2"/>
          <w:numId w:val="29"/>
        </w:numPr>
        <w:ind w:left="720" w:hanging="720"/>
        <w:rPr>
          <w:b/>
        </w:rPr>
      </w:pPr>
      <w:r w:rsidRPr="006A7823">
        <w:rPr>
          <w:b/>
        </w:rPr>
        <w:t>Quantity of export of each plant to non-Article 5 countries</w:t>
      </w:r>
      <w:r w:rsidR="00B5716A" w:rsidRPr="006A7823">
        <w:rPr>
          <w:b/>
        </w:rPr>
        <w:t>.</w:t>
      </w:r>
    </w:p>
    <w:p w:rsidR="002C1708" w:rsidRPr="006A7823" w:rsidRDefault="002C1708" w:rsidP="00506B9C">
      <w:pPr>
        <w:autoSpaceDE w:val="0"/>
        <w:autoSpaceDN w:val="0"/>
        <w:adjustRightInd w:val="0"/>
      </w:pPr>
      <w:r w:rsidRPr="006A7823">
        <w:t>No HCFC-22 export takes place from Argentina.</w:t>
      </w:r>
    </w:p>
    <w:p w:rsidR="002C1708" w:rsidRPr="006A7823" w:rsidRDefault="002C1708" w:rsidP="00506B9C">
      <w:pPr>
        <w:autoSpaceDE w:val="0"/>
        <w:autoSpaceDN w:val="0"/>
        <w:adjustRightInd w:val="0"/>
      </w:pPr>
    </w:p>
    <w:p w:rsidR="002C1708" w:rsidRPr="006A7823" w:rsidRDefault="002C1708" w:rsidP="00506B9C">
      <w:pPr>
        <w:pStyle w:val="Heading3"/>
        <w:keepNext/>
        <w:keepLines/>
        <w:numPr>
          <w:ilvl w:val="2"/>
          <w:numId w:val="29"/>
        </w:numPr>
        <w:ind w:left="720" w:hanging="720"/>
        <w:rPr>
          <w:b/>
        </w:rPr>
      </w:pPr>
      <w:r w:rsidRPr="006A7823">
        <w:rPr>
          <w:b/>
        </w:rPr>
        <w:t>Total number of employees in the HCFC-22 industry</w:t>
      </w:r>
      <w:r w:rsidR="00B5716A" w:rsidRPr="006A7823">
        <w:rPr>
          <w:b/>
        </w:rPr>
        <w:t>.</w:t>
      </w:r>
    </w:p>
    <w:p w:rsidR="00B5716A" w:rsidRPr="00506B9C" w:rsidRDefault="002C1708" w:rsidP="00506B9C">
      <w:pPr>
        <w:pStyle w:val="ListParagraph"/>
        <w:keepNext/>
        <w:keepLines/>
        <w:numPr>
          <w:ilvl w:val="0"/>
          <w:numId w:val="35"/>
        </w:numPr>
        <w:autoSpaceDE w:val="0"/>
        <w:autoSpaceDN w:val="0"/>
        <w:adjustRightInd w:val="0"/>
        <w:spacing w:before="120" w:after="120"/>
        <w:ind w:left="1440" w:hanging="720"/>
        <w:contextualSpacing w:val="0"/>
        <w:rPr>
          <w:b/>
          <w:lang w:val="en-CA"/>
        </w:rPr>
      </w:pPr>
      <w:r w:rsidRPr="00506B9C">
        <w:rPr>
          <w:b/>
          <w:lang w:val="en-CA"/>
        </w:rPr>
        <w:t>In the production sector (direct labour + overheads + maintenance): 35</w:t>
      </w:r>
      <w:r w:rsidR="00B5716A" w:rsidRPr="00506B9C">
        <w:rPr>
          <w:b/>
          <w:lang w:val="en-CA"/>
        </w:rPr>
        <w:t>.</w:t>
      </w:r>
    </w:p>
    <w:p w:rsidR="002C1708" w:rsidRPr="006A7823" w:rsidRDefault="002C1708" w:rsidP="00506B9C">
      <w:pPr>
        <w:pStyle w:val="ListParagraph"/>
        <w:numPr>
          <w:ilvl w:val="0"/>
          <w:numId w:val="35"/>
        </w:numPr>
        <w:autoSpaceDE w:val="0"/>
        <w:autoSpaceDN w:val="0"/>
        <w:adjustRightInd w:val="0"/>
        <w:spacing w:before="120" w:after="120"/>
        <w:ind w:left="1440" w:hanging="720"/>
        <w:contextualSpacing w:val="0"/>
        <w:rPr>
          <w:b/>
          <w:lang w:val="es-AR"/>
        </w:rPr>
      </w:pPr>
      <w:r w:rsidRPr="006A7823">
        <w:rPr>
          <w:b/>
          <w:lang w:val="es-AR"/>
        </w:rPr>
        <w:t xml:space="preserve">In </w:t>
      </w:r>
      <w:proofErr w:type="spellStart"/>
      <w:r w:rsidRPr="006A7823">
        <w:rPr>
          <w:b/>
          <w:lang w:val="es-AR"/>
        </w:rPr>
        <w:t>the</w:t>
      </w:r>
      <w:proofErr w:type="spellEnd"/>
      <w:r w:rsidRPr="006A7823">
        <w:rPr>
          <w:b/>
          <w:lang w:val="es-AR"/>
        </w:rPr>
        <w:t xml:space="preserve"> </w:t>
      </w:r>
      <w:proofErr w:type="spellStart"/>
      <w:r w:rsidRPr="006A7823">
        <w:rPr>
          <w:b/>
          <w:lang w:val="es-AR"/>
        </w:rPr>
        <w:t>packaging</w:t>
      </w:r>
      <w:proofErr w:type="spellEnd"/>
      <w:r w:rsidRPr="006A7823">
        <w:rPr>
          <w:b/>
          <w:lang w:val="es-AR"/>
        </w:rPr>
        <w:t xml:space="preserve"> </w:t>
      </w:r>
      <w:proofErr w:type="spellStart"/>
      <w:r w:rsidRPr="006A7823">
        <w:rPr>
          <w:b/>
          <w:lang w:val="es-AR"/>
        </w:rPr>
        <w:t>sectors</w:t>
      </w:r>
      <w:proofErr w:type="spellEnd"/>
      <w:r w:rsidRPr="006A7823">
        <w:rPr>
          <w:b/>
          <w:lang w:val="es-AR"/>
        </w:rPr>
        <w:t>: 2</w:t>
      </w:r>
      <w:r w:rsidR="00B5716A" w:rsidRPr="006A7823">
        <w:rPr>
          <w:b/>
          <w:lang w:val="es-AR"/>
        </w:rPr>
        <w:t>.</w:t>
      </w:r>
    </w:p>
    <w:p w:rsidR="002C1708" w:rsidRPr="006A7823" w:rsidRDefault="002C1708" w:rsidP="00506B9C">
      <w:pPr>
        <w:autoSpaceDE w:val="0"/>
        <w:autoSpaceDN w:val="0"/>
        <w:adjustRightInd w:val="0"/>
        <w:spacing w:before="120" w:after="120"/>
        <w:ind w:left="1440"/>
        <w:rPr>
          <w:b/>
          <w:lang w:val="es-AR"/>
        </w:rPr>
      </w:pPr>
    </w:p>
    <w:p w:rsidR="002C1708" w:rsidRPr="006A7823" w:rsidRDefault="002C1708" w:rsidP="00506B9C">
      <w:pPr>
        <w:pStyle w:val="Heading3"/>
        <w:numPr>
          <w:ilvl w:val="2"/>
          <w:numId w:val="29"/>
        </w:numPr>
        <w:spacing w:before="120"/>
        <w:ind w:left="720" w:hanging="720"/>
        <w:rPr>
          <w:b/>
        </w:rPr>
      </w:pPr>
      <w:r w:rsidRPr="006A7823">
        <w:rPr>
          <w:b/>
        </w:rPr>
        <w:lastRenderedPageBreak/>
        <w:t>Total number of employees per HCFC-22 swing plant (one table per plant) for</w:t>
      </w:r>
      <w:r w:rsidR="00B5716A" w:rsidRPr="006A7823">
        <w:rPr>
          <w:b/>
        </w:rPr>
        <w:t xml:space="preserve"> </w:t>
      </w:r>
      <w:r w:rsidRPr="006A7823">
        <w:rPr>
          <w:b/>
        </w:rPr>
        <w:t>the last three years</w:t>
      </w:r>
      <w:r w:rsidR="00B5716A" w:rsidRPr="006A7823">
        <w:rPr>
          <w:b/>
        </w:rPr>
        <w:t>.</w:t>
      </w:r>
    </w:p>
    <w:p w:rsidR="002C1708" w:rsidRPr="006A7823" w:rsidRDefault="002C1708" w:rsidP="00506B9C">
      <w:pPr>
        <w:pStyle w:val="ListParagraph"/>
        <w:numPr>
          <w:ilvl w:val="0"/>
          <w:numId w:val="28"/>
        </w:numPr>
        <w:spacing w:after="240"/>
        <w:contextualSpacing w:val="0"/>
        <w:jc w:val="left"/>
        <w:rPr>
          <w:lang w:val="es-AR"/>
        </w:rPr>
      </w:pPr>
      <w:r w:rsidRPr="006A7823">
        <w:rPr>
          <w:lang w:val="es-AR"/>
        </w:rPr>
        <w:t>Frio Industrias Argentinas S.A.</w:t>
      </w:r>
    </w:p>
    <w:tbl>
      <w:tblPr>
        <w:tblStyle w:val="TableGrid"/>
        <w:tblW w:w="0" w:type="auto"/>
        <w:tblInd w:w="715" w:type="dxa"/>
        <w:tblLook w:val="04A0" w:firstRow="1" w:lastRow="0" w:firstColumn="1" w:lastColumn="0" w:noHBand="0" w:noVBand="1"/>
      </w:tblPr>
      <w:tblGrid>
        <w:gridCol w:w="1705"/>
        <w:gridCol w:w="1170"/>
        <w:gridCol w:w="1260"/>
        <w:gridCol w:w="1260"/>
      </w:tblGrid>
      <w:tr w:rsidR="00B5716A" w:rsidRPr="006A7823" w:rsidTr="00B5716A">
        <w:tc>
          <w:tcPr>
            <w:tcW w:w="1705" w:type="dxa"/>
          </w:tcPr>
          <w:p w:rsidR="00B5716A" w:rsidRPr="006A7823" w:rsidRDefault="00B5716A" w:rsidP="00506B9C">
            <w:pPr>
              <w:pStyle w:val="ListParagraph"/>
              <w:autoSpaceDE w:val="0"/>
              <w:autoSpaceDN w:val="0"/>
              <w:adjustRightInd w:val="0"/>
              <w:rPr>
                <w:b/>
              </w:rPr>
            </w:pPr>
            <w:r w:rsidRPr="006A7823">
              <w:rPr>
                <w:b/>
              </w:rPr>
              <w:t>Year</w:t>
            </w:r>
            <w:r w:rsidRPr="006A7823">
              <w:rPr>
                <w:b/>
              </w:rPr>
              <w:tab/>
            </w:r>
          </w:p>
        </w:tc>
        <w:tc>
          <w:tcPr>
            <w:tcW w:w="1170" w:type="dxa"/>
          </w:tcPr>
          <w:p w:rsidR="00B5716A" w:rsidRPr="006A7823" w:rsidRDefault="00B5716A" w:rsidP="00506B9C">
            <w:pPr>
              <w:autoSpaceDE w:val="0"/>
              <w:autoSpaceDN w:val="0"/>
              <w:adjustRightInd w:val="0"/>
              <w:jc w:val="center"/>
              <w:rPr>
                <w:lang w:val="es-AR"/>
              </w:rPr>
            </w:pPr>
            <w:r w:rsidRPr="006A7823">
              <w:rPr>
                <w:b/>
              </w:rPr>
              <w:t>2014</w:t>
            </w:r>
          </w:p>
        </w:tc>
        <w:tc>
          <w:tcPr>
            <w:tcW w:w="1260" w:type="dxa"/>
          </w:tcPr>
          <w:p w:rsidR="00B5716A" w:rsidRPr="006A7823" w:rsidRDefault="00B5716A" w:rsidP="00506B9C">
            <w:pPr>
              <w:autoSpaceDE w:val="0"/>
              <w:autoSpaceDN w:val="0"/>
              <w:adjustRightInd w:val="0"/>
              <w:jc w:val="center"/>
              <w:rPr>
                <w:lang w:val="es-AR"/>
              </w:rPr>
            </w:pPr>
            <w:r w:rsidRPr="006A7823">
              <w:rPr>
                <w:b/>
              </w:rPr>
              <w:t>2015</w:t>
            </w:r>
          </w:p>
        </w:tc>
        <w:tc>
          <w:tcPr>
            <w:tcW w:w="1260" w:type="dxa"/>
          </w:tcPr>
          <w:p w:rsidR="00B5716A" w:rsidRPr="006A7823" w:rsidRDefault="00B5716A" w:rsidP="00506B9C">
            <w:pPr>
              <w:autoSpaceDE w:val="0"/>
              <w:autoSpaceDN w:val="0"/>
              <w:adjustRightInd w:val="0"/>
              <w:jc w:val="center"/>
              <w:rPr>
                <w:lang w:val="es-AR"/>
              </w:rPr>
            </w:pPr>
            <w:r w:rsidRPr="006A7823">
              <w:rPr>
                <w:b/>
              </w:rPr>
              <w:t>2016</w:t>
            </w:r>
          </w:p>
        </w:tc>
      </w:tr>
      <w:tr w:rsidR="00B5716A" w:rsidRPr="006A7823" w:rsidTr="00B5716A">
        <w:tc>
          <w:tcPr>
            <w:tcW w:w="1705" w:type="dxa"/>
          </w:tcPr>
          <w:p w:rsidR="00B5716A" w:rsidRPr="006A7823" w:rsidRDefault="00B5716A" w:rsidP="00506B9C">
            <w:pPr>
              <w:autoSpaceDE w:val="0"/>
              <w:autoSpaceDN w:val="0"/>
              <w:adjustRightInd w:val="0"/>
              <w:rPr>
                <w:lang w:val="es-AR"/>
              </w:rPr>
            </w:pPr>
            <w:r w:rsidRPr="006A7823">
              <w:t>Direct labour</w:t>
            </w:r>
          </w:p>
        </w:tc>
        <w:tc>
          <w:tcPr>
            <w:tcW w:w="1170" w:type="dxa"/>
          </w:tcPr>
          <w:p w:rsidR="00B5716A" w:rsidRPr="006A7823" w:rsidRDefault="00B5716A" w:rsidP="00506B9C">
            <w:pPr>
              <w:autoSpaceDE w:val="0"/>
              <w:autoSpaceDN w:val="0"/>
              <w:adjustRightInd w:val="0"/>
              <w:jc w:val="right"/>
              <w:rPr>
                <w:lang w:val="es-AR"/>
              </w:rPr>
            </w:pPr>
            <w:r w:rsidRPr="006A7823">
              <w:t>12</w:t>
            </w:r>
          </w:p>
        </w:tc>
        <w:tc>
          <w:tcPr>
            <w:tcW w:w="1260" w:type="dxa"/>
          </w:tcPr>
          <w:p w:rsidR="00B5716A" w:rsidRPr="006A7823" w:rsidRDefault="00B5716A" w:rsidP="00506B9C">
            <w:pPr>
              <w:autoSpaceDE w:val="0"/>
              <w:autoSpaceDN w:val="0"/>
              <w:adjustRightInd w:val="0"/>
              <w:jc w:val="right"/>
              <w:rPr>
                <w:lang w:val="es-AR"/>
              </w:rPr>
            </w:pPr>
            <w:r w:rsidRPr="006A7823">
              <w:t>12</w:t>
            </w:r>
          </w:p>
        </w:tc>
        <w:tc>
          <w:tcPr>
            <w:tcW w:w="1260" w:type="dxa"/>
          </w:tcPr>
          <w:p w:rsidR="00B5716A" w:rsidRPr="006A7823" w:rsidRDefault="00B5716A" w:rsidP="00506B9C">
            <w:pPr>
              <w:autoSpaceDE w:val="0"/>
              <w:autoSpaceDN w:val="0"/>
              <w:adjustRightInd w:val="0"/>
              <w:jc w:val="right"/>
              <w:rPr>
                <w:lang w:val="es-AR"/>
              </w:rPr>
            </w:pPr>
            <w:r w:rsidRPr="006A7823">
              <w:t>12</w:t>
            </w:r>
          </w:p>
        </w:tc>
      </w:tr>
      <w:tr w:rsidR="00B5716A" w:rsidRPr="006A7823" w:rsidTr="00B5716A">
        <w:tc>
          <w:tcPr>
            <w:tcW w:w="1705" w:type="dxa"/>
          </w:tcPr>
          <w:p w:rsidR="00B5716A" w:rsidRPr="006A7823" w:rsidRDefault="00B5716A" w:rsidP="00506B9C">
            <w:pPr>
              <w:autoSpaceDE w:val="0"/>
              <w:autoSpaceDN w:val="0"/>
              <w:adjustRightInd w:val="0"/>
              <w:rPr>
                <w:lang w:val="es-AR"/>
              </w:rPr>
            </w:pPr>
            <w:r w:rsidRPr="006A7823">
              <w:t>Overheads</w:t>
            </w:r>
          </w:p>
        </w:tc>
        <w:tc>
          <w:tcPr>
            <w:tcW w:w="1170" w:type="dxa"/>
          </w:tcPr>
          <w:p w:rsidR="00B5716A" w:rsidRPr="006A7823" w:rsidRDefault="00B5716A" w:rsidP="00506B9C">
            <w:pPr>
              <w:autoSpaceDE w:val="0"/>
              <w:autoSpaceDN w:val="0"/>
              <w:adjustRightInd w:val="0"/>
              <w:jc w:val="right"/>
              <w:rPr>
                <w:lang w:val="es-AR"/>
              </w:rPr>
            </w:pPr>
            <w:r w:rsidRPr="006A7823">
              <w:rPr>
                <w:lang w:val="es-AR"/>
              </w:rPr>
              <w:t>11</w:t>
            </w:r>
          </w:p>
        </w:tc>
        <w:tc>
          <w:tcPr>
            <w:tcW w:w="1260" w:type="dxa"/>
          </w:tcPr>
          <w:p w:rsidR="00B5716A" w:rsidRPr="006A7823" w:rsidRDefault="00B5716A" w:rsidP="00506B9C">
            <w:pPr>
              <w:autoSpaceDE w:val="0"/>
              <w:autoSpaceDN w:val="0"/>
              <w:adjustRightInd w:val="0"/>
              <w:jc w:val="right"/>
              <w:rPr>
                <w:lang w:val="es-AR"/>
              </w:rPr>
            </w:pPr>
            <w:r w:rsidRPr="006A7823">
              <w:rPr>
                <w:lang w:val="es-AR"/>
              </w:rPr>
              <w:t>11</w:t>
            </w:r>
          </w:p>
        </w:tc>
        <w:tc>
          <w:tcPr>
            <w:tcW w:w="1260" w:type="dxa"/>
          </w:tcPr>
          <w:p w:rsidR="00B5716A" w:rsidRPr="006A7823" w:rsidRDefault="00B5716A" w:rsidP="00506B9C">
            <w:pPr>
              <w:autoSpaceDE w:val="0"/>
              <w:autoSpaceDN w:val="0"/>
              <w:adjustRightInd w:val="0"/>
              <w:jc w:val="right"/>
              <w:rPr>
                <w:lang w:val="es-AR"/>
              </w:rPr>
            </w:pPr>
            <w:r w:rsidRPr="006A7823">
              <w:rPr>
                <w:lang w:val="es-AR"/>
              </w:rPr>
              <w:t>13</w:t>
            </w:r>
          </w:p>
        </w:tc>
      </w:tr>
      <w:tr w:rsidR="00B5716A" w:rsidRPr="006A7823" w:rsidTr="00B5716A">
        <w:tc>
          <w:tcPr>
            <w:tcW w:w="1705" w:type="dxa"/>
          </w:tcPr>
          <w:p w:rsidR="00B5716A" w:rsidRPr="006A7823" w:rsidRDefault="00B5716A" w:rsidP="00506B9C">
            <w:pPr>
              <w:autoSpaceDE w:val="0"/>
              <w:autoSpaceDN w:val="0"/>
              <w:adjustRightInd w:val="0"/>
              <w:rPr>
                <w:lang w:val="es-AR"/>
              </w:rPr>
            </w:pPr>
            <w:r w:rsidRPr="006A7823">
              <w:t>Laboratories</w:t>
            </w:r>
          </w:p>
        </w:tc>
        <w:tc>
          <w:tcPr>
            <w:tcW w:w="1170" w:type="dxa"/>
          </w:tcPr>
          <w:p w:rsidR="00B5716A" w:rsidRPr="006A7823" w:rsidRDefault="00B5716A" w:rsidP="00506B9C">
            <w:pPr>
              <w:autoSpaceDE w:val="0"/>
              <w:autoSpaceDN w:val="0"/>
              <w:adjustRightInd w:val="0"/>
              <w:jc w:val="right"/>
              <w:rPr>
                <w:lang w:val="es-AR"/>
              </w:rPr>
            </w:pPr>
            <w:r w:rsidRPr="006A7823">
              <w:rPr>
                <w:lang w:val="es-AR"/>
              </w:rPr>
              <w:t>2</w:t>
            </w:r>
          </w:p>
        </w:tc>
        <w:tc>
          <w:tcPr>
            <w:tcW w:w="1260" w:type="dxa"/>
          </w:tcPr>
          <w:p w:rsidR="00B5716A" w:rsidRPr="006A7823" w:rsidRDefault="00B5716A" w:rsidP="00506B9C">
            <w:pPr>
              <w:autoSpaceDE w:val="0"/>
              <w:autoSpaceDN w:val="0"/>
              <w:adjustRightInd w:val="0"/>
              <w:jc w:val="right"/>
              <w:rPr>
                <w:lang w:val="es-AR"/>
              </w:rPr>
            </w:pPr>
            <w:r w:rsidRPr="006A7823">
              <w:rPr>
                <w:lang w:val="es-AR"/>
              </w:rPr>
              <w:t>4</w:t>
            </w:r>
          </w:p>
        </w:tc>
        <w:tc>
          <w:tcPr>
            <w:tcW w:w="1260" w:type="dxa"/>
          </w:tcPr>
          <w:p w:rsidR="00B5716A" w:rsidRPr="006A7823" w:rsidRDefault="00B5716A" w:rsidP="00506B9C">
            <w:pPr>
              <w:autoSpaceDE w:val="0"/>
              <w:autoSpaceDN w:val="0"/>
              <w:adjustRightInd w:val="0"/>
              <w:jc w:val="right"/>
              <w:rPr>
                <w:lang w:val="es-AR"/>
              </w:rPr>
            </w:pPr>
            <w:r w:rsidRPr="006A7823">
              <w:rPr>
                <w:lang w:val="es-AR"/>
              </w:rPr>
              <w:t>4</w:t>
            </w:r>
          </w:p>
        </w:tc>
      </w:tr>
      <w:tr w:rsidR="00B5716A" w:rsidRPr="006A7823" w:rsidTr="00B5716A">
        <w:tc>
          <w:tcPr>
            <w:tcW w:w="1705" w:type="dxa"/>
          </w:tcPr>
          <w:p w:rsidR="00B5716A" w:rsidRPr="006A7823" w:rsidRDefault="00B5716A" w:rsidP="00506B9C">
            <w:pPr>
              <w:autoSpaceDE w:val="0"/>
              <w:autoSpaceDN w:val="0"/>
              <w:adjustRightInd w:val="0"/>
              <w:rPr>
                <w:lang w:val="es-AR"/>
              </w:rPr>
            </w:pPr>
            <w:r w:rsidRPr="006A7823">
              <w:t>Maintenance</w:t>
            </w:r>
          </w:p>
        </w:tc>
        <w:tc>
          <w:tcPr>
            <w:tcW w:w="1170" w:type="dxa"/>
          </w:tcPr>
          <w:p w:rsidR="00B5716A" w:rsidRPr="006A7823" w:rsidRDefault="00B5716A" w:rsidP="00506B9C">
            <w:pPr>
              <w:autoSpaceDE w:val="0"/>
              <w:autoSpaceDN w:val="0"/>
              <w:adjustRightInd w:val="0"/>
              <w:jc w:val="right"/>
              <w:rPr>
                <w:lang w:val="es-AR"/>
              </w:rPr>
            </w:pPr>
            <w:r w:rsidRPr="006A7823">
              <w:rPr>
                <w:lang w:val="es-AR"/>
              </w:rPr>
              <w:t>7</w:t>
            </w:r>
          </w:p>
        </w:tc>
        <w:tc>
          <w:tcPr>
            <w:tcW w:w="1260" w:type="dxa"/>
          </w:tcPr>
          <w:p w:rsidR="00B5716A" w:rsidRPr="006A7823" w:rsidRDefault="00B5716A" w:rsidP="00506B9C">
            <w:pPr>
              <w:autoSpaceDE w:val="0"/>
              <w:autoSpaceDN w:val="0"/>
              <w:adjustRightInd w:val="0"/>
              <w:jc w:val="right"/>
              <w:rPr>
                <w:lang w:val="es-AR"/>
              </w:rPr>
            </w:pPr>
            <w:r w:rsidRPr="006A7823">
              <w:rPr>
                <w:lang w:val="es-AR"/>
              </w:rPr>
              <w:t>5</w:t>
            </w:r>
          </w:p>
        </w:tc>
        <w:tc>
          <w:tcPr>
            <w:tcW w:w="1260" w:type="dxa"/>
          </w:tcPr>
          <w:p w:rsidR="00B5716A" w:rsidRPr="006A7823" w:rsidRDefault="00B5716A" w:rsidP="00506B9C">
            <w:pPr>
              <w:autoSpaceDE w:val="0"/>
              <w:autoSpaceDN w:val="0"/>
              <w:adjustRightInd w:val="0"/>
              <w:jc w:val="right"/>
              <w:rPr>
                <w:lang w:val="es-AR"/>
              </w:rPr>
            </w:pPr>
            <w:r w:rsidRPr="006A7823">
              <w:rPr>
                <w:lang w:val="es-AR"/>
              </w:rPr>
              <w:t>6</w:t>
            </w:r>
          </w:p>
        </w:tc>
      </w:tr>
      <w:tr w:rsidR="00B5716A" w:rsidRPr="006A7823" w:rsidTr="00B5716A">
        <w:tc>
          <w:tcPr>
            <w:tcW w:w="1705" w:type="dxa"/>
          </w:tcPr>
          <w:p w:rsidR="00B5716A" w:rsidRPr="006A7823" w:rsidRDefault="00B5716A" w:rsidP="00506B9C">
            <w:pPr>
              <w:autoSpaceDE w:val="0"/>
              <w:autoSpaceDN w:val="0"/>
              <w:adjustRightInd w:val="0"/>
              <w:rPr>
                <w:lang w:val="es-AR"/>
              </w:rPr>
            </w:pPr>
            <w:r w:rsidRPr="006A7823">
              <w:t>Packaging</w:t>
            </w:r>
          </w:p>
        </w:tc>
        <w:tc>
          <w:tcPr>
            <w:tcW w:w="1170" w:type="dxa"/>
          </w:tcPr>
          <w:p w:rsidR="00B5716A" w:rsidRPr="006A7823" w:rsidRDefault="00B5716A" w:rsidP="00506B9C">
            <w:pPr>
              <w:autoSpaceDE w:val="0"/>
              <w:autoSpaceDN w:val="0"/>
              <w:adjustRightInd w:val="0"/>
              <w:jc w:val="right"/>
              <w:rPr>
                <w:lang w:val="es-AR"/>
              </w:rPr>
            </w:pPr>
            <w:r w:rsidRPr="006A7823">
              <w:rPr>
                <w:lang w:val="es-AR"/>
              </w:rPr>
              <w:t>1</w:t>
            </w:r>
          </w:p>
        </w:tc>
        <w:tc>
          <w:tcPr>
            <w:tcW w:w="1260" w:type="dxa"/>
          </w:tcPr>
          <w:p w:rsidR="00B5716A" w:rsidRPr="006A7823" w:rsidRDefault="00B5716A" w:rsidP="00506B9C">
            <w:pPr>
              <w:autoSpaceDE w:val="0"/>
              <w:autoSpaceDN w:val="0"/>
              <w:adjustRightInd w:val="0"/>
              <w:jc w:val="right"/>
              <w:rPr>
                <w:lang w:val="es-AR"/>
              </w:rPr>
            </w:pPr>
            <w:r w:rsidRPr="006A7823">
              <w:rPr>
                <w:lang w:val="es-AR"/>
              </w:rPr>
              <w:t>4</w:t>
            </w:r>
          </w:p>
        </w:tc>
        <w:tc>
          <w:tcPr>
            <w:tcW w:w="1260" w:type="dxa"/>
          </w:tcPr>
          <w:p w:rsidR="00B5716A" w:rsidRPr="006A7823" w:rsidRDefault="00B5716A" w:rsidP="00506B9C">
            <w:pPr>
              <w:autoSpaceDE w:val="0"/>
              <w:autoSpaceDN w:val="0"/>
              <w:adjustRightInd w:val="0"/>
              <w:jc w:val="right"/>
              <w:rPr>
                <w:lang w:val="es-AR"/>
              </w:rPr>
            </w:pPr>
            <w:r w:rsidRPr="006A7823">
              <w:rPr>
                <w:lang w:val="es-AR"/>
              </w:rPr>
              <w:t>2</w:t>
            </w:r>
          </w:p>
        </w:tc>
      </w:tr>
    </w:tbl>
    <w:p w:rsidR="002C1708" w:rsidRPr="006A7823" w:rsidRDefault="002C1708" w:rsidP="00506B9C">
      <w:pPr>
        <w:autoSpaceDE w:val="0"/>
        <w:autoSpaceDN w:val="0"/>
        <w:adjustRightInd w:val="0"/>
        <w:rPr>
          <w:lang w:val="es-AR"/>
        </w:rPr>
      </w:pPr>
    </w:p>
    <w:p w:rsidR="002C1708" w:rsidRPr="006A7823" w:rsidRDefault="002C1708" w:rsidP="00506B9C">
      <w:pPr>
        <w:pStyle w:val="Heading3"/>
        <w:numPr>
          <w:ilvl w:val="2"/>
          <w:numId w:val="29"/>
        </w:numPr>
        <w:spacing w:before="120"/>
        <w:ind w:left="720" w:hanging="720"/>
        <w:rPr>
          <w:b/>
        </w:rPr>
      </w:pPr>
      <w:r w:rsidRPr="006A7823">
        <w:rPr>
          <w:b/>
        </w:rPr>
        <w:t>The raw material purchases of each HCFC-22 swing plant in the last three years</w:t>
      </w:r>
      <w:r w:rsidR="00B5716A" w:rsidRPr="006A7823">
        <w:rPr>
          <w:b/>
        </w:rPr>
        <w:t>.</w:t>
      </w:r>
    </w:p>
    <w:p w:rsidR="002C1708" w:rsidRPr="006A7823" w:rsidRDefault="002C1708" w:rsidP="00506B9C">
      <w:pPr>
        <w:pStyle w:val="ListParagraph"/>
        <w:numPr>
          <w:ilvl w:val="0"/>
          <w:numId w:val="28"/>
        </w:numPr>
        <w:spacing w:before="120" w:after="240"/>
        <w:contextualSpacing w:val="0"/>
        <w:jc w:val="left"/>
        <w:rPr>
          <w:lang w:val="es-AR"/>
        </w:rPr>
      </w:pPr>
      <w:r w:rsidRPr="006A7823">
        <w:rPr>
          <w:lang w:val="es-AR"/>
        </w:rPr>
        <w:t>Frio Industrias Argentinas S.A.</w:t>
      </w:r>
    </w:p>
    <w:p w:rsidR="002C1708" w:rsidRPr="006A7823" w:rsidRDefault="002C1708" w:rsidP="00506B9C">
      <w:pPr>
        <w:pStyle w:val="ListParagraph"/>
        <w:numPr>
          <w:ilvl w:val="0"/>
          <w:numId w:val="38"/>
        </w:numPr>
        <w:autoSpaceDE w:val="0"/>
        <w:autoSpaceDN w:val="0"/>
        <w:adjustRightInd w:val="0"/>
        <w:spacing w:before="120" w:after="120"/>
        <w:ind w:left="1440" w:hanging="720"/>
        <w:contextualSpacing w:val="0"/>
      </w:pPr>
      <w:proofErr w:type="spellStart"/>
      <w:r w:rsidRPr="006A7823">
        <w:rPr>
          <w:b/>
          <w:lang w:val="es-AR"/>
        </w:rPr>
        <w:t>Hydrogen</w:t>
      </w:r>
      <w:proofErr w:type="spellEnd"/>
      <w:r w:rsidRPr="006A7823">
        <w:rPr>
          <w:b/>
        </w:rPr>
        <w:t xml:space="preserve"> fluoride (metric tonnes)</w:t>
      </w:r>
      <w:r w:rsidRPr="006A7823">
        <w:t>:</w:t>
      </w:r>
    </w:p>
    <w:p w:rsidR="00DF2980" w:rsidRPr="006A7823" w:rsidRDefault="00DF2980" w:rsidP="00506B9C">
      <w:pPr>
        <w:pStyle w:val="ListParagraph"/>
        <w:autoSpaceDE w:val="0"/>
        <w:autoSpaceDN w:val="0"/>
        <w:adjustRightInd w:val="0"/>
        <w:spacing w:before="120" w:after="120"/>
        <w:ind w:left="1440"/>
        <w:contextualSpacing w:val="0"/>
      </w:pPr>
    </w:p>
    <w:tbl>
      <w:tblPr>
        <w:tblStyle w:val="TableGrid"/>
        <w:tblW w:w="0" w:type="auto"/>
        <w:tblInd w:w="715" w:type="dxa"/>
        <w:tblLook w:val="04A0" w:firstRow="1" w:lastRow="0" w:firstColumn="1" w:lastColumn="0" w:noHBand="0" w:noVBand="1"/>
      </w:tblPr>
      <w:tblGrid>
        <w:gridCol w:w="1255"/>
        <w:gridCol w:w="1350"/>
      </w:tblGrid>
      <w:tr w:rsidR="00B5716A" w:rsidRPr="006A7823" w:rsidTr="005819E9">
        <w:tc>
          <w:tcPr>
            <w:tcW w:w="1255" w:type="dxa"/>
          </w:tcPr>
          <w:p w:rsidR="00B5716A" w:rsidRPr="006A7823" w:rsidRDefault="00B5716A" w:rsidP="00506B9C">
            <w:pPr>
              <w:autoSpaceDE w:val="0"/>
              <w:autoSpaceDN w:val="0"/>
              <w:adjustRightInd w:val="0"/>
              <w:jc w:val="center"/>
            </w:pPr>
            <w:r w:rsidRPr="006A7823">
              <w:rPr>
                <w:b/>
              </w:rPr>
              <w:t>Year</w:t>
            </w:r>
          </w:p>
        </w:tc>
        <w:tc>
          <w:tcPr>
            <w:tcW w:w="1350" w:type="dxa"/>
          </w:tcPr>
          <w:p w:rsidR="00B5716A" w:rsidRPr="006A7823" w:rsidRDefault="00B5716A" w:rsidP="00506B9C">
            <w:pPr>
              <w:autoSpaceDE w:val="0"/>
              <w:autoSpaceDN w:val="0"/>
              <w:adjustRightInd w:val="0"/>
              <w:jc w:val="center"/>
            </w:pPr>
            <w:r w:rsidRPr="006A7823">
              <w:rPr>
                <w:b/>
              </w:rPr>
              <w:t>Tonnes</w:t>
            </w:r>
          </w:p>
        </w:tc>
      </w:tr>
      <w:tr w:rsidR="00B5716A" w:rsidRPr="006A7823" w:rsidTr="005819E9">
        <w:tc>
          <w:tcPr>
            <w:tcW w:w="1255" w:type="dxa"/>
          </w:tcPr>
          <w:p w:rsidR="00B5716A" w:rsidRPr="006A7823" w:rsidRDefault="00B5716A" w:rsidP="00506B9C">
            <w:pPr>
              <w:autoSpaceDE w:val="0"/>
              <w:autoSpaceDN w:val="0"/>
              <w:adjustRightInd w:val="0"/>
              <w:jc w:val="center"/>
            </w:pPr>
            <w:r w:rsidRPr="006A7823">
              <w:t>2014</w:t>
            </w:r>
          </w:p>
        </w:tc>
        <w:tc>
          <w:tcPr>
            <w:tcW w:w="1350" w:type="dxa"/>
          </w:tcPr>
          <w:p w:rsidR="00B5716A" w:rsidRPr="006A7823" w:rsidRDefault="00B5716A" w:rsidP="00506B9C">
            <w:pPr>
              <w:autoSpaceDE w:val="0"/>
              <w:autoSpaceDN w:val="0"/>
              <w:adjustRightInd w:val="0"/>
              <w:jc w:val="center"/>
            </w:pPr>
            <w:r w:rsidRPr="006A7823">
              <w:t>1,182.39</w:t>
            </w:r>
          </w:p>
        </w:tc>
      </w:tr>
      <w:tr w:rsidR="00B5716A" w:rsidRPr="006A7823" w:rsidTr="005819E9">
        <w:tc>
          <w:tcPr>
            <w:tcW w:w="1255" w:type="dxa"/>
          </w:tcPr>
          <w:p w:rsidR="00B5716A" w:rsidRPr="006A7823" w:rsidRDefault="00B5716A" w:rsidP="00506B9C">
            <w:pPr>
              <w:autoSpaceDE w:val="0"/>
              <w:autoSpaceDN w:val="0"/>
              <w:adjustRightInd w:val="0"/>
              <w:jc w:val="center"/>
            </w:pPr>
            <w:r w:rsidRPr="006A7823">
              <w:t>2015</w:t>
            </w:r>
          </w:p>
        </w:tc>
        <w:tc>
          <w:tcPr>
            <w:tcW w:w="1350" w:type="dxa"/>
          </w:tcPr>
          <w:p w:rsidR="00B5716A" w:rsidRPr="006A7823" w:rsidRDefault="00B5716A" w:rsidP="00506B9C">
            <w:pPr>
              <w:autoSpaceDE w:val="0"/>
              <w:autoSpaceDN w:val="0"/>
              <w:adjustRightInd w:val="0"/>
              <w:jc w:val="center"/>
            </w:pPr>
            <w:r w:rsidRPr="006A7823">
              <w:t>1,464.61</w:t>
            </w:r>
          </w:p>
        </w:tc>
      </w:tr>
      <w:tr w:rsidR="00B5716A" w:rsidRPr="006A7823" w:rsidTr="005819E9">
        <w:tc>
          <w:tcPr>
            <w:tcW w:w="1255" w:type="dxa"/>
          </w:tcPr>
          <w:p w:rsidR="00B5716A" w:rsidRPr="006A7823" w:rsidRDefault="00B5716A" w:rsidP="00506B9C">
            <w:pPr>
              <w:autoSpaceDE w:val="0"/>
              <w:autoSpaceDN w:val="0"/>
              <w:adjustRightInd w:val="0"/>
              <w:jc w:val="center"/>
            </w:pPr>
            <w:r w:rsidRPr="006A7823">
              <w:t>2016</w:t>
            </w:r>
          </w:p>
        </w:tc>
        <w:tc>
          <w:tcPr>
            <w:tcW w:w="1350" w:type="dxa"/>
          </w:tcPr>
          <w:p w:rsidR="00B5716A" w:rsidRPr="006A7823" w:rsidRDefault="00B5716A" w:rsidP="00506B9C">
            <w:pPr>
              <w:autoSpaceDE w:val="0"/>
              <w:autoSpaceDN w:val="0"/>
              <w:adjustRightInd w:val="0"/>
              <w:jc w:val="center"/>
            </w:pPr>
            <w:r w:rsidRPr="006A7823">
              <w:t>770.82</w:t>
            </w:r>
          </w:p>
        </w:tc>
      </w:tr>
    </w:tbl>
    <w:p w:rsidR="002C1708" w:rsidRPr="006A7823" w:rsidRDefault="002C1708" w:rsidP="00506B9C">
      <w:pPr>
        <w:autoSpaceDE w:val="0"/>
        <w:autoSpaceDN w:val="0"/>
        <w:adjustRightInd w:val="0"/>
      </w:pPr>
    </w:p>
    <w:p w:rsidR="002C1708" w:rsidRDefault="002C1708" w:rsidP="00506B9C">
      <w:pPr>
        <w:pStyle w:val="ListParagraph"/>
        <w:numPr>
          <w:ilvl w:val="0"/>
          <w:numId w:val="38"/>
        </w:numPr>
        <w:autoSpaceDE w:val="0"/>
        <w:autoSpaceDN w:val="0"/>
        <w:adjustRightInd w:val="0"/>
        <w:spacing w:before="120" w:after="120"/>
        <w:ind w:left="1440" w:hanging="720"/>
        <w:contextualSpacing w:val="0"/>
      </w:pPr>
      <w:r w:rsidRPr="006A7823">
        <w:rPr>
          <w:b/>
        </w:rPr>
        <w:t>Chloroform (metric tonnes)</w:t>
      </w:r>
      <w:r w:rsidRPr="006A7823">
        <w:t>:</w:t>
      </w:r>
    </w:p>
    <w:p w:rsidR="007735DF" w:rsidRPr="006A7823" w:rsidRDefault="007735DF" w:rsidP="007735DF">
      <w:pPr>
        <w:pStyle w:val="ListParagraph"/>
        <w:autoSpaceDE w:val="0"/>
        <w:autoSpaceDN w:val="0"/>
        <w:adjustRightInd w:val="0"/>
        <w:spacing w:before="120" w:after="120"/>
        <w:ind w:left="1440"/>
        <w:contextualSpacing w:val="0"/>
      </w:pPr>
    </w:p>
    <w:tbl>
      <w:tblPr>
        <w:tblStyle w:val="TableGrid"/>
        <w:tblW w:w="0" w:type="auto"/>
        <w:tblInd w:w="715" w:type="dxa"/>
        <w:tblLook w:val="04A0" w:firstRow="1" w:lastRow="0" w:firstColumn="1" w:lastColumn="0" w:noHBand="0" w:noVBand="1"/>
      </w:tblPr>
      <w:tblGrid>
        <w:gridCol w:w="1255"/>
        <w:gridCol w:w="1350"/>
      </w:tblGrid>
      <w:tr w:rsidR="00B5716A" w:rsidRPr="006A7823" w:rsidTr="005819E9">
        <w:tc>
          <w:tcPr>
            <w:tcW w:w="1255" w:type="dxa"/>
          </w:tcPr>
          <w:p w:rsidR="00B5716A" w:rsidRPr="006A7823" w:rsidRDefault="00B5716A" w:rsidP="00506B9C">
            <w:pPr>
              <w:autoSpaceDE w:val="0"/>
              <w:autoSpaceDN w:val="0"/>
              <w:adjustRightInd w:val="0"/>
              <w:jc w:val="center"/>
            </w:pPr>
            <w:r w:rsidRPr="006A7823">
              <w:rPr>
                <w:b/>
              </w:rPr>
              <w:t>Year</w:t>
            </w:r>
          </w:p>
        </w:tc>
        <w:tc>
          <w:tcPr>
            <w:tcW w:w="1350" w:type="dxa"/>
          </w:tcPr>
          <w:p w:rsidR="00B5716A" w:rsidRPr="006A7823" w:rsidRDefault="00B5716A" w:rsidP="00506B9C">
            <w:pPr>
              <w:autoSpaceDE w:val="0"/>
              <w:autoSpaceDN w:val="0"/>
              <w:adjustRightInd w:val="0"/>
              <w:jc w:val="center"/>
            </w:pPr>
            <w:r w:rsidRPr="006A7823">
              <w:rPr>
                <w:b/>
              </w:rPr>
              <w:t>Tonnes</w:t>
            </w:r>
          </w:p>
        </w:tc>
      </w:tr>
      <w:tr w:rsidR="00B5716A" w:rsidRPr="006A7823" w:rsidTr="005819E9">
        <w:tc>
          <w:tcPr>
            <w:tcW w:w="1255" w:type="dxa"/>
          </w:tcPr>
          <w:p w:rsidR="00B5716A" w:rsidRPr="006A7823" w:rsidRDefault="00B5716A" w:rsidP="00506B9C">
            <w:pPr>
              <w:autoSpaceDE w:val="0"/>
              <w:autoSpaceDN w:val="0"/>
              <w:adjustRightInd w:val="0"/>
              <w:jc w:val="center"/>
            </w:pPr>
            <w:r w:rsidRPr="006A7823">
              <w:t>2014</w:t>
            </w:r>
          </w:p>
        </w:tc>
        <w:tc>
          <w:tcPr>
            <w:tcW w:w="1350" w:type="dxa"/>
          </w:tcPr>
          <w:p w:rsidR="00B5716A" w:rsidRPr="006A7823" w:rsidRDefault="00B5716A" w:rsidP="00506B9C">
            <w:pPr>
              <w:autoSpaceDE w:val="0"/>
              <w:autoSpaceDN w:val="0"/>
              <w:adjustRightInd w:val="0"/>
              <w:jc w:val="center"/>
            </w:pPr>
            <w:r w:rsidRPr="006A7823">
              <w:t>3,145.3</w:t>
            </w:r>
          </w:p>
        </w:tc>
      </w:tr>
      <w:tr w:rsidR="00B5716A" w:rsidRPr="006A7823" w:rsidTr="005819E9">
        <w:tc>
          <w:tcPr>
            <w:tcW w:w="1255" w:type="dxa"/>
          </w:tcPr>
          <w:p w:rsidR="00B5716A" w:rsidRPr="006A7823" w:rsidRDefault="00B5716A" w:rsidP="00506B9C">
            <w:pPr>
              <w:autoSpaceDE w:val="0"/>
              <w:autoSpaceDN w:val="0"/>
              <w:adjustRightInd w:val="0"/>
              <w:jc w:val="center"/>
            </w:pPr>
            <w:r w:rsidRPr="006A7823">
              <w:t>2015</w:t>
            </w:r>
          </w:p>
        </w:tc>
        <w:tc>
          <w:tcPr>
            <w:tcW w:w="1350" w:type="dxa"/>
          </w:tcPr>
          <w:p w:rsidR="00B5716A" w:rsidRPr="006A7823" w:rsidRDefault="00B5716A" w:rsidP="00506B9C">
            <w:pPr>
              <w:autoSpaceDE w:val="0"/>
              <w:autoSpaceDN w:val="0"/>
              <w:adjustRightInd w:val="0"/>
              <w:jc w:val="center"/>
            </w:pPr>
            <w:r w:rsidRPr="006A7823">
              <w:t>4,099.31</w:t>
            </w:r>
          </w:p>
        </w:tc>
      </w:tr>
      <w:tr w:rsidR="00B5716A" w:rsidRPr="006A7823" w:rsidTr="005819E9">
        <w:tc>
          <w:tcPr>
            <w:tcW w:w="1255" w:type="dxa"/>
          </w:tcPr>
          <w:p w:rsidR="00B5716A" w:rsidRPr="006A7823" w:rsidRDefault="00B5716A" w:rsidP="00506B9C">
            <w:pPr>
              <w:autoSpaceDE w:val="0"/>
              <w:autoSpaceDN w:val="0"/>
              <w:adjustRightInd w:val="0"/>
              <w:jc w:val="center"/>
            </w:pPr>
            <w:r w:rsidRPr="006A7823">
              <w:t>2016</w:t>
            </w:r>
          </w:p>
        </w:tc>
        <w:tc>
          <w:tcPr>
            <w:tcW w:w="1350" w:type="dxa"/>
          </w:tcPr>
          <w:p w:rsidR="00B5716A" w:rsidRPr="006A7823" w:rsidRDefault="00B5716A" w:rsidP="00506B9C">
            <w:pPr>
              <w:autoSpaceDE w:val="0"/>
              <w:autoSpaceDN w:val="0"/>
              <w:adjustRightInd w:val="0"/>
              <w:jc w:val="center"/>
            </w:pPr>
            <w:r w:rsidRPr="006A7823">
              <w:t>3,140.14</w:t>
            </w:r>
          </w:p>
        </w:tc>
      </w:tr>
    </w:tbl>
    <w:p w:rsidR="00B5716A" w:rsidRDefault="00B5716A" w:rsidP="00506B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5716A" w:rsidTr="005819E9">
        <w:tc>
          <w:tcPr>
            <w:tcW w:w="1871" w:type="dxa"/>
          </w:tcPr>
          <w:p w:rsidR="00B5716A" w:rsidRDefault="00B5716A" w:rsidP="00506B9C"/>
        </w:tc>
        <w:tc>
          <w:tcPr>
            <w:tcW w:w="1872" w:type="dxa"/>
          </w:tcPr>
          <w:p w:rsidR="00B5716A" w:rsidRDefault="00B5716A" w:rsidP="00506B9C"/>
        </w:tc>
        <w:tc>
          <w:tcPr>
            <w:tcW w:w="1872" w:type="dxa"/>
            <w:tcBorders>
              <w:bottom w:val="single" w:sz="4" w:space="0" w:color="auto"/>
            </w:tcBorders>
          </w:tcPr>
          <w:p w:rsidR="00B5716A" w:rsidRDefault="00B5716A" w:rsidP="00506B9C"/>
        </w:tc>
        <w:tc>
          <w:tcPr>
            <w:tcW w:w="1872" w:type="dxa"/>
          </w:tcPr>
          <w:p w:rsidR="00B5716A" w:rsidRDefault="00B5716A" w:rsidP="00506B9C"/>
        </w:tc>
        <w:tc>
          <w:tcPr>
            <w:tcW w:w="1873" w:type="dxa"/>
          </w:tcPr>
          <w:p w:rsidR="00B5716A" w:rsidRDefault="00B5716A" w:rsidP="00506B9C"/>
        </w:tc>
      </w:tr>
    </w:tbl>
    <w:p w:rsidR="00B5716A" w:rsidRPr="00B04161" w:rsidRDefault="00B5716A" w:rsidP="00506B9C">
      <w:pPr>
        <w:rPr>
          <w:lang w:val="en-CA"/>
        </w:rPr>
      </w:pPr>
    </w:p>
    <w:sectPr w:rsidR="00B5716A" w:rsidRPr="00B04161" w:rsidSect="005819E9">
      <w:headerReference w:type="even" r:id="rId19"/>
      <w:headerReference w:type="default" r:id="rId2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16B" w:rsidRDefault="00D9716B" w:rsidP="004A504B">
      <w:r>
        <w:separator/>
      </w:r>
    </w:p>
  </w:endnote>
  <w:endnote w:type="continuationSeparator" w:id="0">
    <w:p w:rsidR="00D9716B" w:rsidRDefault="00D9716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8942630"/>
      <w:docPartObj>
        <w:docPartGallery w:val="Page Numbers (Bottom of Page)"/>
        <w:docPartUnique/>
      </w:docPartObj>
    </w:sdtPr>
    <w:sdtEndPr>
      <w:rPr>
        <w:noProof/>
      </w:rPr>
    </w:sdtEndPr>
    <w:sdtContent>
      <w:p w:rsidR="005819E9" w:rsidRDefault="005819E9" w:rsidP="005819E9">
        <w:pPr>
          <w:pStyle w:val="Footer"/>
          <w:jc w:val="center"/>
        </w:pPr>
        <w:r>
          <w:fldChar w:fldCharType="begin"/>
        </w:r>
        <w:r>
          <w:instrText xml:space="preserve"> PAGE   \* MERGEFORMAT </w:instrText>
        </w:r>
        <w:r>
          <w:fldChar w:fldCharType="separate"/>
        </w:r>
        <w:r w:rsidR="00E17C7B">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6314274"/>
      <w:docPartObj>
        <w:docPartGallery w:val="Page Numbers (Bottom of Page)"/>
        <w:docPartUnique/>
      </w:docPartObj>
    </w:sdtPr>
    <w:sdtEndPr>
      <w:rPr>
        <w:noProof/>
      </w:rPr>
    </w:sdtEndPr>
    <w:sdtContent>
      <w:p w:rsidR="005819E9" w:rsidRDefault="005819E9" w:rsidP="005819E9">
        <w:pPr>
          <w:pStyle w:val="Footer"/>
          <w:jc w:val="center"/>
        </w:pPr>
        <w:r>
          <w:fldChar w:fldCharType="begin"/>
        </w:r>
        <w:r>
          <w:instrText xml:space="preserve"> PAGE   \* MERGEFORMAT </w:instrText>
        </w:r>
        <w:r>
          <w:fldChar w:fldCharType="separate"/>
        </w:r>
        <w:r w:rsidR="00E17C7B">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9E9" w:rsidRDefault="000A366E" w:rsidP="000A366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0A366E" w:rsidRPr="000A366E" w:rsidRDefault="000A366E" w:rsidP="000A366E">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4586175"/>
      <w:docPartObj>
        <w:docPartGallery w:val="Page Numbers (Bottom of Page)"/>
        <w:docPartUnique/>
      </w:docPartObj>
    </w:sdtPr>
    <w:sdtEndPr>
      <w:rPr>
        <w:noProof/>
      </w:rPr>
    </w:sdtEndPr>
    <w:sdtContent>
      <w:p w:rsidR="005819E9" w:rsidRDefault="005819E9" w:rsidP="005819E9">
        <w:pPr>
          <w:pStyle w:val="Footer"/>
          <w:jc w:val="center"/>
        </w:pPr>
        <w:r>
          <w:fldChar w:fldCharType="begin"/>
        </w:r>
        <w:r>
          <w:instrText xml:space="preserve"> PAGE   \* MERGEFORMAT </w:instrText>
        </w:r>
        <w:r>
          <w:fldChar w:fldCharType="separate"/>
        </w:r>
        <w:r w:rsidR="00E17C7B">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1320351"/>
      <w:docPartObj>
        <w:docPartGallery w:val="Page Numbers (Bottom of Page)"/>
        <w:docPartUnique/>
      </w:docPartObj>
    </w:sdtPr>
    <w:sdtEndPr>
      <w:rPr>
        <w:noProof/>
      </w:rPr>
    </w:sdtEndPr>
    <w:sdtContent>
      <w:p w:rsidR="005819E9" w:rsidRDefault="005819E9" w:rsidP="005819E9">
        <w:pPr>
          <w:pStyle w:val="Footer"/>
          <w:jc w:val="center"/>
        </w:pPr>
        <w:r>
          <w:fldChar w:fldCharType="begin"/>
        </w:r>
        <w:r>
          <w:instrText xml:space="preserve"> PAGE   \* MERGEFORMAT </w:instrText>
        </w:r>
        <w:r>
          <w:fldChar w:fldCharType="separate"/>
        </w:r>
        <w:r w:rsidR="00E17C7B">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16B" w:rsidRDefault="00D9716B" w:rsidP="004A504B">
      <w:r>
        <w:separator/>
      </w:r>
    </w:p>
  </w:footnote>
  <w:footnote w:type="continuationSeparator" w:id="0">
    <w:p w:rsidR="00D9716B" w:rsidRDefault="00D9716B" w:rsidP="004A504B">
      <w:r>
        <w:continuationSeparator/>
      </w:r>
    </w:p>
  </w:footnote>
  <w:footnote w:id="1">
    <w:p w:rsidR="00506B9C" w:rsidRPr="00506B9C" w:rsidRDefault="00506B9C">
      <w:pPr>
        <w:pStyle w:val="FootnoteText"/>
      </w:pPr>
      <w:r>
        <w:rPr>
          <w:rStyle w:val="FootnoteReference"/>
        </w:rPr>
        <w:footnoteRef/>
      </w:r>
      <w:r>
        <w:t xml:space="preserve"> </w:t>
      </w:r>
      <w:r w:rsidRPr="00506B9C">
        <w:t>UNEP/</w:t>
      </w:r>
      <w:proofErr w:type="spellStart"/>
      <w:r w:rsidRPr="00506B9C">
        <w:t>OzL.Pro</w:t>
      </w:r>
      <w:proofErr w:type="spellEnd"/>
      <w:r w:rsidRPr="00506B9C">
        <w:t>/</w:t>
      </w:r>
      <w:proofErr w:type="spellStart"/>
      <w:r w:rsidRPr="00506B9C">
        <w:t>ExCom</w:t>
      </w:r>
      <w:proofErr w:type="spellEnd"/>
      <w:r w:rsidRPr="00506B9C">
        <w:t>/79/48</w:t>
      </w:r>
      <w:r>
        <w:t>, Add.1, Corr.1 and Corr.2.</w:t>
      </w:r>
    </w:p>
  </w:footnote>
  <w:footnote w:id="2">
    <w:p w:rsidR="003637F1" w:rsidRPr="003637F1" w:rsidRDefault="003637F1">
      <w:pPr>
        <w:pStyle w:val="FootnoteText"/>
      </w:pPr>
      <w:r>
        <w:rPr>
          <w:rStyle w:val="FootnoteReference"/>
        </w:rPr>
        <w:footnoteRef/>
      </w:r>
      <w:r>
        <w:t xml:space="preserve"> Paragraphs 153 to 159 of document </w:t>
      </w:r>
      <w:r w:rsidRPr="00506B9C">
        <w:t>UNEP/</w:t>
      </w:r>
      <w:proofErr w:type="spellStart"/>
      <w:r w:rsidRPr="00506B9C">
        <w:t>OzL.Pro</w:t>
      </w:r>
      <w:proofErr w:type="spellEnd"/>
      <w:r w:rsidRPr="00506B9C">
        <w:t>/</w:t>
      </w:r>
      <w:proofErr w:type="spellStart"/>
      <w:r w:rsidRPr="00506B9C">
        <w:t>ExCom</w:t>
      </w:r>
      <w:proofErr w:type="spellEnd"/>
      <w:r w:rsidRPr="00506B9C">
        <w:t>/79/</w:t>
      </w:r>
      <w:r>
        <w:t>51.</w:t>
      </w:r>
    </w:p>
  </w:footnote>
  <w:footnote w:id="3">
    <w:p w:rsidR="005E4DAA" w:rsidRPr="005E4DAA" w:rsidRDefault="005E4DAA">
      <w:pPr>
        <w:pStyle w:val="FootnoteText"/>
      </w:pPr>
      <w:r>
        <w:rPr>
          <w:rStyle w:val="FootnoteReference"/>
        </w:rPr>
        <w:footnoteRef/>
      </w:r>
      <w:r>
        <w:t xml:space="preserve"> Preliminary data includes </w:t>
      </w:r>
      <w:r>
        <w:rPr>
          <w:i/>
        </w:rPr>
        <w:t xml:space="preserve">inter alia </w:t>
      </w:r>
      <w:r w:rsidRPr="005E4DAA">
        <w:t>a list of HCFC-22 swing plants in the country (providing name; location; production capacity; schedule for closure; date of establishment; name of proprietors; ownership; emissions and ratio of HFC-23 by-product; and maximum production of HCFC-22); HCFC-22 production in the last three years countrywide and for each swing plant; quantity of export of each plant to non-Article 5 countries; total number of employees in the HCFC-22 industry and per HCFC-22 swing plant for the last three years; and the raw material purchases of each HCFC-22 swing plant in the last three years (i.e., hydrogen fluoride, and chloroform).</w:t>
      </w:r>
    </w:p>
  </w:footnote>
  <w:footnote w:id="4">
    <w:p w:rsidR="0052640E" w:rsidRPr="00004618" w:rsidRDefault="0052640E" w:rsidP="0052640E">
      <w:pPr>
        <w:pStyle w:val="FootnoteText"/>
        <w:rPr>
          <w:lang w:val="en-US"/>
        </w:rPr>
      </w:pPr>
      <w:r>
        <w:rPr>
          <w:rStyle w:val="FootnoteReference"/>
        </w:rPr>
        <w:footnoteRef/>
      </w:r>
      <w:r>
        <w:t xml:space="preserve"> </w:t>
      </w:r>
      <w:r>
        <w:rPr>
          <w:lang w:val="en-US"/>
        </w:rPr>
        <w:t xml:space="preserve">As per the letter </w:t>
      </w:r>
      <w:r w:rsidRPr="00004618">
        <w:rPr>
          <w:lang w:val="en-US"/>
        </w:rPr>
        <w:t>from the</w:t>
      </w:r>
      <w:r>
        <w:rPr>
          <w:lang w:val="en-US"/>
        </w:rPr>
        <w:t xml:space="preserve"> </w:t>
      </w:r>
      <w:proofErr w:type="spellStart"/>
      <w:r w:rsidRPr="00004618">
        <w:rPr>
          <w:lang w:val="en-US"/>
        </w:rPr>
        <w:t>Ministerio</w:t>
      </w:r>
      <w:proofErr w:type="spellEnd"/>
      <w:r w:rsidRPr="00004618">
        <w:rPr>
          <w:lang w:val="en-US"/>
        </w:rPr>
        <w:t xml:space="preserve"> de </w:t>
      </w:r>
      <w:proofErr w:type="spellStart"/>
      <w:r w:rsidRPr="00004618">
        <w:rPr>
          <w:lang w:val="en-US"/>
        </w:rPr>
        <w:t>Producción</w:t>
      </w:r>
      <w:proofErr w:type="spellEnd"/>
      <w:r>
        <w:rPr>
          <w:lang w:val="en-US"/>
        </w:rPr>
        <w:t xml:space="preserve"> of Argentina to the World Bank. </w:t>
      </w:r>
    </w:p>
  </w:footnote>
  <w:footnote w:id="5">
    <w:p w:rsidR="004D5B55" w:rsidRPr="004D5B55" w:rsidRDefault="004D5B55">
      <w:pPr>
        <w:pStyle w:val="FootnoteText"/>
      </w:pPr>
      <w:r>
        <w:rPr>
          <w:rStyle w:val="FootnoteReference"/>
        </w:rPr>
        <w:footnoteRef/>
      </w:r>
      <w:r>
        <w:t xml:space="preserve"> The Secretariat notes that through decision 79/47(f), the Committee </w:t>
      </w:r>
      <w:r w:rsidRPr="004D5B55">
        <w:t>invite</w:t>
      </w:r>
      <w:r>
        <w:t>d</w:t>
      </w:r>
      <w:r w:rsidRPr="004D5B55">
        <w:t xml:space="preserve"> relevant HCFC-22-producing Article 5 countries to provide to the Secretariat, on a voluntary basis, information on options of HFC-23 destruction from HCFC-22 production facilities, by 30 September 2017</w:t>
      </w:r>
      <w:r>
        <w:t>. It appears that the Government of India understood that the date for submission the information requested under decision 79/47(d) was also 30 September 2017.</w:t>
      </w:r>
    </w:p>
  </w:footnote>
  <w:footnote w:id="6">
    <w:p w:rsidR="00D16B2F" w:rsidRPr="007D621E" w:rsidRDefault="00D16B2F" w:rsidP="00D16B2F">
      <w:pPr>
        <w:pStyle w:val="FootnoteText"/>
      </w:pPr>
      <w:r w:rsidRPr="007D621E">
        <w:rPr>
          <w:rStyle w:val="FootnoteReference"/>
        </w:rPr>
        <w:footnoteRef/>
      </w:r>
      <w:r w:rsidRPr="007D621E">
        <w:t xml:space="preserve"> According to the information on CDM database, the crediting period was from 15 October 2007 to 14 October 2014, </w:t>
      </w:r>
      <w:hyperlink r:id="rId1" w:history="1">
        <w:r w:rsidRPr="007D621E">
          <w:rPr>
            <w:rStyle w:val="Hyperlink"/>
          </w:rPr>
          <w:t>http://cdm.unfccc.int/Projects/DB/DNV-CUK1166182519.48/view</w:t>
        </w:r>
      </w:hyperlink>
      <w:r w:rsidRPr="007D621E">
        <w:t>.</w:t>
      </w:r>
    </w:p>
  </w:footnote>
  <w:footnote w:id="7">
    <w:p w:rsidR="006C20A2" w:rsidRPr="006C20A2" w:rsidRDefault="006C20A2">
      <w:pPr>
        <w:pStyle w:val="FootnoteText"/>
      </w:pPr>
      <w:r>
        <w:rPr>
          <w:rStyle w:val="FootnoteReference"/>
        </w:rPr>
        <w:footnoteRef/>
      </w:r>
      <w:r>
        <w:t xml:space="preserve"> T</w:t>
      </w:r>
      <w:r w:rsidRPr="006C20A2">
        <w:t xml:space="preserve">he ratio between the amounts in moles of </w:t>
      </w:r>
      <w:r>
        <w:t>HF (20.01 grams</w:t>
      </w:r>
      <w:r w:rsidR="002D31CD">
        <w:t>/mole</w:t>
      </w:r>
      <w:r>
        <w:t xml:space="preserve">) and </w:t>
      </w:r>
      <w:r w:rsidRPr="006C20A2">
        <w:t>HCCl</w:t>
      </w:r>
      <w:r w:rsidRPr="003B7A6F">
        <w:rPr>
          <w:vertAlign w:val="subscript"/>
        </w:rPr>
        <w:t>3</w:t>
      </w:r>
      <w:r>
        <w:t xml:space="preserve"> (119.38 grams</w:t>
      </w:r>
      <w:r w:rsidR="002D31CD">
        <w:t>/mole</w:t>
      </w:r>
      <w:r>
        <w:t xml:space="preserve">) </w:t>
      </w:r>
      <w:r w:rsidRPr="006C20A2">
        <w:t xml:space="preserve">in </w:t>
      </w:r>
      <w:r>
        <w:t>the produc</w:t>
      </w:r>
      <w:r w:rsidR="003B7A6F">
        <w:t>tion of</w:t>
      </w:r>
      <w:r>
        <w:t xml:space="preserve"> HCFC-22</w:t>
      </w:r>
      <w:r w:rsidRPr="006C20A2">
        <w:t>.</w:t>
      </w:r>
      <w:r>
        <w:t xml:space="preserve"> </w:t>
      </w:r>
    </w:p>
  </w:footnote>
  <w:footnote w:id="8">
    <w:p w:rsidR="00D3148C" w:rsidRPr="00D3148C" w:rsidRDefault="00D3148C">
      <w:pPr>
        <w:pStyle w:val="FootnoteText"/>
        <w:rPr>
          <w:lang w:val="en-US"/>
        </w:rPr>
      </w:pPr>
      <w:r>
        <w:rPr>
          <w:rStyle w:val="FootnoteReference"/>
        </w:rPr>
        <w:footnoteRef/>
      </w:r>
      <w:r>
        <w:t xml:space="preserve"> P</w:t>
      </w:r>
      <w:r w:rsidRPr="00D3148C">
        <w:t>aragraphs 9 and 10 of Annex I</w:t>
      </w:r>
    </w:p>
  </w:footnote>
  <w:footnote w:id="9">
    <w:p w:rsidR="00E85165" w:rsidRPr="00B42EA6" w:rsidRDefault="00E85165" w:rsidP="00E85165">
      <w:pPr>
        <w:pStyle w:val="FootnoteText"/>
      </w:pPr>
      <w:r>
        <w:rPr>
          <w:rStyle w:val="FootnoteReference"/>
        </w:rPr>
        <w:footnoteRef/>
      </w:r>
      <w:r>
        <w:t xml:space="preserve"> </w:t>
      </w:r>
      <w:r w:rsidRPr="00B42EA6">
        <w:t xml:space="preserve">The estimated costs for a technical audit, including costs for two experts, international travel, </w:t>
      </w:r>
      <w:proofErr w:type="gramStart"/>
      <w:r w:rsidRPr="00B42EA6">
        <w:t>data</w:t>
      </w:r>
      <w:proofErr w:type="gramEnd"/>
      <w:r w:rsidRPr="00B42EA6">
        <w:t xml:space="preserve"> collection and reporting, is approximately US</w:t>
      </w:r>
      <w:r>
        <w:t> </w:t>
      </w:r>
      <w:r w:rsidRPr="00B42EA6">
        <w:t>$50,000.</w:t>
      </w:r>
    </w:p>
  </w:footnote>
  <w:footnote w:id="10">
    <w:p w:rsidR="007735DF" w:rsidRPr="00506B9C" w:rsidRDefault="007735DF" w:rsidP="007735DF">
      <w:pPr>
        <w:pStyle w:val="FootnoteText"/>
      </w:pPr>
      <w:r>
        <w:rPr>
          <w:rStyle w:val="FootnoteReference"/>
        </w:rPr>
        <w:footnoteRef/>
      </w:r>
      <w:r>
        <w:t xml:space="preserve"> </w:t>
      </w:r>
      <w:r w:rsidRPr="00506B9C">
        <w:t>UNEP/</w:t>
      </w:r>
      <w:proofErr w:type="spellStart"/>
      <w:r w:rsidRPr="00506B9C">
        <w:t>OzL.Pro</w:t>
      </w:r>
      <w:proofErr w:type="spellEnd"/>
      <w:r w:rsidRPr="00506B9C">
        <w:t>/</w:t>
      </w:r>
      <w:proofErr w:type="spellStart"/>
      <w:r w:rsidRPr="00506B9C">
        <w:t>ExCom</w:t>
      </w:r>
      <w:proofErr w:type="spellEnd"/>
      <w:r w:rsidRPr="00506B9C">
        <w:t>/79/48</w:t>
      </w:r>
      <w:r>
        <w:t>, Add.1, Corr.1 and Corr.2.</w:t>
      </w:r>
    </w:p>
  </w:footnote>
  <w:footnote w:id="11">
    <w:p w:rsidR="007735DF" w:rsidRPr="007C11D4" w:rsidRDefault="007735DF" w:rsidP="007735DF">
      <w:pPr>
        <w:pStyle w:val="FootnoteText"/>
        <w:rPr>
          <w:lang w:val="en-US"/>
        </w:rPr>
      </w:pPr>
      <w:r>
        <w:rPr>
          <w:rStyle w:val="FootnoteReference"/>
        </w:rPr>
        <w:footnoteRef/>
      </w:r>
      <w:r>
        <w:t xml:space="preserve"> To</w:t>
      </w:r>
      <w:r w:rsidRPr="007C11D4">
        <w:t xml:space="preserve"> date</w:t>
      </w:r>
      <w:r>
        <w:t>,</w:t>
      </w:r>
      <w:r w:rsidRPr="007C11D4">
        <w:t xml:space="preserve"> the Parties have not yet approved any technologies for the destruction of HFC-23 to permit P</w:t>
      </w:r>
      <w:r>
        <w:t xml:space="preserve">arties to the Kigali Amendment </w:t>
      </w:r>
      <w:r w:rsidRPr="007C11D4">
        <w:t>to comply with the destruction provisions of the Amendment</w:t>
      </w:r>
      <w:r>
        <w:t>.</w:t>
      </w:r>
    </w:p>
  </w:footnote>
  <w:footnote w:id="12">
    <w:p w:rsidR="007735DF" w:rsidRPr="00170A1C" w:rsidRDefault="007735DF" w:rsidP="007735DF">
      <w:pPr>
        <w:pStyle w:val="FootnoteText"/>
        <w:rPr>
          <w:lang w:val="en-US"/>
        </w:rPr>
      </w:pPr>
      <w:r>
        <w:rPr>
          <w:rStyle w:val="FootnoteReference"/>
        </w:rPr>
        <w:footnoteRef/>
      </w:r>
      <w:r>
        <w:t xml:space="preserve"> European</w:t>
      </w:r>
      <w:r w:rsidRPr="00170A1C">
        <w:t xml:space="preserve"> independent research and consultancy organi</w:t>
      </w:r>
      <w:r>
        <w:t>z</w:t>
      </w:r>
      <w:r w:rsidRPr="00170A1C">
        <w:t>ation working for a sustainable future</w:t>
      </w:r>
      <w:r>
        <w:t>.</w:t>
      </w:r>
    </w:p>
  </w:footnote>
  <w:footnote w:id="13">
    <w:p w:rsidR="007735DF" w:rsidRPr="00206E0E" w:rsidRDefault="007735DF" w:rsidP="007735DF">
      <w:pPr>
        <w:pStyle w:val="FootnoteText"/>
        <w:rPr>
          <w:lang w:val="en-US"/>
        </w:rPr>
      </w:pPr>
      <w:r>
        <w:rPr>
          <w:rStyle w:val="FootnoteReference"/>
        </w:rPr>
        <w:footnoteRef/>
      </w:r>
      <w:r>
        <w:t xml:space="preserve"> </w:t>
      </w:r>
      <w:r>
        <w:rPr>
          <w:lang w:val="en-US"/>
        </w:rPr>
        <w:t>For every molecule of HFC-23 destroyed, three molecules of HF are generated according to the chemical reaction: 2CHF</w:t>
      </w:r>
      <w:r w:rsidRPr="00206E0E">
        <w:rPr>
          <w:vertAlign w:val="subscript"/>
          <w:lang w:val="en-US"/>
        </w:rPr>
        <w:t>3</w:t>
      </w:r>
      <w:r>
        <w:rPr>
          <w:lang w:val="en-US"/>
        </w:rPr>
        <w:t xml:space="preserve"> + 2CH</w:t>
      </w:r>
      <w:r w:rsidRPr="00206E0E">
        <w:rPr>
          <w:vertAlign w:val="subscript"/>
          <w:lang w:val="en-US"/>
        </w:rPr>
        <w:t>4</w:t>
      </w:r>
      <w:r>
        <w:rPr>
          <w:lang w:val="en-US"/>
        </w:rPr>
        <w:t xml:space="preserve"> + 7O</w:t>
      </w:r>
      <w:r w:rsidRPr="00206E0E">
        <w:rPr>
          <w:vertAlign w:val="subscript"/>
          <w:lang w:val="en-US"/>
        </w:rPr>
        <w:t>2</w:t>
      </w:r>
      <w:r>
        <w:rPr>
          <w:lang w:val="en-US"/>
        </w:rPr>
        <w:t xml:space="preserve"> → 6HF + 4CO</w:t>
      </w:r>
      <w:r w:rsidRPr="00206E0E">
        <w:rPr>
          <w:vertAlign w:val="subscript"/>
          <w:lang w:val="en-US"/>
        </w:rPr>
        <w:t>2</w:t>
      </w:r>
      <w:r>
        <w:rPr>
          <w:lang w:val="en-US"/>
        </w:rPr>
        <w:t xml:space="preserve"> + 2H</w:t>
      </w:r>
      <w:r w:rsidRPr="00206E0E">
        <w:rPr>
          <w:vertAlign w:val="subscript"/>
          <w:lang w:val="en-US"/>
        </w:rPr>
        <w:t>2</w:t>
      </w:r>
      <w:r>
        <w:rPr>
          <w:lang w:val="en-US"/>
        </w:rPr>
        <w:t>O + 2O</w:t>
      </w:r>
      <w:r w:rsidRPr="00206E0E">
        <w:rPr>
          <w:vertAlign w:val="subscript"/>
          <w:lang w:val="en-US"/>
        </w:rPr>
        <w:t>2</w:t>
      </w:r>
      <w:r>
        <w:rPr>
          <w:lang w:val="en-US"/>
        </w:rPr>
        <w:t>.</w:t>
      </w:r>
    </w:p>
  </w:footnote>
  <w:footnote w:id="14">
    <w:p w:rsidR="00D3756F" w:rsidRPr="001178A1" w:rsidRDefault="00D3756F" w:rsidP="00D3756F">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/63/42</w:t>
      </w:r>
    </w:p>
  </w:footnote>
  <w:footnote w:id="15">
    <w:p w:rsidR="00D3756F" w:rsidRPr="006C761C" w:rsidRDefault="00D3756F" w:rsidP="00D3756F">
      <w:pPr>
        <w:pStyle w:val="FootnoteText"/>
        <w:rPr>
          <w:lang w:val="en-US"/>
        </w:rPr>
      </w:pPr>
      <w:r>
        <w:rPr>
          <w:rStyle w:val="FootnoteReference"/>
        </w:rPr>
        <w:footnoteRef/>
      </w:r>
      <w:r>
        <w:t xml:space="preserve"> UNEP/</w:t>
      </w:r>
      <w:proofErr w:type="spellStart"/>
      <w:r>
        <w:t>OzL.Pro</w:t>
      </w:r>
      <w:proofErr w:type="spellEnd"/>
      <w:r>
        <w:t>/</w:t>
      </w:r>
      <w:proofErr w:type="spellStart"/>
      <w:r>
        <w:t>ExCom</w:t>
      </w:r>
      <w:proofErr w:type="spellEnd"/>
      <w:r>
        <w:t>/63/31</w:t>
      </w:r>
    </w:p>
  </w:footnote>
  <w:footnote w:id="16">
    <w:p w:rsidR="00D3756F" w:rsidRPr="00F60C28" w:rsidRDefault="00D3756F" w:rsidP="00D3756F">
      <w:pPr>
        <w:pStyle w:val="FootnoteText"/>
        <w:rPr>
          <w:lang w:val="en-US"/>
        </w:rPr>
      </w:pPr>
      <w:r>
        <w:rPr>
          <w:rStyle w:val="FootnoteReference"/>
        </w:rPr>
        <w:footnoteRef/>
      </w:r>
      <w:r>
        <w:t xml:space="preserve"> UNEP/</w:t>
      </w:r>
      <w:proofErr w:type="spellStart"/>
      <w:r>
        <w:t>OzL.Pro</w:t>
      </w:r>
      <w:proofErr w:type="spellEnd"/>
      <w:r>
        <w:t>/</w:t>
      </w:r>
      <w:proofErr w:type="spellStart"/>
      <w:r>
        <w:t>ExCom</w:t>
      </w:r>
      <w:proofErr w:type="spellEnd"/>
      <w:r>
        <w:t>/69/32</w:t>
      </w:r>
    </w:p>
  </w:footnote>
  <w:footnote w:id="17">
    <w:p w:rsidR="00D3756F" w:rsidRPr="00846DFC" w:rsidRDefault="00D3756F" w:rsidP="00D3756F">
      <w:pPr>
        <w:pStyle w:val="FootnoteText"/>
        <w:rPr>
          <w:lang w:val="en-US"/>
        </w:rPr>
      </w:pPr>
      <w:r>
        <w:rPr>
          <w:rStyle w:val="FootnoteReference"/>
        </w:rPr>
        <w:footnoteRef/>
      </w:r>
      <w:r>
        <w:t xml:space="preserve"> UNEP/</w:t>
      </w:r>
      <w:proofErr w:type="spellStart"/>
      <w:r>
        <w:t>OzL.Pro</w:t>
      </w:r>
      <w:proofErr w:type="spellEnd"/>
      <w:r>
        <w:t>/</w:t>
      </w:r>
      <w:proofErr w:type="spellStart"/>
      <w:r>
        <w:t>ExCom</w:t>
      </w:r>
      <w:proofErr w:type="spellEnd"/>
      <w:r>
        <w:t>/73/41</w:t>
      </w:r>
    </w:p>
  </w:footnote>
  <w:footnote w:id="18">
    <w:p w:rsidR="00D3756F" w:rsidRPr="006C761C" w:rsidRDefault="00D3756F" w:rsidP="00D3756F">
      <w:pPr>
        <w:pStyle w:val="FootnoteText"/>
        <w:rPr>
          <w:lang w:val="en-US"/>
        </w:rPr>
      </w:pPr>
      <w:r>
        <w:rPr>
          <w:rStyle w:val="FootnoteReference"/>
        </w:rPr>
        <w:footnoteRef/>
      </w:r>
      <w:r>
        <w:t xml:space="preserve"> </w:t>
      </w:r>
      <w:r w:rsidRPr="006C761C">
        <w:t>UNEP/</w:t>
      </w:r>
      <w:proofErr w:type="spellStart"/>
      <w:r w:rsidRPr="006C761C">
        <w:t>OzL.Pro</w:t>
      </w:r>
      <w:proofErr w:type="spellEnd"/>
      <w:r w:rsidRPr="006C761C">
        <w:t>/</w:t>
      </w:r>
      <w:proofErr w:type="spellStart"/>
      <w:r w:rsidRPr="006C761C">
        <w:t>ExCom</w:t>
      </w:r>
      <w:proofErr w:type="spellEnd"/>
      <w:r w:rsidRPr="006C761C">
        <w:t>/</w:t>
      </w:r>
      <w:r>
        <w:t>69/26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96A" w:rsidRPr="0033525D" w:rsidRDefault="002D31CD" w:rsidP="005819E9">
    <w:pPr>
      <w:jc w:val="right"/>
    </w:pPr>
    <w:r>
      <w:fldChar w:fldCharType="begin"/>
    </w:r>
    <w:r>
      <w:instrText xml:space="preserve"> DOCPROPERTY "Document number"  \* MERGEFORMAT </w:instrText>
    </w:r>
    <w:r>
      <w:fldChar w:fldCharType="separate"/>
    </w:r>
    <w:r w:rsidR="00E17C7B">
      <w:t>UNEP/</w:t>
    </w:r>
    <w:proofErr w:type="spellStart"/>
    <w:r w:rsidR="00E17C7B">
      <w:t>OzL.Pro</w:t>
    </w:r>
    <w:proofErr w:type="spellEnd"/>
    <w:r w:rsidR="00E17C7B">
      <w:t>/</w:t>
    </w:r>
    <w:proofErr w:type="spellStart"/>
    <w:r w:rsidR="00E17C7B">
      <w:t>ExCom</w:t>
    </w:r>
    <w:proofErr w:type="spellEnd"/>
    <w:r w:rsidR="00E17C7B">
      <w:t>/80/56</w:t>
    </w:r>
    <w:r>
      <w:fldChar w:fldCharType="end"/>
    </w:r>
  </w:p>
  <w:p w:rsidR="00D0596A" w:rsidRDefault="00D0596A"/>
  <w:p w:rsidR="005819E9" w:rsidRPr="0033525D" w:rsidRDefault="005819E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9E9" w:rsidRPr="0033525D" w:rsidRDefault="002D31CD" w:rsidP="005819E9">
    <w:r>
      <w:fldChar w:fldCharType="begin"/>
    </w:r>
    <w:r>
      <w:instrText xml:space="preserve"> DOCPROPERTY "Document number"  \* MERGEFORMAT </w:instrText>
    </w:r>
    <w:r>
      <w:fldChar w:fldCharType="separate"/>
    </w:r>
    <w:r w:rsidR="00E17C7B">
      <w:t>UNEP/</w:t>
    </w:r>
    <w:proofErr w:type="spellStart"/>
    <w:r w:rsidR="00E17C7B">
      <w:t>OzL.Pro</w:t>
    </w:r>
    <w:proofErr w:type="spellEnd"/>
    <w:r w:rsidR="00E17C7B">
      <w:t>/</w:t>
    </w:r>
    <w:proofErr w:type="spellStart"/>
    <w:r w:rsidR="00E17C7B">
      <w:t>ExCom</w:t>
    </w:r>
    <w:proofErr w:type="spellEnd"/>
    <w:r w:rsidR="00E17C7B">
      <w:t>/80/56</w:t>
    </w:r>
    <w:r>
      <w:fldChar w:fldCharType="end"/>
    </w:r>
  </w:p>
  <w:p w:rsidR="00D0596A" w:rsidRDefault="00D0596A">
    <w:pPr>
      <w:pStyle w:val="Header"/>
    </w:pPr>
  </w:p>
  <w:p w:rsidR="005819E9" w:rsidRPr="0033525D" w:rsidRDefault="005819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708" w:rsidRPr="0033525D" w:rsidRDefault="002D31CD">
    <w:r>
      <w:fldChar w:fldCharType="begin"/>
    </w:r>
    <w:r>
      <w:instrText xml:space="preserve"> DOCPROPERTY "Document number"  \* MERGEFORMAT </w:instrText>
    </w:r>
    <w:r>
      <w:fldChar w:fldCharType="separate"/>
    </w:r>
    <w:r w:rsidR="00E17C7B">
      <w:t>UNEP/</w:t>
    </w:r>
    <w:proofErr w:type="spellStart"/>
    <w:r w:rsidR="00E17C7B">
      <w:t>OzL.Pro</w:t>
    </w:r>
    <w:proofErr w:type="spellEnd"/>
    <w:r w:rsidR="00E17C7B">
      <w:t>/</w:t>
    </w:r>
    <w:proofErr w:type="spellStart"/>
    <w:r w:rsidR="00E17C7B">
      <w:t>ExCom</w:t>
    </w:r>
    <w:proofErr w:type="spellEnd"/>
    <w:r w:rsidR="00E17C7B">
      <w:t>/80/56</w:t>
    </w:r>
    <w:r>
      <w:fldChar w:fldCharType="end"/>
    </w:r>
  </w:p>
  <w:p w:rsidR="002C1708" w:rsidRPr="0033525D" w:rsidRDefault="002C1708" w:rsidP="002C1708">
    <w:pPr>
      <w:pStyle w:val="Header"/>
      <w:jc w:val="left"/>
    </w:pPr>
    <w:r>
      <w:t>Annex I</w:t>
    </w:r>
  </w:p>
  <w:p w:rsidR="002C1708" w:rsidRPr="0033525D" w:rsidRDefault="002C1708"/>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708" w:rsidRPr="0033525D" w:rsidRDefault="002D31CD" w:rsidP="007E78BD">
    <w:pPr>
      <w:jc w:val="right"/>
    </w:pPr>
    <w:r>
      <w:fldChar w:fldCharType="begin"/>
    </w:r>
    <w:r>
      <w:instrText xml:space="preserve"> DOCPROPERTY "Document number"  \* MERGEFORMAT </w:instrText>
    </w:r>
    <w:r>
      <w:fldChar w:fldCharType="separate"/>
    </w:r>
    <w:r w:rsidR="00E17C7B">
      <w:t>UNEP/</w:t>
    </w:r>
    <w:proofErr w:type="spellStart"/>
    <w:r w:rsidR="00E17C7B">
      <w:t>OzL.Pro</w:t>
    </w:r>
    <w:proofErr w:type="spellEnd"/>
    <w:r w:rsidR="00E17C7B">
      <w:t>/</w:t>
    </w:r>
    <w:proofErr w:type="spellStart"/>
    <w:r w:rsidR="00E17C7B">
      <w:t>ExCom</w:t>
    </w:r>
    <w:proofErr w:type="spellEnd"/>
    <w:r w:rsidR="00E17C7B">
      <w:t>/80/56</w:t>
    </w:r>
    <w:r>
      <w:fldChar w:fldCharType="end"/>
    </w:r>
  </w:p>
  <w:p w:rsidR="002C1708" w:rsidRPr="0033525D" w:rsidRDefault="002C1708" w:rsidP="002C1708">
    <w:pPr>
      <w:pStyle w:val="Header"/>
      <w:jc w:val="right"/>
    </w:pPr>
    <w:r>
      <w:t>Annex I</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4E6" w:rsidRPr="0033525D" w:rsidRDefault="006364E6">
    <w:r>
      <w:fldChar w:fldCharType="begin"/>
    </w:r>
    <w:r>
      <w:instrText xml:space="preserve"> DOCPROPERTY "Document number"  \* MERGEFORMAT </w:instrText>
    </w:r>
    <w:r>
      <w:fldChar w:fldCharType="separate"/>
    </w:r>
    <w:r w:rsidR="00E17C7B">
      <w:t>UNEP/</w:t>
    </w:r>
    <w:proofErr w:type="spellStart"/>
    <w:r w:rsidR="00E17C7B">
      <w:t>OzL.Pro</w:t>
    </w:r>
    <w:proofErr w:type="spellEnd"/>
    <w:r w:rsidR="00E17C7B">
      <w:t>/</w:t>
    </w:r>
    <w:proofErr w:type="spellStart"/>
    <w:r w:rsidR="00E17C7B">
      <w:t>ExCom</w:t>
    </w:r>
    <w:proofErr w:type="spellEnd"/>
    <w:r w:rsidR="00E17C7B">
      <w:t>/80/56</w:t>
    </w:r>
    <w:r>
      <w:fldChar w:fldCharType="end"/>
    </w:r>
  </w:p>
  <w:p w:rsidR="006364E6" w:rsidRPr="0033525D" w:rsidRDefault="006364E6" w:rsidP="002C1708">
    <w:pPr>
      <w:pStyle w:val="Header"/>
      <w:jc w:val="left"/>
    </w:pPr>
    <w:r>
      <w:t>Annex I</w:t>
    </w:r>
    <w:r w:rsidR="00E17C7B">
      <w:t>I</w:t>
    </w:r>
  </w:p>
  <w:p w:rsidR="006364E6" w:rsidRPr="0033525D" w:rsidRDefault="006364E6"/>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4E6" w:rsidRPr="0033525D" w:rsidRDefault="006364E6" w:rsidP="007E78BD">
    <w:pPr>
      <w:jc w:val="right"/>
    </w:pPr>
    <w:r>
      <w:fldChar w:fldCharType="begin"/>
    </w:r>
    <w:r>
      <w:instrText xml:space="preserve"> DOCPROPERTY "Document number"  \* MERGEFORMAT </w:instrText>
    </w:r>
    <w:r>
      <w:fldChar w:fldCharType="separate"/>
    </w:r>
    <w:r w:rsidR="00E17C7B">
      <w:t>UNEP/</w:t>
    </w:r>
    <w:proofErr w:type="spellStart"/>
    <w:r w:rsidR="00E17C7B">
      <w:t>OzL.Pro</w:t>
    </w:r>
    <w:proofErr w:type="spellEnd"/>
    <w:r w:rsidR="00E17C7B">
      <w:t>/</w:t>
    </w:r>
    <w:proofErr w:type="spellStart"/>
    <w:r w:rsidR="00E17C7B">
      <w:t>ExCom</w:t>
    </w:r>
    <w:proofErr w:type="spellEnd"/>
    <w:r w:rsidR="00E17C7B">
      <w:t>/80/56</w:t>
    </w:r>
    <w:r>
      <w:fldChar w:fldCharType="end"/>
    </w:r>
  </w:p>
  <w:p w:rsidR="006364E6" w:rsidRPr="0033525D" w:rsidRDefault="006364E6" w:rsidP="002C1708">
    <w:pPr>
      <w:pStyle w:val="Header"/>
      <w:jc w:val="right"/>
    </w:pPr>
    <w:r>
      <w:t>Annex II</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C0F8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ABA139F"/>
    <w:multiLevelType w:val="hybridMultilevel"/>
    <w:tmpl w:val="21424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844002A"/>
    <w:multiLevelType w:val="hybridMultilevel"/>
    <w:tmpl w:val="4D5C5476"/>
    <w:lvl w:ilvl="0" w:tplc="4DEA940A">
      <w:start w:val="1"/>
      <w:numFmt w:val="lowerLetter"/>
      <w:lvlText w:val="(%1)"/>
      <w:lvlJc w:val="left"/>
      <w:pPr>
        <w:ind w:left="2340" w:hanging="360"/>
      </w:pPr>
      <w:rPr>
        <w:rFonts w:hint="default"/>
      </w:rPr>
    </w:lvl>
    <w:lvl w:ilvl="1" w:tplc="4DEA940A">
      <w:start w:val="1"/>
      <w:numFmt w:val="lowerLetter"/>
      <w:lvlText w:val="(%2)"/>
      <w:lvlJc w:val="left"/>
      <w:pPr>
        <w:ind w:left="180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905D4F"/>
    <w:multiLevelType w:val="hybridMultilevel"/>
    <w:tmpl w:val="F4CE419A"/>
    <w:lvl w:ilvl="0" w:tplc="4DEA940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7BD7AFE"/>
    <w:multiLevelType w:val="hybridMultilevel"/>
    <w:tmpl w:val="F4CE419A"/>
    <w:lvl w:ilvl="0" w:tplc="4DEA940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75F17DC8"/>
    <w:multiLevelType w:val="hybridMultilevel"/>
    <w:tmpl w:val="B14C3324"/>
    <w:lvl w:ilvl="0" w:tplc="2FA8BF56">
      <w:start w:val="1"/>
      <w:numFmt w:val="lowerRoman"/>
      <w:lvlText w:val="(%1)"/>
      <w:lvlJc w:val="left"/>
      <w:pPr>
        <w:ind w:left="720" w:hanging="360"/>
      </w:pPr>
      <w:rPr>
        <w:rFonts w:hint="default"/>
      </w:rPr>
    </w:lvl>
    <w:lvl w:ilvl="1" w:tplc="5900D550">
      <w:start w:val="1"/>
      <w:numFmt w:val="lowerLetter"/>
      <w:lvlText w:val="%2."/>
      <w:lvlJc w:val="left"/>
      <w:pPr>
        <w:ind w:left="1440" w:hanging="360"/>
      </w:pPr>
      <w:rPr>
        <w:rFonts w:hint="default"/>
        <w:b/>
      </w:rPr>
    </w:lvl>
    <w:lvl w:ilvl="2" w:tplc="2FA8BF56">
      <w:start w:val="1"/>
      <w:numFmt w:val="lowerRoman"/>
      <w:lvlText w:val="(%3)"/>
      <w:lvlJc w:val="left"/>
      <w:pPr>
        <w:ind w:left="2160" w:hanging="18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20"/>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19"/>
  </w:num>
  <w:num w:numId="30">
    <w:abstractNumId w:val="10"/>
  </w:num>
  <w:num w:numId="31">
    <w:abstractNumId w:val="16"/>
  </w:num>
  <w:num w:numId="32">
    <w:abstractNumId w:val="10"/>
  </w:num>
  <w:num w:numId="33">
    <w:abstractNumId w:val="10"/>
  </w:num>
  <w:num w:numId="34">
    <w:abstractNumId w:val="10"/>
  </w:num>
  <w:num w:numId="35">
    <w:abstractNumId w:val="17"/>
  </w:num>
  <w:num w:numId="36">
    <w:abstractNumId w:val="10"/>
  </w:num>
  <w:num w:numId="37">
    <w:abstractNumId w:val="10"/>
  </w:num>
  <w:num w:numId="38">
    <w:abstractNumId w:val="18"/>
  </w:num>
  <w:num w:numId="39">
    <w:abstractNumId w:val="20"/>
    <w:lvlOverride w:ilvl="0">
      <w:startOverride w:val="1"/>
    </w:lvlOverride>
  </w:num>
  <w:num w:numId="40">
    <w:abstractNumId w:val="20"/>
    <w:lvlOverride w:ilvl="0">
      <w:startOverride w:val="1"/>
    </w:lvlOverride>
  </w:num>
  <w:num w:numId="41">
    <w:abstractNumId w:val="20"/>
    <w:lvlOverride w:ilvl="0">
      <w:startOverride w:val="1"/>
    </w:lvlOverride>
  </w:num>
  <w:num w:numId="42">
    <w:abstractNumId w:val="20"/>
    <w:lvlOverride w:ilvl="0">
      <w:startOverride w:val="1"/>
    </w:lvlOverride>
  </w:num>
  <w:num w:numId="43">
    <w:abstractNumId w:val="20"/>
    <w:lvlOverride w:ilvl="0">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num>
  <w:num w:numId="4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ctiveWritingStyle w:appName="MSWord" w:lang="es-AR" w:vendorID="64" w:dllVersion="131078" w:nlCheck="1" w:checkStyle="0"/>
  <w:activeWritingStyle w:appName="MSWord" w:lang="en-GB" w:vendorID="64" w:dllVersion="131078" w:nlCheck="1" w:checkStyle="1"/>
  <w:activeWritingStyle w:appName="MSWord" w:lang="en-CA" w:vendorID="64" w:dllVersion="131078" w:nlCheck="1" w:checkStyle="1"/>
  <w:activeWritingStyle w:appName="MSWord" w:lang="en-US" w:vendorID="64" w:dllVersion="131078" w:nlCheck="1" w:checkStyle="1"/>
  <w:activeWritingStyle w:appName="MSWord" w:lang="es-ES_tradnl" w:vendorID="64" w:dllVersion="131078"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B75FDD"/>
    <w:rsid w:val="00000FED"/>
    <w:rsid w:val="0000434E"/>
    <w:rsid w:val="00004618"/>
    <w:rsid w:val="00014E1B"/>
    <w:rsid w:val="00020A79"/>
    <w:rsid w:val="000211A9"/>
    <w:rsid w:val="000218AD"/>
    <w:rsid w:val="00031260"/>
    <w:rsid w:val="0003681A"/>
    <w:rsid w:val="00042645"/>
    <w:rsid w:val="000576B1"/>
    <w:rsid w:val="00061EC2"/>
    <w:rsid w:val="0006692C"/>
    <w:rsid w:val="00080ED0"/>
    <w:rsid w:val="000814EA"/>
    <w:rsid w:val="00082296"/>
    <w:rsid w:val="00083D10"/>
    <w:rsid w:val="00085B8F"/>
    <w:rsid w:val="00085D62"/>
    <w:rsid w:val="00090481"/>
    <w:rsid w:val="000A366E"/>
    <w:rsid w:val="000A6C26"/>
    <w:rsid w:val="000B4EC4"/>
    <w:rsid w:val="000D08BC"/>
    <w:rsid w:val="000E07BC"/>
    <w:rsid w:val="000F1CD4"/>
    <w:rsid w:val="000F4103"/>
    <w:rsid w:val="000F70A7"/>
    <w:rsid w:val="00120900"/>
    <w:rsid w:val="00122F25"/>
    <w:rsid w:val="0013388C"/>
    <w:rsid w:val="00135980"/>
    <w:rsid w:val="001431C1"/>
    <w:rsid w:val="0014581C"/>
    <w:rsid w:val="00164719"/>
    <w:rsid w:val="00166FC4"/>
    <w:rsid w:val="001677AC"/>
    <w:rsid w:val="001804EA"/>
    <w:rsid w:val="001907E3"/>
    <w:rsid w:val="00190A61"/>
    <w:rsid w:val="001A2589"/>
    <w:rsid w:val="001A3342"/>
    <w:rsid w:val="001A3E3D"/>
    <w:rsid w:val="001A41DA"/>
    <w:rsid w:val="001A7049"/>
    <w:rsid w:val="001B1E40"/>
    <w:rsid w:val="001C764E"/>
    <w:rsid w:val="001D332C"/>
    <w:rsid w:val="001D6563"/>
    <w:rsid w:val="001E1052"/>
    <w:rsid w:val="001E1F16"/>
    <w:rsid w:val="001E21B1"/>
    <w:rsid w:val="001E2F93"/>
    <w:rsid w:val="001E61E5"/>
    <w:rsid w:val="001F2159"/>
    <w:rsid w:val="00206E0E"/>
    <w:rsid w:val="00214863"/>
    <w:rsid w:val="002156B4"/>
    <w:rsid w:val="002331A6"/>
    <w:rsid w:val="00233577"/>
    <w:rsid w:val="00241EC3"/>
    <w:rsid w:val="00251BB3"/>
    <w:rsid w:val="00252893"/>
    <w:rsid w:val="00253222"/>
    <w:rsid w:val="00260BAC"/>
    <w:rsid w:val="00262847"/>
    <w:rsid w:val="00267A2A"/>
    <w:rsid w:val="00280006"/>
    <w:rsid w:val="00281BB2"/>
    <w:rsid w:val="00291756"/>
    <w:rsid w:val="002A3FF7"/>
    <w:rsid w:val="002B72E9"/>
    <w:rsid w:val="002B7F96"/>
    <w:rsid w:val="002C0A8C"/>
    <w:rsid w:val="002C1708"/>
    <w:rsid w:val="002C398F"/>
    <w:rsid w:val="002C7998"/>
    <w:rsid w:val="002D31CD"/>
    <w:rsid w:val="002D3F5C"/>
    <w:rsid w:val="002D5191"/>
    <w:rsid w:val="002E612B"/>
    <w:rsid w:val="002F1E53"/>
    <w:rsid w:val="002F2CAA"/>
    <w:rsid w:val="0030052C"/>
    <w:rsid w:val="00306D98"/>
    <w:rsid w:val="003100A4"/>
    <w:rsid w:val="003306E1"/>
    <w:rsid w:val="003320E4"/>
    <w:rsid w:val="0033525D"/>
    <w:rsid w:val="003414F3"/>
    <w:rsid w:val="003527A2"/>
    <w:rsid w:val="003541CF"/>
    <w:rsid w:val="0035613E"/>
    <w:rsid w:val="003601AB"/>
    <w:rsid w:val="003637F1"/>
    <w:rsid w:val="00363EE9"/>
    <w:rsid w:val="00370C7B"/>
    <w:rsid w:val="00374B5A"/>
    <w:rsid w:val="00376128"/>
    <w:rsid w:val="0037742E"/>
    <w:rsid w:val="00380824"/>
    <w:rsid w:val="0038245A"/>
    <w:rsid w:val="00385CFC"/>
    <w:rsid w:val="0039337A"/>
    <w:rsid w:val="003963D5"/>
    <w:rsid w:val="003A3189"/>
    <w:rsid w:val="003B33BD"/>
    <w:rsid w:val="003B569D"/>
    <w:rsid w:val="003B7A6F"/>
    <w:rsid w:val="003C00F5"/>
    <w:rsid w:val="003C3C0E"/>
    <w:rsid w:val="003D4FAC"/>
    <w:rsid w:val="003E7906"/>
    <w:rsid w:val="003F3C50"/>
    <w:rsid w:val="003F70C7"/>
    <w:rsid w:val="00402BFF"/>
    <w:rsid w:val="00406A6A"/>
    <w:rsid w:val="00406B22"/>
    <w:rsid w:val="004328A7"/>
    <w:rsid w:val="00434C74"/>
    <w:rsid w:val="00445460"/>
    <w:rsid w:val="00456EB4"/>
    <w:rsid w:val="004718F3"/>
    <w:rsid w:val="00475040"/>
    <w:rsid w:val="00486051"/>
    <w:rsid w:val="00493D40"/>
    <w:rsid w:val="004965E6"/>
    <w:rsid w:val="004967B6"/>
    <w:rsid w:val="004A504B"/>
    <w:rsid w:val="004A6911"/>
    <w:rsid w:val="004B4CC4"/>
    <w:rsid w:val="004B54E0"/>
    <w:rsid w:val="004B7384"/>
    <w:rsid w:val="004C2903"/>
    <w:rsid w:val="004C4269"/>
    <w:rsid w:val="004D5B55"/>
    <w:rsid w:val="004D6236"/>
    <w:rsid w:val="004D7D30"/>
    <w:rsid w:val="004E4DBB"/>
    <w:rsid w:val="004E4E41"/>
    <w:rsid w:val="004E7F9C"/>
    <w:rsid w:val="004F3493"/>
    <w:rsid w:val="004F5143"/>
    <w:rsid w:val="00506B9C"/>
    <w:rsid w:val="00512B09"/>
    <w:rsid w:val="0052640E"/>
    <w:rsid w:val="00526EAD"/>
    <w:rsid w:val="00531F79"/>
    <w:rsid w:val="005375BF"/>
    <w:rsid w:val="00555D75"/>
    <w:rsid w:val="00560DF0"/>
    <w:rsid w:val="0056759C"/>
    <w:rsid w:val="005819E9"/>
    <w:rsid w:val="0059453D"/>
    <w:rsid w:val="0059513E"/>
    <w:rsid w:val="005A2D70"/>
    <w:rsid w:val="005B008C"/>
    <w:rsid w:val="005B48FF"/>
    <w:rsid w:val="005E4DAA"/>
    <w:rsid w:val="005F2060"/>
    <w:rsid w:val="00604C15"/>
    <w:rsid w:val="006074FB"/>
    <w:rsid w:val="006158D5"/>
    <w:rsid w:val="0062022F"/>
    <w:rsid w:val="00621515"/>
    <w:rsid w:val="00625D83"/>
    <w:rsid w:val="006364E6"/>
    <w:rsid w:val="006470B5"/>
    <w:rsid w:val="0065375B"/>
    <w:rsid w:val="006623E7"/>
    <w:rsid w:val="00662B80"/>
    <w:rsid w:val="0066617F"/>
    <w:rsid w:val="00670F6C"/>
    <w:rsid w:val="00680863"/>
    <w:rsid w:val="00682575"/>
    <w:rsid w:val="006852C7"/>
    <w:rsid w:val="00686B65"/>
    <w:rsid w:val="006A0FF5"/>
    <w:rsid w:val="006A7823"/>
    <w:rsid w:val="006B6F2A"/>
    <w:rsid w:val="006C1727"/>
    <w:rsid w:val="006C20A2"/>
    <w:rsid w:val="006C32FD"/>
    <w:rsid w:val="006C39CE"/>
    <w:rsid w:val="006D0FCC"/>
    <w:rsid w:val="006E1FC3"/>
    <w:rsid w:val="006E297E"/>
    <w:rsid w:val="006E710E"/>
    <w:rsid w:val="006F6881"/>
    <w:rsid w:val="0070616B"/>
    <w:rsid w:val="00706FDA"/>
    <w:rsid w:val="00711F9A"/>
    <w:rsid w:val="00713810"/>
    <w:rsid w:val="007227C7"/>
    <w:rsid w:val="007303A5"/>
    <w:rsid w:val="00730B3E"/>
    <w:rsid w:val="00732945"/>
    <w:rsid w:val="0073420B"/>
    <w:rsid w:val="0074131F"/>
    <w:rsid w:val="00743176"/>
    <w:rsid w:val="0074760E"/>
    <w:rsid w:val="00754ABA"/>
    <w:rsid w:val="007564EF"/>
    <w:rsid w:val="007735DF"/>
    <w:rsid w:val="0079182B"/>
    <w:rsid w:val="007934DA"/>
    <w:rsid w:val="007A1546"/>
    <w:rsid w:val="007A228C"/>
    <w:rsid w:val="007A368E"/>
    <w:rsid w:val="007A507A"/>
    <w:rsid w:val="007A5868"/>
    <w:rsid w:val="007B04CE"/>
    <w:rsid w:val="007B6871"/>
    <w:rsid w:val="007B7A2F"/>
    <w:rsid w:val="007C11D4"/>
    <w:rsid w:val="007C3D33"/>
    <w:rsid w:val="007D294A"/>
    <w:rsid w:val="007D47D2"/>
    <w:rsid w:val="007D6EC0"/>
    <w:rsid w:val="007D7E1D"/>
    <w:rsid w:val="007E78BD"/>
    <w:rsid w:val="00804AB8"/>
    <w:rsid w:val="0081196F"/>
    <w:rsid w:val="0081488F"/>
    <w:rsid w:val="00831979"/>
    <w:rsid w:val="008430C5"/>
    <w:rsid w:val="00851352"/>
    <w:rsid w:val="0085252F"/>
    <w:rsid w:val="00863230"/>
    <w:rsid w:val="008717D8"/>
    <w:rsid w:val="0087215C"/>
    <w:rsid w:val="0087304D"/>
    <w:rsid w:val="00880DD8"/>
    <w:rsid w:val="008875FE"/>
    <w:rsid w:val="00887F8E"/>
    <w:rsid w:val="00896234"/>
    <w:rsid w:val="00897E43"/>
    <w:rsid w:val="008B0B56"/>
    <w:rsid w:val="008B159A"/>
    <w:rsid w:val="008C4C9E"/>
    <w:rsid w:val="008C5738"/>
    <w:rsid w:val="008C7EAD"/>
    <w:rsid w:val="008D0CFE"/>
    <w:rsid w:val="008D2EE1"/>
    <w:rsid w:val="008D6142"/>
    <w:rsid w:val="008D6152"/>
    <w:rsid w:val="008F0F81"/>
    <w:rsid w:val="008F27BF"/>
    <w:rsid w:val="008F6D9C"/>
    <w:rsid w:val="009142EC"/>
    <w:rsid w:val="009154C3"/>
    <w:rsid w:val="00923540"/>
    <w:rsid w:val="00926767"/>
    <w:rsid w:val="009361D5"/>
    <w:rsid w:val="00936D0F"/>
    <w:rsid w:val="009428A4"/>
    <w:rsid w:val="00955C53"/>
    <w:rsid w:val="00960E33"/>
    <w:rsid w:val="00963105"/>
    <w:rsid w:val="009659F4"/>
    <w:rsid w:val="00970D60"/>
    <w:rsid w:val="00972E3D"/>
    <w:rsid w:val="00974D22"/>
    <w:rsid w:val="009757C9"/>
    <w:rsid w:val="009960E5"/>
    <w:rsid w:val="009A7ADC"/>
    <w:rsid w:val="009B2C89"/>
    <w:rsid w:val="009C19B7"/>
    <w:rsid w:val="009D7C51"/>
    <w:rsid w:val="009E2E11"/>
    <w:rsid w:val="009F36BF"/>
    <w:rsid w:val="00A111B6"/>
    <w:rsid w:val="00A26D27"/>
    <w:rsid w:val="00A376EE"/>
    <w:rsid w:val="00A42A99"/>
    <w:rsid w:val="00A47A2A"/>
    <w:rsid w:val="00A5151A"/>
    <w:rsid w:val="00A57E0A"/>
    <w:rsid w:val="00A61A57"/>
    <w:rsid w:val="00A823F6"/>
    <w:rsid w:val="00A90D38"/>
    <w:rsid w:val="00A92279"/>
    <w:rsid w:val="00AA0A89"/>
    <w:rsid w:val="00AA6429"/>
    <w:rsid w:val="00AC01AA"/>
    <w:rsid w:val="00AC16AA"/>
    <w:rsid w:val="00AC1798"/>
    <w:rsid w:val="00AC33E3"/>
    <w:rsid w:val="00AC4F72"/>
    <w:rsid w:val="00AD48FA"/>
    <w:rsid w:val="00AD6912"/>
    <w:rsid w:val="00AF1E8E"/>
    <w:rsid w:val="00AF3F40"/>
    <w:rsid w:val="00AF741A"/>
    <w:rsid w:val="00B000A0"/>
    <w:rsid w:val="00B01ADB"/>
    <w:rsid w:val="00B04161"/>
    <w:rsid w:val="00B0454B"/>
    <w:rsid w:val="00B056F9"/>
    <w:rsid w:val="00B11E3D"/>
    <w:rsid w:val="00B17E82"/>
    <w:rsid w:val="00B3449D"/>
    <w:rsid w:val="00B35B08"/>
    <w:rsid w:val="00B36BB5"/>
    <w:rsid w:val="00B42EA6"/>
    <w:rsid w:val="00B4575A"/>
    <w:rsid w:val="00B5716A"/>
    <w:rsid w:val="00B575BA"/>
    <w:rsid w:val="00B6403A"/>
    <w:rsid w:val="00B6466F"/>
    <w:rsid w:val="00B70574"/>
    <w:rsid w:val="00B7277C"/>
    <w:rsid w:val="00B75FDD"/>
    <w:rsid w:val="00B76429"/>
    <w:rsid w:val="00B830BB"/>
    <w:rsid w:val="00B87B9D"/>
    <w:rsid w:val="00B956D4"/>
    <w:rsid w:val="00B97446"/>
    <w:rsid w:val="00BA7432"/>
    <w:rsid w:val="00BB6DB0"/>
    <w:rsid w:val="00BC1AA0"/>
    <w:rsid w:val="00BC2495"/>
    <w:rsid w:val="00BC7EB9"/>
    <w:rsid w:val="00BD1285"/>
    <w:rsid w:val="00BD2643"/>
    <w:rsid w:val="00BD3DDA"/>
    <w:rsid w:val="00BD56B1"/>
    <w:rsid w:val="00BD6558"/>
    <w:rsid w:val="00BD6EE4"/>
    <w:rsid w:val="00BF3022"/>
    <w:rsid w:val="00BF3214"/>
    <w:rsid w:val="00BF5573"/>
    <w:rsid w:val="00C00515"/>
    <w:rsid w:val="00C15867"/>
    <w:rsid w:val="00C2296D"/>
    <w:rsid w:val="00C23155"/>
    <w:rsid w:val="00C40C41"/>
    <w:rsid w:val="00C45885"/>
    <w:rsid w:val="00C50F22"/>
    <w:rsid w:val="00C53A13"/>
    <w:rsid w:val="00C57971"/>
    <w:rsid w:val="00C6299C"/>
    <w:rsid w:val="00C71928"/>
    <w:rsid w:val="00C76BA4"/>
    <w:rsid w:val="00C7769B"/>
    <w:rsid w:val="00C83A48"/>
    <w:rsid w:val="00C85865"/>
    <w:rsid w:val="00C85E85"/>
    <w:rsid w:val="00CA10FB"/>
    <w:rsid w:val="00CA2EAE"/>
    <w:rsid w:val="00CA4AC1"/>
    <w:rsid w:val="00CB0316"/>
    <w:rsid w:val="00CB0AC0"/>
    <w:rsid w:val="00CB0B11"/>
    <w:rsid w:val="00CB5354"/>
    <w:rsid w:val="00CC6A14"/>
    <w:rsid w:val="00CC70A3"/>
    <w:rsid w:val="00CD4442"/>
    <w:rsid w:val="00CD53C3"/>
    <w:rsid w:val="00CD574E"/>
    <w:rsid w:val="00CE4C22"/>
    <w:rsid w:val="00CF41EC"/>
    <w:rsid w:val="00CF5D04"/>
    <w:rsid w:val="00D00C1F"/>
    <w:rsid w:val="00D02F91"/>
    <w:rsid w:val="00D04DE4"/>
    <w:rsid w:val="00D0596A"/>
    <w:rsid w:val="00D063F1"/>
    <w:rsid w:val="00D14F22"/>
    <w:rsid w:val="00D16B2F"/>
    <w:rsid w:val="00D3148C"/>
    <w:rsid w:val="00D3756F"/>
    <w:rsid w:val="00D47408"/>
    <w:rsid w:val="00D57918"/>
    <w:rsid w:val="00D73DC6"/>
    <w:rsid w:val="00D74C1A"/>
    <w:rsid w:val="00D754C1"/>
    <w:rsid w:val="00D77393"/>
    <w:rsid w:val="00D77A35"/>
    <w:rsid w:val="00D81B3E"/>
    <w:rsid w:val="00D90C70"/>
    <w:rsid w:val="00D90E49"/>
    <w:rsid w:val="00D9554B"/>
    <w:rsid w:val="00D96ADE"/>
    <w:rsid w:val="00D9716B"/>
    <w:rsid w:val="00DA5E9D"/>
    <w:rsid w:val="00DB2F41"/>
    <w:rsid w:val="00DC202C"/>
    <w:rsid w:val="00DC4A5A"/>
    <w:rsid w:val="00DC6A10"/>
    <w:rsid w:val="00DD14DF"/>
    <w:rsid w:val="00DD1996"/>
    <w:rsid w:val="00DD2000"/>
    <w:rsid w:val="00DE657E"/>
    <w:rsid w:val="00DF2980"/>
    <w:rsid w:val="00DF4704"/>
    <w:rsid w:val="00E024AA"/>
    <w:rsid w:val="00E02D10"/>
    <w:rsid w:val="00E056A3"/>
    <w:rsid w:val="00E17C7B"/>
    <w:rsid w:val="00E250F1"/>
    <w:rsid w:val="00E3550D"/>
    <w:rsid w:val="00E40866"/>
    <w:rsid w:val="00E614E0"/>
    <w:rsid w:val="00E64E00"/>
    <w:rsid w:val="00E73F7F"/>
    <w:rsid w:val="00E7601A"/>
    <w:rsid w:val="00E81750"/>
    <w:rsid w:val="00E85165"/>
    <w:rsid w:val="00E85409"/>
    <w:rsid w:val="00E87FC4"/>
    <w:rsid w:val="00EA2D04"/>
    <w:rsid w:val="00EA429F"/>
    <w:rsid w:val="00EA4F9E"/>
    <w:rsid w:val="00EA63CA"/>
    <w:rsid w:val="00EA6D3B"/>
    <w:rsid w:val="00EB00AD"/>
    <w:rsid w:val="00EB136C"/>
    <w:rsid w:val="00EB194E"/>
    <w:rsid w:val="00EB233D"/>
    <w:rsid w:val="00EB480E"/>
    <w:rsid w:val="00EB5EC6"/>
    <w:rsid w:val="00EB7FC9"/>
    <w:rsid w:val="00EC28CC"/>
    <w:rsid w:val="00ED27E8"/>
    <w:rsid w:val="00ED7137"/>
    <w:rsid w:val="00EE31D0"/>
    <w:rsid w:val="00F06EDF"/>
    <w:rsid w:val="00F13951"/>
    <w:rsid w:val="00F21088"/>
    <w:rsid w:val="00F323E9"/>
    <w:rsid w:val="00F327E7"/>
    <w:rsid w:val="00F35746"/>
    <w:rsid w:val="00F447C7"/>
    <w:rsid w:val="00F47E0D"/>
    <w:rsid w:val="00F53ED6"/>
    <w:rsid w:val="00F553C8"/>
    <w:rsid w:val="00F554A9"/>
    <w:rsid w:val="00F716FD"/>
    <w:rsid w:val="00F80355"/>
    <w:rsid w:val="00F95561"/>
    <w:rsid w:val="00F97F3A"/>
    <w:rsid w:val="00FA4E8A"/>
    <w:rsid w:val="00FA6B8E"/>
    <w:rsid w:val="00FB0C81"/>
    <w:rsid w:val="00FB1F0D"/>
    <w:rsid w:val="00FC2200"/>
    <w:rsid w:val="00FC2540"/>
    <w:rsid w:val="00FD2393"/>
    <w:rsid w:val="00FE6378"/>
    <w:rsid w:val="00FF0204"/>
    <w:rsid w:val="00FF3AED"/>
    <w:rsid w:val="00FF7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26FA72"/>
  <w15:docId w15:val="{2498164B-8D67-47BF-9B00-02633F563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uiPriority w:val="9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75FDD"/>
    <w:rPr>
      <w:sz w:val="22"/>
      <w:szCs w:val="22"/>
      <w:lang w:val="en-GB"/>
    </w:rPr>
  </w:style>
  <w:style w:type="paragraph" w:styleId="FootnoteText">
    <w:name w:val="footnote text"/>
    <w:aliases w:val="Fußnotentextf"/>
    <w:basedOn w:val="Normal"/>
    <w:link w:val="FootnoteTextChar"/>
    <w:uiPriority w:val="99"/>
    <w:unhideWhenUsed/>
    <w:rsid w:val="00B75FDD"/>
    <w:rPr>
      <w:sz w:val="20"/>
      <w:szCs w:val="20"/>
    </w:rPr>
  </w:style>
  <w:style w:type="character" w:customStyle="1" w:styleId="FootnoteTextChar">
    <w:name w:val="Footnote Text Char"/>
    <w:aliases w:val="Fußnotentextf Char"/>
    <w:basedOn w:val="DefaultParagraphFont"/>
    <w:link w:val="FootnoteText"/>
    <w:uiPriority w:val="99"/>
    <w:rsid w:val="00B75FDD"/>
    <w:rPr>
      <w:lang w:val="en-GB"/>
    </w:rPr>
  </w:style>
  <w:style w:type="character" w:styleId="FootnoteReference">
    <w:name w:val="footnote reference"/>
    <w:aliases w:val="Footnote text"/>
    <w:basedOn w:val="DefaultParagraphFont"/>
    <w:uiPriority w:val="99"/>
    <w:unhideWhenUsed/>
    <w:rsid w:val="00B75FDD"/>
    <w:rPr>
      <w:vertAlign w:val="superscript"/>
    </w:rPr>
  </w:style>
  <w:style w:type="paragraph" w:styleId="ListBullet">
    <w:name w:val="List Bullet"/>
    <w:basedOn w:val="Normal"/>
    <w:autoRedefine/>
    <w:uiPriority w:val="99"/>
    <w:semiHidden/>
    <w:rsid w:val="00251BB3"/>
    <w:pPr>
      <w:tabs>
        <w:tab w:val="num" w:pos="360"/>
      </w:tabs>
      <w:ind w:left="360" w:hanging="360"/>
    </w:p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locked/>
    <w:rsid w:val="00251BB3"/>
    <w:rPr>
      <w:sz w:val="22"/>
      <w:szCs w:val="22"/>
      <w:lang w:val="en-GB"/>
    </w:rPr>
  </w:style>
  <w:style w:type="paragraph" w:styleId="ListParagraph">
    <w:name w:val="List Paragraph"/>
    <w:basedOn w:val="Normal"/>
    <w:uiPriority w:val="34"/>
    <w:qFormat/>
    <w:rsid w:val="004965E6"/>
    <w:pPr>
      <w:ind w:left="720"/>
      <w:contextualSpacing/>
    </w:pPr>
  </w:style>
  <w:style w:type="character" w:styleId="Hyperlink">
    <w:name w:val="Hyperlink"/>
    <w:basedOn w:val="DefaultParagraphFont"/>
    <w:uiPriority w:val="99"/>
    <w:unhideWhenUsed/>
    <w:rsid w:val="000576B1"/>
    <w:rPr>
      <w:color w:val="0000FF"/>
      <w:u w:val="single"/>
    </w:rPr>
  </w:style>
  <w:style w:type="character" w:customStyle="1" w:styleId="FooterChar">
    <w:name w:val="Footer Char"/>
    <w:basedOn w:val="DefaultParagraphFont"/>
    <w:link w:val="Footer"/>
    <w:uiPriority w:val="99"/>
    <w:rsid w:val="005819E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0045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cdm.unfccc.int/Projects/DB/DNV-CUK1166182519.48/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0022006E-0020-0052-6500-610064004F00">UNEP/OzL.Pro/ExCom/80/56</Document_x0020_number>
    <ContentTypeId xmlns="http://schemas.microsoft.com/sharepoint/v3">0x010100EDC4D3BE67EA81429E9CFCEF859CE76D</ContentTypeId>
    <TemplateUrl xmlns="http://schemas.microsoft.com/sharepoint/v3" xsi:nil="true"/>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Format xmlns="bb1c52ca-fecf-4d22-8415-84d57dc70178">Word</Format>
  </documentManagement>
</p:properties>
</file>

<file path=customXml/itemProps1.xml><?xml version="1.0" encoding="utf-8"?>
<ds:datastoreItem xmlns:ds="http://schemas.openxmlformats.org/officeDocument/2006/customXml" ds:itemID="{31456C7C-AED5-4FFD-8785-A64DB4357830}"/>
</file>

<file path=customXml/itemProps2.xml><?xml version="1.0" encoding="utf-8"?>
<ds:datastoreItem xmlns:ds="http://schemas.openxmlformats.org/officeDocument/2006/customXml" ds:itemID="{FFD960F3-2605-4C1B-80C4-281518B326DC}"/>
</file>

<file path=customXml/itemProps3.xml><?xml version="1.0" encoding="utf-8"?>
<ds:datastoreItem xmlns:ds="http://schemas.openxmlformats.org/officeDocument/2006/customXml" ds:itemID="{72DBFA8C-0A91-4A1D-BBF0-6C6F4835FE19}"/>
</file>

<file path=customXml/itemProps4.xml><?xml version="1.0" encoding="utf-8"?>
<ds:datastoreItem xmlns:ds="http://schemas.openxmlformats.org/officeDocument/2006/customXml" ds:itemID="{F9954BD7-2777-42ED-B701-89E4DC169BF9}"/>
</file>

<file path=docProps/app.xml><?xml version="1.0" encoding="utf-8"?>
<Properties xmlns="http://schemas.openxmlformats.org/officeDocument/2006/extended-properties" xmlns:vt="http://schemas.openxmlformats.org/officeDocument/2006/docPropsVTypes">
  <Template>Eec80G</Template>
  <TotalTime>15</TotalTime>
  <Pages>12</Pages>
  <Words>4159</Words>
  <Characters>23709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Key aspects related to HFC-23 by-product control technologies </vt:lpstr>
    </vt:vector>
  </TitlesOfParts>
  <Company>UNMFS</Company>
  <LinksUpToDate>false</LinksUpToDate>
  <CharactersWithSpaces>27813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by-product control technologies: Preliminary data to close HCFC-22 production swing plants </dc:title>
  <dc:subject/>
  <dc:creator>Eduardo Ganem</dc:creator>
  <cp:keywords/>
  <dc:description/>
  <cp:lastModifiedBy>Joel Pare-Julien</cp:lastModifiedBy>
  <cp:revision>4</cp:revision>
  <cp:lastPrinted>2017-10-13T21:43:00Z</cp:lastPrinted>
  <dcterms:created xsi:type="dcterms:W3CDTF">2017-10-13T21:19:00Z</dcterms:created>
  <dcterms:modified xsi:type="dcterms:W3CDTF">2017-10-13T21:50:00Z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UNEP/OzL.Pro/ExCom/80/56</vt:lpwstr>
  </property>
  <property fmtid="{D5CDD505-2E9C-101B-9397-08002B2CF9AE}" pid="3" name="Revision date">
    <vt:lpwstr>10/13/2017</vt:lpwstr>
  </property>
  <property fmtid="{D5CDD505-2E9C-101B-9397-08002B2CF9AE}" pid="4" name="Sort number">
    <vt:r8>4501</vt:r8>
  </property>
</Properties>
</file>