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557BB" w14:paraId="5E7DFE49" w14:textId="77777777" w:rsidTr="009036A6">
        <w:trPr>
          <w:trHeight w:val="720"/>
        </w:trPr>
        <w:tc>
          <w:tcPr>
            <w:tcW w:w="5490" w:type="dxa"/>
            <w:gridSpan w:val="2"/>
            <w:tcBorders>
              <w:bottom w:val="single" w:sz="18" w:space="0" w:color="auto"/>
            </w:tcBorders>
          </w:tcPr>
          <w:p w14:paraId="7A2F8965" w14:textId="77777777" w:rsidR="00C15867" w:rsidRPr="00A557BB" w:rsidRDefault="00C15867" w:rsidP="009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A557BB">
              <w:rPr>
                <w:rFonts w:ascii="Univers" w:hAnsi="Univers"/>
                <w:b/>
                <w:sz w:val="28"/>
                <w:szCs w:val="28"/>
                <w:lang w:val="fr-FR"/>
              </w:rPr>
              <w:t>NATIONS</w:t>
            </w:r>
            <w:r w:rsidRPr="00A557BB">
              <w:rPr>
                <w:rFonts w:ascii="Univers" w:hAnsi="Univers"/>
                <w:b/>
                <w:sz w:val="28"/>
                <w:szCs w:val="28"/>
                <w:lang w:val="fr-FR"/>
              </w:rPr>
              <w:br/>
              <w:t>UNIES</w:t>
            </w:r>
          </w:p>
        </w:tc>
        <w:tc>
          <w:tcPr>
            <w:tcW w:w="4590" w:type="dxa"/>
            <w:tcBorders>
              <w:bottom w:val="single" w:sz="18" w:space="0" w:color="auto"/>
            </w:tcBorders>
          </w:tcPr>
          <w:p w14:paraId="0CB6DE62" w14:textId="77777777" w:rsidR="00C15867" w:rsidRPr="00A557BB" w:rsidRDefault="00C15867" w:rsidP="009036A6">
            <w:pPr>
              <w:jc w:val="right"/>
              <w:rPr>
                <w:sz w:val="52"/>
                <w:szCs w:val="52"/>
                <w:lang w:val="fr-FR"/>
              </w:rPr>
            </w:pPr>
            <w:r w:rsidRPr="00A557BB">
              <w:rPr>
                <w:rFonts w:ascii="Univers Bold" w:hAnsi="Univers Bold"/>
                <w:b/>
                <w:sz w:val="72"/>
                <w:lang w:val="fr-FR"/>
              </w:rPr>
              <w:t>EP</w:t>
            </w:r>
          </w:p>
        </w:tc>
      </w:tr>
      <w:tr w:rsidR="00C15867" w:rsidRPr="00A557BB" w14:paraId="63C16ED0" w14:textId="77777777" w:rsidTr="0090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912890" w14:textId="77777777" w:rsidR="00C15867" w:rsidRPr="00A557BB" w:rsidRDefault="00DA0CE2" w:rsidP="009036A6">
            <w:pPr>
              <w:spacing w:before="120"/>
              <w:rPr>
                <w:lang w:val="fr-FR"/>
              </w:rPr>
            </w:pPr>
            <w:r w:rsidRPr="00A557BB">
              <w:rPr>
                <w:noProof/>
                <w:lang w:val="en-CA" w:eastAsia="en-CA"/>
              </w:rPr>
              <w:drawing>
                <wp:anchor distT="0" distB="0" distL="114300" distR="114300" simplePos="0" relativeHeight="251659264" behindDoc="0" locked="0" layoutInCell="1" allowOverlap="1" wp14:anchorId="50ED3765" wp14:editId="512F0D79">
                  <wp:simplePos x="0" y="0"/>
                  <wp:positionH relativeFrom="column">
                    <wp:posOffset>276561</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A557BB">
              <w:rPr>
                <w:noProof/>
                <w:lang w:val="en-CA" w:eastAsia="en-CA"/>
              </w:rPr>
              <w:drawing>
                <wp:anchor distT="0" distB="0" distL="114300" distR="114300" simplePos="0" relativeHeight="251660288" behindDoc="1" locked="0" layoutInCell="0" allowOverlap="1" wp14:anchorId="5094ADD2" wp14:editId="72DD226F">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23D7AEDA" w14:textId="77777777" w:rsidR="00D11B6F" w:rsidRDefault="00D11B6F" w:rsidP="009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35CDE153" w14:textId="7AE0F9AF" w:rsidR="00C15867" w:rsidRPr="00A557BB" w:rsidRDefault="00C15867" w:rsidP="009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A557BB">
              <w:rPr>
                <w:rFonts w:ascii="Univers" w:hAnsi="Univers"/>
                <w:b/>
                <w:sz w:val="32"/>
                <w:lang w:val="fr-FR"/>
              </w:rPr>
              <w:t>Programme des</w:t>
            </w:r>
          </w:p>
          <w:p w14:paraId="3649EBCB" w14:textId="77777777" w:rsidR="00C15867" w:rsidRPr="00A557BB" w:rsidRDefault="00C15867" w:rsidP="009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A557BB">
              <w:rPr>
                <w:rFonts w:ascii="Univers" w:hAnsi="Univers"/>
                <w:b/>
                <w:sz w:val="32"/>
                <w:lang w:val="fr-FR"/>
              </w:rPr>
              <w:t>Nations Unies pour</w:t>
            </w:r>
          </w:p>
          <w:p w14:paraId="4CE79EE4" w14:textId="77777777" w:rsidR="00C15867" w:rsidRPr="00A557BB" w:rsidRDefault="00C15867" w:rsidP="009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A557BB">
              <w:rPr>
                <w:rFonts w:ascii="Univers" w:hAnsi="Univers"/>
                <w:b/>
                <w:sz w:val="32"/>
                <w:lang w:val="fr-FR"/>
              </w:rPr>
              <w:t>l’environnement</w:t>
            </w:r>
          </w:p>
          <w:p w14:paraId="6CC769FE" w14:textId="77777777" w:rsidR="00C15867" w:rsidRPr="00A557BB" w:rsidRDefault="00C15867" w:rsidP="009036A6">
            <w:pPr>
              <w:spacing w:before="720"/>
              <w:ind w:left="158"/>
              <w:rPr>
                <w:lang w:val="fr-FR"/>
              </w:rPr>
            </w:pPr>
          </w:p>
        </w:tc>
        <w:tc>
          <w:tcPr>
            <w:tcW w:w="4590" w:type="dxa"/>
            <w:tcBorders>
              <w:top w:val="nil"/>
              <w:left w:val="nil"/>
              <w:bottom w:val="single" w:sz="36" w:space="0" w:color="auto"/>
              <w:right w:val="nil"/>
            </w:tcBorders>
          </w:tcPr>
          <w:p w14:paraId="57C8B630" w14:textId="77777777" w:rsidR="00D11B6F" w:rsidRDefault="00D11B6F" w:rsidP="009036A6">
            <w:pPr>
              <w:rPr>
                <w:lang w:val="fr-FR"/>
              </w:rPr>
            </w:pPr>
          </w:p>
          <w:p w14:paraId="393A14F5" w14:textId="563559F3" w:rsidR="00C15867" w:rsidRPr="00A557BB" w:rsidRDefault="00C15867" w:rsidP="009036A6">
            <w:pPr>
              <w:rPr>
                <w:lang w:val="fr-FR"/>
              </w:rPr>
            </w:pPr>
            <w:r w:rsidRPr="00A557BB">
              <w:rPr>
                <w:lang w:val="fr-FR"/>
              </w:rPr>
              <w:t>Distr.</w:t>
            </w:r>
          </w:p>
          <w:p w14:paraId="0442D333" w14:textId="77777777" w:rsidR="00923540" w:rsidRPr="00A557BB" w:rsidRDefault="00923540" w:rsidP="00923540">
            <w:pPr>
              <w:rPr>
                <w:lang w:val="fr-FR"/>
              </w:rPr>
            </w:pPr>
            <w:r w:rsidRPr="00A557BB">
              <w:rPr>
                <w:lang w:val="fr-FR"/>
              </w:rPr>
              <w:t>GÉNÉRALE</w:t>
            </w:r>
          </w:p>
          <w:p w14:paraId="12ACF6FD" w14:textId="77777777" w:rsidR="00C15867" w:rsidRPr="00A557BB" w:rsidRDefault="00C15867" w:rsidP="009036A6">
            <w:pPr>
              <w:rPr>
                <w:lang w:val="fr-FR"/>
              </w:rPr>
            </w:pPr>
          </w:p>
          <w:p w14:paraId="673D3F5B" w14:textId="2884C047" w:rsidR="00C15867" w:rsidRPr="00A557BB" w:rsidRDefault="00614272" w:rsidP="009036A6">
            <w:pPr>
              <w:rPr>
                <w:lang w:val="fr-FR"/>
              </w:rPr>
            </w:pPr>
            <w:r w:rsidRPr="00A557BB">
              <w:rPr>
                <w:lang w:val="fr-FR"/>
              </w:rPr>
              <w:fldChar w:fldCharType="begin"/>
            </w:r>
            <w:r w:rsidRPr="00A557BB">
              <w:rPr>
                <w:lang w:val="fr-FR"/>
              </w:rPr>
              <w:instrText xml:space="preserve"> DOCPROPERTY "Document number"  \* MERGEFORMAT </w:instrText>
            </w:r>
            <w:r w:rsidRPr="00A557BB">
              <w:rPr>
                <w:lang w:val="fr-FR"/>
              </w:rPr>
              <w:fldChar w:fldCharType="separate"/>
            </w:r>
            <w:r w:rsidR="004663AE">
              <w:rPr>
                <w:lang w:val="fr-FR"/>
              </w:rPr>
              <w:t>UNEP/OzL.Pro/ExCom/84/22</w:t>
            </w:r>
            <w:r w:rsidRPr="00A557BB">
              <w:rPr>
                <w:lang w:val="fr-FR"/>
              </w:rPr>
              <w:fldChar w:fldCharType="end"/>
            </w:r>
          </w:p>
          <w:p w14:paraId="33B478ED" w14:textId="77777777" w:rsidR="00C15867" w:rsidRPr="00A557BB" w:rsidRDefault="00BC2495" w:rsidP="009036A6">
            <w:pPr>
              <w:rPr>
                <w:lang w:val="fr-FR"/>
              </w:rPr>
            </w:pPr>
            <w:r w:rsidRPr="00A557BB">
              <w:rPr>
                <w:lang w:val="fr-FR"/>
              </w:rPr>
              <w:fldChar w:fldCharType="begin"/>
            </w:r>
            <w:r w:rsidR="00851352" w:rsidRPr="00A557BB">
              <w:rPr>
                <w:lang w:val="fr-FR"/>
              </w:rPr>
              <w:instrText xml:space="preserve"> DOCPROPERTY "Revision date" \@ "d MMMM YYYY"  \* MERGEFORMAT </w:instrText>
            </w:r>
            <w:r w:rsidRPr="00A557BB">
              <w:rPr>
                <w:lang w:val="fr-FR"/>
              </w:rPr>
              <w:fldChar w:fldCharType="separate"/>
            </w:r>
            <w:r w:rsidR="00BB56A5" w:rsidRPr="00A557BB">
              <w:rPr>
                <w:lang w:val="fr-FR"/>
              </w:rPr>
              <w:t xml:space="preserve">28 </w:t>
            </w:r>
            <w:r w:rsidR="002F5396" w:rsidRPr="00A557BB">
              <w:rPr>
                <w:lang w:val="fr-FR"/>
              </w:rPr>
              <w:t>novembre</w:t>
            </w:r>
            <w:r w:rsidR="00BB56A5" w:rsidRPr="00A557BB">
              <w:rPr>
                <w:lang w:val="fr-FR"/>
              </w:rPr>
              <w:t xml:space="preserve"> 2019</w:t>
            </w:r>
            <w:r w:rsidRPr="00A557BB">
              <w:rPr>
                <w:lang w:val="fr-FR"/>
              </w:rPr>
              <w:fldChar w:fldCharType="end"/>
            </w:r>
          </w:p>
          <w:p w14:paraId="2D8FE108" w14:textId="3D4AA97E" w:rsidR="00C15867" w:rsidRDefault="00C15867" w:rsidP="009036A6">
            <w:pPr>
              <w:rPr>
                <w:caps/>
                <w:lang w:val="fr-FR"/>
              </w:rPr>
            </w:pPr>
          </w:p>
          <w:p w14:paraId="74551273" w14:textId="254B20D0" w:rsidR="00D11B6F" w:rsidRPr="00A557BB" w:rsidRDefault="00D11B6F" w:rsidP="009036A6">
            <w:pPr>
              <w:rPr>
                <w:caps/>
                <w:lang w:val="fr-FR"/>
              </w:rPr>
            </w:pPr>
            <w:r>
              <w:rPr>
                <w:caps/>
                <w:lang w:val="fr-FR"/>
              </w:rPr>
              <w:t>FRANÇAIS</w:t>
            </w:r>
          </w:p>
          <w:p w14:paraId="03B8CDF2" w14:textId="77777777" w:rsidR="00C15867" w:rsidRPr="00A557BB" w:rsidRDefault="00C15867" w:rsidP="009036A6">
            <w:pPr>
              <w:rPr>
                <w:lang w:val="fr-FR"/>
              </w:rPr>
            </w:pPr>
            <w:r w:rsidRPr="00A557BB">
              <w:rPr>
                <w:lang w:val="fr-FR"/>
              </w:rPr>
              <w:t>ORIGINAL : ANGLAIS</w:t>
            </w:r>
          </w:p>
        </w:tc>
      </w:tr>
    </w:tbl>
    <w:p w14:paraId="0EC520B8" w14:textId="77777777" w:rsidR="00857077" w:rsidRPr="00A557BB" w:rsidRDefault="00C15867" w:rsidP="00857077">
      <w:pPr>
        <w:jc w:val="left"/>
        <w:rPr>
          <w:lang w:val="fr-FR"/>
        </w:rPr>
      </w:pPr>
      <w:r w:rsidRPr="00A557BB">
        <w:rPr>
          <w:lang w:val="fr-FR"/>
        </w:rPr>
        <w:t>COMITÉ EXÉCUTIF</w:t>
      </w:r>
      <w:r w:rsidRPr="00A557BB">
        <w:rPr>
          <w:lang w:val="fr-FR"/>
        </w:rPr>
        <w:br/>
        <w:t xml:space="preserve">  DU FONDS MULTILATÉRAL AUX FINS</w:t>
      </w:r>
      <w:r w:rsidRPr="00A557BB">
        <w:rPr>
          <w:lang w:val="fr-FR"/>
        </w:rPr>
        <w:br/>
        <w:t xml:space="preserve">  D’APPLICATION DU PROTOCOLE DE MONTRÉAL</w:t>
      </w:r>
      <w:r w:rsidRPr="00A557BB">
        <w:rPr>
          <w:lang w:val="fr-FR"/>
        </w:rPr>
        <w:br/>
        <w:t>Quatre-vingt-quatrième réunion</w:t>
      </w:r>
    </w:p>
    <w:p w14:paraId="3B84EFB0" w14:textId="77777777" w:rsidR="00857077" w:rsidRPr="00A557BB" w:rsidRDefault="00857077" w:rsidP="00857077">
      <w:pPr>
        <w:jc w:val="left"/>
        <w:rPr>
          <w:lang w:val="fr-FR"/>
        </w:rPr>
      </w:pPr>
      <w:r w:rsidRPr="00A557BB">
        <w:rPr>
          <w:lang w:val="fr-FR"/>
        </w:rPr>
        <w:t>Montréal, 16-20 décembre 2019</w:t>
      </w:r>
    </w:p>
    <w:p w14:paraId="75EBF94B" w14:textId="77777777" w:rsidR="00C15867" w:rsidRPr="00A557BB" w:rsidRDefault="00C15867" w:rsidP="00857077">
      <w:pPr>
        <w:jc w:val="left"/>
        <w:rPr>
          <w:lang w:val="fr-FR"/>
        </w:rPr>
      </w:pPr>
    </w:p>
    <w:p w14:paraId="1D8EF4B3" w14:textId="77777777" w:rsidR="00A25648" w:rsidRPr="00A557BB" w:rsidRDefault="00A25648" w:rsidP="00B642D3">
      <w:pPr>
        <w:rPr>
          <w:lang w:val="fr-FR"/>
        </w:rPr>
      </w:pPr>
    </w:p>
    <w:p w14:paraId="775089DA" w14:textId="77777777" w:rsidR="00D11B6F" w:rsidRDefault="00B642D3" w:rsidP="00DA0A94">
      <w:pPr>
        <w:pStyle w:val="Title1"/>
        <w:rPr>
          <w:lang w:val="fr-FR"/>
        </w:rPr>
      </w:pPr>
      <w:r w:rsidRPr="00A557BB">
        <w:rPr>
          <w:lang w:val="fr-FR"/>
        </w:rPr>
        <w:t>RAPPORT SUR LES PROJETS COM</w:t>
      </w:r>
      <w:r w:rsidR="00614272" w:rsidRPr="00A557BB">
        <w:rPr>
          <w:lang w:val="fr-FR"/>
        </w:rPr>
        <w:t>PORTANT DES EXIGENCES PARTICULIe</w:t>
      </w:r>
      <w:r w:rsidRPr="00A557BB">
        <w:rPr>
          <w:lang w:val="fr-FR"/>
        </w:rPr>
        <w:t xml:space="preserve">RES </w:t>
      </w:r>
    </w:p>
    <w:p w14:paraId="104E3E96" w14:textId="49590639" w:rsidR="00B642D3" w:rsidRPr="00A557BB" w:rsidRDefault="00B642D3" w:rsidP="00DA0A94">
      <w:pPr>
        <w:pStyle w:val="Title1"/>
        <w:rPr>
          <w:lang w:val="fr-FR"/>
        </w:rPr>
      </w:pPr>
      <w:r w:rsidRPr="00A557BB">
        <w:rPr>
          <w:lang w:val="fr-FR"/>
        </w:rPr>
        <w:t>POUR LA REMISE DES RAPPORTS</w:t>
      </w:r>
    </w:p>
    <w:p w14:paraId="24C3C5E1" w14:textId="5344B0E1" w:rsidR="00B642D3" w:rsidRDefault="00B642D3" w:rsidP="009036A6">
      <w:pPr>
        <w:pStyle w:val="Title1"/>
        <w:rPr>
          <w:lang w:val="fr-FR"/>
        </w:rPr>
      </w:pPr>
    </w:p>
    <w:p w14:paraId="0D429417" w14:textId="77777777" w:rsidR="00C41225" w:rsidRPr="00A557BB" w:rsidRDefault="00C41225" w:rsidP="009036A6">
      <w:pPr>
        <w:pStyle w:val="Title1"/>
        <w:rPr>
          <w:lang w:val="fr-FR"/>
        </w:rPr>
      </w:pPr>
    </w:p>
    <w:p w14:paraId="058B03DC" w14:textId="77777777" w:rsidR="00B642D3" w:rsidRPr="00A557BB" w:rsidRDefault="00B642D3" w:rsidP="00B642D3">
      <w:pPr>
        <w:pStyle w:val="Heading1"/>
        <w:tabs>
          <w:tab w:val="num" w:pos="710"/>
        </w:tabs>
        <w:rPr>
          <w:lang w:val="fr-FR"/>
        </w:rPr>
      </w:pPr>
      <w:r w:rsidRPr="00A557BB">
        <w:rPr>
          <w:lang w:val="fr-FR"/>
        </w:rPr>
        <w:t xml:space="preserve">Le présent document traite des questions soulevées à propos des projets et activités pour lesquels des rapports particuliers ont été demandés lors de réunions précédentes. </w:t>
      </w:r>
    </w:p>
    <w:p w14:paraId="411FCE76" w14:textId="77777777" w:rsidR="00A01B7A" w:rsidRPr="00A557BB" w:rsidRDefault="00716798" w:rsidP="00A01B7A">
      <w:pPr>
        <w:rPr>
          <w:u w:val="single"/>
          <w:lang w:val="fr-FR"/>
        </w:rPr>
      </w:pPr>
      <w:r w:rsidRPr="00A557BB">
        <w:rPr>
          <w:u w:val="single"/>
          <w:lang w:val="fr-FR"/>
        </w:rPr>
        <w:t>Manière dont le présent document est organisé</w:t>
      </w:r>
    </w:p>
    <w:p w14:paraId="7C405FE7" w14:textId="77777777" w:rsidR="00A01B7A" w:rsidRPr="00A557BB" w:rsidRDefault="00A01B7A" w:rsidP="00A01B7A">
      <w:pPr>
        <w:rPr>
          <w:lang w:val="fr-FR"/>
        </w:rPr>
      </w:pPr>
    </w:p>
    <w:p w14:paraId="4CAC155B" w14:textId="77777777" w:rsidR="002509B0" w:rsidRPr="00A557BB" w:rsidRDefault="002B3E51" w:rsidP="002B3E51">
      <w:pPr>
        <w:pStyle w:val="Heading1"/>
        <w:tabs>
          <w:tab w:val="num" w:pos="710"/>
        </w:tabs>
        <w:rPr>
          <w:lang w:val="fr-FR"/>
        </w:rPr>
      </w:pPr>
      <w:r w:rsidRPr="00A557BB">
        <w:rPr>
          <w:lang w:val="fr-FR"/>
        </w:rPr>
        <w:t>Le présent document contient des rapports demandés à titre obligatoire su</w:t>
      </w:r>
      <w:r w:rsidR="00614272" w:rsidRPr="00A557BB">
        <w:rPr>
          <w:lang w:val="fr-FR"/>
        </w:rPr>
        <w:t xml:space="preserve">r différents types de projets </w:t>
      </w:r>
      <w:r w:rsidRPr="00A557BB">
        <w:rPr>
          <w:lang w:val="fr-FR"/>
        </w:rPr>
        <w:t>(par exemple, les projets de démonstration faisant appel à des technologies de remplacement</w:t>
      </w:r>
      <w:r w:rsidR="00614272" w:rsidRPr="00A557BB">
        <w:rPr>
          <w:lang w:val="fr-FR"/>
        </w:rPr>
        <w:t xml:space="preserve"> </w:t>
      </w:r>
      <w:r w:rsidRPr="00A557BB">
        <w:rPr>
          <w:lang w:val="fr-FR"/>
        </w:rPr>
        <w:t xml:space="preserve">à faible potentiel de réchauffement </w:t>
      </w:r>
      <w:r w:rsidR="002F5396" w:rsidRPr="00A557BB">
        <w:rPr>
          <w:lang w:val="fr-FR"/>
        </w:rPr>
        <w:t>planétaire (PRP</w:t>
      </w:r>
      <w:r w:rsidRPr="00A557BB">
        <w:rPr>
          <w:lang w:val="fr-FR"/>
        </w:rPr>
        <w:t xml:space="preserve">), les projets de démonstration, la destruction des SAO résiduaires, les PGEH) traitant d'un large éventail de sujets (par exemple, le recours à titre temporaire d'une technologie à </w:t>
      </w:r>
      <w:r w:rsidR="002F5396" w:rsidRPr="00A557BB">
        <w:rPr>
          <w:lang w:val="fr-FR"/>
        </w:rPr>
        <w:t>fort</w:t>
      </w:r>
      <w:r w:rsidRPr="00A557BB">
        <w:rPr>
          <w:lang w:val="fr-FR"/>
        </w:rPr>
        <w:t xml:space="preserve"> PR</w:t>
      </w:r>
      <w:r w:rsidR="002F5396" w:rsidRPr="00A557BB">
        <w:rPr>
          <w:lang w:val="fr-FR"/>
        </w:rPr>
        <w:t>P</w:t>
      </w:r>
      <w:r w:rsidRPr="00A557BB">
        <w:rPr>
          <w:lang w:val="fr-FR"/>
        </w:rPr>
        <w:t xml:space="preserve">, les modifications d'agence d'exécution, les faibles niveaux d'exécution et les résultats des projets de démonstration) qui ont fait l'objet d'une demande de financement. </w:t>
      </w:r>
    </w:p>
    <w:p w14:paraId="00BC2864" w14:textId="77777777" w:rsidR="002509B0" w:rsidRPr="00A557BB" w:rsidRDefault="002509B0" w:rsidP="002509B0">
      <w:pPr>
        <w:pStyle w:val="Heading1"/>
        <w:rPr>
          <w:lang w:val="fr-FR"/>
        </w:rPr>
      </w:pPr>
      <w:r w:rsidRPr="00A557BB">
        <w:rPr>
          <w:lang w:val="fr-FR"/>
        </w:rPr>
        <w:t xml:space="preserve">En examinant chaque rapport sur les projets comportant des exigences de rendu de rapports spécifiques, le Secrétariat adopte la même approche rigoureuse que lorsqu'il examine les projets pour lesquels un financement est demandé. En conséquence, chaque rapport contient une brève description du contexte ou du projet, des progrès ou des résultats, les commentaires du Secrétariat et une recommandation pour examen par le Comité exécutif. </w:t>
      </w:r>
    </w:p>
    <w:p w14:paraId="4D66401F" w14:textId="77777777" w:rsidR="00560AD3" w:rsidRPr="00A557BB" w:rsidRDefault="00BB4DF2" w:rsidP="002509B0">
      <w:pPr>
        <w:pStyle w:val="Heading1"/>
        <w:rPr>
          <w:lang w:val="fr-FR"/>
        </w:rPr>
      </w:pPr>
      <w:r w:rsidRPr="00A557BB">
        <w:rPr>
          <w:lang w:val="fr-FR"/>
        </w:rPr>
        <w:t>Le Secrétariat note que, pour un grand nombre de rapports sur des projets comportant des exigences de rendu de rapports spécifiques, tous les problèmes ont été résolus de manière satisfaisante ou qu’il n’y</w:t>
      </w:r>
      <w:r w:rsidR="00614272" w:rsidRPr="00A557BB">
        <w:rPr>
          <w:lang w:val="fr-FR"/>
        </w:rPr>
        <w:t xml:space="preserve"> </w:t>
      </w:r>
      <w:r w:rsidRPr="00A557BB">
        <w:rPr>
          <w:lang w:val="fr-FR"/>
        </w:rPr>
        <w:t xml:space="preserve">a pas de problèmes ; dans ces cas, le Comité exécutif pourrait </w:t>
      </w:r>
      <w:r w:rsidR="00614272" w:rsidRPr="00A557BB">
        <w:rPr>
          <w:lang w:val="fr-FR"/>
        </w:rPr>
        <w:t xml:space="preserve">souhaiter </w:t>
      </w:r>
      <w:r w:rsidRPr="00A557BB">
        <w:rPr>
          <w:lang w:val="fr-FR"/>
        </w:rPr>
        <w:t>adopter toutes les recommandations associées à ces rapports sans qu'il soit nécessaire de les examiner individuellement lors de la réunion. Toutefois, le Comité exécutif pourrait souhaiter demander des éclaircissements supplémentaires sur l’un ou l'autre de ces rapports, auquel cas il serait examiné individuellement. Cette approche permettrait au Comité exécutif de disposer de plus de temps pour examiner d'autres points de l'ordre du jour</w:t>
      </w:r>
      <w:r w:rsidR="00560AD3" w:rsidRPr="00A557BB">
        <w:rPr>
          <w:i/>
          <w:lang w:val="fr-FR"/>
        </w:rPr>
        <w:t xml:space="preserve">, </w:t>
      </w:r>
      <w:r w:rsidR="00560AD3" w:rsidRPr="00A557BB">
        <w:rPr>
          <w:lang w:val="fr-FR"/>
        </w:rPr>
        <w:t>notamment ceux</w:t>
      </w:r>
      <w:r w:rsidRPr="00A557BB">
        <w:rPr>
          <w:lang w:val="fr-FR"/>
        </w:rPr>
        <w:t xml:space="preserve"> liés aux questions de politique générale.</w:t>
      </w:r>
    </w:p>
    <w:p w14:paraId="66B6BD27" w14:textId="77777777" w:rsidR="00716798" w:rsidRPr="00A557BB" w:rsidRDefault="00716798" w:rsidP="00D11B6F">
      <w:pPr>
        <w:pStyle w:val="Heading1"/>
        <w:keepNext/>
        <w:keepLines/>
        <w:widowControl w:val="0"/>
        <w:tabs>
          <w:tab w:val="num" w:pos="710"/>
        </w:tabs>
        <w:rPr>
          <w:lang w:val="fr-FR"/>
        </w:rPr>
      </w:pPr>
      <w:r w:rsidRPr="00A557BB">
        <w:rPr>
          <w:lang w:val="fr-FR"/>
        </w:rPr>
        <w:lastRenderedPageBreak/>
        <w:t xml:space="preserve">En conséquence, le Secrétariat a organisé le présent document en deux sections et deux addenda comme indiqué ci-après. </w:t>
      </w:r>
    </w:p>
    <w:p w14:paraId="0B8368F2" w14:textId="77777777" w:rsidR="00716798" w:rsidRPr="00A557BB" w:rsidRDefault="00431A56" w:rsidP="00716798">
      <w:pPr>
        <w:pStyle w:val="Heading2"/>
        <w:numPr>
          <w:ilvl w:val="0"/>
          <w:numId w:val="0"/>
        </w:numPr>
        <w:ind w:left="2160" w:hanging="1440"/>
        <w:rPr>
          <w:lang w:val="fr-FR"/>
        </w:rPr>
      </w:pPr>
      <w:r w:rsidRPr="00A557BB">
        <w:rPr>
          <w:lang w:val="fr-FR"/>
        </w:rPr>
        <w:t>Section I :</w:t>
      </w:r>
      <w:r w:rsidRPr="00A557BB">
        <w:rPr>
          <w:lang w:val="fr-FR"/>
        </w:rPr>
        <w:tab/>
      </w:r>
      <w:r w:rsidR="00614272" w:rsidRPr="00A557BB">
        <w:rPr>
          <w:lang w:val="fr-FR"/>
        </w:rPr>
        <w:t>R</w:t>
      </w:r>
      <w:r w:rsidRPr="00A557BB">
        <w:rPr>
          <w:lang w:val="fr-FR"/>
        </w:rPr>
        <w:t>apports portant sur les projets comportant des exigences de rendu de rapports spécifiques sans question de politique, de coût ou autre en suspens et pour lesquels le Comité exécutif pourrait souhaiter prendre une décision sur la base des recommandations du Secrétariat sans autre di</w:t>
      </w:r>
      <w:r w:rsidR="00614272" w:rsidRPr="00A557BB">
        <w:rPr>
          <w:lang w:val="fr-FR"/>
        </w:rPr>
        <w:t>scussion (« approbation globale »)</w:t>
      </w:r>
      <w:r w:rsidRPr="00A557BB">
        <w:rPr>
          <w:lang w:val="fr-FR"/>
        </w:rPr>
        <w:t>. Le rapport de la réunion du Comité exécutif présentera chaque rapport contenu dans cette section séparément, ainsi que la décision adoptée par le Comité.</w:t>
      </w:r>
    </w:p>
    <w:p w14:paraId="4B5DD558" w14:textId="77777777" w:rsidR="00245F2A" w:rsidRPr="00A557BB" w:rsidRDefault="00614272" w:rsidP="00716798">
      <w:pPr>
        <w:pStyle w:val="Heading2"/>
        <w:numPr>
          <w:ilvl w:val="0"/>
          <w:numId w:val="0"/>
        </w:numPr>
        <w:ind w:left="2160" w:hanging="1440"/>
        <w:rPr>
          <w:lang w:val="fr-FR"/>
        </w:rPr>
      </w:pPr>
      <w:r w:rsidRPr="00A557BB">
        <w:rPr>
          <w:lang w:val="fr-FR"/>
        </w:rPr>
        <w:t>Section II :</w:t>
      </w:r>
      <w:r w:rsidRPr="00A557BB">
        <w:rPr>
          <w:lang w:val="fr-FR"/>
        </w:rPr>
        <w:tab/>
        <w:t>R</w:t>
      </w:r>
      <w:r w:rsidR="00431A56" w:rsidRPr="00A557BB">
        <w:rPr>
          <w:lang w:val="fr-FR"/>
        </w:rPr>
        <w:t>apports sur les projets avec des exigences spécifiques en matière de rapport pour examen in</w:t>
      </w:r>
      <w:r w:rsidRPr="00A557BB">
        <w:rPr>
          <w:lang w:val="fr-FR"/>
        </w:rPr>
        <w:t>dividuel par le Comité exécutif.</w:t>
      </w:r>
    </w:p>
    <w:p w14:paraId="69CE6B1B" w14:textId="77777777" w:rsidR="007C014C" w:rsidRPr="00A557BB" w:rsidRDefault="00614272" w:rsidP="00716798">
      <w:pPr>
        <w:pStyle w:val="Heading2"/>
        <w:numPr>
          <w:ilvl w:val="0"/>
          <w:numId w:val="0"/>
        </w:numPr>
        <w:ind w:left="2160" w:hanging="1440"/>
        <w:rPr>
          <w:lang w:val="fr-FR"/>
        </w:rPr>
      </w:pPr>
      <w:r w:rsidRPr="00A557BB">
        <w:rPr>
          <w:lang w:val="fr-FR"/>
        </w:rPr>
        <w:t>Addendum 1</w:t>
      </w:r>
      <w:r w:rsidRPr="00A557BB">
        <w:rPr>
          <w:lang w:val="fr-FR"/>
        </w:rPr>
        <w:tab/>
        <w:t>R</w:t>
      </w:r>
      <w:r w:rsidR="007C014C" w:rsidRPr="00A557BB">
        <w:rPr>
          <w:lang w:val="fr-FR"/>
        </w:rPr>
        <w:t>apports traitant de la Chine</w:t>
      </w:r>
      <w:r w:rsidRPr="00A557BB">
        <w:rPr>
          <w:lang w:val="fr-FR"/>
        </w:rPr>
        <w:t>.</w:t>
      </w:r>
      <w:r w:rsidR="007C014C" w:rsidRPr="00A557BB">
        <w:rPr>
          <w:rStyle w:val="FootnoteReference"/>
          <w:lang w:val="fr-FR"/>
        </w:rPr>
        <w:footnoteReference w:id="1"/>
      </w:r>
    </w:p>
    <w:p w14:paraId="2EEFD85B" w14:textId="77777777" w:rsidR="00AA5AEF" w:rsidRPr="00A557BB" w:rsidRDefault="00614272" w:rsidP="00AA5AEF">
      <w:pPr>
        <w:pStyle w:val="Heading2"/>
        <w:numPr>
          <w:ilvl w:val="0"/>
          <w:numId w:val="0"/>
        </w:numPr>
        <w:ind w:left="2160" w:hanging="1440"/>
        <w:rPr>
          <w:lang w:val="fr-FR"/>
        </w:rPr>
      </w:pPr>
      <w:r w:rsidRPr="00A557BB">
        <w:rPr>
          <w:lang w:val="fr-FR"/>
        </w:rPr>
        <w:t>Addendum 2</w:t>
      </w:r>
      <w:r w:rsidRPr="00A557BB">
        <w:rPr>
          <w:lang w:val="fr-FR"/>
        </w:rPr>
        <w:tab/>
        <w:t>E</w:t>
      </w:r>
      <w:r w:rsidR="00AA5AEF" w:rsidRPr="00A557BB">
        <w:rPr>
          <w:lang w:val="fr-FR"/>
        </w:rPr>
        <w:t>tude sur la production de CTC en Chine et son utilisation pour les applications sous forme de matière première (reçue par le Secrétariat le 21 octobre 2019).</w:t>
      </w:r>
      <w:r w:rsidR="00AA5AEF" w:rsidRPr="00A557BB">
        <w:rPr>
          <w:rStyle w:val="FootnoteReference"/>
          <w:lang w:val="fr-FR"/>
        </w:rPr>
        <w:footnoteReference w:id="2"/>
      </w:r>
    </w:p>
    <w:p w14:paraId="424BE3F7" w14:textId="77777777" w:rsidR="000841CE" w:rsidRPr="00A557BB" w:rsidRDefault="000841CE" w:rsidP="000841CE">
      <w:pPr>
        <w:pStyle w:val="Heading1"/>
        <w:tabs>
          <w:tab w:val="num" w:pos="710"/>
        </w:tabs>
        <w:rPr>
          <w:lang w:val="fr-FR"/>
        </w:rPr>
      </w:pPr>
      <w:r w:rsidRPr="00A557BB">
        <w:rPr>
          <w:lang w:val="fr-FR"/>
        </w:rPr>
        <w:t>Le Tableau 1 fait la liste des rapports portant sur les projets comportant des exigences particulières</w:t>
      </w:r>
      <w:r w:rsidR="00614272" w:rsidRPr="00A557BB">
        <w:rPr>
          <w:lang w:val="fr-FR"/>
        </w:rPr>
        <w:t xml:space="preserve"> de remise de rapports soumis à la </w:t>
      </w:r>
      <w:r w:rsidRPr="00A557BB">
        <w:rPr>
          <w:lang w:val="fr-FR"/>
        </w:rPr>
        <w:t>84</w:t>
      </w:r>
      <w:r w:rsidRPr="00A557BB">
        <w:rPr>
          <w:vertAlign w:val="superscript"/>
          <w:lang w:val="fr-FR"/>
        </w:rPr>
        <w:t>e</w:t>
      </w:r>
      <w:r w:rsidRPr="00A557BB">
        <w:rPr>
          <w:lang w:val="fr-FR"/>
        </w:rPr>
        <w:t xml:space="preserve"> réunion pour approbation globale. </w:t>
      </w:r>
    </w:p>
    <w:p w14:paraId="74754A74" w14:textId="77777777" w:rsidR="00245F2A" w:rsidRPr="00A557BB" w:rsidRDefault="00245F2A" w:rsidP="00D11B6F">
      <w:pPr>
        <w:jc w:val="center"/>
        <w:rPr>
          <w:b/>
          <w:sz w:val="21"/>
          <w:szCs w:val="21"/>
          <w:lang w:val="fr-FR"/>
        </w:rPr>
      </w:pPr>
      <w:r w:rsidRPr="00A557BB">
        <w:rPr>
          <w:b/>
          <w:sz w:val="21"/>
          <w:szCs w:val="21"/>
          <w:lang w:val="fr-FR"/>
        </w:rPr>
        <w:t>Tableau 1. Rapport sur les projets comportant des exigences particulières de remise de rapports</w:t>
      </w:r>
    </w:p>
    <w:tbl>
      <w:tblPr>
        <w:tblW w:w="93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37"/>
        <w:gridCol w:w="6930"/>
        <w:gridCol w:w="1138"/>
      </w:tblGrid>
      <w:tr w:rsidR="0032104A" w:rsidRPr="00A557BB" w14:paraId="63D9EEF8" w14:textId="77777777" w:rsidTr="005017D1">
        <w:trPr>
          <w:tblHeader/>
        </w:trPr>
        <w:tc>
          <w:tcPr>
            <w:tcW w:w="1237" w:type="dxa"/>
            <w:tcMar>
              <w:top w:w="0" w:type="dxa"/>
              <w:left w:w="108" w:type="dxa"/>
              <w:bottom w:w="0" w:type="dxa"/>
              <w:right w:w="108" w:type="dxa"/>
            </w:tcMar>
            <w:hideMark/>
          </w:tcPr>
          <w:p w14:paraId="4F754794" w14:textId="77777777" w:rsidR="0032104A" w:rsidRDefault="0032104A" w:rsidP="00D11B6F">
            <w:pPr>
              <w:jc w:val="center"/>
              <w:rPr>
                <w:b/>
                <w:bCs/>
                <w:sz w:val="20"/>
                <w:szCs w:val="20"/>
                <w:lang w:val="fr-FR"/>
              </w:rPr>
            </w:pPr>
            <w:bookmarkStart w:id="0" w:name="OLE_LINK1"/>
            <w:r w:rsidRPr="00A557BB">
              <w:rPr>
                <w:b/>
                <w:bCs/>
                <w:sz w:val="20"/>
                <w:szCs w:val="20"/>
                <w:lang w:val="fr-FR"/>
              </w:rPr>
              <w:t>Pays</w:t>
            </w:r>
            <w:bookmarkEnd w:id="0"/>
          </w:p>
          <w:p w14:paraId="52B6282B" w14:textId="54B8C548" w:rsidR="00D11B6F" w:rsidRPr="00A557BB" w:rsidRDefault="00D11B6F" w:rsidP="00D11B6F">
            <w:pPr>
              <w:jc w:val="center"/>
              <w:rPr>
                <w:b/>
                <w:bCs/>
                <w:sz w:val="20"/>
                <w:szCs w:val="20"/>
                <w:lang w:val="fr-FR"/>
              </w:rPr>
            </w:pPr>
          </w:p>
        </w:tc>
        <w:tc>
          <w:tcPr>
            <w:tcW w:w="6930" w:type="dxa"/>
            <w:noWrap/>
            <w:tcMar>
              <w:top w:w="0" w:type="dxa"/>
              <w:left w:w="108" w:type="dxa"/>
              <w:bottom w:w="0" w:type="dxa"/>
              <w:right w:w="108" w:type="dxa"/>
            </w:tcMar>
            <w:hideMark/>
          </w:tcPr>
          <w:p w14:paraId="312FE658" w14:textId="77777777" w:rsidR="0032104A" w:rsidRPr="00A557BB" w:rsidRDefault="0032104A" w:rsidP="00D11B6F">
            <w:pPr>
              <w:jc w:val="center"/>
              <w:rPr>
                <w:b/>
                <w:bCs/>
                <w:sz w:val="20"/>
                <w:szCs w:val="20"/>
                <w:lang w:val="fr-FR"/>
              </w:rPr>
            </w:pPr>
            <w:r w:rsidRPr="00A557BB">
              <w:rPr>
                <w:b/>
                <w:bCs/>
                <w:sz w:val="20"/>
                <w:szCs w:val="20"/>
                <w:lang w:val="fr-FR"/>
              </w:rPr>
              <w:t>Titre du projet</w:t>
            </w:r>
          </w:p>
        </w:tc>
        <w:tc>
          <w:tcPr>
            <w:tcW w:w="1138" w:type="dxa"/>
            <w:hideMark/>
          </w:tcPr>
          <w:p w14:paraId="15A486F4" w14:textId="6B98D31D" w:rsidR="0032104A" w:rsidRPr="00A557BB" w:rsidRDefault="0032104A" w:rsidP="00D11B6F">
            <w:pPr>
              <w:jc w:val="center"/>
              <w:rPr>
                <w:b/>
                <w:bCs/>
                <w:sz w:val="20"/>
                <w:szCs w:val="20"/>
                <w:lang w:val="fr-FR"/>
              </w:rPr>
            </w:pPr>
            <w:r w:rsidRPr="00A557BB">
              <w:rPr>
                <w:b/>
                <w:bCs/>
                <w:sz w:val="20"/>
                <w:szCs w:val="20"/>
                <w:lang w:val="fr-FR"/>
              </w:rPr>
              <w:t>Alinéas</w:t>
            </w:r>
          </w:p>
        </w:tc>
      </w:tr>
      <w:tr w:rsidR="00A25648" w:rsidRPr="002221F7" w14:paraId="46886D05" w14:textId="77777777" w:rsidTr="005017D1">
        <w:tc>
          <w:tcPr>
            <w:tcW w:w="9305" w:type="dxa"/>
            <w:gridSpan w:val="3"/>
            <w:tcMar>
              <w:top w:w="0" w:type="dxa"/>
              <w:left w:w="108" w:type="dxa"/>
              <w:bottom w:w="0" w:type="dxa"/>
              <w:right w:w="108" w:type="dxa"/>
            </w:tcMar>
            <w:hideMark/>
          </w:tcPr>
          <w:p w14:paraId="3AB18001" w14:textId="77777777" w:rsidR="00A25648" w:rsidRPr="00A557BB" w:rsidRDefault="00A25648" w:rsidP="00EF2AC7">
            <w:pPr>
              <w:rPr>
                <w:b/>
                <w:bCs/>
                <w:sz w:val="20"/>
                <w:szCs w:val="20"/>
                <w:lang w:val="fr-FR"/>
              </w:rPr>
            </w:pPr>
            <w:r w:rsidRPr="00A557BB">
              <w:rPr>
                <w:b/>
                <w:bCs/>
                <w:sz w:val="20"/>
                <w:szCs w:val="20"/>
                <w:lang w:val="fr-FR"/>
              </w:rPr>
              <w:t>Projets de destruction des SAO résiduaires</w:t>
            </w:r>
          </w:p>
        </w:tc>
      </w:tr>
      <w:tr w:rsidR="00A25648" w:rsidRPr="00A557BB" w14:paraId="01056690" w14:textId="77777777" w:rsidTr="005017D1">
        <w:tc>
          <w:tcPr>
            <w:tcW w:w="1237" w:type="dxa"/>
            <w:tcMar>
              <w:top w:w="0" w:type="dxa"/>
              <w:left w:w="108" w:type="dxa"/>
              <w:bottom w:w="0" w:type="dxa"/>
              <w:right w:w="108" w:type="dxa"/>
            </w:tcMar>
            <w:hideMark/>
          </w:tcPr>
          <w:p w14:paraId="7ACB3DAB" w14:textId="77777777" w:rsidR="00A25648" w:rsidRPr="00A557BB" w:rsidRDefault="00A25648">
            <w:pPr>
              <w:rPr>
                <w:sz w:val="20"/>
                <w:szCs w:val="20"/>
                <w:lang w:val="fr-FR"/>
              </w:rPr>
            </w:pPr>
            <w:r w:rsidRPr="00A557BB">
              <w:rPr>
                <w:sz w:val="20"/>
                <w:szCs w:val="20"/>
                <w:lang w:val="fr-FR"/>
              </w:rPr>
              <w:t>Brésil</w:t>
            </w:r>
          </w:p>
        </w:tc>
        <w:tc>
          <w:tcPr>
            <w:tcW w:w="6930" w:type="dxa"/>
            <w:noWrap/>
            <w:tcMar>
              <w:top w:w="0" w:type="dxa"/>
              <w:left w:w="108" w:type="dxa"/>
              <w:bottom w:w="0" w:type="dxa"/>
              <w:right w:w="108" w:type="dxa"/>
            </w:tcMar>
            <w:hideMark/>
          </w:tcPr>
          <w:p w14:paraId="6209B5B1" w14:textId="77777777" w:rsidR="00A25648" w:rsidRPr="00A557BB" w:rsidRDefault="00A25648" w:rsidP="00EF2AC7">
            <w:pPr>
              <w:rPr>
                <w:sz w:val="20"/>
                <w:szCs w:val="20"/>
                <w:lang w:val="fr-FR"/>
              </w:rPr>
            </w:pPr>
            <w:r w:rsidRPr="00A557BB">
              <w:rPr>
                <w:sz w:val="20"/>
                <w:szCs w:val="20"/>
                <w:lang w:val="fr-FR"/>
              </w:rPr>
              <w:t>Projet pilote de démonstration sur la gestion et la destruction des SAO résiduaires : rapport final</w:t>
            </w:r>
          </w:p>
        </w:tc>
        <w:tc>
          <w:tcPr>
            <w:tcW w:w="1138" w:type="dxa"/>
          </w:tcPr>
          <w:p w14:paraId="298C28C9" w14:textId="77777777" w:rsidR="00A25648" w:rsidRPr="00A557BB" w:rsidRDefault="000F0023" w:rsidP="00445E81">
            <w:pPr>
              <w:jc w:val="center"/>
              <w:rPr>
                <w:sz w:val="20"/>
                <w:szCs w:val="20"/>
                <w:lang w:val="fr-FR"/>
              </w:rPr>
            </w:pPr>
            <w:r w:rsidRPr="00A557BB">
              <w:rPr>
                <w:sz w:val="20"/>
                <w:szCs w:val="20"/>
                <w:lang w:val="fr-FR"/>
              </w:rPr>
              <w:t>8-12</w:t>
            </w:r>
          </w:p>
        </w:tc>
      </w:tr>
      <w:tr w:rsidR="00A25648" w:rsidRPr="002221F7" w14:paraId="70E1F5FC" w14:textId="77777777" w:rsidTr="005017D1">
        <w:tc>
          <w:tcPr>
            <w:tcW w:w="9305" w:type="dxa"/>
            <w:gridSpan w:val="3"/>
            <w:tcMar>
              <w:top w:w="0" w:type="dxa"/>
              <w:left w:w="108" w:type="dxa"/>
              <w:bottom w:w="0" w:type="dxa"/>
              <w:right w:w="108" w:type="dxa"/>
            </w:tcMar>
            <w:hideMark/>
          </w:tcPr>
          <w:p w14:paraId="473C56FD" w14:textId="77777777" w:rsidR="00A25648" w:rsidRPr="00A557BB" w:rsidRDefault="00A25648" w:rsidP="00EF2AC7">
            <w:pPr>
              <w:rPr>
                <w:b/>
                <w:bCs/>
                <w:sz w:val="20"/>
                <w:szCs w:val="20"/>
                <w:lang w:val="fr-FR"/>
              </w:rPr>
            </w:pPr>
            <w:r w:rsidRPr="00A557BB">
              <w:rPr>
                <w:b/>
                <w:bCs/>
                <w:sz w:val="20"/>
                <w:szCs w:val="20"/>
                <w:lang w:val="fr-FR"/>
              </w:rPr>
              <w:t>Recours, à titre temporaire, à une technologie à fort PRP dans certains projets approuvés</w:t>
            </w:r>
          </w:p>
        </w:tc>
      </w:tr>
      <w:tr w:rsidR="00A25648" w:rsidRPr="00A557BB" w14:paraId="1410AA53" w14:textId="77777777" w:rsidTr="005017D1">
        <w:tc>
          <w:tcPr>
            <w:tcW w:w="1237" w:type="dxa"/>
            <w:tcMar>
              <w:top w:w="0" w:type="dxa"/>
              <w:left w:w="108" w:type="dxa"/>
              <w:bottom w:w="0" w:type="dxa"/>
              <w:right w:w="108" w:type="dxa"/>
            </w:tcMar>
            <w:hideMark/>
          </w:tcPr>
          <w:p w14:paraId="27A6B431" w14:textId="77777777" w:rsidR="00A25648" w:rsidRPr="00A557BB" w:rsidRDefault="00A25648">
            <w:pPr>
              <w:rPr>
                <w:sz w:val="20"/>
                <w:szCs w:val="20"/>
                <w:lang w:val="fr-FR"/>
              </w:rPr>
            </w:pPr>
            <w:r w:rsidRPr="00A557BB">
              <w:rPr>
                <w:sz w:val="20"/>
                <w:szCs w:val="20"/>
                <w:lang w:val="fr-FR"/>
              </w:rPr>
              <w:t>Cuba</w:t>
            </w:r>
          </w:p>
        </w:tc>
        <w:tc>
          <w:tcPr>
            <w:tcW w:w="6930" w:type="dxa"/>
            <w:noWrap/>
            <w:tcMar>
              <w:top w:w="0" w:type="dxa"/>
              <w:left w:w="108" w:type="dxa"/>
              <w:bottom w:w="0" w:type="dxa"/>
              <w:right w:w="108" w:type="dxa"/>
            </w:tcMar>
            <w:hideMark/>
          </w:tcPr>
          <w:p w14:paraId="415B8827" w14:textId="77777777" w:rsidR="00A25648" w:rsidRPr="00A557BB" w:rsidRDefault="00A25648" w:rsidP="009C4F9E">
            <w:pPr>
              <w:rPr>
                <w:sz w:val="20"/>
                <w:szCs w:val="20"/>
                <w:lang w:val="fr-FR"/>
              </w:rPr>
            </w:pPr>
            <w:r w:rsidRPr="00A557BB">
              <w:rPr>
                <w:sz w:val="20"/>
                <w:szCs w:val="20"/>
                <w:lang w:val="fr-FR"/>
              </w:rPr>
              <w:t xml:space="preserve">PGEH (phase I) : rapport de situation portant sur la </w:t>
            </w:r>
            <w:r w:rsidR="002F5396" w:rsidRPr="00A557BB">
              <w:rPr>
                <w:sz w:val="20"/>
                <w:szCs w:val="20"/>
                <w:lang w:val="fr-FR"/>
              </w:rPr>
              <w:t>reconversion</w:t>
            </w:r>
            <w:r w:rsidRPr="00A557BB">
              <w:rPr>
                <w:sz w:val="20"/>
                <w:szCs w:val="20"/>
                <w:lang w:val="fr-FR"/>
              </w:rPr>
              <w:t xml:space="preserve"> des entreprises FRIARC et IDA</w:t>
            </w:r>
          </w:p>
        </w:tc>
        <w:tc>
          <w:tcPr>
            <w:tcW w:w="1138" w:type="dxa"/>
          </w:tcPr>
          <w:p w14:paraId="6F831D87" w14:textId="77777777" w:rsidR="00A25648" w:rsidRPr="00A557BB" w:rsidRDefault="00A23C24" w:rsidP="00445E81">
            <w:pPr>
              <w:jc w:val="center"/>
              <w:rPr>
                <w:sz w:val="20"/>
                <w:szCs w:val="20"/>
                <w:lang w:val="fr-FR"/>
              </w:rPr>
            </w:pPr>
            <w:r w:rsidRPr="00A557BB">
              <w:rPr>
                <w:sz w:val="20"/>
                <w:szCs w:val="20"/>
                <w:lang w:val="fr-FR"/>
              </w:rPr>
              <w:t>13-20</w:t>
            </w:r>
          </w:p>
        </w:tc>
      </w:tr>
      <w:tr w:rsidR="00A25648" w:rsidRPr="00A557BB" w14:paraId="5E4319A9" w14:textId="77777777" w:rsidTr="005017D1">
        <w:tc>
          <w:tcPr>
            <w:tcW w:w="1237" w:type="dxa"/>
            <w:tcMar>
              <w:top w:w="0" w:type="dxa"/>
              <w:left w:w="108" w:type="dxa"/>
              <w:bottom w:w="0" w:type="dxa"/>
              <w:right w:w="108" w:type="dxa"/>
            </w:tcMar>
            <w:hideMark/>
          </w:tcPr>
          <w:p w14:paraId="5E62E361" w14:textId="77777777" w:rsidR="00A25648" w:rsidRPr="00A557BB" w:rsidRDefault="00A25648">
            <w:pPr>
              <w:rPr>
                <w:sz w:val="20"/>
                <w:szCs w:val="20"/>
                <w:lang w:val="fr-FR"/>
              </w:rPr>
            </w:pPr>
            <w:r w:rsidRPr="00A557BB">
              <w:rPr>
                <w:sz w:val="20"/>
                <w:szCs w:val="20"/>
                <w:lang w:val="fr-FR"/>
              </w:rPr>
              <w:t>Liban</w:t>
            </w:r>
          </w:p>
        </w:tc>
        <w:tc>
          <w:tcPr>
            <w:tcW w:w="6930" w:type="dxa"/>
            <w:noWrap/>
            <w:tcMar>
              <w:top w:w="0" w:type="dxa"/>
              <w:left w:w="108" w:type="dxa"/>
              <w:bottom w:w="0" w:type="dxa"/>
              <w:right w:w="108" w:type="dxa"/>
            </w:tcMar>
            <w:hideMark/>
          </w:tcPr>
          <w:p w14:paraId="12B9E70B" w14:textId="77777777" w:rsidR="00A25648" w:rsidRPr="00A557BB" w:rsidRDefault="00A25648" w:rsidP="009C4F9E">
            <w:pPr>
              <w:rPr>
                <w:sz w:val="20"/>
                <w:szCs w:val="20"/>
                <w:lang w:val="fr-FR"/>
              </w:rPr>
            </w:pPr>
            <w:r w:rsidRPr="00A557BB">
              <w:rPr>
                <w:sz w:val="20"/>
                <w:szCs w:val="20"/>
                <w:lang w:val="fr-FR"/>
              </w:rPr>
              <w:t xml:space="preserve">PGEH (phase II) : rapport de situation portant sur la </w:t>
            </w:r>
            <w:r w:rsidR="002F5396" w:rsidRPr="00A557BB">
              <w:rPr>
                <w:sz w:val="20"/>
                <w:szCs w:val="20"/>
                <w:lang w:val="fr-FR"/>
              </w:rPr>
              <w:t>reconversion</w:t>
            </w:r>
            <w:r w:rsidRPr="00A557BB">
              <w:rPr>
                <w:sz w:val="20"/>
                <w:szCs w:val="20"/>
                <w:lang w:val="fr-FR"/>
              </w:rPr>
              <w:t xml:space="preserve"> des entreprises bénéficiaires restantes dans les secteurs de la fabrication des mousses et de la climatisation</w:t>
            </w:r>
          </w:p>
        </w:tc>
        <w:tc>
          <w:tcPr>
            <w:tcW w:w="1138" w:type="dxa"/>
          </w:tcPr>
          <w:p w14:paraId="00E14C91" w14:textId="77777777" w:rsidR="00A25648" w:rsidRPr="00A557BB" w:rsidRDefault="00A23C24" w:rsidP="00445E81">
            <w:pPr>
              <w:jc w:val="center"/>
              <w:rPr>
                <w:sz w:val="20"/>
                <w:szCs w:val="20"/>
                <w:lang w:val="fr-FR"/>
              </w:rPr>
            </w:pPr>
            <w:r w:rsidRPr="00A557BB">
              <w:rPr>
                <w:sz w:val="20"/>
                <w:szCs w:val="20"/>
                <w:lang w:val="fr-FR"/>
              </w:rPr>
              <w:t>21-29</w:t>
            </w:r>
          </w:p>
        </w:tc>
      </w:tr>
      <w:tr w:rsidR="00A25648" w:rsidRPr="00A557BB" w14:paraId="57FEFB53" w14:textId="77777777" w:rsidTr="005017D1">
        <w:tc>
          <w:tcPr>
            <w:tcW w:w="9305" w:type="dxa"/>
            <w:gridSpan w:val="3"/>
            <w:tcMar>
              <w:top w:w="0" w:type="dxa"/>
              <w:left w:w="108" w:type="dxa"/>
              <w:bottom w:w="0" w:type="dxa"/>
              <w:right w:w="108" w:type="dxa"/>
            </w:tcMar>
            <w:hideMark/>
          </w:tcPr>
          <w:p w14:paraId="4F3C5112" w14:textId="77777777" w:rsidR="00A25648" w:rsidRPr="00A557BB" w:rsidRDefault="00A25648" w:rsidP="00EF2AC7">
            <w:pPr>
              <w:rPr>
                <w:b/>
                <w:bCs/>
                <w:sz w:val="20"/>
                <w:szCs w:val="20"/>
                <w:lang w:val="fr-FR"/>
              </w:rPr>
            </w:pPr>
            <w:r w:rsidRPr="00A557BB">
              <w:rPr>
                <w:b/>
                <w:bCs/>
                <w:sz w:val="20"/>
                <w:szCs w:val="20"/>
                <w:lang w:val="fr-FR"/>
              </w:rPr>
              <w:t>Rapports concernant les PGEH</w:t>
            </w:r>
          </w:p>
        </w:tc>
      </w:tr>
      <w:tr w:rsidR="00A25648" w:rsidRPr="00A557BB" w14:paraId="2ECCAD5B" w14:textId="77777777" w:rsidTr="005017D1">
        <w:tc>
          <w:tcPr>
            <w:tcW w:w="1237" w:type="dxa"/>
            <w:tcMar>
              <w:top w:w="0" w:type="dxa"/>
              <w:left w:w="108" w:type="dxa"/>
              <w:bottom w:w="0" w:type="dxa"/>
              <w:right w:w="108" w:type="dxa"/>
            </w:tcMar>
            <w:hideMark/>
          </w:tcPr>
          <w:p w14:paraId="6BFC8C8C" w14:textId="77777777" w:rsidR="00A25648" w:rsidRPr="00A557BB" w:rsidRDefault="00A25648">
            <w:pPr>
              <w:rPr>
                <w:sz w:val="20"/>
                <w:szCs w:val="20"/>
                <w:lang w:val="fr-FR"/>
              </w:rPr>
            </w:pPr>
            <w:r w:rsidRPr="00A557BB">
              <w:rPr>
                <w:sz w:val="20"/>
                <w:szCs w:val="20"/>
                <w:lang w:val="fr-FR"/>
              </w:rPr>
              <w:t>Bahamas</w:t>
            </w:r>
          </w:p>
        </w:tc>
        <w:tc>
          <w:tcPr>
            <w:tcW w:w="6930" w:type="dxa"/>
            <w:noWrap/>
            <w:tcMar>
              <w:top w:w="0" w:type="dxa"/>
              <w:left w:w="108" w:type="dxa"/>
              <w:bottom w:w="0" w:type="dxa"/>
              <w:right w:w="108" w:type="dxa"/>
            </w:tcMar>
            <w:hideMark/>
          </w:tcPr>
          <w:p w14:paraId="52A8B831" w14:textId="77777777" w:rsidR="00A25648" w:rsidRPr="00A557BB" w:rsidRDefault="00E11F19" w:rsidP="00DD2A73">
            <w:pPr>
              <w:rPr>
                <w:sz w:val="20"/>
                <w:szCs w:val="20"/>
                <w:lang w:val="fr-FR"/>
              </w:rPr>
            </w:pPr>
            <w:r w:rsidRPr="00A557BB">
              <w:rPr>
                <w:sz w:val="20"/>
                <w:szCs w:val="20"/>
                <w:lang w:val="fr-FR"/>
              </w:rPr>
              <w:t xml:space="preserve">PGEH (phase I): Mise à jour du rapport final sur les conclusions de l’étude visant à explorer les meilleures options disponibles pour le projet pilote d’évaluation, de suivi et de modernisation de deux systèmes de climatisation </w:t>
            </w:r>
            <w:r w:rsidRPr="00A557BB">
              <w:rPr>
                <w:sz w:val="20"/>
                <w:szCs w:val="20"/>
                <w:lang w:val="fr-FR"/>
              </w:rPr>
              <w:br/>
              <w:t>systèmes de climatisation</w:t>
            </w:r>
          </w:p>
        </w:tc>
        <w:tc>
          <w:tcPr>
            <w:tcW w:w="1138" w:type="dxa"/>
          </w:tcPr>
          <w:p w14:paraId="2DAF07D8" w14:textId="77777777" w:rsidR="00A25648" w:rsidRPr="00A557BB" w:rsidRDefault="00A23C24" w:rsidP="00445E81">
            <w:pPr>
              <w:jc w:val="center"/>
              <w:rPr>
                <w:sz w:val="20"/>
                <w:szCs w:val="20"/>
                <w:lang w:val="fr-FR"/>
              </w:rPr>
            </w:pPr>
            <w:r w:rsidRPr="00A557BB">
              <w:rPr>
                <w:sz w:val="20"/>
                <w:szCs w:val="20"/>
                <w:lang w:val="fr-FR"/>
              </w:rPr>
              <w:t>30-35</w:t>
            </w:r>
          </w:p>
        </w:tc>
      </w:tr>
      <w:tr w:rsidR="005E2454" w:rsidRPr="00A557BB" w14:paraId="1B5E0C15" w14:textId="77777777" w:rsidTr="005017D1">
        <w:tc>
          <w:tcPr>
            <w:tcW w:w="1237" w:type="dxa"/>
            <w:tcMar>
              <w:top w:w="0" w:type="dxa"/>
              <w:left w:w="108" w:type="dxa"/>
              <w:bottom w:w="0" w:type="dxa"/>
              <w:right w:w="108" w:type="dxa"/>
            </w:tcMar>
          </w:tcPr>
          <w:p w14:paraId="7D234543" w14:textId="77777777" w:rsidR="005E2454" w:rsidRPr="00A557BB" w:rsidRDefault="005E2454" w:rsidP="005E2454">
            <w:pPr>
              <w:rPr>
                <w:sz w:val="20"/>
                <w:szCs w:val="20"/>
                <w:lang w:val="fr-FR"/>
              </w:rPr>
            </w:pPr>
            <w:r w:rsidRPr="00A557BB">
              <w:rPr>
                <w:sz w:val="20"/>
                <w:szCs w:val="20"/>
                <w:lang w:val="fr-FR"/>
              </w:rPr>
              <w:t>Brésil</w:t>
            </w:r>
          </w:p>
        </w:tc>
        <w:tc>
          <w:tcPr>
            <w:tcW w:w="6930" w:type="dxa"/>
            <w:noWrap/>
            <w:tcMar>
              <w:top w:w="0" w:type="dxa"/>
              <w:left w:w="108" w:type="dxa"/>
              <w:bottom w:w="0" w:type="dxa"/>
              <w:right w:w="108" w:type="dxa"/>
            </w:tcMar>
          </w:tcPr>
          <w:p w14:paraId="4D2506F0" w14:textId="77777777" w:rsidR="005E2454" w:rsidRPr="00A557BB" w:rsidRDefault="005E2454" w:rsidP="00614272">
            <w:pPr>
              <w:rPr>
                <w:sz w:val="20"/>
                <w:szCs w:val="20"/>
                <w:lang w:val="fr-FR"/>
              </w:rPr>
            </w:pPr>
            <w:r w:rsidRPr="00A557BB">
              <w:rPr>
                <w:sz w:val="20"/>
                <w:szCs w:val="20"/>
                <w:lang w:val="fr-FR"/>
              </w:rPr>
              <w:t>PGEH (phase I) : rapport sur l’utilisation temporaire de technologies à fort PRP au sein</w:t>
            </w:r>
            <w:r w:rsidR="00614272" w:rsidRPr="00A557BB">
              <w:rPr>
                <w:sz w:val="20"/>
                <w:szCs w:val="20"/>
                <w:lang w:val="fr-FR"/>
              </w:rPr>
              <w:t xml:space="preserve"> de l’entreprise de formulation U-</w:t>
            </w:r>
            <w:r w:rsidRPr="00A557BB">
              <w:rPr>
                <w:sz w:val="20"/>
                <w:szCs w:val="20"/>
                <w:lang w:val="fr-FR"/>
              </w:rPr>
              <w:t xml:space="preserve">Tech Systems et rapport de suivi 2018-2019 </w:t>
            </w:r>
          </w:p>
        </w:tc>
        <w:tc>
          <w:tcPr>
            <w:tcW w:w="1138" w:type="dxa"/>
          </w:tcPr>
          <w:p w14:paraId="2087F8BC" w14:textId="77777777" w:rsidR="005E2454" w:rsidRPr="00A557BB" w:rsidRDefault="00A23C24" w:rsidP="00445E81">
            <w:pPr>
              <w:jc w:val="center"/>
              <w:rPr>
                <w:sz w:val="20"/>
                <w:szCs w:val="20"/>
                <w:lang w:val="fr-FR"/>
              </w:rPr>
            </w:pPr>
            <w:r w:rsidRPr="00A557BB">
              <w:rPr>
                <w:sz w:val="20"/>
                <w:szCs w:val="20"/>
                <w:lang w:val="fr-FR"/>
              </w:rPr>
              <w:t>36-58</w:t>
            </w:r>
          </w:p>
        </w:tc>
      </w:tr>
      <w:tr w:rsidR="005E2454" w:rsidRPr="00A557BB" w14:paraId="36C05559" w14:textId="77777777" w:rsidTr="005017D1">
        <w:tc>
          <w:tcPr>
            <w:tcW w:w="1237" w:type="dxa"/>
            <w:tcMar>
              <w:top w:w="0" w:type="dxa"/>
              <w:left w:w="108" w:type="dxa"/>
              <w:bottom w:w="0" w:type="dxa"/>
              <w:right w:w="108" w:type="dxa"/>
            </w:tcMar>
          </w:tcPr>
          <w:p w14:paraId="0202358F" w14:textId="77777777" w:rsidR="005E2454" w:rsidRPr="005017D1" w:rsidRDefault="005E2454" w:rsidP="005E2454">
            <w:pPr>
              <w:rPr>
                <w:sz w:val="20"/>
                <w:szCs w:val="20"/>
                <w:lang w:val="fr-FR"/>
              </w:rPr>
            </w:pPr>
            <w:r w:rsidRPr="00A557BB">
              <w:rPr>
                <w:sz w:val="20"/>
                <w:szCs w:val="20"/>
                <w:lang w:val="fr-FR"/>
              </w:rPr>
              <w:t>Brésil</w:t>
            </w:r>
          </w:p>
        </w:tc>
        <w:tc>
          <w:tcPr>
            <w:tcW w:w="6930" w:type="dxa"/>
            <w:noWrap/>
            <w:tcMar>
              <w:top w:w="0" w:type="dxa"/>
              <w:left w:w="108" w:type="dxa"/>
              <w:bottom w:w="0" w:type="dxa"/>
              <w:right w:w="108" w:type="dxa"/>
            </w:tcMar>
          </w:tcPr>
          <w:p w14:paraId="29CD5DB5" w14:textId="77777777" w:rsidR="005E2454" w:rsidRPr="005017D1" w:rsidRDefault="00651184" w:rsidP="00EF2AC7">
            <w:pPr>
              <w:rPr>
                <w:sz w:val="20"/>
                <w:szCs w:val="20"/>
                <w:lang w:val="fr-FR"/>
              </w:rPr>
            </w:pPr>
            <w:r w:rsidRPr="00A557BB">
              <w:rPr>
                <w:sz w:val="20"/>
                <w:szCs w:val="20"/>
                <w:lang w:val="fr-FR"/>
              </w:rPr>
              <w:t xml:space="preserve">PGEH (phase II): état d'avancement de la mise en œuvre des projets dans le </w:t>
            </w:r>
            <w:r w:rsidRPr="00A557BB">
              <w:rPr>
                <w:sz w:val="20"/>
                <w:szCs w:val="20"/>
                <w:lang w:val="fr-FR"/>
              </w:rPr>
              <w:br/>
              <w:t>secteur de la fabrication des climatiseurs de salle, auprès de l’entreprise Freeart Seral Brasil Metalurgica Ltda. dans le secteur de la fabrication d'équipements de réfrigération commerciale et changement de trois petites et moyennes entreprises (PME) concernées par l'assistance technique</w:t>
            </w:r>
          </w:p>
        </w:tc>
        <w:tc>
          <w:tcPr>
            <w:tcW w:w="1138" w:type="dxa"/>
          </w:tcPr>
          <w:p w14:paraId="4690A96B" w14:textId="77777777" w:rsidR="005E2454" w:rsidRPr="00A557BB" w:rsidRDefault="00A23C24" w:rsidP="00445E81">
            <w:pPr>
              <w:jc w:val="center"/>
              <w:rPr>
                <w:sz w:val="20"/>
                <w:szCs w:val="20"/>
                <w:lang w:val="fr-FR"/>
              </w:rPr>
            </w:pPr>
            <w:r w:rsidRPr="00A557BB">
              <w:rPr>
                <w:sz w:val="20"/>
                <w:szCs w:val="20"/>
                <w:lang w:val="fr-FR"/>
              </w:rPr>
              <w:t>59-68</w:t>
            </w:r>
          </w:p>
        </w:tc>
      </w:tr>
      <w:tr w:rsidR="005E2454" w:rsidRPr="00A557BB" w14:paraId="48423171" w14:textId="77777777" w:rsidTr="005017D1">
        <w:tc>
          <w:tcPr>
            <w:tcW w:w="1237" w:type="dxa"/>
            <w:tcMar>
              <w:top w:w="0" w:type="dxa"/>
              <w:left w:w="108" w:type="dxa"/>
              <w:bottom w:w="0" w:type="dxa"/>
              <w:right w:w="108" w:type="dxa"/>
            </w:tcMar>
            <w:hideMark/>
          </w:tcPr>
          <w:p w14:paraId="0B970B41" w14:textId="77777777" w:rsidR="005E2454" w:rsidRPr="00A557BB" w:rsidRDefault="005E2454" w:rsidP="005E2454">
            <w:pPr>
              <w:rPr>
                <w:sz w:val="20"/>
                <w:szCs w:val="20"/>
                <w:lang w:val="fr-FR"/>
              </w:rPr>
            </w:pPr>
            <w:r w:rsidRPr="00A557BB">
              <w:rPr>
                <w:sz w:val="20"/>
                <w:szCs w:val="20"/>
                <w:lang w:val="fr-FR"/>
              </w:rPr>
              <w:t>Guinée équatoriale</w:t>
            </w:r>
          </w:p>
        </w:tc>
        <w:tc>
          <w:tcPr>
            <w:tcW w:w="6930" w:type="dxa"/>
            <w:noWrap/>
            <w:tcMar>
              <w:top w:w="0" w:type="dxa"/>
              <w:left w:w="108" w:type="dxa"/>
              <w:bottom w:w="0" w:type="dxa"/>
              <w:right w:w="108" w:type="dxa"/>
            </w:tcMar>
            <w:hideMark/>
          </w:tcPr>
          <w:p w14:paraId="3C9780E0" w14:textId="77777777" w:rsidR="005E2454" w:rsidRPr="00A557BB" w:rsidRDefault="005E2454" w:rsidP="00651184">
            <w:pPr>
              <w:rPr>
                <w:sz w:val="20"/>
                <w:szCs w:val="20"/>
                <w:lang w:val="fr-FR"/>
              </w:rPr>
            </w:pPr>
            <w:r w:rsidRPr="00A557BB">
              <w:rPr>
                <w:sz w:val="20"/>
                <w:szCs w:val="20"/>
                <w:lang w:val="fr-FR"/>
              </w:rPr>
              <w:t>PGEH (phase I): Rapport d'avancement sur les tendances de consommation de HCFC et les progrès réalisés en ce qui concerne la mise en place d'un système d'octroi de permis et de quotas opérationnel, ainsi que le traitement des recommandations du rapport de vérification et l'assistance fournie par le programme d'aide à la conformité du PNUE</w:t>
            </w:r>
          </w:p>
        </w:tc>
        <w:tc>
          <w:tcPr>
            <w:tcW w:w="1138" w:type="dxa"/>
          </w:tcPr>
          <w:p w14:paraId="1B37D710" w14:textId="77777777" w:rsidR="005E2454" w:rsidRPr="00A557BB" w:rsidRDefault="00A23C24" w:rsidP="00445E81">
            <w:pPr>
              <w:jc w:val="center"/>
              <w:rPr>
                <w:sz w:val="20"/>
                <w:szCs w:val="20"/>
                <w:lang w:val="fr-FR"/>
              </w:rPr>
            </w:pPr>
            <w:r w:rsidRPr="00A557BB">
              <w:rPr>
                <w:sz w:val="20"/>
                <w:szCs w:val="20"/>
                <w:lang w:val="fr-FR"/>
              </w:rPr>
              <w:t>69-74</w:t>
            </w:r>
          </w:p>
        </w:tc>
      </w:tr>
      <w:tr w:rsidR="005E2454" w:rsidRPr="00A557BB" w14:paraId="63CACD17" w14:textId="77777777" w:rsidTr="005017D1">
        <w:tc>
          <w:tcPr>
            <w:tcW w:w="1237" w:type="dxa"/>
            <w:tcMar>
              <w:top w:w="0" w:type="dxa"/>
              <w:left w:w="108" w:type="dxa"/>
              <w:bottom w:w="0" w:type="dxa"/>
              <w:right w:w="108" w:type="dxa"/>
            </w:tcMar>
            <w:hideMark/>
          </w:tcPr>
          <w:p w14:paraId="2E6F9178" w14:textId="77777777" w:rsidR="005E2454" w:rsidRPr="00A557BB" w:rsidRDefault="005E2454" w:rsidP="005E2454">
            <w:pPr>
              <w:rPr>
                <w:sz w:val="20"/>
                <w:szCs w:val="20"/>
                <w:lang w:val="fr-FR"/>
              </w:rPr>
            </w:pPr>
            <w:r w:rsidRPr="00A557BB">
              <w:rPr>
                <w:sz w:val="20"/>
                <w:szCs w:val="20"/>
                <w:lang w:val="fr-FR"/>
              </w:rPr>
              <w:t>Honduras</w:t>
            </w:r>
          </w:p>
        </w:tc>
        <w:tc>
          <w:tcPr>
            <w:tcW w:w="6930" w:type="dxa"/>
            <w:noWrap/>
            <w:tcMar>
              <w:top w:w="0" w:type="dxa"/>
              <w:left w:w="108" w:type="dxa"/>
              <w:bottom w:w="0" w:type="dxa"/>
              <w:right w:w="108" w:type="dxa"/>
            </w:tcMar>
            <w:hideMark/>
          </w:tcPr>
          <w:p w14:paraId="092C8522" w14:textId="77777777" w:rsidR="005E2454" w:rsidRPr="00A557BB" w:rsidRDefault="005E2454" w:rsidP="00651184">
            <w:pPr>
              <w:rPr>
                <w:sz w:val="20"/>
                <w:szCs w:val="20"/>
                <w:lang w:val="fr-FR"/>
              </w:rPr>
            </w:pPr>
            <w:r w:rsidRPr="00A557BB">
              <w:rPr>
                <w:sz w:val="20"/>
                <w:szCs w:val="20"/>
                <w:lang w:val="fr-FR"/>
              </w:rPr>
              <w:t>PGEH (phase I) : rapport périodique sur toutes les activités dépendant des composantes du PNUE</w:t>
            </w:r>
          </w:p>
        </w:tc>
        <w:tc>
          <w:tcPr>
            <w:tcW w:w="1138" w:type="dxa"/>
          </w:tcPr>
          <w:p w14:paraId="0BFC2958" w14:textId="77777777" w:rsidR="005E2454" w:rsidRPr="00A557BB" w:rsidRDefault="00A23C24" w:rsidP="00445E81">
            <w:pPr>
              <w:jc w:val="center"/>
              <w:rPr>
                <w:sz w:val="20"/>
                <w:szCs w:val="20"/>
                <w:lang w:val="fr-FR"/>
              </w:rPr>
            </w:pPr>
            <w:r w:rsidRPr="00A557BB">
              <w:rPr>
                <w:sz w:val="20"/>
                <w:szCs w:val="20"/>
                <w:lang w:val="fr-FR"/>
              </w:rPr>
              <w:t>75-84</w:t>
            </w:r>
          </w:p>
        </w:tc>
      </w:tr>
      <w:tr w:rsidR="005E2454" w:rsidRPr="00A557BB" w14:paraId="41BEDA84" w14:textId="77777777" w:rsidTr="005017D1">
        <w:tc>
          <w:tcPr>
            <w:tcW w:w="1237" w:type="dxa"/>
            <w:tcMar>
              <w:top w:w="0" w:type="dxa"/>
              <w:left w:w="108" w:type="dxa"/>
              <w:bottom w:w="0" w:type="dxa"/>
              <w:right w:w="108" w:type="dxa"/>
            </w:tcMar>
            <w:hideMark/>
          </w:tcPr>
          <w:p w14:paraId="762AC711" w14:textId="77777777" w:rsidR="005E2454" w:rsidRPr="00A557BB" w:rsidRDefault="005E2454" w:rsidP="005E2454">
            <w:pPr>
              <w:rPr>
                <w:sz w:val="20"/>
                <w:szCs w:val="20"/>
                <w:lang w:val="fr-FR"/>
              </w:rPr>
            </w:pPr>
            <w:r w:rsidRPr="00A557BB">
              <w:rPr>
                <w:sz w:val="20"/>
                <w:szCs w:val="20"/>
                <w:lang w:val="fr-FR"/>
              </w:rPr>
              <w:lastRenderedPageBreak/>
              <w:t>Inde</w:t>
            </w:r>
          </w:p>
        </w:tc>
        <w:tc>
          <w:tcPr>
            <w:tcW w:w="6930" w:type="dxa"/>
            <w:noWrap/>
            <w:tcMar>
              <w:top w:w="0" w:type="dxa"/>
              <w:left w:w="108" w:type="dxa"/>
              <w:bottom w:w="0" w:type="dxa"/>
              <w:right w:w="108" w:type="dxa"/>
            </w:tcMar>
            <w:hideMark/>
          </w:tcPr>
          <w:p w14:paraId="6223BD9A" w14:textId="77777777" w:rsidR="005E2454" w:rsidRPr="00A557BB" w:rsidRDefault="005E2454" w:rsidP="00EF2AC7">
            <w:pPr>
              <w:rPr>
                <w:sz w:val="20"/>
                <w:szCs w:val="20"/>
                <w:lang w:val="fr-FR"/>
              </w:rPr>
            </w:pPr>
            <w:r w:rsidRPr="00A557BB">
              <w:rPr>
                <w:sz w:val="20"/>
                <w:szCs w:val="20"/>
                <w:lang w:val="fr-FR"/>
              </w:rPr>
              <w:t>PGEH (phase II): Mise à jour sur l'évaluation du respect de l'interdiction par les entreprises de fabrication de panneaux de mousse continue et liste des entreprises actives dans le secteur de la fabrication de mousse de polyuréthane</w:t>
            </w:r>
          </w:p>
        </w:tc>
        <w:tc>
          <w:tcPr>
            <w:tcW w:w="1138" w:type="dxa"/>
          </w:tcPr>
          <w:p w14:paraId="102DA27A" w14:textId="77777777" w:rsidR="005E2454" w:rsidRPr="00A557BB" w:rsidRDefault="00A23C24" w:rsidP="00445E81">
            <w:pPr>
              <w:jc w:val="center"/>
              <w:rPr>
                <w:sz w:val="20"/>
                <w:szCs w:val="20"/>
                <w:lang w:val="fr-FR"/>
              </w:rPr>
            </w:pPr>
            <w:r w:rsidRPr="00A557BB">
              <w:rPr>
                <w:sz w:val="20"/>
                <w:szCs w:val="20"/>
                <w:lang w:val="fr-FR"/>
              </w:rPr>
              <w:t>85-97</w:t>
            </w:r>
          </w:p>
        </w:tc>
      </w:tr>
      <w:tr w:rsidR="005E2454" w:rsidRPr="00A557BB" w14:paraId="763AEE90" w14:textId="77777777" w:rsidTr="005017D1">
        <w:tc>
          <w:tcPr>
            <w:tcW w:w="1237" w:type="dxa"/>
            <w:tcMar>
              <w:top w:w="0" w:type="dxa"/>
              <w:left w:w="108" w:type="dxa"/>
              <w:bottom w:w="0" w:type="dxa"/>
              <w:right w:w="108" w:type="dxa"/>
            </w:tcMar>
            <w:hideMark/>
          </w:tcPr>
          <w:p w14:paraId="51D1DCA2" w14:textId="77777777" w:rsidR="005E2454" w:rsidRPr="00A557BB" w:rsidRDefault="005E2454" w:rsidP="005E2454">
            <w:pPr>
              <w:rPr>
                <w:sz w:val="20"/>
                <w:szCs w:val="20"/>
                <w:lang w:val="fr-FR"/>
              </w:rPr>
            </w:pPr>
            <w:r w:rsidRPr="00A557BB">
              <w:rPr>
                <w:sz w:val="20"/>
                <w:szCs w:val="20"/>
                <w:lang w:val="fr-FR"/>
              </w:rPr>
              <w:t>Libye</w:t>
            </w:r>
          </w:p>
        </w:tc>
        <w:tc>
          <w:tcPr>
            <w:tcW w:w="6930" w:type="dxa"/>
            <w:noWrap/>
            <w:tcMar>
              <w:top w:w="0" w:type="dxa"/>
              <w:left w:w="108" w:type="dxa"/>
              <w:bottom w:w="0" w:type="dxa"/>
              <w:right w:w="108" w:type="dxa"/>
            </w:tcMar>
            <w:hideMark/>
          </w:tcPr>
          <w:p w14:paraId="7B0A1527" w14:textId="77777777" w:rsidR="005E2454" w:rsidRPr="00A557BB" w:rsidRDefault="005E2454" w:rsidP="00EF2AC7">
            <w:pPr>
              <w:rPr>
                <w:sz w:val="20"/>
                <w:szCs w:val="20"/>
                <w:lang w:val="fr-FR"/>
              </w:rPr>
            </w:pPr>
            <w:r w:rsidRPr="00A557BB">
              <w:rPr>
                <w:sz w:val="20"/>
                <w:szCs w:val="20"/>
                <w:lang w:val="fr-FR"/>
              </w:rPr>
              <w:t>PGEH (phase I) : rapport périodique</w:t>
            </w:r>
          </w:p>
        </w:tc>
        <w:tc>
          <w:tcPr>
            <w:tcW w:w="1138" w:type="dxa"/>
          </w:tcPr>
          <w:p w14:paraId="4CDA855C" w14:textId="77777777" w:rsidR="005E2454" w:rsidRPr="00A557BB" w:rsidRDefault="00A23C24" w:rsidP="00445E81">
            <w:pPr>
              <w:jc w:val="center"/>
              <w:rPr>
                <w:sz w:val="20"/>
                <w:szCs w:val="20"/>
                <w:lang w:val="fr-FR"/>
              </w:rPr>
            </w:pPr>
            <w:r w:rsidRPr="00A557BB">
              <w:rPr>
                <w:sz w:val="20"/>
                <w:szCs w:val="20"/>
                <w:lang w:val="fr-FR"/>
              </w:rPr>
              <w:t>98-111</w:t>
            </w:r>
          </w:p>
        </w:tc>
      </w:tr>
      <w:tr w:rsidR="005E2454" w:rsidRPr="00A557BB" w14:paraId="35699223" w14:textId="77777777" w:rsidTr="005017D1">
        <w:tc>
          <w:tcPr>
            <w:tcW w:w="1237" w:type="dxa"/>
            <w:tcMar>
              <w:top w:w="0" w:type="dxa"/>
              <w:left w:w="108" w:type="dxa"/>
              <w:bottom w:w="0" w:type="dxa"/>
              <w:right w:w="108" w:type="dxa"/>
            </w:tcMar>
            <w:hideMark/>
          </w:tcPr>
          <w:p w14:paraId="4DDF09D7" w14:textId="77777777" w:rsidR="005E2454" w:rsidRPr="00A557BB" w:rsidRDefault="005E2454" w:rsidP="005E2454">
            <w:pPr>
              <w:rPr>
                <w:sz w:val="20"/>
                <w:szCs w:val="20"/>
                <w:lang w:val="fr-FR"/>
              </w:rPr>
            </w:pPr>
            <w:r w:rsidRPr="00A557BB">
              <w:rPr>
                <w:sz w:val="20"/>
                <w:szCs w:val="20"/>
                <w:lang w:val="fr-FR"/>
              </w:rPr>
              <w:t>Maldives</w:t>
            </w:r>
          </w:p>
        </w:tc>
        <w:tc>
          <w:tcPr>
            <w:tcW w:w="6930" w:type="dxa"/>
            <w:noWrap/>
            <w:tcMar>
              <w:top w:w="0" w:type="dxa"/>
              <w:left w:w="108" w:type="dxa"/>
              <w:bottom w:w="0" w:type="dxa"/>
              <w:right w:w="108" w:type="dxa"/>
            </w:tcMar>
            <w:hideMark/>
          </w:tcPr>
          <w:p w14:paraId="00895CF1" w14:textId="77777777" w:rsidR="005E2454" w:rsidRPr="00A557BB" w:rsidRDefault="00E049F9" w:rsidP="00EF2AC7">
            <w:pPr>
              <w:rPr>
                <w:sz w:val="20"/>
                <w:szCs w:val="20"/>
                <w:lang w:val="fr-FR"/>
              </w:rPr>
            </w:pPr>
            <w:r w:rsidRPr="00A557BB">
              <w:rPr>
                <w:sz w:val="20"/>
                <w:szCs w:val="20"/>
                <w:lang w:val="fr-FR"/>
              </w:rPr>
              <w:t>PGEH (phase I) et projet de démonstration sur des solutions de remplacement sans HCFC et à faible PRP pour la réfrigération dans le secteur des pêches</w:t>
            </w:r>
          </w:p>
        </w:tc>
        <w:tc>
          <w:tcPr>
            <w:tcW w:w="1138" w:type="dxa"/>
          </w:tcPr>
          <w:p w14:paraId="30BF493E" w14:textId="77777777" w:rsidR="005E2454" w:rsidRPr="00A557BB" w:rsidRDefault="00A23C24" w:rsidP="00445E81">
            <w:pPr>
              <w:jc w:val="center"/>
              <w:rPr>
                <w:sz w:val="20"/>
                <w:szCs w:val="20"/>
                <w:lang w:val="fr-FR"/>
              </w:rPr>
            </w:pPr>
            <w:r w:rsidRPr="00A557BB">
              <w:rPr>
                <w:sz w:val="20"/>
                <w:szCs w:val="20"/>
                <w:lang w:val="fr-FR"/>
              </w:rPr>
              <w:t> 112-121</w:t>
            </w:r>
          </w:p>
        </w:tc>
      </w:tr>
      <w:tr w:rsidR="005E2454" w:rsidRPr="00A557BB" w14:paraId="4D36147D" w14:textId="77777777" w:rsidTr="005017D1">
        <w:tc>
          <w:tcPr>
            <w:tcW w:w="1237" w:type="dxa"/>
            <w:tcMar>
              <w:top w:w="0" w:type="dxa"/>
              <w:left w:w="108" w:type="dxa"/>
              <w:bottom w:w="0" w:type="dxa"/>
              <w:right w:w="108" w:type="dxa"/>
            </w:tcMar>
            <w:hideMark/>
          </w:tcPr>
          <w:p w14:paraId="2E181A0D" w14:textId="77777777" w:rsidR="005E2454" w:rsidRPr="00A557BB" w:rsidRDefault="005E2454" w:rsidP="005E2454">
            <w:pPr>
              <w:rPr>
                <w:sz w:val="20"/>
                <w:szCs w:val="20"/>
                <w:lang w:val="fr-FR"/>
              </w:rPr>
            </w:pPr>
            <w:r w:rsidRPr="00A557BB">
              <w:rPr>
                <w:sz w:val="20"/>
                <w:szCs w:val="20"/>
                <w:lang w:val="fr-FR"/>
              </w:rPr>
              <w:t>Mexique</w:t>
            </w:r>
          </w:p>
        </w:tc>
        <w:tc>
          <w:tcPr>
            <w:tcW w:w="6930" w:type="dxa"/>
            <w:noWrap/>
            <w:tcMar>
              <w:top w:w="0" w:type="dxa"/>
              <w:left w:w="108" w:type="dxa"/>
              <w:bottom w:w="0" w:type="dxa"/>
              <w:right w:w="108" w:type="dxa"/>
            </w:tcMar>
            <w:hideMark/>
          </w:tcPr>
          <w:p w14:paraId="6DAC31E5" w14:textId="77777777" w:rsidR="005E2454" w:rsidRPr="00A557BB" w:rsidRDefault="00E049F9" w:rsidP="00E049F9">
            <w:pPr>
              <w:rPr>
                <w:sz w:val="20"/>
                <w:szCs w:val="20"/>
                <w:lang w:val="fr-FR"/>
              </w:rPr>
            </w:pPr>
            <w:r w:rsidRPr="00A557BB">
              <w:rPr>
                <w:sz w:val="20"/>
                <w:szCs w:val="20"/>
                <w:lang w:val="fr-FR"/>
              </w:rPr>
              <w:t>PGEH (phase I) : rapport périodique</w:t>
            </w:r>
          </w:p>
        </w:tc>
        <w:tc>
          <w:tcPr>
            <w:tcW w:w="1138" w:type="dxa"/>
          </w:tcPr>
          <w:p w14:paraId="020321D8" w14:textId="77777777" w:rsidR="005E2454" w:rsidRPr="00A557BB" w:rsidRDefault="00A23C24" w:rsidP="00445E81">
            <w:pPr>
              <w:jc w:val="center"/>
              <w:rPr>
                <w:sz w:val="20"/>
                <w:szCs w:val="20"/>
                <w:lang w:val="fr-FR"/>
              </w:rPr>
            </w:pPr>
            <w:r w:rsidRPr="00A557BB">
              <w:rPr>
                <w:sz w:val="20"/>
                <w:szCs w:val="20"/>
                <w:lang w:val="fr-FR"/>
              </w:rPr>
              <w:t>122-136</w:t>
            </w:r>
          </w:p>
        </w:tc>
      </w:tr>
      <w:tr w:rsidR="005E2454" w:rsidRPr="00A557BB" w14:paraId="19A91E03" w14:textId="77777777" w:rsidTr="005017D1">
        <w:tc>
          <w:tcPr>
            <w:tcW w:w="1237" w:type="dxa"/>
            <w:tcMar>
              <w:top w:w="0" w:type="dxa"/>
              <w:left w:w="108" w:type="dxa"/>
              <w:bottom w:w="0" w:type="dxa"/>
              <w:right w:w="108" w:type="dxa"/>
            </w:tcMar>
            <w:hideMark/>
          </w:tcPr>
          <w:p w14:paraId="2EBCE205" w14:textId="77777777" w:rsidR="005E2454" w:rsidRPr="00A557BB" w:rsidRDefault="005E2454" w:rsidP="005E2454">
            <w:pPr>
              <w:rPr>
                <w:sz w:val="20"/>
                <w:szCs w:val="20"/>
                <w:lang w:val="fr-FR"/>
              </w:rPr>
            </w:pPr>
            <w:r w:rsidRPr="00A557BB">
              <w:rPr>
                <w:sz w:val="20"/>
                <w:szCs w:val="20"/>
                <w:lang w:val="fr-FR"/>
              </w:rPr>
              <w:t>Qatar</w:t>
            </w:r>
          </w:p>
        </w:tc>
        <w:tc>
          <w:tcPr>
            <w:tcW w:w="6930" w:type="dxa"/>
            <w:noWrap/>
            <w:tcMar>
              <w:top w:w="0" w:type="dxa"/>
              <w:left w:w="108" w:type="dxa"/>
              <w:bottom w:w="0" w:type="dxa"/>
              <w:right w:w="108" w:type="dxa"/>
            </w:tcMar>
            <w:hideMark/>
          </w:tcPr>
          <w:p w14:paraId="1F37A5CC" w14:textId="77777777" w:rsidR="005E2454" w:rsidRPr="00A557BB" w:rsidRDefault="005E2454" w:rsidP="00EF2AC7">
            <w:pPr>
              <w:rPr>
                <w:sz w:val="20"/>
                <w:szCs w:val="20"/>
                <w:lang w:val="fr-FR"/>
              </w:rPr>
            </w:pPr>
            <w:r w:rsidRPr="00A557BB">
              <w:rPr>
                <w:sz w:val="20"/>
                <w:szCs w:val="20"/>
                <w:lang w:val="fr-FR"/>
              </w:rPr>
              <w:t>PGEH (phase I) : rapport périodique final</w:t>
            </w:r>
          </w:p>
        </w:tc>
        <w:tc>
          <w:tcPr>
            <w:tcW w:w="1138" w:type="dxa"/>
          </w:tcPr>
          <w:p w14:paraId="34E03DA1" w14:textId="77777777" w:rsidR="005E2454" w:rsidRPr="00A557BB" w:rsidRDefault="00A23C24" w:rsidP="00A23C24">
            <w:pPr>
              <w:jc w:val="center"/>
              <w:rPr>
                <w:sz w:val="20"/>
                <w:szCs w:val="20"/>
                <w:lang w:val="fr-FR"/>
              </w:rPr>
            </w:pPr>
            <w:r w:rsidRPr="00A557BB">
              <w:rPr>
                <w:sz w:val="20"/>
                <w:szCs w:val="20"/>
                <w:lang w:val="fr-FR"/>
              </w:rPr>
              <w:t>137-140</w:t>
            </w:r>
          </w:p>
        </w:tc>
      </w:tr>
      <w:tr w:rsidR="005E2454" w:rsidRPr="00A557BB" w14:paraId="3E853714" w14:textId="77777777" w:rsidTr="005017D1">
        <w:tc>
          <w:tcPr>
            <w:tcW w:w="1237" w:type="dxa"/>
            <w:tcMar>
              <w:top w:w="0" w:type="dxa"/>
              <w:left w:w="108" w:type="dxa"/>
              <w:bottom w:w="0" w:type="dxa"/>
              <w:right w:w="108" w:type="dxa"/>
            </w:tcMar>
            <w:hideMark/>
          </w:tcPr>
          <w:p w14:paraId="07F10860" w14:textId="77777777" w:rsidR="005E2454" w:rsidRPr="00A557BB" w:rsidRDefault="005E2454" w:rsidP="005E2454">
            <w:pPr>
              <w:rPr>
                <w:sz w:val="20"/>
                <w:szCs w:val="20"/>
                <w:lang w:val="fr-FR"/>
              </w:rPr>
            </w:pPr>
            <w:r w:rsidRPr="00A557BB">
              <w:rPr>
                <w:sz w:val="20"/>
                <w:szCs w:val="20"/>
                <w:lang w:val="fr-FR"/>
              </w:rPr>
              <w:t xml:space="preserve">Uruguay </w:t>
            </w:r>
          </w:p>
        </w:tc>
        <w:tc>
          <w:tcPr>
            <w:tcW w:w="6930" w:type="dxa"/>
            <w:noWrap/>
            <w:tcMar>
              <w:top w:w="0" w:type="dxa"/>
              <w:left w:w="108" w:type="dxa"/>
              <w:bottom w:w="0" w:type="dxa"/>
              <w:right w:w="108" w:type="dxa"/>
            </w:tcMar>
            <w:hideMark/>
          </w:tcPr>
          <w:p w14:paraId="44DAEF97" w14:textId="77777777" w:rsidR="005E2454" w:rsidRPr="00A557BB" w:rsidRDefault="005E2454" w:rsidP="00EF2AC7">
            <w:pPr>
              <w:rPr>
                <w:sz w:val="20"/>
                <w:szCs w:val="20"/>
                <w:lang w:val="fr-FR"/>
              </w:rPr>
            </w:pPr>
            <w:r w:rsidRPr="00A557BB">
              <w:rPr>
                <w:sz w:val="20"/>
                <w:szCs w:val="20"/>
                <w:lang w:val="fr-FR"/>
              </w:rPr>
              <w:t xml:space="preserve">PGEH (phase II) : rapport périodique sur la mise en œuvre de la </w:t>
            </w:r>
            <w:r w:rsidR="002F5396" w:rsidRPr="00A557BB">
              <w:rPr>
                <w:sz w:val="20"/>
                <w:szCs w:val="20"/>
                <w:lang w:val="fr-FR"/>
              </w:rPr>
              <w:t>reconversion</w:t>
            </w:r>
            <w:r w:rsidRPr="00A557BB">
              <w:rPr>
                <w:sz w:val="20"/>
                <w:szCs w:val="20"/>
                <w:lang w:val="fr-FR"/>
              </w:rPr>
              <w:t xml:space="preserve"> des entreprises dans le secteur des mousses</w:t>
            </w:r>
          </w:p>
        </w:tc>
        <w:tc>
          <w:tcPr>
            <w:tcW w:w="1138" w:type="dxa"/>
          </w:tcPr>
          <w:p w14:paraId="1E264DD9" w14:textId="77777777" w:rsidR="005E2454" w:rsidRPr="00A557BB" w:rsidRDefault="00A23C24" w:rsidP="00445E81">
            <w:pPr>
              <w:jc w:val="center"/>
              <w:rPr>
                <w:sz w:val="20"/>
                <w:szCs w:val="20"/>
                <w:lang w:val="fr-FR"/>
              </w:rPr>
            </w:pPr>
            <w:r w:rsidRPr="00A557BB">
              <w:rPr>
                <w:sz w:val="20"/>
                <w:szCs w:val="20"/>
                <w:lang w:val="fr-FR"/>
              </w:rPr>
              <w:t>141-147</w:t>
            </w:r>
          </w:p>
        </w:tc>
      </w:tr>
      <w:tr w:rsidR="005E2454" w:rsidRPr="002221F7" w14:paraId="41EE707C" w14:textId="77777777" w:rsidTr="005017D1">
        <w:tc>
          <w:tcPr>
            <w:tcW w:w="9305" w:type="dxa"/>
            <w:gridSpan w:val="3"/>
            <w:tcMar>
              <w:top w:w="0" w:type="dxa"/>
              <w:left w:w="108" w:type="dxa"/>
              <w:bottom w:w="0" w:type="dxa"/>
              <w:right w:w="108" w:type="dxa"/>
            </w:tcMar>
            <w:hideMark/>
          </w:tcPr>
          <w:p w14:paraId="179ECB6A" w14:textId="77777777" w:rsidR="005E2454" w:rsidRPr="00A557BB" w:rsidRDefault="005E2454" w:rsidP="00EF2AC7">
            <w:pPr>
              <w:keepNext/>
              <w:rPr>
                <w:b/>
                <w:bCs/>
                <w:sz w:val="20"/>
                <w:szCs w:val="20"/>
                <w:lang w:val="fr-FR"/>
              </w:rPr>
            </w:pPr>
            <w:r w:rsidRPr="00A557BB">
              <w:rPr>
                <w:b/>
                <w:bCs/>
                <w:sz w:val="20"/>
                <w:szCs w:val="20"/>
                <w:lang w:val="fr-FR"/>
              </w:rPr>
              <w:t>Projets de démonstration sur des solutions de remplacement à faible PRP et études de faisabilité sur le refroidissement urbain</w:t>
            </w:r>
          </w:p>
        </w:tc>
      </w:tr>
      <w:tr w:rsidR="005E2454" w:rsidRPr="00A557BB" w14:paraId="774E7CD5" w14:textId="77777777" w:rsidTr="005017D1">
        <w:tc>
          <w:tcPr>
            <w:tcW w:w="1237" w:type="dxa"/>
            <w:tcMar>
              <w:top w:w="0" w:type="dxa"/>
              <w:left w:w="108" w:type="dxa"/>
              <w:bottom w:w="0" w:type="dxa"/>
              <w:right w:w="108" w:type="dxa"/>
            </w:tcMar>
            <w:hideMark/>
          </w:tcPr>
          <w:p w14:paraId="735E09C1" w14:textId="77777777" w:rsidR="005E2454" w:rsidRPr="00A557BB" w:rsidRDefault="005E2454" w:rsidP="005E2454">
            <w:pPr>
              <w:rPr>
                <w:sz w:val="20"/>
                <w:szCs w:val="20"/>
                <w:lang w:val="fr-FR"/>
              </w:rPr>
            </w:pPr>
            <w:r w:rsidRPr="00A557BB">
              <w:rPr>
                <w:sz w:val="20"/>
                <w:szCs w:val="20"/>
                <w:lang w:val="fr-FR"/>
              </w:rPr>
              <w:t>Égypte</w:t>
            </w:r>
          </w:p>
        </w:tc>
        <w:tc>
          <w:tcPr>
            <w:tcW w:w="6930" w:type="dxa"/>
            <w:noWrap/>
            <w:tcMar>
              <w:top w:w="0" w:type="dxa"/>
              <w:left w:w="108" w:type="dxa"/>
              <w:bottom w:w="0" w:type="dxa"/>
              <w:right w:w="108" w:type="dxa"/>
            </w:tcMar>
            <w:hideMark/>
          </w:tcPr>
          <w:p w14:paraId="79A9209A" w14:textId="77777777" w:rsidR="00667B8F" w:rsidRPr="00A557BB" w:rsidRDefault="005E2454" w:rsidP="00EF2AC7">
            <w:pPr>
              <w:rPr>
                <w:sz w:val="20"/>
                <w:szCs w:val="20"/>
                <w:lang w:val="fr-FR"/>
              </w:rPr>
            </w:pPr>
            <w:r w:rsidRPr="00A557BB">
              <w:rPr>
                <w:sz w:val="20"/>
                <w:szCs w:val="20"/>
                <w:lang w:val="fr-FR"/>
              </w:rPr>
              <w:t xml:space="preserve">Projet de démonstration sur les choix de reconversion à faible coût à des technologies sans SAO pour la </w:t>
            </w:r>
            <w:r w:rsidR="002B3E51" w:rsidRPr="00A557BB">
              <w:rPr>
                <w:sz w:val="20"/>
                <w:szCs w:val="20"/>
                <w:lang w:val="fr-FR"/>
              </w:rPr>
              <w:t>mousse de polyuréthanne chez les très petits utilisateurs : rapport final</w:t>
            </w:r>
          </w:p>
        </w:tc>
        <w:tc>
          <w:tcPr>
            <w:tcW w:w="1138" w:type="dxa"/>
          </w:tcPr>
          <w:p w14:paraId="6854BEEF" w14:textId="77777777" w:rsidR="005E2454" w:rsidRPr="00A557BB" w:rsidRDefault="00A23C24" w:rsidP="00445E81">
            <w:pPr>
              <w:jc w:val="center"/>
              <w:rPr>
                <w:sz w:val="20"/>
                <w:szCs w:val="20"/>
                <w:lang w:val="fr-FR"/>
              </w:rPr>
            </w:pPr>
            <w:r w:rsidRPr="00A557BB">
              <w:rPr>
                <w:sz w:val="20"/>
                <w:szCs w:val="20"/>
                <w:lang w:val="fr-FR"/>
              </w:rPr>
              <w:t>148-160</w:t>
            </w:r>
          </w:p>
          <w:p w14:paraId="162DD4EE" w14:textId="77777777" w:rsidR="00667B8F" w:rsidRPr="00A557BB" w:rsidRDefault="005532AE" w:rsidP="00445E81">
            <w:pPr>
              <w:jc w:val="center"/>
              <w:rPr>
                <w:sz w:val="20"/>
                <w:szCs w:val="20"/>
                <w:lang w:val="fr-FR"/>
              </w:rPr>
            </w:pPr>
            <w:r w:rsidRPr="00A557BB">
              <w:rPr>
                <w:sz w:val="20"/>
                <w:szCs w:val="20"/>
                <w:lang w:val="fr-FR"/>
              </w:rPr>
              <w:t>(Rapport joint)</w:t>
            </w:r>
            <w:r w:rsidR="00667B8F" w:rsidRPr="00A557BB">
              <w:rPr>
                <w:sz w:val="20"/>
                <w:szCs w:val="20"/>
                <w:lang w:val="fr-FR"/>
              </w:rPr>
              <w:t xml:space="preserve"> </w:t>
            </w:r>
          </w:p>
        </w:tc>
      </w:tr>
      <w:tr w:rsidR="005E2454" w:rsidRPr="00A557BB" w14:paraId="6CAD03CE" w14:textId="77777777" w:rsidTr="005017D1">
        <w:tc>
          <w:tcPr>
            <w:tcW w:w="1237" w:type="dxa"/>
            <w:tcMar>
              <w:top w:w="0" w:type="dxa"/>
              <w:left w:w="108" w:type="dxa"/>
              <w:bottom w:w="0" w:type="dxa"/>
              <w:right w:w="108" w:type="dxa"/>
            </w:tcMar>
          </w:tcPr>
          <w:p w14:paraId="1917F76F" w14:textId="77777777" w:rsidR="005E2454" w:rsidRPr="00A557BB" w:rsidRDefault="005E2454" w:rsidP="005E2454">
            <w:pPr>
              <w:rPr>
                <w:sz w:val="20"/>
                <w:szCs w:val="20"/>
                <w:lang w:val="fr-FR"/>
              </w:rPr>
            </w:pPr>
            <w:r w:rsidRPr="00A557BB">
              <w:rPr>
                <w:sz w:val="20"/>
                <w:szCs w:val="20"/>
                <w:lang w:val="fr-FR"/>
              </w:rPr>
              <w:t>Maroc</w:t>
            </w:r>
          </w:p>
        </w:tc>
        <w:tc>
          <w:tcPr>
            <w:tcW w:w="6930" w:type="dxa"/>
            <w:noWrap/>
            <w:tcMar>
              <w:top w:w="0" w:type="dxa"/>
              <w:left w:w="108" w:type="dxa"/>
              <w:bottom w:w="0" w:type="dxa"/>
              <w:right w:w="108" w:type="dxa"/>
            </w:tcMar>
          </w:tcPr>
          <w:p w14:paraId="477C2122" w14:textId="77777777" w:rsidR="005E2454" w:rsidRPr="00A557BB" w:rsidRDefault="005E2454" w:rsidP="00E916A0">
            <w:pPr>
              <w:rPr>
                <w:sz w:val="20"/>
                <w:szCs w:val="20"/>
                <w:lang w:val="fr-FR"/>
              </w:rPr>
            </w:pPr>
            <w:r w:rsidRPr="00A557BB">
              <w:rPr>
                <w:sz w:val="20"/>
                <w:szCs w:val="20"/>
                <w:lang w:val="fr-FR"/>
              </w:rPr>
              <w:t xml:space="preserve">Démonstration de l’utilisation d’une technologie de gonflage au pentane, à </w:t>
            </w:r>
            <w:r w:rsidR="00E916A0" w:rsidRPr="00A557BB">
              <w:rPr>
                <w:sz w:val="20"/>
                <w:szCs w:val="20"/>
                <w:lang w:val="fr-FR"/>
              </w:rPr>
              <w:t>bas</w:t>
            </w:r>
            <w:r w:rsidRPr="00A557BB">
              <w:rPr>
                <w:sz w:val="20"/>
                <w:szCs w:val="20"/>
                <w:lang w:val="fr-FR"/>
              </w:rPr>
              <w:t xml:space="preserve"> coût, pour la reconversion à des technologies sans SAO pour les mousses de polyuréthane dans les petites et moyennes entreprises : rapport final</w:t>
            </w:r>
          </w:p>
        </w:tc>
        <w:tc>
          <w:tcPr>
            <w:tcW w:w="1138" w:type="dxa"/>
          </w:tcPr>
          <w:p w14:paraId="000FFDF5" w14:textId="77777777" w:rsidR="005E2454" w:rsidRPr="00A557BB" w:rsidRDefault="00A23C24" w:rsidP="00445E81">
            <w:pPr>
              <w:jc w:val="center"/>
              <w:rPr>
                <w:sz w:val="20"/>
                <w:szCs w:val="20"/>
                <w:lang w:val="fr-FR"/>
              </w:rPr>
            </w:pPr>
            <w:r w:rsidRPr="00A557BB">
              <w:rPr>
                <w:sz w:val="20"/>
                <w:szCs w:val="20"/>
                <w:lang w:val="fr-FR"/>
              </w:rPr>
              <w:t>179</w:t>
            </w:r>
          </w:p>
          <w:p w14:paraId="008E4300" w14:textId="77777777" w:rsidR="00667B8F" w:rsidRPr="00A557BB" w:rsidRDefault="005532AE" w:rsidP="00445E81">
            <w:pPr>
              <w:jc w:val="center"/>
              <w:rPr>
                <w:sz w:val="20"/>
                <w:szCs w:val="20"/>
                <w:lang w:val="fr-FR"/>
              </w:rPr>
            </w:pPr>
            <w:r w:rsidRPr="00A557BB">
              <w:rPr>
                <w:sz w:val="20"/>
                <w:szCs w:val="20"/>
                <w:lang w:val="fr-FR"/>
              </w:rPr>
              <w:t xml:space="preserve">(Rapport joint) </w:t>
            </w:r>
          </w:p>
        </w:tc>
      </w:tr>
      <w:tr w:rsidR="005E2454" w:rsidRPr="00A557BB" w14:paraId="47C12140" w14:textId="77777777" w:rsidTr="005017D1">
        <w:tc>
          <w:tcPr>
            <w:tcW w:w="1237" w:type="dxa"/>
            <w:tcMar>
              <w:top w:w="0" w:type="dxa"/>
              <w:left w:w="108" w:type="dxa"/>
              <w:bottom w:w="0" w:type="dxa"/>
              <w:right w:w="108" w:type="dxa"/>
            </w:tcMar>
            <w:hideMark/>
          </w:tcPr>
          <w:p w14:paraId="4477F528" w14:textId="77777777" w:rsidR="005E2454" w:rsidRPr="00A557BB" w:rsidRDefault="005E2454" w:rsidP="005E2454">
            <w:pPr>
              <w:rPr>
                <w:sz w:val="20"/>
                <w:szCs w:val="20"/>
                <w:lang w:val="fr-FR"/>
              </w:rPr>
            </w:pPr>
            <w:r w:rsidRPr="00A557BB">
              <w:rPr>
                <w:sz w:val="20"/>
                <w:szCs w:val="20"/>
                <w:lang w:val="fr-FR"/>
              </w:rPr>
              <w:t>Arabie saoudite </w:t>
            </w:r>
          </w:p>
        </w:tc>
        <w:tc>
          <w:tcPr>
            <w:tcW w:w="6930" w:type="dxa"/>
            <w:noWrap/>
            <w:tcMar>
              <w:top w:w="0" w:type="dxa"/>
              <w:left w:w="108" w:type="dxa"/>
              <w:bottom w:w="0" w:type="dxa"/>
              <w:right w:w="108" w:type="dxa"/>
            </w:tcMar>
            <w:hideMark/>
          </w:tcPr>
          <w:p w14:paraId="4904E31C" w14:textId="77777777" w:rsidR="005E2454" w:rsidRPr="00A557BB" w:rsidRDefault="005E2454" w:rsidP="00EF2AC7">
            <w:pPr>
              <w:rPr>
                <w:sz w:val="20"/>
                <w:szCs w:val="20"/>
                <w:lang w:val="fr-FR"/>
              </w:rPr>
            </w:pPr>
            <w:r w:rsidRPr="00A557BB">
              <w:rPr>
                <w:sz w:val="20"/>
                <w:szCs w:val="20"/>
                <w:lang w:val="fr-FR"/>
              </w:rPr>
              <w:t>Projet de démonstration concernant l’élimination des HCFC en utilisant des HFO comme agents de gonflage dans des applications de mousse pulvérisée à des températures ambiantes élevées</w:t>
            </w:r>
          </w:p>
        </w:tc>
        <w:tc>
          <w:tcPr>
            <w:tcW w:w="1138" w:type="dxa"/>
          </w:tcPr>
          <w:p w14:paraId="5B89925F" w14:textId="77777777" w:rsidR="005E2454" w:rsidRPr="00A557BB" w:rsidRDefault="00A23C24" w:rsidP="00445E81">
            <w:pPr>
              <w:jc w:val="center"/>
              <w:rPr>
                <w:sz w:val="20"/>
                <w:szCs w:val="20"/>
                <w:lang w:val="fr-FR"/>
              </w:rPr>
            </w:pPr>
            <w:r w:rsidRPr="00A557BB">
              <w:rPr>
                <w:sz w:val="20"/>
                <w:szCs w:val="20"/>
                <w:lang w:val="fr-FR"/>
              </w:rPr>
              <w:t>180-183</w:t>
            </w:r>
          </w:p>
        </w:tc>
      </w:tr>
      <w:tr w:rsidR="005E2454" w:rsidRPr="00A557BB" w14:paraId="60CE069A" w14:textId="77777777" w:rsidTr="005017D1">
        <w:tc>
          <w:tcPr>
            <w:tcW w:w="1237" w:type="dxa"/>
            <w:tcMar>
              <w:top w:w="0" w:type="dxa"/>
              <w:left w:w="108" w:type="dxa"/>
              <w:bottom w:w="0" w:type="dxa"/>
              <w:right w:w="108" w:type="dxa"/>
            </w:tcMar>
            <w:hideMark/>
          </w:tcPr>
          <w:p w14:paraId="57256CD0" w14:textId="77777777" w:rsidR="005E2454" w:rsidRPr="00A557BB" w:rsidRDefault="005E2454" w:rsidP="005E2454">
            <w:pPr>
              <w:rPr>
                <w:sz w:val="20"/>
                <w:szCs w:val="20"/>
                <w:lang w:val="fr-FR"/>
              </w:rPr>
            </w:pPr>
            <w:r w:rsidRPr="00A557BB">
              <w:rPr>
                <w:sz w:val="20"/>
                <w:szCs w:val="20"/>
                <w:lang w:val="fr-FR"/>
              </w:rPr>
              <w:t>Asie occidentale</w:t>
            </w:r>
          </w:p>
        </w:tc>
        <w:tc>
          <w:tcPr>
            <w:tcW w:w="6930" w:type="dxa"/>
            <w:noWrap/>
            <w:tcMar>
              <w:top w:w="0" w:type="dxa"/>
              <w:left w:w="108" w:type="dxa"/>
              <w:bottom w:w="0" w:type="dxa"/>
              <w:right w:w="108" w:type="dxa"/>
            </w:tcMar>
            <w:hideMark/>
          </w:tcPr>
          <w:p w14:paraId="51CC5C3A" w14:textId="77777777" w:rsidR="005E2454" w:rsidRPr="00A557BB" w:rsidRDefault="005E2454" w:rsidP="00EF2AC7">
            <w:pPr>
              <w:rPr>
                <w:sz w:val="20"/>
                <w:szCs w:val="20"/>
                <w:lang w:val="fr-FR"/>
              </w:rPr>
            </w:pPr>
            <w:r w:rsidRPr="00A557BB">
              <w:rPr>
                <w:sz w:val="20"/>
                <w:szCs w:val="20"/>
                <w:lang w:val="fr-FR"/>
              </w:rPr>
              <w:t>Promotion de frigorigènes de remplacement dans la climatisation pour les pays à haute température ambiante en Asie occidentale (PRAHA-II): Rapport final</w:t>
            </w:r>
          </w:p>
        </w:tc>
        <w:tc>
          <w:tcPr>
            <w:tcW w:w="1138" w:type="dxa"/>
          </w:tcPr>
          <w:p w14:paraId="27FAEFCB" w14:textId="77777777" w:rsidR="005E2454" w:rsidRPr="00A557BB" w:rsidRDefault="00A23C24" w:rsidP="00287859">
            <w:pPr>
              <w:jc w:val="center"/>
              <w:rPr>
                <w:sz w:val="20"/>
                <w:szCs w:val="20"/>
                <w:lang w:val="fr-FR"/>
              </w:rPr>
            </w:pPr>
            <w:r w:rsidRPr="00A557BB">
              <w:rPr>
                <w:sz w:val="20"/>
                <w:szCs w:val="20"/>
                <w:lang w:val="fr-FR"/>
              </w:rPr>
              <w:t>184-187</w:t>
            </w:r>
          </w:p>
        </w:tc>
      </w:tr>
      <w:tr w:rsidR="005E2454" w:rsidRPr="00A557BB" w14:paraId="4B70D299" w14:textId="77777777" w:rsidTr="005017D1">
        <w:tc>
          <w:tcPr>
            <w:tcW w:w="1237" w:type="dxa"/>
            <w:tcMar>
              <w:top w:w="0" w:type="dxa"/>
              <w:left w:w="108" w:type="dxa"/>
              <w:bottom w:w="0" w:type="dxa"/>
              <w:right w:w="108" w:type="dxa"/>
            </w:tcMar>
            <w:hideMark/>
          </w:tcPr>
          <w:p w14:paraId="5AE02333" w14:textId="77777777" w:rsidR="005E2454" w:rsidRPr="00A557BB" w:rsidRDefault="005E2454" w:rsidP="005E2454">
            <w:pPr>
              <w:rPr>
                <w:sz w:val="20"/>
                <w:szCs w:val="20"/>
                <w:lang w:val="fr-FR"/>
              </w:rPr>
            </w:pPr>
            <w:r w:rsidRPr="00A557BB">
              <w:rPr>
                <w:sz w:val="20"/>
                <w:szCs w:val="20"/>
                <w:lang w:val="fr-FR"/>
              </w:rPr>
              <w:t>Échelle mondiale</w:t>
            </w:r>
          </w:p>
        </w:tc>
        <w:tc>
          <w:tcPr>
            <w:tcW w:w="6930" w:type="dxa"/>
            <w:noWrap/>
            <w:tcMar>
              <w:top w:w="0" w:type="dxa"/>
              <w:left w:w="108" w:type="dxa"/>
              <w:bottom w:w="0" w:type="dxa"/>
              <w:right w:w="108" w:type="dxa"/>
            </w:tcMar>
            <w:hideMark/>
          </w:tcPr>
          <w:p w14:paraId="63B352E3" w14:textId="77777777" w:rsidR="005E2454" w:rsidRPr="00A557BB" w:rsidRDefault="005E2454" w:rsidP="00614272">
            <w:pPr>
              <w:rPr>
                <w:sz w:val="20"/>
                <w:szCs w:val="20"/>
                <w:lang w:val="fr-FR"/>
              </w:rPr>
            </w:pPr>
            <w:r w:rsidRPr="00A557BB">
              <w:rPr>
                <w:sz w:val="20"/>
                <w:szCs w:val="20"/>
                <w:lang w:val="fr-FR"/>
              </w:rPr>
              <w:t xml:space="preserve">Projet de démonstration sur la qualité des frigorigènes, le confinement et l'introduction d'alternatives à faible </w:t>
            </w:r>
            <w:r w:rsidR="00614272" w:rsidRPr="00A557BB">
              <w:rPr>
                <w:sz w:val="20"/>
                <w:szCs w:val="20"/>
                <w:lang w:val="fr-FR"/>
              </w:rPr>
              <w:t>PRP</w:t>
            </w:r>
            <w:r w:rsidR="007C24E0" w:rsidRPr="00A557BB">
              <w:rPr>
                <w:sz w:val="20"/>
                <w:szCs w:val="20"/>
                <w:lang w:val="fr-FR"/>
              </w:rPr>
              <w:t xml:space="preserve"> (régions de l'Afrique de l</w:t>
            </w:r>
            <w:r w:rsidRPr="00A557BB">
              <w:rPr>
                <w:sz w:val="20"/>
                <w:szCs w:val="20"/>
                <w:lang w:val="fr-FR"/>
              </w:rPr>
              <w:t>'Est et des Caraïbes)</w:t>
            </w:r>
            <w:r w:rsidR="00614272" w:rsidRPr="00A557BB">
              <w:rPr>
                <w:sz w:val="20"/>
                <w:szCs w:val="20"/>
                <w:lang w:val="fr-FR"/>
              </w:rPr>
              <w:t xml:space="preserve"> </w:t>
            </w:r>
            <w:r w:rsidRPr="00A557BB">
              <w:rPr>
                <w:sz w:val="20"/>
                <w:szCs w:val="20"/>
                <w:lang w:val="fr-FR"/>
              </w:rPr>
              <w:t>: rapport périodique</w:t>
            </w:r>
          </w:p>
        </w:tc>
        <w:tc>
          <w:tcPr>
            <w:tcW w:w="1138" w:type="dxa"/>
          </w:tcPr>
          <w:p w14:paraId="717FB5DD" w14:textId="77777777" w:rsidR="005E2454" w:rsidRPr="00A557BB" w:rsidRDefault="00287859" w:rsidP="00445E81">
            <w:pPr>
              <w:jc w:val="center"/>
              <w:rPr>
                <w:sz w:val="20"/>
                <w:szCs w:val="20"/>
                <w:lang w:val="fr-FR"/>
              </w:rPr>
            </w:pPr>
            <w:r w:rsidRPr="00A557BB">
              <w:rPr>
                <w:sz w:val="20"/>
                <w:szCs w:val="20"/>
                <w:lang w:val="fr-FR"/>
              </w:rPr>
              <w:t>188-200</w:t>
            </w:r>
          </w:p>
        </w:tc>
      </w:tr>
      <w:tr w:rsidR="005E2454" w:rsidRPr="00A557BB" w14:paraId="7E6A09B1" w14:textId="77777777" w:rsidTr="005017D1">
        <w:tc>
          <w:tcPr>
            <w:tcW w:w="9305" w:type="dxa"/>
            <w:gridSpan w:val="3"/>
            <w:tcMar>
              <w:top w:w="0" w:type="dxa"/>
              <w:left w:w="108" w:type="dxa"/>
              <w:bottom w:w="0" w:type="dxa"/>
              <w:right w:w="108" w:type="dxa"/>
            </w:tcMar>
            <w:hideMark/>
          </w:tcPr>
          <w:p w14:paraId="424C2667" w14:textId="77777777" w:rsidR="005E2454" w:rsidRPr="00A557BB" w:rsidRDefault="005E2454" w:rsidP="00EF2AC7">
            <w:pPr>
              <w:rPr>
                <w:b/>
                <w:bCs/>
                <w:sz w:val="20"/>
                <w:szCs w:val="20"/>
                <w:lang w:val="fr-FR"/>
              </w:rPr>
            </w:pPr>
            <w:r w:rsidRPr="00A557BB">
              <w:rPr>
                <w:b/>
                <w:bCs/>
                <w:sz w:val="20"/>
                <w:szCs w:val="20"/>
                <w:lang w:val="fr-FR"/>
              </w:rPr>
              <w:t>Bromure de méthyle</w:t>
            </w:r>
          </w:p>
        </w:tc>
      </w:tr>
      <w:tr w:rsidR="005E2454" w:rsidRPr="00A557BB" w14:paraId="7C1AFDAE" w14:textId="77777777" w:rsidTr="005017D1">
        <w:tc>
          <w:tcPr>
            <w:tcW w:w="1237" w:type="dxa"/>
            <w:tcMar>
              <w:top w:w="0" w:type="dxa"/>
              <w:left w:w="108" w:type="dxa"/>
              <w:bottom w:w="0" w:type="dxa"/>
              <w:right w:w="108" w:type="dxa"/>
            </w:tcMar>
            <w:hideMark/>
          </w:tcPr>
          <w:p w14:paraId="4502C80E" w14:textId="77777777" w:rsidR="005E2454" w:rsidRPr="00A557BB" w:rsidRDefault="005E2454" w:rsidP="005E2454">
            <w:pPr>
              <w:rPr>
                <w:sz w:val="20"/>
                <w:szCs w:val="20"/>
                <w:lang w:val="fr-FR"/>
              </w:rPr>
            </w:pPr>
            <w:r w:rsidRPr="00A557BB">
              <w:rPr>
                <w:sz w:val="20"/>
                <w:szCs w:val="20"/>
                <w:lang w:val="fr-FR"/>
              </w:rPr>
              <w:t>Argentine</w:t>
            </w:r>
          </w:p>
        </w:tc>
        <w:tc>
          <w:tcPr>
            <w:tcW w:w="6930" w:type="dxa"/>
            <w:noWrap/>
            <w:tcMar>
              <w:top w:w="0" w:type="dxa"/>
              <w:left w:w="108" w:type="dxa"/>
              <w:bottom w:w="0" w:type="dxa"/>
              <w:right w:w="108" w:type="dxa"/>
            </w:tcMar>
            <w:hideMark/>
          </w:tcPr>
          <w:p w14:paraId="16C1AB90" w14:textId="77777777" w:rsidR="005E2454" w:rsidRPr="00A557BB" w:rsidRDefault="005E2454" w:rsidP="00EF2AC7">
            <w:pPr>
              <w:rPr>
                <w:sz w:val="20"/>
                <w:szCs w:val="20"/>
                <w:lang w:val="fr-FR"/>
              </w:rPr>
            </w:pPr>
            <w:r w:rsidRPr="00A557BB">
              <w:rPr>
                <w:sz w:val="20"/>
                <w:szCs w:val="20"/>
                <w:lang w:val="fr-FR"/>
              </w:rPr>
              <w:t>Dérogations pour utilisations critiques</w:t>
            </w:r>
          </w:p>
        </w:tc>
        <w:tc>
          <w:tcPr>
            <w:tcW w:w="1138" w:type="dxa"/>
          </w:tcPr>
          <w:p w14:paraId="1EDF6B10" w14:textId="77777777" w:rsidR="005E2454" w:rsidRPr="00A557BB" w:rsidRDefault="00287859" w:rsidP="00445E81">
            <w:pPr>
              <w:jc w:val="center"/>
              <w:rPr>
                <w:sz w:val="20"/>
                <w:szCs w:val="20"/>
                <w:lang w:val="fr-FR"/>
              </w:rPr>
            </w:pPr>
            <w:r w:rsidRPr="00A557BB">
              <w:rPr>
                <w:sz w:val="20"/>
                <w:szCs w:val="20"/>
                <w:lang w:val="fr-FR"/>
              </w:rPr>
              <w:t>201-203</w:t>
            </w:r>
          </w:p>
        </w:tc>
      </w:tr>
      <w:tr w:rsidR="005E2454" w:rsidRPr="00A557BB" w14:paraId="6553E940" w14:textId="77777777" w:rsidTr="005017D1">
        <w:tc>
          <w:tcPr>
            <w:tcW w:w="9305" w:type="dxa"/>
            <w:gridSpan w:val="3"/>
            <w:tcMar>
              <w:top w:w="0" w:type="dxa"/>
              <w:left w:w="108" w:type="dxa"/>
              <w:bottom w:w="0" w:type="dxa"/>
              <w:right w:w="108" w:type="dxa"/>
            </w:tcMar>
            <w:hideMark/>
          </w:tcPr>
          <w:p w14:paraId="3282F73F" w14:textId="77777777" w:rsidR="005E2454" w:rsidRPr="00A557BB" w:rsidRDefault="005E2454" w:rsidP="00EF2AC7">
            <w:pPr>
              <w:rPr>
                <w:b/>
                <w:bCs/>
                <w:sz w:val="20"/>
                <w:szCs w:val="20"/>
                <w:lang w:val="fr-FR"/>
              </w:rPr>
            </w:pPr>
            <w:r w:rsidRPr="00A557BB">
              <w:rPr>
                <w:b/>
                <w:bCs/>
                <w:sz w:val="20"/>
                <w:szCs w:val="20"/>
                <w:lang w:val="fr-FR"/>
              </w:rPr>
              <w:t>Nouvelle d'agence d'exécution principale</w:t>
            </w:r>
          </w:p>
        </w:tc>
      </w:tr>
      <w:tr w:rsidR="005E2454" w:rsidRPr="00A557BB" w14:paraId="55BB2154" w14:textId="77777777" w:rsidTr="005017D1">
        <w:tc>
          <w:tcPr>
            <w:tcW w:w="1237" w:type="dxa"/>
            <w:tcMar>
              <w:top w:w="0" w:type="dxa"/>
              <w:left w:w="108" w:type="dxa"/>
              <w:bottom w:w="0" w:type="dxa"/>
              <w:right w:w="108" w:type="dxa"/>
            </w:tcMar>
            <w:hideMark/>
          </w:tcPr>
          <w:p w14:paraId="5F283362" w14:textId="77777777" w:rsidR="005E2454" w:rsidRPr="00A557BB" w:rsidRDefault="005E2454" w:rsidP="005E2454">
            <w:pPr>
              <w:rPr>
                <w:sz w:val="20"/>
                <w:szCs w:val="20"/>
                <w:lang w:val="fr-FR"/>
              </w:rPr>
            </w:pPr>
            <w:r w:rsidRPr="00A557BB">
              <w:rPr>
                <w:sz w:val="20"/>
                <w:szCs w:val="20"/>
                <w:lang w:val="fr-FR"/>
              </w:rPr>
              <w:t>Sénégal</w:t>
            </w:r>
          </w:p>
        </w:tc>
        <w:tc>
          <w:tcPr>
            <w:tcW w:w="6930" w:type="dxa"/>
            <w:noWrap/>
            <w:tcMar>
              <w:top w:w="0" w:type="dxa"/>
              <w:left w:w="108" w:type="dxa"/>
              <w:bottom w:w="0" w:type="dxa"/>
              <w:right w:w="108" w:type="dxa"/>
            </w:tcMar>
            <w:hideMark/>
          </w:tcPr>
          <w:p w14:paraId="24482F77" w14:textId="77777777" w:rsidR="005E2454" w:rsidRPr="00A557BB" w:rsidRDefault="005E2454" w:rsidP="00EF2AC7">
            <w:pPr>
              <w:rPr>
                <w:sz w:val="20"/>
                <w:szCs w:val="20"/>
                <w:lang w:val="fr-FR"/>
              </w:rPr>
            </w:pPr>
            <w:r w:rsidRPr="00A557BB">
              <w:rPr>
                <w:sz w:val="20"/>
                <w:szCs w:val="20"/>
                <w:lang w:val="fr-FR"/>
              </w:rPr>
              <w:t>PGEH (phase I): demande de changement d'agence d'exécution principale</w:t>
            </w:r>
          </w:p>
        </w:tc>
        <w:tc>
          <w:tcPr>
            <w:tcW w:w="1138" w:type="dxa"/>
          </w:tcPr>
          <w:p w14:paraId="00519B30" w14:textId="77777777" w:rsidR="005E2454" w:rsidRPr="00A557BB" w:rsidRDefault="00287859" w:rsidP="00445E81">
            <w:pPr>
              <w:jc w:val="center"/>
              <w:rPr>
                <w:sz w:val="20"/>
                <w:szCs w:val="20"/>
                <w:lang w:val="fr-FR"/>
              </w:rPr>
            </w:pPr>
            <w:r w:rsidRPr="00A557BB">
              <w:rPr>
                <w:sz w:val="20"/>
                <w:szCs w:val="20"/>
                <w:lang w:val="fr-FR"/>
              </w:rPr>
              <w:t>204-208</w:t>
            </w:r>
          </w:p>
        </w:tc>
      </w:tr>
      <w:tr w:rsidR="005E2454" w:rsidRPr="00A557BB" w14:paraId="557C440E" w14:textId="77777777" w:rsidTr="005017D1">
        <w:tc>
          <w:tcPr>
            <w:tcW w:w="8167" w:type="dxa"/>
            <w:gridSpan w:val="2"/>
            <w:tcMar>
              <w:top w:w="0" w:type="dxa"/>
              <w:left w:w="108" w:type="dxa"/>
              <w:bottom w:w="0" w:type="dxa"/>
              <w:right w:w="108" w:type="dxa"/>
            </w:tcMar>
            <w:hideMark/>
          </w:tcPr>
          <w:p w14:paraId="06FA89C2" w14:textId="77777777" w:rsidR="005E2454" w:rsidRPr="00A557BB" w:rsidRDefault="005E2454" w:rsidP="00EF2AC7">
            <w:pPr>
              <w:rPr>
                <w:sz w:val="20"/>
                <w:szCs w:val="20"/>
                <w:lang w:val="fr-FR"/>
              </w:rPr>
            </w:pPr>
            <w:r w:rsidRPr="00A557BB">
              <w:rPr>
                <w:b/>
                <w:bCs/>
                <w:sz w:val="20"/>
                <w:szCs w:val="20"/>
                <w:lang w:val="fr-FR"/>
              </w:rPr>
              <w:t>Demandes de prolongation d’activités de facilitation</w:t>
            </w:r>
          </w:p>
        </w:tc>
        <w:tc>
          <w:tcPr>
            <w:tcW w:w="1138" w:type="dxa"/>
          </w:tcPr>
          <w:p w14:paraId="54838B1A" w14:textId="77777777" w:rsidR="005E2454" w:rsidRPr="00A557BB" w:rsidRDefault="00287859" w:rsidP="00445E81">
            <w:pPr>
              <w:jc w:val="center"/>
              <w:rPr>
                <w:sz w:val="20"/>
                <w:szCs w:val="20"/>
                <w:lang w:val="fr-FR"/>
              </w:rPr>
            </w:pPr>
            <w:r w:rsidRPr="00A557BB">
              <w:rPr>
                <w:sz w:val="20"/>
                <w:szCs w:val="20"/>
                <w:lang w:val="fr-FR"/>
              </w:rPr>
              <w:t>209-211</w:t>
            </w:r>
          </w:p>
        </w:tc>
      </w:tr>
    </w:tbl>
    <w:p w14:paraId="1B4B9E3C" w14:textId="77777777" w:rsidR="0032104A" w:rsidRPr="00A557BB" w:rsidRDefault="0032104A" w:rsidP="00A25648">
      <w:pPr>
        <w:rPr>
          <w:lang w:val="fr-FR"/>
        </w:rPr>
      </w:pPr>
    </w:p>
    <w:p w14:paraId="3F0232C6" w14:textId="77777777" w:rsidR="0032104A" w:rsidRPr="00A557BB" w:rsidRDefault="0032104A" w:rsidP="00946678">
      <w:pPr>
        <w:pStyle w:val="Heading1"/>
        <w:tabs>
          <w:tab w:val="num" w:pos="710"/>
        </w:tabs>
        <w:rPr>
          <w:lang w:val="fr-FR"/>
        </w:rPr>
      </w:pPr>
      <w:r w:rsidRPr="00A557BB">
        <w:rPr>
          <w:lang w:val="fr-FR"/>
        </w:rPr>
        <w:t>Le tableau 2 répertorie les rapports comportant des exigences spécifiques de remise de rapports et p</w:t>
      </w:r>
      <w:r w:rsidR="00614272" w:rsidRPr="00A557BB">
        <w:rPr>
          <w:lang w:val="fr-FR"/>
        </w:rPr>
        <w:t>ortant sur les projets soumis à la 84</w:t>
      </w:r>
      <w:r w:rsidR="00614272" w:rsidRPr="00A557BB">
        <w:rPr>
          <w:vertAlign w:val="superscript"/>
          <w:lang w:val="fr-FR"/>
        </w:rPr>
        <w:t>e</w:t>
      </w:r>
      <w:r w:rsidR="00614272" w:rsidRPr="00A557BB">
        <w:rPr>
          <w:lang w:val="fr-FR"/>
        </w:rPr>
        <w:t xml:space="preserve"> </w:t>
      </w:r>
      <w:r w:rsidRPr="00A557BB">
        <w:rPr>
          <w:lang w:val="fr-FR"/>
        </w:rPr>
        <w:t xml:space="preserve">réunion pour examen individuel ; il fournit des explications </w:t>
      </w:r>
      <w:r w:rsidR="00614272" w:rsidRPr="00A557BB">
        <w:rPr>
          <w:lang w:val="fr-FR"/>
        </w:rPr>
        <w:t>succinctes</w:t>
      </w:r>
      <w:r w:rsidRPr="00A557BB">
        <w:rPr>
          <w:lang w:val="fr-FR"/>
        </w:rPr>
        <w:t xml:space="preserve"> sur les questions connexes.</w:t>
      </w:r>
    </w:p>
    <w:p w14:paraId="52629AA3" w14:textId="77777777" w:rsidR="0032104A" w:rsidRPr="00A557BB" w:rsidRDefault="0032104A" w:rsidP="0032104A">
      <w:pPr>
        <w:rPr>
          <w:b/>
          <w:sz w:val="21"/>
          <w:szCs w:val="21"/>
          <w:lang w:val="fr-FR"/>
        </w:rPr>
      </w:pPr>
      <w:r w:rsidRPr="00A557BB">
        <w:rPr>
          <w:b/>
          <w:sz w:val="21"/>
          <w:szCs w:val="21"/>
          <w:lang w:val="fr-FR"/>
        </w:rPr>
        <w:t>Tableau 2: Rapports portant sur les projets comportant des exigences particulières de remise de rapports, soumis aux fins d'examen individuel</w:t>
      </w:r>
    </w:p>
    <w:tbl>
      <w:tblPr>
        <w:tblW w:w="9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47"/>
        <w:gridCol w:w="3629"/>
        <w:gridCol w:w="3420"/>
        <w:gridCol w:w="1084"/>
      </w:tblGrid>
      <w:tr w:rsidR="0032104A" w:rsidRPr="00A557BB" w14:paraId="580DA6C4" w14:textId="77777777" w:rsidTr="005017D1">
        <w:trPr>
          <w:tblHeader/>
        </w:trPr>
        <w:tc>
          <w:tcPr>
            <w:tcW w:w="1147" w:type="dxa"/>
            <w:tcMar>
              <w:top w:w="0" w:type="dxa"/>
              <w:left w:w="108" w:type="dxa"/>
              <w:bottom w:w="0" w:type="dxa"/>
              <w:right w:w="108" w:type="dxa"/>
            </w:tcMar>
            <w:hideMark/>
          </w:tcPr>
          <w:p w14:paraId="2BD34EB6" w14:textId="77777777" w:rsidR="0032104A" w:rsidRPr="00A557BB" w:rsidRDefault="0032104A" w:rsidP="005A3C39">
            <w:pPr>
              <w:rPr>
                <w:b/>
                <w:bCs/>
                <w:sz w:val="20"/>
                <w:szCs w:val="20"/>
                <w:lang w:val="fr-FR"/>
              </w:rPr>
            </w:pPr>
            <w:r w:rsidRPr="00A557BB">
              <w:rPr>
                <w:b/>
                <w:bCs/>
                <w:sz w:val="20"/>
                <w:szCs w:val="20"/>
                <w:lang w:val="fr-FR"/>
              </w:rPr>
              <w:t>Pays</w:t>
            </w:r>
          </w:p>
        </w:tc>
        <w:tc>
          <w:tcPr>
            <w:tcW w:w="3629" w:type="dxa"/>
            <w:noWrap/>
            <w:tcMar>
              <w:top w:w="0" w:type="dxa"/>
              <w:left w:w="108" w:type="dxa"/>
              <w:bottom w:w="0" w:type="dxa"/>
              <w:right w:w="108" w:type="dxa"/>
            </w:tcMar>
            <w:hideMark/>
          </w:tcPr>
          <w:p w14:paraId="647F5A61" w14:textId="77777777" w:rsidR="0032104A" w:rsidRPr="00A557BB" w:rsidRDefault="0032104A" w:rsidP="005A3C39">
            <w:pPr>
              <w:rPr>
                <w:b/>
                <w:bCs/>
                <w:sz w:val="20"/>
                <w:szCs w:val="20"/>
                <w:lang w:val="fr-FR"/>
              </w:rPr>
            </w:pPr>
            <w:r w:rsidRPr="00A557BB">
              <w:rPr>
                <w:b/>
                <w:bCs/>
                <w:sz w:val="20"/>
                <w:szCs w:val="20"/>
                <w:lang w:val="fr-FR"/>
              </w:rPr>
              <w:t>Titre du projet</w:t>
            </w:r>
          </w:p>
        </w:tc>
        <w:tc>
          <w:tcPr>
            <w:tcW w:w="3420" w:type="dxa"/>
            <w:tcMar>
              <w:left w:w="115" w:type="dxa"/>
              <w:right w:w="115" w:type="dxa"/>
            </w:tcMar>
          </w:tcPr>
          <w:p w14:paraId="04BB3946" w14:textId="77777777" w:rsidR="0032104A" w:rsidRPr="00A557BB" w:rsidRDefault="0032104A" w:rsidP="005A3C39">
            <w:pPr>
              <w:rPr>
                <w:b/>
                <w:bCs/>
                <w:sz w:val="20"/>
                <w:szCs w:val="20"/>
                <w:lang w:val="fr-FR"/>
              </w:rPr>
            </w:pPr>
            <w:r w:rsidRPr="00A557BB">
              <w:rPr>
                <w:b/>
                <w:bCs/>
                <w:sz w:val="20"/>
                <w:szCs w:val="20"/>
                <w:lang w:val="fr-FR"/>
              </w:rPr>
              <w:t>Enjeu</w:t>
            </w:r>
          </w:p>
        </w:tc>
        <w:tc>
          <w:tcPr>
            <w:tcW w:w="1084" w:type="dxa"/>
            <w:hideMark/>
          </w:tcPr>
          <w:p w14:paraId="1D90D37A" w14:textId="77777777" w:rsidR="0032104A" w:rsidRPr="00A557BB" w:rsidRDefault="0032104A" w:rsidP="0032104A">
            <w:pPr>
              <w:jc w:val="center"/>
              <w:rPr>
                <w:b/>
                <w:bCs/>
                <w:sz w:val="20"/>
                <w:szCs w:val="20"/>
                <w:lang w:val="fr-FR"/>
              </w:rPr>
            </w:pPr>
            <w:r w:rsidRPr="00A557BB">
              <w:rPr>
                <w:b/>
                <w:bCs/>
                <w:sz w:val="20"/>
                <w:szCs w:val="20"/>
                <w:lang w:val="fr-FR"/>
              </w:rPr>
              <w:t>Alinéas</w:t>
            </w:r>
          </w:p>
        </w:tc>
      </w:tr>
      <w:tr w:rsidR="0032104A" w:rsidRPr="002221F7" w14:paraId="5081E740" w14:textId="77777777" w:rsidTr="005017D1">
        <w:tc>
          <w:tcPr>
            <w:tcW w:w="9280" w:type="dxa"/>
            <w:gridSpan w:val="4"/>
            <w:tcMar>
              <w:top w:w="0" w:type="dxa"/>
              <w:left w:w="108" w:type="dxa"/>
              <w:bottom w:w="0" w:type="dxa"/>
              <w:right w:w="108" w:type="dxa"/>
            </w:tcMar>
            <w:hideMark/>
          </w:tcPr>
          <w:p w14:paraId="1EC396EE" w14:textId="77777777" w:rsidR="0032104A" w:rsidRPr="00A557BB" w:rsidRDefault="0032104A" w:rsidP="005A3C39">
            <w:pPr>
              <w:jc w:val="left"/>
              <w:rPr>
                <w:b/>
                <w:bCs/>
                <w:sz w:val="20"/>
                <w:szCs w:val="20"/>
                <w:lang w:val="fr-FR"/>
              </w:rPr>
            </w:pPr>
            <w:r w:rsidRPr="00A557BB">
              <w:rPr>
                <w:b/>
                <w:bCs/>
                <w:sz w:val="20"/>
                <w:szCs w:val="20"/>
                <w:lang w:val="fr-FR"/>
              </w:rPr>
              <w:t>Recours, à titre temporaire, à une technologie à fort PRP dans certains projets approuvés</w:t>
            </w:r>
          </w:p>
        </w:tc>
      </w:tr>
      <w:tr w:rsidR="0032104A" w:rsidRPr="00A557BB" w14:paraId="648A4910" w14:textId="77777777" w:rsidTr="005017D1">
        <w:tc>
          <w:tcPr>
            <w:tcW w:w="1147" w:type="dxa"/>
            <w:tcMar>
              <w:top w:w="0" w:type="dxa"/>
              <w:left w:w="108" w:type="dxa"/>
              <w:bottom w:w="0" w:type="dxa"/>
              <w:right w:w="108" w:type="dxa"/>
            </w:tcMar>
            <w:hideMark/>
          </w:tcPr>
          <w:p w14:paraId="22916455" w14:textId="77777777" w:rsidR="0032104A" w:rsidRPr="00A557BB" w:rsidRDefault="0032104A" w:rsidP="005A3C39">
            <w:pPr>
              <w:rPr>
                <w:sz w:val="20"/>
                <w:szCs w:val="20"/>
                <w:lang w:val="fr-FR"/>
              </w:rPr>
            </w:pPr>
            <w:r w:rsidRPr="00A557BB">
              <w:rPr>
                <w:sz w:val="20"/>
                <w:szCs w:val="20"/>
                <w:lang w:val="fr-FR"/>
              </w:rPr>
              <w:t>Trinité-et-Tobago</w:t>
            </w:r>
          </w:p>
        </w:tc>
        <w:tc>
          <w:tcPr>
            <w:tcW w:w="3629" w:type="dxa"/>
            <w:noWrap/>
            <w:tcMar>
              <w:top w:w="0" w:type="dxa"/>
              <w:left w:w="108" w:type="dxa"/>
              <w:bottom w:w="0" w:type="dxa"/>
              <w:right w:w="108" w:type="dxa"/>
            </w:tcMar>
            <w:hideMark/>
          </w:tcPr>
          <w:p w14:paraId="3EC2E1CD" w14:textId="77777777" w:rsidR="0032104A" w:rsidRPr="00A557BB" w:rsidRDefault="0032104A" w:rsidP="00EF2AC7">
            <w:pPr>
              <w:rPr>
                <w:sz w:val="20"/>
                <w:szCs w:val="20"/>
                <w:lang w:val="fr-FR"/>
              </w:rPr>
            </w:pPr>
            <w:r w:rsidRPr="00A557BB">
              <w:rPr>
                <w:sz w:val="20"/>
                <w:szCs w:val="20"/>
                <w:lang w:val="fr-FR"/>
              </w:rPr>
              <w:t>PGEH (phase I) : rapport sur l’utilisation temporaire d’une technologie à fort PRP</w:t>
            </w:r>
          </w:p>
        </w:tc>
        <w:tc>
          <w:tcPr>
            <w:tcW w:w="3420" w:type="dxa"/>
            <w:tcMar>
              <w:top w:w="0" w:type="dxa"/>
              <w:left w:w="108" w:type="dxa"/>
              <w:bottom w:w="0" w:type="dxa"/>
              <w:right w:w="108" w:type="dxa"/>
            </w:tcMar>
          </w:tcPr>
          <w:p w14:paraId="555D55E8" w14:textId="77777777" w:rsidR="0032104A" w:rsidRPr="00A557BB" w:rsidRDefault="00734133" w:rsidP="005A3C39">
            <w:pPr>
              <w:rPr>
                <w:sz w:val="20"/>
                <w:szCs w:val="20"/>
                <w:lang w:val="fr-FR"/>
              </w:rPr>
            </w:pPr>
            <w:r w:rsidRPr="00A557BB">
              <w:rPr>
                <w:sz w:val="20"/>
                <w:szCs w:val="20"/>
                <w:lang w:val="fr-FR"/>
              </w:rPr>
              <w:t>Proposition de radiation d'une entreprise en raison de l'utilisation d'un agent d'expansion de la mousse à fort PRP</w:t>
            </w:r>
          </w:p>
        </w:tc>
        <w:tc>
          <w:tcPr>
            <w:tcW w:w="1084" w:type="dxa"/>
          </w:tcPr>
          <w:p w14:paraId="78B5765A" w14:textId="77777777" w:rsidR="0032104A" w:rsidRPr="00A557BB" w:rsidRDefault="00287859" w:rsidP="00445E81">
            <w:pPr>
              <w:jc w:val="center"/>
              <w:rPr>
                <w:sz w:val="20"/>
                <w:szCs w:val="20"/>
                <w:lang w:val="fr-FR"/>
              </w:rPr>
            </w:pPr>
            <w:r w:rsidRPr="00A557BB">
              <w:rPr>
                <w:sz w:val="20"/>
                <w:szCs w:val="20"/>
                <w:lang w:val="fr-FR"/>
              </w:rPr>
              <w:t>212-217</w:t>
            </w:r>
          </w:p>
        </w:tc>
      </w:tr>
      <w:tr w:rsidR="0032104A" w:rsidRPr="00A557BB" w14:paraId="35B8275B" w14:textId="77777777" w:rsidTr="005017D1">
        <w:tc>
          <w:tcPr>
            <w:tcW w:w="9280" w:type="dxa"/>
            <w:gridSpan w:val="4"/>
            <w:tcMar>
              <w:top w:w="0" w:type="dxa"/>
              <w:left w:w="108" w:type="dxa"/>
              <w:bottom w:w="0" w:type="dxa"/>
              <w:right w:w="108" w:type="dxa"/>
            </w:tcMar>
            <w:hideMark/>
          </w:tcPr>
          <w:p w14:paraId="2821DA15" w14:textId="77777777" w:rsidR="0032104A" w:rsidRPr="00A557BB" w:rsidRDefault="0032104A" w:rsidP="0032104A">
            <w:pPr>
              <w:jc w:val="left"/>
              <w:rPr>
                <w:b/>
                <w:bCs/>
                <w:sz w:val="20"/>
                <w:szCs w:val="20"/>
                <w:lang w:val="fr-FR"/>
              </w:rPr>
            </w:pPr>
            <w:r w:rsidRPr="00A557BB">
              <w:rPr>
                <w:b/>
                <w:bCs/>
                <w:sz w:val="20"/>
                <w:szCs w:val="20"/>
                <w:lang w:val="fr-FR"/>
              </w:rPr>
              <w:t>Rapports concernant les PGEH</w:t>
            </w:r>
          </w:p>
        </w:tc>
      </w:tr>
      <w:tr w:rsidR="0032104A" w:rsidRPr="00A557BB" w14:paraId="23656CAA" w14:textId="77777777" w:rsidTr="005017D1">
        <w:tc>
          <w:tcPr>
            <w:tcW w:w="1147" w:type="dxa"/>
            <w:tcMar>
              <w:top w:w="0" w:type="dxa"/>
              <w:left w:w="108" w:type="dxa"/>
              <w:bottom w:w="0" w:type="dxa"/>
              <w:right w:w="108" w:type="dxa"/>
            </w:tcMar>
            <w:hideMark/>
          </w:tcPr>
          <w:p w14:paraId="74CA8BB9" w14:textId="77777777" w:rsidR="0032104A" w:rsidRPr="00A557BB" w:rsidRDefault="0032104A" w:rsidP="005A3C39">
            <w:pPr>
              <w:rPr>
                <w:sz w:val="20"/>
                <w:szCs w:val="20"/>
                <w:lang w:val="fr-FR"/>
              </w:rPr>
            </w:pPr>
            <w:r w:rsidRPr="00A557BB">
              <w:rPr>
                <w:sz w:val="20"/>
                <w:szCs w:val="20"/>
                <w:lang w:val="fr-FR"/>
              </w:rPr>
              <w:t>Indonésie</w:t>
            </w:r>
          </w:p>
        </w:tc>
        <w:tc>
          <w:tcPr>
            <w:tcW w:w="3629" w:type="dxa"/>
            <w:noWrap/>
            <w:tcMar>
              <w:top w:w="0" w:type="dxa"/>
              <w:left w:w="108" w:type="dxa"/>
              <w:bottom w:w="0" w:type="dxa"/>
              <w:right w:w="108" w:type="dxa"/>
            </w:tcMar>
            <w:hideMark/>
          </w:tcPr>
          <w:p w14:paraId="195F24DB" w14:textId="77777777" w:rsidR="0032104A" w:rsidRPr="00A557BB" w:rsidRDefault="0032104A" w:rsidP="00EF2AC7">
            <w:pPr>
              <w:rPr>
                <w:sz w:val="20"/>
                <w:szCs w:val="20"/>
                <w:lang w:val="fr-FR"/>
              </w:rPr>
            </w:pPr>
            <w:r w:rsidRPr="00A557BB">
              <w:rPr>
                <w:sz w:val="20"/>
                <w:szCs w:val="20"/>
                <w:lang w:val="fr-FR"/>
              </w:rPr>
              <w:t>PGEH (phase I)</w:t>
            </w:r>
            <w:r w:rsidR="00E916A0" w:rsidRPr="00A557BB">
              <w:rPr>
                <w:sz w:val="20"/>
                <w:szCs w:val="20"/>
                <w:lang w:val="fr-FR"/>
              </w:rPr>
              <w:t xml:space="preserve"> </w:t>
            </w:r>
            <w:r w:rsidRPr="00A557BB">
              <w:rPr>
                <w:sz w:val="20"/>
                <w:szCs w:val="20"/>
                <w:lang w:val="fr-FR"/>
              </w:rPr>
              <w:t xml:space="preserve">: Rapport d'avancement et rapport sur l'état de la </w:t>
            </w:r>
            <w:r w:rsidR="002F5396" w:rsidRPr="00A557BB">
              <w:rPr>
                <w:sz w:val="20"/>
                <w:szCs w:val="20"/>
                <w:lang w:val="fr-FR"/>
              </w:rPr>
              <w:t>reconversion</w:t>
            </w:r>
            <w:r w:rsidRPr="00A557BB">
              <w:rPr>
                <w:sz w:val="20"/>
                <w:szCs w:val="20"/>
                <w:lang w:val="fr-FR"/>
              </w:rPr>
              <w:t xml:space="preserve"> des entreprises de réfrigération et de climatisation et de la </w:t>
            </w:r>
            <w:r w:rsidR="002F5396" w:rsidRPr="00A557BB">
              <w:rPr>
                <w:sz w:val="20"/>
                <w:szCs w:val="20"/>
                <w:lang w:val="fr-FR"/>
              </w:rPr>
              <w:t>reconversion</w:t>
            </w:r>
            <w:r w:rsidRPr="00A557BB">
              <w:rPr>
                <w:sz w:val="20"/>
                <w:szCs w:val="20"/>
                <w:lang w:val="fr-FR"/>
              </w:rPr>
              <w:t xml:space="preserve"> des mousses de polyuréthane</w:t>
            </w:r>
          </w:p>
        </w:tc>
        <w:tc>
          <w:tcPr>
            <w:tcW w:w="3420" w:type="dxa"/>
            <w:tcMar>
              <w:top w:w="0" w:type="dxa"/>
              <w:left w:w="108" w:type="dxa"/>
              <w:bottom w:w="0" w:type="dxa"/>
              <w:right w:w="108" w:type="dxa"/>
            </w:tcMar>
          </w:tcPr>
          <w:p w14:paraId="7215A7B8" w14:textId="77777777" w:rsidR="0032104A" w:rsidRPr="00A557BB" w:rsidRDefault="00EF2AC7" w:rsidP="00EF2AC7">
            <w:pPr>
              <w:rPr>
                <w:sz w:val="20"/>
                <w:szCs w:val="20"/>
                <w:lang w:val="fr-FR"/>
              </w:rPr>
            </w:pPr>
            <w:r w:rsidRPr="00A557BB">
              <w:rPr>
                <w:sz w:val="20"/>
                <w:szCs w:val="20"/>
                <w:lang w:val="fr-FR"/>
              </w:rPr>
              <w:t xml:space="preserve">Mise à jour sur l'état de la </w:t>
            </w:r>
            <w:r w:rsidR="002F5396" w:rsidRPr="00A557BB">
              <w:rPr>
                <w:sz w:val="20"/>
                <w:szCs w:val="20"/>
                <w:lang w:val="fr-FR"/>
              </w:rPr>
              <w:t>reconversion</w:t>
            </w:r>
            <w:r w:rsidRPr="00A557BB">
              <w:rPr>
                <w:sz w:val="20"/>
                <w:szCs w:val="20"/>
                <w:lang w:val="fr-FR"/>
              </w:rPr>
              <w:t>, proposition de radiation de certaines entreprises et proposition de prolongation de la phase I</w:t>
            </w:r>
          </w:p>
        </w:tc>
        <w:tc>
          <w:tcPr>
            <w:tcW w:w="1084" w:type="dxa"/>
            <w:hideMark/>
          </w:tcPr>
          <w:p w14:paraId="43D02698" w14:textId="77777777" w:rsidR="0032104A" w:rsidRPr="00A557BB" w:rsidRDefault="00287859" w:rsidP="00445E81">
            <w:pPr>
              <w:jc w:val="center"/>
              <w:rPr>
                <w:sz w:val="20"/>
                <w:szCs w:val="20"/>
                <w:lang w:val="fr-FR"/>
              </w:rPr>
            </w:pPr>
            <w:r w:rsidRPr="00A557BB">
              <w:rPr>
                <w:sz w:val="20"/>
                <w:szCs w:val="20"/>
                <w:lang w:val="fr-FR"/>
              </w:rPr>
              <w:t>218-241</w:t>
            </w:r>
          </w:p>
        </w:tc>
      </w:tr>
    </w:tbl>
    <w:p w14:paraId="05066843" w14:textId="77777777" w:rsidR="0032104A" w:rsidRPr="00A557BB" w:rsidRDefault="0032104A" w:rsidP="00A25648">
      <w:pPr>
        <w:rPr>
          <w:lang w:val="fr-FR"/>
        </w:rPr>
      </w:pPr>
    </w:p>
    <w:p w14:paraId="77E0D1DC" w14:textId="77777777" w:rsidR="00D11B6F" w:rsidRDefault="00D11B6F">
      <w:pPr>
        <w:jc w:val="left"/>
        <w:rPr>
          <w:b/>
          <w:lang w:val="fr-FR"/>
        </w:rPr>
      </w:pPr>
      <w:r>
        <w:rPr>
          <w:b/>
          <w:lang w:val="fr-FR"/>
        </w:rPr>
        <w:br w:type="page"/>
      </w:r>
    </w:p>
    <w:p w14:paraId="61DA9626" w14:textId="242699A3" w:rsidR="00B642D3" w:rsidRPr="00A557BB" w:rsidRDefault="00E07D7C" w:rsidP="0032104A">
      <w:pPr>
        <w:ind w:left="1440" w:hanging="1440"/>
        <w:rPr>
          <w:b/>
          <w:lang w:val="fr-FR"/>
        </w:rPr>
      </w:pPr>
      <w:r w:rsidRPr="00A557BB">
        <w:rPr>
          <w:b/>
          <w:lang w:val="fr-FR"/>
        </w:rPr>
        <w:lastRenderedPageBreak/>
        <w:t>SECTION I :</w:t>
      </w:r>
      <w:r w:rsidRPr="00A557BB">
        <w:rPr>
          <w:b/>
          <w:lang w:val="fr-FR"/>
        </w:rPr>
        <w:tab/>
        <w:t>RAPPORT SUR LES PROJETS COMPORTANT DES EXIGENCES PARTICULIÈRES POUR LA REMISE DES RAPPORTS</w:t>
      </w:r>
    </w:p>
    <w:p w14:paraId="19BF1868" w14:textId="77777777" w:rsidR="00B642D3" w:rsidRPr="00A557BB" w:rsidRDefault="00B642D3" w:rsidP="009036A6">
      <w:pPr>
        <w:rPr>
          <w:sz w:val="20"/>
          <w:szCs w:val="20"/>
          <w:highlight w:val="yellow"/>
          <w:lang w:val="fr-FR"/>
        </w:rPr>
      </w:pPr>
    </w:p>
    <w:p w14:paraId="53181723" w14:textId="77777777" w:rsidR="00B642D3" w:rsidRPr="00A557BB" w:rsidRDefault="00B642D3" w:rsidP="009036A6">
      <w:pPr>
        <w:ind w:left="1440" w:hanging="1440"/>
        <w:rPr>
          <w:b/>
          <w:u w:val="single"/>
          <w:lang w:val="fr-FR"/>
        </w:rPr>
      </w:pPr>
      <w:r w:rsidRPr="00A557BB">
        <w:rPr>
          <w:b/>
          <w:u w:val="single"/>
          <w:lang w:val="fr-FR"/>
        </w:rPr>
        <w:t>Projets de destruction des SAO résiduaires</w:t>
      </w:r>
    </w:p>
    <w:p w14:paraId="5E3C6CE2" w14:textId="77777777" w:rsidR="00B642D3" w:rsidRPr="00A557BB" w:rsidRDefault="00B642D3" w:rsidP="009036A6">
      <w:pPr>
        <w:rPr>
          <w:lang w:val="fr-FR"/>
        </w:rPr>
      </w:pPr>
    </w:p>
    <w:p w14:paraId="4F2A0BC4" w14:textId="77777777" w:rsidR="00E3143A" w:rsidRPr="00A557BB" w:rsidRDefault="00E3143A" w:rsidP="00E3143A">
      <w:pPr>
        <w:keepNext/>
        <w:tabs>
          <w:tab w:val="left" w:pos="2880"/>
          <w:tab w:val="left" w:pos="5760"/>
        </w:tabs>
        <w:spacing w:after="240"/>
        <w:rPr>
          <w:lang w:val="fr-FR"/>
        </w:rPr>
      </w:pPr>
      <w:r w:rsidRPr="00A557BB">
        <w:rPr>
          <w:u w:val="single"/>
          <w:lang w:val="fr-FR"/>
        </w:rPr>
        <w:t>Brésil : Projet pilote de démonstration sur la gestion et la destruction des SAO résiduaires : rapport périodique</w:t>
      </w:r>
      <w:r w:rsidRPr="00A557BB">
        <w:rPr>
          <w:lang w:val="fr-FR"/>
        </w:rPr>
        <w:t xml:space="preserve"> (PNUD)</w:t>
      </w:r>
    </w:p>
    <w:p w14:paraId="1B124D19" w14:textId="77777777" w:rsidR="00E3143A" w:rsidRPr="00A557BB" w:rsidRDefault="00E3143A" w:rsidP="00E3143A">
      <w:pPr>
        <w:keepNext/>
        <w:keepLines/>
        <w:spacing w:after="240"/>
        <w:rPr>
          <w:b/>
          <w:lang w:val="fr-FR"/>
        </w:rPr>
      </w:pPr>
      <w:r w:rsidRPr="00A557BB">
        <w:rPr>
          <w:b/>
          <w:lang w:val="fr-FR"/>
        </w:rPr>
        <w:t>Historique</w:t>
      </w:r>
    </w:p>
    <w:p w14:paraId="28248B54" w14:textId="77777777" w:rsidR="00E3143A" w:rsidRPr="00A557BB" w:rsidRDefault="00E3143A" w:rsidP="00E3143A">
      <w:pPr>
        <w:numPr>
          <w:ilvl w:val="0"/>
          <w:numId w:val="1"/>
        </w:numPr>
        <w:spacing w:after="240"/>
        <w:outlineLvl w:val="0"/>
        <w:rPr>
          <w:lang w:val="fr-FR"/>
        </w:rPr>
      </w:pPr>
      <w:r w:rsidRPr="00A557BB">
        <w:rPr>
          <w:lang w:val="fr-FR"/>
        </w:rPr>
        <w:t>Le PNUD, à titre d’agence d’exécution désignée, a remis le rapport final sur la mise en œuvre du projet pilote de démonstration sur la gestion et la destruction des SAO résiduaires au Brésil, conformément à la décision 79/18(d)(ii).</w:t>
      </w:r>
      <w:r w:rsidRPr="00A557BB">
        <w:rPr>
          <w:vertAlign w:val="superscript"/>
          <w:lang w:val="fr-FR"/>
        </w:rPr>
        <w:footnoteReference w:id="3"/>
      </w:r>
    </w:p>
    <w:p w14:paraId="1D01E7CA" w14:textId="77777777" w:rsidR="00E3143A" w:rsidRPr="00A557BB" w:rsidRDefault="00E3143A" w:rsidP="00E3143A">
      <w:pPr>
        <w:spacing w:after="240"/>
        <w:rPr>
          <w:b/>
          <w:lang w:val="fr-FR"/>
        </w:rPr>
      </w:pPr>
      <w:r w:rsidRPr="00A557BB">
        <w:rPr>
          <w:b/>
          <w:lang w:val="fr-FR"/>
        </w:rPr>
        <w:t>Rapport périodique</w:t>
      </w:r>
    </w:p>
    <w:p w14:paraId="6D25F4CA" w14:textId="77777777" w:rsidR="00E3143A" w:rsidRPr="00A557BB" w:rsidRDefault="00E3143A" w:rsidP="00E3143A">
      <w:pPr>
        <w:pStyle w:val="Heading1"/>
        <w:rPr>
          <w:lang w:val="fr-FR"/>
        </w:rPr>
      </w:pPr>
      <w:r w:rsidRPr="00A557BB">
        <w:rPr>
          <w:lang w:val="fr-FR"/>
        </w:rPr>
        <w:t>Dans le rapport qu'il a soumis à la 82</w:t>
      </w:r>
      <w:r w:rsidRPr="00A557BB">
        <w:rPr>
          <w:vertAlign w:val="superscript"/>
          <w:lang w:val="fr-FR"/>
        </w:rPr>
        <w:t>e</w:t>
      </w:r>
      <w:r w:rsidRPr="00A557BB">
        <w:rPr>
          <w:lang w:val="fr-FR"/>
        </w:rPr>
        <w:t xml:space="preserve"> réunion, le PNUD indiquait que les centres de récupération </w:t>
      </w:r>
      <w:r w:rsidR="00E916A0" w:rsidRPr="00A557BB">
        <w:rPr>
          <w:lang w:val="fr-FR"/>
        </w:rPr>
        <w:t>mis à disposition du</w:t>
      </w:r>
      <w:r w:rsidRPr="00A557BB">
        <w:rPr>
          <w:lang w:val="fr-FR"/>
        </w:rPr>
        <w:t xml:space="preserve"> secteur de l’entretien avaient été dotés d’équipements permettant la collecte et le stockage de frigorigènes résiduaires ainsi que de matériel de laboratoire permettant de faire des tests. L’installation du matériel de laboratoire a été achevée dans certains centres et le personnel a été formé aux procédures adoptées par l’Institut pour la climatisation, le chauffage et la réfrigération (AHRI) pour ce qui concerne les essais, les bonnes pratiques, la sécurité, les normes et la législation. Le personnel de trois autres centres de récupération, qui ont reçu du matériel de chromatographie en phase gazeuse, a également été formé à l’utilisation de ce matériel ; des équipements similaires devraient être installés dans un autre centre avant la fin 2019, après quoi une formation sera dispensée. </w:t>
      </w:r>
    </w:p>
    <w:p w14:paraId="642CE35D" w14:textId="77777777" w:rsidR="00E3143A" w:rsidRPr="00A557BB" w:rsidRDefault="00E3143A" w:rsidP="00E3143A">
      <w:pPr>
        <w:pStyle w:val="Heading1"/>
        <w:rPr>
          <w:lang w:val="fr-FR"/>
        </w:rPr>
      </w:pPr>
      <w:r w:rsidRPr="00A557BB">
        <w:rPr>
          <w:lang w:val="fr-FR"/>
        </w:rPr>
        <w:t xml:space="preserve">Après avoir terminé les activités et les protocoles relatifs aux exigences environnementales des méthodes relatives aux essais de combustion, l’installation d’incinération (Essencis) a mis la dernière main </w:t>
      </w:r>
      <w:r w:rsidR="00614272" w:rsidRPr="00A557BB">
        <w:rPr>
          <w:lang w:val="fr-FR"/>
        </w:rPr>
        <w:t>aux ajustements</w:t>
      </w:r>
      <w:r w:rsidRPr="00A557BB">
        <w:rPr>
          <w:lang w:val="fr-FR"/>
        </w:rPr>
        <w:t xml:space="preserve"> de processus pour l’incinération de SAO, effectué des essais de </w:t>
      </w:r>
      <w:r w:rsidR="00614272" w:rsidRPr="00A557BB">
        <w:rPr>
          <w:lang w:val="fr-FR"/>
        </w:rPr>
        <w:t>précombustion</w:t>
      </w:r>
      <w:r w:rsidRPr="00A557BB">
        <w:rPr>
          <w:lang w:val="fr-FR"/>
        </w:rPr>
        <w:t xml:space="preserve"> (en septembre 2019) et terminé l’essai officiel de combustion (en octobre 2019). Ces essais ont été supervisés par CETESB </w:t>
      </w:r>
      <w:r w:rsidRPr="00A557BB">
        <w:rPr>
          <w:vertAlign w:val="superscript"/>
          <w:lang w:val="fr-FR"/>
        </w:rPr>
        <w:footnoteReference w:id="4"/>
      </w:r>
      <w:r w:rsidRPr="00A557BB">
        <w:rPr>
          <w:lang w:val="fr-FR"/>
        </w:rPr>
        <w:t>. Les résultats préliminaires laissent à penser que le processus est conforme aux normes d'émissions atmosphériques. Il est à espérer que les essais complémentaires confirmeront la conformité du processus avec le niveau d'efficacité de destruction recommandé par la législation brésilienne. Cela permettrait à l'installation de recevoir l'autorisation finale du CETESB et de mener à bien la destruction des SAO. Le permis d'exploitation d'Essencis, qui est une installation habilitée à la destruction de SAO, devrait être délivré au cours du premier trimestre 2020.</w:t>
      </w:r>
    </w:p>
    <w:p w14:paraId="291B5BE6" w14:textId="77777777" w:rsidR="00E3143A" w:rsidRPr="00A557BB" w:rsidRDefault="00E3143A" w:rsidP="00E3143A">
      <w:pPr>
        <w:spacing w:after="240"/>
        <w:rPr>
          <w:b/>
          <w:lang w:val="fr-FR"/>
        </w:rPr>
      </w:pPr>
      <w:r w:rsidRPr="00A557BB">
        <w:rPr>
          <w:b/>
          <w:lang w:val="fr-FR"/>
        </w:rPr>
        <w:t>Observations du Secrétariat</w:t>
      </w:r>
    </w:p>
    <w:p w14:paraId="19A15CBA" w14:textId="77777777" w:rsidR="00E3143A" w:rsidRPr="00A557BB" w:rsidRDefault="00E3143A" w:rsidP="00E3143A">
      <w:pPr>
        <w:numPr>
          <w:ilvl w:val="0"/>
          <w:numId w:val="1"/>
        </w:numPr>
        <w:spacing w:after="240"/>
        <w:outlineLvl w:val="0"/>
        <w:rPr>
          <w:lang w:val="fr-FR"/>
        </w:rPr>
      </w:pPr>
      <w:r w:rsidRPr="00A557BB">
        <w:rPr>
          <w:lang w:val="fr-FR"/>
        </w:rPr>
        <w:t xml:space="preserve">Le Secrétariat a pris note du fait que le projet de démonstration pilote progresse. En réponse à une demande de clarification, le PNUD a expliqué qu'à la mi-2020, l'installation de destruction devrait être pleinement opérationnelle et que le modèle de gestion proposé pour la gestion durable des déchets de SAO au Brésil serait élaboré. Un rapport complet contenant une évaluation de la gestion des SAO résiduaires et de leur élimination doit être fourni au Comité exécutif à l'issue du projet. </w:t>
      </w:r>
    </w:p>
    <w:p w14:paraId="5E6EFAB3" w14:textId="77777777" w:rsidR="00E3143A" w:rsidRPr="00A557BB" w:rsidRDefault="00E3143A" w:rsidP="00E3143A">
      <w:pPr>
        <w:keepNext/>
        <w:spacing w:after="240"/>
        <w:outlineLvl w:val="0"/>
        <w:rPr>
          <w:lang w:val="fr-FR"/>
        </w:rPr>
      </w:pPr>
      <w:r w:rsidRPr="00A557BB">
        <w:rPr>
          <w:b/>
          <w:lang w:val="fr-FR"/>
        </w:rPr>
        <w:lastRenderedPageBreak/>
        <w:t>Recommandation</w:t>
      </w:r>
    </w:p>
    <w:p w14:paraId="62948888" w14:textId="77777777" w:rsidR="00E3143A" w:rsidRPr="00A557BB" w:rsidRDefault="00E3143A" w:rsidP="00E3143A">
      <w:pPr>
        <w:numPr>
          <w:ilvl w:val="0"/>
          <w:numId w:val="1"/>
        </w:numPr>
        <w:spacing w:after="240"/>
        <w:outlineLvl w:val="0"/>
        <w:rPr>
          <w:lang w:val="fr-FR"/>
        </w:rPr>
      </w:pPr>
      <w:r w:rsidRPr="00A557BB">
        <w:rPr>
          <w:lang w:val="fr-FR"/>
        </w:rPr>
        <w:t xml:space="preserve">Le Comité exécutif pourrait souhaiter prendre note du rapport sur l'état d'avancement du projet pilote de démonstration sur la gestion et la destruction des SAO résiduaires au Brésil, soumis par le PNUD, </w:t>
      </w:r>
      <w:r w:rsidR="00E916A0" w:rsidRPr="00A557BB">
        <w:rPr>
          <w:lang w:val="fr-FR"/>
        </w:rPr>
        <w:t>paru</w:t>
      </w:r>
      <w:r w:rsidRPr="00A557BB">
        <w:rPr>
          <w:lang w:val="fr-FR"/>
        </w:rPr>
        <w:t xml:space="preserve"> sous la cote UNEP/Ozl.Pro/ExCom/84/22.</w:t>
      </w:r>
    </w:p>
    <w:p w14:paraId="7746ABA2" w14:textId="77777777" w:rsidR="00B642D3" w:rsidRPr="00A557BB" w:rsidRDefault="0057313B" w:rsidP="00541ED5">
      <w:pPr>
        <w:spacing w:after="240"/>
        <w:rPr>
          <w:b/>
          <w:u w:val="single"/>
          <w:lang w:val="fr-FR"/>
        </w:rPr>
      </w:pPr>
      <w:r w:rsidRPr="00A557BB">
        <w:rPr>
          <w:b/>
          <w:u w:val="single"/>
          <w:lang w:val="fr-FR"/>
        </w:rPr>
        <w:t xml:space="preserve">Utilisation temporaire d’une technologie à fort potentiel de réchauffement de la planète dans des projets approuvés </w:t>
      </w:r>
    </w:p>
    <w:p w14:paraId="6D336B12" w14:textId="77777777" w:rsidR="00205D0C" w:rsidRPr="00A557BB" w:rsidRDefault="00205D0C" w:rsidP="00205D0C">
      <w:pPr>
        <w:rPr>
          <w:lang w:val="fr-FR"/>
        </w:rPr>
      </w:pPr>
      <w:bookmarkStart w:id="1" w:name="_Hlk527384336"/>
      <w:r w:rsidRPr="00A557BB">
        <w:rPr>
          <w:u w:val="single"/>
          <w:lang w:val="fr-FR"/>
        </w:rPr>
        <w:t>Cuba: Plan de gestion de l'élimination des HCFC (phase I - Rapport sur l'état de la reconversion des entreprises FRIARC et IDA)</w:t>
      </w:r>
      <w:r w:rsidRPr="00A557BB">
        <w:rPr>
          <w:lang w:val="fr-FR"/>
        </w:rPr>
        <w:t xml:space="preserve"> (PNUD)</w:t>
      </w:r>
    </w:p>
    <w:p w14:paraId="689F903E" w14:textId="77777777" w:rsidR="00205D0C" w:rsidRPr="00A557BB" w:rsidRDefault="00205D0C" w:rsidP="00205D0C">
      <w:pPr>
        <w:rPr>
          <w:lang w:val="fr-FR"/>
        </w:rPr>
      </w:pPr>
    </w:p>
    <w:p w14:paraId="4C6D7A5B" w14:textId="77777777" w:rsidR="00205D0C" w:rsidRPr="00A557BB" w:rsidRDefault="00205D0C" w:rsidP="00205D0C">
      <w:pPr>
        <w:rPr>
          <w:b/>
          <w:lang w:val="fr-FR"/>
        </w:rPr>
      </w:pPr>
      <w:r w:rsidRPr="00A557BB">
        <w:rPr>
          <w:b/>
          <w:lang w:val="fr-FR"/>
        </w:rPr>
        <w:t>Historique</w:t>
      </w:r>
    </w:p>
    <w:p w14:paraId="1EFBDB1D" w14:textId="77777777" w:rsidR="00205D0C" w:rsidRPr="00A557BB" w:rsidRDefault="00205D0C" w:rsidP="00205D0C">
      <w:pPr>
        <w:rPr>
          <w:lang w:val="fr-FR"/>
        </w:rPr>
      </w:pPr>
    </w:p>
    <w:p w14:paraId="3F11AA26" w14:textId="77777777" w:rsidR="00205D0C" w:rsidRPr="00A557BB" w:rsidRDefault="00205D0C" w:rsidP="00205D0C">
      <w:pPr>
        <w:numPr>
          <w:ilvl w:val="0"/>
          <w:numId w:val="1"/>
        </w:numPr>
        <w:tabs>
          <w:tab w:val="clear" w:pos="0"/>
          <w:tab w:val="num" w:pos="710"/>
        </w:tabs>
        <w:spacing w:after="240"/>
        <w:outlineLvl w:val="0"/>
        <w:rPr>
          <w:lang w:val="fr-FR"/>
        </w:rPr>
      </w:pPr>
      <w:r w:rsidRPr="00A557BB">
        <w:rPr>
          <w:lang w:val="fr-FR"/>
        </w:rPr>
        <w:t>À la 77</w:t>
      </w:r>
      <w:r w:rsidRPr="00A557BB">
        <w:rPr>
          <w:vertAlign w:val="superscript"/>
          <w:lang w:val="fr-FR"/>
        </w:rPr>
        <w:t>e</w:t>
      </w:r>
      <w:r w:rsidRPr="00A557BB">
        <w:rPr>
          <w:lang w:val="fr-FR"/>
        </w:rPr>
        <w:t xml:space="preserve"> réunion, le Gouvernement de Cuba a soumis une demande d’approbation de la troisième tranche de la phase I de son PGEH</w:t>
      </w:r>
      <w:r w:rsidRPr="00A557BB">
        <w:rPr>
          <w:vertAlign w:val="superscript"/>
          <w:lang w:val="fr-FR"/>
        </w:rPr>
        <w:footnoteReference w:id="5"/>
      </w:r>
      <w:r w:rsidR="00E916A0" w:rsidRPr="00A557BB">
        <w:rPr>
          <w:lang w:val="fr-FR"/>
        </w:rPr>
        <w:t xml:space="preserve"> en </w:t>
      </w:r>
      <w:r w:rsidRPr="00A557BB">
        <w:rPr>
          <w:lang w:val="fr-FR"/>
        </w:rPr>
        <w:t xml:space="preserve">indiquant que, bien que deux entreprises de mousses PU (à savoir Friarc et IDA) aient reçu une assistance pour la reconversion à une </w:t>
      </w:r>
      <w:r w:rsidR="00614272" w:rsidRPr="00A557BB">
        <w:rPr>
          <w:lang w:val="fr-FR"/>
        </w:rPr>
        <w:t xml:space="preserve">technologie de gonflage </w:t>
      </w:r>
      <w:r w:rsidRPr="00A557BB">
        <w:rPr>
          <w:lang w:val="fr-FR"/>
        </w:rPr>
        <w:t xml:space="preserve">à base </w:t>
      </w:r>
      <w:r w:rsidR="007C24E0" w:rsidRPr="00A557BB">
        <w:rPr>
          <w:lang w:val="fr-FR"/>
        </w:rPr>
        <w:t>d</w:t>
      </w:r>
      <w:r w:rsidRPr="00A557BB">
        <w:rPr>
          <w:lang w:val="fr-FR"/>
        </w:rPr>
        <w:t>’</w:t>
      </w:r>
      <w:r w:rsidR="007C24E0" w:rsidRPr="00A557BB">
        <w:rPr>
          <w:lang w:val="fr-FR"/>
        </w:rPr>
        <w:t xml:space="preserve">eau </w:t>
      </w:r>
      <w:r w:rsidRPr="00A557BB">
        <w:rPr>
          <w:lang w:val="fr-FR"/>
        </w:rPr>
        <w:t>(une technologie à faible PRP), elles utilisent à titre temporaire un mélange de HFC-365mfc et de HFC</w:t>
      </w:r>
      <w:r w:rsidR="00614272" w:rsidRPr="00A557BB">
        <w:rPr>
          <w:lang w:val="fr-FR"/>
        </w:rPr>
        <w:t xml:space="preserve">-227ea </w:t>
      </w:r>
      <w:r w:rsidRPr="00A557BB">
        <w:rPr>
          <w:lang w:val="fr-FR"/>
        </w:rPr>
        <w:t>(une technologie à fort PRP), parce que la technologie initialement r</w:t>
      </w:r>
      <w:r w:rsidR="00614272" w:rsidRPr="00A557BB">
        <w:rPr>
          <w:lang w:val="fr-FR"/>
        </w:rPr>
        <w:t xml:space="preserve">etenue n’était pas disponible, </w:t>
      </w:r>
      <w:r w:rsidRPr="00A557BB">
        <w:rPr>
          <w:lang w:val="fr-FR"/>
        </w:rPr>
        <w:t>et ne donne pas des performances d’isolation requises.</w:t>
      </w:r>
    </w:p>
    <w:p w14:paraId="23B939A4" w14:textId="77777777" w:rsidR="00205D0C" w:rsidRPr="00A557BB" w:rsidRDefault="00205D0C" w:rsidP="00205D0C">
      <w:pPr>
        <w:numPr>
          <w:ilvl w:val="0"/>
          <w:numId w:val="1"/>
        </w:numPr>
        <w:tabs>
          <w:tab w:val="clear" w:pos="0"/>
          <w:tab w:val="num" w:pos="710"/>
        </w:tabs>
        <w:spacing w:after="240"/>
        <w:outlineLvl w:val="0"/>
        <w:rPr>
          <w:lang w:val="fr-FR"/>
        </w:rPr>
      </w:pPr>
      <w:r w:rsidRPr="00A557BB">
        <w:rPr>
          <w:lang w:val="fr-FR"/>
        </w:rPr>
        <w:t xml:space="preserve">Saisi de la question, le Comité exécutif a demandé au PNUD de continuer à aider le Gouvernement </w:t>
      </w:r>
      <w:r w:rsidR="00614272" w:rsidRPr="00A557BB">
        <w:rPr>
          <w:lang w:val="fr-FR"/>
        </w:rPr>
        <w:t xml:space="preserve"> à assurer la disponibilité de </w:t>
      </w:r>
      <w:r w:rsidRPr="00A557BB">
        <w:rPr>
          <w:lang w:val="fr-FR"/>
        </w:rPr>
        <w:t xml:space="preserve">technologie à faible PRP et de rendre compte de la situation de l’utilisation de la technologie intérimaire à chaque réunion jusqu’à ce que la technologie initialement retenue ou une autre technologie à faible PRP soit </w:t>
      </w:r>
      <w:r w:rsidR="00E916A0" w:rsidRPr="00A557BB">
        <w:rPr>
          <w:lang w:val="fr-FR"/>
        </w:rPr>
        <w:t>en production</w:t>
      </w:r>
      <w:r w:rsidRPr="00A557BB">
        <w:rPr>
          <w:lang w:val="fr-FR"/>
        </w:rPr>
        <w:t xml:space="preserve"> et que les entreprises aient été reconverties (décision 77/50(b)), ainsi qu'une analyse détaillée des surcoûts d’investissement et d’exploitation en cas d’utilisation d’une technologie autre que celle qui avait été sélectionnée à l’approbation du projet, et une mise à jour par les fournisseurs des progrès réalisés pour assurer que les technologies retenues, incluant les éléments connexes, soient </w:t>
      </w:r>
      <w:r w:rsidR="00E916A0" w:rsidRPr="00A557BB">
        <w:rPr>
          <w:lang w:val="fr-FR"/>
        </w:rPr>
        <w:t xml:space="preserve">disponibles à l’achat </w:t>
      </w:r>
      <w:r w:rsidRPr="00A557BB">
        <w:rPr>
          <w:lang w:val="fr-FR"/>
        </w:rPr>
        <w:t>dans le pays (décision 81/10(b)).</w:t>
      </w:r>
    </w:p>
    <w:p w14:paraId="13E50725" w14:textId="77777777" w:rsidR="00205D0C" w:rsidRPr="00A557BB" w:rsidRDefault="00205D0C" w:rsidP="00205D0C">
      <w:pPr>
        <w:numPr>
          <w:ilvl w:val="0"/>
          <w:numId w:val="1"/>
        </w:numPr>
        <w:tabs>
          <w:tab w:val="clear" w:pos="0"/>
          <w:tab w:val="num" w:pos="710"/>
        </w:tabs>
        <w:spacing w:after="240"/>
        <w:outlineLvl w:val="0"/>
        <w:rPr>
          <w:lang w:val="fr-FR"/>
        </w:rPr>
      </w:pPr>
      <w:r w:rsidRPr="00A557BB">
        <w:rPr>
          <w:lang w:val="fr-FR"/>
        </w:rPr>
        <w:t>Conformément aux décisions 77/50(b) et 81/10(b), le PNUD a indiqué que, suite aux essais effectués en novembre 2018, les entreprises concernées avaient</w:t>
      </w:r>
      <w:r w:rsidR="00E916A0" w:rsidRPr="00A557BB">
        <w:rPr>
          <w:lang w:val="fr-FR"/>
        </w:rPr>
        <w:t xml:space="preserve"> entrepris une seconde série d'</w:t>
      </w:r>
      <w:r w:rsidRPr="00A557BB">
        <w:rPr>
          <w:lang w:val="fr-FR"/>
        </w:rPr>
        <w:t>essais, avec l'aide de ce fournisseur issu de la région. Dans les deux entreprises, les essais ont été infructueux en raison de la dégradation du catalyseur du système après quatre mois de fonctionnement. Dans le cas de Friarc, l'entreprise a décidé de se procurer l'unité d'injection de mousse incluse dans le projet et d'explorer à nouveau la possibilité d'</w:t>
      </w:r>
      <w:r w:rsidR="00614272" w:rsidRPr="00A557BB">
        <w:rPr>
          <w:lang w:val="fr-FR"/>
        </w:rPr>
        <w:t xml:space="preserve">utiliser des </w:t>
      </w:r>
      <w:r w:rsidR="00E916A0" w:rsidRPr="00A557BB">
        <w:rPr>
          <w:lang w:val="fr-FR"/>
        </w:rPr>
        <w:t>formulations</w:t>
      </w:r>
      <w:r w:rsidR="00614272" w:rsidRPr="00A557BB">
        <w:rPr>
          <w:lang w:val="fr-FR"/>
        </w:rPr>
        <w:t xml:space="preserve"> à base </w:t>
      </w:r>
      <w:r w:rsidR="00E916A0" w:rsidRPr="00A557BB">
        <w:rPr>
          <w:lang w:val="fr-FR"/>
        </w:rPr>
        <w:t>aqueuse</w:t>
      </w:r>
      <w:r w:rsidRPr="00A557BB">
        <w:rPr>
          <w:lang w:val="fr-FR"/>
        </w:rPr>
        <w:t xml:space="preserve">, </w:t>
      </w:r>
      <w:r w:rsidR="00E916A0" w:rsidRPr="00A557BB">
        <w:rPr>
          <w:lang w:val="fr-FR"/>
        </w:rPr>
        <w:t>qui sont</w:t>
      </w:r>
      <w:r w:rsidRPr="00A557BB">
        <w:rPr>
          <w:lang w:val="fr-FR"/>
        </w:rPr>
        <w:t xml:space="preserve"> la technologie approuvée pour le projet.</w:t>
      </w:r>
    </w:p>
    <w:p w14:paraId="544FE39E" w14:textId="77777777" w:rsidR="00205D0C" w:rsidRPr="00A557BB" w:rsidRDefault="00205D0C" w:rsidP="00205D0C">
      <w:pPr>
        <w:numPr>
          <w:ilvl w:val="0"/>
          <w:numId w:val="1"/>
        </w:numPr>
        <w:tabs>
          <w:tab w:val="clear" w:pos="0"/>
          <w:tab w:val="num" w:pos="710"/>
        </w:tabs>
        <w:spacing w:after="240"/>
        <w:outlineLvl w:val="0"/>
        <w:rPr>
          <w:lang w:val="fr-FR"/>
        </w:rPr>
      </w:pPr>
      <w:r w:rsidRPr="00A557BB">
        <w:rPr>
          <w:lang w:val="fr-FR"/>
        </w:rPr>
        <w:t xml:space="preserve">Afin de remédier à la dégradation du système provoquée par le catalyseur, le fournisseur étudie la possibilité de fournir le polyol sans mélanger préalablement le catalyseur et d'ajouter le catalyseur une fois que la mousse aura été produite par l'entreprise de fabrication de mousse. Le PNUD a également demandé des échantillons de </w:t>
      </w:r>
      <w:r w:rsidR="002F5396" w:rsidRPr="00A557BB">
        <w:rPr>
          <w:lang w:val="fr-FR"/>
        </w:rPr>
        <w:t>formulations</w:t>
      </w:r>
      <w:r w:rsidRPr="00A557BB">
        <w:rPr>
          <w:lang w:val="fr-FR"/>
        </w:rPr>
        <w:t xml:space="preserve"> à base de </w:t>
      </w:r>
      <w:r w:rsidR="002F5396" w:rsidRPr="00A557BB">
        <w:rPr>
          <w:lang w:val="fr-FR"/>
        </w:rPr>
        <w:t xml:space="preserve">HFO et de formulations </w:t>
      </w:r>
      <w:r w:rsidRPr="00A557BB">
        <w:rPr>
          <w:lang w:val="fr-FR"/>
        </w:rPr>
        <w:t xml:space="preserve">à base d’eau à d’autres sociétés de </w:t>
      </w:r>
      <w:r w:rsidR="002F5396" w:rsidRPr="00A557BB">
        <w:rPr>
          <w:lang w:val="fr-FR"/>
        </w:rPr>
        <w:t>formulation</w:t>
      </w:r>
      <w:r w:rsidRPr="00A557BB">
        <w:rPr>
          <w:lang w:val="fr-FR"/>
        </w:rPr>
        <w:t xml:space="preserve"> de la région qui proposent des délais de livraison plus courts, mais des facteurs politiques externes ont empêché certains fournisseurs de commercialiser leurs produits à Cuba.</w:t>
      </w:r>
    </w:p>
    <w:p w14:paraId="17DC01B0" w14:textId="77777777" w:rsidR="00205D0C" w:rsidRPr="00A557BB" w:rsidRDefault="00205D0C" w:rsidP="00205D0C">
      <w:pPr>
        <w:numPr>
          <w:ilvl w:val="0"/>
          <w:numId w:val="1"/>
        </w:numPr>
        <w:tabs>
          <w:tab w:val="clear" w:pos="0"/>
          <w:tab w:val="num" w:pos="710"/>
        </w:tabs>
        <w:spacing w:after="240"/>
        <w:outlineLvl w:val="0"/>
        <w:rPr>
          <w:lang w:val="fr-FR"/>
        </w:rPr>
      </w:pPr>
      <w:r w:rsidRPr="00A557BB">
        <w:rPr>
          <w:lang w:val="fr-FR"/>
        </w:rPr>
        <w:t xml:space="preserve">Entretemps, les entreprises continueront d’utiliser un agent de gonflage à </w:t>
      </w:r>
      <w:r w:rsidR="002F5396" w:rsidRPr="00A557BB">
        <w:rPr>
          <w:lang w:val="fr-FR"/>
        </w:rPr>
        <w:t>fort PRP</w:t>
      </w:r>
      <w:r w:rsidRPr="00A557BB">
        <w:rPr>
          <w:lang w:val="fr-FR"/>
        </w:rPr>
        <w:t xml:space="preserve">. </w:t>
      </w:r>
    </w:p>
    <w:p w14:paraId="6E3975E1" w14:textId="77777777" w:rsidR="00205D0C" w:rsidRPr="00A557BB" w:rsidRDefault="00205D0C" w:rsidP="00205D0C">
      <w:pPr>
        <w:keepNext/>
        <w:keepLines/>
        <w:rPr>
          <w:b/>
          <w:lang w:val="fr-FR"/>
        </w:rPr>
      </w:pPr>
      <w:r w:rsidRPr="00A557BB">
        <w:rPr>
          <w:b/>
          <w:lang w:val="fr-FR"/>
        </w:rPr>
        <w:lastRenderedPageBreak/>
        <w:t>Observations du Secrétariat</w:t>
      </w:r>
    </w:p>
    <w:p w14:paraId="2D6C3ABE" w14:textId="77777777" w:rsidR="00205D0C" w:rsidRPr="00A557BB" w:rsidRDefault="00205D0C" w:rsidP="00205D0C">
      <w:pPr>
        <w:keepNext/>
        <w:keepLines/>
        <w:rPr>
          <w:b/>
          <w:lang w:val="fr-FR"/>
        </w:rPr>
      </w:pPr>
    </w:p>
    <w:p w14:paraId="2C164432" w14:textId="77777777" w:rsidR="00205D0C" w:rsidRPr="00A557BB" w:rsidRDefault="00205D0C" w:rsidP="00205D0C">
      <w:pPr>
        <w:keepNext/>
        <w:keepLines/>
        <w:numPr>
          <w:ilvl w:val="0"/>
          <w:numId w:val="1"/>
        </w:numPr>
        <w:tabs>
          <w:tab w:val="clear" w:pos="0"/>
          <w:tab w:val="num" w:pos="710"/>
        </w:tabs>
        <w:spacing w:after="240"/>
        <w:outlineLvl w:val="0"/>
        <w:rPr>
          <w:lang w:val="fr-FR"/>
        </w:rPr>
      </w:pPr>
      <w:r w:rsidRPr="00A557BB">
        <w:rPr>
          <w:lang w:val="fr-FR"/>
        </w:rPr>
        <w:t>Le Secrétariat prend note des efforts consentis par le PNUD pour aider les deux entreprises situées à Cuba à assurer la fourniture d’agents</w:t>
      </w:r>
      <w:r w:rsidR="00E916A0" w:rsidRPr="00A557BB">
        <w:rPr>
          <w:lang w:val="fr-FR"/>
        </w:rPr>
        <w:t xml:space="preserve"> </w:t>
      </w:r>
      <w:r w:rsidRPr="00A557BB">
        <w:rPr>
          <w:lang w:val="fr-FR"/>
        </w:rPr>
        <w:t xml:space="preserve">de gonflage à faible PRP. Le Secrétariat note que la dégradation du système due au catalyseur n’a pas été signalée dans d’autres projets testant les </w:t>
      </w:r>
      <w:r w:rsidR="002F5396" w:rsidRPr="00A557BB">
        <w:rPr>
          <w:lang w:val="fr-FR"/>
        </w:rPr>
        <w:t>HPO</w:t>
      </w:r>
      <w:r w:rsidRPr="00A557BB">
        <w:rPr>
          <w:lang w:val="fr-FR"/>
        </w:rPr>
        <w:t xml:space="preserve"> (par exemple, des projets de démonstration de </w:t>
      </w:r>
      <w:r w:rsidR="002F5396" w:rsidRPr="00A557BB">
        <w:rPr>
          <w:lang w:val="fr-FR"/>
        </w:rPr>
        <w:t>HPO</w:t>
      </w:r>
      <w:r w:rsidRPr="00A557BB">
        <w:rPr>
          <w:lang w:val="fr-FR"/>
        </w:rPr>
        <w:t xml:space="preserve"> dans de la mousse de polyuréthane en Arabie saoudite et en Thaïlande). Le PNUD a indiqué que cette question avait été identifiée par d’autres pays. Le rapport du projet de démonstration de HFO en Colombie indique également que certains catalyseurs à base d'amine, actuellement utilisés dans l'industrie, peuvent réagir avec le HFO au détriment de la réactivité du système (temps de gélification plus longs). Ailleurs qu'à Cuba, le problème ne s'est peut-être pas manifesté car il y faut moins de temps pour importer et mettre en service des systèmes.</w:t>
      </w:r>
    </w:p>
    <w:p w14:paraId="6D42FC57" w14:textId="77777777" w:rsidR="00205D0C" w:rsidRPr="00A557BB" w:rsidRDefault="00205D0C" w:rsidP="00205D0C">
      <w:pPr>
        <w:pStyle w:val="Heading1"/>
        <w:rPr>
          <w:lang w:val="fr-FR"/>
        </w:rPr>
      </w:pPr>
      <w:r w:rsidRPr="00A557BB">
        <w:rPr>
          <w:lang w:val="fr-FR"/>
        </w:rPr>
        <w:t xml:space="preserve">Il a également été précisé que la décision de Friarc de se doter d'une nouvelle machine à injection était </w:t>
      </w:r>
      <w:r w:rsidR="00E916A0" w:rsidRPr="00A557BB">
        <w:rPr>
          <w:lang w:val="fr-FR"/>
        </w:rPr>
        <w:t>davantage</w:t>
      </w:r>
      <w:r w:rsidRPr="00A557BB">
        <w:rPr>
          <w:lang w:val="fr-FR"/>
        </w:rPr>
        <w:t xml:space="preserve"> due aux performances médiocres de l'équipement de base qu'à la nécessité de disposer d'un nouveau matériel d'injection fonctionnant aux HFO. Le PNUD n'estime pas nécessaire de prolonger la phase I du PGEH pour Cuba (jusqu'en décembre 2021), l'achat de la nouvelle unité d'injection par Friarc étant déjà bien engagé. Le PNUD continuera à aider les deux entreprises et à collaborer avec les fournisseurs potentiels de </w:t>
      </w:r>
      <w:r w:rsidR="00E916A0" w:rsidRPr="00A557BB">
        <w:rPr>
          <w:lang w:val="fr-FR"/>
        </w:rPr>
        <w:t>formulations,</w:t>
      </w:r>
      <w:r w:rsidRPr="00A557BB">
        <w:rPr>
          <w:lang w:val="fr-FR"/>
        </w:rPr>
        <w:t xml:space="preserve"> de manière à favoriser l'adoption des solutions de remplacement à faible PRP. </w:t>
      </w:r>
    </w:p>
    <w:p w14:paraId="3DD78F11" w14:textId="77777777" w:rsidR="00205D0C" w:rsidRPr="00A557BB" w:rsidRDefault="0064628C" w:rsidP="00205D0C">
      <w:pPr>
        <w:rPr>
          <w:b/>
          <w:lang w:val="fr-FR"/>
        </w:rPr>
      </w:pPr>
      <w:r w:rsidRPr="00A557BB">
        <w:rPr>
          <w:b/>
          <w:lang w:val="fr-FR"/>
        </w:rPr>
        <w:t>Recommandation</w:t>
      </w:r>
    </w:p>
    <w:p w14:paraId="11984397" w14:textId="77777777" w:rsidR="00205D0C" w:rsidRPr="00A557BB" w:rsidRDefault="00205D0C" w:rsidP="00205D0C">
      <w:pPr>
        <w:rPr>
          <w:b/>
          <w:lang w:val="fr-FR"/>
        </w:rPr>
      </w:pPr>
    </w:p>
    <w:p w14:paraId="1965A51D" w14:textId="77777777" w:rsidR="00205D0C" w:rsidRPr="00A557BB" w:rsidRDefault="00205D0C" w:rsidP="00205D0C">
      <w:pPr>
        <w:numPr>
          <w:ilvl w:val="0"/>
          <w:numId w:val="1"/>
        </w:numPr>
        <w:tabs>
          <w:tab w:val="clear" w:pos="0"/>
          <w:tab w:val="num" w:pos="710"/>
        </w:tabs>
        <w:spacing w:after="240"/>
        <w:outlineLvl w:val="0"/>
        <w:rPr>
          <w:lang w:val="fr-FR"/>
        </w:rPr>
      </w:pPr>
      <w:r w:rsidRPr="00A557BB">
        <w:rPr>
          <w:lang w:val="fr-FR"/>
        </w:rPr>
        <w:t>Le Comité exécutif pourrait souhaiter :</w:t>
      </w:r>
    </w:p>
    <w:p w14:paraId="6B7C1848" w14:textId="77777777" w:rsidR="00205D0C" w:rsidRPr="00A557BB" w:rsidRDefault="00205D0C" w:rsidP="00F62284">
      <w:pPr>
        <w:widowControl w:val="0"/>
        <w:numPr>
          <w:ilvl w:val="1"/>
          <w:numId w:val="1"/>
        </w:numPr>
        <w:tabs>
          <w:tab w:val="clear" w:pos="0"/>
          <w:tab w:val="num" w:pos="557"/>
        </w:tabs>
        <w:spacing w:after="240"/>
        <w:ind w:left="1418"/>
        <w:outlineLvl w:val="1"/>
        <w:rPr>
          <w:lang w:val="fr-FR"/>
        </w:rPr>
      </w:pPr>
      <w:r w:rsidRPr="00A557BB">
        <w:rPr>
          <w:lang w:val="fr-FR"/>
        </w:rPr>
        <w:t>prendre note, avec satisfaction, du rapport présenté par le PNUD et des efforts déployés pour faciliter l’apport de technologies à faible potentiel de ré</w:t>
      </w:r>
      <w:r w:rsidR="00E916A0" w:rsidRPr="00A557BB">
        <w:rPr>
          <w:lang w:val="fr-FR"/>
        </w:rPr>
        <w:t>chauffement planétaire (PRP) au sein des</w:t>
      </w:r>
      <w:r w:rsidRPr="00A557BB">
        <w:rPr>
          <w:lang w:val="fr-FR"/>
        </w:rPr>
        <w:t xml:space="preserve"> entreprises Friarc et IDA financées dans la phase I du plan de gestion de l’élimination de H</w:t>
      </w:r>
      <w:r w:rsidR="00E916A0" w:rsidRPr="00A557BB">
        <w:rPr>
          <w:lang w:val="fr-FR"/>
        </w:rPr>
        <w:t>CFC pour Cuba, figurant dans le document paru sous la cote UNEP</w:t>
      </w:r>
      <w:r w:rsidRPr="00A557BB">
        <w:rPr>
          <w:lang w:val="fr-FR"/>
        </w:rPr>
        <w:t>/Ozl.Pro/ExCom/84/22 ;</w:t>
      </w:r>
    </w:p>
    <w:p w14:paraId="12BC7EB1" w14:textId="77777777" w:rsidR="00205D0C" w:rsidRPr="00A557BB" w:rsidRDefault="00205D0C" w:rsidP="00F43CE2">
      <w:pPr>
        <w:widowControl w:val="0"/>
        <w:numPr>
          <w:ilvl w:val="1"/>
          <w:numId w:val="1"/>
        </w:numPr>
        <w:tabs>
          <w:tab w:val="clear" w:pos="0"/>
          <w:tab w:val="num" w:pos="557"/>
        </w:tabs>
        <w:spacing w:after="240"/>
        <w:ind w:left="1417"/>
        <w:outlineLvl w:val="1"/>
        <w:rPr>
          <w:lang w:val="fr-FR"/>
        </w:rPr>
      </w:pPr>
      <w:r w:rsidRPr="00A557BB">
        <w:rPr>
          <w:lang w:val="fr-FR"/>
        </w:rPr>
        <w:t xml:space="preserve">demander au PNUD de continuer à aider le Gouvernement  de Cuba à assurer l’apport de </w:t>
      </w:r>
      <w:r w:rsidR="00614272" w:rsidRPr="00A557BB">
        <w:rPr>
          <w:lang w:val="fr-FR"/>
        </w:rPr>
        <w:t>technologie</w:t>
      </w:r>
      <w:r w:rsidRPr="00A557BB">
        <w:rPr>
          <w:lang w:val="fr-FR"/>
        </w:rPr>
        <w:t>s de remplacement à faible PRP et à rendre rapport, à la 85</w:t>
      </w:r>
      <w:r w:rsidRPr="00A557BB">
        <w:rPr>
          <w:vertAlign w:val="superscript"/>
          <w:lang w:val="fr-FR"/>
        </w:rPr>
        <w:t>e</w:t>
      </w:r>
      <w:r w:rsidR="00E916A0" w:rsidRPr="00A557BB">
        <w:rPr>
          <w:lang w:val="fr-FR"/>
        </w:rPr>
        <w:t xml:space="preserve"> r</w:t>
      </w:r>
      <w:r w:rsidRPr="00A557BB">
        <w:rPr>
          <w:lang w:val="fr-FR"/>
        </w:rPr>
        <w:t>éunion, sur l’état de la reconversion des de</w:t>
      </w:r>
      <w:r w:rsidR="00E916A0" w:rsidRPr="00A557BB">
        <w:rPr>
          <w:lang w:val="fr-FR"/>
        </w:rPr>
        <w:t xml:space="preserve">ux entreprises mentionnées à l'alinéa </w:t>
      </w:r>
      <w:r w:rsidRPr="00A557BB">
        <w:rPr>
          <w:lang w:val="fr-FR"/>
        </w:rPr>
        <w:t xml:space="preserve">a), y compris en cas d’utilisation d’une technologie autre que celle choisie initialement lorsque le projet avait été approuvé, une analyse détaillée des surcoûts d’investissement et d’exploitation, ainsi qu’une mise à jour par les fournisseurs des progrès réalisés pour assurer que les technologies retenues, y compris les éléments connexes, </w:t>
      </w:r>
      <w:r w:rsidR="00E916A0" w:rsidRPr="00A557BB">
        <w:rPr>
          <w:lang w:val="fr-FR"/>
        </w:rPr>
        <w:t>s</w:t>
      </w:r>
      <w:r w:rsidRPr="00A557BB">
        <w:rPr>
          <w:lang w:val="fr-FR"/>
        </w:rPr>
        <w:t xml:space="preserve">oient disponibles </w:t>
      </w:r>
      <w:r w:rsidR="00E916A0" w:rsidRPr="00A557BB">
        <w:rPr>
          <w:lang w:val="fr-FR"/>
        </w:rPr>
        <w:t xml:space="preserve">à l’achat dans le pays. </w:t>
      </w:r>
    </w:p>
    <w:p w14:paraId="6454FB94" w14:textId="77777777" w:rsidR="00D25FB3" w:rsidRPr="00A557BB" w:rsidRDefault="00D25FB3" w:rsidP="00D25FB3">
      <w:pPr>
        <w:keepNext/>
        <w:spacing w:after="240"/>
        <w:rPr>
          <w:lang w:val="fr-FR"/>
        </w:rPr>
      </w:pPr>
      <w:r w:rsidRPr="00A557BB">
        <w:rPr>
          <w:u w:val="single"/>
          <w:lang w:val="fr-FR"/>
        </w:rPr>
        <w:t xml:space="preserve">Liban : </w:t>
      </w:r>
      <w:r w:rsidR="001C4F37" w:rsidRPr="00A557BB">
        <w:rPr>
          <w:u w:val="single"/>
          <w:lang w:val="fr-FR"/>
        </w:rPr>
        <w:t>Plan de gestion de l’élimination des HCFC (phase II – Situation de la reconversion des entreprises bénéficiaires restantes dans les secteurs de la fabrication d’appareils de réfrigération et de climatisation)</w:t>
      </w:r>
      <w:r w:rsidRPr="00A557BB">
        <w:rPr>
          <w:lang w:val="fr-FR"/>
        </w:rPr>
        <w:t xml:space="preserve"> (PNUD)</w:t>
      </w:r>
    </w:p>
    <w:p w14:paraId="2B444E35" w14:textId="77777777" w:rsidR="00D25FB3" w:rsidRPr="00A557BB" w:rsidRDefault="00D25FB3" w:rsidP="00D25FB3">
      <w:pPr>
        <w:keepNext/>
        <w:keepLines/>
        <w:spacing w:after="240"/>
        <w:rPr>
          <w:b/>
          <w:lang w:val="fr-FR"/>
        </w:rPr>
      </w:pPr>
      <w:r w:rsidRPr="00A557BB">
        <w:rPr>
          <w:b/>
          <w:lang w:val="fr-FR"/>
        </w:rPr>
        <w:t>Historique</w:t>
      </w:r>
    </w:p>
    <w:p w14:paraId="7679213D" w14:textId="77777777" w:rsidR="00D25FB3" w:rsidRPr="00A557BB" w:rsidRDefault="00D25FB3" w:rsidP="00D25FB3">
      <w:pPr>
        <w:pStyle w:val="Heading1"/>
        <w:rPr>
          <w:lang w:val="fr-FR"/>
        </w:rPr>
      </w:pPr>
      <w:r w:rsidRPr="00A557BB">
        <w:rPr>
          <w:lang w:val="fr-FR"/>
        </w:rPr>
        <w:t>Le PNUD, en sa qualité d’agence d’exécution désignée, a soumis au nom du Gouvernement du Liban un rapport périodique portant sur la mise en œuvre des reconversions d'entreprises active</w:t>
      </w:r>
      <w:r w:rsidR="00E916A0" w:rsidRPr="00A557BB">
        <w:rPr>
          <w:lang w:val="fr-FR"/>
        </w:rPr>
        <w:t xml:space="preserve">s </w:t>
      </w:r>
      <w:r w:rsidRPr="00A557BB">
        <w:rPr>
          <w:lang w:val="fr-FR"/>
        </w:rPr>
        <w:t xml:space="preserve">dans les secteurs de la fabrication de mousses et de climatiseurs, ainsi que des informations mises à jour provenant des fournisseurs quant aux progrès accomplis dans la disponibilité commerciale, dans le pays, des </w:t>
      </w:r>
      <w:r w:rsidRPr="00A557BB">
        <w:rPr>
          <w:lang w:val="fr-FR"/>
        </w:rPr>
        <w:lastRenderedPageBreak/>
        <w:t>technologies choisies, y compris les composantes associées, dans le contexte de la phase II du P</w:t>
      </w:r>
      <w:r w:rsidR="0009027B" w:rsidRPr="00A557BB">
        <w:rPr>
          <w:lang w:val="fr-FR"/>
        </w:rPr>
        <w:t>GEH, conformément à la décision</w:t>
      </w:r>
      <w:r w:rsidRPr="00A557BB">
        <w:rPr>
          <w:lang w:val="fr-FR"/>
        </w:rPr>
        <w:t> 83/14 b).</w:t>
      </w:r>
      <w:r w:rsidRPr="00A557BB">
        <w:rPr>
          <w:rStyle w:val="FootnoteReference"/>
          <w:lang w:val="fr-FR"/>
        </w:rPr>
        <w:footnoteReference w:id="6"/>
      </w:r>
    </w:p>
    <w:p w14:paraId="1FFD2722" w14:textId="77777777" w:rsidR="00D25FB3" w:rsidRPr="00A557BB" w:rsidRDefault="00D25FB3" w:rsidP="00D25FB3">
      <w:pPr>
        <w:keepNext/>
        <w:keepLines/>
        <w:spacing w:after="240"/>
        <w:rPr>
          <w:b/>
          <w:lang w:val="fr-FR"/>
        </w:rPr>
      </w:pPr>
      <w:r w:rsidRPr="00A557BB">
        <w:rPr>
          <w:b/>
          <w:lang w:val="fr-FR"/>
        </w:rPr>
        <w:t>Rapport périodique</w:t>
      </w:r>
    </w:p>
    <w:p w14:paraId="4DD31480" w14:textId="77777777" w:rsidR="00D25FB3" w:rsidRPr="00A557BB" w:rsidRDefault="00D25FB3" w:rsidP="00D25FB3">
      <w:pPr>
        <w:pStyle w:val="Heading1"/>
        <w:rPr>
          <w:lang w:val="fr-FR"/>
        </w:rPr>
      </w:pPr>
      <w:r w:rsidRPr="00A557BB">
        <w:rPr>
          <w:lang w:val="fr-FR"/>
        </w:rPr>
        <w:t xml:space="preserve">Le PNUD a indiqué que les reconversions des </w:t>
      </w:r>
      <w:r w:rsidR="00614272" w:rsidRPr="00A557BB">
        <w:rPr>
          <w:lang w:val="fr-FR"/>
        </w:rPr>
        <w:t>entreprises</w:t>
      </w:r>
      <w:r w:rsidRPr="00A557BB">
        <w:rPr>
          <w:lang w:val="fr-FR"/>
        </w:rPr>
        <w:t xml:space="preserve"> de fabrication de climatiseurs (Iceberg et Frigo Liban) ont été réalisées, ce qui a eu pour résultat l’élimination de 1,61 tonnes PAO de HCFC-22 et 1,54 tonnes PAO de HCFC-141b ; une autre entreprise (UNIC) est en cours de </w:t>
      </w:r>
      <w:r w:rsidR="002F5396" w:rsidRPr="00A557BB">
        <w:rPr>
          <w:lang w:val="fr-FR"/>
        </w:rPr>
        <w:t>reconversion</w:t>
      </w:r>
      <w:r w:rsidRPr="00A557BB">
        <w:rPr>
          <w:lang w:val="fr-FR"/>
        </w:rPr>
        <w:t xml:space="preserve"> à une technologie utilisant le HFC-32, la fin du processus étant prévue pour décembre 2019. Les deux entreprises restantes (CGI Halawany et ICR) n'ont pas tranché entre le HFC-32 comme fluide frigorigène et d'autres options, telles que R-466A et R-454b, actuellement à l'étude. </w:t>
      </w:r>
      <w:r w:rsidR="00614272" w:rsidRPr="00A557BB">
        <w:rPr>
          <w:lang w:val="fr-FR"/>
        </w:rPr>
        <w:t>Ces</w:t>
      </w:r>
      <w:r w:rsidRPr="00A557BB">
        <w:rPr>
          <w:lang w:val="fr-FR"/>
        </w:rPr>
        <w:t xml:space="preserve"> entreprises travaillent en étroite collaboration avec l'unité nationale de l'ozone (UNO) et feront leur choix d'ici fin 2019. </w:t>
      </w:r>
    </w:p>
    <w:p w14:paraId="35C6417A" w14:textId="77777777" w:rsidR="00D25FB3" w:rsidRPr="00A557BB" w:rsidRDefault="00D25FB3" w:rsidP="00D25FB3">
      <w:pPr>
        <w:pStyle w:val="Heading1"/>
        <w:rPr>
          <w:lang w:val="fr-FR"/>
        </w:rPr>
      </w:pPr>
      <w:r w:rsidRPr="00A557BB">
        <w:rPr>
          <w:lang w:val="fr-FR"/>
        </w:rPr>
        <w:t>Malgré ces retards dans le choix final des solutions de remplacement, les reconversions seront effectuées sur la base du financement révisé approuvé pour ces entreprises. Le Gouvernement libanais et le PNUD continuent de faire le suivi d'une reconversion économiquement sensée de l'ensemble du secteur, dans les limites du financement global approuvé. Tout financement résiduel sera restitué au Fonds multilatéral à l'issue du processus.</w:t>
      </w:r>
    </w:p>
    <w:p w14:paraId="11CAAA08" w14:textId="77777777" w:rsidR="00D25FB3" w:rsidRPr="00A557BB" w:rsidRDefault="00D25FB3" w:rsidP="00D25FB3">
      <w:pPr>
        <w:pStyle w:val="Heading1"/>
        <w:rPr>
          <w:lang w:val="fr-FR"/>
        </w:rPr>
      </w:pPr>
      <w:r w:rsidRPr="00A557BB">
        <w:rPr>
          <w:lang w:val="fr-FR"/>
        </w:rPr>
        <w:t xml:space="preserve">En ce qui concerne le secteur des mousses, qui comprenait une assistance technique pour la </w:t>
      </w:r>
      <w:r w:rsidR="002F5396" w:rsidRPr="00A557BB">
        <w:rPr>
          <w:lang w:val="fr-FR"/>
        </w:rPr>
        <w:t>reconversion</w:t>
      </w:r>
      <w:r w:rsidRPr="00A557BB">
        <w:rPr>
          <w:lang w:val="fr-FR"/>
        </w:rPr>
        <w:t xml:space="preserve"> de 11 petites et moyennes entreprises (PME) utilisant 37,9 tm (4,17 tonnes PAO) de HCFC-141b pour l'isolation dans la production de chauffe-eau solaires et électriques, le PNUD a répété que la disponibilité des </w:t>
      </w:r>
      <w:r w:rsidR="002F5396" w:rsidRPr="00A557BB">
        <w:rPr>
          <w:lang w:val="fr-FR"/>
        </w:rPr>
        <w:t>HPO</w:t>
      </w:r>
      <w:r w:rsidRPr="00A557BB">
        <w:rPr>
          <w:lang w:val="fr-FR"/>
        </w:rPr>
        <w:t xml:space="preserve"> continuait de poser problème. L’UNO a donc décidé de travailler en étroite collaboration avec le fournisseur de systèmes de mousses afin d’explorer d’autres solutions de remplacement à faible PRP, non seulement pour les petites entreprises mais également pour les deux entreprises de fabrication de mousses restantes (SPEC et Prometal). Après consultation avec différents fournisseurs de produits chimiques, le formiate de méthyle et le méthylal sont les options envisagées, car ils seraient disponibles sur le marché local.</w:t>
      </w:r>
    </w:p>
    <w:p w14:paraId="26E9BE0A" w14:textId="77777777" w:rsidR="00D25FB3" w:rsidRPr="00A557BB" w:rsidRDefault="00D25FB3" w:rsidP="00D25FB3">
      <w:pPr>
        <w:pStyle w:val="Heading1"/>
        <w:widowControl w:val="0"/>
        <w:rPr>
          <w:lang w:val="fr-FR"/>
        </w:rPr>
      </w:pPr>
      <w:r w:rsidRPr="00A557BB">
        <w:rPr>
          <w:lang w:val="fr-FR"/>
        </w:rPr>
        <w:t>Le PNUD a en outre indiqué que le cahier des charges d'un consultant technique sp</w:t>
      </w:r>
      <w:r w:rsidR="0009027B" w:rsidRPr="00A557BB">
        <w:rPr>
          <w:lang w:val="fr-FR"/>
        </w:rPr>
        <w:t>écialisé dans les mousses avait été élaboré</w:t>
      </w:r>
      <w:r w:rsidRPr="00A557BB">
        <w:rPr>
          <w:lang w:val="fr-FR"/>
        </w:rPr>
        <w:t xml:space="preserve"> et que des essais seraient réalisés sur place dans quelques entreprises sélectionnées, l'objectif étant de garantir l'acceptabilité et la faisabilité des solutions de remplacement. Les conclusions des essais seraient </w:t>
      </w:r>
      <w:r w:rsidR="00614272" w:rsidRPr="00A557BB">
        <w:rPr>
          <w:lang w:val="fr-FR"/>
        </w:rPr>
        <w:t>transmises</w:t>
      </w:r>
      <w:r w:rsidRPr="00A557BB">
        <w:rPr>
          <w:lang w:val="fr-FR"/>
        </w:rPr>
        <w:t xml:space="preserve"> à la 85</w:t>
      </w:r>
      <w:r w:rsidRPr="00A557BB">
        <w:rPr>
          <w:vertAlign w:val="superscript"/>
          <w:lang w:val="fr-FR"/>
        </w:rPr>
        <w:t>e</w:t>
      </w:r>
      <w:r w:rsidRPr="00A557BB">
        <w:rPr>
          <w:lang w:val="fr-FR"/>
        </w:rPr>
        <w:t xml:space="preserve"> réunion. </w:t>
      </w:r>
    </w:p>
    <w:p w14:paraId="702C43E5" w14:textId="77777777" w:rsidR="00D25FB3" w:rsidRPr="00A557BB" w:rsidRDefault="00D25FB3" w:rsidP="00D25FB3">
      <w:pPr>
        <w:pStyle w:val="Heading1"/>
        <w:widowControl w:val="0"/>
        <w:numPr>
          <w:ilvl w:val="0"/>
          <w:numId w:val="0"/>
        </w:numPr>
        <w:rPr>
          <w:lang w:val="fr-FR"/>
        </w:rPr>
      </w:pPr>
      <w:r w:rsidRPr="00A557BB">
        <w:rPr>
          <w:b/>
          <w:lang w:val="fr-FR"/>
        </w:rPr>
        <w:t>Observations du Secrétariat</w:t>
      </w:r>
    </w:p>
    <w:p w14:paraId="6D35A638" w14:textId="77777777" w:rsidR="00D25FB3" w:rsidRPr="00A557BB" w:rsidRDefault="00D25FB3" w:rsidP="00D25FB3">
      <w:pPr>
        <w:pStyle w:val="Heading1"/>
        <w:rPr>
          <w:lang w:val="fr-FR"/>
        </w:rPr>
      </w:pPr>
      <w:r w:rsidRPr="00A557BB">
        <w:rPr>
          <w:lang w:val="fr-FR"/>
        </w:rPr>
        <w:t xml:space="preserve">Le Secrétariat a noté que l'interdiction du HCFC-141b entrerait en vigueur en janvier 2020, soulignant à quel point il est important de mener à bien en temps voulu les tests et les essais nécessaires. Selon le PNUD, la décision d'examiner plus avant les options à base de formiate de méthyle et de méthylal a été motivée par le coût, l'UNO craignant que les systèmes </w:t>
      </w:r>
      <w:r w:rsidR="002F5396" w:rsidRPr="00A557BB">
        <w:rPr>
          <w:lang w:val="fr-FR"/>
        </w:rPr>
        <w:t xml:space="preserve">à base de HFO </w:t>
      </w:r>
      <w:r w:rsidRPr="00A557BB">
        <w:rPr>
          <w:lang w:val="fr-FR"/>
        </w:rPr>
        <w:t>prémélangés soient trop coûteux pour les PME même lorsqu'ils seront disponibles. En raison de ces difficultés persistantes, le gouvernement pourrait également envisager de retarder la mise en œuvre de l'interdiction du HCFC-141b jusqu'à la mi-2020, au lieu du début de l'année comme prévu.</w:t>
      </w:r>
    </w:p>
    <w:p w14:paraId="3E36A044" w14:textId="1DA079F2" w:rsidR="00D25FB3" w:rsidRPr="00A557BB" w:rsidRDefault="00D25FB3" w:rsidP="00D25FB3">
      <w:pPr>
        <w:numPr>
          <w:ilvl w:val="0"/>
          <w:numId w:val="1"/>
        </w:numPr>
        <w:tabs>
          <w:tab w:val="clear" w:pos="0"/>
          <w:tab w:val="num" w:pos="710"/>
        </w:tabs>
        <w:spacing w:after="240"/>
        <w:outlineLvl w:val="0"/>
        <w:rPr>
          <w:lang w:val="fr-FR"/>
        </w:rPr>
      </w:pPr>
      <w:r w:rsidRPr="00A557BB">
        <w:rPr>
          <w:lang w:val="fr-FR"/>
        </w:rPr>
        <w:t xml:space="preserve">Le Secrétariat a également pris note des efforts déployés par le PNUD pour aider les entreprises de mousse restantes </w:t>
      </w:r>
      <w:r w:rsidR="0009027B" w:rsidRPr="00A557BB">
        <w:rPr>
          <w:lang w:val="fr-FR"/>
        </w:rPr>
        <w:t>afin de</w:t>
      </w:r>
      <w:r w:rsidRPr="00A557BB">
        <w:rPr>
          <w:lang w:val="fr-FR"/>
        </w:rPr>
        <w:t xml:space="preserve"> </w:t>
      </w:r>
      <w:r w:rsidR="00A557BB" w:rsidRPr="00A557BB">
        <w:rPr>
          <w:lang w:val="fr-FR"/>
        </w:rPr>
        <w:t>mener</w:t>
      </w:r>
      <w:r w:rsidR="0009027B" w:rsidRPr="00A557BB">
        <w:rPr>
          <w:lang w:val="fr-FR"/>
        </w:rPr>
        <w:t xml:space="preserve"> à terme leur reconversion</w:t>
      </w:r>
      <w:r w:rsidRPr="00A557BB">
        <w:rPr>
          <w:lang w:val="fr-FR"/>
        </w:rPr>
        <w:t xml:space="preserve"> à des substances de remplacement, et </w:t>
      </w:r>
      <w:r w:rsidRPr="00A557BB">
        <w:rPr>
          <w:lang w:val="fr-FR"/>
        </w:rPr>
        <w:lastRenderedPageBreak/>
        <w:t>notamment d'avoir mis la dernière main aux cahiers des charges permettant de mettre à l'essai les deux technologies de remplacement (formiate de méthyle et méthylal). Ce processus devrait être mené à terme avant la 8</w:t>
      </w:r>
      <w:r w:rsidR="0009027B" w:rsidRPr="00A557BB">
        <w:rPr>
          <w:lang w:val="fr-FR"/>
        </w:rPr>
        <w:t>5</w:t>
      </w:r>
      <w:r w:rsidRPr="00A557BB">
        <w:rPr>
          <w:vertAlign w:val="superscript"/>
          <w:lang w:val="fr-FR"/>
        </w:rPr>
        <w:t>e</w:t>
      </w:r>
      <w:r w:rsidRPr="00A557BB">
        <w:rPr>
          <w:lang w:val="fr-FR"/>
        </w:rPr>
        <w:t xml:space="preserve"> réunion. </w:t>
      </w:r>
    </w:p>
    <w:p w14:paraId="50AF1629" w14:textId="77777777" w:rsidR="00D25FB3" w:rsidRPr="00A557BB" w:rsidRDefault="00D25FB3" w:rsidP="00D25FB3">
      <w:pPr>
        <w:pStyle w:val="Heading1"/>
        <w:rPr>
          <w:lang w:val="fr-FR"/>
        </w:rPr>
      </w:pPr>
      <w:r w:rsidRPr="00A557BB">
        <w:rPr>
          <w:lang w:val="fr-FR"/>
        </w:rPr>
        <w:t xml:space="preserve">Le Secrétariat a également noté que les deux entreprises restantes (CGI Halawany et ICR) avaient toujours des difficultés à importer des </w:t>
      </w:r>
      <w:r w:rsidR="002F5396" w:rsidRPr="00A557BB">
        <w:rPr>
          <w:lang w:val="fr-FR"/>
        </w:rPr>
        <w:t>frigorigènes</w:t>
      </w:r>
      <w:r w:rsidRPr="00A557BB">
        <w:rPr>
          <w:lang w:val="fr-FR"/>
        </w:rPr>
        <w:t xml:space="preserve"> et des compresseurs au HFC-32. Il a demandé au PNUD si elles seraient en mesure d'achever leur reconversion d'ici fin 2020, comme indiqué à la 83</w:t>
      </w:r>
      <w:r w:rsidRPr="00A557BB">
        <w:rPr>
          <w:vertAlign w:val="superscript"/>
          <w:lang w:val="fr-FR"/>
        </w:rPr>
        <w:t>e</w:t>
      </w:r>
      <w:r w:rsidRPr="00A557BB">
        <w:rPr>
          <w:lang w:val="fr-FR"/>
        </w:rPr>
        <w:t xml:space="preserve"> réunion. Selon le PNUD, le gouvernement a confiance que le choix du frigorigène de remplacement sera fait d'ici fin 2019, ce qui permettrait d'achever la </w:t>
      </w:r>
      <w:r w:rsidR="002F5396" w:rsidRPr="00A557BB">
        <w:rPr>
          <w:lang w:val="fr-FR"/>
        </w:rPr>
        <w:t>reconversion</w:t>
      </w:r>
      <w:r w:rsidRPr="00A557BB">
        <w:rPr>
          <w:lang w:val="fr-FR"/>
        </w:rPr>
        <w:t xml:space="preserve"> en 2020.</w:t>
      </w:r>
    </w:p>
    <w:p w14:paraId="67F20B58" w14:textId="77777777" w:rsidR="00D25FB3" w:rsidRPr="00A557BB" w:rsidRDefault="00D25FB3" w:rsidP="00D25FB3">
      <w:pPr>
        <w:spacing w:after="240"/>
        <w:rPr>
          <w:b/>
          <w:lang w:val="fr-FR"/>
        </w:rPr>
      </w:pPr>
      <w:r w:rsidRPr="00A557BB">
        <w:rPr>
          <w:b/>
          <w:lang w:val="fr-FR"/>
        </w:rPr>
        <w:t>Recommandation</w:t>
      </w:r>
    </w:p>
    <w:p w14:paraId="4BAA10C0" w14:textId="77777777" w:rsidR="00D25FB3" w:rsidRPr="00A557BB" w:rsidRDefault="00D25FB3" w:rsidP="00D25FB3">
      <w:pPr>
        <w:keepNext/>
        <w:numPr>
          <w:ilvl w:val="0"/>
          <w:numId w:val="1"/>
        </w:numPr>
        <w:tabs>
          <w:tab w:val="clear" w:pos="0"/>
          <w:tab w:val="num" w:pos="710"/>
        </w:tabs>
        <w:spacing w:after="240"/>
        <w:outlineLvl w:val="0"/>
        <w:rPr>
          <w:lang w:val="fr-FR"/>
        </w:rPr>
      </w:pPr>
      <w:r w:rsidRPr="00A557BB">
        <w:rPr>
          <w:lang w:val="fr-FR"/>
        </w:rPr>
        <w:t>Le Comité exécutif pourrait souhaiter :</w:t>
      </w:r>
    </w:p>
    <w:p w14:paraId="56517129" w14:textId="77777777" w:rsidR="00D25FB3" w:rsidRPr="00A557BB" w:rsidRDefault="00D25FB3" w:rsidP="00D25FB3">
      <w:pPr>
        <w:widowControl w:val="0"/>
        <w:numPr>
          <w:ilvl w:val="1"/>
          <w:numId w:val="1"/>
        </w:numPr>
        <w:tabs>
          <w:tab w:val="clear" w:pos="0"/>
          <w:tab w:val="num" w:pos="557"/>
        </w:tabs>
        <w:spacing w:after="240"/>
        <w:ind w:left="1418"/>
        <w:outlineLvl w:val="1"/>
        <w:rPr>
          <w:lang w:val="fr-FR"/>
        </w:rPr>
      </w:pPr>
      <w:r w:rsidRPr="00A557BB">
        <w:rPr>
          <w:lang w:val="fr-FR"/>
        </w:rPr>
        <w:t xml:space="preserve">prendre note du rapport soumis par le PNUD et le Gouvernement du Liban et présenté dans le document UNEP/OzL.Pro/ExCom/84/22, </w:t>
      </w:r>
      <w:r w:rsidR="0009027B" w:rsidRPr="00A557BB">
        <w:rPr>
          <w:lang w:val="fr-FR"/>
        </w:rPr>
        <w:t>lequel</w:t>
      </w:r>
      <w:r w:rsidRPr="00A557BB">
        <w:rPr>
          <w:lang w:val="fr-FR"/>
        </w:rPr>
        <w:t xml:space="preserve"> décrit les difficultés </w:t>
      </w:r>
      <w:r w:rsidR="0009027B" w:rsidRPr="00A557BB">
        <w:rPr>
          <w:lang w:val="fr-FR"/>
        </w:rPr>
        <w:t>auxquelles le Gouvernement continue de</w:t>
      </w:r>
      <w:r w:rsidRPr="00A557BB">
        <w:rPr>
          <w:lang w:val="fr-FR"/>
        </w:rPr>
        <w:t xml:space="preserve"> fai</w:t>
      </w:r>
      <w:r w:rsidR="0009027B" w:rsidRPr="00A557BB">
        <w:rPr>
          <w:lang w:val="fr-FR"/>
        </w:rPr>
        <w:t>re</w:t>
      </w:r>
      <w:r w:rsidRPr="00A557BB">
        <w:rPr>
          <w:lang w:val="fr-FR"/>
        </w:rPr>
        <w:t xml:space="preserve"> face pour trouver des solutions de remplacement à faible </w:t>
      </w:r>
      <w:r w:rsidR="0009027B" w:rsidRPr="00A557BB">
        <w:rPr>
          <w:lang w:val="fr-FR"/>
        </w:rPr>
        <w:t>PRP disponibles à l’achat</w:t>
      </w:r>
      <w:r w:rsidRPr="00A557BB">
        <w:rPr>
          <w:lang w:val="fr-FR"/>
        </w:rPr>
        <w:t>, tels que les HFO, ainsi que les efforts déployés par le Gouvernement du Liban et le PNUD pour donner aux entreprises financées au titre de la phase II du plan de gestion de l’élimination des HCFC pour le Liban accès à de technologies à faible PRP ;</w:t>
      </w:r>
    </w:p>
    <w:p w14:paraId="0D6F22D1" w14:textId="77777777" w:rsidR="00D25FB3" w:rsidRPr="00A557BB" w:rsidRDefault="00D25FB3" w:rsidP="00D25FB3">
      <w:pPr>
        <w:widowControl w:val="0"/>
        <w:numPr>
          <w:ilvl w:val="1"/>
          <w:numId w:val="1"/>
        </w:numPr>
        <w:tabs>
          <w:tab w:val="clear" w:pos="0"/>
          <w:tab w:val="num" w:pos="557"/>
        </w:tabs>
        <w:spacing w:after="240"/>
        <w:ind w:left="1418"/>
        <w:outlineLvl w:val="1"/>
        <w:rPr>
          <w:b/>
          <w:caps/>
          <w:lang w:val="fr-FR"/>
        </w:rPr>
      </w:pPr>
      <w:r w:rsidRPr="00A557BB">
        <w:rPr>
          <w:lang w:val="fr-FR"/>
        </w:rPr>
        <w:t xml:space="preserve">demander au PNUD de continuer à aider le Gouvernement libanais à assurer la fourniture de </w:t>
      </w:r>
      <w:r w:rsidR="0009027B" w:rsidRPr="00A557BB">
        <w:rPr>
          <w:lang w:val="fr-FR"/>
        </w:rPr>
        <w:t xml:space="preserve">technologies de remplacement à </w:t>
      </w:r>
      <w:r w:rsidRPr="00A557BB">
        <w:rPr>
          <w:lang w:val="fr-FR"/>
        </w:rPr>
        <w:t>faible PRP, et de rendre rapport, à la 85</w:t>
      </w:r>
      <w:r w:rsidRPr="00A557BB">
        <w:rPr>
          <w:vertAlign w:val="superscript"/>
          <w:lang w:val="fr-FR"/>
        </w:rPr>
        <w:t>e</w:t>
      </w:r>
      <w:r w:rsidRPr="00A557BB">
        <w:rPr>
          <w:lang w:val="fr-FR"/>
        </w:rPr>
        <w:t xml:space="preserve"> réunion, sur les conclusions des essais portant sur deux solutions de remplacement dans le secteur des mousses, ainsi que sur la reconversion des entreprises bénéficiaires restantes dans le secteur de la fabrication de mousses (SPEC et Prometal), notamment les petites entreprises ; et, concernant la fabrication de </w:t>
      </w:r>
      <w:r w:rsidR="0009027B" w:rsidRPr="00A557BB">
        <w:rPr>
          <w:lang w:val="fr-FR"/>
        </w:rPr>
        <w:t xml:space="preserve">systèmes de climatisation (CGI </w:t>
      </w:r>
      <w:r w:rsidRPr="00A557BB">
        <w:rPr>
          <w:lang w:val="fr-FR"/>
        </w:rPr>
        <w:t xml:space="preserve">Halawany et ICR), à faire rapport à chaque réunion, jusqu'à ce que la technologie initialement sélectionnée, ou </w:t>
      </w:r>
      <w:r w:rsidR="0009027B" w:rsidRPr="00A557BB">
        <w:rPr>
          <w:lang w:val="fr-FR"/>
        </w:rPr>
        <w:t xml:space="preserve">une autre technologie à faible </w:t>
      </w:r>
      <w:r w:rsidRPr="00A557BB">
        <w:rPr>
          <w:lang w:val="fr-FR"/>
        </w:rPr>
        <w:t xml:space="preserve">PRP, </w:t>
      </w:r>
      <w:r w:rsidR="0009027B" w:rsidRPr="00A557BB">
        <w:rPr>
          <w:lang w:val="fr-FR"/>
        </w:rPr>
        <w:t>soit</w:t>
      </w:r>
      <w:r w:rsidRPr="00A557BB">
        <w:rPr>
          <w:lang w:val="fr-FR"/>
        </w:rPr>
        <w:t xml:space="preserve"> facilement disponible.</w:t>
      </w:r>
    </w:p>
    <w:p w14:paraId="7B975522" w14:textId="77777777" w:rsidR="00B642D3" w:rsidRPr="00A557BB" w:rsidRDefault="00B86FE2" w:rsidP="009036A6">
      <w:pPr>
        <w:spacing w:after="240"/>
        <w:rPr>
          <w:b/>
          <w:lang w:val="fr-FR"/>
        </w:rPr>
      </w:pPr>
      <w:r w:rsidRPr="00A557BB">
        <w:rPr>
          <w:b/>
          <w:u w:val="single"/>
          <w:lang w:val="fr-FR"/>
        </w:rPr>
        <w:t>Rapports concernant les PGEH</w:t>
      </w:r>
      <w:r w:rsidR="00D0637C" w:rsidRPr="00A557BB">
        <w:rPr>
          <w:rStyle w:val="FootnoteReference"/>
          <w:b/>
          <w:lang w:val="fr-FR"/>
        </w:rPr>
        <w:footnoteReference w:id="7"/>
      </w:r>
    </w:p>
    <w:p w14:paraId="77A9F5CE" w14:textId="77777777" w:rsidR="00016278" w:rsidRPr="00A557BB" w:rsidRDefault="00D10CB7" w:rsidP="00016278">
      <w:pPr>
        <w:rPr>
          <w:u w:val="single"/>
          <w:lang w:val="fr-FR"/>
        </w:rPr>
      </w:pPr>
      <w:r w:rsidRPr="00A557BB">
        <w:rPr>
          <w:u w:val="single"/>
          <w:lang w:val="fr-FR"/>
        </w:rPr>
        <w:t>Bahamas: Plan de gestion de l'élimination des HCFC (phase I - Rapport final actualisé sur les conclusions de l'étude visant à explorer les meilleures options disponibles pour le projet pilote d'évaluation, de sui</w:t>
      </w:r>
      <w:r w:rsidR="0009027B" w:rsidRPr="00A557BB">
        <w:rPr>
          <w:u w:val="single"/>
          <w:lang w:val="fr-FR"/>
        </w:rPr>
        <w:t xml:space="preserve">vi et de modernisation de deux </w:t>
      </w:r>
      <w:r w:rsidRPr="00A557BB">
        <w:rPr>
          <w:u w:val="single"/>
          <w:lang w:val="fr-FR"/>
        </w:rPr>
        <w:t xml:space="preserve">systèmes de climatisation) </w:t>
      </w:r>
      <w:r w:rsidR="00016278" w:rsidRPr="00A557BB">
        <w:rPr>
          <w:lang w:val="fr-FR"/>
        </w:rPr>
        <w:t xml:space="preserve"> (PNUE) </w:t>
      </w:r>
    </w:p>
    <w:p w14:paraId="4E47D4CC" w14:textId="77777777" w:rsidR="00016278" w:rsidRPr="00A557BB" w:rsidRDefault="00016278" w:rsidP="00016278">
      <w:pPr>
        <w:rPr>
          <w:lang w:val="fr-FR"/>
        </w:rPr>
      </w:pPr>
    </w:p>
    <w:p w14:paraId="34BB84C8" w14:textId="77777777" w:rsidR="00016278" w:rsidRPr="00A557BB" w:rsidRDefault="00016278" w:rsidP="00016278">
      <w:pPr>
        <w:rPr>
          <w:b/>
          <w:lang w:val="fr-FR"/>
        </w:rPr>
      </w:pPr>
      <w:r w:rsidRPr="00A557BB">
        <w:rPr>
          <w:b/>
          <w:lang w:val="fr-FR"/>
        </w:rPr>
        <w:t xml:space="preserve">Historique </w:t>
      </w:r>
    </w:p>
    <w:p w14:paraId="18E1AB00" w14:textId="77777777" w:rsidR="00016278" w:rsidRPr="00A557BB" w:rsidRDefault="00016278" w:rsidP="00016278">
      <w:pPr>
        <w:rPr>
          <w:lang w:val="fr-FR"/>
        </w:rPr>
      </w:pPr>
    </w:p>
    <w:p w14:paraId="2469D746" w14:textId="77777777" w:rsidR="00016278" w:rsidRPr="00A557BB" w:rsidRDefault="00016278" w:rsidP="00016278">
      <w:pPr>
        <w:pStyle w:val="Heading1"/>
        <w:rPr>
          <w:lang w:val="fr-FR"/>
        </w:rPr>
      </w:pPr>
      <w:r w:rsidRPr="00A557BB">
        <w:rPr>
          <w:lang w:val="fr-FR"/>
        </w:rPr>
        <w:t xml:space="preserve">À la 80 </w:t>
      </w:r>
      <w:r w:rsidRPr="00A557BB">
        <w:rPr>
          <w:vertAlign w:val="superscript"/>
          <w:lang w:val="fr-FR"/>
        </w:rPr>
        <w:t>e</w:t>
      </w:r>
      <w:r w:rsidRPr="00A557BB">
        <w:rPr>
          <w:lang w:val="fr-FR"/>
        </w:rPr>
        <w:t xml:space="preserve"> réunion, le Comité exécutif a examiné la demande portant sur la troisième tranche de la phase I du PGEH pour les Bahamas. Dans le rapport de présentation soumis au Comité exécutif, le Secrétariat avait attiré l’attention sur des préoccupations concernant la s</w:t>
      </w:r>
      <w:r w:rsidR="0009027B" w:rsidRPr="00A557BB">
        <w:rPr>
          <w:lang w:val="fr-FR"/>
        </w:rPr>
        <w:t>écurité associée à l’usage du R-</w:t>
      </w:r>
      <w:r w:rsidRPr="00A557BB">
        <w:rPr>
          <w:lang w:val="fr-FR"/>
        </w:rPr>
        <w:t xml:space="preserve">22a, un frigorigène inflammable, pour la </w:t>
      </w:r>
      <w:r w:rsidR="002F5396" w:rsidRPr="00A557BB">
        <w:rPr>
          <w:lang w:val="fr-FR"/>
        </w:rPr>
        <w:t>reconversion</w:t>
      </w:r>
      <w:r w:rsidR="0009027B" w:rsidRPr="00A557BB">
        <w:rPr>
          <w:lang w:val="fr-FR"/>
        </w:rPr>
        <w:t xml:space="preserve"> d’appareils utilisant </w:t>
      </w:r>
      <w:r w:rsidRPr="00A557BB">
        <w:rPr>
          <w:lang w:val="fr-FR"/>
        </w:rPr>
        <w:t>le HCFC-22, et que le PNUE dirigerait une étude pour explorer les meilleures options disponibles. À la lumière de ce qui précède, le Comité exécutif avait demandé au PNUE de fournir des informations à jour sur les résultats de l’étude pour explorer les meilleures options disponibles en vue d’évaluer, de surveiller et de reconvertir deux systèmes de climatisation dans le cadre d'un projet pilote (décisions 80/62(b) et 83/16).</w:t>
      </w:r>
      <w:r w:rsidRPr="00A557BB">
        <w:rPr>
          <w:rStyle w:val="FootnoteReference"/>
          <w:lang w:val="fr-FR"/>
        </w:rPr>
        <w:footnoteReference w:id="8"/>
      </w:r>
    </w:p>
    <w:p w14:paraId="0B745BB8" w14:textId="77777777" w:rsidR="00016278" w:rsidRPr="00A557BB" w:rsidRDefault="00016278" w:rsidP="00016278">
      <w:pPr>
        <w:pStyle w:val="Heading1"/>
        <w:rPr>
          <w:lang w:val="fr-FR"/>
        </w:rPr>
      </w:pPr>
      <w:r w:rsidRPr="00A557BB">
        <w:rPr>
          <w:lang w:val="fr-FR"/>
        </w:rPr>
        <w:lastRenderedPageBreak/>
        <w:t>Conformément aux décisions prises, le PNUE, après consultation de l'UNO, a présenté à la 84</w:t>
      </w:r>
      <w:r w:rsidRPr="00A557BB">
        <w:rPr>
          <w:vertAlign w:val="superscript"/>
          <w:lang w:val="fr-FR"/>
        </w:rPr>
        <w:t>e</w:t>
      </w:r>
      <w:r w:rsidR="0009027B" w:rsidRPr="00A557BB">
        <w:rPr>
          <w:lang w:val="fr-FR"/>
        </w:rPr>
        <w:t> </w:t>
      </w:r>
      <w:r w:rsidRPr="00A557BB">
        <w:rPr>
          <w:lang w:val="fr-FR"/>
        </w:rPr>
        <w:t>réunion une étude théorique détaillée portant sur les options technologiques</w:t>
      </w:r>
      <w:r w:rsidR="0009027B" w:rsidRPr="00A557BB">
        <w:rPr>
          <w:lang w:val="fr-FR"/>
        </w:rPr>
        <w:t xml:space="preserve"> visant à la modernisation des </w:t>
      </w:r>
      <w:r w:rsidRPr="00A557BB">
        <w:rPr>
          <w:lang w:val="fr-FR"/>
        </w:rPr>
        <w:t>systèmes de climatisation à base de HCFC-22, notant que le projet pilote de modernisation de deux équipements à base de HCFC-22 avait été approuvé dans le cadre de la phase I du PGEH et que le Comité exécutif avait souligné, à sa 80</w:t>
      </w:r>
      <w:r w:rsidRPr="00A557BB">
        <w:rPr>
          <w:vertAlign w:val="superscript"/>
          <w:lang w:val="fr-FR"/>
        </w:rPr>
        <w:t>e</w:t>
      </w:r>
      <w:r w:rsidRPr="00A557BB">
        <w:rPr>
          <w:lang w:val="fr-FR"/>
        </w:rPr>
        <w:t xml:space="preserve"> réunion, les problèmes de sécurité découlant de l'utilisation du R-22a pour la modernisation d'appareils utilisant du HCFC-22. C'est une étude théorique qui a été entreprise au lieu de la modernisation des deux équipements fonctionnant au HCFC-22 car ceux-ci n’étaient plus disponibles. En substance, l'étude conclut que certains </w:t>
      </w:r>
      <w:r w:rsidR="002F5396" w:rsidRPr="00A557BB">
        <w:rPr>
          <w:lang w:val="fr-FR"/>
        </w:rPr>
        <w:t>frigorigènes</w:t>
      </w:r>
      <w:r w:rsidRPr="00A557BB">
        <w:rPr>
          <w:lang w:val="fr-FR"/>
        </w:rPr>
        <w:t xml:space="preserve"> ininflammables à fort PRP </w:t>
      </w:r>
      <w:r w:rsidR="00E916A0" w:rsidRPr="00A557BB">
        <w:rPr>
          <w:lang w:val="fr-FR"/>
        </w:rPr>
        <w:t>disponibles à l’achat</w:t>
      </w:r>
      <w:r w:rsidR="00E20DA7" w:rsidRPr="00A557BB">
        <w:rPr>
          <w:lang w:val="fr-FR"/>
        </w:rPr>
        <w:t xml:space="preserve"> </w:t>
      </w:r>
      <w:r w:rsidRPr="00A557BB">
        <w:rPr>
          <w:lang w:val="fr-FR"/>
        </w:rPr>
        <w:t>(R-</w:t>
      </w:r>
      <w:r w:rsidR="00E20DA7" w:rsidRPr="00A557BB">
        <w:rPr>
          <w:lang w:val="fr-FR"/>
        </w:rPr>
        <w:t>407C, R-427A, R-422D, R-438A, R</w:t>
      </w:r>
      <w:r w:rsidR="00D87FF0" w:rsidRPr="00A557BB">
        <w:rPr>
          <w:lang w:val="fr-FR"/>
        </w:rPr>
        <w:noBreakHyphen/>
      </w:r>
      <w:r w:rsidRPr="00A557BB">
        <w:rPr>
          <w:lang w:val="fr-FR"/>
        </w:rPr>
        <w:t xml:space="preserve">453A, par exemple) pourraient être utilisés comme options de modernisation ; Les frigorigènes à faible PRP, qui pourraient également être utilisés pour moderniser les équipements à base de HCFC-22, sont inflammables et difficiles à trouver dans le pays. </w:t>
      </w:r>
    </w:p>
    <w:p w14:paraId="09EF59AB" w14:textId="77777777" w:rsidR="00016278" w:rsidRPr="00A557BB" w:rsidRDefault="00016278" w:rsidP="00016278">
      <w:pPr>
        <w:pStyle w:val="Heading1"/>
        <w:rPr>
          <w:lang w:val="fr-FR"/>
        </w:rPr>
      </w:pPr>
      <w:r w:rsidRPr="00A557BB">
        <w:rPr>
          <w:lang w:val="fr-FR"/>
        </w:rPr>
        <w:t xml:space="preserve">En outre, le PNUE a confirmé que le gouvernement des Bahamas, à la lumière des résultats de cette étude, ne propose pas d’entreprendre la modernisation d’équipements de réfrigération au HCFC-22 comme cela avait été proposé, à l’origine, dans la phase I du PGEH. </w:t>
      </w:r>
    </w:p>
    <w:p w14:paraId="3E4FB4F6" w14:textId="77777777" w:rsidR="00016278" w:rsidRPr="00A557BB" w:rsidRDefault="00016278" w:rsidP="00016278">
      <w:pPr>
        <w:rPr>
          <w:b/>
          <w:lang w:val="fr-FR"/>
        </w:rPr>
      </w:pPr>
      <w:r w:rsidRPr="00A557BB">
        <w:rPr>
          <w:b/>
          <w:lang w:val="fr-FR"/>
        </w:rPr>
        <w:t>Observations du Secrétariat</w:t>
      </w:r>
    </w:p>
    <w:p w14:paraId="12DE11EB" w14:textId="77777777" w:rsidR="00016278" w:rsidRPr="00A557BB" w:rsidRDefault="00016278" w:rsidP="00016278">
      <w:pPr>
        <w:rPr>
          <w:lang w:val="fr-FR"/>
        </w:rPr>
      </w:pPr>
    </w:p>
    <w:p w14:paraId="6C6221F6" w14:textId="77777777" w:rsidR="00016278" w:rsidRPr="00A557BB" w:rsidRDefault="00016278" w:rsidP="00016278">
      <w:pPr>
        <w:pStyle w:val="Heading1"/>
        <w:rPr>
          <w:lang w:val="fr-FR"/>
        </w:rPr>
      </w:pPr>
      <w:r w:rsidRPr="00A557BB">
        <w:rPr>
          <w:lang w:val="fr-FR"/>
        </w:rPr>
        <w:t>Interrogé sur les prochaines étapes, le PNUE a indiqué que le Gouvernement n’avait pas l’intention d’entreprendre des travaux de modernisation au titre de cette composante du projet et proposait de concentrer ses efforts sur les bonnes pratiques en matière de réfrigération, de confinement, de récupération et de recyclage des frigorigènes et de remplacer les systèmes de climatisation en fin de vie plutôt que de les modifier pour qu'ils utilisent des frigorigènes à faible PRP.</w:t>
      </w:r>
    </w:p>
    <w:p w14:paraId="0BBDC00C" w14:textId="77777777" w:rsidR="00016278" w:rsidRPr="00A557BB" w:rsidRDefault="00016278" w:rsidP="00016278">
      <w:pPr>
        <w:pStyle w:val="Heading1"/>
        <w:rPr>
          <w:lang w:val="fr-FR"/>
        </w:rPr>
      </w:pPr>
      <w:r w:rsidRPr="00A557BB">
        <w:rPr>
          <w:lang w:val="fr-FR"/>
        </w:rPr>
        <w:t xml:space="preserve">Le PNUE a également indiqué qu’il n’y avait ni importation ni vente de R-22a aux Bahamas. Pour garantir la sécurité lors de l'utilisation possible de frigorigènes inflammables, l'UNO, en collaboration avec l'ONUDI (agissant en </w:t>
      </w:r>
      <w:r w:rsidR="00E20DA7" w:rsidRPr="00A557BB">
        <w:rPr>
          <w:lang w:val="fr-FR"/>
        </w:rPr>
        <w:t xml:space="preserve">sa </w:t>
      </w:r>
      <w:r w:rsidRPr="00A557BB">
        <w:rPr>
          <w:lang w:val="fr-FR"/>
        </w:rPr>
        <w:t>qualité d'agence d'exécution coopérante du PGEH), a organisé un atelier portant sur l'utilisation sans danger de frigorigènes de remplacement au bénéfice de</w:t>
      </w:r>
      <w:r w:rsidR="00E20DA7" w:rsidRPr="00A557BB">
        <w:rPr>
          <w:lang w:val="fr-FR"/>
        </w:rPr>
        <w:t>s techniciens en réfrigération.</w:t>
      </w:r>
      <w:r w:rsidRPr="00A557BB">
        <w:rPr>
          <w:lang w:val="fr-FR"/>
        </w:rPr>
        <w:t xml:space="preserve"> L’UNO organisera d’autres sessions de formation dans les écoles professionnelles.</w:t>
      </w:r>
    </w:p>
    <w:p w14:paraId="097D5292" w14:textId="77777777" w:rsidR="00016278" w:rsidRPr="00A557BB" w:rsidRDefault="00016278" w:rsidP="00016278">
      <w:pPr>
        <w:rPr>
          <w:b/>
          <w:lang w:val="fr-FR"/>
        </w:rPr>
      </w:pPr>
      <w:r w:rsidRPr="00A557BB">
        <w:rPr>
          <w:b/>
          <w:lang w:val="fr-FR"/>
        </w:rPr>
        <w:t xml:space="preserve">Recommandation </w:t>
      </w:r>
    </w:p>
    <w:p w14:paraId="27D56616" w14:textId="77777777" w:rsidR="00016278" w:rsidRPr="00A557BB" w:rsidRDefault="00016278" w:rsidP="00016278">
      <w:pPr>
        <w:rPr>
          <w:lang w:val="fr-FR"/>
        </w:rPr>
      </w:pPr>
    </w:p>
    <w:p w14:paraId="40BA1290" w14:textId="77777777" w:rsidR="00016278" w:rsidRPr="00A557BB" w:rsidRDefault="00016278" w:rsidP="00016278">
      <w:pPr>
        <w:pStyle w:val="Heading1"/>
        <w:rPr>
          <w:lang w:val="fr-FR"/>
        </w:rPr>
      </w:pPr>
      <w:r w:rsidRPr="00A557BB">
        <w:rPr>
          <w:lang w:val="fr-FR"/>
        </w:rPr>
        <w:t xml:space="preserve">Le Comité exécutif pourrait souhaiter : </w:t>
      </w:r>
    </w:p>
    <w:p w14:paraId="3D66FD79" w14:textId="77777777" w:rsidR="00016278" w:rsidRPr="00A557BB" w:rsidRDefault="00016278" w:rsidP="00016278">
      <w:pPr>
        <w:pStyle w:val="Heading2"/>
        <w:numPr>
          <w:ilvl w:val="1"/>
          <w:numId w:val="1"/>
        </w:numPr>
        <w:rPr>
          <w:lang w:val="fr-FR"/>
        </w:rPr>
      </w:pPr>
      <w:r w:rsidRPr="00A557BB">
        <w:rPr>
          <w:lang w:val="fr-FR"/>
        </w:rPr>
        <w:t>prendre note :</w:t>
      </w:r>
    </w:p>
    <w:p w14:paraId="3316D8A9" w14:textId="77777777" w:rsidR="00016278" w:rsidRPr="00A557BB" w:rsidRDefault="00016278" w:rsidP="00016278">
      <w:pPr>
        <w:pStyle w:val="Heading3"/>
        <w:numPr>
          <w:ilvl w:val="2"/>
          <w:numId w:val="1"/>
        </w:numPr>
        <w:rPr>
          <w:lang w:val="fr-FR"/>
        </w:rPr>
      </w:pPr>
      <w:r w:rsidRPr="00A557BB">
        <w:rPr>
          <w:lang w:val="fr-FR"/>
        </w:rPr>
        <w:t>d</w:t>
      </w:r>
      <w:r w:rsidR="00E20DA7" w:rsidRPr="00A557BB">
        <w:rPr>
          <w:lang w:val="fr-FR"/>
        </w:rPr>
        <w:t>u rapport sur l'étude théorique</w:t>
      </w:r>
      <w:r w:rsidRPr="00A557BB">
        <w:rPr>
          <w:lang w:val="fr-FR"/>
        </w:rPr>
        <w:t xml:space="preserve"> présenté par le PNUE au nom du Gouvernement des Bahamas, qui a étudié les différentes options technologiques permettant la modernisation des systèmes de climatisation à base de HCFC-22 dans le cadre de la phase I du plan de gestion de</w:t>
      </w:r>
      <w:r w:rsidR="00E20DA7" w:rsidRPr="00A557BB">
        <w:rPr>
          <w:lang w:val="fr-FR"/>
        </w:rPr>
        <w:t xml:space="preserve"> l'élimination des HCFC (PGEH) pour l</w:t>
      </w:r>
      <w:r w:rsidRPr="00A557BB">
        <w:rPr>
          <w:lang w:val="fr-FR"/>
        </w:rPr>
        <w:t xml:space="preserve">es Bahamas et </w:t>
      </w:r>
      <w:r w:rsidR="00E20DA7" w:rsidRPr="00A557BB">
        <w:rPr>
          <w:lang w:val="fr-FR"/>
        </w:rPr>
        <w:t>présenté</w:t>
      </w:r>
      <w:r w:rsidRPr="00A557BB">
        <w:rPr>
          <w:lang w:val="fr-FR"/>
        </w:rPr>
        <w:t xml:space="preserve"> dans le document paru sous la cote UNEP/OzL.Pro/ExCom/84/22 ;</w:t>
      </w:r>
    </w:p>
    <w:p w14:paraId="0E828CBC" w14:textId="77777777" w:rsidR="00016278" w:rsidRPr="00A557BB" w:rsidRDefault="00016278" w:rsidP="00016278">
      <w:pPr>
        <w:pStyle w:val="Heading3"/>
        <w:numPr>
          <w:ilvl w:val="2"/>
          <w:numId w:val="1"/>
        </w:numPr>
        <w:rPr>
          <w:lang w:val="fr-FR"/>
        </w:rPr>
      </w:pPr>
      <w:r w:rsidRPr="00A557BB">
        <w:rPr>
          <w:lang w:val="fr-FR"/>
        </w:rPr>
        <w:t xml:space="preserve">que le Gouvernement des Bahamas a décidé de ne pas modifier deux systèmes de climatisation fonctionnant au HCFC-22 pour qu'ils fonctionnent aux hydrocarbures ; </w:t>
      </w:r>
    </w:p>
    <w:p w14:paraId="415DCAC2" w14:textId="77777777" w:rsidR="00016278" w:rsidRPr="00A557BB" w:rsidRDefault="00016278" w:rsidP="00016278">
      <w:pPr>
        <w:pStyle w:val="Heading2"/>
        <w:numPr>
          <w:ilvl w:val="1"/>
          <w:numId w:val="1"/>
        </w:numPr>
        <w:rPr>
          <w:lang w:val="fr-FR"/>
        </w:rPr>
      </w:pPr>
      <w:r w:rsidRPr="00A557BB">
        <w:rPr>
          <w:lang w:val="fr-FR"/>
        </w:rPr>
        <w:t xml:space="preserve">demander au PNUE de soumettre un plan d’action révisé pour la phase I du PGEH, en notant que </w:t>
      </w:r>
      <w:r w:rsidR="002F5396" w:rsidRPr="00A557BB">
        <w:rPr>
          <w:lang w:val="fr-FR"/>
        </w:rPr>
        <w:t>le volet</w:t>
      </w:r>
      <w:r w:rsidRPr="00A557BB">
        <w:rPr>
          <w:lang w:val="fr-FR"/>
        </w:rPr>
        <w:t xml:space="preserve"> de modernisation qui avait été initialem</w:t>
      </w:r>
      <w:r w:rsidR="002F5396" w:rsidRPr="00A557BB">
        <w:rPr>
          <w:lang w:val="fr-FR"/>
        </w:rPr>
        <w:t>ent approuvé</w:t>
      </w:r>
      <w:r w:rsidRPr="00A557BB">
        <w:rPr>
          <w:lang w:val="fr-FR"/>
        </w:rPr>
        <w:t xml:space="preserve"> dans le cadre </w:t>
      </w:r>
      <w:r w:rsidR="002F5396" w:rsidRPr="00A557BB">
        <w:rPr>
          <w:lang w:val="fr-FR"/>
        </w:rPr>
        <w:t>de la phase I ne serait pas mis</w:t>
      </w:r>
      <w:r w:rsidRPr="00A557BB">
        <w:rPr>
          <w:lang w:val="fr-FR"/>
        </w:rPr>
        <w:t xml:space="preserve"> en œuvre, en même temps que la demande portant sur la quatrième tranche de financement du PGEH.</w:t>
      </w:r>
    </w:p>
    <w:p w14:paraId="463852BC" w14:textId="77777777" w:rsidR="002C17BF" w:rsidRPr="00A557BB" w:rsidRDefault="00614272" w:rsidP="002C17BF">
      <w:pPr>
        <w:keepNext/>
        <w:spacing w:after="240"/>
        <w:rPr>
          <w:color w:val="000000"/>
          <w:lang w:val="fr-FR"/>
        </w:rPr>
      </w:pPr>
      <w:r w:rsidRPr="00A557BB">
        <w:rPr>
          <w:u w:val="single"/>
          <w:lang w:val="fr-FR"/>
        </w:rPr>
        <w:lastRenderedPageBreak/>
        <w:t>Brésil: Plan</w:t>
      </w:r>
      <w:r w:rsidR="002C17BF" w:rsidRPr="00A557BB">
        <w:rPr>
          <w:u w:val="single"/>
          <w:lang w:val="fr-FR"/>
        </w:rPr>
        <w:t xml:space="preserve"> de gestion de l'élimination des </w:t>
      </w:r>
      <w:r w:rsidRPr="00A557BB">
        <w:rPr>
          <w:u w:val="single"/>
          <w:lang w:val="fr-FR"/>
        </w:rPr>
        <w:t>HCFC</w:t>
      </w:r>
      <w:r w:rsidRPr="00A557BB">
        <w:rPr>
          <w:color w:val="000000"/>
          <w:u w:val="single"/>
          <w:lang w:val="fr-FR"/>
        </w:rPr>
        <w:t xml:space="preserve"> (</w:t>
      </w:r>
      <w:r w:rsidR="001C4F37" w:rsidRPr="00A557BB">
        <w:rPr>
          <w:u w:val="single"/>
          <w:lang w:val="fr-FR"/>
        </w:rPr>
        <w:t>phase I - rapport sur l'utilisation temporaire de technologies à fort potentiel de réc</w:t>
      </w:r>
      <w:r w:rsidR="00E20DA7" w:rsidRPr="00A557BB">
        <w:rPr>
          <w:u w:val="single"/>
          <w:lang w:val="fr-FR"/>
        </w:rPr>
        <w:t>hauffement de la planète chez U-</w:t>
      </w:r>
      <w:r w:rsidR="001C4F37" w:rsidRPr="00A557BB">
        <w:rPr>
          <w:u w:val="single"/>
          <w:lang w:val="fr-FR"/>
        </w:rPr>
        <w:t>Tech Systems et rapport de suivi 2018/2019</w:t>
      </w:r>
      <w:r w:rsidRPr="00A557BB">
        <w:rPr>
          <w:color w:val="000000"/>
          <w:u w:val="single"/>
          <w:lang w:val="fr-FR"/>
        </w:rPr>
        <w:t>)</w:t>
      </w:r>
      <w:r w:rsidRPr="00A557BB">
        <w:rPr>
          <w:color w:val="000000"/>
          <w:lang w:val="fr-FR"/>
        </w:rPr>
        <w:t xml:space="preserve"> (</w:t>
      </w:r>
      <w:r w:rsidR="002C17BF" w:rsidRPr="00A557BB">
        <w:rPr>
          <w:color w:val="000000"/>
          <w:lang w:val="fr-FR"/>
        </w:rPr>
        <w:t>PNUD et Gouvernement de l'Allemagne)</w:t>
      </w:r>
    </w:p>
    <w:p w14:paraId="79CAE377" w14:textId="77777777" w:rsidR="002169B2" w:rsidRPr="00A557BB" w:rsidRDefault="002169B2" w:rsidP="002169B2">
      <w:pPr>
        <w:keepNext/>
        <w:spacing w:after="240"/>
        <w:rPr>
          <w:color w:val="000000"/>
          <w:lang w:val="fr-FR"/>
        </w:rPr>
      </w:pPr>
      <w:r w:rsidRPr="00A557BB">
        <w:rPr>
          <w:b/>
          <w:lang w:val="fr-FR"/>
        </w:rPr>
        <w:t>Historique</w:t>
      </w:r>
    </w:p>
    <w:p w14:paraId="77853F04" w14:textId="77777777" w:rsidR="002C17BF" w:rsidRPr="00A557BB" w:rsidRDefault="002C17BF" w:rsidP="002169B2">
      <w:pPr>
        <w:pStyle w:val="Heading1"/>
        <w:rPr>
          <w:lang w:val="fr-FR"/>
        </w:rPr>
      </w:pPr>
      <w:r w:rsidRPr="00A557BB">
        <w:rPr>
          <w:lang w:val="fr-FR"/>
        </w:rPr>
        <w:t xml:space="preserve">Au nom du gouvernement du Brésil, le PNUD, </w:t>
      </w:r>
      <w:r w:rsidR="00E20DA7" w:rsidRPr="00A557BB">
        <w:rPr>
          <w:lang w:val="fr-FR"/>
        </w:rPr>
        <w:t xml:space="preserve">en sa qualité </w:t>
      </w:r>
      <w:r w:rsidRPr="00A557BB">
        <w:rPr>
          <w:lang w:val="fr-FR"/>
        </w:rPr>
        <w:t>d’agence d’exécution principale, a présenté à la 84</w:t>
      </w:r>
      <w:r w:rsidRPr="00A557BB">
        <w:rPr>
          <w:vertAlign w:val="superscript"/>
          <w:lang w:val="fr-FR"/>
        </w:rPr>
        <w:t>e</w:t>
      </w:r>
      <w:r w:rsidRPr="00A557BB">
        <w:rPr>
          <w:lang w:val="fr-FR"/>
        </w:rPr>
        <w:t xml:space="preserve"> réunion le rapport périodique annuel </w:t>
      </w:r>
      <w:r w:rsidR="00E20DA7" w:rsidRPr="00A557BB">
        <w:rPr>
          <w:lang w:val="fr-FR"/>
        </w:rPr>
        <w:t xml:space="preserve">portant </w:t>
      </w:r>
      <w:r w:rsidRPr="00A557BB">
        <w:rPr>
          <w:lang w:val="fr-FR"/>
        </w:rPr>
        <w:t>sur la mise en œuvre du programme de travail annuel associé à la cinquième tranche de la phase I du plan de gestion de l’élimination des HCFC (PGEH),</w:t>
      </w:r>
      <w:r w:rsidRPr="00A557BB">
        <w:rPr>
          <w:rStyle w:val="FootnoteReference"/>
          <w:lang w:val="fr-FR"/>
        </w:rPr>
        <w:footnoteReference w:id="9"/>
      </w:r>
      <w:r w:rsidRPr="00A557BB">
        <w:rPr>
          <w:vertAlign w:val="superscript"/>
          <w:lang w:val="fr-FR"/>
        </w:rPr>
        <w:t>,</w:t>
      </w:r>
      <w:r w:rsidRPr="00A557BB">
        <w:rPr>
          <w:rStyle w:val="FootnoteReference"/>
          <w:lang w:val="fr-FR"/>
        </w:rPr>
        <w:footnoteReference w:id="10"/>
      </w:r>
      <w:r w:rsidRPr="00A557BB">
        <w:rPr>
          <w:lang w:val="fr-FR"/>
        </w:rPr>
        <w:t xml:space="preserve"> conformément à la décision 75/53 (b).</w:t>
      </w:r>
      <w:r w:rsidRPr="00A557BB">
        <w:rPr>
          <w:rStyle w:val="FootnoteReference"/>
          <w:lang w:val="fr-FR"/>
        </w:rPr>
        <w:footnoteReference w:id="11"/>
      </w:r>
    </w:p>
    <w:p w14:paraId="4DCF8725" w14:textId="77777777" w:rsidR="002C17BF" w:rsidRPr="00A557BB" w:rsidRDefault="002C17BF" w:rsidP="002169B2">
      <w:pPr>
        <w:pStyle w:val="Heading1"/>
        <w:numPr>
          <w:ilvl w:val="0"/>
          <w:numId w:val="1"/>
        </w:numPr>
        <w:rPr>
          <w:lang w:val="fr-FR"/>
        </w:rPr>
      </w:pPr>
      <w:r w:rsidRPr="00A557BB">
        <w:rPr>
          <w:lang w:val="fr-FR"/>
        </w:rPr>
        <w:t>À la 80</w:t>
      </w:r>
      <w:r w:rsidRPr="00A557BB">
        <w:rPr>
          <w:vertAlign w:val="superscript"/>
          <w:lang w:val="fr-FR"/>
        </w:rPr>
        <w:t>e</w:t>
      </w:r>
      <w:r w:rsidRPr="00A557BB">
        <w:rPr>
          <w:lang w:val="fr-FR"/>
        </w:rPr>
        <w:t xml:space="preserve"> réunion, le Comité exécutif a approuvé le report de la date d’achèvement de la phase I du PGEH au 31 décembre 2019, en étant entendu qu’aucun autre report de la mise en œuvre du projet ne serait demandé (décision 80/12 (b)).</w:t>
      </w:r>
    </w:p>
    <w:p w14:paraId="2D8078AD" w14:textId="77777777" w:rsidR="002C17BF" w:rsidRPr="00A557BB" w:rsidRDefault="002C17BF" w:rsidP="002C17BF">
      <w:pPr>
        <w:spacing w:after="240"/>
        <w:rPr>
          <w:i/>
          <w:lang w:val="fr-FR"/>
        </w:rPr>
      </w:pPr>
      <w:r w:rsidRPr="00A557BB">
        <w:rPr>
          <w:i/>
          <w:lang w:val="fr-FR"/>
        </w:rPr>
        <w:t>Consommation de HCFC</w:t>
      </w:r>
    </w:p>
    <w:p w14:paraId="34A23D58" w14:textId="77777777" w:rsidR="002C17BF" w:rsidRPr="00A557BB" w:rsidRDefault="002C17BF" w:rsidP="002C17BF">
      <w:pPr>
        <w:pStyle w:val="Heading1"/>
        <w:rPr>
          <w:lang w:val="fr-FR"/>
        </w:rPr>
      </w:pPr>
      <w:r w:rsidRPr="00A557BB">
        <w:rPr>
          <w:lang w:val="fr-FR"/>
        </w:rPr>
        <w:t xml:space="preserve">Le gouvernement du Brésil a rapporté une consommation de 826,26 tonnes PAO de HCFC en 2018, </w:t>
      </w:r>
      <w:r w:rsidR="00E20DA7" w:rsidRPr="00A557BB">
        <w:rPr>
          <w:lang w:val="fr-FR"/>
        </w:rPr>
        <w:t>soit un niveau</w:t>
      </w:r>
      <w:r w:rsidRPr="00A557BB">
        <w:rPr>
          <w:lang w:val="fr-FR"/>
        </w:rPr>
        <w:t xml:space="preserve"> </w:t>
      </w:r>
      <w:r w:rsidR="00E20DA7" w:rsidRPr="00A557BB">
        <w:rPr>
          <w:lang w:val="fr-FR"/>
        </w:rPr>
        <w:t xml:space="preserve">inférieur d’environ </w:t>
      </w:r>
      <w:r w:rsidRPr="00A557BB">
        <w:rPr>
          <w:lang w:val="fr-FR"/>
        </w:rPr>
        <w:t>38 </w:t>
      </w:r>
      <w:r w:rsidR="00E20DA7" w:rsidRPr="00A557BB">
        <w:rPr>
          <w:lang w:val="fr-FR"/>
        </w:rPr>
        <w:t>%</w:t>
      </w:r>
      <w:r w:rsidRPr="00A557BB">
        <w:rPr>
          <w:lang w:val="fr-FR"/>
        </w:rPr>
        <w:t xml:space="preserve"> à la valeur de référence </w:t>
      </w:r>
      <w:r w:rsidR="00E20DA7" w:rsidRPr="00A557BB">
        <w:rPr>
          <w:lang w:val="fr-FR"/>
        </w:rPr>
        <w:t>aux fins de</w:t>
      </w:r>
      <w:r w:rsidRPr="00A557BB">
        <w:rPr>
          <w:lang w:val="fr-FR"/>
        </w:rPr>
        <w:t xml:space="preserve"> conformité. Le Gouvernement a également communiqué les données de consommation sectorielles figurant dans le rapport sur la mise en œuvre du programme de pays pour 2018, lesquelles concordent avec les données transmises au titre de l’article 7 du Protocole. </w:t>
      </w:r>
    </w:p>
    <w:p w14:paraId="4F183129" w14:textId="77777777" w:rsidR="002C17BF" w:rsidRPr="00A557BB" w:rsidRDefault="002C17BF" w:rsidP="002C17BF">
      <w:pPr>
        <w:pStyle w:val="Heading1"/>
        <w:rPr>
          <w:lang w:val="fr-FR"/>
        </w:rPr>
      </w:pPr>
      <w:r w:rsidRPr="00A557BB">
        <w:rPr>
          <w:lang w:val="fr-FR"/>
        </w:rPr>
        <w:t>De 2017 à 2018, la consommation de HCFC-141b a augmenté de 55 tonnes PAO, malgré le grand nombre d'entreprises de fabrication de mousses converties à des technologies de remplacement. L'augmentation d</w:t>
      </w:r>
      <w:r w:rsidR="00E20DA7" w:rsidRPr="00A557BB">
        <w:rPr>
          <w:lang w:val="fr-FR"/>
        </w:rPr>
        <w:t>e la consommation est due à l’</w:t>
      </w:r>
      <w:r w:rsidRPr="00A557BB">
        <w:rPr>
          <w:lang w:val="fr-FR"/>
        </w:rPr>
        <w:t>augmentation des importations destinées à être stockées par les entreprises en prévision de l'entrée en vigueur de l'interdiction des importations à compter du 1</w:t>
      </w:r>
      <w:r w:rsidRPr="00A557BB">
        <w:rPr>
          <w:vertAlign w:val="superscript"/>
          <w:lang w:val="fr-FR"/>
        </w:rPr>
        <w:t>er</w:t>
      </w:r>
      <w:r w:rsidRPr="00A557BB">
        <w:rPr>
          <w:lang w:val="fr-FR"/>
        </w:rPr>
        <w:t xml:space="preserve"> janvier 2020, aggravée par le fait que le </w:t>
      </w:r>
      <w:r w:rsidR="00E20DA7" w:rsidRPr="00A557BB">
        <w:rPr>
          <w:lang w:val="fr-FR"/>
        </w:rPr>
        <w:t>prix</w:t>
      </w:r>
      <w:r w:rsidRPr="00A557BB">
        <w:rPr>
          <w:lang w:val="fr-FR"/>
        </w:rPr>
        <w:t xml:space="preserve"> du HCFC</w:t>
      </w:r>
      <w:r w:rsidR="00614272" w:rsidRPr="00A557BB">
        <w:rPr>
          <w:lang w:val="fr-FR"/>
        </w:rPr>
        <w:t>-</w:t>
      </w:r>
      <w:r w:rsidRPr="00A557BB">
        <w:rPr>
          <w:lang w:val="fr-FR"/>
        </w:rPr>
        <w:t>141b est actuellement très bas.</w:t>
      </w:r>
    </w:p>
    <w:p w14:paraId="6E22C3B7" w14:textId="77777777" w:rsidR="002C17BF" w:rsidRPr="00A557BB" w:rsidRDefault="002C17BF" w:rsidP="002C17BF">
      <w:pPr>
        <w:spacing w:after="240"/>
        <w:rPr>
          <w:b/>
          <w:lang w:val="fr-FR"/>
        </w:rPr>
      </w:pPr>
      <w:r w:rsidRPr="00A557BB">
        <w:rPr>
          <w:b/>
          <w:lang w:val="fr-FR"/>
        </w:rPr>
        <w:t>Rapp</w:t>
      </w:r>
      <w:r w:rsidR="00614272" w:rsidRPr="00A557BB">
        <w:rPr>
          <w:b/>
          <w:lang w:val="fr-FR"/>
        </w:rPr>
        <w:t>ort périodique sur la mise en œ</w:t>
      </w:r>
      <w:r w:rsidRPr="00A557BB">
        <w:rPr>
          <w:b/>
          <w:lang w:val="fr-FR"/>
        </w:rPr>
        <w:t xml:space="preserve">uvre de la cinquième tranche </w:t>
      </w:r>
    </w:p>
    <w:p w14:paraId="46BB2ACE" w14:textId="77777777" w:rsidR="002C17BF" w:rsidRPr="00A557BB" w:rsidRDefault="002C17BF" w:rsidP="002C17BF">
      <w:pPr>
        <w:widowControl w:val="0"/>
        <w:spacing w:after="240"/>
        <w:rPr>
          <w:i/>
          <w:lang w:val="fr-FR"/>
        </w:rPr>
      </w:pPr>
      <w:r w:rsidRPr="00A557BB">
        <w:rPr>
          <w:i/>
          <w:lang w:val="fr-FR"/>
        </w:rPr>
        <w:t>Cadre juridique</w:t>
      </w:r>
    </w:p>
    <w:p w14:paraId="15660D43" w14:textId="77777777" w:rsidR="002C17BF" w:rsidRPr="00A557BB" w:rsidRDefault="002C17BF" w:rsidP="002169B2">
      <w:pPr>
        <w:pStyle w:val="Heading1"/>
        <w:numPr>
          <w:ilvl w:val="0"/>
          <w:numId w:val="1"/>
        </w:numPr>
        <w:rPr>
          <w:color w:val="000009"/>
          <w:lang w:val="fr-FR"/>
        </w:rPr>
      </w:pPr>
      <w:r w:rsidRPr="00A557BB">
        <w:rPr>
          <w:lang w:val="fr-FR"/>
        </w:rPr>
        <w:t xml:space="preserve">Le Gouvernement a approuvé un règlement visant à renforcer les contrôles environnementaux des activités potentiellement polluantes liées aux SAO et mis à jour les directives et les actions de coordination liées à la protection de la couche d'ozone ainsi que le règlement établissant les quotas d'importation entre 2018 et 2021. </w:t>
      </w:r>
      <w:r w:rsidRPr="00A557BB">
        <w:rPr>
          <w:color w:val="000009"/>
          <w:lang w:val="fr-FR"/>
        </w:rPr>
        <w:t xml:space="preserve"> </w:t>
      </w:r>
      <w:r w:rsidRPr="00A557BB">
        <w:rPr>
          <w:lang w:val="fr-FR"/>
        </w:rPr>
        <w:t xml:space="preserve"> Le gouvernement continue également d'aider l'Association brésilienne </w:t>
      </w:r>
      <w:r w:rsidR="00E20DA7" w:rsidRPr="00A557BB">
        <w:rPr>
          <w:lang w:val="fr-FR"/>
        </w:rPr>
        <w:t>pour les</w:t>
      </w:r>
      <w:r w:rsidRPr="00A557BB">
        <w:rPr>
          <w:lang w:val="fr-FR"/>
        </w:rPr>
        <w:t xml:space="preserve"> normes techniques à élaborer des normes spécifiques pour la manipulation, l'installation et la maintenance d'équipements utilisant des frigorigènes inflammables (portant par exemple sur la sécurité dans les systèmes de réfrigération, l'installation de systèmes de climatisation résidentiels séparés et compacts et la production inversée de réfrigérateurs).</w:t>
      </w:r>
    </w:p>
    <w:p w14:paraId="457E276D" w14:textId="77777777" w:rsidR="00D11B6F" w:rsidRDefault="00D11B6F">
      <w:pPr>
        <w:jc w:val="left"/>
        <w:rPr>
          <w:i/>
          <w:lang w:val="fr-FR"/>
        </w:rPr>
      </w:pPr>
      <w:r>
        <w:rPr>
          <w:i/>
          <w:lang w:val="fr-FR"/>
        </w:rPr>
        <w:br w:type="page"/>
      </w:r>
    </w:p>
    <w:p w14:paraId="07177073" w14:textId="33545643" w:rsidR="002C17BF" w:rsidRPr="00A557BB" w:rsidRDefault="002C17BF" w:rsidP="002C17BF">
      <w:pPr>
        <w:pStyle w:val="Heading1"/>
        <w:numPr>
          <w:ilvl w:val="0"/>
          <w:numId w:val="0"/>
        </w:numPr>
        <w:tabs>
          <w:tab w:val="left" w:pos="720"/>
        </w:tabs>
        <w:rPr>
          <w:i/>
          <w:lang w:val="fr-FR"/>
        </w:rPr>
      </w:pPr>
      <w:r w:rsidRPr="00A557BB">
        <w:rPr>
          <w:i/>
          <w:lang w:val="fr-FR"/>
        </w:rPr>
        <w:lastRenderedPageBreak/>
        <w:t xml:space="preserve">Secteur de fabrication des mousses de polyuréthane </w:t>
      </w:r>
    </w:p>
    <w:p w14:paraId="2941AC98" w14:textId="77777777" w:rsidR="002C17BF" w:rsidRPr="00A557BB" w:rsidRDefault="002C17BF" w:rsidP="004E40D7">
      <w:pPr>
        <w:pStyle w:val="Heading2"/>
        <w:numPr>
          <w:ilvl w:val="0"/>
          <w:numId w:val="0"/>
        </w:numPr>
        <w:rPr>
          <w:i/>
          <w:u w:val="single"/>
          <w:lang w:val="fr-FR"/>
        </w:rPr>
      </w:pPr>
      <w:r w:rsidRPr="00A557BB">
        <w:rPr>
          <w:i/>
          <w:u w:val="single"/>
          <w:lang w:val="fr-FR"/>
        </w:rPr>
        <w:t>Reconversion de 12 entreprises autonomes de mousses au polyuréthane (79,71 tonnes PAO)</w:t>
      </w:r>
    </w:p>
    <w:p w14:paraId="5786FB44" w14:textId="77777777" w:rsidR="002C17BF" w:rsidRPr="00A557BB" w:rsidRDefault="002C17BF" w:rsidP="002169B2">
      <w:pPr>
        <w:pStyle w:val="Heading1"/>
        <w:numPr>
          <w:ilvl w:val="0"/>
          <w:numId w:val="1"/>
        </w:numPr>
        <w:rPr>
          <w:lang w:val="fr-FR"/>
        </w:rPr>
      </w:pPr>
      <w:r w:rsidRPr="00A557BB">
        <w:rPr>
          <w:lang w:val="fr-FR"/>
        </w:rPr>
        <w:t xml:space="preserve">Onze entreprises (montrant une consommation de 76,74 tonnes PAO de HCFC-141b) actives dans les applications à panneaux continus et à peau </w:t>
      </w:r>
      <w:r w:rsidR="00614272" w:rsidRPr="00A557BB">
        <w:rPr>
          <w:lang w:val="fr-FR"/>
        </w:rPr>
        <w:t>intégrée</w:t>
      </w:r>
      <w:r w:rsidRPr="00A557BB">
        <w:rPr>
          <w:lang w:val="fr-FR"/>
        </w:rPr>
        <w:t xml:space="preserve"> ou moulées flexibles avaient achevé leur reconversion avant la période de déclaration en cours (trois avaient opté pour les hydrocarbures (HC), trois pour le formiate de méthyle, trois pour le méthylal, une pour le chlorure de méthylène et un</w:t>
      </w:r>
      <w:r w:rsidR="00E20DA7" w:rsidRPr="00A557BB">
        <w:rPr>
          <w:lang w:val="fr-FR"/>
        </w:rPr>
        <w:t>e</w:t>
      </w:r>
      <w:r w:rsidRPr="00A557BB">
        <w:rPr>
          <w:lang w:val="fr-FR"/>
        </w:rPr>
        <w:t xml:space="preserve"> pour la technologie à base d’eau). </w:t>
      </w:r>
    </w:p>
    <w:p w14:paraId="70623472" w14:textId="77777777" w:rsidR="002C17BF" w:rsidRPr="00A557BB" w:rsidRDefault="002C17BF" w:rsidP="002169B2">
      <w:pPr>
        <w:pStyle w:val="Heading1"/>
        <w:numPr>
          <w:ilvl w:val="0"/>
          <w:numId w:val="1"/>
        </w:numPr>
        <w:rPr>
          <w:lang w:val="fr-FR"/>
        </w:rPr>
      </w:pPr>
      <w:r w:rsidRPr="00A557BB">
        <w:rPr>
          <w:lang w:val="fr-FR"/>
        </w:rPr>
        <w:t>L’entreprise Panisol (3,0 tonnes PAO) s’est retirée du PGEH car elle n’a pas pu obtenir d'agrément de sécurité en raison de sa localisation en pleine ville. Sur le</w:t>
      </w:r>
      <w:r w:rsidR="00E20DA7" w:rsidRPr="00A557BB">
        <w:rPr>
          <w:lang w:val="fr-FR"/>
        </w:rPr>
        <w:t>s 333 800 $US approuvés, 32 104 </w:t>
      </w:r>
      <w:r w:rsidRPr="00A557BB">
        <w:rPr>
          <w:lang w:val="fr-FR"/>
        </w:rPr>
        <w:t xml:space="preserve">$US ont été décaissés pour mener des tests et des essais de formulations à base de HFO et de formiate de méthyle ; toutefois, les deux solutions ont été jugées économiquement irréalisables et inappropriées en raison de l'emplacement de l'entreprise. Les 301 695 $US restants seront </w:t>
      </w:r>
      <w:r w:rsidR="00E20DA7" w:rsidRPr="00A557BB">
        <w:rPr>
          <w:lang w:val="fr-FR"/>
        </w:rPr>
        <w:t>retournés</w:t>
      </w:r>
      <w:r w:rsidRPr="00A557BB">
        <w:rPr>
          <w:lang w:val="fr-FR"/>
        </w:rPr>
        <w:t xml:space="preserve"> au Fonds multilatéral.</w:t>
      </w:r>
    </w:p>
    <w:p w14:paraId="0282E3F7" w14:textId="77777777" w:rsidR="002C17BF" w:rsidRPr="00A557BB" w:rsidRDefault="002C17BF" w:rsidP="004E40D7">
      <w:pPr>
        <w:pStyle w:val="Heading2"/>
        <w:numPr>
          <w:ilvl w:val="0"/>
          <w:numId w:val="0"/>
        </w:numPr>
        <w:rPr>
          <w:i/>
          <w:u w:val="single"/>
          <w:lang w:val="fr-FR"/>
        </w:rPr>
      </w:pPr>
      <w:r w:rsidRPr="00A557BB">
        <w:rPr>
          <w:i/>
          <w:u w:val="single"/>
          <w:lang w:val="fr-FR"/>
        </w:rPr>
        <w:t>Reconversion de 11 entreprises de systèmes comptant près de 380 utilisateurs en aval (89,1 tonnes PAO)</w:t>
      </w:r>
    </w:p>
    <w:p w14:paraId="72703998" w14:textId="77777777" w:rsidR="002C17BF" w:rsidRPr="00A557BB" w:rsidRDefault="002C17BF" w:rsidP="002169B2">
      <w:pPr>
        <w:pStyle w:val="Heading1"/>
        <w:widowControl w:val="0"/>
        <w:numPr>
          <w:ilvl w:val="0"/>
          <w:numId w:val="1"/>
        </w:numPr>
        <w:jc w:val="left"/>
        <w:rPr>
          <w:rFonts w:eastAsia="Calibri"/>
          <w:iCs/>
          <w:lang w:val="fr-FR" w:eastAsia="pt-BR"/>
        </w:rPr>
      </w:pPr>
      <w:r w:rsidRPr="00A557BB">
        <w:rPr>
          <w:lang w:val="fr-FR"/>
        </w:rPr>
        <w:t xml:space="preserve">Huit des onze 11 </w:t>
      </w:r>
      <w:r w:rsidR="00E20DA7" w:rsidRPr="00A557BB">
        <w:rPr>
          <w:lang w:val="fr-FR"/>
        </w:rPr>
        <w:t>entreprises</w:t>
      </w:r>
      <w:r w:rsidRPr="00A557BB">
        <w:rPr>
          <w:lang w:val="fr-FR"/>
        </w:rPr>
        <w:t xml:space="preserve"> de formulatio</w:t>
      </w:r>
      <w:r w:rsidR="00E20DA7" w:rsidRPr="00A557BB">
        <w:rPr>
          <w:lang w:val="fr-FR"/>
        </w:rPr>
        <w:t>n ont terminé leur reconversion</w:t>
      </w:r>
      <w:r w:rsidRPr="00A557BB">
        <w:rPr>
          <w:lang w:val="fr-FR"/>
        </w:rPr>
        <w:t xml:space="preserve"> et élaboré et </w:t>
      </w:r>
      <w:r w:rsidR="00E20DA7" w:rsidRPr="00A557BB">
        <w:rPr>
          <w:lang w:val="fr-FR"/>
        </w:rPr>
        <w:t xml:space="preserve">mis en production des formulations </w:t>
      </w:r>
      <w:r w:rsidRPr="00A557BB">
        <w:rPr>
          <w:lang w:val="fr-FR"/>
        </w:rPr>
        <w:t xml:space="preserve">à faible PRP chez 171 utilisateurs en aval, </w:t>
      </w:r>
      <w:r w:rsidR="00E20DA7" w:rsidRPr="00A557BB">
        <w:rPr>
          <w:lang w:val="fr-FR"/>
        </w:rPr>
        <w:t>de manière à</w:t>
      </w:r>
      <w:r w:rsidRPr="00A557BB">
        <w:rPr>
          <w:lang w:val="fr-FR"/>
        </w:rPr>
        <w:t xml:space="preserve"> éliminer 69,36 tonnes PAO de HCFC</w:t>
      </w:r>
      <w:r w:rsidR="00614272" w:rsidRPr="00A557BB">
        <w:rPr>
          <w:lang w:val="fr-FR"/>
        </w:rPr>
        <w:t>-</w:t>
      </w:r>
      <w:r w:rsidRPr="00A557BB">
        <w:rPr>
          <w:lang w:val="fr-FR"/>
        </w:rPr>
        <w:t>141b.</w:t>
      </w:r>
    </w:p>
    <w:p w14:paraId="565E6545" w14:textId="77777777" w:rsidR="002C17BF" w:rsidRPr="00A557BB" w:rsidRDefault="002C17BF" w:rsidP="002C17BF">
      <w:pPr>
        <w:pStyle w:val="Heading1"/>
        <w:numPr>
          <w:ilvl w:val="0"/>
          <w:numId w:val="0"/>
        </w:numPr>
        <w:rPr>
          <w:i/>
          <w:lang w:val="fr-FR"/>
        </w:rPr>
      </w:pPr>
      <w:r w:rsidRPr="00A557BB">
        <w:rPr>
          <w:i/>
          <w:lang w:val="fr-FR"/>
        </w:rPr>
        <w:t xml:space="preserve">Utilisation temporaire d'une technologie à </w:t>
      </w:r>
      <w:r w:rsidR="002F5396" w:rsidRPr="00A557BB">
        <w:rPr>
          <w:i/>
          <w:lang w:val="fr-FR"/>
        </w:rPr>
        <w:t>fort PRP</w:t>
      </w:r>
    </w:p>
    <w:p w14:paraId="7E5FEBF1" w14:textId="4ECBDC6E" w:rsidR="002C17BF" w:rsidRPr="00A557BB" w:rsidRDefault="002C17BF" w:rsidP="002C17BF">
      <w:pPr>
        <w:pStyle w:val="Heading1"/>
        <w:rPr>
          <w:lang w:val="fr-FR"/>
        </w:rPr>
      </w:pPr>
      <w:r w:rsidRPr="00A557BB">
        <w:rPr>
          <w:lang w:val="fr-FR"/>
        </w:rPr>
        <w:t>À la 80</w:t>
      </w:r>
      <w:r w:rsidRPr="00A557BB">
        <w:rPr>
          <w:vertAlign w:val="superscript"/>
          <w:lang w:val="fr-FR"/>
        </w:rPr>
        <w:t>e</w:t>
      </w:r>
      <w:r w:rsidRPr="00A557BB">
        <w:rPr>
          <w:lang w:val="fr-FR"/>
        </w:rPr>
        <w:t xml:space="preserve"> réunion, le PNUD a indiqué que deux entreprises de formulation (Shimtek et U-Tech) avaient demandé à pouvoir faire tempo</w:t>
      </w:r>
      <w:r w:rsidR="00E20DA7" w:rsidRPr="00A557BB">
        <w:rPr>
          <w:lang w:val="fr-FR"/>
        </w:rPr>
        <w:t xml:space="preserve">rairement usage de systèmes de </w:t>
      </w:r>
      <w:r w:rsidRPr="00A557BB">
        <w:rPr>
          <w:lang w:val="fr-FR"/>
        </w:rPr>
        <w:t xml:space="preserve">polyols à base de HFC avec des agents gonflants à </w:t>
      </w:r>
      <w:r w:rsidR="002F5396" w:rsidRPr="00A557BB">
        <w:rPr>
          <w:lang w:val="fr-FR"/>
        </w:rPr>
        <w:t>fort PRP</w:t>
      </w:r>
      <w:r w:rsidRPr="00A557BB">
        <w:rPr>
          <w:lang w:val="fr-FR"/>
        </w:rPr>
        <w:t xml:space="preserve">, car les </w:t>
      </w:r>
      <w:r w:rsidR="002F5396" w:rsidRPr="00A557BB">
        <w:rPr>
          <w:lang w:val="fr-FR"/>
        </w:rPr>
        <w:t>HPO</w:t>
      </w:r>
      <w:r w:rsidRPr="00A557BB">
        <w:rPr>
          <w:lang w:val="fr-FR"/>
        </w:rPr>
        <w:t xml:space="preserve"> n’étaient pas encore </w:t>
      </w:r>
      <w:r w:rsidR="00E916A0" w:rsidRPr="00A557BB">
        <w:rPr>
          <w:lang w:val="fr-FR"/>
        </w:rPr>
        <w:t xml:space="preserve">disponibles à l’achat </w:t>
      </w:r>
      <w:r w:rsidRPr="00A557BB">
        <w:rPr>
          <w:lang w:val="fr-FR"/>
        </w:rPr>
        <w:t xml:space="preserve">dans le pays. Les deux entreprises de formulation avaient signé un engagement visant à mettre un terme à l'utilisation temporaire de mélanges de HFC une fois que les </w:t>
      </w:r>
      <w:r w:rsidR="002F5396" w:rsidRPr="00A557BB">
        <w:rPr>
          <w:lang w:val="fr-FR"/>
        </w:rPr>
        <w:t>HPO</w:t>
      </w:r>
      <w:r w:rsidRPr="00A557BB">
        <w:rPr>
          <w:lang w:val="fr-FR"/>
        </w:rPr>
        <w:t xml:space="preserve"> seraient </w:t>
      </w:r>
      <w:r w:rsidR="00E916A0" w:rsidRPr="00A557BB">
        <w:rPr>
          <w:lang w:val="fr-FR"/>
        </w:rPr>
        <w:t>disponibles à l’</w:t>
      </w:r>
      <w:r w:rsidR="00A557BB" w:rsidRPr="00A557BB">
        <w:rPr>
          <w:lang w:val="fr-FR"/>
        </w:rPr>
        <w:t>achat et</w:t>
      </w:r>
      <w:r w:rsidRPr="00A557BB">
        <w:rPr>
          <w:lang w:val="fr-FR"/>
        </w:rPr>
        <w:t xml:space="preserve"> que les systèmes auraient été développés et optimisés, sans frais supplémentaires pour le Fonds multilatéral. </w:t>
      </w:r>
    </w:p>
    <w:p w14:paraId="40EB81A0" w14:textId="77777777" w:rsidR="002C17BF" w:rsidRPr="00A557BB" w:rsidRDefault="002C17BF" w:rsidP="002C17BF">
      <w:pPr>
        <w:pStyle w:val="Heading1"/>
        <w:rPr>
          <w:lang w:val="fr-FR"/>
        </w:rPr>
      </w:pPr>
      <w:r w:rsidRPr="00A557BB">
        <w:rPr>
          <w:lang w:val="fr-FR"/>
        </w:rPr>
        <w:t>En conséquence, le Comité exécutif a demandé au PNU</w:t>
      </w:r>
      <w:r w:rsidR="00E20DA7" w:rsidRPr="00A557BB">
        <w:rPr>
          <w:lang w:val="fr-FR"/>
        </w:rPr>
        <w:t xml:space="preserve">D de continuer à aider Shimtek </w:t>
      </w:r>
      <w:r w:rsidRPr="00A557BB">
        <w:rPr>
          <w:lang w:val="fr-FR"/>
        </w:rPr>
        <w:t>et U-Tech à assurer la fourniture des technologies de remplacement sélectionnées, étant entendu que les coûts opérationnels supplémentaires ne seraient pas pris en charge avant que la technologie de remplacement sélectionnée ou u</w:t>
      </w:r>
      <w:r w:rsidR="00E20DA7" w:rsidRPr="00A557BB">
        <w:rPr>
          <w:lang w:val="fr-FR"/>
        </w:rPr>
        <w:t xml:space="preserve">ne autre solution à faible PRP </w:t>
      </w:r>
      <w:r w:rsidRPr="00A557BB">
        <w:rPr>
          <w:lang w:val="fr-FR"/>
        </w:rPr>
        <w:t xml:space="preserve">n'ait été mise en production. </w:t>
      </w:r>
      <w:r w:rsidR="00E20DA7" w:rsidRPr="00A557BB">
        <w:rPr>
          <w:lang w:val="fr-FR"/>
        </w:rPr>
        <w:t>Le</w:t>
      </w:r>
      <w:r w:rsidRPr="00A557BB">
        <w:rPr>
          <w:lang w:val="fr-FR"/>
        </w:rPr>
        <w:t xml:space="preserve"> PNUD </w:t>
      </w:r>
      <w:r w:rsidR="00E20DA7" w:rsidRPr="00A557BB">
        <w:rPr>
          <w:lang w:val="fr-FR"/>
        </w:rPr>
        <w:t xml:space="preserve">a également été prié </w:t>
      </w:r>
      <w:r w:rsidRPr="00A557BB">
        <w:rPr>
          <w:lang w:val="fr-FR"/>
        </w:rPr>
        <w:t>de présenter un rapport sur l’état de l’utilisation de la technologie intérimaire et ce, jusqu’à ce que la technologie initialement sélectionnée ou une aut</w:t>
      </w:r>
      <w:r w:rsidR="00E20DA7" w:rsidRPr="00A557BB">
        <w:rPr>
          <w:lang w:val="fr-FR"/>
        </w:rPr>
        <w:t>re technologie à faible PRP ait</w:t>
      </w:r>
      <w:r w:rsidRPr="00A557BB">
        <w:rPr>
          <w:lang w:val="fr-FR"/>
        </w:rPr>
        <w:t xml:space="preserve"> été entièrement </w:t>
      </w:r>
      <w:r w:rsidR="00E20DA7" w:rsidRPr="00A557BB">
        <w:rPr>
          <w:lang w:val="fr-FR"/>
        </w:rPr>
        <w:t>mise en production</w:t>
      </w:r>
      <w:r w:rsidRPr="00A557BB">
        <w:rPr>
          <w:lang w:val="fr-FR"/>
        </w:rPr>
        <w:t xml:space="preserve"> (décision 80/12 (e)), et aussi une mise à jour des fournisseurs sur les progrès accomplis afin de </w:t>
      </w:r>
      <w:r w:rsidR="00E20DA7" w:rsidRPr="00A557BB">
        <w:rPr>
          <w:lang w:val="fr-FR"/>
        </w:rPr>
        <w:t>veiller à ce</w:t>
      </w:r>
      <w:r w:rsidRPr="00A557BB">
        <w:rPr>
          <w:lang w:val="fr-FR"/>
        </w:rPr>
        <w:t xml:space="preserve"> que les technologies sélectionnées, avec leurs éléments associés, soient disponibles </w:t>
      </w:r>
      <w:r w:rsidR="00E20DA7" w:rsidRPr="00A557BB">
        <w:rPr>
          <w:lang w:val="fr-FR"/>
        </w:rPr>
        <w:t>à l’achat dans le</w:t>
      </w:r>
      <w:r w:rsidRPr="00A557BB">
        <w:rPr>
          <w:lang w:val="fr-FR"/>
        </w:rPr>
        <w:t xml:space="preserve"> pays (décision 81/9). À la 83</w:t>
      </w:r>
      <w:r w:rsidRPr="00A557BB">
        <w:rPr>
          <w:vertAlign w:val="superscript"/>
          <w:lang w:val="fr-FR"/>
        </w:rPr>
        <w:t>e</w:t>
      </w:r>
      <w:r w:rsidRPr="00A557BB">
        <w:rPr>
          <w:lang w:val="fr-FR"/>
        </w:rPr>
        <w:t xml:space="preserve"> réunion, le PNUD a indiqué que l'entr</w:t>
      </w:r>
      <w:r w:rsidR="00614272" w:rsidRPr="00A557BB">
        <w:rPr>
          <w:lang w:val="fr-FR"/>
        </w:rPr>
        <w:t>e</w:t>
      </w:r>
      <w:r w:rsidRPr="00A557BB">
        <w:rPr>
          <w:lang w:val="fr-FR"/>
        </w:rPr>
        <w:t>prise de formulations Shimtek avait opté pour une technologie à base d'eau pour remplacer les HFO en production de mousses souples et fait les ajustements nécessaires dans les formulations</w:t>
      </w:r>
      <w:r w:rsidR="00E20DA7" w:rsidRPr="00A557BB">
        <w:rPr>
          <w:lang w:val="fr-FR"/>
        </w:rPr>
        <w:t>,</w:t>
      </w:r>
      <w:r w:rsidRPr="00A557BB">
        <w:rPr>
          <w:lang w:val="fr-FR"/>
        </w:rPr>
        <w:t xml:space="preserve"> à ses frais. Les cours des HFO sur le marché étant encore très élevés, il n'est pas possible de produire de formulations à prix compétitifs. L'entreprise n'utilise plus de HFC.</w:t>
      </w:r>
    </w:p>
    <w:p w14:paraId="25D8A162" w14:textId="77777777" w:rsidR="002C17BF" w:rsidRPr="00A557BB" w:rsidRDefault="002C17BF" w:rsidP="002C17BF">
      <w:pPr>
        <w:pStyle w:val="Heading1"/>
        <w:rPr>
          <w:lang w:val="fr-FR"/>
        </w:rPr>
      </w:pPr>
      <w:r w:rsidRPr="00A557BB">
        <w:rPr>
          <w:lang w:val="fr-FR"/>
        </w:rPr>
        <w:t>Conformément à la décision 83/12 (c), le PNUD a indiqué qu</w:t>
      </w:r>
      <w:r w:rsidR="00614272" w:rsidRPr="00A557BB">
        <w:rPr>
          <w:lang w:val="fr-FR"/>
        </w:rPr>
        <w:t xml:space="preserve">e U-Tech avait temporairement </w:t>
      </w:r>
      <w:r w:rsidRPr="00A557BB">
        <w:rPr>
          <w:lang w:val="fr-FR"/>
        </w:rPr>
        <w:t>reco</w:t>
      </w:r>
      <w:r w:rsidR="00E20DA7" w:rsidRPr="00A557BB">
        <w:rPr>
          <w:lang w:val="fr-FR"/>
        </w:rPr>
        <w:t xml:space="preserve">urs au HFC-134a pour remplacer </w:t>
      </w:r>
      <w:r w:rsidRPr="00A557BB">
        <w:rPr>
          <w:lang w:val="fr-FR"/>
        </w:rPr>
        <w:t xml:space="preserve">le HCFC-22, utilisé auparavant dans la production du système de moussage. L'entreprise de formulation teste des formulations comportant des HFO (à partir d’échantillons reçus à un prix de </w:t>
      </w:r>
      <w:r w:rsidR="00E20DA7" w:rsidRPr="00A557BB">
        <w:rPr>
          <w:lang w:val="fr-FR"/>
        </w:rPr>
        <w:t xml:space="preserve">22,00 $US / kg). Cet essai est </w:t>
      </w:r>
      <w:r w:rsidRPr="00A557BB">
        <w:rPr>
          <w:lang w:val="fr-FR"/>
        </w:rPr>
        <w:t>mené sur une période de six mois de manière à pouvoir évaluer la stabilité du produit. À l’heure actuelle, l’entreprise et le fournisseur (Honeywell) négocient les modalités de fourniture de l’agent gonflant et des composants chimiques associés. Le fourn</w:t>
      </w:r>
      <w:r w:rsidR="00614272" w:rsidRPr="00A557BB">
        <w:rPr>
          <w:lang w:val="fr-FR"/>
        </w:rPr>
        <w:t>isseur a informé verbalement U-</w:t>
      </w:r>
      <w:r w:rsidRPr="00A557BB">
        <w:rPr>
          <w:lang w:val="fr-FR"/>
        </w:rPr>
        <w:t xml:space="preserve">Tech que le prix de vente du </w:t>
      </w:r>
      <w:r w:rsidR="002F5396" w:rsidRPr="00A557BB">
        <w:rPr>
          <w:lang w:val="fr-FR"/>
        </w:rPr>
        <w:t>HFO</w:t>
      </w:r>
      <w:r w:rsidRPr="00A557BB">
        <w:rPr>
          <w:lang w:val="fr-FR"/>
        </w:rPr>
        <w:t xml:space="preserve"> serait d'environ 19,75 $US / kg. Sur cette base, </w:t>
      </w:r>
      <w:r w:rsidRPr="00A557BB">
        <w:rPr>
          <w:lang w:val="fr-FR"/>
        </w:rPr>
        <w:lastRenderedPageBreak/>
        <w:t>le coût final des formulations de polyol augmenterait de 33 %, ce qui couperait l'accès au marché. Le PNUD continuera de rendre compte des progrès réalisés par U-Tech.</w:t>
      </w:r>
    </w:p>
    <w:p w14:paraId="02B3E04E" w14:textId="77777777" w:rsidR="002C17BF" w:rsidRPr="00A557BB" w:rsidRDefault="002C17BF" w:rsidP="002C17BF">
      <w:pPr>
        <w:pStyle w:val="Heading1"/>
        <w:numPr>
          <w:ilvl w:val="0"/>
          <w:numId w:val="0"/>
        </w:numPr>
        <w:tabs>
          <w:tab w:val="left" w:pos="720"/>
        </w:tabs>
        <w:rPr>
          <w:lang w:val="fr-FR"/>
        </w:rPr>
      </w:pPr>
      <w:r w:rsidRPr="00A557BB">
        <w:rPr>
          <w:i/>
          <w:lang w:val="fr-FR"/>
        </w:rPr>
        <w:t xml:space="preserve">Secteur de l’entretien en réfrigération </w:t>
      </w:r>
    </w:p>
    <w:p w14:paraId="49B0D08D" w14:textId="77777777" w:rsidR="002C17BF" w:rsidRPr="00A557BB" w:rsidRDefault="002C17BF" w:rsidP="002C17BF">
      <w:pPr>
        <w:pStyle w:val="Heading1"/>
        <w:rPr>
          <w:lang w:val="fr-FR"/>
        </w:rPr>
      </w:pPr>
      <w:r w:rsidRPr="00A557BB">
        <w:rPr>
          <w:lang w:val="fr-FR"/>
        </w:rPr>
        <w:t>Les activités menées dans le secteur de l'entretien en réfrigération ont continué d'être axées sur la mise en œuvre de projets de démonstration vis</w:t>
      </w:r>
      <w:r w:rsidR="00E20DA7" w:rsidRPr="00A557BB">
        <w:rPr>
          <w:lang w:val="fr-FR"/>
        </w:rPr>
        <w:t xml:space="preserve">ant à améliorer le confinement </w:t>
      </w:r>
      <w:r w:rsidRPr="00A557BB">
        <w:rPr>
          <w:lang w:val="fr-FR"/>
        </w:rPr>
        <w:t>du HCFC-22 dans les supermarchés et sur les activités de sensibilisation détaillées dans les rapports précédents.</w:t>
      </w:r>
    </w:p>
    <w:p w14:paraId="1F3D7E41" w14:textId="77777777" w:rsidR="002C17BF" w:rsidRPr="00A557BB" w:rsidRDefault="002C17BF" w:rsidP="00B45D48">
      <w:pPr>
        <w:keepNext/>
        <w:spacing w:after="240"/>
        <w:rPr>
          <w:i/>
          <w:lang w:val="fr-FR"/>
        </w:rPr>
      </w:pPr>
      <w:r w:rsidRPr="00A557BB">
        <w:rPr>
          <w:i/>
          <w:lang w:val="fr-FR"/>
        </w:rPr>
        <w:t xml:space="preserve">Unité de </w:t>
      </w:r>
      <w:r w:rsidR="00E20DA7" w:rsidRPr="00A557BB">
        <w:rPr>
          <w:i/>
          <w:lang w:val="fr-FR"/>
        </w:rPr>
        <w:t xml:space="preserve">gestion </w:t>
      </w:r>
      <w:r w:rsidRPr="00A557BB">
        <w:rPr>
          <w:i/>
          <w:lang w:val="fr-FR"/>
        </w:rPr>
        <w:t>du projet (UGP)</w:t>
      </w:r>
    </w:p>
    <w:p w14:paraId="1521439B" w14:textId="77777777" w:rsidR="002C17BF" w:rsidRPr="00A557BB" w:rsidRDefault="002C17BF" w:rsidP="00B45D48">
      <w:pPr>
        <w:pStyle w:val="Heading1"/>
        <w:keepNext/>
        <w:numPr>
          <w:ilvl w:val="0"/>
          <w:numId w:val="1"/>
        </w:numPr>
        <w:rPr>
          <w:lang w:val="fr-FR"/>
        </w:rPr>
      </w:pPr>
      <w:r w:rsidRPr="00A557BB">
        <w:rPr>
          <w:lang w:val="fr-FR"/>
        </w:rPr>
        <w:t>L'Unité de gestion de projets a continué d’aider l’UNO à mettre en </w:t>
      </w:r>
      <w:r w:rsidR="00614272" w:rsidRPr="00A557BB">
        <w:rPr>
          <w:lang w:val="fr-FR"/>
        </w:rPr>
        <w:t>œuvre</w:t>
      </w:r>
      <w:r w:rsidRPr="00A557BB">
        <w:rPr>
          <w:lang w:val="fr-FR"/>
        </w:rPr>
        <w:t xml:space="preserve"> les activités du PGEH.</w:t>
      </w:r>
    </w:p>
    <w:p w14:paraId="382B496E" w14:textId="77777777" w:rsidR="002C17BF" w:rsidRPr="00A557BB" w:rsidRDefault="002C17BF" w:rsidP="002C17BF">
      <w:pPr>
        <w:keepNext/>
        <w:keepLines/>
        <w:spacing w:after="240"/>
        <w:rPr>
          <w:i/>
          <w:lang w:val="fr-FR"/>
        </w:rPr>
      </w:pPr>
      <w:r w:rsidRPr="00A557BB">
        <w:rPr>
          <w:i/>
          <w:lang w:val="fr-FR"/>
        </w:rPr>
        <w:t xml:space="preserve">Niveau de décaissement </w:t>
      </w:r>
    </w:p>
    <w:p w14:paraId="6FACDCAC" w14:textId="77777777" w:rsidR="002C17BF" w:rsidRPr="00A557BB" w:rsidRDefault="002C17BF" w:rsidP="002169B2">
      <w:pPr>
        <w:pStyle w:val="Heading1"/>
        <w:keepNext/>
        <w:keepLines/>
        <w:numPr>
          <w:ilvl w:val="0"/>
          <w:numId w:val="1"/>
        </w:numPr>
        <w:rPr>
          <w:lang w:val="fr-FR"/>
        </w:rPr>
      </w:pPr>
      <w:r w:rsidRPr="00A557BB">
        <w:rPr>
          <w:lang w:val="fr-FR"/>
        </w:rPr>
        <w:t>En juillet 2019, sur les 19 417 866 $US approuvés pour la phase I,</w:t>
      </w:r>
      <w:r w:rsidRPr="00A557BB">
        <w:rPr>
          <w:rStyle w:val="FootnoteReference"/>
          <w:lang w:val="fr-FR"/>
        </w:rPr>
        <w:footnoteReference w:id="12"/>
      </w:r>
      <w:r w:rsidRPr="00A557BB">
        <w:rPr>
          <w:lang w:val="fr-FR"/>
        </w:rPr>
        <w:t xml:space="preserve"> 16 731 876 $US (86%) avaient été décaissés (12 </w:t>
      </w:r>
      <w:r w:rsidRPr="00A557BB">
        <w:rPr>
          <w:color w:val="000000"/>
          <w:lang w:val="fr-FR"/>
        </w:rPr>
        <w:t>659 305 $US</w:t>
      </w:r>
      <w:r w:rsidRPr="00A557BB">
        <w:rPr>
          <w:lang w:val="fr-FR"/>
        </w:rPr>
        <w:t xml:space="preserve"> pour le PNUD et 4 072 571 $US pour le Gouvernement allemand). Le solde de 685 990 $US sera décaissé en 2020 (Tableau 3).</w:t>
      </w:r>
    </w:p>
    <w:p w14:paraId="559A98E9" w14:textId="77777777" w:rsidR="002C17BF" w:rsidRPr="00A557BB" w:rsidRDefault="002C17BF" w:rsidP="002C17BF">
      <w:pPr>
        <w:rPr>
          <w:lang w:val="fr-FR"/>
        </w:rPr>
      </w:pPr>
      <w:r w:rsidRPr="00A557BB">
        <w:rPr>
          <w:b/>
          <w:lang w:val="fr-FR"/>
        </w:rPr>
        <w:t>Tableau 3 : Rapport financier sur la phase I du PGEH du Brésil</w:t>
      </w:r>
    </w:p>
    <w:tbl>
      <w:tblPr>
        <w:tblW w:w="497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1786"/>
        <w:gridCol w:w="1794"/>
        <w:gridCol w:w="1788"/>
        <w:gridCol w:w="1783"/>
      </w:tblGrid>
      <w:tr w:rsidR="002C17BF" w:rsidRPr="00A557BB" w14:paraId="19A39180" w14:textId="77777777" w:rsidTr="001C4F37">
        <w:tc>
          <w:tcPr>
            <w:tcW w:w="1245" w:type="pct"/>
            <w:vMerge w:val="restart"/>
            <w:tcBorders>
              <w:top w:val="single" w:sz="4" w:space="0" w:color="auto"/>
              <w:left w:val="single" w:sz="4" w:space="0" w:color="auto"/>
              <w:bottom w:val="single" w:sz="4" w:space="0" w:color="auto"/>
              <w:right w:val="single" w:sz="4" w:space="0" w:color="auto"/>
            </w:tcBorders>
            <w:vAlign w:val="center"/>
            <w:hideMark/>
          </w:tcPr>
          <w:p w14:paraId="26E9082D" w14:textId="77777777" w:rsidR="002C17BF" w:rsidRPr="00A557BB" w:rsidRDefault="002C17BF" w:rsidP="001C4F37">
            <w:pPr>
              <w:rPr>
                <w:b/>
                <w:bCs/>
                <w:sz w:val="20"/>
                <w:szCs w:val="20"/>
                <w:lang w:val="fr-FR"/>
              </w:rPr>
            </w:pPr>
            <w:r w:rsidRPr="00A557BB">
              <w:rPr>
                <w:b/>
                <w:bCs/>
                <w:color w:val="000000"/>
                <w:sz w:val="20"/>
                <w:szCs w:val="20"/>
                <w:lang w:val="fr-FR" w:eastAsia="fr"/>
              </w:rPr>
              <w:t>Agence</w:t>
            </w:r>
          </w:p>
        </w:tc>
        <w:tc>
          <w:tcPr>
            <w:tcW w:w="938" w:type="pct"/>
            <w:vMerge w:val="restart"/>
            <w:tcBorders>
              <w:top w:val="single" w:sz="4" w:space="0" w:color="auto"/>
              <w:left w:val="single" w:sz="4" w:space="0" w:color="auto"/>
              <w:bottom w:val="single" w:sz="4" w:space="0" w:color="auto"/>
              <w:right w:val="single" w:sz="4" w:space="0" w:color="auto"/>
            </w:tcBorders>
            <w:vAlign w:val="center"/>
            <w:hideMark/>
          </w:tcPr>
          <w:p w14:paraId="54EB5E8B" w14:textId="77777777" w:rsidR="002C17BF" w:rsidRPr="00A557BB" w:rsidRDefault="002C17BF" w:rsidP="001C4F37">
            <w:pPr>
              <w:jc w:val="center"/>
              <w:rPr>
                <w:b/>
                <w:bCs/>
                <w:sz w:val="20"/>
                <w:szCs w:val="20"/>
                <w:lang w:val="fr-FR"/>
              </w:rPr>
            </w:pPr>
            <w:r w:rsidRPr="00A557BB">
              <w:rPr>
                <w:b/>
                <w:bCs/>
                <w:sz w:val="20"/>
                <w:szCs w:val="20"/>
                <w:lang w:val="fr-FR"/>
              </w:rPr>
              <w:t>Financement approuvé ($US)</w:t>
            </w:r>
          </w:p>
        </w:tc>
        <w:tc>
          <w:tcPr>
            <w:tcW w:w="1881" w:type="pct"/>
            <w:gridSpan w:val="2"/>
            <w:tcBorders>
              <w:top w:val="single" w:sz="4" w:space="0" w:color="auto"/>
              <w:left w:val="single" w:sz="4" w:space="0" w:color="auto"/>
              <w:bottom w:val="single" w:sz="4" w:space="0" w:color="auto"/>
              <w:right w:val="single" w:sz="4" w:space="0" w:color="auto"/>
            </w:tcBorders>
            <w:vAlign w:val="center"/>
            <w:hideMark/>
          </w:tcPr>
          <w:p w14:paraId="6496DD2D" w14:textId="77777777" w:rsidR="002C17BF" w:rsidRPr="00A557BB" w:rsidRDefault="002C17BF" w:rsidP="001C4F37">
            <w:pPr>
              <w:jc w:val="center"/>
              <w:rPr>
                <w:b/>
                <w:bCs/>
                <w:sz w:val="20"/>
                <w:szCs w:val="20"/>
                <w:lang w:val="fr-FR"/>
              </w:rPr>
            </w:pPr>
            <w:r w:rsidRPr="00A557BB">
              <w:rPr>
                <w:b/>
                <w:bCs/>
                <w:sz w:val="20"/>
                <w:szCs w:val="20"/>
                <w:lang w:val="fr-FR"/>
              </w:rPr>
              <w:t>Fonds décaissés</w:t>
            </w:r>
          </w:p>
        </w:tc>
        <w:tc>
          <w:tcPr>
            <w:tcW w:w="936" w:type="pct"/>
            <w:vMerge w:val="restart"/>
            <w:tcBorders>
              <w:top w:val="single" w:sz="4" w:space="0" w:color="auto"/>
              <w:left w:val="single" w:sz="4" w:space="0" w:color="auto"/>
              <w:bottom w:val="single" w:sz="4" w:space="0" w:color="auto"/>
              <w:right w:val="single" w:sz="4" w:space="0" w:color="auto"/>
            </w:tcBorders>
            <w:vAlign w:val="center"/>
            <w:hideMark/>
          </w:tcPr>
          <w:p w14:paraId="0AAFE9A8" w14:textId="77777777" w:rsidR="002C17BF" w:rsidRPr="00A557BB" w:rsidRDefault="002C17BF" w:rsidP="001C4F37">
            <w:pPr>
              <w:jc w:val="center"/>
              <w:rPr>
                <w:b/>
                <w:bCs/>
                <w:sz w:val="20"/>
                <w:szCs w:val="20"/>
                <w:lang w:val="fr-FR"/>
              </w:rPr>
            </w:pPr>
            <w:r w:rsidRPr="00A557BB">
              <w:rPr>
                <w:b/>
                <w:bCs/>
                <w:sz w:val="20"/>
                <w:szCs w:val="20"/>
                <w:lang w:val="fr-FR"/>
              </w:rPr>
              <w:t>Solde ($US)</w:t>
            </w:r>
          </w:p>
        </w:tc>
      </w:tr>
      <w:tr w:rsidR="002C17BF" w:rsidRPr="00A557BB" w14:paraId="6AC6CAA7" w14:textId="77777777" w:rsidTr="001C4F37">
        <w:trPr>
          <w:trHeight w:val="2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118935" w14:textId="77777777" w:rsidR="002C17BF" w:rsidRPr="00A557BB" w:rsidRDefault="002C17BF" w:rsidP="001C4F37">
            <w:pPr>
              <w:jc w:val="left"/>
              <w:rPr>
                <w:b/>
                <w:bCs/>
                <w:sz w:val="20"/>
                <w:szCs w:val="20"/>
                <w:lang w:val="fr-FR"/>
              </w:rPr>
            </w:pPr>
          </w:p>
        </w:tc>
        <w:tc>
          <w:tcPr>
            <w:tcW w:w="938" w:type="pct"/>
            <w:vMerge/>
            <w:tcBorders>
              <w:top w:val="single" w:sz="4" w:space="0" w:color="auto"/>
              <w:left w:val="single" w:sz="4" w:space="0" w:color="auto"/>
              <w:bottom w:val="single" w:sz="4" w:space="0" w:color="auto"/>
              <w:right w:val="single" w:sz="4" w:space="0" w:color="auto"/>
            </w:tcBorders>
            <w:vAlign w:val="center"/>
            <w:hideMark/>
          </w:tcPr>
          <w:p w14:paraId="42C98873" w14:textId="77777777" w:rsidR="002C17BF" w:rsidRPr="00A557BB" w:rsidRDefault="002C17BF" w:rsidP="001C4F37">
            <w:pPr>
              <w:jc w:val="left"/>
              <w:rPr>
                <w:b/>
                <w:bCs/>
                <w:sz w:val="20"/>
                <w:szCs w:val="20"/>
                <w:lang w:val="fr-FR"/>
              </w:rPr>
            </w:pPr>
          </w:p>
        </w:tc>
        <w:tc>
          <w:tcPr>
            <w:tcW w:w="942" w:type="pct"/>
            <w:tcBorders>
              <w:top w:val="single" w:sz="4" w:space="0" w:color="auto"/>
              <w:left w:val="single" w:sz="4" w:space="0" w:color="auto"/>
              <w:bottom w:val="single" w:sz="4" w:space="0" w:color="auto"/>
              <w:right w:val="single" w:sz="4" w:space="0" w:color="auto"/>
            </w:tcBorders>
            <w:vAlign w:val="center"/>
            <w:hideMark/>
          </w:tcPr>
          <w:p w14:paraId="48848795" w14:textId="77777777" w:rsidR="002C17BF" w:rsidRPr="00A557BB" w:rsidRDefault="002C17BF" w:rsidP="001C4F37">
            <w:pPr>
              <w:jc w:val="center"/>
              <w:rPr>
                <w:b/>
                <w:bCs/>
                <w:sz w:val="20"/>
                <w:szCs w:val="20"/>
                <w:lang w:val="fr-FR"/>
              </w:rPr>
            </w:pPr>
            <w:r w:rsidRPr="00A557BB">
              <w:rPr>
                <w:b/>
                <w:bCs/>
                <w:sz w:val="20"/>
                <w:szCs w:val="20"/>
                <w:lang w:val="fr-FR"/>
              </w:rPr>
              <w:t>($US)</w:t>
            </w:r>
          </w:p>
        </w:tc>
        <w:tc>
          <w:tcPr>
            <w:tcW w:w="939" w:type="pct"/>
            <w:tcBorders>
              <w:top w:val="single" w:sz="4" w:space="0" w:color="auto"/>
              <w:left w:val="single" w:sz="4" w:space="0" w:color="auto"/>
              <w:bottom w:val="single" w:sz="4" w:space="0" w:color="auto"/>
              <w:right w:val="single" w:sz="4" w:space="0" w:color="auto"/>
            </w:tcBorders>
            <w:vAlign w:val="center"/>
            <w:hideMark/>
          </w:tcPr>
          <w:p w14:paraId="1F5236DF" w14:textId="77777777" w:rsidR="002C17BF" w:rsidRPr="00A557BB" w:rsidRDefault="002C17BF" w:rsidP="001C4F37">
            <w:pPr>
              <w:jc w:val="center"/>
              <w:rPr>
                <w:b/>
                <w:sz w:val="20"/>
                <w:szCs w:val="20"/>
                <w:lang w:val="fr-FR"/>
              </w:rPr>
            </w:pPr>
            <w:r w:rsidRPr="00A557BB">
              <w:rPr>
                <w:b/>
                <w:sz w:val="20"/>
                <w:szCs w:val="20"/>
                <w:lang w:val="fr-FR"/>
              </w:rPr>
              <w:t>(%)</w:t>
            </w:r>
          </w:p>
        </w:tc>
        <w:tc>
          <w:tcPr>
            <w:tcW w:w="936" w:type="pct"/>
            <w:vMerge/>
            <w:tcBorders>
              <w:top w:val="single" w:sz="4" w:space="0" w:color="auto"/>
              <w:left w:val="single" w:sz="4" w:space="0" w:color="auto"/>
              <w:bottom w:val="single" w:sz="4" w:space="0" w:color="auto"/>
              <w:right w:val="single" w:sz="4" w:space="0" w:color="auto"/>
            </w:tcBorders>
            <w:vAlign w:val="center"/>
            <w:hideMark/>
          </w:tcPr>
          <w:p w14:paraId="300FD763" w14:textId="77777777" w:rsidR="002C17BF" w:rsidRPr="00A557BB" w:rsidRDefault="002C17BF" w:rsidP="001C4F37">
            <w:pPr>
              <w:jc w:val="left"/>
              <w:rPr>
                <w:b/>
                <w:bCs/>
                <w:sz w:val="20"/>
                <w:szCs w:val="20"/>
                <w:lang w:val="fr-FR"/>
              </w:rPr>
            </w:pPr>
          </w:p>
        </w:tc>
      </w:tr>
      <w:tr w:rsidR="002C17BF" w:rsidRPr="00A557BB" w14:paraId="2CE0B60E" w14:textId="77777777" w:rsidTr="001C4F37">
        <w:trPr>
          <w:trHeight w:val="134"/>
        </w:trPr>
        <w:tc>
          <w:tcPr>
            <w:tcW w:w="1245" w:type="pct"/>
            <w:tcBorders>
              <w:top w:val="single" w:sz="4" w:space="0" w:color="auto"/>
              <w:left w:val="single" w:sz="4" w:space="0" w:color="auto"/>
              <w:bottom w:val="single" w:sz="4" w:space="0" w:color="auto"/>
              <w:right w:val="single" w:sz="4" w:space="0" w:color="auto"/>
            </w:tcBorders>
            <w:vAlign w:val="center"/>
            <w:hideMark/>
          </w:tcPr>
          <w:p w14:paraId="675952C4" w14:textId="77777777" w:rsidR="002C17BF" w:rsidRPr="00A557BB" w:rsidRDefault="002C17BF" w:rsidP="001C4F37">
            <w:pPr>
              <w:jc w:val="left"/>
              <w:rPr>
                <w:bCs/>
                <w:color w:val="000000"/>
                <w:sz w:val="20"/>
                <w:szCs w:val="20"/>
                <w:lang w:val="fr-FR" w:eastAsia="en-CA"/>
              </w:rPr>
            </w:pPr>
            <w:r w:rsidRPr="00A557BB">
              <w:rPr>
                <w:bCs/>
                <w:color w:val="000000"/>
                <w:sz w:val="20"/>
                <w:szCs w:val="20"/>
                <w:lang w:val="fr-FR" w:eastAsia="fr"/>
              </w:rPr>
              <w:t>PNUD</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68C90AD5" w14:textId="77777777" w:rsidR="002C17BF" w:rsidRPr="00A557BB" w:rsidRDefault="002C17BF" w:rsidP="001C4F37">
            <w:pPr>
              <w:jc w:val="right"/>
              <w:rPr>
                <w:color w:val="000000"/>
                <w:sz w:val="20"/>
                <w:szCs w:val="20"/>
                <w:lang w:val="fr-FR"/>
              </w:rPr>
            </w:pPr>
            <w:r w:rsidRPr="00A557BB">
              <w:rPr>
                <w:color w:val="000000"/>
                <w:sz w:val="20"/>
                <w:szCs w:val="20"/>
                <w:lang w:val="fr-FR"/>
              </w:rPr>
              <w:t>15 326 957</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03B18139" w14:textId="77777777" w:rsidR="002C17BF" w:rsidRPr="00A557BB" w:rsidRDefault="002C17BF" w:rsidP="001C4F37">
            <w:pPr>
              <w:jc w:val="right"/>
              <w:rPr>
                <w:color w:val="000000"/>
                <w:sz w:val="20"/>
                <w:szCs w:val="20"/>
                <w:lang w:val="fr-FR"/>
              </w:rPr>
            </w:pPr>
            <w:r w:rsidRPr="00A557BB">
              <w:rPr>
                <w:color w:val="000000"/>
                <w:sz w:val="20"/>
                <w:szCs w:val="20"/>
                <w:lang w:val="fr-FR"/>
              </w:rPr>
              <w:t>12 659 305</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4BB71424" w14:textId="77777777" w:rsidR="002C17BF" w:rsidRPr="00A557BB" w:rsidRDefault="002C17BF" w:rsidP="001C4F37">
            <w:pPr>
              <w:jc w:val="right"/>
              <w:rPr>
                <w:sz w:val="20"/>
                <w:szCs w:val="20"/>
                <w:lang w:val="fr-FR"/>
              </w:rPr>
            </w:pPr>
            <w:r w:rsidRPr="00A557BB">
              <w:rPr>
                <w:sz w:val="20"/>
                <w:szCs w:val="20"/>
                <w:lang w:val="fr-FR"/>
              </w:rPr>
              <w:t>83</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498C77E7" w14:textId="77777777" w:rsidR="002C17BF" w:rsidRPr="00A557BB" w:rsidRDefault="002C17BF" w:rsidP="001C4F37">
            <w:pPr>
              <w:jc w:val="right"/>
              <w:rPr>
                <w:sz w:val="20"/>
                <w:szCs w:val="20"/>
                <w:lang w:val="fr-FR"/>
              </w:rPr>
            </w:pPr>
            <w:r w:rsidRPr="00A557BB">
              <w:rPr>
                <w:sz w:val="20"/>
                <w:szCs w:val="20"/>
                <w:lang w:val="fr-FR"/>
              </w:rPr>
              <w:t>2 667 652</w:t>
            </w:r>
          </w:p>
        </w:tc>
      </w:tr>
      <w:tr w:rsidR="002C17BF" w:rsidRPr="00A557BB" w14:paraId="3D5D23FD" w14:textId="77777777" w:rsidTr="001C4F37">
        <w:tc>
          <w:tcPr>
            <w:tcW w:w="1245" w:type="pct"/>
            <w:tcBorders>
              <w:top w:val="single" w:sz="4" w:space="0" w:color="auto"/>
              <w:left w:val="single" w:sz="4" w:space="0" w:color="auto"/>
              <w:bottom w:val="single" w:sz="4" w:space="0" w:color="auto"/>
              <w:right w:val="single" w:sz="4" w:space="0" w:color="auto"/>
            </w:tcBorders>
            <w:vAlign w:val="center"/>
            <w:hideMark/>
          </w:tcPr>
          <w:p w14:paraId="43B50875" w14:textId="77777777" w:rsidR="002C17BF" w:rsidRPr="00A557BB" w:rsidRDefault="002C17BF" w:rsidP="001C4F37">
            <w:pPr>
              <w:jc w:val="left"/>
              <w:rPr>
                <w:bCs/>
                <w:color w:val="000000"/>
                <w:sz w:val="20"/>
                <w:szCs w:val="20"/>
                <w:lang w:val="fr-FR" w:eastAsia="en-CA"/>
              </w:rPr>
            </w:pPr>
            <w:r w:rsidRPr="00A557BB">
              <w:rPr>
                <w:bCs/>
                <w:color w:val="000000"/>
                <w:sz w:val="20"/>
                <w:szCs w:val="20"/>
                <w:lang w:val="fr-FR" w:eastAsia="fr"/>
              </w:rPr>
              <w:t>Gouvernement de l’Allemagne</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13125463" w14:textId="77777777" w:rsidR="002C17BF" w:rsidRPr="00A557BB" w:rsidRDefault="002C17BF" w:rsidP="001C4F37">
            <w:pPr>
              <w:jc w:val="right"/>
              <w:rPr>
                <w:color w:val="000000"/>
                <w:sz w:val="20"/>
                <w:szCs w:val="20"/>
                <w:lang w:val="fr-FR"/>
              </w:rPr>
            </w:pPr>
            <w:r w:rsidRPr="00A557BB">
              <w:rPr>
                <w:color w:val="000000"/>
                <w:sz w:val="20"/>
                <w:szCs w:val="20"/>
                <w:lang w:val="fr-FR"/>
              </w:rPr>
              <w:t>4 090 909</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413C1250" w14:textId="77777777" w:rsidR="002C17BF" w:rsidRPr="00A557BB" w:rsidRDefault="002C17BF" w:rsidP="001C4F37">
            <w:pPr>
              <w:jc w:val="right"/>
              <w:rPr>
                <w:color w:val="000000"/>
                <w:sz w:val="20"/>
                <w:szCs w:val="20"/>
                <w:lang w:val="fr-FR"/>
              </w:rPr>
            </w:pPr>
            <w:r w:rsidRPr="00A557BB">
              <w:rPr>
                <w:color w:val="000000"/>
                <w:sz w:val="20"/>
                <w:szCs w:val="20"/>
                <w:lang w:val="fr-FR"/>
              </w:rPr>
              <w:t>4 072 571</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38975151" w14:textId="77777777" w:rsidR="002C17BF" w:rsidRPr="00A557BB" w:rsidRDefault="002C17BF" w:rsidP="001C4F37">
            <w:pPr>
              <w:jc w:val="right"/>
              <w:rPr>
                <w:sz w:val="20"/>
                <w:szCs w:val="20"/>
                <w:lang w:val="fr-FR"/>
              </w:rPr>
            </w:pPr>
            <w:r w:rsidRPr="00A557BB">
              <w:rPr>
                <w:sz w:val="20"/>
                <w:szCs w:val="20"/>
                <w:lang w:val="fr-FR"/>
              </w:rPr>
              <w:t>99</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20176A7E" w14:textId="77777777" w:rsidR="002C17BF" w:rsidRPr="00A557BB" w:rsidRDefault="002C17BF" w:rsidP="001C4F37">
            <w:pPr>
              <w:jc w:val="right"/>
              <w:rPr>
                <w:sz w:val="20"/>
                <w:szCs w:val="20"/>
                <w:lang w:val="fr-FR"/>
              </w:rPr>
            </w:pPr>
            <w:r w:rsidRPr="00A557BB">
              <w:rPr>
                <w:sz w:val="20"/>
                <w:szCs w:val="20"/>
                <w:lang w:val="fr-FR"/>
              </w:rPr>
              <w:t>18 338</w:t>
            </w:r>
          </w:p>
        </w:tc>
      </w:tr>
      <w:tr w:rsidR="002C17BF" w:rsidRPr="00A557BB" w14:paraId="1CD5E7C1" w14:textId="77777777" w:rsidTr="001C4F37">
        <w:tc>
          <w:tcPr>
            <w:tcW w:w="1245" w:type="pct"/>
            <w:tcBorders>
              <w:top w:val="single" w:sz="4" w:space="0" w:color="auto"/>
              <w:left w:val="single" w:sz="4" w:space="0" w:color="auto"/>
              <w:bottom w:val="single" w:sz="4" w:space="0" w:color="auto"/>
              <w:right w:val="single" w:sz="4" w:space="0" w:color="auto"/>
            </w:tcBorders>
            <w:vAlign w:val="center"/>
            <w:hideMark/>
          </w:tcPr>
          <w:p w14:paraId="393A6DF0" w14:textId="77777777" w:rsidR="002C17BF" w:rsidRPr="00A557BB" w:rsidRDefault="002C17BF" w:rsidP="001C4F37">
            <w:pPr>
              <w:jc w:val="left"/>
              <w:rPr>
                <w:b/>
                <w:bCs/>
                <w:sz w:val="20"/>
                <w:szCs w:val="20"/>
                <w:lang w:val="fr-FR"/>
              </w:rPr>
            </w:pPr>
            <w:r w:rsidRPr="00A557BB">
              <w:rPr>
                <w:b/>
                <w:bCs/>
                <w:sz w:val="20"/>
                <w:szCs w:val="20"/>
                <w:lang w:val="fr-FR"/>
              </w:rPr>
              <w:t>Total</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11985F8A" w14:textId="77777777" w:rsidR="002C17BF" w:rsidRPr="00A557BB" w:rsidRDefault="002C17BF" w:rsidP="001C4F37">
            <w:pPr>
              <w:jc w:val="right"/>
              <w:rPr>
                <w:b/>
                <w:bCs/>
                <w:color w:val="000000"/>
                <w:sz w:val="20"/>
                <w:szCs w:val="20"/>
                <w:lang w:val="fr-FR"/>
              </w:rPr>
            </w:pPr>
            <w:r w:rsidRPr="00A557BB">
              <w:rPr>
                <w:b/>
                <w:bCs/>
                <w:color w:val="000000"/>
                <w:sz w:val="20"/>
                <w:szCs w:val="20"/>
                <w:lang w:val="fr-FR"/>
              </w:rPr>
              <w:t>19 417 866</w:t>
            </w:r>
          </w:p>
        </w:tc>
        <w:tc>
          <w:tcPr>
            <w:tcW w:w="942"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1D95F253" w14:textId="77777777" w:rsidR="002C17BF" w:rsidRPr="00A557BB" w:rsidRDefault="002C17BF" w:rsidP="001C4F37">
            <w:pPr>
              <w:jc w:val="right"/>
              <w:rPr>
                <w:b/>
                <w:color w:val="000000"/>
                <w:sz w:val="20"/>
                <w:szCs w:val="20"/>
                <w:lang w:val="fr-FR"/>
              </w:rPr>
            </w:pPr>
            <w:r w:rsidRPr="00A557BB">
              <w:rPr>
                <w:b/>
                <w:color w:val="000000"/>
                <w:sz w:val="20"/>
                <w:szCs w:val="20"/>
                <w:lang w:val="fr-FR"/>
              </w:rPr>
              <w:t>16 731 876</w:t>
            </w:r>
          </w:p>
        </w:tc>
        <w:tc>
          <w:tcPr>
            <w:tcW w:w="939"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1C7E0EAE" w14:textId="77777777" w:rsidR="002C17BF" w:rsidRPr="00A557BB" w:rsidRDefault="002C17BF" w:rsidP="001C4F37">
            <w:pPr>
              <w:jc w:val="right"/>
              <w:rPr>
                <w:b/>
                <w:bCs/>
                <w:sz w:val="20"/>
                <w:szCs w:val="20"/>
                <w:lang w:val="fr-FR"/>
              </w:rPr>
            </w:pPr>
            <w:r w:rsidRPr="00A557BB">
              <w:rPr>
                <w:b/>
                <w:bCs/>
                <w:sz w:val="20"/>
                <w:szCs w:val="20"/>
                <w:lang w:val="fr-FR"/>
              </w:rPr>
              <w:t>86</w:t>
            </w:r>
          </w:p>
        </w:tc>
        <w:tc>
          <w:tcPr>
            <w:tcW w:w="936"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2B05E95A" w14:textId="77777777" w:rsidR="002C17BF" w:rsidRPr="00A557BB" w:rsidRDefault="002C17BF" w:rsidP="001C4F37">
            <w:pPr>
              <w:jc w:val="right"/>
              <w:rPr>
                <w:b/>
                <w:bCs/>
                <w:sz w:val="20"/>
                <w:szCs w:val="20"/>
                <w:lang w:val="fr-FR"/>
              </w:rPr>
            </w:pPr>
            <w:r w:rsidRPr="00A557BB">
              <w:rPr>
                <w:b/>
                <w:sz w:val="20"/>
                <w:szCs w:val="20"/>
                <w:lang w:val="fr-FR"/>
              </w:rPr>
              <w:t>2 685 990</w:t>
            </w:r>
          </w:p>
        </w:tc>
      </w:tr>
    </w:tbl>
    <w:p w14:paraId="5528AA95" w14:textId="77777777" w:rsidR="002C17BF" w:rsidRPr="00A557BB" w:rsidRDefault="002C17BF" w:rsidP="002C17BF">
      <w:pPr>
        <w:rPr>
          <w:u w:val="single"/>
          <w:lang w:val="fr-FR"/>
        </w:rPr>
      </w:pPr>
    </w:p>
    <w:p w14:paraId="1424FD4F" w14:textId="77777777" w:rsidR="002C17BF" w:rsidRPr="00A557BB" w:rsidRDefault="002C17BF" w:rsidP="002C17BF">
      <w:pPr>
        <w:rPr>
          <w:i/>
          <w:lang w:val="fr-FR"/>
        </w:rPr>
      </w:pPr>
      <w:r w:rsidRPr="00A557BB">
        <w:rPr>
          <w:i/>
          <w:lang w:val="fr-FR"/>
        </w:rPr>
        <w:t>Achèvement de la phase I</w:t>
      </w:r>
    </w:p>
    <w:p w14:paraId="6A1677BE" w14:textId="77777777" w:rsidR="002C17BF" w:rsidRPr="00A557BB" w:rsidRDefault="002C17BF" w:rsidP="002C17BF">
      <w:pPr>
        <w:rPr>
          <w:u w:val="single"/>
          <w:lang w:val="fr-FR"/>
        </w:rPr>
      </w:pPr>
    </w:p>
    <w:p w14:paraId="7AFCAF21" w14:textId="77777777" w:rsidR="002C17BF" w:rsidRPr="00A557BB" w:rsidRDefault="002C17BF" w:rsidP="002169B2">
      <w:pPr>
        <w:pStyle w:val="Heading1"/>
        <w:numPr>
          <w:ilvl w:val="0"/>
          <w:numId w:val="1"/>
        </w:numPr>
        <w:rPr>
          <w:b/>
          <w:lang w:val="fr-FR"/>
        </w:rPr>
      </w:pPr>
      <w:r w:rsidRPr="00A557BB">
        <w:rPr>
          <w:lang w:val="fr-FR"/>
        </w:rPr>
        <w:t xml:space="preserve">Le PNUD a confirmé que toutes les activités de la phase I seront terminées d'ici à décembre 2019, conformément à la décision 80/12 (b). </w:t>
      </w:r>
    </w:p>
    <w:p w14:paraId="4AD76F89" w14:textId="77777777" w:rsidR="002C17BF" w:rsidRPr="00A557BB" w:rsidRDefault="002C17BF" w:rsidP="002C17BF">
      <w:pPr>
        <w:pStyle w:val="Heading1"/>
        <w:keepNext/>
        <w:keepLines/>
        <w:numPr>
          <w:ilvl w:val="0"/>
          <w:numId w:val="0"/>
        </w:numPr>
        <w:rPr>
          <w:b/>
          <w:lang w:val="fr-FR"/>
        </w:rPr>
      </w:pPr>
      <w:r w:rsidRPr="00A557BB">
        <w:rPr>
          <w:b/>
          <w:lang w:val="fr-FR"/>
        </w:rPr>
        <w:t xml:space="preserve">Observations du Secrétariat </w:t>
      </w:r>
    </w:p>
    <w:p w14:paraId="45DEBFFF" w14:textId="77777777" w:rsidR="002C17BF" w:rsidRPr="00A557BB" w:rsidRDefault="002C17BF" w:rsidP="002C17BF">
      <w:pPr>
        <w:pStyle w:val="Heading1"/>
        <w:keepNext/>
        <w:keepLines/>
        <w:numPr>
          <w:ilvl w:val="0"/>
          <w:numId w:val="0"/>
        </w:numPr>
        <w:rPr>
          <w:i/>
          <w:lang w:val="fr-FR"/>
        </w:rPr>
      </w:pPr>
      <w:r w:rsidRPr="00A557BB">
        <w:rPr>
          <w:i/>
          <w:lang w:val="fr-FR"/>
        </w:rPr>
        <w:t>Règlementation</w:t>
      </w:r>
    </w:p>
    <w:p w14:paraId="0D7882B1" w14:textId="77777777" w:rsidR="002C17BF" w:rsidRPr="00A557BB" w:rsidRDefault="002C17BF" w:rsidP="002C17BF">
      <w:pPr>
        <w:pStyle w:val="Heading1"/>
        <w:rPr>
          <w:lang w:val="fr-FR"/>
        </w:rPr>
      </w:pPr>
      <w:r w:rsidRPr="00A557BB">
        <w:rPr>
          <w:lang w:val="fr-FR"/>
        </w:rPr>
        <w:t>En avril 2019, les deux entités suivantes impliquées dans la mise en œuvre du Protocole de Montréal ont été dissoutes par décret</w:t>
      </w:r>
      <w:r w:rsidR="00E20DA7" w:rsidRPr="00A557BB">
        <w:rPr>
          <w:lang w:val="fr-FR"/>
        </w:rPr>
        <w:t xml:space="preserve"> </w:t>
      </w:r>
      <w:r w:rsidRPr="00A557BB">
        <w:rPr>
          <w:lang w:val="fr-FR"/>
        </w:rPr>
        <w:t xml:space="preserve">: </w:t>
      </w:r>
    </w:p>
    <w:p w14:paraId="633A66BD" w14:textId="77777777" w:rsidR="002C17BF" w:rsidRPr="00A557BB" w:rsidRDefault="002C17BF" w:rsidP="002C17BF">
      <w:pPr>
        <w:pStyle w:val="Heading2"/>
        <w:numPr>
          <w:ilvl w:val="1"/>
          <w:numId w:val="1"/>
        </w:numPr>
        <w:rPr>
          <w:lang w:val="fr-FR"/>
        </w:rPr>
      </w:pPr>
      <w:r w:rsidRPr="00A557BB">
        <w:rPr>
          <w:lang w:val="fr-FR"/>
        </w:rPr>
        <w:t xml:space="preserve">le Comité interministériel pour la protection de la couche d'ozone (PROZON), créé en 1995 pour élaborer des directives et coordonner les activités de protection de la couche d'ozone, et </w:t>
      </w:r>
    </w:p>
    <w:p w14:paraId="52844177" w14:textId="77777777" w:rsidR="002C17BF" w:rsidRPr="00A557BB" w:rsidRDefault="002C17BF" w:rsidP="002C17BF">
      <w:pPr>
        <w:pStyle w:val="Heading2"/>
        <w:numPr>
          <w:ilvl w:val="1"/>
          <w:numId w:val="1"/>
        </w:numPr>
        <w:rPr>
          <w:lang w:val="fr-FR"/>
        </w:rPr>
      </w:pPr>
      <w:r w:rsidRPr="00A557BB">
        <w:rPr>
          <w:lang w:val="fr-FR"/>
        </w:rPr>
        <w:t xml:space="preserve">le groupe de travail sur les HCFC (GT-HCFC), créé en 2010 par des organismes privés et publics pour aider à mettre en œuvre des actions de protection de la couche d'ozone. </w:t>
      </w:r>
    </w:p>
    <w:p w14:paraId="36D06625" w14:textId="77777777" w:rsidR="002C17BF" w:rsidRPr="00A557BB" w:rsidRDefault="002C17BF" w:rsidP="002C17BF">
      <w:pPr>
        <w:pStyle w:val="Heading1"/>
        <w:rPr>
          <w:lang w:val="fr-FR"/>
        </w:rPr>
      </w:pPr>
      <w:r w:rsidRPr="00A557BB">
        <w:rPr>
          <w:lang w:val="fr-FR"/>
        </w:rPr>
        <w:t>Ayant demandé des éclaircissements sur l’impact potentiel sur la mise en œuvre des activités d’élimination au Brésil, le PNUD a expliqué que le nouveau go</w:t>
      </w:r>
      <w:r w:rsidR="00E20DA7" w:rsidRPr="00A557BB">
        <w:rPr>
          <w:lang w:val="fr-FR"/>
        </w:rPr>
        <w:t>uvernement avait décidé que le Ministère de l’e</w:t>
      </w:r>
      <w:r w:rsidRPr="00A557BB">
        <w:rPr>
          <w:lang w:val="fr-FR"/>
        </w:rPr>
        <w:t>nvironnement, avec l’assistance d’autres ministères, le cas échéant, serait pleinement responsable de toutes les questions liées à la protection de la couche d'ozone et il n'y aurait aucun impact négatif sur la mise en œuvre de toutes les activités financées au titre du Fonds multilatéral, y compris le PGEH.</w:t>
      </w:r>
    </w:p>
    <w:p w14:paraId="73EB7334" w14:textId="77777777" w:rsidR="00F51DC8" w:rsidRPr="00A557BB" w:rsidRDefault="002C17BF" w:rsidP="00F51DC8">
      <w:pPr>
        <w:pStyle w:val="Heading1"/>
        <w:widowControl w:val="0"/>
        <w:numPr>
          <w:ilvl w:val="0"/>
          <w:numId w:val="0"/>
        </w:numPr>
        <w:rPr>
          <w:i/>
          <w:lang w:val="fr-FR"/>
        </w:rPr>
      </w:pPr>
      <w:r w:rsidRPr="00A557BB">
        <w:rPr>
          <w:i/>
          <w:lang w:val="fr-FR"/>
        </w:rPr>
        <w:lastRenderedPageBreak/>
        <w:t xml:space="preserve">Secteur de la mousse PU </w:t>
      </w:r>
    </w:p>
    <w:p w14:paraId="2AAF82F6" w14:textId="77777777" w:rsidR="002C17BF" w:rsidRPr="00A557BB" w:rsidRDefault="002C17BF" w:rsidP="004E40D7">
      <w:pPr>
        <w:pStyle w:val="Heading2"/>
        <w:numPr>
          <w:ilvl w:val="0"/>
          <w:numId w:val="0"/>
        </w:numPr>
        <w:rPr>
          <w:i/>
          <w:u w:val="single"/>
          <w:lang w:val="fr-FR"/>
        </w:rPr>
      </w:pPr>
      <w:r w:rsidRPr="00A557BB">
        <w:rPr>
          <w:i/>
          <w:u w:val="single"/>
          <w:lang w:val="fr-FR"/>
        </w:rPr>
        <w:t>Problèmes déterminés dans les projets de groupe</w:t>
      </w:r>
    </w:p>
    <w:p w14:paraId="2A3FCE97" w14:textId="77777777" w:rsidR="002C17BF" w:rsidRPr="00A557BB" w:rsidRDefault="002C17BF" w:rsidP="002C17BF">
      <w:pPr>
        <w:pStyle w:val="Heading1"/>
        <w:rPr>
          <w:lang w:val="fr-FR"/>
        </w:rPr>
      </w:pPr>
      <w:r w:rsidRPr="00A557BB">
        <w:rPr>
          <w:lang w:val="fr-FR"/>
        </w:rPr>
        <w:t>À la suite de la présentation du précédent rapport d'activité, le PNUD avait été prié d'inclure dans la liste, mise à jour annuellement, des entreprises de mousse situées en aval et bénéficiant de l'assista</w:t>
      </w:r>
      <w:r w:rsidR="00E20DA7" w:rsidRPr="00A557BB">
        <w:rPr>
          <w:lang w:val="fr-FR"/>
        </w:rPr>
        <w:t xml:space="preserve">nce au titre de la phase I les </w:t>
      </w:r>
      <w:r w:rsidRPr="00A557BB">
        <w:rPr>
          <w:lang w:val="fr-FR"/>
        </w:rPr>
        <w:t xml:space="preserve">entreprises qui éliminent la consommation de HCFC-141b sans l'assistance du Fonds multilatéral, ainsi que celles qui n’étaient pas </w:t>
      </w:r>
      <w:r w:rsidR="0091191B" w:rsidRPr="00A557BB">
        <w:rPr>
          <w:lang w:val="fr-FR"/>
        </w:rPr>
        <w:t>admissibles</w:t>
      </w:r>
      <w:r w:rsidRPr="00A557BB">
        <w:rPr>
          <w:lang w:val="fr-FR"/>
        </w:rPr>
        <w:t xml:space="preserve"> au finan</w:t>
      </w:r>
      <w:r w:rsidR="0091191B" w:rsidRPr="00A557BB">
        <w:rPr>
          <w:lang w:val="fr-FR"/>
        </w:rPr>
        <w:t xml:space="preserve">cement et leur consommation de </w:t>
      </w:r>
      <w:r w:rsidRPr="00A557BB">
        <w:rPr>
          <w:lang w:val="fr-FR"/>
        </w:rPr>
        <w:t>HCFC-141b.</w:t>
      </w:r>
    </w:p>
    <w:p w14:paraId="6CE54BAC" w14:textId="77777777" w:rsidR="002C17BF" w:rsidRPr="00A557BB" w:rsidRDefault="002C17BF" w:rsidP="002C17BF">
      <w:pPr>
        <w:pStyle w:val="Heading1"/>
        <w:rPr>
          <w:lang w:val="fr-FR"/>
        </w:rPr>
      </w:pPr>
      <w:r w:rsidRPr="00A557BB">
        <w:rPr>
          <w:lang w:val="fr-FR"/>
        </w:rPr>
        <w:t xml:space="preserve">Le Secrétariat a pris note avec satisfaction des travaux de fond menés par le Gouvernement brésilien et le PNUD pour vérifier </w:t>
      </w:r>
      <w:r w:rsidR="0091191B" w:rsidRPr="00A557BB">
        <w:rPr>
          <w:lang w:val="fr-FR"/>
        </w:rPr>
        <w:t>l’admissibilité</w:t>
      </w:r>
      <w:r w:rsidRPr="00A557BB">
        <w:rPr>
          <w:lang w:val="fr-FR"/>
        </w:rPr>
        <w:t xml:space="preserve"> d'un grand nombre de petites et moyenn</w:t>
      </w:r>
      <w:r w:rsidR="0091191B" w:rsidRPr="00A557BB">
        <w:rPr>
          <w:lang w:val="fr-FR"/>
        </w:rPr>
        <w:t xml:space="preserve">es entreprises productrices de </w:t>
      </w:r>
      <w:r w:rsidRPr="00A557BB">
        <w:rPr>
          <w:lang w:val="fr-FR"/>
        </w:rPr>
        <w:t>mousses et incluses dans la phase I.  Cependant, étant donné le grand nombre d’entreprises de mousses dans le pays et les contraintes de temps, le gouvernement n’a pas été en mesure, lors de la réunion, de présenter une liste définitive des entreprises. Selon les informations disponibles actuellement, les informations ci-après sont pertinentes :</w:t>
      </w:r>
    </w:p>
    <w:p w14:paraId="3394F700" w14:textId="77777777" w:rsidR="002C17BF" w:rsidRPr="00A557BB" w:rsidRDefault="002C17BF" w:rsidP="002C17BF">
      <w:pPr>
        <w:pStyle w:val="Heading2"/>
        <w:numPr>
          <w:ilvl w:val="1"/>
          <w:numId w:val="1"/>
        </w:numPr>
        <w:rPr>
          <w:lang w:val="fr-FR"/>
        </w:rPr>
      </w:pPr>
      <w:r w:rsidRPr="00A557BB">
        <w:rPr>
          <w:lang w:val="fr-FR"/>
        </w:rPr>
        <w:t xml:space="preserve">Au total, 171 utilisateurs de mousse en aval ont terminé leur reconversion et, un grand nombre de très petites entreprises de fabrication de mousses réalisent leur reconversion avec l'aide des entreprises de formulation. Fin 2019, au moins 27 utilisateurs en aval supplémentaires se seront reconvertis (ce nombre pourrait changer) ; </w:t>
      </w:r>
    </w:p>
    <w:p w14:paraId="74D49C07" w14:textId="77777777" w:rsidR="002C17BF" w:rsidRPr="00A557BB" w:rsidRDefault="002C17BF" w:rsidP="002C17BF">
      <w:pPr>
        <w:pStyle w:val="Heading2"/>
        <w:numPr>
          <w:ilvl w:val="1"/>
          <w:numId w:val="1"/>
        </w:numPr>
        <w:rPr>
          <w:lang w:val="fr-FR"/>
        </w:rPr>
      </w:pPr>
      <w:r w:rsidRPr="00A557BB">
        <w:rPr>
          <w:lang w:val="fr-FR"/>
        </w:rPr>
        <w:t>environ 130 entreprises de fabrication de mousse consommant très peu de HCFC-141b procéderont à l'élimination grâce aux ressources d'assistance technique fournies par les entreprises de formulation ;</w:t>
      </w:r>
    </w:p>
    <w:p w14:paraId="1B72C15D" w14:textId="77777777" w:rsidR="002C17BF" w:rsidRPr="00A557BB" w:rsidRDefault="002C17BF" w:rsidP="002C17BF">
      <w:pPr>
        <w:pStyle w:val="Heading2"/>
        <w:numPr>
          <w:ilvl w:val="1"/>
          <w:numId w:val="1"/>
        </w:numPr>
        <w:rPr>
          <w:lang w:val="fr-FR"/>
        </w:rPr>
      </w:pPr>
      <w:r w:rsidRPr="00A557BB">
        <w:rPr>
          <w:lang w:val="fr-FR"/>
        </w:rPr>
        <w:t>le rapport précédent avait répertorié 12 entreprises qui avaient reçu un financement du Fonds multilatéral et dont la consommation totale se montait à 1,62 tonne PAO de HCFC-141b, mais ne semblaient pas satisfaire à toutes les conditions d'</w:t>
      </w:r>
      <w:r w:rsidR="0091191B" w:rsidRPr="00A557BB">
        <w:rPr>
          <w:lang w:val="fr-FR"/>
        </w:rPr>
        <w:t>admissibilité</w:t>
      </w:r>
      <w:r w:rsidRPr="00A557BB">
        <w:rPr>
          <w:lang w:val="fr-FR"/>
        </w:rPr>
        <w:t xml:space="preserve"> au financement (date d'établissement, propriété étrangère, etc.). Il a été confirmé que ces entreprises ne sont pas </w:t>
      </w:r>
      <w:r w:rsidR="0091191B" w:rsidRPr="00A557BB">
        <w:rPr>
          <w:lang w:val="fr-FR"/>
        </w:rPr>
        <w:t>admissibles</w:t>
      </w:r>
      <w:r w:rsidRPr="00A557BB">
        <w:rPr>
          <w:lang w:val="fr-FR"/>
        </w:rPr>
        <w:t xml:space="preserve">. par conséquent, le financement associé sera restitué au Fonds </w:t>
      </w:r>
      <w:r w:rsidR="0091191B" w:rsidRPr="00A557BB">
        <w:rPr>
          <w:lang w:val="fr-FR"/>
        </w:rPr>
        <w:t>multilatéral </w:t>
      </w:r>
      <w:r w:rsidRPr="00A557BB">
        <w:rPr>
          <w:lang w:val="fr-FR"/>
        </w:rPr>
        <w:t xml:space="preserve">; </w:t>
      </w:r>
    </w:p>
    <w:p w14:paraId="1C70DA57" w14:textId="77777777" w:rsidR="002C17BF" w:rsidRPr="00A557BB" w:rsidRDefault="002C17BF" w:rsidP="002C17BF">
      <w:pPr>
        <w:pStyle w:val="Heading2"/>
        <w:numPr>
          <w:ilvl w:val="1"/>
          <w:numId w:val="1"/>
        </w:numPr>
        <w:rPr>
          <w:lang w:val="fr-FR"/>
        </w:rPr>
      </w:pPr>
      <w:r w:rsidRPr="00A557BB">
        <w:rPr>
          <w:lang w:val="fr-FR"/>
        </w:rPr>
        <w:t>une entreprise de formulation (Polisytem) a décidé</w:t>
      </w:r>
      <w:r w:rsidR="0091191B" w:rsidRPr="00A557BB">
        <w:rPr>
          <w:lang w:val="fr-FR"/>
        </w:rPr>
        <w:t xml:space="preserve"> de ne pas participer au PGEH. L</w:t>
      </w:r>
      <w:r w:rsidRPr="00A557BB">
        <w:rPr>
          <w:lang w:val="fr-FR"/>
        </w:rPr>
        <w:t xml:space="preserve">e solde des fonds approuvés pour cette entreprise, estimé à 100 000 $US, sera </w:t>
      </w:r>
      <w:r w:rsidR="0091191B" w:rsidRPr="00A557BB">
        <w:rPr>
          <w:lang w:val="fr-FR"/>
        </w:rPr>
        <w:t>retourné</w:t>
      </w:r>
      <w:r w:rsidRPr="00A557BB">
        <w:rPr>
          <w:lang w:val="fr-FR"/>
        </w:rPr>
        <w:t xml:space="preserve"> au Fonds, et les utilisateurs de mousse en aval associés à Polisystem pourraient être assistés par le biais d'autres entreprises de formulation ;</w:t>
      </w:r>
    </w:p>
    <w:p w14:paraId="3074EF02" w14:textId="77777777" w:rsidR="002C17BF" w:rsidRPr="00A557BB" w:rsidRDefault="002C17BF" w:rsidP="002C17BF">
      <w:pPr>
        <w:pStyle w:val="Heading2"/>
        <w:numPr>
          <w:ilvl w:val="1"/>
          <w:numId w:val="1"/>
        </w:numPr>
        <w:rPr>
          <w:lang w:val="fr-FR"/>
        </w:rPr>
      </w:pPr>
      <w:r w:rsidRPr="00A557BB">
        <w:rPr>
          <w:lang w:val="fr-FR"/>
        </w:rPr>
        <w:t xml:space="preserve">le PNUD a indiqué que le financement associé aux entreprises non </w:t>
      </w:r>
      <w:r w:rsidR="0091191B" w:rsidRPr="00A557BB">
        <w:rPr>
          <w:lang w:val="fr-FR"/>
        </w:rPr>
        <w:t>admissibles</w:t>
      </w:r>
      <w:r w:rsidRPr="00A557BB">
        <w:rPr>
          <w:lang w:val="fr-FR"/>
        </w:rPr>
        <w:t xml:space="preserve"> et aux entreprises n'ayant pas participé à la phase I serait restitué au Fonds une fois la phase I financée (après décembre 2020). Notant que la phase I a déjà été prolongée deux fois et que le rapport d'achèvement du projet sera soumis à la 85 </w:t>
      </w:r>
      <w:r w:rsidRPr="00A557BB">
        <w:rPr>
          <w:vertAlign w:val="superscript"/>
          <w:lang w:val="fr-FR"/>
        </w:rPr>
        <w:t>e</w:t>
      </w:r>
      <w:r w:rsidRPr="00A557BB">
        <w:rPr>
          <w:lang w:val="fr-FR"/>
        </w:rPr>
        <w:t xml:space="preserve"> réunion, le Secrétariat propose que les soldes soient restitués à la 86 </w:t>
      </w:r>
      <w:r w:rsidRPr="00A557BB">
        <w:rPr>
          <w:vertAlign w:val="superscript"/>
          <w:lang w:val="fr-FR"/>
        </w:rPr>
        <w:t>e</w:t>
      </w:r>
      <w:r w:rsidRPr="00A557BB">
        <w:rPr>
          <w:lang w:val="fr-FR"/>
        </w:rPr>
        <w:t xml:space="preserve"> réunion.</w:t>
      </w:r>
    </w:p>
    <w:p w14:paraId="1101EA6F" w14:textId="77777777" w:rsidR="002C17BF" w:rsidRPr="00A557BB" w:rsidRDefault="002C17BF" w:rsidP="002C17BF">
      <w:pPr>
        <w:pStyle w:val="Heading1"/>
        <w:rPr>
          <w:lang w:val="fr-FR"/>
        </w:rPr>
      </w:pPr>
      <w:r w:rsidRPr="00A557BB">
        <w:rPr>
          <w:lang w:val="fr-FR"/>
        </w:rPr>
        <w:t xml:space="preserve">Lors de la mise en œuvre de la dernière tranche de financement, le PNUD a introduit une nouvelle modalité de mise en œuvre consistant à signer des accords à long terme avec les entreprises de formulation. En expliquant cette modalité de mise en œuvre, le PNUD a indiqué que les accords à long terme permettaient aux sociétés utilisatrices de mousse en aval de sélectionner leur entreprise de formulation favorite parmi toutes celles qui participent au PGEH, afin de faciliter leur reconversion; pour mettre en œuvre la reconversion, le fabricant de mousse signe une déclaration d’acceptation avec l'entreprise de formulation qu’elle a choisie. Dans les contrats de service précédents, le nom du fabricant de mousse à reconvertir par l'entreprise de formulation devait figurer au contrat; si l'entreprise décidait de </w:t>
      </w:r>
      <w:r w:rsidRPr="00A557BB">
        <w:rPr>
          <w:lang w:val="fr-FR"/>
        </w:rPr>
        <w:lastRenderedPageBreak/>
        <w:t xml:space="preserve">changer de fournisseur, les ressources nécessaires à la </w:t>
      </w:r>
      <w:r w:rsidR="002F5396" w:rsidRPr="00A557BB">
        <w:rPr>
          <w:lang w:val="fr-FR"/>
        </w:rPr>
        <w:t>reconversion</w:t>
      </w:r>
      <w:r w:rsidRPr="00A557BB">
        <w:rPr>
          <w:lang w:val="fr-FR"/>
        </w:rPr>
        <w:t xml:space="preserve"> devaient être migrées vers un autre contrat de service, ce qui ralentissait la mise en œuvre du contrat et prenait beaucoup de </w:t>
      </w:r>
      <w:r w:rsidRPr="00A557BB">
        <w:rPr>
          <w:lang w:val="fr-FR"/>
        </w:rPr>
        <w:noBreakHyphen/>
        <w:t xml:space="preserve">temps. </w:t>
      </w:r>
    </w:p>
    <w:p w14:paraId="118B5B79" w14:textId="77777777" w:rsidR="002C17BF" w:rsidRPr="00A557BB" w:rsidRDefault="002C17BF" w:rsidP="002C17BF">
      <w:pPr>
        <w:pStyle w:val="Heading1"/>
        <w:rPr>
          <w:lang w:val="fr-FR"/>
        </w:rPr>
      </w:pPr>
      <w:r w:rsidRPr="00A557BB">
        <w:rPr>
          <w:lang w:val="fr-FR"/>
        </w:rPr>
        <w:t xml:space="preserve">Les accords à long terme ont été conçus comme des ententes souples, prolongeables jusqu'à trois ans, et permettront de poursuivre la mise en œuvre de projets avec les mêmes entreprises de formulation pour les utilisateurs de mousse en aval financés au titre de la phase II. </w:t>
      </w:r>
    </w:p>
    <w:p w14:paraId="2A40FECF" w14:textId="77777777" w:rsidR="002C17BF" w:rsidRPr="00A557BB" w:rsidRDefault="002C17BF" w:rsidP="004E40D7">
      <w:pPr>
        <w:pStyle w:val="Heading2"/>
        <w:numPr>
          <w:ilvl w:val="0"/>
          <w:numId w:val="0"/>
        </w:numPr>
        <w:rPr>
          <w:i/>
          <w:u w:val="single"/>
          <w:lang w:val="fr-FR"/>
        </w:rPr>
      </w:pPr>
      <w:r w:rsidRPr="00A557BB">
        <w:rPr>
          <w:i/>
          <w:u w:val="single"/>
          <w:lang w:val="fr-FR"/>
        </w:rPr>
        <w:t>Achèvement du projet et restitution du solde</w:t>
      </w:r>
    </w:p>
    <w:p w14:paraId="1A7C1A7A" w14:textId="77777777" w:rsidR="002C17BF" w:rsidRPr="00A557BB" w:rsidRDefault="002C17BF" w:rsidP="002C17BF">
      <w:pPr>
        <w:pStyle w:val="Heading1"/>
        <w:rPr>
          <w:lang w:val="fr-FR"/>
        </w:rPr>
      </w:pPr>
      <w:r w:rsidRPr="00A557BB">
        <w:rPr>
          <w:lang w:val="fr-FR"/>
        </w:rPr>
        <w:t xml:space="preserve">Notant qu'au cours de la phase I, le Comité exécutif a approuvé de financer la reconversion de près de </w:t>
      </w:r>
      <w:r w:rsidRPr="00A557BB">
        <w:rPr>
          <w:lang w:val="fr-FR"/>
        </w:rPr>
        <w:br/>
        <w:t xml:space="preserve">380 entreprises de production de mousse en aval et que toutes ne pourront pas être reconverties, le Secrétariat a souligné que le financement associé aux entreprises qui ne se convertiraient pas au titre de la phase I ou qui ont été jugées non </w:t>
      </w:r>
      <w:r w:rsidR="0091191B" w:rsidRPr="00A557BB">
        <w:rPr>
          <w:lang w:val="fr-FR"/>
        </w:rPr>
        <w:t>admissibles</w:t>
      </w:r>
      <w:r w:rsidRPr="00A557BB">
        <w:rPr>
          <w:lang w:val="fr-FR"/>
        </w:rPr>
        <w:t xml:space="preserve"> devrait être restitué au Fonds. En conclusion des discussions avec le Secrétariat, le PNUD a confirmé que tous les contrats et commandes passées par toutes les entreprises de mousses inclus dans la phase I seraient signés avant la fin 2019, permettant ainsi au projet d'être achevé du point de vue opérationnel, bien que certains paiements finaux doivent avoir lieu en 2020. Le PNUD fera également rapport, à la 85</w:t>
      </w:r>
      <w:r w:rsidRPr="00A557BB">
        <w:rPr>
          <w:vertAlign w:val="superscript"/>
          <w:lang w:val="fr-FR"/>
        </w:rPr>
        <w:t>e</w:t>
      </w:r>
      <w:r w:rsidRPr="00A557BB">
        <w:rPr>
          <w:lang w:val="fr-FR"/>
        </w:rPr>
        <w:t xml:space="preserve"> réunion, sur le nombre total d'entreprises de mousses assistées au titre de la phase I, y compris celles qui se sont reconverties à leurs frais, ainsi que </w:t>
      </w:r>
      <w:r w:rsidR="0091191B" w:rsidRPr="00A557BB">
        <w:rPr>
          <w:lang w:val="fr-FR"/>
        </w:rPr>
        <w:t xml:space="preserve">leur consommation </w:t>
      </w:r>
      <w:r w:rsidR="0091191B" w:rsidRPr="00A557BB">
        <w:rPr>
          <w:lang w:val="fr-FR"/>
        </w:rPr>
        <w:br/>
        <w:t>de HCFC-141b,</w:t>
      </w:r>
      <w:r w:rsidRPr="00A557BB">
        <w:rPr>
          <w:lang w:val="fr-FR"/>
        </w:rPr>
        <w:t xml:space="preserve"> et soumettra un état financier présentant le total des décaissements et les soldes à restituer au Fonds multilatéral.</w:t>
      </w:r>
    </w:p>
    <w:p w14:paraId="2610748B" w14:textId="77777777" w:rsidR="002C17BF" w:rsidRPr="00A557BB" w:rsidRDefault="002C17BF" w:rsidP="002C17BF">
      <w:pPr>
        <w:pStyle w:val="Heading1"/>
        <w:keepNext/>
        <w:numPr>
          <w:ilvl w:val="0"/>
          <w:numId w:val="0"/>
        </w:numPr>
        <w:autoSpaceDE w:val="0"/>
        <w:autoSpaceDN w:val="0"/>
        <w:adjustRightInd w:val="0"/>
        <w:jc w:val="left"/>
        <w:rPr>
          <w:b/>
          <w:lang w:val="fr-FR"/>
        </w:rPr>
      </w:pPr>
      <w:r w:rsidRPr="00A557BB">
        <w:rPr>
          <w:b/>
          <w:lang w:val="fr-FR"/>
        </w:rPr>
        <w:t>Recommandation</w:t>
      </w:r>
    </w:p>
    <w:p w14:paraId="6053B124" w14:textId="77777777" w:rsidR="002C17BF" w:rsidRPr="00A557BB" w:rsidRDefault="002C17BF" w:rsidP="002169B2">
      <w:pPr>
        <w:pStyle w:val="Heading1"/>
        <w:keepNext/>
        <w:numPr>
          <w:ilvl w:val="0"/>
          <w:numId w:val="1"/>
        </w:numPr>
        <w:rPr>
          <w:lang w:val="fr-FR"/>
        </w:rPr>
      </w:pPr>
      <w:r w:rsidRPr="00A557BB">
        <w:rPr>
          <w:lang w:val="fr-FR"/>
        </w:rPr>
        <w:t>Le Comité exécutif pourrait souhaiter :</w:t>
      </w:r>
    </w:p>
    <w:p w14:paraId="05BF9836" w14:textId="77777777" w:rsidR="002C17BF" w:rsidRPr="00A557BB" w:rsidRDefault="002C17BF" w:rsidP="002169B2">
      <w:pPr>
        <w:pStyle w:val="Heading2"/>
        <w:keepNext/>
        <w:widowControl/>
        <w:numPr>
          <w:ilvl w:val="1"/>
          <w:numId w:val="1"/>
        </w:numPr>
        <w:rPr>
          <w:lang w:val="fr-FR"/>
        </w:rPr>
      </w:pPr>
      <w:r w:rsidRPr="00A557BB">
        <w:rPr>
          <w:lang w:val="fr-FR"/>
        </w:rPr>
        <w:t>prendre note :</w:t>
      </w:r>
    </w:p>
    <w:p w14:paraId="223EF2D6" w14:textId="77777777" w:rsidR="002C17BF" w:rsidRPr="00A557BB" w:rsidRDefault="002C17BF" w:rsidP="002C17BF">
      <w:pPr>
        <w:pStyle w:val="Heading3"/>
        <w:numPr>
          <w:ilvl w:val="2"/>
          <w:numId w:val="1"/>
        </w:numPr>
        <w:rPr>
          <w:lang w:val="fr-FR"/>
        </w:rPr>
      </w:pPr>
      <w:r w:rsidRPr="00A557BB">
        <w:rPr>
          <w:lang w:val="fr-FR"/>
        </w:rPr>
        <w:t>du rapport périodique de 2018, présenté par</w:t>
      </w:r>
      <w:r w:rsidR="0091191B" w:rsidRPr="00A557BB">
        <w:rPr>
          <w:lang w:val="fr-FR"/>
        </w:rPr>
        <w:t xml:space="preserve"> le PNUD, sur la mise en œuvre </w:t>
      </w:r>
      <w:r w:rsidRPr="00A557BB">
        <w:rPr>
          <w:lang w:val="fr-FR"/>
        </w:rPr>
        <w:t xml:space="preserve">de la phase I du plan de gestion de l’élimination des HCFC (PGEH) pour le Brésil, </w:t>
      </w:r>
      <w:r w:rsidR="0091191B" w:rsidRPr="00A557BB">
        <w:rPr>
          <w:lang w:val="fr-FR"/>
        </w:rPr>
        <w:t>contenu dans le document paru sous la cote UNEP/OzL.Pro/ExCom/84/22</w:t>
      </w:r>
      <w:r w:rsidRPr="00A557BB">
        <w:rPr>
          <w:lang w:val="fr-FR"/>
        </w:rPr>
        <w:t xml:space="preserve"> ; </w:t>
      </w:r>
    </w:p>
    <w:p w14:paraId="63F6BD74" w14:textId="77777777" w:rsidR="002C17BF" w:rsidRPr="00A557BB" w:rsidRDefault="002C17BF" w:rsidP="004E40D7">
      <w:pPr>
        <w:pStyle w:val="Heading3"/>
        <w:numPr>
          <w:ilvl w:val="2"/>
          <w:numId w:val="1"/>
        </w:numPr>
        <w:rPr>
          <w:lang w:val="fr-FR"/>
        </w:rPr>
      </w:pPr>
      <w:r w:rsidRPr="00A557BB">
        <w:rPr>
          <w:lang w:val="fr-FR"/>
        </w:rPr>
        <w:t>que l'entreprise Panisol ne participera pas à la phase I du PGEH et que le solde du fonds s'élevant à 301 695 $US, ainsi que des coûts d'appui d'agence d'un montant de 22 627 $US, seront restitués au Fonds multilatéral à la fin de la phase I du PGEH</w:t>
      </w:r>
      <w:r w:rsidR="0091191B" w:rsidRPr="00A557BB">
        <w:rPr>
          <w:lang w:val="fr-FR"/>
        </w:rPr>
        <w:t xml:space="preserve"> </w:t>
      </w:r>
      <w:r w:rsidRPr="00A557BB">
        <w:rPr>
          <w:lang w:val="fr-FR"/>
        </w:rPr>
        <w:t>;</w:t>
      </w:r>
    </w:p>
    <w:p w14:paraId="0BCEF072" w14:textId="77777777" w:rsidR="002C17BF" w:rsidRPr="00A557BB" w:rsidRDefault="0091191B" w:rsidP="002C17BF">
      <w:pPr>
        <w:pStyle w:val="Heading3"/>
        <w:numPr>
          <w:ilvl w:val="2"/>
          <w:numId w:val="1"/>
        </w:numPr>
        <w:rPr>
          <w:lang w:val="fr-FR"/>
        </w:rPr>
      </w:pPr>
      <w:r w:rsidRPr="00A557BB">
        <w:rPr>
          <w:lang w:val="fr-FR"/>
        </w:rPr>
        <w:t>q</w:t>
      </w:r>
      <w:r w:rsidR="002C17BF" w:rsidRPr="00A557BB">
        <w:rPr>
          <w:lang w:val="fr-FR"/>
        </w:rPr>
        <w:t>ue l'entreprise de formulation Polisystem a décidé de se retirer de la phase I du PGEH et que les fonds alloués à Polisystem seront restitués au Fonds multilatéral à la fin de la phase I du PGEH ;</w:t>
      </w:r>
    </w:p>
    <w:p w14:paraId="1CEB0F12" w14:textId="77777777" w:rsidR="002C17BF" w:rsidRPr="00A557BB" w:rsidRDefault="0091191B" w:rsidP="002C17BF">
      <w:pPr>
        <w:pStyle w:val="Heading3"/>
        <w:numPr>
          <w:ilvl w:val="2"/>
          <w:numId w:val="1"/>
        </w:numPr>
        <w:rPr>
          <w:lang w:val="fr-FR"/>
        </w:rPr>
      </w:pPr>
      <w:r w:rsidRPr="00A557BB">
        <w:rPr>
          <w:lang w:val="fr-FR"/>
        </w:rPr>
        <w:t>q</w:t>
      </w:r>
      <w:r w:rsidR="002C17BF" w:rsidRPr="00A557BB">
        <w:rPr>
          <w:lang w:val="fr-FR"/>
        </w:rPr>
        <w:t xml:space="preserve">ue 12 entreprises en aval </w:t>
      </w:r>
      <w:r w:rsidRPr="00A557BB">
        <w:rPr>
          <w:lang w:val="fr-FR"/>
        </w:rPr>
        <w:t>fabricant de la</w:t>
      </w:r>
      <w:r w:rsidR="002C17BF" w:rsidRPr="00A557BB">
        <w:rPr>
          <w:lang w:val="fr-FR"/>
        </w:rPr>
        <w:t xml:space="preserve"> mousse de polyuréthane ont été jugées non </w:t>
      </w:r>
      <w:r w:rsidRPr="00A557BB">
        <w:rPr>
          <w:lang w:val="fr-FR"/>
        </w:rPr>
        <w:t>admissibles</w:t>
      </w:r>
      <w:r w:rsidR="002C17BF" w:rsidRPr="00A557BB">
        <w:rPr>
          <w:lang w:val="fr-FR"/>
        </w:rPr>
        <w:t xml:space="preserve"> au financement lors de la mise en œuvre du projet et que les fonds qui leur ont été alloués seront restitués au Fonds multilatéral à l'issue de la phase I du PGEH ; </w:t>
      </w:r>
    </w:p>
    <w:p w14:paraId="00ADEE39" w14:textId="77777777" w:rsidR="002C17BF" w:rsidRPr="00A557BB" w:rsidRDefault="002C17BF" w:rsidP="002169B2">
      <w:pPr>
        <w:pStyle w:val="Heading2"/>
        <w:numPr>
          <w:ilvl w:val="1"/>
          <w:numId w:val="1"/>
        </w:numPr>
        <w:rPr>
          <w:lang w:val="fr-FR"/>
        </w:rPr>
      </w:pPr>
      <w:r w:rsidRPr="00A557BB">
        <w:rPr>
          <w:lang w:val="fr-FR"/>
        </w:rPr>
        <w:t>demander au Gouvernement du Brésil et à au PNUD :</w:t>
      </w:r>
    </w:p>
    <w:p w14:paraId="2B98BB87" w14:textId="77777777" w:rsidR="002C17BF" w:rsidRPr="00A557BB" w:rsidRDefault="002C17BF" w:rsidP="002C17BF">
      <w:pPr>
        <w:pStyle w:val="Heading3"/>
        <w:numPr>
          <w:ilvl w:val="2"/>
          <w:numId w:val="1"/>
        </w:numPr>
        <w:rPr>
          <w:lang w:val="fr-FR"/>
        </w:rPr>
      </w:pPr>
      <w:r w:rsidRPr="00A557BB">
        <w:rPr>
          <w:lang w:val="fr-FR"/>
        </w:rPr>
        <w:t>de soumettre, conjointement avec le Gouvernement allemand, un rapport final portant sur la mise en œuvre du programme de travail associé à la phase I du PGEH jusqu'à l'achèvement du projet et le rapport d'achèvement du projet, à la 85</w:t>
      </w:r>
      <w:r w:rsidRPr="00A557BB">
        <w:rPr>
          <w:vertAlign w:val="superscript"/>
          <w:lang w:val="fr-FR"/>
        </w:rPr>
        <w:t>e</w:t>
      </w:r>
      <w:r w:rsidRPr="00A557BB">
        <w:rPr>
          <w:lang w:val="fr-FR"/>
        </w:rPr>
        <w:t xml:space="preserve"> réunion ;</w:t>
      </w:r>
    </w:p>
    <w:p w14:paraId="1D5EF413" w14:textId="77777777" w:rsidR="002C17BF" w:rsidRPr="00A557BB" w:rsidRDefault="00614272" w:rsidP="00D11B6F">
      <w:pPr>
        <w:pStyle w:val="Heading3"/>
        <w:keepNext/>
        <w:keepLines/>
        <w:numPr>
          <w:ilvl w:val="2"/>
          <w:numId w:val="1"/>
        </w:numPr>
        <w:rPr>
          <w:lang w:val="fr-FR"/>
        </w:rPr>
      </w:pPr>
      <w:r w:rsidRPr="00A557BB">
        <w:rPr>
          <w:lang w:val="fr-FR"/>
        </w:rPr>
        <w:lastRenderedPageBreak/>
        <w:t>d’i</w:t>
      </w:r>
      <w:r w:rsidR="002C17BF" w:rsidRPr="00A557BB">
        <w:rPr>
          <w:lang w:val="fr-FR"/>
        </w:rPr>
        <w:t>nclure dans le rapport final visé au sous-alinéa b) (i) une liste comprenant :</w:t>
      </w:r>
    </w:p>
    <w:p w14:paraId="5EC64D90" w14:textId="77777777" w:rsidR="002C17BF" w:rsidRPr="00A557BB" w:rsidRDefault="0091191B" w:rsidP="00D11B6F">
      <w:pPr>
        <w:pStyle w:val="Header4"/>
        <w:keepNext/>
        <w:keepLines/>
        <w:tabs>
          <w:tab w:val="clear" w:pos="2880"/>
          <w:tab w:val="left" w:pos="2977"/>
        </w:tabs>
        <w:rPr>
          <w:lang w:val="fr-FR"/>
        </w:rPr>
      </w:pPr>
      <w:r w:rsidRPr="00A557BB">
        <w:rPr>
          <w:lang w:val="fr-FR"/>
        </w:rPr>
        <w:t>t</w:t>
      </w:r>
      <w:r w:rsidR="002C17BF" w:rsidRPr="00A557BB">
        <w:rPr>
          <w:lang w:val="fr-FR"/>
        </w:rPr>
        <w:t>outes les entreprises de mousse en aval bénéficiant de l'aide du Fonds multilatéral dans le cadre de la phase I ainsi que la consommation de HCFC-141b pouvant être éliminée, leur sous</w:t>
      </w:r>
      <w:r w:rsidR="00614272" w:rsidRPr="00A557BB">
        <w:rPr>
          <w:lang w:val="fr-FR"/>
        </w:rPr>
        <w:t>-</w:t>
      </w:r>
      <w:r w:rsidR="002C17BF" w:rsidRPr="00A557BB">
        <w:rPr>
          <w:lang w:val="fr-FR"/>
        </w:rPr>
        <w:t xml:space="preserve">secteur, leur équipement d'origine et leur technologie adoptée ; </w:t>
      </w:r>
    </w:p>
    <w:p w14:paraId="789A6889" w14:textId="77777777" w:rsidR="002C17BF" w:rsidRPr="00A557BB" w:rsidRDefault="0091191B" w:rsidP="004E40D7">
      <w:pPr>
        <w:pStyle w:val="Header4"/>
        <w:tabs>
          <w:tab w:val="clear" w:pos="2880"/>
          <w:tab w:val="left" w:pos="2977"/>
        </w:tabs>
        <w:rPr>
          <w:lang w:val="fr-FR"/>
        </w:rPr>
      </w:pPr>
      <w:r w:rsidRPr="00A557BB">
        <w:rPr>
          <w:lang w:val="fr-FR"/>
        </w:rPr>
        <w:t>l</w:t>
      </w:r>
      <w:r w:rsidR="002C17BF" w:rsidRPr="00A557BB">
        <w:rPr>
          <w:lang w:val="fr-FR"/>
        </w:rPr>
        <w:t>es fabrica</w:t>
      </w:r>
      <w:r w:rsidR="00614272" w:rsidRPr="00A557BB">
        <w:rPr>
          <w:lang w:val="fr-FR"/>
        </w:rPr>
        <w:t xml:space="preserve">nts de mousses qui ont éliminé </w:t>
      </w:r>
      <w:r w:rsidR="002C17BF" w:rsidRPr="00A557BB">
        <w:rPr>
          <w:lang w:val="fr-FR"/>
        </w:rPr>
        <w:t xml:space="preserve">le HCFC-141b sans assistance du Fonds multilatéral ou se sont retirées de la phase I, et </w:t>
      </w:r>
      <w:r w:rsidRPr="00A557BB">
        <w:rPr>
          <w:lang w:val="fr-FR"/>
        </w:rPr>
        <w:t>la</w:t>
      </w:r>
      <w:r w:rsidR="002C17BF" w:rsidRPr="00A557BB">
        <w:rPr>
          <w:lang w:val="fr-FR"/>
        </w:rPr>
        <w:t xml:space="preserve"> consommation y relative ; </w:t>
      </w:r>
    </w:p>
    <w:p w14:paraId="56A94269" w14:textId="77777777" w:rsidR="002C17BF" w:rsidRPr="00A557BB" w:rsidRDefault="0091191B" w:rsidP="004E40D7">
      <w:pPr>
        <w:pStyle w:val="Header4"/>
        <w:tabs>
          <w:tab w:val="clear" w:pos="2880"/>
          <w:tab w:val="left" w:pos="2977"/>
        </w:tabs>
        <w:rPr>
          <w:lang w:val="fr-FR"/>
        </w:rPr>
      </w:pPr>
      <w:r w:rsidRPr="00A557BB">
        <w:rPr>
          <w:lang w:val="fr-FR"/>
        </w:rPr>
        <w:t>l</w:t>
      </w:r>
      <w:r w:rsidR="002C17BF" w:rsidRPr="00A557BB">
        <w:rPr>
          <w:lang w:val="fr-FR"/>
        </w:rPr>
        <w:t xml:space="preserve">es entreprises de mousses jugées non </w:t>
      </w:r>
      <w:r w:rsidRPr="00A557BB">
        <w:rPr>
          <w:lang w:val="fr-FR"/>
        </w:rPr>
        <w:t>admissibles</w:t>
      </w:r>
      <w:r w:rsidR="002C17BF" w:rsidRPr="00A557BB">
        <w:rPr>
          <w:lang w:val="fr-FR"/>
        </w:rPr>
        <w:t xml:space="preserve"> au financemen</w:t>
      </w:r>
      <w:r w:rsidRPr="00A557BB">
        <w:rPr>
          <w:lang w:val="fr-FR"/>
        </w:rPr>
        <w:t>t par le Fonds multilatéral et</w:t>
      </w:r>
      <w:r w:rsidR="002C17BF" w:rsidRPr="00A557BB">
        <w:rPr>
          <w:lang w:val="fr-FR"/>
        </w:rPr>
        <w:t xml:space="preserve"> la consommation de HCFC</w:t>
      </w:r>
      <w:r w:rsidR="00614272" w:rsidRPr="00A557BB">
        <w:rPr>
          <w:lang w:val="fr-FR"/>
        </w:rPr>
        <w:t>-</w:t>
      </w:r>
      <w:r w:rsidR="002C17BF" w:rsidRPr="00A557BB">
        <w:rPr>
          <w:lang w:val="fr-FR"/>
        </w:rPr>
        <w:t>141b y relative ;</w:t>
      </w:r>
    </w:p>
    <w:p w14:paraId="36658CB0" w14:textId="77777777" w:rsidR="002C17BF" w:rsidRPr="00A557BB" w:rsidRDefault="0091191B" w:rsidP="004E40D7">
      <w:pPr>
        <w:pStyle w:val="Header4"/>
        <w:tabs>
          <w:tab w:val="clear" w:pos="2880"/>
          <w:tab w:val="left" w:pos="2977"/>
        </w:tabs>
        <w:rPr>
          <w:lang w:val="fr-FR"/>
        </w:rPr>
      </w:pPr>
      <w:r w:rsidRPr="00A557BB">
        <w:rPr>
          <w:lang w:val="fr-FR"/>
        </w:rPr>
        <w:t>d</w:t>
      </w:r>
      <w:r w:rsidR="002C17BF" w:rsidRPr="00A557BB">
        <w:rPr>
          <w:lang w:val="fr-FR"/>
        </w:rPr>
        <w:t>'autres entreprises de mousses répondant aux critères d'</w:t>
      </w:r>
      <w:r w:rsidRPr="00A557BB">
        <w:rPr>
          <w:lang w:val="fr-FR"/>
        </w:rPr>
        <w:t>admissibilité</w:t>
      </w:r>
      <w:r w:rsidR="002C17BF" w:rsidRPr="00A557BB">
        <w:rPr>
          <w:lang w:val="fr-FR"/>
        </w:rPr>
        <w:t xml:space="preserve"> à un financement au titre du Fonds multilatéral mais qui n'ont pas été incluses dans les stades I ou II du PGEH ;</w:t>
      </w:r>
    </w:p>
    <w:p w14:paraId="70D30DE8" w14:textId="77777777" w:rsidR="002C17BF" w:rsidRPr="00A557BB" w:rsidRDefault="0091191B" w:rsidP="004E40D7">
      <w:pPr>
        <w:pStyle w:val="Header4"/>
        <w:keepNext/>
        <w:widowControl/>
        <w:tabs>
          <w:tab w:val="clear" w:pos="2880"/>
          <w:tab w:val="left" w:pos="2977"/>
        </w:tabs>
        <w:rPr>
          <w:lang w:val="fr-FR"/>
        </w:rPr>
      </w:pPr>
      <w:r w:rsidRPr="00A557BB">
        <w:rPr>
          <w:lang w:val="fr-FR"/>
        </w:rPr>
        <w:t>l</w:t>
      </w:r>
      <w:r w:rsidR="002C17BF" w:rsidRPr="00A557BB">
        <w:rPr>
          <w:lang w:val="fr-FR"/>
        </w:rPr>
        <w:t>es soldes associés à des financements approuvés pour la reconversion d'entreprises qui ont décidé de se retirer de la phase I du PGEH ou qui ont été jugés in</w:t>
      </w:r>
      <w:r w:rsidRPr="00A557BB">
        <w:rPr>
          <w:lang w:val="fr-FR"/>
        </w:rPr>
        <w:t>admissibles</w:t>
      </w:r>
      <w:r w:rsidR="002C17BF" w:rsidRPr="00A557BB">
        <w:rPr>
          <w:lang w:val="fr-FR"/>
        </w:rPr>
        <w:t xml:space="preserve"> à l'assistance du Fonds multilatéral ;</w:t>
      </w:r>
    </w:p>
    <w:p w14:paraId="6BC9728B" w14:textId="77777777" w:rsidR="002C17BF" w:rsidRPr="00A557BB" w:rsidRDefault="002C17BF" w:rsidP="002169B2">
      <w:pPr>
        <w:pStyle w:val="Heading3"/>
        <w:numPr>
          <w:ilvl w:val="2"/>
          <w:numId w:val="1"/>
        </w:numPr>
        <w:rPr>
          <w:lang w:val="fr-FR"/>
        </w:rPr>
      </w:pPr>
      <w:r w:rsidRPr="00A557BB">
        <w:rPr>
          <w:lang w:val="fr-FR"/>
        </w:rPr>
        <w:t xml:space="preserve">de </w:t>
      </w:r>
      <w:r w:rsidR="0091191B" w:rsidRPr="00A557BB">
        <w:rPr>
          <w:lang w:val="fr-FR"/>
        </w:rPr>
        <w:t>retourner</w:t>
      </w:r>
      <w:r w:rsidRPr="00A557BB">
        <w:rPr>
          <w:lang w:val="fr-FR"/>
        </w:rPr>
        <w:t xml:space="preserve"> les soldes de la phase</w:t>
      </w:r>
      <w:r w:rsidR="00614272" w:rsidRPr="00A557BB">
        <w:rPr>
          <w:lang w:val="fr-FR"/>
        </w:rPr>
        <w:t xml:space="preserve"> I du PGEH au plus tard à la 86</w:t>
      </w:r>
      <w:r w:rsidRPr="00A557BB">
        <w:rPr>
          <w:vertAlign w:val="superscript"/>
          <w:lang w:val="fr-FR"/>
        </w:rPr>
        <w:t>e</w:t>
      </w:r>
      <w:r w:rsidRPr="00A557BB">
        <w:rPr>
          <w:lang w:val="fr-FR"/>
        </w:rPr>
        <w:t xml:space="preserve"> réunion</w:t>
      </w:r>
      <w:r w:rsidR="00614272" w:rsidRPr="00A557BB">
        <w:rPr>
          <w:lang w:val="fr-FR"/>
        </w:rPr>
        <w:t xml:space="preserve"> </w:t>
      </w:r>
      <w:r w:rsidRPr="00A557BB">
        <w:rPr>
          <w:lang w:val="fr-FR"/>
        </w:rPr>
        <w:t>;</w:t>
      </w:r>
    </w:p>
    <w:p w14:paraId="2A3C22AD" w14:textId="77777777" w:rsidR="002C17BF" w:rsidRPr="00A557BB" w:rsidRDefault="002C17BF" w:rsidP="002169B2">
      <w:pPr>
        <w:pStyle w:val="Heading3"/>
        <w:numPr>
          <w:ilvl w:val="2"/>
          <w:numId w:val="1"/>
        </w:numPr>
        <w:rPr>
          <w:lang w:val="fr-FR"/>
        </w:rPr>
      </w:pPr>
      <w:r w:rsidRPr="00A557BB">
        <w:rPr>
          <w:lang w:val="fr-FR"/>
        </w:rPr>
        <w:t>de continuer à aider le Gouvernement brésilien à assure</w:t>
      </w:r>
      <w:r w:rsidR="0091191B" w:rsidRPr="00A557BB">
        <w:rPr>
          <w:lang w:val="fr-FR"/>
        </w:rPr>
        <w:t xml:space="preserve">r une offre en technologies de remplacement à faible </w:t>
      </w:r>
      <w:r w:rsidRPr="00A557BB">
        <w:rPr>
          <w:lang w:val="fr-FR"/>
        </w:rPr>
        <w:t>PRP au bénéfice de l'e</w:t>
      </w:r>
      <w:r w:rsidR="0091191B" w:rsidRPr="00A557BB">
        <w:rPr>
          <w:lang w:val="fr-FR"/>
        </w:rPr>
        <w:t>ntreprise de formulation U-Tech</w:t>
      </w:r>
      <w:r w:rsidRPr="00A557BB">
        <w:rPr>
          <w:lang w:val="fr-FR"/>
        </w:rPr>
        <w:t>, étant entendu que les coûts d'exploitation supplémentaires ne seront pas payés avant la technologie sélectionnée à l'origine ou un</w:t>
      </w:r>
      <w:r w:rsidR="0091191B" w:rsidRPr="00A557BB">
        <w:rPr>
          <w:lang w:val="fr-FR"/>
        </w:rPr>
        <w:t>e autre technologie à</w:t>
      </w:r>
      <w:r w:rsidRPr="00A557BB">
        <w:rPr>
          <w:lang w:val="fr-FR"/>
        </w:rPr>
        <w:t xml:space="preserve"> faible PRP n'ait été mise en production</w:t>
      </w:r>
      <w:r w:rsidR="0091191B" w:rsidRPr="00A557BB">
        <w:rPr>
          <w:lang w:val="fr-FR"/>
        </w:rPr>
        <w:t>,</w:t>
      </w:r>
      <w:r w:rsidRPr="00A557BB">
        <w:rPr>
          <w:lang w:val="fr-FR"/>
        </w:rPr>
        <w:t xml:space="preserve"> et de fournir à chaque réunion un rapport sur l’état de leur reconversion jusqu’à ce que la technologie initialement sélectionnée ou une autre technologie à faible PRP ait été mise en production, ainsi qu’une mise à jour provenant des fournisseurs quant aux progrès accomplis pour que les technologies sélectionnées, y compris les composants associés, soient </w:t>
      </w:r>
      <w:r w:rsidR="00E916A0" w:rsidRPr="00A557BB">
        <w:rPr>
          <w:lang w:val="fr-FR"/>
        </w:rPr>
        <w:t xml:space="preserve">disponibles à l’achat </w:t>
      </w:r>
      <w:r w:rsidRPr="00A557BB">
        <w:rPr>
          <w:lang w:val="fr-FR"/>
        </w:rPr>
        <w:t>dans le pays.</w:t>
      </w:r>
    </w:p>
    <w:p w14:paraId="600B1B24" w14:textId="77777777" w:rsidR="002C17BF" w:rsidRPr="00A557BB" w:rsidRDefault="002C17BF" w:rsidP="002C17BF">
      <w:pPr>
        <w:rPr>
          <w:lang w:val="fr-FR"/>
        </w:rPr>
      </w:pPr>
      <w:r w:rsidRPr="00A557BB">
        <w:rPr>
          <w:u w:val="single"/>
          <w:lang w:val="fr-FR"/>
        </w:rPr>
        <w:t>Brésil: Plan de gestion de l'élimination des HCFC (phase II - état d'avancement de la mis</w:t>
      </w:r>
      <w:r w:rsidR="00614272" w:rsidRPr="00A557BB">
        <w:rPr>
          <w:u w:val="single"/>
          <w:lang w:val="fr-FR"/>
        </w:rPr>
        <w:t xml:space="preserve">e en œuvre des projets dans le </w:t>
      </w:r>
      <w:r w:rsidRPr="00A557BB">
        <w:rPr>
          <w:u w:val="single"/>
          <w:lang w:val="fr-FR"/>
        </w:rPr>
        <w:t xml:space="preserve">secteur de la fabrication de climatiseurs de salle et dans l’entreprise Freeart Seral Brasil Metalurgica Ltda. dans le secteur de la fabrication d'équipements de réfrigération commerciale et changement de trois PME concernées par l'assistance technique) </w:t>
      </w:r>
      <w:r w:rsidRPr="00A557BB">
        <w:rPr>
          <w:lang w:val="fr-FR"/>
        </w:rPr>
        <w:t xml:space="preserve"> (ONUDI, PNUD, gouvernements allemand et italien)</w:t>
      </w:r>
    </w:p>
    <w:p w14:paraId="251D1B2E" w14:textId="77777777" w:rsidR="00FF2C7E" w:rsidRPr="00A557BB" w:rsidRDefault="00FF2C7E" w:rsidP="002C17BF">
      <w:pPr>
        <w:rPr>
          <w:lang w:val="fr-FR"/>
        </w:rPr>
      </w:pPr>
    </w:p>
    <w:p w14:paraId="68A88B26" w14:textId="77777777" w:rsidR="00FF2C7E" w:rsidRPr="00A557BB" w:rsidRDefault="00FF2C7E" w:rsidP="002C17BF">
      <w:pPr>
        <w:rPr>
          <w:b/>
          <w:lang w:val="fr-FR"/>
        </w:rPr>
      </w:pPr>
      <w:r w:rsidRPr="00A557BB">
        <w:rPr>
          <w:b/>
          <w:lang w:val="fr-FR"/>
        </w:rPr>
        <w:t>Historique</w:t>
      </w:r>
    </w:p>
    <w:p w14:paraId="24EF3009" w14:textId="77777777" w:rsidR="002C17BF" w:rsidRPr="00A557BB" w:rsidRDefault="002C17BF" w:rsidP="002C17BF">
      <w:pPr>
        <w:rPr>
          <w:lang w:val="fr-FR"/>
        </w:rPr>
      </w:pPr>
    </w:p>
    <w:p w14:paraId="07128D15" w14:textId="7D0EBD26" w:rsidR="002C17BF" w:rsidRPr="00A557BB" w:rsidRDefault="0091191B" w:rsidP="002C17BF">
      <w:pPr>
        <w:pStyle w:val="Heading1"/>
        <w:rPr>
          <w:lang w:val="fr-FR"/>
        </w:rPr>
      </w:pPr>
      <w:r w:rsidRPr="00A557BB">
        <w:rPr>
          <w:lang w:val="fr-FR"/>
        </w:rPr>
        <w:t>À la 82</w:t>
      </w:r>
      <w:r w:rsidR="002C17BF" w:rsidRPr="00A557BB">
        <w:rPr>
          <w:vertAlign w:val="superscript"/>
          <w:lang w:val="fr-FR"/>
        </w:rPr>
        <w:t>e</w:t>
      </w:r>
      <w:r w:rsidR="002C17BF" w:rsidRPr="00A557BB">
        <w:rPr>
          <w:lang w:val="fr-FR"/>
        </w:rPr>
        <w:t xml:space="preserve"> réunion, le Gouvernement brésilien et l’ONUDI ont informé le Comité exécutif que les trois fabricants de climatiseurs n’avaient pas encore débuté leur </w:t>
      </w:r>
      <w:r w:rsidR="002F5396" w:rsidRPr="00A557BB">
        <w:rPr>
          <w:lang w:val="fr-FR"/>
        </w:rPr>
        <w:t>reconversion</w:t>
      </w:r>
      <w:r w:rsidR="002C17BF" w:rsidRPr="00A557BB">
        <w:rPr>
          <w:lang w:val="fr-FR"/>
        </w:rPr>
        <w:t xml:space="preserve"> au R-290 en raison de l’incertitude entourant la réglementation concernant l’utilisation des les frigorigènes inflammables, </w:t>
      </w:r>
      <w:r w:rsidRPr="00A557BB">
        <w:rPr>
          <w:lang w:val="fr-FR"/>
        </w:rPr>
        <w:t xml:space="preserve">de </w:t>
      </w:r>
      <w:r w:rsidR="002C17BF" w:rsidRPr="00A557BB">
        <w:rPr>
          <w:lang w:val="fr-FR"/>
        </w:rPr>
        <w:t xml:space="preserve">leur acceptation sur le marché, </w:t>
      </w:r>
      <w:r w:rsidRPr="00A557BB">
        <w:rPr>
          <w:lang w:val="fr-FR"/>
        </w:rPr>
        <w:t xml:space="preserve">de </w:t>
      </w:r>
      <w:r w:rsidR="002C17BF" w:rsidRPr="00A557BB">
        <w:rPr>
          <w:lang w:val="fr-FR"/>
        </w:rPr>
        <w:t xml:space="preserve">la crainte de la hausse des prix des appareils reconvertis et </w:t>
      </w:r>
      <w:r w:rsidRPr="00A557BB">
        <w:rPr>
          <w:lang w:val="fr-FR"/>
        </w:rPr>
        <w:t xml:space="preserve">de </w:t>
      </w:r>
      <w:r w:rsidR="002C17BF" w:rsidRPr="00A557BB">
        <w:rPr>
          <w:lang w:val="fr-FR"/>
        </w:rPr>
        <w:t>la non-disponibilité potentielle des composants sur le marché. Le Comité a également été informé qu'une entreprise de réfrigération commerciale (Freeart Seral Brasil Metalurgica Ltda.), qui faisait partie de la phase II, n’avait pas encore indiqué si elle participerait au projet. Par conséquent, en approuvant la troisième tranche de la phase II, le Comité exécutif a demandé à l’ONUDI de faire rapport, à la 84</w:t>
      </w:r>
      <w:r w:rsidR="002C17BF" w:rsidRPr="00A557BB">
        <w:rPr>
          <w:vertAlign w:val="superscript"/>
          <w:lang w:val="fr-FR"/>
        </w:rPr>
        <w:t>e</w:t>
      </w:r>
      <w:r w:rsidR="002C17BF" w:rsidRPr="00A557BB">
        <w:rPr>
          <w:lang w:val="fr-FR"/>
        </w:rPr>
        <w:t xml:space="preserve"> réunion, sur l’état d’avancement des projets dans le secteur de la fabrication de systèmes de climatisation </w:t>
      </w:r>
      <w:r w:rsidR="002C17BF" w:rsidRPr="00A557BB">
        <w:rPr>
          <w:lang w:val="fr-FR"/>
        </w:rPr>
        <w:lastRenderedPageBreak/>
        <w:t>de salle et pour ce qui concerne le fabricant de systèmes de réfrigérat</w:t>
      </w:r>
      <w:r w:rsidR="005017D1">
        <w:rPr>
          <w:lang w:val="fr-FR"/>
        </w:rPr>
        <w:t>ion commerciaux (décision 82/62 </w:t>
      </w:r>
      <w:r w:rsidR="002C17BF" w:rsidRPr="00A557BB">
        <w:rPr>
          <w:lang w:val="fr-FR"/>
        </w:rPr>
        <w:t>(c)).</w:t>
      </w:r>
    </w:p>
    <w:p w14:paraId="6DBB20DD" w14:textId="1949D4B4" w:rsidR="002C17BF" w:rsidRPr="00A557BB" w:rsidRDefault="002C17BF" w:rsidP="002C17BF">
      <w:pPr>
        <w:pStyle w:val="Heading1"/>
        <w:numPr>
          <w:ilvl w:val="0"/>
          <w:numId w:val="0"/>
        </w:numPr>
        <w:rPr>
          <w:b/>
          <w:lang w:val="fr-FR"/>
        </w:rPr>
      </w:pPr>
      <w:r w:rsidRPr="00A557BB">
        <w:rPr>
          <w:b/>
          <w:lang w:val="fr-FR"/>
        </w:rPr>
        <w:t xml:space="preserve">Rapport périodique </w:t>
      </w:r>
    </w:p>
    <w:p w14:paraId="3EE8AE01" w14:textId="77777777" w:rsidR="002C17BF" w:rsidRPr="00A557BB" w:rsidRDefault="002C17BF" w:rsidP="002C17BF">
      <w:pPr>
        <w:pStyle w:val="Heading1"/>
        <w:rPr>
          <w:lang w:val="fr-FR"/>
        </w:rPr>
      </w:pPr>
      <w:r w:rsidRPr="00A557BB">
        <w:rPr>
          <w:lang w:val="fr-FR"/>
        </w:rPr>
        <w:t xml:space="preserve">En réponse à la décision 82/62 c), l'ONUDI a communiqué ce qui suit: </w:t>
      </w:r>
    </w:p>
    <w:p w14:paraId="7F682F9B" w14:textId="77777777" w:rsidR="002C17BF" w:rsidRPr="00A557BB" w:rsidRDefault="002C17BF" w:rsidP="002C17BF">
      <w:pPr>
        <w:pStyle w:val="Heading2"/>
        <w:numPr>
          <w:ilvl w:val="1"/>
          <w:numId w:val="1"/>
        </w:numPr>
        <w:rPr>
          <w:lang w:val="fr-FR"/>
        </w:rPr>
      </w:pPr>
      <w:r w:rsidRPr="00A557BB">
        <w:rPr>
          <w:lang w:val="fr-FR"/>
        </w:rPr>
        <w:t>En mars 2019, pour répondre aux préoccupations exprimées par les entreprises de climatisation au sujet de l’introduct</w:t>
      </w:r>
      <w:r w:rsidR="0091191B" w:rsidRPr="00A557BB">
        <w:rPr>
          <w:lang w:val="fr-FR"/>
        </w:rPr>
        <w:t>ion de la technologie R-290, l’</w:t>
      </w:r>
      <w:r w:rsidRPr="00A557BB">
        <w:rPr>
          <w:lang w:val="fr-FR"/>
        </w:rPr>
        <w:t>ONUDI a organisé un atelier à l’intention de plus de 60 représentants du secteur de la climatisation sur l’utilisation de frigorigènes de remplacement dans les équipements de climatisation résidentielle ; un deuxième atelier destiné aux représentants d'entreprises travaillant déjà sur des équipements convertis aura lieu fin 2019. L’ONUDI espère que ces activités contribueront à faciliter les progrès des activités de reconversion industrielle en 2020. En outre, en coordination avec le Ministère de l'environnement, l'ONUDI entreprendra une étude de marché portant notamment sur l'acceptabilité sur le marché</w:t>
      </w:r>
      <w:r w:rsidRPr="00A557BB">
        <w:rPr>
          <w:i/>
          <w:lang w:val="fr-FR"/>
        </w:rPr>
        <w:t xml:space="preserve"> </w:t>
      </w:r>
      <w:r w:rsidRPr="00A557BB">
        <w:rPr>
          <w:lang w:val="fr-FR"/>
        </w:rPr>
        <w:t xml:space="preserve">et pour évaluer la perception des consommateurs, les normes de sécurité existantes, le coût et la disponibilité des composants et les éventuels obstacles. L'étude sera terminée en septembre ; </w:t>
      </w:r>
    </w:p>
    <w:p w14:paraId="5AF745F1" w14:textId="77777777" w:rsidR="002C17BF" w:rsidRPr="00A557BB" w:rsidRDefault="002C17BF" w:rsidP="002C17BF">
      <w:pPr>
        <w:pStyle w:val="Heading2"/>
        <w:numPr>
          <w:ilvl w:val="1"/>
          <w:numId w:val="1"/>
        </w:numPr>
        <w:rPr>
          <w:lang w:val="fr-FR"/>
        </w:rPr>
      </w:pPr>
      <w:r w:rsidRPr="00A557BB">
        <w:rPr>
          <w:lang w:val="fr-FR"/>
        </w:rPr>
        <w:t xml:space="preserve">L'entreprise Freeart Seral Brasil Metalurgica Ltda. a été vendue. Ses activités de fabrication d’équipements de réfrigération commerciaux ont été abandonnées ; par conséquent, la consommation de 17 tm (0,93 t PAO) de HCFC-22 a été éliminée. Depuis qu'elle a eu connaissance de ces informations, l'ONUDI a répertorié les entreprises de réfrigération commerciale qui utilisent du HCFC-22, qui sont </w:t>
      </w:r>
      <w:r w:rsidR="0091191B" w:rsidRPr="00A557BB">
        <w:rPr>
          <w:lang w:val="fr-FR"/>
        </w:rPr>
        <w:t>admissibles</w:t>
      </w:r>
      <w:r w:rsidRPr="00A557BB">
        <w:rPr>
          <w:lang w:val="fr-FR"/>
        </w:rPr>
        <w:t xml:space="preserve"> au financement et qui pourraient être reconverties à l'aide des fonds alloués à l'origine à Freeart Seral Brasil Metalurgica Ltda. Un rapport final sera soumis à la 86</w:t>
      </w:r>
      <w:r w:rsidRPr="00A557BB">
        <w:rPr>
          <w:vertAlign w:val="superscript"/>
          <w:lang w:val="fr-FR"/>
        </w:rPr>
        <w:t>e</w:t>
      </w:r>
      <w:r w:rsidRPr="00A557BB">
        <w:rPr>
          <w:lang w:val="fr-FR"/>
        </w:rPr>
        <w:t xml:space="preserve"> réunion.</w:t>
      </w:r>
    </w:p>
    <w:p w14:paraId="5B431979" w14:textId="77777777" w:rsidR="002C17BF" w:rsidRPr="00A557BB" w:rsidRDefault="002C17BF" w:rsidP="002C17BF">
      <w:pPr>
        <w:keepNext/>
        <w:keepLines/>
        <w:rPr>
          <w:i/>
          <w:lang w:val="fr-FR"/>
        </w:rPr>
      </w:pPr>
      <w:r w:rsidRPr="00A557BB">
        <w:rPr>
          <w:i/>
          <w:lang w:val="fr-FR"/>
        </w:rPr>
        <w:t xml:space="preserve">Demande de flexibilité pour le remplacement d'entreprises dans </w:t>
      </w:r>
      <w:r w:rsidR="002F5396" w:rsidRPr="00A557BB">
        <w:rPr>
          <w:i/>
          <w:lang w:val="fr-FR"/>
        </w:rPr>
        <w:t>le volet</w:t>
      </w:r>
      <w:r w:rsidRPr="00A557BB">
        <w:rPr>
          <w:i/>
          <w:lang w:val="fr-FR"/>
        </w:rPr>
        <w:t xml:space="preserve"> assistance technique de la réfrigération commerciale</w:t>
      </w:r>
    </w:p>
    <w:p w14:paraId="38351884" w14:textId="77777777" w:rsidR="002C17BF" w:rsidRPr="00A557BB" w:rsidRDefault="002C17BF" w:rsidP="002C17BF">
      <w:pPr>
        <w:keepNext/>
        <w:keepLines/>
        <w:rPr>
          <w:lang w:val="fr-FR"/>
        </w:rPr>
      </w:pPr>
    </w:p>
    <w:p w14:paraId="67FA4675" w14:textId="77777777" w:rsidR="002C17BF" w:rsidRPr="00A557BB" w:rsidRDefault="002C17BF" w:rsidP="002C17BF">
      <w:pPr>
        <w:pStyle w:val="Heading1"/>
        <w:rPr>
          <w:lang w:val="fr-FR"/>
        </w:rPr>
      </w:pPr>
      <w:r w:rsidRPr="00A557BB">
        <w:rPr>
          <w:lang w:val="fr-FR"/>
        </w:rPr>
        <w:t xml:space="preserve">L’ONUDI a informé le Secrétariat que trois entreprises incluses dans </w:t>
      </w:r>
      <w:r w:rsidR="002F5396" w:rsidRPr="00A557BB">
        <w:rPr>
          <w:lang w:val="fr-FR"/>
        </w:rPr>
        <w:t>le volet</w:t>
      </w:r>
      <w:r w:rsidRPr="00A557BB">
        <w:rPr>
          <w:lang w:val="fr-FR"/>
        </w:rPr>
        <w:t xml:space="preserve"> assistance technique de la phase II pour les PME du secteur de la réfrigération commerciale ne participeraient pas au projet, et a identifié trois autres entreprises pouvant prétendre à un financement. Les informations sur le niveau estimé de consommation de HCFC-22 par les six entreprises (sur la base des données déclarées en 2013 comme année de référence pour la phase II du PGEH) sont présentées au tableau 4.</w:t>
      </w:r>
    </w:p>
    <w:p w14:paraId="076DF3CA" w14:textId="77777777" w:rsidR="002C17BF" w:rsidRPr="00A557BB" w:rsidRDefault="00EF54D3" w:rsidP="002C17BF">
      <w:pPr>
        <w:rPr>
          <w:b/>
          <w:lang w:val="fr-FR"/>
        </w:rPr>
      </w:pPr>
      <w:r w:rsidRPr="00A557BB">
        <w:rPr>
          <w:b/>
          <w:lang w:val="fr-FR"/>
        </w:rPr>
        <w:t>Tableau 4:</w:t>
      </w:r>
      <w:r w:rsidR="002C17BF" w:rsidRPr="00A557BB">
        <w:rPr>
          <w:b/>
          <w:kern w:val="36"/>
          <w:lang w:val="fr-FR"/>
        </w:rPr>
        <w:t>Consommation estimée de HCFC-22 par entreprise</w:t>
      </w:r>
    </w:p>
    <w:tbl>
      <w:tblPr>
        <w:tblW w:w="9390" w:type="dxa"/>
        <w:tblInd w:w="29" w:type="dxa"/>
        <w:tblLayout w:type="fixed"/>
        <w:tblLook w:val="04A0" w:firstRow="1" w:lastRow="0" w:firstColumn="1" w:lastColumn="0" w:noHBand="0" w:noVBand="1"/>
      </w:tblPr>
      <w:tblGrid>
        <w:gridCol w:w="1676"/>
        <w:gridCol w:w="1542"/>
        <w:gridCol w:w="1543"/>
        <w:gridCol w:w="1543"/>
        <w:gridCol w:w="1543"/>
        <w:gridCol w:w="1543"/>
      </w:tblGrid>
      <w:tr w:rsidR="002C17BF" w:rsidRPr="00A557BB" w14:paraId="369F3D3A" w14:textId="77777777" w:rsidTr="00F27002">
        <w:trPr>
          <w:tblHeader/>
        </w:trPr>
        <w:tc>
          <w:tcPr>
            <w:tcW w:w="4761" w:type="dxa"/>
            <w:gridSpan w:val="3"/>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02E3479" w14:textId="77777777" w:rsidR="002C17BF" w:rsidRPr="00A557BB" w:rsidRDefault="002C17BF" w:rsidP="001C4F37">
            <w:pPr>
              <w:jc w:val="center"/>
              <w:rPr>
                <w:b/>
                <w:color w:val="000000"/>
                <w:sz w:val="21"/>
                <w:szCs w:val="21"/>
                <w:lang w:val="fr-FR" w:eastAsia="en-CA"/>
              </w:rPr>
            </w:pPr>
            <w:r w:rsidRPr="00A557BB">
              <w:rPr>
                <w:b/>
                <w:color w:val="000000"/>
                <w:sz w:val="21"/>
                <w:szCs w:val="21"/>
                <w:lang w:val="fr-FR" w:eastAsia="fr"/>
              </w:rPr>
              <w:t>Retiré</w:t>
            </w:r>
          </w:p>
        </w:tc>
        <w:tc>
          <w:tcPr>
            <w:tcW w:w="4629" w:type="dxa"/>
            <w:gridSpan w:val="3"/>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hideMark/>
          </w:tcPr>
          <w:p w14:paraId="279FC041" w14:textId="77777777" w:rsidR="002C17BF" w:rsidRPr="00A557BB" w:rsidRDefault="002C17BF" w:rsidP="001C4F37">
            <w:pPr>
              <w:jc w:val="center"/>
              <w:rPr>
                <w:b/>
                <w:color w:val="000000"/>
                <w:sz w:val="21"/>
                <w:szCs w:val="21"/>
                <w:lang w:val="fr-FR" w:eastAsia="en-CA"/>
              </w:rPr>
            </w:pPr>
            <w:r w:rsidRPr="00A557BB">
              <w:rPr>
                <w:b/>
                <w:color w:val="000000"/>
                <w:sz w:val="21"/>
                <w:szCs w:val="21"/>
                <w:lang w:val="fr-FR" w:eastAsia="fr"/>
              </w:rPr>
              <w:t>Nouveau</w:t>
            </w:r>
          </w:p>
        </w:tc>
      </w:tr>
      <w:tr w:rsidR="002C17BF" w:rsidRPr="00A557BB" w14:paraId="2F90BAD6" w14:textId="77777777" w:rsidTr="00F27002">
        <w:trPr>
          <w:tblHeader/>
        </w:trPr>
        <w:tc>
          <w:tcPr>
            <w:tcW w:w="167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5FCBC14" w14:textId="77777777" w:rsidR="002C17BF" w:rsidRPr="00A557BB" w:rsidRDefault="002C17BF" w:rsidP="001C4F37">
            <w:pPr>
              <w:jc w:val="left"/>
              <w:rPr>
                <w:b/>
                <w:color w:val="000000"/>
                <w:sz w:val="21"/>
                <w:szCs w:val="21"/>
                <w:lang w:val="fr-FR" w:eastAsia="en-CA"/>
              </w:rPr>
            </w:pPr>
            <w:r w:rsidRPr="00A557BB">
              <w:rPr>
                <w:b/>
                <w:color w:val="000000"/>
                <w:sz w:val="21"/>
                <w:szCs w:val="21"/>
                <w:lang w:val="fr-FR" w:eastAsia="fr"/>
              </w:rPr>
              <w:t>Entreprise</w:t>
            </w:r>
          </w:p>
        </w:tc>
        <w:tc>
          <w:tcPr>
            <w:tcW w:w="1542" w:type="dxa"/>
            <w:tcBorders>
              <w:top w:val="nil"/>
              <w:left w:val="nil"/>
              <w:bottom w:val="single" w:sz="4" w:space="0" w:color="auto"/>
              <w:right w:val="single" w:sz="4" w:space="0" w:color="auto"/>
            </w:tcBorders>
            <w:shd w:val="clear" w:color="auto" w:fill="auto"/>
            <w:noWrap/>
            <w:vAlign w:val="center"/>
            <w:hideMark/>
          </w:tcPr>
          <w:p w14:paraId="1BC81539" w14:textId="77777777" w:rsidR="002C17BF" w:rsidRPr="00A557BB" w:rsidRDefault="002C17BF" w:rsidP="001C4F37">
            <w:pPr>
              <w:jc w:val="center"/>
              <w:rPr>
                <w:b/>
                <w:color w:val="000000"/>
                <w:sz w:val="21"/>
                <w:szCs w:val="21"/>
                <w:lang w:val="fr-FR" w:eastAsia="en-CA"/>
              </w:rPr>
            </w:pPr>
            <w:r w:rsidRPr="00A557BB">
              <w:rPr>
                <w:b/>
                <w:color w:val="000000"/>
                <w:sz w:val="21"/>
                <w:szCs w:val="21"/>
                <w:lang w:val="fr-FR" w:eastAsia="fr"/>
              </w:rPr>
              <w:t>mt</w:t>
            </w:r>
          </w:p>
        </w:tc>
        <w:tc>
          <w:tcPr>
            <w:tcW w:w="1543" w:type="dxa"/>
            <w:tcBorders>
              <w:top w:val="nil"/>
              <w:left w:val="nil"/>
              <w:bottom w:val="single" w:sz="4" w:space="0" w:color="auto"/>
              <w:right w:val="single" w:sz="4" w:space="0" w:color="auto"/>
            </w:tcBorders>
            <w:shd w:val="clear" w:color="auto" w:fill="auto"/>
            <w:noWrap/>
            <w:vAlign w:val="center"/>
            <w:hideMark/>
          </w:tcPr>
          <w:p w14:paraId="65E2E9E5" w14:textId="77777777" w:rsidR="002C17BF" w:rsidRPr="00A557BB" w:rsidRDefault="002C17BF" w:rsidP="001C4F37">
            <w:pPr>
              <w:jc w:val="center"/>
              <w:rPr>
                <w:b/>
                <w:color w:val="000000"/>
                <w:sz w:val="21"/>
                <w:szCs w:val="21"/>
                <w:lang w:val="fr-FR" w:eastAsia="en-CA"/>
              </w:rPr>
            </w:pPr>
            <w:r w:rsidRPr="00A557BB">
              <w:rPr>
                <w:b/>
                <w:color w:val="000000"/>
                <w:sz w:val="21"/>
                <w:szCs w:val="21"/>
                <w:lang w:val="fr-FR" w:eastAsia="fr"/>
              </w:rPr>
              <w:t>Tonnes PAO</w:t>
            </w:r>
          </w:p>
        </w:tc>
        <w:tc>
          <w:tcPr>
            <w:tcW w:w="1543" w:type="dxa"/>
            <w:tcBorders>
              <w:top w:val="nil"/>
              <w:left w:val="nil"/>
              <w:bottom w:val="single" w:sz="4" w:space="0" w:color="auto"/>
              <w:right w:val="single" w:sz="4" w:space="0" w:color="auto"/>
            </w:tcBorders>
            <w:shd w:val="clear" w:color="auto" w:fill="auto"/>
            <w:noWrap/>
            <w:tcMar>
              <w:left w:w="29" w:type="dxa"/>
              <w:right w:w="0" w:type="dxa"/>
            </w:tcMar>
            <w:vAlign w:val="center"/>
            <w:hideMark/>
          </w:tcPr>
          <w:p w14:paraId="4D33ED41" w14:textId="77777777" w:rsidR="002C17BF" w:rsidRPr="00A557BB" w:rsidRDefault="002C17BF" w:rsidP="001C4F37">
            <w:pPr>
              <w:jc w:val="center"/>
              <w:rPr>
                <w:b/>
                <w:color w:val="000000"/>
                <w:sz w:val="21"/>
                <w:szCs w:val="21"/>
                <w:lang w:val="fr-FR" w:eastAsia="en-CA"/>
              </w:rPr>
            </w:pPr>
            <w:r w:rsidRPr="00A557BB">
              <w:rPr>
                <w:b/>
                <w:color w:val="000000"/>
                <w:sz w:val="21"/>
                <w:szCs w:val="21"/>
                <w:lang w:val="fr-FR" w:eastAsia="fr"/>
              </w:rPr>
              <w:t>Entreprise</w:t>
            </w:r>
          </w:p>
        </w:tc>
        <w:tc>
          <w:tcPr>
            <w:tcW w:w="1543" w:type="dxa"/>
            <w:tcBorders>
              <w:top w:val="nil"/>
              <w:left w:val="nil"/>
              <w:bottom w:val="single" w:sz="4" w:space="0" w:color="auto"/>
              <w:right w:val="single" w:sz="4" w:space="0" w:color="auto"/>
            </w:tcBorders>
            <w:shd w:val="clear" w:color="auto" w:fill="auto"/>
            <w:noWrap/>
            <w:vAlign w:val="center"/>
            <w:hideMark/>
          </w:tcPr>
          <w:p w14:paraId="5C21A224" w14:textId="77777777" w:rsidR="002C17BF" w:rsidRPr="00A557BB" w:rsidRDefault="002C17BF" w:rsidP="001C4F37">
            <w:pPr>
              <w:jc w:val="center"/>
              <w:rPr>
                <w:b/>
                <w:color w:val="000000"/>
                <w:sz w:val="21"/>
                <w:szCs w:val="21"/>
                <w:lang w:val="fr-FR" w:eastAsia="en-CA"/>
              </w:rPr>
            </w:pPr>
            <w:r w:rsidRPr="00A557BB">
              <w:rPr>
                <w:b/>
                <w:color w:val="000000"/>
                <w:sz w:val="21"/>
                <w:szCs w:val="21"/>
                <w:lang w:val="fr-FR" w:eastAsia="fr"/>
              </w:rPr>
              <w:t>mt</w:t>
            </w:r>
          </w:p>
        </w:tc>
        <w:tc>
          <w:tcPr>
            <w:tcW w:w="1543" w:type="dxa"/>
            <w:tcBorders>
              <w:top w:val="nil"/>
              <w:left w:val="nil"/>
              <w:bottom w:val="single" w:sz="4" w:space="0" w:color="auto"/>
              <w:right w:val="single" w:sz="4" w:space="0" w:color="auto"/>
            </w:tcBorders>
            <w:shd w:val="clear" w:color="auto" w:fill="auto"/>
            <w:noWrap/>
            <w:vAlign w:val="center"/>
            <w:hideMark/>
          </w:tcPr>
          <w:p w14:paraId="11561C84" w14:textId="77777777" w:rsidR="002C17BF" w:rsidRPr="00A557BB" w:rsidRDefault="002C17BF" w:rsidP="001C4F37">
            <w:pPr>
              <w:jc w:val="center"/>
              <w:rPr>
                <w:b/>
                <w:color w:val="000000"/>
                <w:sz w:val="21"/>
                <w:szCs w:val="21"/>
                <w:lang w:val="fr-FR" w:eastAsia="en-CA"/>
              </w:rPr>
            </w:pPr>
            <w:r w:rsidRPr="00A557BB">
              <w:rPr>
                <w:b/>
                <w:color w:val="000000"/>
                <w:sz w:val="21"/>
                <w:szCs w:val="21"/>
                <w:lang w:val="fr-FR" w:eastAsia="fr"/>
              </w:rPr>
              <w:t>Tonnes PAO</w:t>
            </w:r>
          </w:p>
        </w:tc>
      </w:tr>
      <w:tr w:rsidR="002C17BF" w:rsidRPr="00A557BB" w14:paraId="2A54CE84" w14:textId="77777777" w:rsidTr="00F27002">
        <w:tc>
          <w:tcPr>
            <w:tcW w:w="167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E5C7723" w14:textId="77777777" w:rsidR="002C17BF" w:rsidRPr="00A557BB" w:rsidRDefault="002C17BF" w:rsidP="001C4F37">
            <w:pPr>
              <w:jc w:val="left"/>
              <w:rPr>
                <w:color w:val="000000"/>
                <w:sz w:val="21"/>
                <w:szCs w:val="21"/>
                <w:lang w:val="fr-FR" w:eastAsia="en-CA"/>
              </w:rPr>
            </w:pPr>
            <w:r w:rsidRPr="00A557BB">
              <w:rPr>
                <w:color w:val="000000"/>
                <w:sz w:val="21"/>
                <w:szCs w:val="21"/>
                <w:lang w:val="fr-FR" w:eastAsia="fr"/>
              </w:rPr>
              <w:t xml:space="preserve">CMR Réfrigération </w:t>
            </w:r>
          </w:p>
        </w:tc>
        <w:tc>
          <w:tcPr>
            <w:tcW w:w="1542" w:type="dxa"/>
            <w:tcBorders>
              <w:top w:val="nil"/>
              <w:left w:val="nil"/>
              <w:bottom w:val="single" w:sz="4" w:space="0" w:color="auto"/>
              <w:right w:val="single" w:sz="4" w:space="0" w:color="auto"/>
            </w:tcBorders>
            <w:shd w:val="clear" w:color="auto" w:fill="auto"/>
            <w:noWrap/>
            <w:tcMar>
              <w:right w:w="202" w:type="dxa"/>
            </w:tcMar>
            <w:hideMark/>
          </w:tcPr>
          <w:p w14:paraId="1C5359ED"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0,66</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44AD9544"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0,04</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14:paraId="52442612" w14:textId="77777777" w:rsidR="002C17BF" w:rsidRPr="00A557BB" w:rsidRDefault="002C17BF" w:rsidP="001C4F37">
            <w:pPr>
              <w:jc w:val="left"/>
              <w:rPr>
                <w:color w:val="000000"/>
                <w:sz w:val="21"/>
                <w:szCs w:val="21"/>
                <w:lang w:val="fr-FR" w:eastAsia="en-CA"/>
              </w:rPr>
            </w:pPr>
            <w:r w:rsidRPr="00A557BB">
              <w:rPr>
                <w:color w:val="000000"/>
                <w:sz w:val="21"/>
                <w:szCs w:val="21"/>
                <w:lang w:val="fr-FR" w:eastAsia="fr"/>
              </w:rPr>
              <w:t>Refriac</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1B756E9C"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1,22</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032129FF"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0,07</w:t>
            </w:r>
          </w:p>
        </w:tc>
      </w:tr>
      <w:tr w:rsidR="002C17BF" w:rsidRPr="00A557BB" w14:paraId="2C7409AF" w14:textId="77777777" w:rsidTr="00F27002">
        <w:tc>
          <w:tcPr>
            <w:tcW w:w="167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2835E3F" w14:textId="77777777" w:rsidR="002C17BF" w:rsidRPr="00A557BB" w:rsidRDefault="002C17BF" w:rsidP="001C4F37">
            <w:pPr>
              <w:jc w:val="left"/>
              <w:rPr>
                <w:color w:val="000000"/>
                <w:sz w:val="21"/>
                <w:szCs w:val="21"/>
                <w:lang w:val="fr-FR" w:eastAsia="en-CA"/>
              </w:rPr>
            </w:pPr>
            <w:r w:rsidRPr="00A557BB">
              <w:rPr>
                <w:color w:val="000000"/>
                <w:sz w:val="21"/>
                <w:szCs w:val="21"/>
                <w:lang w:val="fr-FR" w:eastAsia="fr"/>
              </w:rPr>
              <w:t>Fermara</w:t>
            </w:r>
          </w:p>
        </w:tc>
        <w:tc>
          <w:tcPr>
            <w:tcW w:w="1542" w:type="dxa"/>
            <w:tcBorders>
              <w:top w:val="nil"/>
              <w:left w:val="nil"/>
              <w:bottom w:val="single" w:sz="4" w:space="0" w:color="auto"/>
              <w:right w:val="single" w:sz="4" w:space="0" w:color="auto"/>
            </w:tcBorders>
            <w:shd w:val="clear" w:color="auto" w:fill="auto"/>
            <w:noWrap/>
            <w:tcMar>
              <w:right w:w="202" w:type="dxa"/>
            </w:tcMar>
            <w:hideMark/>
          </w:tcPr>
          <w:p w14:paraId="54C35B85"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0,81</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659AE5D7"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0,04</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14:paraId="027051DC" w14:textId="77777777" w:rsidR="002C17BF" w:rsidRPr="00A557BB" w:rsidRDefault="002C17BF" w:rsidP="001C4F37">
            <w:pPr>
              <w:jc w:val="left"/>
              <w:rPr>
                <w:color w:val="000000"/>
                <w:sz w:val="21"/>
                <w:szCs w:val="21"/>
                <w:lang w:val="fr-FR" w:eastAsia="en-CA"/>
              </w:rPr>
            </w:pPr>
            <w:r w:rsidRPr="00A557BB">
              <w:rPr>
                <w:color w:val="000000"/>
                <w:sz w:val="21"/>
                <w:szCs w:val="21"/>
                <w:lang w:val="fr-FR" w:eastAsia="fr"/>
              </w:rPr>
              <w:t>Auden</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2A0115DA"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0,74</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06B01721"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0,04</w:t>
            </w:r>
          </w:p>
        </w:tc>
      </w:tr>
      <w:tr w:rsidR="002C17BF" w:rsidRPr="00A557BB" w14:paraId="26A105B6" w14:textId="77777777" w:rsidTr="00F27002">
        <w:tc>
          <w:tcPr>
            <w:tcW w:w="167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AA436FE" w14:textId="77777777" w:rsidR="002C17BF" w:rsidRPr="00A557BB" w:rsidRDefault="002C17BF" w:rsidP="001C4F37">
            <w:pPr>
              <w:jc w:val="left"/>
              <w:rPr>
                <w:color w:val="000000"/>
                <w:sz w:val="21"/>
                <w:szCs w:val="21"/>
                <w:lang w:val="fr-FR" w:eastAsia="en-CA"/>
              </w:rPr>
            </w:pPr>
            <w:r w:rsidRPr="00A557BB">
              <w:rPr>
                <w:color w:val="000000"/>
                <w:sz w:val="21"/>
                <w:szCs w:val="21"/>
                <w:lang w:val="fr-FR" w:eastAsia="fr"/>
              </w:rPr>
              <w:t>Polifrio</w:t>
            </w:r>
          </w:p>
        </w:tc>
        <w:tc>
          <w:tcPr>
            <w:tcW w:w="1542" w:type="dxa"/>
            <w:tcBorders>
              <w:top w:val="nil"/>
              <w:left w:val="nil"/>
              <w:bottom w:val="single" w:sz="4" w:space="0" w:color="auto"/>
              <w:right w:val="single" w:sz="4" w:space="0" w:color="auto"/>
            </w:tcBorders>
            <w:shd w:val="clear" w:color="auto" w:fill="auto"/>
            <w:noWrap/>
            <w:tcMar>
              <w:right w:w="202" w:type="dxa"/>
            </w:tcMar>
            <w:hideMark/>
          </w:tcPr>
          <w:p w14:paraId="08DEA5DD"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0,59</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608DBEDD"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0,03</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14:paraId="38E00B3D" w14:textId="77777777" w:rsidR="002C17BF" w:rsidRPr="00A557BB" w:rsidRDefault="002C17BF" w:rsidP="001C4F37">
            <w:pPr>
              <w:jc w:val="left"/>
              <w:rPr>
                <w:color w:val="000000"/>
                <w:sz w:val="21"/>
                <w:szCs w:val="21"/>
                <w:lang w:val="fr-FR" w:eastAsia="en-CA"/>
              </w:rPr>
            </w:pPr>
            <w:r w:rsidRPr="00A557BB">
              <w:rPr>
                <w:color w:val="000000"/>
                <w:sz w:val="21"/>
                <w:szCs w:val="21"/>
                <w:lang w:val="fr-FR" w:eastAsia="fr"/>
              </w:rPr>
              <w:t>Ingecold</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061BECAB"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2,20</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785316DD"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0,12</w:t>
            </w:r>
          </w:p>
        </w:tc>
      </w:tr>
      <w:tr w:rsidR="002C17BF" w:rsidRPr="00A557BB" w14:paraId="58E97E31" w14:textId="77777777" w:rsidTr="00F27002">
        <w:tc>
          <w:tcPr>
            <w:tcW w:w="167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A64E07A" w14:textId="77777777" w:rsidR="002C17BF" w:rsidRPr="00A557BB" w:rsidRDefault="002C17BF" w:rsidP="001C4F37">
            <w:pPr>
              <w:jc w:val="left"/>
              <w:rPr>
                <w:color w:val="000000"/>
                <w:sz w:val="21"/>
                <w:szCs w:val="21"/>
                <w:lang w:val="fr-FR" w:eastAsia="en-CA"/>
              </w:rPr>
            </w:pPr>
            <w:r w:rsidRPr="00A557BB">
              <w:rPr>
                <w:color w:val="000000"/>
                <w:sz w:val="21"/>
                <w:szCs w:val="21"/>
                <w:lang w:val="fr-FR" w:eastAsia="fr"/>
              </w:rPr>
              <w:t>Total</w:t>
            </w:r>
          </w:p>
        </w:tc>
        <w:tc>
          <w:tcPr>
            <w:tcW w:w="1542" w:type="dxa"/>
            <w:tcBorders>
              <w:top w:val="nil"/>
              <w:left w:val="nil"/>
              <w:bottom w:val="single" w:sz="4" w:space="0" w:color="auto"/>
              <w:right w:val="single" w:sz="4" w:space="0" w:color="auto"/>
            </w:tcBorders>
            <w:shd w:val="clear" w:color="auto" w:fill="auto"/>
            <w:noWrap/>
            <w:tcMar>
              <w:right w:w="202" w:type="dxa"/>
            </w:tcMar>
            <w:hideMark/>
          </w:tcPr>
          <w:p w14:paraId="5B045520"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2,06</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50429E4A"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0,11</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14:paraId="26BF6BC7" w14:textId="77777777" w:rsidR="002C17BF" w:rsidRPr="00A557BB" w:rsidRDefault="002C17BF" w:rsidP="001C4F37">
            <w:pPr>
              <w:jc w:val="left"/>
              <w:rPr>
                <w:color w:val="000000"/>
                <w:sz w:val="21"/>
                <w:szCs w:val="21"/>
                <w:lang w:val="fr-FR" w:eastAsia="en-CA"/>
              </w:rPr>
            </w:pPr>
            <w:r w:rsidRPr="00A557BB">
              <w:rPr>
                <w:color w:val="000000"/>
                <w:sz w:val="21"/>
                <w:szCs w:val="21"/>
                <w:lang w:val="fr-FR" w:eastAsia="fr"/>
              </w:rPr>
              <w:t>Total</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1896848B"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4,16</w:t>
            </w:r>
          </w:p>
        </w:tc>
        <w:tc>
          <w:tcPr>
            <w:tcW w:w="1543" w:type="dxa"/>
            <w:tcBorders>
              <w:top w:val="nil"/>
              <w:left w:val="nil"/>
              <w:bottom w:val="single" w:sz="4" w:space="0" w:color="auto"/>
              <w:right w:val="single" w:sz="4" w:space="0" w:color="auto"/>
            </w:tcBorders>
            <w:shd w:val="clear" w:color="auto" w:fill="auto"/>
            <w:noWrap/>
            <w:tcMar>
              <w:right w:w="202" w:type="dxa"/>
            </w:tcMar>
            <w:hideMark/>
          </w:tcPr>
          <w:p w14:paraId="61677467" w14:textId="77777777" w:rsidR="002C17BF" w:rsidRPr="00A557BB" w:rsidRDefault="002C17BF" w:rsidP="001C4F37">
            <w:pPr>
              <w:jc w:val="right"/>
              <w:rPr>
                <w:color w:val="000000"/>
                <w:sz w:val="21"/>
                <w:szCs w:val="21"/>
                <w:lang w:val="fr-FR" w:eastAsia="en-CA"/>
              </w:rPr>
            </w:pPr>
            <w:r w:rsidRPr="00A557BB">
              <w:rPr>
                <w:color w:val="000000"/>
                <w:sz w:val="21"/>
                <w:szCs w:val="21"/>
                <w:lang w:val="fr-FR" w:eastAsia="fr"/>
              </w:rPr>
              <w:t>0,23</w:t>
            </w:r>
          </w:p>
        </w:tc>
      </w:tr>
    </w:tbl>
    <w:p w14:paraId="109AF16D" w14:textId="77777777" w:rsidR="002C17BF" w:rsidRPr="00A557BB" w:rsidRDefault="002C17BF" w:rsidP="002C17BF">
      <w:pPr>
        <w:rPr>
          <w:lang w:val="fr-FR"/>
        </w:rPr>
      </w:pPr>
    </w:p>
    <w:p w14:paraId="232C8AFC" w14:textId="77777777" w:rsidR="002C17BF" w:rsidRPr="00A557BB" w:rsidRDefault="002C17BF" w:rsidP="002C17BF">
      <w:pPr>
        <w:pStyle w:val="Heading1"/>
        <w:rPr>
          <w:lang w:val="fr-FR"/>
        </w:rPr>
      </w:pPr>
      <w:r w:rsidRPr="00A557BB">
        <w:rPr>
          <w:lang w:val="fr-FR"/>
        </w:rPr>
        <w:t>Le financement total approuvé pour les trois entreprises s’élève à 198 000 $US et comprend une série d'activités liées au traitement des frigorigènes d'un montant de 50 000 $US, des mesures de sécurité à hauteur de 10 000 $US et des imprévus à hauteur de 6 000 $US pour chacune d'entre elles.</w:t>
      </w:r>
    </w:p>
    <w:p w14:paraId="7EDCBBB6" w14:textId="77777777" w:rsidR="002C17BF" w:rsidRPr="00A557BB" w:rsidRDefault="002C17BF" w:rsidP="002C17BF">
      <w:pPr>
        <w:keepNext/>
        <w:keepLines/>
        <w:rPr>
          <w:b/>
          <w:lang w:val="fr-FR"/>
        </w:rPr>
      </w:pPr>
      <w:r w:rsidRPr="00A557BB">
        <w:rPr>
          <w:b/>
          <w:lang w:val="fr-FR"/>
        </w:rPr>
        <w:lastRenderedPageBreak/>
        <w:t xml:space="preserve">Observations du Secrétariat </w:t>
      </w:r>
    </w:p>
    <w:p w14:paraId="751A30F9" w14:textId="77777777" w:rsidR="002C17BF" w:rsidRPr="00A557BB" w:rsidRDefault="002C17BF" w:rsidP="002C17BF">
      <w:pPr>
        <w:keepNext/>
        <w:keepLines/>
        <w:rPr>
          <w:b/>
          <w:lang w:val="fr-FR"/>
        </w:rPr>
      </w:pPr>
    </w:p>
    <w:p w14:paraId="08D5A40A" w14:textId="77777777" w:rsidR="002C17BF" w:rsidRPr="00A557BB" w:rsidRDefault="002C17BF" w:rsidP="002C17BF">
      <w:pPr>
        <w:pStyle w:val="Heading1"/>
        <w:keepNext/>
        <w:keepLines/>
        <w:numPr>
          <w:ilvl w:val="0"/>
          <w:numId w:val="0"/>
        </w:numPr>
        <w:rPr>
          <w:i/>
          <w:lang w:val="fr-FR"/>
        </w:rPr>
      </w:pPr>
      <w:r w:rsidRPr="00A557BB">
        <w:rPr>
          <w:i/>
          <w:lang w:val="fr-FR"/>
        </w:rPr>
        <w:t>Climatiseurs de salle</w:t>
      </w:r>
    </w:p>
    <w:p w14:paraId="0702D68C" w14:textId="77777777" w:rsidR="002C17BF" w:rsidRPr="00A557BB" w:rsidRDefault="002C17BF" w:rsidP="002C17BF">
      <w:pPr>
        <w:pStyle w:val="Heading1"/>
        <w:keepNext/>
        <w:keepLines/>
        <w:rPr>
          <w:lang w:val="fr-FR"/>
        </w:rPr>
      </w:pPr>
      <w:r w:rsidRPr="00A557BB">
        <w:rPr>
          <w:lang w:val="fr-FR"/>
        </w:rPr>
        <w:t>Le Secrétariat prend note des efforts déployés par le Gouvernement brésilien et l'ONUDI pour aider les entreprises de la salle présentes sur le marché à choisir la technologie à reconvertir, et en particulier de l'étude de marché qui sera achevée en septembre 2020. Une fois le document final disponible, l’ONUDI le communiquera au Secrétariat. Le Secrétariat recommande au Gouvernement et à l'ONUDI de présenter à la 85</w:t>
      </w:r>
      <w:r w:rsidRPr="00A557BB">
        <w:rPr>
          <w:vertAlign w:val="superscript"/>
          <w:lang w:val="fr-FR"/>
        </w:rPr>
        <w:t>e</w:t>
      </w:r>
      <w:r w:rsidRPr="00A557BB">
        <w:rPr>
          <w:lang w:val="fr-FR"/>
        </w:rPr>
        <w:t xml:space="preserve"> réunion un rapport d'étape sur l'état de la sélection des technologies par les entreprises du secteur de la climatisation et qu'aucun financement ne soit décaissé pour des éléments liés à la reconversion tant que le Comité exécutif n'aura pas examiné la réponse des entreprises concernant la technologie sélectionnée. </w:t>
      </w:r>
    </w:p>
    <w:p w14:paraId="12ED7435" w14:textId="77777777" w:rsidR="002C17BF" w:rsidRPr="00A557BB" w:rsidRDefault="002C17BF" w:rsidP="002C17BF">
      <w:pPr>
        <w:pStyle w:val="Heading1"/>
        <w:numPr>
          <w:ilvl w:val="0"/>
          <w:numId w:val="0"/>
        </w:numPr>
        <w:rPr>
          <w:i/>
          <w:lang w:val="fr-FR"/>
        </w:rPr>
      </w:pPr>
      <w:r w:rsidRPr="00A557BB">
        <w:rPr>
          <w:i/>
          <w:lang w:val="fr-FR"/>
        </w:rPr>
        <w:t>Réfrigération commerciale (Freeart Seral Brasil</w:t>
      </w:r>
      <w:r w:rsidRPr="00A557BB">
        <w:rPr>
          <w:lang w:val="fr-FR"/>
        </w:rPr>
        <w:t xml:space="preserve"> </w:t>
      </w:r>
      <w:r w:rsidRPr="00A557BB">
        <w:rPr>
          <w:i/>
          <w:lang w:val="fr-FR"/>
        </w:rPr>
        <w:t>Metalurgica Ltda. et modifications dans les entreprises concernées)</w:t>
      </w:r>
    </w:p>
    <w:p w14:paraId="3A8FC356" w14:textId="687E5D76" w:rsidR="002C17BF" w:rsidRPr="00A557BB" w:rsidRDefault="0091191B" w:rsidP="002C17BF">
      <w:pPr>
        <w:pStyle w:val="Heading1"/>
        <w:rPr>
          <w:lang w:val="fr-FR"/>
        </w:rPr>
      </w:pPr>
      <w:r w:rsidRPr="00A557BB">
        <w:rPr>
          <w:lang w:val="fr-FR"/>
        </w:rPr>
        <w:t>Depuis la 83</w:t>
      </w:r>
      <w:r w:rsidR="002C17BF" w:rsidRPr="00A557BB">
        <w:rPr>
          <w:vertAlign w:val="superscript"/>
          <w:lang w:val="fr-FR"/>
        </w:rPr>
        <w:t>e</w:t>
      </w:r>
      <w:r w:rsidR="002C17BF" w:rsidRPr="00A557BB">
        <w:rPr>
          <w:lang w:val="fr-FR"/>
        </w:rPr>
        <w:t xml:space="preserve"> réunion, l'ONUDI a identifié une entreprise qui serait éligible au fin</w:t>
      </w:r>
      <w:r w:rsidR="00614272" w:rsidRPr="00A557BB">
        <w:rPr>
          <w:lang w:val="fr-FR"/>
        </w:rPr>
        <w:t>ancement précédemment alloué à F</w:t>
      </w:r>
      <w:r w:rsidR="002C17BF" w:rsidRPr="00A557BB">
        <w:rPr>
          <w:lang w:val="fr-FR"/>
        </w:rPr>
        <w:t>reeart Seral Brasil. L’ONUDI a également indiqué qu’elle soumettrait à la 86</w:t>
      </w:r>
      <w:r w:rsidR="002C17BF" w:rsidRPr="00A557BB">
        <w:rPr>
          <w:vertAlign w:val="superscript"/>
          <w:lang w:val="fr-FR"/>
        </w:rPr>
        <w:t>e</w:t>
      </w:r>
      <w:r w:rsidR="00A31CFA">
        <w:rPr>
          <w:lang w:val="fr-FR"/>
        </w:rPr>
        <w:t> </w:t>
      </w:r>
      <w:r w:rsidR="002C17BF" w:rsidRPr="00A557BB">
        <w:rPr>
          <w:lang w:val="fr-FR"/>
        </w:rPr>
        <w:t>réunion une proposition de projet détaillée pour l’entreprise qu’elle aurait identifiée, ainsi que la demande de tranche suivante, pour examen par le Comité exécutif.</w:t>
      </w:r>
    </w:p>
    <w:p w14:paraId="384588EB" w14:textId="77777777" w:rsidR="002C17BF" w:rsidRPr="00A557BB" w:rsidRDefault="002C17BF" w:rsidP="002C17BF">
      <w:pPr>
        <w:pStyle w:val="Heading1"/>
        <w:rPr>
          <w:lang w:val="fr-FR"/>
        </w:rPr>
      </w:pPr>
      <w:r w:rsidRPr="00A557BB">
        <w:rPr>
          <w:lang w:val="fr-FR"/>
        </w:rPr>
        <w:t xml:space="preserve">S'agissant </w:t>
      </w:r>
      <w:r w:rsidR="002F5396" w:rsidRPr="00A557BB">
        <w:rPr>
          <w:lang w:val="fr-FR"/>
        </w:rPr>
        <w:t>du volet assistance technique lié</w:t>
      </w:r>
      <w:r w:rsidRPr="00A557BB">
        <w:rPr>
          <w:lang w:val="fr-FR"/>
        </w:rPr>
        <w:t xml:space="preserve"> aux PME du secteur de la réfrigération commerciale, l'ONUDI a confirmé que toutes les entreprises répertoriées étaient invitées à participer à des ateliers et à des réunions organisés dans le cadre du projet. À ce jour, cinq entreprises (à savoir : JJ Instalações Comerciais, Refrimate, Chopeiras CCITTI, KLIMA Refrigeração Ltda et Kitfrigor) ont entamé la reconversion de leurs chaînes d’assemblage et se trouvent à différents stades de mise en œuvre. À l'exception de Kitfrigor, qui a opté pour le HFO, toutes les entreprises se convertissent au R</w:t>
      </w:r>
      <w:r w:rsidR="00614272" w:rsidRPr="00A557BB">
        <w:rPr>
          <w:lang w:val="fr-FR"/>
        </w:rPr>
        <w:t>-</w:t>
      </w:r>
      <w:r w:rsidRPr="00A557BB">
        <w:rPr>
          <w:lang w:val="fr-FR"/>
        </w:rPr>
        <w:t>290.</w:t>
      </w:r>
    </w:p>
    <w:p w14:paraId="5EA26E92" w14:textId="77777777" w:rsidR="002C17BF" w:rsidRPr="00A557BB" w:rsidRDefault="002C17BF" w:rsidP="002C17BF">
      <w:pPr>
        <w:pStyle w:val="Heading1"/>
        <w:rPr>
          <w:lang w:val="fr-FR"/>
        </w:rPr>
      </w:pPr>
      <w:r w:rsidRPr="00A557BB">
        <w:rPr>
          <w:lang w:val="fr-FR"/>
        </w:rPr>
        <w:t>Dans les deux derniers rapports d'activité, quatre des PME initialement incluses dans l</w:t>
      </w:r>
      <w:r w:rsidR="002F5396" w:rsidRPr="00A557BB">
        <w:rPr>
          <w:lang w:val="fr-FR"/>
        </w:rPr>
        <w:t>e volet</w:t>
      </w:r>
      <w:r w:rsidRPr="00A557BB">
        <w:rPr>
          <w:lang w:val="fr-FR"/>
        </w:rPr>
        <w:t xml:space="preserve"> </w:t>
      </w:r>
      <w:r w:rsidR="002F5396" w:rsidRPr="00A557BB">
        <w:rPr>
          <w:lang w:val="fr-FR"/>
        </w:rPr>
        <w:t>d’</w:t>
      </w:r>
      <w:r w:rsidRPr="00A557BB">
        <w:rPr>
          <w:lang w:val="fr-FR"/>
        </w:rPr>
        <w:t>assistance technique ont été retirées et remplacées par d'autres PME non identifiées au moment de la soumission de la phase II du PGEH. Répondant à une demande d'explications sur ces modifications, l'ONUDI a expliqué que le</w:t>
      </w:r>
      <w:r w:rsidR="0091191B" w:rsidRPr="00A557BB">
        <w:rPr>
          <w:lang w:val="fr-FR"/>
        </w:rPr>
        <w:t>s entreprises utilisant le HCFC-</w:t>
      </w:r>
      <w:r w:rsidRPr="00A557BB">
        <w:rPr>
          <w:lang w:val="fr-FR"/>
        </w:rPr>
        <w:t>22 avai</w:t>
      </w:r>
      <w:r w:rsidR="0091191B" w:rsidRPr="00A557BB">
        <w:rPr>
          <w:lang w:val="fr-FR"/>
        </w:rPr>
        <w:t xml:space="preserve">ent été identifiées lors d'une </w:t>
      </w:r>
      <w:r w:rsidRPr="00A557BB">
        <w:rPr>
          <w:lang w:val="fr-FR"/>
        </w:rPr>
        <w:t>enquête réalisée en 2014, la mise en œuvre du projet n'ayant débuté qu'en 2019. Ces entreprises classées comme PME sont plus vulnérables aux changements économiques et politiques que les grandes entreprises manufacturières. Pour diverses raisons, notamment les crises financières ayant eu un impact majeur sur l’économie du Brésil, certaines PME ont fermé, tandis que d'au</w:t>
      </w:r>
      <w:r w:rsidR="0091191B" w:rsidRPr="00A557BB">
        <w:rPr>
          <w:lang w:val="fr-FR"/>
        </w:rPr>
        <w:t>tres ont prospéré, passant à d’</w:t>
      </w:r>
      <w:r w:rsidRPr="00A557BB">
        <w:rPr>
          <w:lang w:val="fr-FR"/>
        </w:rPr>
        <w:t>autres segments de marché et modifiant leur mode de consommation de HCFC-22. Dans le processus de recherche de substituts possibles pour les entreprises qui avaient fermé ou qui n'étaient plus intéressés par le projet, l'ONUDI a identifié les fabricants de matériel de réfrigération commerciale répondant aux critères d'</w:t>
      </w:r>
      <w:r w:rsidR="0091191B" w:rsidRPr="00A557BB">
        <w:rPr>
          <w:lang w:val="fr-FR"/>
        </w:rPr>
        <w:t>admissibilité</w:t>
      </w:r>
      <w:r w:rsidRPr="00A557BB">
        <w:rPr>
          <w:lang w:val="fr-FR"/>
        </w:rPr>
        <w:t xml:space="preserve"> du Fonds multilatéral (date de fondation, consommation de </w:t>
      </w:r>
      <w:r w:rsidR="0091191B" w:rsidRPr="00A557BB">
        <w:rPr>
          <w:lang w:val="fr-FR"/>
        </w:rPr>
        <w:t xml:space="preserve">HCFC-22 avant 2007, et </w:t>
      </w:r>
      <w:r w:rsidRPr="00A557BB">
        <w:rPr>
          <w:lang w:val="fr-FR"/>
        </w:rPr>
        <w:t>actionnariat national</w:t>
      </w:r>
      <w:r w:rsidR="0091191B" w:rsidRPr="00A557BB">
        <w:rPr>
          <w:lang w:val="fr-FR"/>
        </w:rPr>
        <w:t xml:space="preserve"> à 100%</w:t>
      </w:r>
      <w:r w:rsidRPr="00A557BB">
        <w:rPr>
          <w:lang w:val="fr-FR"/>
        </w:rPr>
        <w:t xml:space="preserve">, </w:t>
      </w:r>
      <w:r w:rsidR="0091191B" w:rsidRPr="00A557BB">
        <w:rPr>
          <w:lang w:val="fr-FR"/>
        </w:rPr>
        <w:t>entre autres</w:t>
      </w:r>
      <w:r w:rsidRPr="00A557BB">
        <w:rPr>
          <w:lang w:val="fr-FR"/>
        </w:rPr>
        <w:t>).</w:t>
      </w:r>
    </w:p>
    <w:p w14:paraId="1878B0A8" w14:textId="77777777" w:rsidR="002C17BF" w:rsidRPr="00A557BB" w:rsidRDefault="002C17BF" w:rsidP="002C17BF">
      <w:pPr>
        <w:pStyle w:val="Heading1"/>
        <w:rPr>
          <w:lang w:val="fr-FR"/>
        </w:rPr>
      </w:pPr>
      <w:r w:rsidRPr="00A557BB">
        <w:rPr>
          <w:lang w:val="fr-FR"/>
        </w:rPr>
        <w:t>Le Secrétariat est bien conscient du fait que les projets concernant les PME exigent une certaine souplesse et se félicite des efforts déployés par le Gouvernement brésilien et l’ONUDI pour rendre compte de ces changements à l’avance pour examen par le Comité exécutif. Le Secrétariat suggère de continuer à signaler à l'avance, dans le cadre des rapports d'avancement sur les tranches, tout changement intervenu dans les entreprises qui reçoivent de l'appui.</w:t>
      </w:r>
    </w:p>
    <w:p w14:paraId="691DD9CC" w14:textId="77777777" w:rsidR="002C17BF" w:rsidRPr="00A557BB" w:rsidRDefault="002C17BF" w:rsidP="00D11B6F">
      <w:pPr>
        <w:pStyle w:val="Heading1"/>
        <w:keepNext/>
        <w:keepLines/>
        <w:numPr>
          <w:ilvl w:val="0"/>
          <w:numId w:val="0"/>
        </w:numPr>
        <w:rPr>
          <w:b/>
          <w:lang w:val="fr-FR"/>
        </w:rPr>
      </w:pPr>
      <w:r w:rsidRPr="00A557BB">
        <w:rPr>
          <w:b/>
          <w:lang w:val="fr-FR"/>
        </w:rPr>
        <w:lastRenderedPageBreak/>
        <w:t>Recommandation du Secrétariat</w:t>
      </w:r>
    </w:p>
    <w:p w14:paraId="39394CDD" w14:textId="77777777" w:rsidR="002C17BF" w:rsidRPr="00A557BB" w:rsidRDefault="002C17BF" w:rsidP="00D11B6F">
      <w:pPr>
        <w:pStyle w:val="Heading1"/>
        <w:keepNext/>
        <w:keepLines/>
        <w:rPr>
          <w:lang w:val="fr-FR"/>
        </w:rPr>
      </w:pPr>
      <w:r w:rsidRPr="00A557BB">
        <w:rPr>
          <w:lang w:val="fr-FR"/>
        </w:rPr>
        <w:t>Le Comité exécutif pourrait souhaiter :</w:t>
      </w:r>
    </w:p>
    <w:p w14:paraId="66468762" w14:textId="77777777" w:rsidR="002C17BF" w:rsidRPr="00A557BB" w:rsidRDefault="002C17BF" w:rsidP="00D11B6F">
      <w:pPr>
        <w:pStyle w:val="Heading2"/>
        <w:keepNext/>
        <w:keepLines/>
        <w:numPr>
          <w:ilvl w:val="1"/>
          <w:numId w:val="1"/>
        </w:numPr>
        <w:rPr>
          <w:lang w:val="fr-FR"/>
        </w:rPr>
      </w:pPr>
      <w:r w:rsidRPr="00A557BB">
        <w:rPr>
          <w:lang w:val="fr-FR"/>
        </w:rPr>
        <w:t>prendre note :</w:t>
      </w:r>
    </w:p>
    <w:p w14:paraId="3AC4B748" w14:textId="77777777" w:rsidR="002C17BF" w:rsidRPr="00A557BB" w:rsidRDefault="002C17BF" w:rsidP="00D11B6F">
      <w:pPr>
        <w:pStyle w:val="Heading3"/>
        <w:keepNext/>
        <w:keepLines/>
        <w:numPr>
          <w:ilvl w:val="2"/>
          <w:numId w:val="1"/>
        </w:numPr>
        <w:rPr>
          <w:lang w:val="fr-FR"/>
        </w:rPr>
      </w:pPr>
      <w:r w:rsidRPr="00A557BB">
        <w:rPr>
          <w:lang w:val="fr-FR"/>
        </w:rPr>
        <w:t>du rapport présenté par l’ONUDI, sur l’état d’avancement des projets dans le s</w:t>
      </w:r>
      <w:r w:rsidR="0091191B" w:rsidRPr="00A557BB">
        <w:rPr>
          <w:lang w:val="fr-FR"/>
        </w:rPr>
        <w:t xml:space="preserve">ecteur de la fabrication de la </w:t>
      </w:r>
      <w:r w:rsidRPr="00A557BB">
        <w:rPr>
          <w:lang w:val="fr-FR"/>
        </w:rPr>
        <w:t xml:space="preserve">climatisation de salle et dans le cadre de l’entreprise Freeart Seral Brasil Metalurgica Ltda. dans le secteur de la fabrication d'équipements de réfrigération commerciale (décision 82/62 c)), </w:t>
      </w:r>
      <w:r w:rsidR="0091191B" w:rsidRPr="00A557BB">
        <w:rPr>
          <w:lang w:val="fr-FR"/>
        </w:rPr>
        <w:t>contenu dans le document paru sous la cote UNEP/OzL.Pro/ExCom/84/22</w:t>
      </w:r>
      <w:r w:rsidRPr="00A557BB">
        <w:rPr>
          <w:lang w:val="fr-FR"/>
        </w:rPr>
        <w:t xml:space="preserve"> ;</w:t>
      </w:r>
    </w:p>
    <w:p w14:paraId="27B82897" w14:textId="77777777" w:rsidR="002C17BF" w:rsidRPr="00A557BB" w:rsidRDefault="002C17BF" w:rsidP="002C17BF">
      <w:pPr>
        <w:pStyle w:val="Heading3"/>
        <w:numPr>
          <w:ilvl w:val="2"/>
          <w:numId w:val="1"/>
        </w:numPr>
        <w:rPr>
          <w:lang w:val="fr-FR"/>
        </w:rPr>
      </w:pPr>
      <w:r w:rsidRPr="00A557BB">
        <w:rPr>
          <w:lang w:val="fr-FR"/>
        </w:rPr>
        <w:t>que l'entreprise Freeart Seral Brasil ne fabrique plus d'équipement de réfrigération commerciale et s'est retir</w:t>
      </w:r>
      <w:r w:rsidR="0091191B" w:rsidRPr="00A557BB">
        <w:rPr>
          <w:lang w:val="fr-FR"/>
        </w:rPr>
        <w:t xml:space="preserve">ée de la phase II du </w:t>
      </w:r>
      <w:r w:rsidRPr="00A557BB">
        <w:rPr>
          <w:lang w:val="fr-FR"/>
        </w:rPr>
        <w:t>plan de gestion de l'élimination des HCFC (PGEH) ; que sa consommation correspondante de 17,00 tonnes métriques (tm) (0,93 tonne PAO) de HCFC</w:t>
      </w:r>
      <w:r w:rsidR="00614272" w:rsidRPr="00A557BB">
        <w:rPr>
          <w:lang w:val="fr-FR"/>
        </w:rPr>
        <w:t>-</w:t>
      </w:r>
      <w:r w:rsidRPr="00A557BB">
        <w:rPr>
          <w:lang w:val="fr-FR"/>
        </w:rPr>
        <w:t>22 a été éliminée sans l'assistance du Fonds multilatéral ; et que les fonds associés à l’entreprise seraient restitués au Fonds</w:t>
      </w:r>
      <w:r w:rsidR="0091191B" w:rsidRPr="00A557BB">
        <w:rPr>
          <w:lang w:val="fr-FR"/>
        </w:rPr>
        <w:t xml:space="preserve"> multilatéral</w:t>
      </w:r>
      <w:r w:rsidRPr="00A557BB">
        <w:rPr>
          <w:lang w:val="fr-FR"/>
        </w:rPr>
        <w:t>, à moins que l’ONUDI n’identifie d’autres entreprises admissibles à un financement qui n’avaient pas été appuyées au cours des phases I ou II du PGEH, auxquelles ces fonds pourraient être réaffectés</w:t>
      </w:r>
      <w:r w:rsidR="0091191B" w:rsidRPr="00A557BB">
        <w:rPr>
          <w:lang w:val="fr-FR"/>
        </w:rPr>
        <w:t xml:space="preserve"> </w:t>
      </w:r>
      <w:r w:rsidRPr="00A557BB">
        <w:rPr>
          <w:lang w:val="fr-FR"/>
        </w:rPr>
        <w:t>; et que toute réaffectation de fonds serait rapportée au Comité exécutif pour examen à la 86</w:t>
      </w:r>
      <w:r w:rsidRPr="00A557BB">
        <w:rPr>
          <w:vertAlign w:val="superscript"/>
          <w:lang w:val="fr-FR"/>
        </w:rPr>
        <w:t>e</w:t>
      </w:r>
      <w:r w:rsidRPr="00A557BB">
        <w:rPr>
          <w:lang w:val="fr-FR"/>
        </w:rPr>
        <w:t xml:space="preserve"> réunion ; </w:t>
      </w:r>
    </w:p>
    <w:p w14:paraId="5EF9DDC1" w14:textId="77777777" w:rsidR="002C17BF" w:rsidRPr="00A557BB" w:rsidRDefault="002C17BF" w:rsidP="002C17BF">
      <w:pPr>
        <w:pStyle w:val="Heading3"/>
        <w:numPr>
          <w:ilvl w:val="2"/>
          <w:numId w:val="1"/>
        </w:numPr>
        <w:rPr>
          <w:lang w:val="fr-FR"/>
        </w:rPr>
      </w:pPr>
      <w:r w:rsidRPr="00A557BB">
        <w:rPr>
          <w:lang w:val="fr-FR"/>
        </w:rPr>
        <w:t>que les entreprises CMR Refrigeration, Fermara et Polifrio, consommant 2</w:t>
      </w:r>
      <w:r w:rsidR="0091191B" w:rsidRPr="00A557BB">
        <w:rPr>
          <w:lang w:val="fr-FR"/>
        </w:rPr>
        <w:t>,06 mt (0,11 tonne PAO) de HCFC</w:t>
      </w:r>
      <w:r w:rsidR="00614272" w:rsidRPr="00A557BB">
        <w:rPr>
          <w:lang w:val="fr-FR"/>
        </w:rPr>
        <w:t>-</w:t>
      </w:r>
      <w:r w:rsidRPr="00A557BB">
        <w:rPr>
          <w:lang w:val="fr-FR"/>
        </w:rPr>
        <w:t>22, se sont retirées de la phase II du PGEH, et que les entreprises Refriac, Auden et Ingecold, montrant une consommation totale de 4,16 mt (0,23 tonne PAO) de HCFC</w:t>
      </w:r>
      <w:r w:rsidR="00614272" w:rsidRPr="00A557BB">
        <w:rPr>
          <w:lang w:val="fr-FR"/>
        </w:rPr>
        <w:t>-</w:t>
      </w:r>
      <w:r w:rsidRPr="00A557BB">
        <w:rPr>
          <w:lang w:val="fr-FR"/>
        </w:rPr>
        <w:t>22, ont été incluses dans la phase II, sans frais supplémentaires pour le Fonds multilatéral :</w:t>
      </w:r>
    </w:p>
    <w:p w14:paraId="32BD1818" w14:textId="77777777" w:rsidR="002C17BF" w:rsidRPr="00A557BB" w:rsidRDefault="002C17BF" w:rsidP="002C17BF">
      <w:pPr>
        <w:pStyle w:val="Heading2"/>
        <w:numPr>
          <w:ilvl w:val="1"/>
          <w:numId w:val="1"/>
        </w:numPr>
        <w:rPr>
          <w:lang w:val="fr-FR"/>
        </w:rPr>
      </w:pPr>
      <w:r w:rsidRPr="00A557BB">
        <w:rPr>
          <w:lang w:val="fr-FR"/>
        </w:rPr>
        <w:t>approuver la réaffectation de 198 000 $US des entreprises CMR Refrigeration, Fermara et Polifrio aux entreprises Refriac, Auden et Inge</w:t>
      </w:r>
      <w:r w:rsidR="0091191B" w:rsidRPr="00A557BB">
        <w:rPr>
          <w:lang w:val="fr-FR"/>
        </w:rPr>
        <w:t xml:space="preserve">cold, comme indiqué à l’alinéa </w:t>
      </w:r>
      <w:r w:rsidRPr="00A557BB">
        <w:rPr>
          <w:lang w:val="fr-FR"/>
        </w:rPr>
        <w:t>a) iii) ci-dessus ;</w:t>
      </w:r>
    </w:p>
    <w:p w14:paraId="1B52288A" w14:textId="77777777" w:rsidR="002C17BF" w:rsidRPr="00A557BB" w:rsidRDefault="002C17BF" w:rsidP="002C17BF">
      <w:pPr>
        <w:pStyle w:val="Heading2"/>
        <w:numPr>
          <w:ilvl w:val="1"/>
          <w:numId w:val="1"/>
        </w:numPr>
        <w:rPr>
          <w:lang w:val="fr-FR"/>
        </w:rPr>
      </w:pPr>
      <w:r w:rsidRPr="00A557BB">
        <w:rPr>
          <w:lang w:val="fr-FR"/>
        </w:rPr>
        <w:t xml:space="preserve">demander à </w:t>
      </w:r>
      <w:r w:rsidR="0091191B" w:rsidRPr="00A557BB">
        <w:rPr>
          <w:lang w:val="fr-FR"/>
        </w:rPr>
        <w:t>l'ONUDI de faire rapport, à la 85</w:t>
      </w:r>
      <w:r w:rsidRPr="00A557BB">
        <w:rPr>
          <w:vertAlign w:val="superscript"/>
          <w:lang w:val="fr-FR"/>
        </w:rPr>
        <w:t>e</w:t>
      </w:r>
      <w:r w:rsidRPr="00A557BB">
        <w:rPr>
          <w:lang w:val="fr-FR"/>
        </w:rPr>
        <w:t xml:space="preserve"> réunion</w:t>
      </w:r>
      <w:r w:rsidR="0091191B" w:rsidRPr="00A557BB">
        <w:rPr>
          <w:lang w:val="fr-FR"/>
        </w:rPr>
        <w:t>,</w:t>
      </w:r>
      <w:r w:rsidRPr="00A557BB">
        <w:rPr>
          <w:lang w:val="fr-FR"/>
        </w:rPr>
        <w:t xml:space="preserve"> sur l'état d'avancement des projets dans le secteur de la fabrication de la climatisation de salle </w:t>
      </w:r>
    </w:p>
    <w:bookmarkEnd w:id="1"/>
    <w:p w14:paraId="39E9E51D" w14:textId="77777777" w:rsidR="00D25FB3" w:rsidRPr="00A557BB" w:rsidRDefault="00D25FB3" w:rsidP="00F43CE2">
      <w:pPr>
        <w:keepNext/>
        <w:spacing w:after="240"/>
        <w:rPr>
          <w:u w:val="single"/>
          <w:lang w:val="fr-FR"/>
        </w:rPr>
      </w:pPr>
      <w:r w:rsidRPr="00A557BB">
        <w:rPr>
          <w:u w:val="single"/>
          <w:lang w:val="fr-FR"/>
        </w:rPr>
        <w:lastRenderedPageBreak/>
        <w:t>Guinée équatoriale : Plan de gestion de l'élimination des HCFC (phase I - Rapport d'avancement sur les tendances de consommation de HCFC et les progrès accomplis dans la mise en place d'un système opérationnel d'octroi de permis et de quotas, ainsi que dans le respect des recommandations du rapport de vérification et assistance fournie par le comité d'aide à la conformité du PNUE)</w:t>
      </w:r>
      <w:r w:rsidRPr="00A557BB">
        <w:rPr>
          <w:lang w:val="fr-FR"/>
        </w:rPr>
        <w:t xml:space="preserve"> (PNUE)</w:t>
      </w:r>
    </w:p>
    <w:p w14:paraId="5D075F1A" w14:textId="77777777" w:rsidR="00D25FB3" w:rsidRPr="00A557BB" w:rsidRDefault="00D25FB3" w:rsidP="00F43CE2">
      <w:pPr>
        <w:keepNext/>
        <w:spacing w:after="240"/>
        <w:rPr>
          <w:b/>
          <w:lang w:val="fr-FR"/>
        </w:rPr>
      </w:pPr>
      <w:r w:rsidRPr="00A557BB">
        <w:rPr>
          <w:b/>
          <w:lang w:val="fr-FR"/>
        </w:rPr>
        <w:t>Historique</w:t>
      </w:r>
    </w:p>
    <w:p w14:paraId="7ED852EA" w14:textId="2A4A263F" w:rsidR="00D25FB3" w:rsidRPr="00A557BB" w:rsidRDefault="00D25FB3" w:rsidP="00F43CE2">
      <w:pPr>
        <w:keepNext/>
        <w:numPr>
          <w:ilvl w:val="0"/>
          <w:numId w:val="1"/>
        </w:numPr>
        <w:tabs>
          <w:tab w:val="clear" w:pos="0"/>
          <w:tab w:val="num" w:pos="710"/>
        </w:tabs>
        <w:spacing w:after="240"/>
        <w:outlineLvl w:val="0"/>
        <w:rPr>
          <w:color w:val="000000" w:themeColor="text1"/>
          <w:lang w:val="fr-FR"/>
        </w:rPr>
      </w:pPr>
      <w:r w:rsidRPr="00A557BB">
        <w:rPr>
          <w:lang w:val="fr-FR"/>
        </w:rPr>
        <w:t xml:space="preserve">À sa 82 </w:t>
      </w:r>
      <w:r w:rsidRPr="00A557BB">
        <w:rPr>
          <w:vertAlign w:val="superscript"/>
          <w:lang w:val="fr-FR"/>
        </w:rPr>
        <w:t>e</w:t>
      </w:r>
      <w:r w:rsidRPr="00A557BB">
        <w:rPr>
          <w:lang w:val="fr-FR"/>
        </w:rPr>
        <w:t xml:space="preserve"> réunion, le Comité exécutif a notamment approuvé</w:t>
      </w:r>
      <w:r w:rsidRPr="00A557BB">
        <w:rPr>
          <w:i/>
          <w:lang w:val="fr-FR"/>
        </w:rPr>
        <w:t xml:space="preserve"> </w:t>
      </w:r>
      <w:r w:rsidRPr="00A557BB">
        <w:rPr>
          <w:lang w:val="fr-FR"/>
        </w:rPr>
        <w:t>les troisième et quatrième tranches combinées de la phase I du PGEH pour la Guinée équatoriale, étant entendu que le Gouvernement présenterait à la deuxième réunion ayant lieu 2019 un rapport d'avancement portant sur les tendances constatées dans la consommation de HCFC et sur les progrès accomplis dans la mise en place d'un système opérationnel d'octroi de permis et de quotas et sur le traitement des recommandations du rapport de vérification, notamment la nécessité d'améliorer la capacité de l'UNO en matière de communication et de surveillance des données relatives aux HCFC. Le Comité a également noté que le PNUE fournirait une assistance pour appuyer la mise en œuvre de la phase I du PGEH par l’intermédiaire de son programme d’aide à la conformité (CAP) et présenterait un rapport sur l’assistance fourni</w:t>
      </w:r>
      <w:r w:rsidR="00A31CFA">
        <w:rPr>
          <w:lang w:val="fr-FR"/>
        </w:rPr>
        <w:t>e (décision 82/73 b)(ii) et c)</w:t>
      </w:r>
      <w:r w:rsidRPr="00A557BB">
        <w:rPr>
          <w:lang w:val="fr-FR"/>
        </w:rPr>
        <w:t>(ii)).</w:t>
      </w:r>
    </w:p>
    <w:p w14:paraId="4BF1DF7B" w14:textId="77777777" w:rsidR="00D25FB3" w:rsidRPr="00A557BB" w:rsidRDefault="00D25FB3" w:rsidP="00D25FB3">
      <w:pPr>
        <w:pStyle w:val="Heading1"/>
        <w:rPr>
          <w:lang w:val="fr-FR"/>
        </w:rPr>
      </w:pPr>
      <w:r w:rsidRPr="00A557BB">
        <w:rPr>
          <w:lang w:val="fr-FR"/>
        </w:rPr>
        <w:t>Conformément à la décision mentionnée, le gouvernement de la Guinée équatoriale, par l’intermédiaire du PNUE, a signalé que sa consommation de HCFC était de 21,86 tm (1,20 tonne PAO) en 2018, ce qui est inférieur à la consommation maximale autorisée de 123,75 tm (2,25 tonnes PAO) pour cette année comme le stipule l'Accord. Les quotas annuels pour 2019 et 2020 ont également été révisés pour les rendre conformes à la consommation maximale autorisée pour 2019 (2,25 tonnes PAO) et 2020 (1,63 tonne PAO).</w:t>
      </w:r>
    </w:p>
    <w:p w14:paraId="191750EC" w14:textId="77777777" w:rsidR="00D25FB3" w:rsidRPr="00A557BB" w:rsidRDefault="00D25FB3" w:rsidP="00D25FB3">
      <w:pPr>
        <w:pStyle w:val="Heading1"/>
        <w:rPr>
          <w:lang w:val="fr-FR"/>
        </w:rPr>
      </w:pPr>
      <w:r w:rsidRPr="00A557BB">
        <w:rPr>
          <w:lang w:val="fr-FR"/>
        </w:rPr>
        <w:t>Les mesures prises pour donner suite aux recommandations du rapport de vérification sont les suivantes:</w:t>
      </w:r>
    </w:p>
    <w:p w14:paraId="2E881C0B" w14:textId="77777777" w:rsidR="00D25FB3" w:rsidRPr="00A557BB" w:rsidRDefault="00D25FB3" w:rsidP="00D25FB3">
      <w:pPr>
        <w:pStyle w:val="Heading2"/>
        <w:numPr>
          <w:ilvl w:val="1"/>
          <w:numId w:val="1"/>
        </w:numPr>
        <w:rPr>
          <w:lang w:val="fr-FR"/>
        </w:rPr>
      </w:pPr>
      <w:r w:rsidRPr="00A557BB">
        <w:rPr>
          <w:lang w:val="fr-FR"/>
        </w:rPr>
        <w:t xml:space="preserve">Formation de 22 agents des douanes au contrôle et à l'identification des SAO et de leurs équipements ; formation de deux formateurs sur la collecte, l'analyse et la communication de données, ainsi que sur les codes du SH; </w:t>
      </w:r>
    </w:p>
    <w:p w14:paraId="36A88F37" w14:textId="77777777" w:rsidR="00D25FB3" w:rsidRPr="00A557BB" w:rsidRDefault="00D25FB3" w:rsidP="00D25FB3">
      <w:pPr>
        <w:pStyle w:val="Heading2"/>
        <w:numPr>
          <w:ilvl w:val="1"/>
          <w:numId w:val="1"/>
        </w:numPr>
        <w:rPr>
          <w:lang w:val="fr-FR"/>
        </w:rPr>
      </w:pPr>
      <w:r w:rsidRPr="00A557BB">
        <w:rPr>
          <w:lang w:val="fr-FR"/>
        </w:rPr>
        <w:t>Fourniture d'identifiants de frigorigène</w:t>
      </w:r>
      <w:r w:rsidR="0091191B" w:rsidRPr="00A557BB">
        <w:rPr>
          <w:lang w:val="fr-FR"/>
        </w:rPr>
        <w:t>s</w:t>
      </w:r>
      <w:r w:rsidRPr="00A557BB">
        <w:rPr>
          <w:lang w:val="fr-FR"/>
        </w:rPr>
        <w:t xml:space="preserve"> aux agents des douanes situés dans chacun des quatre principaux ports ou aéroports d'entrée du pays;</w:t>
      </w:r>
    </w:p>
    <w:p w14:paraId="7B8AF3D0" w14:textId="77777777" w:rsidR="00D25FB3" w:rsidRPr="00A557BB" w:rsidRDefault="00D25FB3" w:rsidP="00D25FB3">
      <w:pPr>
        <w:pStyle w:val="Heading2"/>
        <w:numPr>
          <w:ilvl w:val="1"/>
          <w:numId w:val="1"/>
        </w:numPr>
        <w:rPr>
          <w:lang w:val="fr-FR"/>
        </w:rPr>
      </w:pPr>
      <w:r w:rsidRPr="00A557BB">
        <w:rPr>
          <w:lang w:val="fr-FR"/>
        </w:rPr>
        <w:t>Début de l'informatisation du système d'octroi de permis d'import-export, le système devant être opérationnel d'ici fin 2019 ;</w:t>
      </w:r>
    </w:p>
    <w:p w14:paraId="1CB873AB" w14:textId="77777777" w:rsidR="00D25FB3" w:rsidRPr="00A557BB" w:rsidRDefault="00D25FB3" w:rsidP="00D25FB3">
      <w:pPr>
        <w:pStyle w:val="Heading2"/>
        <w:numPr>
          <w:ilvl w:val="1"/>
          <w:numId w:val="1"/>
        </w:numPr>
        <w:rPr>
          <w:lang w:val="fr-FR"/>
        </w:rPr>
      </w:pPr>
      <w:r w:rsidRPr="00A557BB">
        <w:rPr>
          <w:lang w:val="fr-FR"/>
        </w:rPr>
        <w:t>Poursuite de l'application stricte du règlement sous-régional pour la Commission de la Communauté économique et monétaire de l'Afrique centrale (CEMAC), qui harmonise la gestion des substances contrôlées dans la sous-région ;</w:t>
      </w:r>
    </w:p>
    <w:p w14:paraId="6B3A1965" w14:textId="77777777" w:rsidR="00D25FB3" w:rsidRPr="00A557BB" w:rsidRDefault="00D25FB3" w:rsidP="00D25FB3">
      <w:pPr>
        <w:pStyle w:val="Heading2"/>
        <w:numPr>
          <w:ilvl w:val="1"/>
          <w:numId w:val="1"/>
        </w:numPr>
        <w:rPr>
          <w:lang w:val="fr-FR"/>
        </w:rPr>
      </w:pPr>
      <w:r w:rsidRPr="00A557BB">
        <w:rPr>
          <w:lang w:val="fr-FR"/>
        </w:rPr>
        <w:t>Réunion de haut niveau avec le Ministre de l'environnement, les directions générales des douanes et du commerce, ainsi que le PNUE, afin de renforcer la coordination entre ces deux institutions afin de veiller à l'application du système d'octroi de permis concernant les SAO ;</w:t>
      </w:r>
    </w:p>
    <w:p w14:paraId="2EED3353" w14:textId="77777777" w:rsidR="00D25FB3" w:rsidRPr="00A557BB" w:rsidRDefault="00D25FB3" w:rsidP="00D25FB3">
      <w:pPr>
        <w:pStyle w:val="Heading2"/>
        <w:numPr>
          <w:ilvl w:val="1"/>
          <w:numId w:val="1"/>
        </w:numPr>
        <w:rPr>
          <w:lang w:val="fr-FR"/>
        </w:rPr>
      </w:pPr>
      <w:r w:rsidRPr="00A557BB">
        <w:rPr>
          <w:lang w:val="fr-FR"/>
        </w:rPr>
        <w:t xml:space="preserve">Activités de sensibilisation menées à </w:t>
      </w:r>
      <w:r w:rsidR="0091191B" w:rsidRPr="00A557BB">
        <w:rPr>
          <w:lang w:val="fr-FR"/>
        </w:rPr>
        <w:t>terme</w:t>
      </w:r>
      <w:r w:rsidRPr="00A557BB">
        <w:rPr>
          <w:lang w:val="fr-FR"/>
        </w:rPr>
        <w:t xml:space="preserve">, </w:t>
      </w:r>
      <w:r w:rsidR="0091191B" w:rsidRPr="00A557BB">
        <w:rPr>
          <w:lang w:val="fr-FR"/>
        </w:rPr>
        <w:t>pour mettre</w:t>
      </w:r>
      <w:r w:rsidRPr="00A557BB">
        <w:rPr>
          <w:lang w:val="fr-FR"/>
        </w:rPr>
        <w:t xml:space="preserve"> en évidence des informations sur le commerce illégal de SAO et sur la manière de le réprimer, y compris des sessions destinées spécifiquement aux importateurs afin d'encourager le respect des dispositions du système de quotas et l'utilisation de technologies de remplacement respectueuses de l'environnement, et pour les parlementaires afin de promouvoir l'utilisation des incitations au recours à des technologies de remplacement.</w:t>
      </w:r>
    </w:p>
    <w:p w14:paraId="5CD6C5E7" w14:textId="77777777" w:rsidR="00D25FB3" w:rsidRPr="00A557BB" w:rsidRDefault="00D25FB3" w:rsidP="00D25FB3">
      <w:pPr>
        <w:pStyle w:val="Heading1"/>
        <w:rPr>
          <w:lang w:val="fr-FR"/>
        </w:rPr>
      </w:pPr>
      <w:r w:rsidRPr="00A557BB">
        <w:rPr>
          <w:lang w:val="fr-FR"/>
        </w:rPr>
        <w:lastRenderedPageBreak/>
        <w:t>L’assistance fournie par le CAP du PNUE au cours de cette période a notamment pris la forme de</w:t>
      </w:r>
    </w:p>
    <w:p w14:paraId="36730516" w14:textId="77777777" w:rsidR="00D25FB3" w:rsidRPr="00A557BB" w:rsidRDefault="00D25FB3" w:rsidP="00B45D48">
      <w:pPr>
        <w:pStyle w:val="Heading2"/>
        <w:keepNext/>
        <w:widowControl/>
        <w:numPr>
          <w:ilvl w:val="1"/>
          <w:numId w:val="1"/>
        </w:numPr>
        <w:rPr>
          <w:lang w:val="fr-FR"/>
        </w:rPr>
      </w:pPr>
      <w:r w:rsidRPr="00A557BB">
        <w:rPr>
          <w:lang w:val="fr-FR"/>
        </w:rPr>
        <w:t xml:space="preserve">réunions de haut niveau avec le Ministre de l'environnement, les directions générales des douanes et du commerce, afin de rechercher leur appui pour assurer l'application effective des systèmes d'octroi de permis d'import-export et de quotas afin de soutenir la mise en œuvre du PGEH, et d'encourager l'application de l'arrêté ministériel numéro 3/2017, fixant les quotas d'importation jusqu'en 2020 ; </w:t>
      </w:r>
    </w:p>
    <w:p w14:paraId="7596F27C" w14:textId="77777777" w:rsidR="00D25FB3" w:rsidRPr="00A557BB" w:rsidRDefault="00D25FB3" w:rsidP="00D73ABE">
      <w:pPr>
        <w:pStyle w:val="Heading2"/>
        <w:keepNext/>
        <w:widowControl/>
        <w:numPr>
          <w:ilvl w:val="1"/>
          <w:numId w:val="1"/>
        </w:numPr>
        <w:rPr>
          <w:lang w:val="fr-FR"/>
        </w:rPr>
      </w:pPr>
      <w:r w:rsidRPr="00A557BB">
        <w:rPr>
          <w:lang w:val="fr-FR"/>
        </w:rPr>
        <w:t>appui à l'UNO pour trouver une personne-ressource chargée de renforcer les systèmes d'octroi de permis et de quotas et de mener des programmes de formation à l'intention des agents des douanes et des techniciens des secteurs de la réfri</w:t>
      </w:r>
      <w:r w:rsidR="0091191B" w:rsidRPr="00A557BB">
        <w:rPr>
          <w:lang w:val="fr-FR"/>
        </w:rPr>
        <w:t>gération et de la climatisation </w:t>
      </w:r>
      <w:r w:rsidRPr="00A557BB">
        <w:rPr>
          <w:lang w:val="fr-FR"/>
        </w:rPr>
        <w:t>;</w:t>
      </w:r>
    </w:p>
    <w:p w14:paraId="3AE1628D" w14:textId="77777777" w:rsidR="00D25FB3" w:rsidRPr="00A557BB" w:rsidRDefault="00D25FB3" w:rsidP="00D25FB3">
      <w:pPr>
        <w:pStyle w:val="Heading2"/>
        <w:numPr>
          <w:ilvl w:val="1"/>
          <w:numId w:val="1"/>
        </w:numPr>
        <w:rPr>
          <w:lang w:val="fr-FR"/>
        </w:rPr>
      </w:pPr>
      <w:r w:rsidRPr="00A557BB">
        <w:rPr>
          <w:lang w:val="fr-FR"/>
        </w:rPr>
        <w:t>Formation dispensée à l'UNO pour l'utilisation des outils en ligne du CAP (à sav</w:t>
      </w:r>
      <w:r w:rsidR="0091191B" w:rsidRPr="00A557BB">
        <w:rPr>
          <w:lang w:val="fr-FR"/>
        </w:rPr>
        <w:t>oir : le calculateur PRP-ODP ; « Quel gaz ? »</w:t>
      </w:r>
      <w:r w:rsidRPr="00A557BB">
        <w:rPr>
          <w:lang w:val="fr-FR"/>
        </w:rPr>
        <w:t xml:space="preserve"> et d'autres eDocs d'OzonAction) ;</w:t>
      </w:r>
    </w:p>
    <w:p w14:paraId="738E9D73" w14:textId="77777777" w:rsidR="00D25FB3" w:rsidRPr="00A557BB" w:rsidRDefault="00D25FB3" w:rsidP="00D25FB3">
      <w:pPr>
        <w:pStyle w:val="Heading2"/>
        <w:numPr>
          <w:ilvl w:val="1"/>
          <w:numId w:val="1"/>
        </w:numPr>
        <w:rPr>
          <w:lang w:val="fr-FR"/>
        </w:rPr>
      </w:pPr>
      <w:r w:rsidRPr="00A557BB">
        <w:rPr>
          <w:lang w:val="fr-FR"/>
        </w:rPr>
        <w:t>encouragement à la participation de l'UNO et d'un représentant des douanes à l'atelier pilote de jumelage entre l'UNO et les douanes et aux dialogues parallèles transfrontaliers pour l'Afrique francophone menés dans la foulée en octobre 2019.</w:t>
      </w:r>
    </w:p>
    <w:p w14:paraId="413B4A00" w14:textId="225606D5" w:rsidR="00D25FB3" w:rsidRPr="00A557BB" w:rsidRDefault="00D25FB3" w:rsidP="00D25FB3">
      <w:pPr>
        <w:pStyle w:val="Heading2"/>
        <w:numPr>
          <w:ilvl w:val="0"/>
          <w:numId w:val="0"/>
        </w:numPr>
        <w:rPr>
          <w:b/>
          <w:bCs/>
          <w:lang w:val="fr-FR"/>
        </w:rPr>
      </w:pPr>
      <w:r w:rsidRPr="00A557BB">
        <w:rPr>
          <w:b/>
          <w:lang w:val="fr-FR"/>
        </w:rPr>
        <w:t>Observations du Secrétariat</w:t>
      </w:r>
    </w:p>
    <w:p w14:paraId="1A92BA58" w14:textId="77777777" w:rsidR="00D25FB3" w:rsidRPr="00A557BB" w:rsidRDefault="00D25FB3" w:rsidP="00D25FB3">
      <w:pPr>
        <w:pStyle w:val="Heading1"/>
        <w:rPr>
          <w:b/>
          <w:lang w:val="fr-FR"/>
        </w:rPr>
      </w:pPr>
      <w:r w:rsidRPr="00A557BB">
        <w:rPr>
          <w:lang w:val="fr-FR"/>
        </w:rPr>
        <w:t xml:space="preserve">Le Secrétariat a noté les efforts conjoints du gouvernement de la Guinée équatoriale et du PNUE pour éviter d’autres retards dans la mise en œuvre des activités dans le cadre du PGEH. Les activités mises en œuvre pour donner suite aux recommandations du rapport de vérification renforceront encore les systèmes d'octroi de permis et de quotas d'import-export déjà en place, et l'assistance du CAP du PNUE a contribué à garantir l'engagement pris par le Gouvernement, à haut niveau, d'appliquer les systèmes d'octroi de permis et de quotas et à veiller à ce que le pays se conforme aux objectifs du Protocole de Montréal.  </w:t>
      </w:r>
    </w:p>
    <w:p w14:paraId="0A037B5E" w14:textId="77777777" w:rsidR="00D25FB3" w:rsidRPr="00A557BB" w:rsidRDefault="00D25FB3" w:rsidP="00D25FB3">
      <w:pPr>
        <w:keepNext/>
        <w:keepLines/>
        <w:spacing w:after="240"/>
        <w:outlineLvl w:val="0"/>
        <w:rPr>
          <w:b/>
          <w:bCs/>
          <w:lang w:val="fr-FR"/>
        </w:rPr>
      </w:pPr>
      <w:r w:rsidRPr="00A557BB">
        <w:rPr>
          <w:b/>
          <w:bCs/>
          <w:lang w:val="fr-FR"/>
        </w:rPr>
        <w:t>Recommandation</w:t>
      </w:r>
    </w:p>
    <w:p w14:paraId="42A07DDF" w14:textId="77777777" w:rsidR="00D25FB3" w:rsidRPr="00A557BB" w:rsidRDefault="00D25FB3" w:rsidP="00D25FB3">
      <w:pPr>
        <w:pStyle w:val="Heading1"/>
        <w:rPr>
          <w:lang w:val="fr-FR"/>
        </w:rPr>
      </w:pPr>
      <w:r w:rsidRPr="00A557BB">
        <w:rPr>
          <w:lang w:val="fr-FR"/>
        </w:rPr>
        <w:t xml:space="preserve">Le Comité exécutif </w:t>
      </w:r>
      <w:r w:rsidR="0091191B" w:rsidRPr="00A557BB">
        <w:rPr>
          <w:lang w:val="fr-FR"/>
        </w:rPr>
        <w:t xml:space="preserve">pourrait souhaiter </w:t>
      </w:r>
      <w:r w:rsidRPr="00A557BB">
        <w:rPr>
          <w:lang w:val="fr-FR"/>
        </w:rPr>
        <w:t>noter que le gouvernement de la Guinée équatoriale et le PNUE ont fourni un rapport d'avancement détaillé, contenu dans le document paru sous la cote UNEP/OzL.Pro/ExCom/84/22, garantissant qu'un système opérationnel d'octroi de permis et de quotas soit mis en place ; que les recommandations du rapport de vérification ont été traitées, démontrant ainsi la capacité accrue de l'Unité nationale ozone (UNO) à assurer une communication et une surveillance</w:t>
      </w:r>
      <w:r w:rsidR="00614272" w:rsidRPr="00A557BB">
        <w:rPr>
          <w:lang w:val="fr-FR"/>
        </w:rPr>
        <w:t xml:space="preserve"> </w:t>
      </w:r>
      <w:r w:rsidRPr="00A557BB">
        <w:rPr>
          <w:lang w:val="fr-FR"/>
        </w:rPr>
        <w:t>efficaces des données relatives aux HCFC ; et</w:t>
      </w:r>
      <w:r w:rsidR="00587E5F" w:rsidRPr="00A557BB">
        <w:rPr>
          <w:lang w:val="fr-FR"/>
        </w:rPr>
        <w:t xml:space="preserve"> que l’</w:t>
      </w:r>
      <w:r w:rsidRPr="00A557BB">
        <w:rPr>
          <w:lang w:val="fr-FR"/>
        </w:rPr>
        <w:t>assistance fournie par le Programme d'aide à la conformité du PNUE continue d'appuyer la mise en œuvre de la phase I du PGEH pour la Guinée équatoriale.</w:t>
      </w:r>
    </w:p>
    <w:p w14:paraId="22099ABF" w14:textId="77777777" w:rsidR="005A3C39" w:rsidRPr="00A557BB" w:rsidRDefault="005A3C39" w:rsidP="005A3C39">
      <w:pPr>
        <w:keepNext/>
        <w:keepLines/>
        <w:rPr>
          <w:u w:val="single"/>
          <w:lang w:val="fr-FR"/>
        </w:rPr>
      </w:pPr>
      <w:r w:rsidRPr="00A557BB">
        <w:rPr>
          <w:u w:val="single"/>
          <w:lang w:val="fr-FR"/>
        </w:rPr>
        <w:t>Honduras : Plan de gestion</w:t>
      </w:r>
      <w:r w:rsidR="00587E5F" w:rsidRPr="00A557BB">
        <w:rPr>
          <w:u w:val="single"/>
          <w:lang w:val="fr-FR"/>
        </w:rPr>
        <w:t xml:space="preserve"> </w:t>
      </w:r>
      <w:r w:rsidRPr="00A557BB">
        <w:rPr>
          <w:u w:val="single"/>
          <w:lang w:val="fr-FR"/>
        </w:rPr>
        <w:t>de l</w:t>
      </w:r>
      <w:r w:rsidRPr="00A557BB">
        <w:rPr>
          <w:lang w:val="fr-FR"/>
        </w:rPr>
        <w:t>'</w:t>
      </w:r>
      <w:r w:rsidR="0018562F" w:rsidRPr="00A557BB">
        <w:rPr>
          <w:u w:val="single"/>
          <w:lang w:val="fr-FR"/>
        </w:rPr>
        <w:t>élimination des HCFC (phase I - Rapport d'avancement sur la mise en œuvre de toutes les activités relevant des composantes</w:t>
      </w:r>
      <w:r w:rsidRPr="00A557BB">
        <w:rPr>
          <w:u w:val="single"/>
          <w:lang w:val="fr-FR"/>
        </w:rPr>
        <w:t xml:space="preserve"> du PNUE</w:t>
      </w:r>
      <w:r w:rsidRPr="00A557BB">
        <w:rPr>
          <w:lang w:val="fr-FR"/>
        </w:rPr>
        <w:t>) (PNUE)</w:t>
      </w:r>
    </w:p>
    <w:p w14:paraId="658256D8" w14:textId="77777777" w:rsidR="005A3C39" w:rsidRPr="00A557BB" w:rsidRDefault="005A3C39" w:rsidP="005A3C39">
      <w:pPr>
        <w:keepNext/>
        <w:keepLines/>
        <w:rPr>
          <w:u w:val="single"/>
          <w:lang w:val="fr-FR"/>
        </w:rPr>
      </w:pPr>
    </w:p>
    <w:p w14:paraId="544A84EB" w14:textId="77777777" w:rsidR="005A3C39" w:rsidRPr="00A557BB" w:rsidRDefault="005A3C39" w:rsidP="005A3C39">
      <w:pPr>
        <w:keepNext/>
        <w:keepLines/>
        <w:rPr>
          <w:b/>
          <w:lang w:val="fr-FR"/>
        </w:rPr>
      </w:pPr>
      <w:r w:rsidRPr="00A557BB">
        <w:rPr>
          <w:b/>
          <w:lang w:val="fr-FR"/>
        </w:rPr>
        <w:t>Historique</w:t>
      </w:r>
    </w:p>
    <w:p w14:paraId="49DA0D27" w14:textId="77777777" w:rsidR="005A3C39" w:rsidRPr="00A557BB" w:rsidRDefault="005A3C39" w:rsidP="005A3C39">
      <w:pPr>
        <w:keepNext/>
        <w:keepLines/>
        <w:rPr>
          <w:lang w:val="fr-FR"/>
        </w:rPr>
      </w:pPr>
    </w:p>
    <w:p w14:paraId="4D376C94" w14:textId="77777777" w:rsidR="005A3C39" w:rsidRPr="00A557BB" w:rsidRDefault="00587E5F" w:rsidP="005A3C39">
      <w:pPr>
        <w:keepNext/>
        <w:keepLines/>
        <w:numPr>
          <w:ilvl w:val="0"/>
          <w:numId w:val="1"/>
        </w:numPr>
        <w:tabs>
          <w:tab w:val="clear" w:pos="0"/>
          <w:tab w:val="num" w:pos="710"/>
        </w:tabs>
        <w:spacing w:after="240"/>
        <w:outlineLvl w:val="0"/>
        <w:rPr>
          <w:lang w:val="fr-FR"/>
        </w:rPr>
      </w:pPr>
      <w:r w:rsidRPr="00A557BB">
        <w:rPr>
          <w:lang w:val="fr-FR"/>
        </w:rPr>
        <w:t>À la 81</w:t>
      </w:r>
      <w:r w:rsidR="005A3C39" w:rsidRPr="00A557BB">
        <w:rPr>
          <w:vertAlign w:val="superscript"/>
          <w:lang w:val="fr-FR"/>
        </w:rPr>
        <w:t>e</w:t>
      </w:r>
      <w:r w:rsidR="005A3C39" w:rsidRPr="00A557BB">
        <w:rPr>
          <w:lang w:val="fr-FR"/>
        </w:rPr>
        <w:t xml:space="preserve"> réunion, le Comité exécutif a approuvé (au titre de la liste des projets pour approbation globale) la quatrième tranche de la phase I du PGEH pour le Honduras et le plan de mise en œuvre de la tranche 2018-2020 correspondant, étant entendu : </w:t>
      </w:r>
    </w:p>
    <w:p w14:paraId="624D5AAE" w14:textId="77777777" w:rsidR="005A3C39" w:rsidRPr="00A557BB" w:rsidRDefault="005A3C39" w:rsidP="005A3C39">
      <w:pPr>
        <w:pStyle w:val="Heading2"/>
        <w:numPr>
          <w:ilvl w:val="1"/>
          <w:numId w:val="1"/>
        </w:numPr>
        <w:rPr>
          <w:lang w:val="fr-FR"/>
        </w:rPr>
      </w:pPr>
      <w:r w:rsidRPr="00A557BB">
        <w:rPr>
          <w:lang w:val="fr-FR"/>
        </w:rPr>
        <w:t xml:space="preserve">que le PNUE et le Gouvernement du Honduras intensifieraient leurs efforts pour mettre en œuvre les activités de formation des techniciens en réfrigération associées à la phase I du PGEH ; </w:t>
      </w:r>
    </w:p>
    <w:p w14:paraId="4C9CBB26" w14:textId="77777777" w:rsidR="005A3C39" w:rsidRPr="00A557BB" w:rsidRDefault="005A3C39" w:rsidP="005A3C39">
      <w:pPr>
        <w:pStyle w:val="Heading2"/>
        <w:numPr>
          <w:ilvl w:val="1"/>
          <w:numId w:val="1"/>
        </w:numPr>
        <w:rPr>
          <w:lang w:val="fr-FR"/>
        </w:rPr>
      </w:pPr>
      <w:r w:rsidRPr="00A557BB">
        <w:rPr>
          <w:lang w:val="fr-FR"/>
        </w:rPr>
        <w:lastRenderedPageBreak/>
        <w:t xml:space="preserve">que le PNUE soumettrait à chaque réunion un rapport d'avancement sur la mise en œuvre des activités relevant des composantes du PNUE associées à la phase I du PGEH, y compris les décaissements réalisés, jusqu'à la soumission de la cinquième et dernière tranche de la phase I du PGEH ;  </w:t>
      </w:r>
    </w:p>
    <w:p w14:paraId="33C476E6" w14:textId="77777777" w:rsidR="005A3C39" w:rsidRPr="00A557BB" w:rsidRDefault="005A3C39" w:rsidP="005A3C39">
      <w:pPr>
        <w:pStyle w:val="Heading2"/>
        <w:numPr>
          <w:ilvl w:val="1"/>
          <w:numId w:val="1"/>
        </w:numPr>
        <w:rPr>
          <w:lang w:val="fr-FR"/>
        </w:rPr>
      </w:pPr>
      <w:r w:rsidRPr="00A557BB">
        <w:rPr>
          <w:lang w:val="fr-FR"/>
        </w:rPr>
        <w:t>que les objectifs de décaissement pour le montant total des fonds approuvés pour les composantes du PNUE des première, deuxième et troisième tranches de la phase I du PGEH pour le Honduras seraient de 50% au 30 septembre 2018, 80% au 31 mars 2019 et 100% en décembre 2019, et que les objectifs de décaissement pour la composante du PNUE de la quatrième tranche seraient de 20% au 31 mars 2019 et de 50% en décembre 2019.</w:t>
      </w:r>
    </w:p>
    <w:p w14:paraId="13122415" w14:textId="77777777" w:rsidR="005A3C39" w:rsidRPr="00A557BB" w:rsidRDefault="005A3C39" w:rsidP="005A3C39">
      <w:pPr>
        <w:numPr>
          <w:ilvl w:val="0"/>
          <w:numId w:val="1"/>
        </w:numPr>
        <w:tabs>
          <w:tab w:val="clear" w:pos="0"/>
          <w:tab w:val="num" w:pos="710"/>
        </w:tabs>
        <w:spacing w:after="240"/>
        <w:outlineLvl w:val="0"/>
        <w:rPr>
          <w:lang w:val="fr-FR"/>
        </w:rPr>
      </w:pPr>
      <w:r w:rsidRPr="00A557BB">
        <w:rPr>
          <w:lang w:val="fr-FR"/>
        </w:rPr>
        <w:t>En accord avec la demande mentionnée ci-dessus, le PNUE a présenté, à la 84</w:t>
      </w:r>
      <w:r w:rsidRPr="00A557BB">
        <w:rPr>
          <w:vertAlign w:val="superscript"/>
          <w:lang w:val="fr-FR"/>
        </w:rPr>
        <w:t>e</w:t>
      </w:r>
      <w:r w:rsidRPr="00A557BB">
        <w:rPr>
          <w:lang w:val="fr-FR"/>
        </w:rPr>
        <w:t xml:space="preserve"> réunion, un rapport périodique et financier sur la mise en œuvre des activités du PNUE dans le cadre de la phase I.</w:t>
      </w:r>
    </w:p>
    <w:p w14:paraId="39FEFAE4" w14:textId="77777777" w:rsidR="005A3C39" w:rsidRPr="00A557BB" w:rsidRDefault="0064628C" w:rsidP="005A3C39">
      <w:pPr>
        <w:keepNext/>
        <w:keepLines/>
        <w:spacing w:after="240"/>
        <w:rPr>
          <w:b/>
          <w:lang w:val="fr-FR"/>
        </w:rPr>
      </w:pPr>
      <w:r w:rsidRPr="00A557BB">
        <w:rPr>
          <w:b/>
          <w:lang w:val="fr-FR"/>
        </w:rPr>
        <w:t>Rapport périodique</w:t>
      </w:r>
    </w:p>
    <w:p w14:paraId="05EBDEB0" w14:textId="77777777" w:rsidR="005A3C39" w:rsidRPr="00A557BB" w:rsidRDefault="005A3C39" w:rsidP="005A3C39">
      <w:pPr>
        <w:numPr>
          <w:ilvl w:val="0"/>
          <w:numId w:val="1"/>
        </w:numPr>
        <w:tabs>
          <w:tab w:val="clear" w:pos="0"/>
          <w:tab w:val="num" w:pos="710"/>
        </w:tabs>
        <w:spacing w:after="240"/>
        <w:outlineLvl w:val="0"/>
        <w:rPr>
          <w:lang w:val="fr-FR"/>
        </w:rPr>
      </w:pPr>
      <w:r w:rsidRPr="00A557BB">
        <w:rPr>
          <w:lang w:val="fr-FR"/>
        </w:rPr>
        <w:t>Les activités ci-après ont été mises en œuvre depuis la 83</w:t>
      </w:r>
      <w:r w:rsidRPr="00A557BB">
        <w:rPr>
          <w:vertAlign w:val="superscript"/>
          <w:lang w:val="fr-FR"/>
        </w:rPr>
        <w:t>e</w:t>
      </w:r>
      <w:r w:rsidRPr="00A557BB">
        <w:rPr>
          <w:lang w:val="fr-FR"/>
        </w:rPr>
        <w:t xml:space="preserve"> réunion :</w:t>
      </w:r>
    </w:p>
    <w:p w14:paraId="44CAC1F5" w14:textId="77777777" w:rsidR="005A3C39" w:rsidRPr="00A557BB" w:rsidRDefault="005A3C39" w:rsidP="005A3C39">
      <w:pPr>
        <w:pStyle w:val="Heading2"/>
        <w:numPr>
          <w:ilvl w:val="1"/>
          <w:numId w:val="1"/>
        </w:numPr>
        <w:rPr>
          <w:lang w:val="fr-FR"/>
        </w:rPr>
      </w:pPr>
      <w:r w:rsidRPr="00A557BB">
        <w:rPr>
          <w:lang w:val="fr-FR"/>
        </w:rPr>
        <w:t xml:space="preserve">formation de 48 agents des douanes et membres des forces de l'ordre sur les contrôles des importations de HCFC et de l’équipement à </w:t>
      </w:r>
      <w:r w:rsidRPr="00A557BB">
        <w:rPr>
          <w:lang w:val="fr-FR"/>
        </w:rPr>
        <w:noBreakHyphen/>
        <w:t xml:space="preserve">base de HCFC ; </w:t>
      </w:r>
    </w:p>
    <w:p w14:paraId="317F9A70" w14:textId="77777777" w:rsidR="005A3C39" w:rsidRPr="00A557BB" w:rsidRDefault="00587E5F" w:rsidP="005A3C39">
      <w:pPr>
        <w:pStyle w:val="Heading2"/>
        <w:numPr>
          <w:ilvl w:val="1"/>
          <w:numId w:val="1"/>
        </w:numPr>
        <w:rPr>
          <w:lang w:val="fr-FR"/>
        </w:rPr>
      </w:pPr>
      <w:r w:rsidRPr="00A557BB">
        <w:rPr>
          <w:lang w:val="fr-FR"/>
        </w:rPr>
        <w:t>approbation de l</w:t>
      </w:r>
      <w:r w:rsidR="005A3C39" w:rsidRPr="00A557BB">
        <w:rPr>
          <w:lang w:val="fr-FR"/>
        </w:rPr>
        <w:t xml:space="preserve">a norme de concurrence sur le marché du travail du Honduras relative aux bonnes pratiques en matière de réfrigération et </w:t>
      </w:r>
      <w:r w:rsidRPr="00A557BB">
        <w:rPr>
          <w:lang w:val="fr-FR"/>
        </w:rPr>
        <w:t>formation au bénéfice des</w:t>
      </w:r>
      <w:r w:rsidR="005A3C39" w:rsidRPr="00A557BB">
        <w:rPr>
          <w:lang w:val="fr-FR"/>
        </w:rPr>
        <w:t xml:space="preserve"> formateurs et </w:t>
      </w:r>
      <w:r w:rsidRPr="00A557BB">
        <w:rPr>
          <w:lang w:val="fr-FR"/>
        </w:rPr>
        <w:t>des</w:t>
      </w:r>
      <w:r w:rsidR="005A3C39" w:rsidRPr="00A557BB">
        <w:rPr>
          <w:lang w:val="fr-FR"/>
        </w:rPr>
        <w:t xml:space="preserve"> examinateurs sur l’évaluation des compétences des techniciens demandant une certification dans le secteur de l’entretien des systèmes de réfrigération et de climatisation, douze formateurs et trois membres de l'UNO étant actuellement en cours de certification en Colombie ;</w:t>
      </w:r>
    </w:p>
    <w:p w14:paraId="07548AA4" w14:textId="77777777" w:rsidR="005A3C39" w:rsidRPr="00A557BB" w:rsidRDefault="005A3C39" w:rsidP="005A3C39">
      <w:pPr>
        <w:pStyle w:val="Heading2"/>
        <w:numPr>
          <w:ilvl w:val="1"/>
          <w:numId w:val="1"/>
        </w:numPr>
        <w:rPr>
          <w:lang w:val="fr-FR"/>
        </w:rPr>
      </w:pPr>
      <w:r w:rsidRPr="00A557BB">
        <w:rPr>
          <w:lang w:val="fr-FR"/>
        </w:rPr>
        <w:t>ateliers supplémentaires destinés à former au total 134 techniciens et 114 étudiants e</w:t>
      </w:r>
      <w:r w:rsidR="00587E5F" w:rsidRPr="00A557BB">
        <w:rPr>
          <w:lang w:val="fr-FR"/>
        </w:rPr>
        <w:t>n techniques de réfrigération</w:t>
      </w:r>
      <w:r w:rsidRPr="00A557BB">
        <w:rPr>
          <w:lang w:val="fr-FR"/>
        </w:rPr>
        <w:t xml:space="preserve"> à la manipulation sans danger des frigorigènes inflammables.</w:t>
      </w:r>
    </w:p>
    <w:p w14:paraId="515761C9" w14:textId="77777777" w:rsidR="005A3C39" w:rsidRPr="00A557BB" w:rsidRDefault="005A3C39" w:rsidP="005A3C39">
      <w:pPr>
        <w:rPr>
          <w:i/>
          <w:lang w:val="fr-FR"/>
        </w:rPr>
      </w:pPr>
      <w:r w:rsidRPr="00A557BB">
        <w:rPr>
          <w:i/>
          <w:lang w:val="fr-FR"/>
        </w:rPr>
        <w:t>Niveau de décaissement</w:t>
      </w:r>
    </w:p>
    <w:p w14:paraId="204F3C4E" w14:textId="77777777" w:rsidR="005A3C39" w:rsidRPr="00A557BB" w:rsidRDefault="005A3C39" w:rsidP="005A3C39">
      <w:pPr>
        <w:rPr>
          <w:u w:val="single"/>
          <w:lang w:val="fr-FR"/>
        </w:rPr>
      </w:pPr>
    </w:p>
    <w:p w14:paraId="1AC93F79" w14:textId="77777777" w:rsidR="005A3C39" w:rsidRPr="00A557BB" w:rsidRDefault="005A3C39" w:rsidP="005A3C39">
      <w:pPr>
        <w:numPr>
          <w:ilvl w:val="0"/>
          <w:numId w:val="1"/>
        </w:numPr>
        <w:tabs>
          <w:tab w:val="clear" w:pos="0"/>
          <w:tab w:val="num" w:pos="710"/>
        </w:tabs>
        <w:spacing w:after="240"/>
        <w:outlineLvl w:val="0"/>
        <w:rPr>
          <w:lang w:val="fr-FR"/>
        </w:rPr>
      </w:pPr>
      <w:r w:rsidRPr="00A557BB">
        <w:rPr>
          <w:lang w:val="fr-FR"/>
        </w:rPr>
        <w:t>Au 30 septembre 2019, sur un montant total de 175 000 $US de financements approuvés pour les trois premières tranches sous l'égide du PNUE, 141 301 $US (81%) avaient été décaissés, et sur un montant total de 50 000 $US de fonds approuvés pour la quatrième tranche sous l'égide du PNUE, 5 607 $US (11%) avaient été décaissés. Si l'on tient compte des fonds avancés par le PNUE au Honduras (mais non</w:t>
      </w:r>
      <w:r w:rsidR="00587E5F" w:rsidRPr="00A557BB">
        <w:rPr>
          <w:lang w:val="fr-FR"/>
        </w:rPr>
        <w:t xml:space="preserve"> encore enregistrés dans Umoja</w:t>
      </w:r>
      <w:r w:rsidRPr="00A557BB">
        <w:rPr>
          <w:rStyle w:val="FootnoteReference"/>
          <w:lang w:val="fr-FR"/>
        </w:rPr>
        <w:footnoteReference w:id="13"/>
      </w:r>
      <w:r w:rsidR="00587E5F" w:rsidRPr="00A557BB">
        <w:rPr>
          <w:lang w:val="fr-FR"/>
        </w:rPr>
        <w:t>),</w:t>
      </w:r>
      <w:r w:rsidRPr="00A557BB">
        <w:rPr>
          <w:lang w:val="fr-FR"/>
        </w:rPr>
        <w:t xml:space="preserve"> le montant des fonds décaissés et avancés pour les trois premières tranches est de 149 253 $US</w:t>
      </w:r>
      <w:r w:rsidR="00614272" w:rsidRPr="00A557BB">
        <w:rPr>
          <w:lang w:val="fr-FR"/>
        </w:rPr>
        <w:t xml:space="preserve"> </w:t>
      </w:r>
      <w:r w:rsidRPr="00A557BB">
        <w:rPr>
          <w:lang w:val="fr-FR"/>
        </w:rPr>
        <w:t>(85%) et le montant des fonds décaissés de la quatrième tranche est de 18 107 $US (36%), comme le montre le tableau 5.</w:t>
      </w:r>
    </w:p>
    <w:p w14:paraId="3594D535" w14:textId="77777777" w:rsidR="005A3C39" w:rsidRPr="00A557BB" w:rsidRDefault="00EF54D3" w:rsidP="00D11B6F">
      <w:pPr>
        <w:keepNext/>
        <w:keepLines/>
        <w:rPr>
          <w:b/>
          <w:lang w:val="fr-FR"/>
        </w:rPr>
      </w:pPr>
      <w:r w:rsidRPr="00A557BB">
        <w:rPr>
          <w:b/>
          <w:lang w:val="fr-FR"/>
        </w:rPr>
        <w:lastRenderedPageBreak/>
        <w:t xml:space="preserve">Tableau 5 : Rapport financier sur la phase I du PGEH pour le Honduras </w:t>
      </w:r>
    </w:p>
    <w:tbl>
      <w:tblPr>
        <w:tblStyle w:val="TableGrid"/>
        <w:tblW w:w="0" w:type="auto"/>
        <w:tblInd w:w="28" w:type="dxa"/>
        <w:tblLayout w:type="fixed"/>
        <w:tblCellMar>
          <w:left w:w="28" w:type="dxa"/>
          <w:right w:w="28" w:type="dxa"/>
        </w:tblCellMar>
        <w:tblLook w:val="04A0" w:firstRow="1" w:lastRow="0" w:firstColumn="1" w:lastColumn="0" w:noHBand="0" w:noVBand="1"/>
      </w:tblPr>
      <w:tblGrid>
        <w:gridCol w:w="1243"/>
        <w:gridCol w:w="992"/>
        <w:gridCol w:w="993"/>
        <w:gridCol w:w="1134"/>
        <w:gridCol w:w="992"/>
        <w:gridCol w:w="1276"/>
        <w:gridCol w:w="1275"/>
        <w:gridCol w:w="1417"/>
      </w:tblGrid>
      <w:tr w:rsidR="005A3C39" w:rsidRPr="00A557BB" w14:paraId="6E0DCFDF" w14:textId="77777777" w:rsidTr="000537BA">
        <w:trPr>
          <w:trHeight w:val="408"/>
          <w:tblHeader/>
        </w:trPr>
        <w:tc>
          <w:tcPr>
            <w:tcW w:w="1243" w:type="dxa"/>
            <w:vMerge w:val="restart"/>
          </w:tcPr>
          <w:p w14:paraId="29C41A56" w14:textId="77777777" w:rsidR="005A3C39" w:rsidRPr="00A557BB" w:rsidRDefault="005A3C39" w:rsidP="00D11B6F">
            <w:pPr>
              <w:keepNext/>
              <w:keepLines/>
              <w:contextualSpacing/>
              <w:rPr>
                <w:b/>
                <w:color w:val="000000"/>
                <w:sz w:val="20"/>
                <w:szCs w:val="20"/>
                <w:lang w:val="fr-FR"/>
              </w:rPr>
            </w:pPr>
            <w:r w:rsidRPr="00A557BB">
              <w:rPr>
                <w:b/>
                <w:color w:val="000000"/>
                <w:sz w:val="20"/>
                <w:szCs w:val="20"/>
                <w:lang w:val="fr-FR"/>
              </w:rPr>
              <w:br w:type="page"/>
              <w:t>Tranche</w:t>
            </w:r>
          </w:p>
        </w:tc>
        <w:tc>
          <w:tcPr>
            <w:tcW w:w="992" w:type="dxa"/>
            <w:vMerge w:val="restart"/>
          </w:tcPr>
          <w:p w14:paraId="6333250A"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Approuvé</w:t>
            </w:r>
          </w:p>
          <w:p w14:paraId="3C20DBA2"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($US)</w:t>
            </w:r>
          </w:p>
        </w:tc>
        <w:tc>
          <w:tcPr>
            <w:tcW w:w="3119" w:type="dxa"/>
            <w:gridSpan w:val="3"/>
            <w:vAlign w:val="center"/>
          </w:tcPr>
          <w:p w14:paraId="53969803"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Dépenses enregistrées dans Umoja</w:t>
            </w:r>
          </w:p>
          <w:p w14:paraId="535293D7"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($US)</w:t>
            </w:r>
          </w:p>
        </w:tc>
        <w:tc>
          <w:tcPr>
            <w:tcW w:w="1276" w:type="dxa"/>
            <w:vMerge w:val="restart"/>
          </w:tcPr>
          <w:p w14:paraId="21FE7666"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Taux de décaissement cible (en %)</w:t>
            </w:r>
          </w:p>
        </w:tc>
        <w:tc>
          <w:tcPr>
            <w:tcW w:w="1275" w:type="dxa"/>
            <w:vMerge w:val="restart"/>
          </w:tcPr>
          <w:p w14:paraId="3A10F1FC"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Avances</w:t>
            </w:r>
          </w:p>
          <w:p w14:paraId="37201C9A"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($US)</w:t>
            </w:r>
          </w:p>
          <w:p w14:paraId="65F6016E" w14:textId="77777777" w:rsidR="005A3C39" w:rsidRPr="00A557BB" w:rsidRDefault="005A3C39" w:rsidP="00D11B6F">
            <w:pPr>
              <w:keepNext/>
              <w:keepLines/>
              <w:contextualSpacing/>
              <w:jc w:val="center"/>
              <w:rPr>
                <w:b/>
                <w:color w:val="000000"/>
                <w:sz w:val="20"/>
                <w:szCs w:val="20"/>
                <w:lang w:val="fr-FR"/>
              </w:rPr>
            </w:pPr>
          </w:p>
        </w:tc>
        <w:tc>
          <w:tcPr>
            <w:tcW w:w="1417" w:type="dxa"/>
            <w:vMerge w:val="restart"/>
          </w:tcPr>
          <w:p w14:paraId="29A1CFB9"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 xml:space="preserve">Décaissements et avances </w:t>
            </w:r>
          </w:p>
          <w:p w14:paraId="3FAAC23A"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($US)</w:t>
            </w:r>
          </w:p>
          <w:p w14:paraId="14E9F2A1" w14:textId="77777777" w:rsidR="005A3C39" w:rsidRPr="00A557BB" w:rsidRDefault="005A3C39" w:rsidP="00D11B6F">
            <w:pPr>
              <w:keepNext/>
              <w:keepLines/>
              <w:contextualSpacing/>
              <w:jc w:val="center"/>
              <w:rPr>
                <w:b/>
                <w:color w:val="000000"/>
                <w:sz w:val="20"/>
                <w:szCs w:val="20"/>
                <w:lang w:val="fr-FR"/>
              </w:rPr>
            </w:pPr>
          </w:p>
        </w:tc>
      </w:tr>
      <w:tr w:rsidR="005A3C39" w:rsidRPr="00A557BB" w14:paraId="5579F983" w14:textId="77777777" w:rsidTr="000537BA">
        <w:trPr>
          <w:tblHeader/>
        </w:trPr>
        <w:tc>
          <w:tcPr>
            <w:tcW w:w="1243" w:type="dxa"/>
            <w:vMerge/>
          </w:tcPr>
          <w:p w14:paraId="22EC7F7F" w14:textId="77777777" w:rsidR="005A3C39" w:rsidRPr="00A557BB" w:rsidRDefault="005A3C39" w:rsidP="00D11B6F">
            <w:pPr>
              <w:keepNext/>
              <w:keepLines/>
              <w:contextualSpacing/>
              <w:rPr>
                <w:b/>
                <w:color w:val="000000"/>
                <w:sz w:val="20"/>
                <w:szCs w:val="20"/>
                <w:lang w:val="fr-FR"/>
              </w:rPr>
            </w:pPr>
          </w:p>
        </w:tc>
        <w:tc>
          <w:tcPr>
            <w:tcW w:w="992" w:type="dxa"/>
            <w:vMerge/>
          </w:tcPr>
          <w:p w14:paraId="65E3EAC0" w14:textId="77777777" w:rsidR="005A3C39" w:rsidRPr="00A557BB" w:rsidRDefault="005A3C39" w:rsidP="00D11B6F">
            <w:pPr>
              <w:keepNext/>
              <w:keepLines/>
              <w:contextualSpacing/>
              <w:rPr>
                <w:b/>
                <w:color w:val="000000"/>
                <w:sz w:val="20"/>
                <w:szCs w:val="20"/>
                <w:lang w:val="fr-FR"/>
              </w:rPr>
            </w:pPr>
          </w:p>
        </w:tc>
        <w:tc>
          <w:tcPr>
            <w:tcW w:w="993" w:type="dxa"/>
            <w:vAlign w:val="center"/>
          </w:tcPr>
          <w:p w14:paraId="73B1A9C1"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En date du</w:t>
            </w:r>
          </w:p>
          <w:p w14:paraId="01CA416F"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25/4/2019</w:t>
            </w:r>
          </w:p>
        </w:tc>
        <w:tc>
          <w:tcPr>
            <w:tcW w:w="1134" w:type="dxa"/>
            <w:vAlign w:val="center"/>
          </w:tcPr>
          <w:p w14:paraId="473CFD97"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Du 25/4/2019 au 30/9/2019</w:t>
            </w:r>
          </w:p>
        </w:tc>
        <w:tc>
          <w:tcPr>
            <w:tcW w:w="992" w:type="dxa"/>
            <w:vAlign w:val="center"/>
          </w:tcPr>
          <w:p w14:paraId="09D96187" w14:textId="77777777" w:rsidR="005A3C39" w:rsidRPr="00A557BB" w:rsidRDefault="005A3C39" w:rsidP="00D11B6F">
            <w:pPr>
              <w:keepNext/>
              <w:keepLines/>
              <w:contextualSpacing/>
              <w:jc w:val="center"/>
              <w:rPr>
                <w:b/>
                <w:color w:val="000000"/>
                <w:sz w:val="20"/>
                <w:szCs w:val="20"/>
                <w:lang w:val="fr-FR"/>
              </w:rPr>
            </w:pPr>
            <w:r w:rsidRPr="00A557BB">
              <w:rPr>
                <w:b/>
                <w:color w:val="000000"/>
                <w:sz w:val="20"/>
                <w:szCs w:val="20"/>
                <w:lang w:val="fr-FR"/>
              </w:rPr>
              <w:t>Total</w:t>
            </w:r>
          </w:p>
        </w:tc>
        <w:tc>
          <w:tcPr>
            <w:tcW w:w="1276" w:type="dxa"/>
            <w:vMerge/>
          </w:tcPr>
          <w:p w14:paraId="737F3016" w14:textId="77777777" w:rsidR="005A3C39" w:rsidRPr="00A557BB" w:rsidRDefault="005A3C39" w:rsidP="00D11B6F">
            <w:pPr>
              <w:keepNext/>
              <w:keepLines/>
              <w:contextualSpacing/>
              <w:rPr>
                <w:b/>
                <w:color w:val="000000"/>
                <w:sz w:val="20"/>
                <w:szCs w:val="20"/>
                <w:lang w:val="fr-FR"/>
              </w:rPr>
            </w:pPr>
          </w:p>
        </w:tc>
        <w:tc>
          <w:tcPr>
            <w:tcW w:w="1275" w:type="dxa"/>
            <w:vMerge/>
          </w:tcPr>
          <w:p w14:paraId="7164B719" w14:textId="77777777" w:rsidR="005A3C39" w:rsidRPr="00A557BB" w:rsidRDefault="005A3C39" w:rsidP="00D11B6F">
            <w:pPr>
              <w:keepNext/>
              <w:keepLines/>
              <w:contextualSpacing/>
              <w:rPr>
                <w:b/>
                <w:color w:val="000000"/>
                <w:sz w:val="20"/>
                <w:szCs w:val="20"/>
                <w:lang w:val="fr-FR"/>
              </w:rPr>
            </w:pPr>
          </w:p>
        </w:tc>
        <w:tc>
          <w:tcPr>
            <w:tcW w:w="1417" w:type="dxa"/>
            <w:vMerge/>
          </w:tcPr>
          <w:p w14:paraId="3FD124B5" w14:textId="77777777" w:rsidR="005A3C39" w:rsidRPr="00A557BB" w:rsidRDefault="005A3C39" w:rsidP="00D11B6F">
            <w:pPr>
              <w:keepNext/>
              <w:keepLines/>
              <w:contextualSpacing/>
              <w:rPr>
                <w:b/>
                <w:color w:val="000000"/>
                <w:sz w:val="20"/>
                <w:szCs w:val="20"/>
                <w:lang w:val="fr-FR"/>
              </w:rPr>
            </w:pPr>
          </w:p>
        </w:tc>
      </w:tr>
      <w:tr w:rsidR="005A3C39" w:rsidRPr="00A557BB" w14:paraId="7837287B" w14:textId="77777777" w:rsidTr="000537BA">
        <w:tc>
          <w:tcPr>
            <w:tcW w:w="1243" w:type="dxa"/>
            <w:vAlign w:val="center"/>
          </w:tcPr>
          <w:p w14:paraId="4365F48D" w14:textId="77777777" w:rsidR="005A3C39" w:rsidRPr="00A557BB" w:rsidRDefault="005A3C39" w:rsidP="00D11B6F">
            <w:pPr>
              <w:keepNext/>
              <w:keepLines/>
              <w:rPr>
                <w:color w:val="000000"/>
                <w:sz w:val="20"/>
                <w:szCs w:val="20"/>
                <w:lang w:val="fr-FR"/>
              </w:rPr>
            </w:pPr>
            <w:r w:rsidRPr="00A557BB">
              <w:rPr>
                <w:color w:val="000000"/>
                <w:sz w:val="20"/>
                <w:szCs w:val="20"/>
                <w:lang w:val="fr-FR"/>
              </w:rPr>
              <w:t xml:space="preserve">Première </w:t>
            </w:r>
          </w:p>
        </w:tc>
        <w:tc>
          <w:tcPr>
            <w:tcW w:w="992" w:type="dxa"/>
          </w:tcPr>
          <w:p w14:paraId="39639685"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75 000</w:t>
            </w:r>
          </w:p>
        </w:tc>
        <w:tc>
          <w:tcPr>
            <w:tcW w:w="993" w:type="dxa"/>
          </w:tcPr>
          <w:p w14:paraId="3C92493A"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67 047</w:t>
            </w:r>
          </w:p>
        </w:tc>
        <w:tc>
          <w:tcPr>
            <w:tcW w:w="1134" w:type="dxa"/>
          </w:tcPr>
          <w:p w14:paraId="531018E6"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0</w:t>
            </w:r>
          </w:p>
        </w:tc>
        <w:tc>
          <w:tcPr>
            <w:tcW w:w="992" w:type="dxa"/>
          </w:tcPr>
          <w:p w14:paraId="2B981FCD"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67 047</w:t>
            </w:r>
          </w:p>
        </w:tc>
        <w:tc>
          <w:tcPr>
            <w:tcW w:w="1276" w:type="dxa"/>
          </w:tcPr>
          <w:p w14:paraId="0608B2B3" w14:textId="77777777" w:rsidR="005A3C39" w:rsidRPr="00A557BB" w:rsidRDefault="005A3C39" w:rsidP="00D11B6F">
            <w:pPr>
              <w:keepNext/>
              <w:keepLines/>
              <w:jc w:val="right"/>
              <w:rPr>
                <w:color w:val="000000"/>
                <w:sz w:val="20"/>
                <w:szCs w:val="20"/>
                <w:lang w:val="fr-FR"/>
              </w:rPr>
            </w:pPr>
          </w:p>
        </w:tc>
        <w:tc>
          <w:tcPr>
            <w:tcW w:w="1275" w:type="dxa"/>
          </w:tcPr>
          <w:p w14:paraId="16BC2B7C"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7 952</w:t>
            </w:r>
          </w:p>
        </w:tc>
        <w:tc>
          <w:tcPr>
            <w:tcW w:w="1417" w:type="dxa"/>
          </w:tcPr>
          <w:p w14:paraId="4BDCFF33"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74 999</w:t>
            </w:r>
          </w:p>
        </w:tc>
      </w:tr>
      <w:tr w:rsidR="005A3C39" w:rsidRPr="00A557BB" w14:paraId="4B5A3887" w14:textId="77777777" w:rsidTr="000537BA">
        <w:tc>
          <w:tcPr>
            <w:tcW w:w="1243" w:type="dxa"/>
            <w:vAlign w:val="center"/>
          </w:tcPr>
          <w:p w14:paraId="7718F888" w14:textId="77777777" w:rsidR="005A3C39" w:rsidRPr="00A557BB" w:rsidRDefault="005A3C39" w:rsidP="00D11B6F">
            <w:pPr>
              <w:keepNext/>
              <w:keepLines/>
              <w:rPr>
                <w:color w:val="000000"/>
                <w:sz w:val="20"/>
                <w:szCs w:val="20"/>
                <w:lang w:val="fr-FR"/>
              </w:rPr>
            </w:pPr>
            <w:r w:rsidRPr="00A557BB">
              <w:rPr>
                <w:color w:val="000000"/>
                <w:sz w:val="20"/>
                <w:szCs w:val="20"/>
                <w:lang w:val="fr-FR"/>
              </w:rPr>
              <w:t xml:space="preserve">Deuxième </w:t>
            </w:r>
          </w:p>
        </w:tc>
        <w:tc>
          <w:tcPr>
            <w:tcW w:w="992" w:type="dxa"/>
          </w:tcPr>
          <w:p w14:paraId="1403715F"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50 000</w:t>
            </w:r>
          </w:p>
        </w:tc>
        <w:tc>
          <w:tcPr>
            <w:tcW w:w="993" w:type="dxa"/>
          </w:tcPr>
          <w:p w14:paraId="6320F5A5"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39 412</w:t>
            </w:r>
          </w:p>
        </w:tc>
        <w:tc>
          <w:tcPr>
            <w:tcW w:w="1134" w:type="dxa"/>
          </w:tcPr>
          <w:p w14:paraId="027C9443"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9 482</w:t>
            </w:r>
          </w:p>
        </w:tc>
        <w:tc>
          <w:tcPr>
            <w:tcW w:w="992" w:type="dxa"/>
          </w:tcPr>
          <w:p w14:paraId="00506F3D"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48 894</w:t>
            </w:r>
          </w:p>
        </w:tc>
        <w:tc>
          <w:tcPr>
            <w:tcW w:w="1276" w:type="dxa"/>
          </w:tcPr>
          <w:p w14:paraId="28C820AD" w14:textId="77777777" w:rsidR="005A3C39" w:rsidRPr="00A557BB" w:rsidRDefault="005A3C39" w:rsidP="00D11B6F">
            <w:pPr>
              <w:keepNext/>
              <w:keepLines/>
              <w:jc w:val="right"/>
              <w:rPr>
                <w:color w:val="000000"/>
                <w:sz w:val="20"/>
                <w:szCs w:val="20"/>
                <w:lang w:val="fr-FR"/>
              </w:rPr>
            </w:pPr>
          </w:p>
        </w:tc>
        <w:tc>
          <w:tcPr>
            <w:tcW w:w="1275" w:type="dxa"/>
          </w:tcPr>
          <w:p w14:paraId="209A4916"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0</w:t>
            </w:r>
          </w:p>
        </w:tc>
        <w:tc>
          <w:tcPr>
            <w:tcW w:w="1417" w:type="dxa"/>
          </w:tcPr>
          <w:p w14:paraId="59F29C12"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48 894</w:t>
            </w:r>
          </w:p>
        </w:tc>
      </w:tr>
      <w:tr w:rsidR="005A3C39" w:rsidRPr="00A557BB" w14:paraId="311492CE" w14:textId="77777777" w:rsidTr="000537BA">
        <w:tc>
          <w:tcPr>
            <w:tcW w:w="1243" w:type="dxa"/>
            <w:vAlign w:val="center"/>
          </w:tcPr>
          <w:p w14:paraId="5F3772A6" w14:textId="77777777" w:rsidR="005A3C39" w:rsidRPr="00A557BB" w:rsidRDefault="005A3C39" w:rsidP="00D11B6F">
            <w:pPr>
              <w:keepNext/>
              <w:keepLines/>
              <w:rPr>
                <w:color w:val="000000"/>
                <w:sz w:val="20"/>
                <w:szCs w:val="20"/>
                <w:lang w:val="fr-FR"/>
              </w:rPr>
            </w:pPr>
            <w:r w:rsidRPr="00A557BB">
              <w:rPr>
                <w:color w:val="000000"/>
                <w:sz w:val="20"/>
                <w:szCs w:val="20"/>
                <w:lang w:val="fr-FR"/>
              </w:rPr>
              <w:t xml:space="preserve">Troisième </w:t>
            </w:r>
          </w:p>
        </w:tc>
        <w:tc>
          <w:tcPr>
            <w:tcW w:w="992" w:type="dxa"/>
          </w:tcPr>
          <w:p w14:paraId="6D3641D0"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50 000</w:t>
            </w:r>
          </w:p>
        </w:tc>
        <w:tc>
          <w:tcPr>
            <w:tcW w:w="993" w:type="dxa"/>
          </w:tcPr>
          <w:p w14:paraId="5587BDE6"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12 061</w:t>
            </w:r>
          </w:p>
        </w:tc>
        <w:tc>
          <w:tcPr>
            <w:tcW w:w="1134" w:type="dxa"/>
          </w:tcPr>
          <w:p w14:paraId="538D0BC7"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13 299</w:t>
            </w:r>
          </w:p>
        </w:tc>
        <w:tc>
          <w:tcPr>
            <w:tcW w:w="992" w:type="dxa"/>
          </w:tcPr>
          <w:p w14:paraId="6509A85C"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25 360</w:t>
            </w:r>
          </w:p>
        </w:tc>
        <w:tc>
          <w:tcPr>
            <w:tcW w:w="1276" w:type="dxa"/>
          </w:tcPr>
          <w:p w14:paraId="3E8CADCF" w14:textId="77777777" w:rsidR="005A3C39" w:rsidRPr="00A557BB" w:rsidRDefault="005A3C39" w:rsidP="00D11B6F">
            <w:pPr>
              <w:keepNext/>
              <w:keepLines/>
              <w:jc w:val="right"/>
              <w:rPr>
                <w:color w:val="000000"/>
                <w:sz w:val="20"/>
                <w:szCs w:val="20"/>
                <w:lang w:val="fr-FR"/>
              </w:rPr>
            </w:pPr>
          </w:p>
        </w:tc>
        <w:tc>
          <w:tcPr>
            <w:tcW w:w="1275" w:type="dxa"/>
          </w:tcPr>
          <w:p w14:paraId="35F4B69E"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0</w:t>
            </w:r>
          </w:p>
        </w:tc>
        <w:tc>
          <w:tcPr>
            <w:tcW w:w="1417" w:type="dxa"/>
          </w:tcPr>
          <w:p w14:paraId="080E8BC4"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25 360</w:t>
            </w:r>
          </w:p>
        </w:tc>
      </w:tr>
      <w:tr w:rsidR="005A3C39" w:rsidRPr="00A557BB" w14:paraId="3883C1C5" w14:textId="77777777" w:rsidTr="000537BA">
        <w:tc>
          <w:tcPr>
            <w:tcW w:w="1243" w:type="dxa"/>
            <w:vAlign w:val="center"/>
          </w:tcPr>
          <w:p w14:paraId="7D50AFF1" w14:textId="77777777" w:rsidR="005A3C39" w:rsidRPr="00A557BB" w:rsidRDefault="005A3C39" w:rsidP="00D11B6F">
            <w:pPr>
              <w:keepNext/>
              <w:keepLines/>
              <w:rPr>
                <w:b/>
                <w:color w:val="000000"/>
                <w:sz w:val="20"/>
                <w:szCs w:val="20"/>
                <w:lang w:val="fr-FR"/>
              </w:rPr>
            </w:pPr>
            <w:r w:rsidRPr="00A557BB">
              <w:rPr>
                <w:b/>
                <w:color w:val="000000"/>
                <w:sz w:val="20"/>
                <w:szCs w:val="20"/>
                <w:lang w:val="fr-FR"/>
              </w:rPr>
              <w:t>Sous-total</w:t>
            </w:r>
          </w:p>
        </w:tc>
        <w:tc>
          <w:tcPr>
            <w:tcW w:w="992" w:type="dxa"/>
          </w:tcPr>
          <w:p w14:paraId="1B7A98DB"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175 000</w:t>
            </w:r>
          </w:p>
        </w:tc>
        <w:tc>
          <w:tcPr>
            <w:tcW w:w="993" w:type="dxa"/>
          </w:tcPr>
          <w:p w14:paraId="4946B70A"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118 520</w:t>
            </w:r>
          </w:p>
        </w:tc>
        <w:tc>
          <w:tcPr>
            <w:tcW w:w="1134" w:type="dxa"/>
          </w:tcPr>
          <w:p w14:paraId="38E8DE4A"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22 781</w:t>
            </w:r>
          </w:p>
        </w:tc>
        <w:tc>
          <w:tcPr>
            <w:tcW w:w="992" w:type="dxa"/>
          </w:tcPr>
          <w:p w14:paraId="58A486B0"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141 301</w:t>
            </w:r>
          </w:p>
        </w:tc>
        <w:tc>
          <w:tcPr>
            <w:tcW w:w="1276" w:type="dxa"/>
          </w:tcPr>
          <w:p w14:paraId="3ACFE48E" w14:textId="77777777" w:rsidR="005A3C39" w:rsidRPr="00A557BB" w:rsidRDefault="005A3C39" w:rsidP="00D11B6F">
            <w:pPr>
              <w:keepNext/>
              <w:keepLines/>
              <w:jc w:val="right"/>
              <w:rPr>
                <w:b/>
                <w:color w:val="000000"/>
                <w:sz w:val="20"/>
                <w:szCs w:val="20"/>
                <w:lang w:val="fr-FR"/>
              </w:rPr>
            </w:pPr>
          </w:p>
        </w:tc>
        <w:tc>
          <w:tcPr>
            <w:tcW w:w="1275" w:type="dxa"/>
          </w:tcPr>
          <w:p w14:paraId="547FF486"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7 952</w:t>
            </w:r>
          </w:p>
        </w:tc>
        <w:tc>
          <w:tcPr>
            <w:tcW w:w="1417" w:type="dxa"/>
          </w:tcPr>
          <w:p w14:paraId="4BD4A9D2"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149 253</w:t>
            </w:r>
          </w:p>
        </w:tc>
      </w:tr>
      <w:tr w:rsidR="005A3C39" w:rsidRPr="00A557BB" w14:paraId="5D8A0D0F" w14:textId="77777777" w:rsidTr="000537BA">
        <w:tc>
          <w:tcPr>
            <w:tcW w:w="1243" w:type="dxa"/>
            <w:vAlign w:val="center"/>
          </w:tcPr>
          <w:p w14:paraId="31AD6C4C" w14:textId="77777777" w:rsidR="005A3C39" w:rsidRPr="00A557BB" w:rsidRDefault="005A3C39" w:rsidP="00D11B6F">
            <w:pPr>
              <w:keepNext/>
              <w:keepLines/>
              <w:rPr>
                <w:b/>
                <w:color w:val="000000"/>
                <w:sz w:val="20"/>
                <w:szCs w:val="20"/>
                <w:lang w:val="fr-FR"/>
              </w:rPr>
            </w:pPr>
            <w:r w:rsidRPr="00A557BB">
              <w:rPr>
                <w:b/>
                <w:color w:val="000000"/>
                <w:sz w:val="20"/>
                <w:szCs w:val="20"/>
                <w:lang w:val="fr-FR"/>
              </w:rPr>
              <w:t>Taux de décaissement (%)</w:t>
            </w:r>
          </w:p>
        </w:tc>
        <w:tc>
          <w:tcPr>
            <w:tcW w:w="992" w:type="dxa"/>
          </w:tcPr>
          <w:p w14:paraId="65206F42" w14:textId="77777777" w:rsidR="005A3C39" w:rsidRPr="00A557BB" w:rsidRDefault="005A3C39" w:rsidP="00D11B6F">
            <w:pPr>
              <w:keepNext/>
              <w:keepLines/>
              <w:jc w:val="right"/>
              <w:rPr>
                <w:b/>
                <w:color w:val="000000"/>
                <w:sz w:val="20"/>
                <w:szCs w:val="20"/>
                <w:lang w:val="fr-FR"/>
              </w:rPr>
            </w:pPr>
          </w:p>
        </w:tc>
        <w:tc>
          <w:tcPr>
            <w:tcW w:w="993" w:type="dxa"/>
          </w:tcPr>
          <w:p w14:paraId="2859140A" w14:textId="77777777" w:rsidR="005A3C39" w:rsidRPr="00A557BB" w:rsidRDefault="005A3C39" w:rsidP="00D11B6F">
            <w:pPr>
              <w:keepNext/>
              <w:keepLines/>
              <w:jc w:val="right"/>
              <w:rPr>
                <w:b/>
                <w:color w:val="000000"/>
                <w:sz w:val="20"/>
                <w:szCs w:val="20"/>
                <w:lang w:val="fr-FR"/>
              </w:rPr>
            </w:pPr>
          </w:p>
        </w:tc>
        <w:tc>
          <w:tcPr>
            <w:tcW w:w="1134" w:type="dxa"/>
          </w:tcPr>
          <w:p w14:paraId="7C628E09" w14:textId="77777777" w:rsidR="005A3C39" w:rsidRPr="00A557BB" w:rsidRDefault="005A3C39" w:rsidP="00D11B6F">
            <w:pPr>
              <w:keepNext/>
              <w:keepLines/>
              <w:jc w:val="right"/>
              <w:rPr>
                <w:b/>
                <w:color w:val="000000"/>
                <w:sz w:val="20"/>
                <w:szCs w:val="20"/>
                <w:lang w:val="fr-FR"/>
              </w:rPr>
            </w:pPr>
          </w:p>
        </w:tc>
        <w:tc>
          <w:tcPr>
            <w:tcW w:w="992" w:type="dxa"/>
          </w:tcPr>
          <w:p w14:paraId="6BEFD745"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81</w:t>
            </w:r>
          </w:p>
        </w:tc>
        <w:tc>
          <w:tcPr>
            <w:tcW w:w="1276" w:type="dxa"/>
          </w:tcPr>
          <w:p w14:paraId="6B225066"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80</w:t>
            </w:r>
          </w:p>
        </w:tc>
        <w:tc>
          <w:tcPr>
            <w:tcW w:w="1275" w:type="dxa"/>
          </w:tcPr>
          <w:p w14:paraId="1E734D45" w14:textId="77777777" w:rsidR="005A3C39" w:rsidRPr="00A557BB" w:rsidRDefault="005A3C39" w:rsidP="00D11B6F">
            <w:pPr>
              <w:keepNext/>
              <w:keepLines/>
              <w:jc w:val="right"/>
              <w:rPr>
                <w:b/>
                <w:color w:val="000000"/>
                <w:sz w:val="20"/>
                <w:szCs w:val="20"/>
                <w:lang w:val="fr-FR"/>
              </w:rPr>
            </w:pPr>
          </w:p>
        </w:tc>
        <w:tc>
          <w:tcPr>
            <w:tcW w:w="1417" w:type="dxa"/>
          </w:tcPr>
          <w:p w14:paraId="48681F6A"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85</w:t>
            </w:r>
          </w:p>
        </w:tc>
      </w:tr>
      <w:tr w:rsidR="005A3C39" w:rsidRPr="00A557BB" w14:paraId="461394BE" w14:textId="77777777" w:rsidTr="000537BA">
        <w:tc>
          <w:tcPr>
            <w:tcW w:w="1243" w:type="dxa"/>
            <w:vAlign w:val="center"/>
          </w:tcPr>
          <w:p w14:paraId="1423D357" w14:textId="77777777" w:rsidR="005A3C39" w:rsidRPr="00A557BB" w:rsidRDefault="005A3C39" w:rsidP="00D11B6F">
            <w:pPr>
              <w:keepNext/>
              <w:keepLines/>
              <w:rPr>
                <w:color w:val="000000"/>
                <w:sz w:val="20"/>
                <w:szCs w:val="20"/>
                <w:lang w:val="fr-FR"/>
              </w:rPr>
            </w:pPr>
            <w:r w:rsidRPr="00A557BB">
              <w:rPr>
                <w:color w:val="000000"/>
                <w:sz w:val="20"/>
                <w:szCs w:val="20"/>
                <w:lang w:val="fr-FR"/>
              </w:rPr>
              <w:t xml:space="preserve">Quatrième </w:t>
            </w:r>
          </w:p>
        </w:tc>
        <w:tc>
          <w:tcPr>
            <w:tcW w:w="992" w:type="dxa"/>
          </w:tcPr>
          <w:p w14:paraId="3D6F70BF"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50 000</w:t>
            </w:r>
          </w:p>
        </w:tc>
        <w:tc>
          <w:tcPr>
            <w:tcW w:w="993" w:type="dxa"/>
          </w:tcPr>
          <w:p w14:paraId="77451571"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0</w:t>
            </w:r>
          </w:p>
        </w:tc>
        <w:tc>
          <w:tcPr>
            <w:tcW w:w="1134" w:type="dxa"/>
          </w:tcPr>
          <w:p w14:paraId="305489E3"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5 607</w:t>
            </w:r>
          </w:p>
        </w:tc>
        <w:tc>
          <w:tcPr>
            <w:tcW w:w="992" w:type="dxa"/>
          </w:tcPr>
          <w:p w14:paraId="363A8A6E"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5 607</w:t>
            </w:r>
          </w:p>
        </w:tc>
        <w:tc>
          <w:tcPr>
            <w:tcW w:w="1276" w:type="dxa"/>
          </w:tcPr>
          <w:p w14:paraId="7EDD63F1" w14:textId="77777777" w:rsidR="005A3C39" w:rsidRPr="00A557BB" w:rsidRDefault="005A3C39" w:rsidP="00D11B6F">
            <w:pPr>
              <w:keepNext/>
              <w:keepLines/>
              <w:jc w:val="right"/>
              <w:rPr>
                <w:color w:val="000000"/>
                <w:sz w:val="20"/>
                <w:szCs w:val="20"/>
                <w:lang w:val="fr-FR"/>
              </w:rPr>
            </w:pPr>
          </w:p>
        </w:tc>
        <w:tc>
          <w:tcPr>
            <w:tcW w:w="1275" w:type="dxa"/>
          </w:tcPr>
          <w:p w14:paraId="0E50076B"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12 500</w:t>
            </w:r>
          </w:p>
        </w:tc>
        <w:tc>
          <w:tcPr>
            <w:tcW w:w="1417" w:type="dxa"/>
          </w:tcPr>
          <w:p w14:paraId="2F3958E2" w14:textId="77777777" w:rsidR="005A3C39" w:rsidRPr="00A557BB" w:rsidRDefault="005A3C39" w:rsidP="00D11B6F">
            <w:pPr>
              <w:keepNext/>
              <w:keepLines/>
              <w:jc w:val="right"/>
              <w:rPr>
                <w:color w:val="000000"/>
                <w:sz w:val="20"/>
                <w:szCs w:val="20"/>
                <w:lang w:val="fr-FR"/>
              </w:rPr>
            </w:pPr>
            <w:r w:rsidRPr="00A557BB">
              <w:rPr>
                <w:color w:val="000000"/>
                <w:sz w:val="20"/>
                <w:szCs w:val="20"/>
                <w:lang w:val="fr-FR"/>
              </w:rPr>
              <w:t>18 107</w:t>
            </w:r>
          </w:p>
        </w:tc>
      </w:tr>
      <w:tr w:rsidR="005A3C39" w:rsidRPr="00A557BB" w14:paraId="5CB9BC23" w14:textId="77777777" w:rsidTr="000537BA">
        <w:tc>
          <w:tcPr>
            <w:tcW w:w="1243" w:type="dxa"/>
            <w:vAlign w:val="center"/>
          </w:tcPr>
          <w:p w14:paraId="783E112A" w14:textId="77777777" w:rsidR="005A3C39" w:rsidRPr="00A557BB" w:rsidRDefault="005A3C39" w:rsidP="00D11B6F">
            <w:pPr>
              <w:keepNext/>
              <w:keepLines/>
              <w:rPr>
                <w:b/>
                <w:color w:val="000000"/>
                <w:sz w:val="20"/>
                <w:szCs w:val="20"/>
                <w:lang w:val="fr-FR"/>
              </w:rPr>
            </w:pPr>
            <w:r w:rsidRPr="00A557BB">
              <w:rPr>
                <w:b/>
                <w:color w:val="000000"/>
                <w:sz w:val="20"/>
                <w:szCs w:val="20"/>
                <w:lang w:val="fr-FR"/>
              </w:rPr>
              <w:t>Taux de décaissement (%)</w:t>
            </w:r>
          </w:p>
        </w:tc>
        <w:tc>
          <w:tcPr>
            <w:tcW w:w="992" w:type="dxa"/>
          </w:tcPr>
          <w:p w14:paraId="002577CA" w14:textId="77777777" w:rsidR="005A3C39" w:rsidRPr="00A557BB" w:rsidRDefault="005A3C39" w:rsidP="00D11B6F">
            <w:pPr>
              <w:keepNext/>
              <w:keepLines/>
              <w:jc w:val="right"/>
              <w:rPr>
                <w:b/>
                <w:color w:val="000000"/>
                <w:sz w:val="20"/>
                <w:szCs w:val="20"/>
                <w:lang w:val="fr-FR"/>
              </w:rPr>
            </w:pPr>
          </w:p>
        </w:tc>
        <w:tc>
          <w:tcPr>
            <w:tcW w:w="993" w:type="dxa"/>
          </w:tcPr>
          <w:p w14:paraId="387139DB" w14:textId="77777777" w:rsidR="005A3C39" w:rsidRPr="00A557BB" w:rsidRDefault="005A3C39" w:rsidP="00D11B6F">
            <w:pPr>
              <w:keepNext/>
              <w:keepLines/>
              <w:jc w:val="right"/>
              <w:rPr>
                <w:b/>
                <w:color w:val="000000"/>
                <w:sz w:val="20"/>
                <w:szCs w:val="20"/>
                <w:lang w:val="fr-FR"/>
              </w:rPr>
            </w:pPr>
          </w:p>
        </w:tc>
        <w:tc>
          <w:tcPr>
            <w:tcW w:w="1134" w:type="dxa"/>
          </w:tcPr>
          <w:p w14:paraId="6AC5463F" w14:textId="77777777" w:rsidR="005A3C39" w:rsidRPr="00A557BB" w:rsidRDefault="005A3C39" w:rsidP="00D11B6F">
            <w:pPr>
              <w:keepNext/>
              <w:keepLines/>
              <w:jc w:val="right"/>
              <w:rPr>
                <w:b/>
                <w:color w:val="000000"/>
                <w:sz w:val="20"/>
                <w:szCs w:val="20"/>
                <w:lang w:val="fr-FR"/>
              </w:rPr>
            </w:pPr>
          </w:p>
        </w:tc>
        <w:tc>
          <w:tcPr>
            <w:tcW w:w="992" w:type="dxa"/>
          </w:tcPr>
          <w:p w14:paraId="2D24D640"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11</w:t>
            </w:r>
          </w:p>
        </w:tc>
        <w:tc>
          <w:tcPr>
            <w:tcW w:w="1276" w:type="dxa"/>
          </w:tcPr>
          <w:p w14:paraId="793C165C"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20</w:t>
            </w:r>
          </w:p>
        </w:tc>
        <w:tc>
          <w:tcPr>
            <w:tcW w:w="1275" w:type="dxa"/>
          </w:tcPr>
          <w:p w14:paraId="1132C1B5" w14:textId="77777777" w:rsidR="005A3C39" w:rsidRPr="00A557BB" w:rsidRDefault="005A3C39" w:rsidP="00D11B6F">
            <w:pPr>
              <w:keepNext/>
              <w:keepLines/>
              <w:jc w:val="right"/>
              <w:rPr>
                <w:b/>
                <w:color w:val="000000"/>
                <w:sz w:val="20"/>
                <w:szCs w:val="20"/>
                <w:lang w:val="fr-FR"/>
              </w:rPr>
            </w:pPr>
          </w:p>
        </w:tc>
        <w:tc>
          <w:tcPr>
            <w:tcW w:w="1417" w:type="dxa"/>
          </w:tcPr>
          <w:p w14:paraId="633E0103" w14:textId="77777777" w:rsidR="005A3C39" w:rsidRPr="00A557BB" w:rsidRDefault="005A3C39" w:rsidP="00D11B6F">
            <w:pPr>
              <w:keepNext/>
              <w:keepLines/>
              <w:jc w:val="right"/>
              <w:rPr>
                <w:b/>
                <w:color w:val="000000"/>
                <w:sz w:val="20"/>
                <w:szCs w:val="20"/>
                <w:lang w:val="fr-FR"/>
              </w:rPr>
            </w:pPr>
            <w:r w:rsidRPr="00A557BB">
              <w:rPr>
                <w:b/>
                <w:color w:val="000000"/>
                <w:sz w:val="20"/>
                <w:szCs w:val="20"/>
                <w:lang w:val="fr-FR"/>
              </w:rPr>
              <w:t>36</w:t>
            </w:r>
          </w:p>
        </w:tc>
      </w:tr>
    </w:tbl>
    <w:p w14:paraId="5C7361B5" w14:textId="77777777" w:rsidR="005A3C39" w:rsidRPr="00A557BB" w:rsidRDefault="005A3C39" w:rsidP="005A3C39">
      <w:pPr>
        <w:rPr>
          <w:lang w:val="fr-FR"/>
        </w:rPr>
      </w:pPr>
    </w:p>
    <w:p w14:paraId="5178322C" w14:textId="77777777" w:rsidR="005A3C39" w:rsidRPr="00A557BB" w:rsidRDefault="005A3C39" w:rsidP="005A3C39">
      <w:pPr>
        <w:spacing w:after="240"/>
        <w:outlineLvl w:val="0"/>
        <w:rPr>
          <w:i/>
          <w:lang w:val="fr-FR"/>
        </w:rPr>
      </w:pPr>
      <w:r w:rsidRPr="00A557BB">
        <w:rPr>
          <w:i/>
          <w:lang w:val="fr-FR"/>
        </w:rPr>
        <w:t>Mise à jour sur le plan de mise en œuvre de la phase I du PGEH</w:t>
      </w:r>
    </w:p>
    <w:p w14:paraId="0B299E86" w14:textId="77777777" w:rsidR="005A3C39" w:rsidRPr="00A557BB" w:rsidRDefault="005A3C39" w:rsidP="005A3C39">
      <w:pPr>
        <w:numPr>
          <w:ilvl w:val="0"/>
          <w:numId w:val="1"/>
        </w:numPr>
        <w:tabs>
          <w:tab w:val="clear" w:pos="0"/>
          <w:tab w:val="num" w:pos="710"/>
        </w:tabs>
        <w:spacing w:after="240"/>
        <w:outlineLvl w:val="0"/>
        <w:rPr>
          <w:color w:val="000000" w:themeColor="text1"/>
          <w:lang w:val="fr-FR"/>
        </w:rPr>
      </w:pPr>
      <w:r w:rsidRPr="00A557BB">
        <w:rPr>
          <w:color w:val="000000" w:themeColor="text1"/>
          <w:lang w:val="fr-FR"/>
        </w:rPr>
        <w:t xml:space="preserve">Les activités suivantes sont prévues pour la période allant de novembre 2019 à mai 2020 : </w:t>
      </w:r>
    </w:p>
    <w:p w14:paraId="56B33AAB" w14:textId="77777777" w:rsidR="005A3C39" w:rsidRPr="00A557BB" w:rsidRDefault="00587E5F" w:rsidP="001D226E">
      <w:pPr>
        <w:pStyle w:val="Heading2"/>
        <w:numPr>
          <w:ilvl w:val="1"/>
          <w:numId w:val="1"/>
        </w:numPr>
        <w:rPr>
          <w:lang w:val="fr-FR"/>
        </w:rPr>
      </w:pPr>
      <w:r w:rsidRPr="00A557BB">
        <w:rPr>
          <w:lang w:val="fr-FR"/>
        </w:rPr>
        <w:t>formation d’agents des douanes et membres des forces de l’ordre</w:t>
      </w:r>
      <w:r w:rsidR="005A3C39" w:rsidRPr="00A557BB">
        <w:rPr>
          <w:lang w:val="fr-FR"/>
        </w:rPr>
        <w:t>, couvrant 31 points d’entrée des douanes, concernant le contrôle des importations de HCFC et d’é</w:t>
      </w:r>
      <w:r w:rsidRPr="00A557BB">
        <w:rPr>
          <w:lang w:val="fr-FR"/>
        </w:rPr>
        <w:t>quipements fonctionnant au HCFC ;</w:t>
      </w:r>
    </w:p>
    <w:p w14:paraId="34DE909B" w14:textId="77777777" w:rsidR="005A3C39" w:rsidRPr="00A557BB" w:rsidRDefault="005A3C39" w:rsidP="00E748BB">
      <w:pPr>
        <w:pStyle w:val="Heading2"/>
        <w:keepNext/>
        <w:widowControl/>
        <w:numPr>
          <w:ilvl w:val="1"/>
          <w:numId w:val="1"/>
        </w:numPr>
        <w:rPr>
          <w:lang w:val="fr-FR"/>
        </w:rPr>
      </w:pPr>
      <w:r w:rsidRPr="00A557BB">
        <w:rPr>
          <w:lang w:val="fr-FR"/>
        </w:rPr>
        <w:t>mise au point finale du système électronique pour l’enregistrement des importateurs, des fo</w:t>
      </w:r>
      <w:r w:rsidR="00587E5F" w:rsidRPr="00A557BB">
        <w:rPr>
          <w:lang w:val="fr-FR"/>
        </w:rPr>
        <w:t xml:space="preserve">urnisseurs et des utilisateurs </w:t>
      </w:r>
      <w:r w:rsidRPr="00A557BB">
        <w:rPr>
          <w:lang w:val="fr-FR"/>
        </w:rPr>
        <w:t>finaux, ainsi que la conception d</w:t>
      </w:r>
      <w:r w:rsidR="00587E5F" w:rsidRPr="00A557BB">
        <w:rPr>
          <w:lang w:val="fr-FR"/>
        </w:rPr>
        <w:t>e modules de formation en ligne ;</w:t>
      </w:r>
    </w:p>
    <w:p w14:paraId="595E6605" w14:textId="77777777" w:rsidR="005A3C39" w:rsidRPr="00A557BB" w:rsidRDefault="005A3C39" w:rsidP="005A3C39">
      <w:pPr>
        <w:pStyle w:val="Heading2"/>
        <w:numPr>
          <w:ilvl w:val="1"/>
          <w:numId w:val="1"/>
        </w:numPr>
        <w:rPr>
          <w:lang w:val="fr-FR"/>
        </w:rPr>
      </w:pPr>
      <w:r w:rsidRPr="00A557BB">
        <w:rPr>
          <w:lang w:val="fr-FR"/>
        </w:rPr>
        <w:t xml:space="preserve">reformulation continue du mécanisme de certification pour les techniciens en réfrigération et la promotion de son exécution ; examen des normes techniques, y compris les mesures de sécurité concernant les frigorigènes inflammables ; mise à jour des documents informatifs aux fins de sensibilisation du grand public et du personnel technique ; </w:t>
      </w:r>
    </w:p>
    <w:p w14:paraId="157CB43F" w14:textId="77777777" w:rsidR="005A3C39" w:rsidRPr="00A557BB" w:rsidRDefault="005A3C39" w:rsidP="005A3C39">
      <w:pPr>
        <w:pStyle w:val="Heading2"/>
        <w:numPr>
          <w:ilvl w:val="1"/>
          <w:numId w:val="1"/>
        </w:numPr>
        <w:rPr>
          <w:lang w:val="fr-FR"/>
        </w:rPr>
      </w:pPr>
      <w:r w:rsidRPr="00A557BB">
        <w:rPr>
          <w:lang w:val="fr-FR"/>
        </w:rPr>
        <w:t xml:space="preserve">ateliers de formation au bénéfice de 100 techniciens en réfrigération sur les bonnes pratiques et la manipulation </w:t>
      </w:r>
      <w:r w:rsidR="00587E5F" w:rsidRPr="00A557BB">
        <w:rPr>
          <w:lang w:val="fr-FR"/>
        </w:rPr>
        <w:t>en toute sécurité</w:t>
      </w:r>
      <w:r w:rsidRPr="00A557BB">
        <w:rPr>
          <w:lang w:val="fr-FR"/>
        </w:rPr>
        <w:t xml:space="preserve"> des solutions de remplacement des SAO ;</w:t>
      </w:r>
    </w:p>
    <w:p w14:paraId="6C1B93F9" w14:textId="77777777" w:rsidR="005A3C39" w:rsidRPr="00A557BB" w:rsidRDefault="005A3C39" w:rsidP="005A3C39">
      <w:pPr>
        <w:pStyle w:val="Heading2"/>
        <w:numPr>
          <w:ilvl w:val="1"/>
          <w:numId w:val="1"/>
        </w:numPr>
        <w:rPr>
          <w:lang w:val="fr-FR"/>
        </w:rPr>
      </w:pPr>
      <w:r w:rsidRPr="00A557BB">
        <w:rPr>
          <w:lang w:val="fr-FR"/>
        </w:rPr>
        <w:t>établissement d'un programme destiné aux utilisateurs finaux permettant de promouvoir le confinement des frigorigènes afin de réduire la consommation d’électricité grâce à la réduction des fuites et aux bonnes pratiques de réfrigération, et mises à jour techniques au bénéfice des centres de récupération et de recyclage.</w:t>
      </w:r>
    </w:p>
    <w:p w14:paraId="7908B569" w14:textId="77777777" w:rsidR="005A3C39" w:rsidRPr="00A557BB" w:rsidRDefault="005A3C39" w:rsidP="005A3C39">
      <w:pPr>
        <w:jc w:val="left"/>
        <w:rPr>
          <w:b/>
          <w:lang w:val="fr-FR"/>
        </w:rPr>
      </w:pPr>
      <w:r w:rsidRPr="00A557BB">
        <w:rPr>
          <w:b/>
          <w:lang w:val="fr-FR"/>
        </w:rPr>
        <w:t>Observations du Secrétariat</w:t>
      </w:r>
    </w:p>
    <w:p w14:paraId="5E246405" w14:textId="77777777" w:rsidR="005A3C39" w:rsidRPr="00A557BB" w:rsidRDefault="005A3C39" w:rsidP="005A3C39">
      <w:pPr>
        <w:jc w:val="left"/>
        <w:rPr>
          <w:b/>
          <w:lang w:val="fr-FR"/>
        </w:rPr>
      </w:pPr>
    </w:p>
    <w:p w14:paraId="351DFCCB" w14:textId="77777777" w:rsidR="005A3C39" w:rsidRPr="00A557BB" w:rsidRDefault="005A3C39" w:rsidP="005A3C39">
      <w:pPr>
        <w:pStyle w:val="Heading1"/>
        <w:rPr>
          <w:lang w:val="fr-FR"/>
        </w:rPr>
      </w:pPr>
      <w:r w:rsidRPr="00A557BB">
        <w:rPr>
          <w:lang w:val="fr-FR"/>
        </w:rPr>
        <w:t xml:space="preserve">Les efforts se sont poursuivis pour mettre en place un système de certification et pour former des techniciens en réfrigération. Cependant, d’autres activités n’ont pas progressé comme prévu, notamment la formation des agents des douanes et </w:t>
      </w:r>
      <w:r w:rsidR="00587E5F" w:rsidRPr="00A557BB">
        <w:rPr>
          <w:lang w:val="fr-FR"/>
        </w:rPr>
        <w:t xml:space="preserve">les membres </w:t>
      </w:r>
      <w:r w:rsidRPr="00A557BB">
        <w:rPr>
          <w:lang w:val="fr-FR"/>
        </w:rPr>
        <w:t>des forces de l'ordre couvrant 31 points d’entrée douaniers, la mise en place d'un système électronique d'enregistrement des importateurs, des fournisseurs et des utilisateurs finaux et la révision des normes techniques, y compris des mesures de sécurité concernant les frigorigènes inflammables. Le PNUE a expliqué que le programme de formation des agents des douanes avait été reporté car le servic</w:t>
      </w:r>
      <w:r w:rsidR="00587E5F" w:rsidRPr="00A557BB">
        <w:rPr>
          <w:lang w:val="fr-FR"/>
        </w:rPr>
        <w:t xml:space="preserve">e </w:t>
      </w:r>
      <w:r w:rsidRPr="00A557BB">
        <w:rPr>
          <w:lang w:val="fr-FR"/>
        </w:rPr>
        <w:t xml:space="preserve">des douanes était en train de refondre sa structure organisationnelle. La formation des douaniers et la base de données de surveillance des SAO </w:t>
      </w:r>
      <w:r w:rsidRPr="00A557BB">
        <w:rPr>
          <w:lang w:val="fr-FR"/>
        </w:rPr>
        <w:lastRenderedPageBreak/>
        <w:t>commenceront en janvier 2020. L'activité concernant la norme devrait être achevée au cours du deuxième trimes</w:t>
      </w:r>
      <w:r w:rsidR="00587E5F" w:rsidRPr="00A557BB">
        <w:rPr>
          <w:lang w:val="fr-FR"/>
        </w:rPr>
        <w:t>tre</w:t>
      </w:r>
      <w:r w:rsidRPr="00A557BB">
        <w:rPr>
          <w:lang w:val="fr-FR"/>
        </w:rPr>
        <w:t xml:space="preserve"> 2020. </w:t>
      </w:r>
    </w:p>
    <w:p w14:paraId="5A77BD94" w14:textId="77777777" w:rsidR="005A3C39" w:rsidRPr="00A557BB" w:rsidRDefault="005A3C39" w:rsidP="005A3C39">
      <w:pPr>
        <w:pStyle w:val="Heading1"/>
        <w:rPr>
          <w:lang w:val="fr-FR"/>
        </w:rPr>
      </w:pPr>
      <w:r w:rsidRPr="00A557BB">
        <w:rPr>
          <w:lang w:val="fr-FR"/>
        </w:rPr>
        <w:t xml:space="preserve">En ce qui concerne les décaissements, le Honduras a atteint l'objectif de décaissement pour les trois premières tranches (80% au 31 mars 2019), mais n'a pas atteint l'objectif de la quatrième tranche (20% au 31 mars 2019). Le PNUE a attribué cela à des facteurs externes hors du contrôle de l'UNO et a assuré le Secrétariat que l'UNO s'était engagée à atteindre un décaissement de 50% d'ici à mars 2020 (au lieu de décembre 2019, comme convenu dans la décision 81/34) et un décaissement de 100% d'ici décembre 2020. </w:t>
      </w:r>
    </w:p>
    <w:p w14:paraId="3EB0BBB2" w14:textId="77777777" w:rsidR="005A3C39" w:rsidRPr="00A557BB" w:rsidRDefault="005A3C39" w:rsidP="005A3C39">
      <w:pPr>
        <w:pStyle w:val="Heading1"/>
        <w:rPr>
          <w:lang w:val="fr-FR"/>
        </w:rPr>
      </w:pPr>
      <w:r w:rsidRPr="00A557BB">
        <w:rPr>
          <w:lang w:val="fr-FR"/>
        </w:rPr>
        <w:t>Conscient des progrès accomplis mais aussi qu'il reste des engagements nécessitant des mesures supplémentaires, le Secrétariat a proposé que la cinquième et dernière tranche, prévue pour la 85</w:t>
      </w:r>
      <w:r w:rsidRPr="00A557BB">
        <w:rPr>
          <w:vertAlign w:val="superscript"/>
          <w:lang w:val="fr-FR"/>
        </w:rPr>
        <w:t>e</w:t>
      </w:r>
      <w:r w:rsidRPr="00A557BB">
        <w:rPr>
          <w:lang w:val="fr-FR"/>
        </w:rPr>
        <w:t xml:space="preserve"> réunion, ne soit présentée qu'une fois la formation des agents des douanes et des agents de contrôle terminée, le système électronique d'enregistrement des importateurs, des fournisseurs et des utilisateurs finaux en place, des progrès substantiels dans la révision des normes techniques signalés, et le décaissement à 100% pour les première, deuxième et troisième tranches et le décaissement à 70% pour la quatrième tranche par le PNUE réalisés.</w:t>
      </w:r>
    </w:p>
    <w:p w14:paraId="1D1D68D8" w14:textId="77777777" w:rsidR="005A3C39" w:rsidRPr="00A557BB" w:rsidRDefault="005A3C39" w:rsidP="005A3C39">
      <w:pPr>
        <w:pStyle w:val="Heading1"/>
        <w:rPr>
          <w:lang w:val="fr-FR"/>
        </w:rPr>
      </w:pPr>
      <w:r w:rsidRPr="00A557BB">
        <w:rPr>
          <w:lang w:val="fr-FR"/>
        </w:rPr>
        <w:t>Le Gouvernement du Honduras et le PNUE ont souscrit à la proposition du Secrétariat. Si la cinquième tranche n’est pas présentée à la 85</w:t>
      </w:r>
      <w:r w:rsidRPr="00A557BB">
        <w:rPr>
          <w:vertAlign w:val="superscript"/>
          <w:lang w:val="fr-FR"/>
        </w:rPr>
        <w:t>e</w:t>
      </w:r>
      <w:r w:rsidRPr="00A557BB">
        <w:rPr>
          <w:lang w:val="fr-FR"/>
        </w:rPr>
        <w:t xml:space="preserve"> réunion, conformément à la décision 81/34, le PNUE continuera de faire rapport sur les progrès accomplis jusqu’à la soumission de la cinquième tranche.</w:t>
      </w:r>
    </w:p>
    <w:p w14:paraId="0C4BDD65" w14:textId="77777777" w:rsidR="005A3C39" w:rsidRPr="00A557BB" w:rsidRDefault="0064628C" w:rsidP="005A3C39">
      <w:pPr>
        <w:tabs>
          <w:tab w:val="left" w:pos="720"/>
        </w:tabs>
        <w:spacing w:after="240"/>
        <w:outlineLvl w:val="0"/>
        <w:rPr>
          <w:b/>
          <w:lang w:val="fr-FR"/>
        </w:rPr>
      </w:pPr>
      <w:r w:rsidRPr="00A557BB">
        <w:rPr>
          <w:b/>
          <w:lang w:val="fr-FR"/>
        </w:rPr>
        <w:t>Recommandation</w:t>
      </w:r>
    </w:p>
    <w:p w14:paraId="557924A3" w14:textId="77777777" w:rsidR="005A3C39" w:rsidRPr="00A557BB" w:rsidRDefault="005A3C39" w:rsidP="005A3C39">
      <w:pPr>
        <w:numPr>
          <w:ilvl w:val="0"/>
          <w:numId w:val="1"/>
        </w:numPr>
        <w:tabs>
          <w:tab w:val="clear" w:pos="0"/>
          <w:tab w:val="num" w:pos="710"/>
        </w:tabs>
        <w:spacing w:after="240"/>
        <w:outlineLvl w:val="0"/>
        <w:rPr>
          <w:lang w:val="fr-FR"/>
        </w:rPr>
      </w:pPr>
      <w:r w:rsidRPr="00A557BB">
        <w:rPr>
          <w:lang w:val="fr-FR"/>
        </w:rPr>
        <w:t>Le Comité exécutif pourrait souhaiter :</w:t>
      </w:r>
    </w:p>
    <w:p w14:paraId="237F5CDB" w14:textId="77777777" w:rsidR="005A3C39" w:rsidRPr="00A557BB" w:rsidRDefault="005A3C39" w:rsidP="005A3C39">
      <w:pPr>
        <w:pStyle w:val="Heading2"/>
        <w:numPr>
          <w:ilvl w:val="1"/>
          <w:numId w:val="1"/>
        </w:numPr>
        <w:rPr>
          <w:lang w:val="fr-FR"/>
        </w:rPr>
      </w:pPr>
      <w:r w:rsidRPr="00A557BB">
        <w:rPr>
          <w:lang w:val="fr-FR"/>
        </w:rPr>
        <w:t xml:space="preserve">prendre note du rapport d'avancement sur la mise en œuvre des activités dans les composantes du PNUE de la phase I du plan de gestion de l'élimination des HCFC (PGEH) pour le Honduras, présenté par le PNUE et figurant dans le document paru sous la cote UNEP/Ozl.Pro/ExCom/84/22 ; </w:t>
      </w:r>
    </w:p>
    <w:p w14:paraId="6819F6A7" w14:textId="77777777" w:rsidR="005A3C39" w:rsidRPr="00A557BB" w:rsidRDefault="005A3C39" w:rsidP="005A3C39">
      <w:pPr>
        <w:pStyle w:val="Heading2"/>
        <w:numPr>
          <w:ilvl w:val="1"/>
          <w:numId w:val="1"/>
        </w:numPr>
        <w:rPr>
          <w:lang w:val="fr-FR"/>
        </w:rPr>
      </w:pPr>
      <w:r w:rsidRPr="00A557BB">
        <w:rPr>
          <w:lang w:val="fr-FR"/>
        </w:rPr>
        <w:t>noter que la cinquième et dernière tranche de la phase I du PGEH ne pourra être présentée</w:t>
      </w:r>
      <w:r w:rsidR="00587E5F" w:rsidRPr="00A557BB">
        <w:rPr>
          <w:lang w:val="fr-FR"/>
        </w:rPr>
        <w:t> :</w:t>
      </w:r>
    </w:p>
    <w:p w14:paraId="47184E3E" w14:textId="77777777" w:rsidR="00587E5F" w:rsidRPr="00A557BB" w:rsidRDefault="005A3C39" w:rsidP="005A3C39">
      <w:pPr>
        <w:pStyle w:val="Heading3"/>
        <w:numPr>
          <w:ilvl w:val="2"/>
          <w:numId w:val="1"/>
        </w:numPr>
        <w:rPr>
          <w:lang w:val="fr-FR"/>
        </w:rPr>
      </w:pPr>
      <w:r w:rsidRPr="00A557BB">
        <w:rPr>
          <w:lang w:val="fr-FR"/>
        </w:rPr>
        <w:t xml:space="preserve">qu'une fois la formation des agents des douanes et des agents de contrôle terminée, le système électronique d'enregistrement des importateurs, des fournisseurs </w:t>
      </w:r>
      <w:r w:rsidR="00587E5F" w:rsidRPr="00A557BB">
        <w:rPr>
          <w:lang w:val="fr-FR"/>
        </w:rPr>
        <w:t xml:space="preserve">et des utilisateurs finaux </w:t>
      </w:r>
      <w:r w:rsidRPr="00A557BB">
        <w:rPr>
          <w:lang w:val="fr-FR"/>
        </w:rPr>
        <w:t xml:space="preserve">en place, des progrès substantiels dans la révision des normes techniques signalés, et </w:t>
      </w:r>
    </w:p>
    <w:p w14:paraId="0A7E77BE" w14:textId="77777777" w:rsidR="005A3C39" w:rsidRPr="00A557BB" w:rsidRDefault="00587E5F" w:rsidP="005A3C39">
      <w:pPr>
        <w:pStyle w:val="Heading3"/>
        <w:numPr>
          <w:ilvl w:val="2"/>
          <w:numId w:val="1"/>
        </w:numPr>
        <w:rPr>
          <w:lang w:val="fr-FR"/>
        </w:rPr>
      </w:pPr>
      <w:r w:rsidRPr="00A557BB">
        <w:rPr>
          <w:lang w:val="fr-FR"/>
        </w:rPr>
        <w:t>qu’une fois que le décaissement aura atteint</w:t>
      </w:r>
      <w:r w:rsidR="005A3C39" w:rsidRPr="00A557BB">
        <w:rPr>
          <w:lang w:val="fr-FR"/>
        </w:rPr>
        <w:t xml:space="preserve"> 100% pour les première, deuxi</w:t>
      </w:r>
      <w:r w:rsidRPr="00A557BB">
        <w:rPr>
          <w:lang w:val="fr-FR"/>
        </w:rPr>
        <w:t>ème et troisième tranches et</w:t>
      </w:r>
      <w:r w:rsidR="005A3C39" w:rsidRPr="00A557BB">
        <w:rPr>
          <w:lang w:val="fr-FR"/>
        </w:rPr>
        <w:t xml:space="preserve"> 70% pour la quatrième tranche </w:t>
      </w:r>
      <w:r w:rsidRPr="00A557BB">
        <w:rPr>
          <w:lang w:val="fr-FR"/>
        </w:rPr>
        <w:t>pour les composantes concernant</w:t>
      </w:r>
      <w:r w:rsidR="005A3C39" w:rsidRPr="00A557BB">
        <w:rPr>
          <w:lang w:val="fr-FR"/>
        </w:rPr>
        <w:t xml:space="preserve"> le PNUE</w:t>
      </w:r>
      <w:r w:rsidRPr="00A557BB">
        <w:rPr>
          <w:lang w:val="fr-FR"/>
        </w:rPr>
        <w:t> ;</w:t>
      </w:r>
    </w:p>
    <w:p w14:paraId="30C477FC" w14:textId="77777777" w:rsidR="005A3C39" w:rsidRPr="00A557BB" w:rsidRDefault="005A3C39" w:rsidP="005A3C39">
      <w:pPr>
        <w:pStyle w:val="Heading2"/>
        <w:numPr>
          <w:ilvl w:val="1"/>
          <w:numId w:val="1"/>
        </w:numPr>
        <w:rPr>
          <w:lang w:val="fr-FR"/>
        </w:rPr>
      </w:pPr>
      <w:r w:rsidRPr="00A557BB">
        <w:rPr>
          <w:lang w:val="fr-FR"/>
        </w:rPr>
        <w:t xml:space="preserve">demander au PNUE de continuer à présenter à chaque réunion, jusqu’à la présentation de la cinquième et dernière tranche de la phase I du PGEH, un rapport périodique portant sur la mise en œuvre de toutes les activités liées aux volets relevant du PNUE associés à la phase I du PGEH, y compris le taux de décaissement atteint. </w:t>
      </w:r>
    </w:p>
    <w:p w14:paraId="7C3BCEB8" w14:textId="77777777" w:rsidR="00F041B1" w:rsidRPr="00A557BB" w:rsidRDefault="00F041B1" w:rsidP="00D11B6F">
      <w:pPr>
        <w:pStyle w:val="Heading1"/>
        <w:keepNext/>
        <w:keepLines/>
        <w:numPr>
          <w:ilvl w:val="0"/>
          <w:numId w:val="0"/>
        </w:numPr>
        <w:rPr>
          <w:lang w:val="fr-FR"/>
        </w:rPr>
      </w:pPr>
      <w:r w:rsidRPr="00A557BB">
        <w:rPr>
          <w:u w:val="single"/>
          <w:lang w:val="fr-FR"/>
        </w:rPr>
        <w:lastRenderedPageBreak/>
        <w:t>Inde: Plan de gestion de l'élimination des HCFC (phase II - Mise à jour de l'évaluation du respect de l'interdiction par les fabricants de panneaux de mousse continue et liste des fabricants de mousse de polyuréthane)</w:t>
      </w:r>
      <w:r w:rsidR="00A713C4" w:rsidRPr="00A557BB">
        <w:rPr>
          <w:lang w:val="fr-FR"/>
        </w:rPr>
        <w:t xml:space="preserve"> (PNUD, PNUE et Gouvernement de l'Allemagne)</w:t>
      </w:r>
    </w:p>
    <w:p w14:paraId="1D765052" w14:textId="77777777" w:rsidR="00F041B1" w:rsidRPr="00A557BB" w:rsidRDefault="00F041B1" w:rsidP="00D11B6F">
      <w:pPr>
        <w:pStyle w:val="Heading1"/>
        <w:keepNext/>
        <w:keepLines/>
        <w:numPr>
          <w:ilvl w:val="0"/>
          <w:numId w:val="0"/>
        </w:numPr>
        <w:rPr>
          <w:b/>
          <w:lang w:val="fr-FR"/>
        </w:rPr>
      </w:pPr>
      <w:r w:rsidRPr="00A557BB">
        <w:rPr>
          <w:b/>
          <w:lang w:val="fr-FR"/>
        </w:rPr>
        <w:t>Historique</w:t>
      </w:r>
    </w:p>
    <w:p w14:paraId="5EF42DC8" w14:textId="77777777" w:rsidR="00F041B1" w:rsidRPr="00A557BB" w:rsidRDefault="00F041B1" w:rsidP="00D11B6F">
      <w:pPr>
        <w:pStyle w:val="Heading1"/>
        <w:keepNext/>
        <w:keepLines/>
        <w:numPr>
          <w:ilvl w:val="0"/>
          <w:numId w:val="0"/>
        </w:numPr>
        <w:rPr>
          <w:i/>
          <w:lang w:val="fr-FR"/>
        </w:rPr>
      </w:pPr>
      <w:r w:rsidRPr="00A557BB">
        <w:rPr>
          <w:i/>
          <w:lang w:val="fr-FR"/>
        </w:rPr>
        <w:t>Liste des fabricants de mousse de polyuréthane en phase II</w:t>
      </w:r>
    </w:p>
    <w:p w14:paraId="588D433F" w14:textId="77777777" w:rsidR="00F041B1" w:rsidRPr="00A557BB" w:rsidRDefault="00F041B1" w:rsidP="00D11B6F">
      <w:pPr>
        <w:pStyle w:val="Heading1"/>
        <w:keepNext/>
        <w:keepLines/>
        <w:rPr>
          <w:lang w:val="fr-FR"/>
        </w:rPr>
      </w:pPr>
      <w:r w:rsidRPr="00A557BB">
        <w:rPr>
          <w:lang w:val="fr-FR"/>
        </w:rPr>
        <w:t>À sa 77</w:t>
      </w:r>
      <w:r w:rsidRPr="00A557BB">
        <w:rPr>
          <w:vertAlign w:val="superscript"/>
          <w:lang w:val="fr-FR"/>
        </w:rPr>
        <w:t>e</w:t>
      </w:r>
      <w:r w:rsidRPr="00A557BB">
        <w:rPr>
          <w:lang w:val="fr-FR"/>
        </w:rPr>
        <w:t xml:space="preserve"> réunion, en approuvant la phase II du PGEH pour l’Inde, le Comité exécutif a demandé au PNUD d’inclure dans la demande de la deuxième tranche et des futures tranches une liste actualisée des fabricants de mousse de polyuréthane ayant reçu ou allant recevoir au cours de la phase II une aide financière du Fonds multilatéral ainsi que pour chacune d'entre elles la consommation de HCFC-141b à éliminer, une estimation du surcoût de la reconversion, le sous-secteur, les équipements de base le cas échéant et la technologie à adopter. Le Comité exécutif a en outre noté que si, lors de la mise en œuvre du plan sectoriel de la mousse de polyuréthane, le tonnage total à éliminer des entreprises </w:t>
      </w:r>
      <w:r w:rsidR="0091191B" w:rsidRPr="00A557BB">
        <w:rPr>
          <w:lang w:val="fr-FR"/>
        </w:rPr>
        <w:t>admissibles</w:t>
      </w:r>
      <w:r w:rsidRPr="00A557BB">
        <w:rPr>
          <w:lang w:val="fr-FR"/>
        </w:rPr>
        <w:t xml:space="preserve"> à un financement était inférieur aux 3 166 tonnes métriques (tm) de HCFC</w:t>
      </w:r>
      <w:r w:rsidR="00614272" w:rsidRPr="00A557BB">
        <w:rPr>
          <w:lang w:val="fr-FR"/>
        </w:rPr>
        <w:t>-</w:t>
      </w:r>
      <w:r w:rsidRPr="00A557BB">
        <w:rPr>
          <w:lang w:val="fr-FR"/>
        </w:rPr>
        <w:t>141b approuvé</w:t>
      </w:r>
      <w:r w:rsidR="00587E5F" w:rsidRPr="00A557BB">
        <w:rPr>
          <w:lang w:val="fr-FR"/>
        </w:rPr>
        <w:t>es</w:t>
      </w:r>
      <w:r w:rsidRPr="00A557BB">
        <w:rPr>
          <w:lang w:val="fr-FR"/>
        </w:rPr>
        <w:t xml:space="preserve"> pour la phase, les fonds alloués à la phase II seraient réduits en conséquence, à un taux de 7,58 $US / kg.</w:t>
      </w:r>
      <w:r w:rsidRPr="00A557BB">
        <w:rPr>
          <w:rStyle w:val="FootnoteReference"/>
          <w:lang w:val="fr-FR"/>
        </w:rPr>
        <w:footnoteReference w:id="14"/>
      </w:r>
    </w:p>
    <w:p w14:paraId="3E59AFD0" w14:textId="77777777" w:rsidR="00F041B1" w:rsidRPr="00A557BB" w:rsidRDefault="00F041B1" w:rsidP="00F041B1">
      <w:pPr>
        <w:pStyle w:val="Heading1"/>
        <w:rPr>
          <w:lang w:val="fr-FR"/>
        </w:rPr>
      </w:pPr>
      <w:r w:rsidRPr="00A557BB">
        <w:rPr>
          <w:lang w:val="fr-FR"/>
        </w:rPr>
        <w:t xml:space="preserve">À la 82 </w:t>
      </w:r>
      <w:r w:rsidRPr="00A557BB">
        <w:rPr>
          <w:vertAlign w:val="superscript"/>
          <w:lang w:val="fr-FR"/>
        </w:rPr>
        <w:t>e</w:t>
      </w:r>
      <w:r w:rsidRPr="00A557BB">
        <w:rPr>
          <w:lang w:val="fr-FR"/>
        </w:rPr>
        <w:t xml:space="preserve"> réunion, constatant le peu de temps qui restait avant l’application de l’in</w:t>
      </w:r>
      <w:r w:rsidR="00587E5F" w:rsidRPr="00A557BB">
        <w:rPr>
          <w:lang w:val="fr-FR"/>
        </w:rPr>
        <w:t>terdiction du HCFC-141b (au 1</w:t>
      </w:r>
      <w:r w:rsidR="00587E5F" w:rsidRPr="00A557BB">
        <w:rPr>
          <w:vertAlign w:val="superscript"/>
          <w:lang w:val="fr-FR"/>
        </w:rPr>
        <w:t>er</w:t>
      </w:r>
      <w:r w:rsidR="00587E5F" w:rsidRPr="00A557BB">
        <w:rPr>
          <w:lang w:val="fr-FR"/>
        </w:rPr>
        <w:t xml:space="preserve"> </w:t>
      </w:r>
      <w:r w:rsidRPr="00A557BB">
        <w:rPr>
          <w:lang w:val="fr-FR"/>
        </w:rPr>
        <w:t>janvier 2020), le Comité exécutif a décidé de demander au gouvernement de l’Inde, par l’intermédiaire du PNUD, de fournir, à la 84</w:t>
      </w:r>
      <w:r w:rsidRPr="00A557BB">
        <w:rPr>
          <w:vertAlign w:val="superscript"/>
          <w:lang w:val="fr-FR"/>
        </w:rPr>
        <w:t>e</w:t>
      </w:r>
      <w:r w:rsidRPr="00A557BB">
        <w:rPr>
          <w:lang w:val="fr-FR"/>
        </w:rPr>
        <w:t xml:space="preserve"> réunion, la liste des entreprises du secteur des mousses PU, ainsi que de leur consommation, y compris les entreprises jugées </w:t>
      </w:r>
      <w:r w:rsidR="0091191B" w:rsidRPr="00A557BB">
        <w:rPr>
          <w:lang w:val="fr-FR"/>
        </w:rPr>
        <w:t>admissibles</w:t>
      </w:r>
      <w:r w:rsidRPr="00A557BB">
        <w:rPr>
          <w:lang w:val="fr-FR"/>
        </w:rPr>
        <w:t>, celles jugées in</w:t>
      </w:r>
      <w:r w:rsidR="0091191B" w:rsidRPr="00A557BB">
        <w:rPr>
          <w:lang w:val="fr-FR"/>
        </w:rPr>
        <w:t>admissibles</w:t>
      </w:r>
      <w:r w:rsidRPr="00A557BB">
        <w:rPr>
          <w:lang w:val="fr-FR"/>
        </w:rPr>
        <w:t xml:space="preserve"> et celles avec lesquelles des protocoles d’accord avaient été signés.</w:t>
      </w:r>
      <w:r w:rsidRPr="00A557BB">
        <w:rPr>
          <w:rStyle w:val="FootnoteReference"/>
          <w:lang w:val="fr-FR"/>
        </w:rPr>
        <w:footnoteReference w:id="15"/>
      </w:r>
    </w:p>
    <w:p w14:paraId="11BA95EF" w14:textId="77777777" w:rsidR="00F041B1" w:rsidRPr="00A557BB" w:rsidRDefault="00F041B1" w:rsidP="00F041B1">
      <w:pPr>
        <w:pStyle w:val="Heading1"/>
        <w:rPr>
          <w:lang w:val="fr-FR"/>
        </w:rPr>
      </w:pPr>
      <w:r w:rsidRPr="00A557BB">
        <w:rPr>
          <w:lang w:val="fr-FR"/>
        </w:rPr>
        <w:t>En conséquence, le PNUD a fourni une liste de 189 fabricants de mousse de PU consommant 3 197 tm de HCFC-141b et dont l’</w:t>
      </w:r>
      <w:r w:rsidR="0091191B" w:rsidRPr="00A557BB">
        <w:rPr>
          <w:lang w:val="fr-FR"/>
        </w:rPr>
        <w:t>admissibilité</w:t>
      </w:r>
      <w:r w:rsidRPr="00A557BB">
        <w:rPr>
          <w:lang w:val="fr-FR"/>
        </w:rPr>
        <w:t xml:space="preserve"> a été vérifiée. Parmi elles, 113 avaient déjà signé un protocole d’accord pour la </w:t>
      </w:r>
      <w:r w:rsidR="002F5396" w:rsidRPr="00A557BB">
        <w:rPr>
          <w:lang w:val="fr-FR"/>
        </w:rPr>
        <w:t>reconversion</w:t>
      </w:r>
      <w:r w:rsidRPr="00A557BB">
        <w:rPr>
          <w:lang w:val="fr-FR"/>
        </w:rPr>
        <w:t xml:space="preserve"> en solutions de remplacement à faible PRP (eau, formiate de méthyle, HC, HFO) à compter du 4 octobre 2019.  </w:t>
      </w:r>
    </w:p>
    <w:p w14:paraId="3E169D5C" w14:textId="77777777" w:rsidR="00F041B1" w:rsidRPr="00A557BB" w:rsidRDefault="00F041B1" w:rsidP="00F041B1">
      <w:pPr>
        <w:pStyle w:val="Heading1"/>
        <w:numPr>
          <w:ilvl w:val="0"/>
          <w:numId w:val="0"/>
        </w:numPr>
        <w:rPr>
          <w:i/>
          <w:lang w:val="fr-FR"/>
        </w:rPr>
      </w:pPr>
      <w:r w:rsidRPr="00A557BB">
        <w:rPr>
          <w:i/>
          <w:lang w:val="fr-FR"/>
        </w:rPr>
        <w:t>Mise à jour concernant les entreprises actives dans le secteur des panneaux continus</w:t>
      </w:r>
    </w:p>
    <w:p w14:paraId="049F9A5B" w14:textId="77777777" w:rsidR="00F041B1" w:rsidRPr="00A557BB" w:rsidRDefault="00F041B1" w:rsidP="00F041B1">
      <w:pPr>
        <w:pStyle w:val="Heading1"/>
        <w:rPr>
          <w:lang w:val="fr-FR"/>
        </w:rPr>
      </w:pPr>
      <w:r w:rsidRPr="00A557BB">
        <w:rPr>
          <w:lang w:val="fr-FR"/>
        </w:rPr>
        <w:t>Le gouvernement de l’Inde a mis en place une interdiction concernant l’usa</w:t>
      </w:r>
      <w:r w:rsidR="00587E5F" w:rsidRPr="00A557BB">
        <w:rPr>
          <w:lang w:val="fr-FR"/>
        </w:rPr>
        <w:t>ge des HCFC, y compris le HCFC-</w:t>
      </w:r>
      <w:r w:rsidRPr="00A557BB">
        <w:rPr>
          <w:lang w:val="fr-FR"/>
        </w:rPr>
        <w:t>141b, pur et contenu dans les polyols prémélangés, dans la fabrication des réfrigérateurs à usage domestique et des panneaux-sandwichs continus depuis le 1</w:t>
      </w:r>
      <w:r w:rsidRPr="00A557BB">
        <w:rPr>
          <w:vertAlign w:val="superscript"/>
          <w:lang w:val="fr-FR"/>
        </w:rPr>
        <w:t>er</w:t>
      </w:r>
      <w:r w:rsidRPr="00A557BB">
        <w:rPr>
          <w:lang w:val="fr-FR"/>
        </w:rPr>
        <w:t xml:space="preserve"> janvier 2015. Cependant, la phase II du PGEH comprenait la </w:t>
      </w:r>
      <w:r w:rsidR="002F5396" w:rsidRPr="00A557BB">
        <w:rPr>
          <w:lang w:val="fr-FR"/>
        </w:rPr>
        <w:t>reconversion</w:t>
      </w:r>
      <w:r w:rsidR="00587E5F" w:rsidRPr="00A557BB">
        <w:rPr>
          <w:lang w:val="fr-FR"/>
        </w:rPr>
        <w:t xml:space="preserve"> de </w:t>
      </w:r>
      <w:r w:rsidRPr="00A557BB">
        <w:rPr>
          <w:lang w:val="fr-FR"/>
        </w:rPr>
        <w:t xml:space="preserve">trois fabricants de panneaux-sandwich continus, qui faisaient partie de la première tranche. À la 82 </w:t>
      </w:r>
      <w:r w:rsidRPr="00A557BB">
        <w:rPr>
          <w:vertAlign w:val="superscript"/>
          <w:lang w:val="fr-FR"/>
        </w:rPr>
        <w:t>e</w:t>
      </w:r>
      <w:r w:rsidRPr="00A557BB">
        <w:rPr>
          <w:lang w:val="fr-FR"/>
        </w:rPr>
        <w:t xml:space="preserve"> réunion, le PNUD a présenté, au nom du gouvernement, la demande de la deuxième tranche de la phase II et signalé que deux fabricants de panneaux-sandwich continus avaient signé un accord avec le gouvernement. Sur ce point, le PNUD a précisé que le gouvernement évaluait si ces entreprises se conformaient à l’interdiction. </w:t>
      </w:r>
    </w:p>
    <w:p w14:paraId="79F156EB" w14:textId="77777777" w:rsidR="00F041B1" w:rsidRPr="00A557BB" w:rsidRDefault="00F041B1" w:rsidP="00F041B1">
      <w:pPr>
        <w:pStyle w:val="Heading1"/>
        <w:rPr>
          <w:lang w:val="fr-FR"/>
        </w:rPr>
      </w:pPr>
      <w:r w:rsidRPr="00A557BB">
        <w:rPr>
          <w:lang w:val="fr-FR"/>
        </w:rPr>
        <w:t xml:space="preserve">En conséquence, le Comité exécutif a demandé au gouvernement de l’Inde, par </w:t>
      </w:r>
      <w:r w:rsidR="00587E5F" w:rsidRPr="00A557BB">
        <w:rPr>
          <w:lang w:val="fr-FR"/>
        </w:rPr>
        <w:t xml:space="preserve">le biais du PNUD, de fournir, à </w:t>
      </w:r>
      <w:r w:rsidRPr="00A557BB">
        <w:rPr>
          <w:lang w:val="fr-FR"/>
        </w:rPr>
        <w:t>la 83</w:t>
      </w:r>
      <w:r w:rsidRPr="00A557BB">
        <w:rPr>
          <w:vertAlign w:val="superscript"/>
          <w:lang w:val="fr-FR"/>
        </w:rPr>
        <w:t>e</w:t>
      </w:r>
      <w:r w:rsidRPr="00A557BB">
        <w:rPr>
          <w:lang w:val="fr-FR"/>
        </w:rPr>
        <w:t xml:space="preserve"> réunion, une mise à jour sur l’évaluati</w:t>
      </w:r>
      <w:r w:rsidR="00587E5F" w:rsidRPr="00A557BB">
        <w:rPr>
          <w:lang w:val="fr-FR"/>
        </w:rPr>
        <w:t xml:space="preserve">on par le gouvernement afin de </w:t>
      </w:r>
      <w:r w:rsidRPr="00A557BB">
        <w:rPr>
          <w:lang w:val="fr-FR"/>
        </w:rPr>
        <w:t>savoir si les entreprises de fabrication de panneaux de mousse continus avaient adhéré à l’interdiction, à partir du 1</w:t>
      </w:r>
      <w:r w:rsidRPr="00A557BB">
        <w:rPr>
          <w:vertAlign w:val="superscript"/>
          <w:lang w:val="fr-FR"/>
        </w:rPr>
        <w:t>er</w:t>
      </w:r>
      <w:r w:rsidRPr="00A557BB">
        <w:rPr>
          <w:lang w:val="fr-FR"/>
        </w:rPr>
        <w:t xml:space="preserve"> janvier 2015, de l’usage du HCFC-141b, en prenant note que si le gouvernement devait déterminer qu’une entreprise de fabrication de panneaux de mousse continus se trouvait en infraction, le protocole d'accord avec cette entreprise serait résilié et tous les fonds décaissés remboursés au projet, en accord avec la décision 77/43(d)(ii).</w:t>
      </w:r>
      <w:r w:rsidRPr="00A557BB">
        <w:rPr>
          <w:rStyle w:val="FootnoteReference"/>
          <w:lang w:val="fr-FR"/>
        </w:rPr>
        <w:footnoteReference w:id="16"/>
      </w:r>
      <w:r w:rsidRPr="00A557BB">
        <w:rPr>
          <w:lang w:val="fr-FR"/>
        </w:rPr>
        <w:t xml:space="preserve"> Le Comité exécutif a également pris note qu’aucune entreprise de </w:t>
      </w:r>
      <w:r w:rsidRPr="00A557BB">
        <w:rPr>
          <w:lang w:val="fr-FR"/>
        </w:rPr>
        <w:lastRenderedPageBreak/>
        <w:t>fabrication de panneaux de mousse continus ne sera</w:t>
      </w:r>
      <w:r w:rsidR="00587E5F" w:rsidRPr="00A557BB">
        <w:rPr>
          <w:lang w:val="fr-FR"/>
        </w:rPr>
        <w:t>it</w:t>
      </w:r>
      <w:r w:rsidRPr="00A557BB">
        <w:rPr>
          <w:lang w:val="fr-FR"/>
        </w:rPr>
        <w:t xml:space="preserve"> incluse dans la phase II avant que son admissibilité </w:t>
      </w:r>
      <w:r w:rsidR="00587E5F" w:rsidRPr="00A557BB">
        <w:rPr>
          <w:lang w:val="fr-FR"/>
        </w:rPr>
        <w:t>n’</w:t>
      </w:r>
      <w:r w:rsidRPr="00A557BB">
        <w:rPr>
          <w:lang w:val="fr-FR"/>
        </w:rPr>
        <w:t>ait été évaluée par le Comité exécutif.</w:t>
      </w:r>
      <w:r w:rsidRPr="00A557BB">
        <w:rPr>
          <w:rStyle w:val="FootnoteReference"/>
          <w:lang w:val="fr-FR"/>
        </w:rPr>
        <w:footnoteReference w:id="17"/>
      </w:r>
    </w:p>
    <w:p w14:paraId="3AA0689D" w14:textId="790278B9" w:rsidR="00F041B1" w:rsidRPr="00A557BB" w:rsidRDefault="00F041B1" w:rsidP="00F041B1">
      <w:pPr>
        <w:pStyle w:val="Heading1"/>
        <w:rPr>
          <w:lang w:val="fr-FR"/>
        </w:rPr>
      </w:pPr>
      <w:r w:rsidRPr="00A557BB">
        <w:rPr>
          <w:lang w:val="fr-FR"/>
        </w:rPr>
        <w:t>À l</w:t>
      </w:r>
      <w:r w:rsidR="00614272" w:rsidRPr="00A557BB">
        <w:rPr>
          <w:lang w:val="fr-FR"/>
        </w:rPr>
        <w:t>a 83</w:t>
      </w:r>
      <w:r w:rsidR="00614272" w:rsidRPr="00A557BB">
        <w:rPr>
          <w:vertAlign w:val="superscript"/>
          <w:lang w:val="fr-FR"/>
        </w:rPr>
        <w:t>e</w:t>
      </w:r>
      <w:r w:rsidR="00614272" w:rsidRPr="00A557BB">
        <w:rPr>
          <w:lang w:val="fr-FR"/>
        </w:rPr>
        <w:t xml:space="preserve"> </w:t>
      </w:r>
      <w:r w:rsidRPr="00A557BB">
        <w:rPr>
          <w:lang w:val="fr-FR"/>
        </w:rPr>
        <w:t>réunion, le PNUD avait rapporté que l’évaluation demandée par la décision 82/74(b</w:t>
      </w:r>
      <w:r w:rsidR="00A557BB" w:rsidRPr="00A557BB">
        <w:rPr>
          <w:lang w:val="fr-FR"/>
        </w:rPr>
        <w:t>) (</w:t>
      </w:r>
      <w:r w:rsidRPr="00A557BB">
        <w:rPr>
          <w:lang w:val="fr-FR"/>
        </w:rPr>
        <w:t>i), était toujours en cours et que les résultats seraient communiqués dès que l’état d’adhésion des entreprises à l’interdiction serait déterminé. De prier le Gouvernement indien, par le truchement du PNUD, de présenter ladite évaluation à la 84</w:t>
      </w:r>
      <w:r w:rsidRPr="00A557BB">
        <w:rPr>
          <w:vertAlign w:val="superscript"/>
          <w:lang w:val="fr-FR"/>
        </w:rPr>
        <w:t>e</w:t>
      </w:r>
      <w:r w:rsidRPr="00A557BB">
        <w:rPr>
          <w:lang w:val="fr-FR"/>
        </w:rPr>
        <w:t xml:space="preserve"> réunion.</w:t>
      </w:r>
      <w:r w:rsidRPr="00A557BB">
        <w:rPr>
          <w:rStyle w:val="FootnoteReference"/>
          <w:lang w:val="fr-FR"/>
        </w:rPr>
        <w:footnoteReference w:id="18"/>
      </w:r>
    </w:p>
    <w:p w14:paraId="36DA1099" w14:textId="77777777" w:rsidR="00F041B1" w:rsidRPr="00A557BB" w:rsidRDefault="00587E5F" w:rsidP="00F041B1">
      <w:pPr>
        <w:pStyle w:val="Heading1"/>
        <w:rPr>
          <w:lang w:val="fr-FR"/>
        </w:rPr>
      </w:pPr>
      <w:r w:rsidRPr="00A557BB">
        <w:rPr>
          <w:lang w:val="fr-FR"/>
        </w:rPr>
        <w:t> À</w:t>
      </w:r>
      <w:r w:rsidR="00F041B1" w:rsidRPr="00A557BB">
        <w:rPr>
          <w:lang w:val="fr-FR"/>
        </w:rPr>
        <w:t xml:space="preserve"> la 84</w:t>
      </w:r>
      <w:r w:rsidR="00F041B1" w:rsidRPr="00A557BB">
        <w:rPr>
          <w:vertAlign w:val="superscript"/>
          <w:lang w:val="fr-FR"/>
        </w:rPr>
        <w:t>e</w:t>
      </w:r>
      <w:r w:rsidR="00614272" w:rsidRPr="00A557BB">
        <w:rPr>
          <w:lang w:val="fr-FR"/>
        </w:rPr>
        <w:t xml:space="preserve"> réunion,</w:t>
      </w:r>
      <w:r w:rsidR="00F041B1" w:rsidRPr="00A557BB">
        <w:rPr>
          <w:lang w:val="fr-FR"/>
        </w:rPr>
        <w:t xml:space="preserve"> le PNUD a indiqué que le rapport d'évaluation était toujours en cours.</w:t>
      </w:r>
    </w:p>
    <w:p w14:paraId="66BB94F2" w14:textId="77777777" w:rsidR="00F041B1" w:rsidRPr="00A557BB" w:rsidRDefault="00F041B1" w:rsidP="00F041B1">
      <w:pPr>
        <w:spacing w:after="240"/>
        <w:rPr>
          <w:b/>
          <w:lang w:val="fr-FR"/>
        </w:rPr>
      </w:pPr>
      <w:r w:rsidRPr="00A557BB">
        <w:rPr>
          <w:b/>
          <w:lang w:val="fr-FR"/>
        </w:rPr>
        <w:t xml:space="preserve">Observations du Secrétariat </w:t>
      </w:r>
    </w:p>
    <w:p w14:paraId="454E002D" w14:textId="77777777" w:rsidR="00F041B1" w:rsidRPr="00A557BB" w:rsidRDefault="00F041B1" w:rsidP="00F041B1">
      <w:pPr>
        <w:pStyle w:val="Heading1"/>
        <w:numPr>
          <w:ilvl w:val="0"/>
          <w:numId w:val="0"/>
        </w:numPr>
        <w:rPr>
          <w:i/>
          <w:lang w:val="fr-FR"/>
        </w:rPr>
      </w:pPr>
      <w:r w:rsidRPr="00A557BB">
        <w:rPr>
          <w:i/>
          <w:lang w:val="fr-FR"/>
        </w:rPr>
        <w:t>Liste des fabricants de mousse de PU concernées par la phase II</w:t>
      </w:r>
    </w:p>
    <w:p w14:paraId="5C698647" w14:textId="77777777" w:rsidR="00F041B1" w:rsidRPr="00A557BB" w:rsidRDefault="00F041B1" w:rsidP="00F041B1">
      <w:pPr>
        <w:pStyle w:val="Heading1"/>
        <w:rPr>
          <w:lang w:val="fr-FR"/>
        </w:rPr>
      </w:pPr>
      <w:r w:rsidRPr="00A557BB">
        <w:rPr>
          <w:lang w:val="fr-FR"/>
        </w:rPr>
        <w:t>Notant le peu de temps disponible pour mener à bien un grand nombre de reconversions avant l'interdiction du HCFC-141b au 1</w:t>
      </w:r>
      <w:r w:rsidRPr="00A557BB">
        <w:rPr>
          <w:vertAlign w:val="superscript"/>
          <w:lang w:val="fr-FR"/>
        </w:rPr>
        <w:t>er</w:t>
      </w:r>
      <w:r w:rsidRPr="00A557BB">
        <w:rPr>
          <w:lang w:val="fr-FR"/>
        </w:rPr>
        <w:t xml:space="preserve"> janvier 2020 et notant que sur les 189 entreprises identifiées, 76 n'avaient toujours pas signé de protocole d'accord, le Secrétariat a demandé au PNUD quelles mesures étaient prises </w:t>
      </w:r>
      <w:r w:rsidR="00587E5F" w:rsidRPr="00A557BB">
        <w:rPr>
          <w:lang w:val="fr-FR"/>
        </w:rPr>
        <w:t xml:space="preserve">afin </w:t>
      </w:r>
      <w:r w:rsidRPr="00A557BB">
        <w:rPr>
          <w:lang w:val="fr-FR"/>
        </w:rPr>
        <w:t xml:space="preserve">d'accélérer la reconversion de ces entreprises </w:t>
      </w:r>
      <w:r w:rsidR="00587E5F" w:rsidRPr="00A557BB">
        <w:rPr>
          <w:lang w:val="fr-FR"/>
        </w:rPr>
        <w:t>aux</w:t>
      </w:r>
      <w:r w:rsidRPr="00A557BB">
        <w:rPr>
          <w:lang w:val="fr-FR"/>
        </w:rPr>
        <w:t xml:space="preserve"> agents gonflants à faible PRP. </w:t>
      </w:r>
    </w:p>
    <w:p w14:paraId="57513A04" w14:textId="77777777" w:rsidR="00F041B1" w:rsidRPr="00A557BB" w:rsidRDefault="00F041B1" w:rsidP="00F041B1">
      <w:pPr>
        <w:pStyle w:val="Heading1"/>
        <w:rPr>
          <w:lang w:val="fr-FR"/>
        </w:rPr>
      </w:pPr>
      <w:r w:rsidRPr="00A557BB">
        <w:rPr>
          <w:lang w:val="fr-FR"/>
        </w:rPr>
        <w:t xml:space="preserve">Le PNUD a expliqué qu'actuellement, les entreprises sont assistées par un institut technique national, que plusieurs ateliers ont été organisés au bénéfice des PME sur les technologies de remplacement à faible PRP, y compris une formation pratique et des essais sur l'application de formulations d'agents de gonflement aux polyols. Le protocole décrit clairement le processus de reconversion, les mesures de sécurité requises et les étapes visant à faciliter la surveillance. Des vérifications physiques du site par une tierce partie indépendante sont en cours pour garantir une mise en œuvre rapide et appropriée. </w:t>
      </w:r>
    </w:p>
    <w:p w14:paraId="622B9EB1" w14:textId="77777777" w:rsidR="00F041B1" w:rsidRPr="00A557BB" w:rsidRDefault="00F041B1" w:rsidP="00F041B1">
      <w:pPr>
        <w:pStyle w:val="Heading1"/>
        <w:rPr>
          <w:lang w:val="fr-FR"/>
        </w:rPr>
      </w:pPr>
      <w:r w:rsidRPr="00A557BB">
        <w:rPr>
          <w:lang w:val="fr-FR"/>
        </w:rPr>
        <w:t xml:space="preserve">À propos de la possibilité de recourir temporairement à des formulations à base de HFC à </w:t>
      </w:r>
      <w:r w:rsidR="002F5396" w:rsidRPr="00A557BB">
        <w:rPr>
          <w:lang w:val="fr-FR"/>
        </w:rPr>
        <w:t>fort PRP</w:t>
      </w:r>
      <w:r w:rsidRPr="00A557BB">
        <w:rPr>
          <w:lang w:val="fr-FR"/>
        </w:rPr>
        <w:t xml:space="preserve"> par les entreprises qui ne se sont pas converties avant le 1</w:t>
      </w:r>
      <w:r w:rsidRPr="00A557BB">
        <w:rPr>
          <w:vertAlign w:val="superscript"/>
          <w:lang w:val="fr-FR"/>
        </w:rPr>
        <w:t>er</w:t>
      </w:r>
      <w:r w:rsidRPr="00A557BB">
        <w:rPr>
          <w:lang w:val="fr-FR"/>
        </w:rPr>
        <w:t xml:space="preserve"> janvier 2020, le PNUD a indiqué que le protocole d'accord signé par l'entreprise, la cellule Ozone et le Ministère de l'environnement, des forêts et des changements climatique</w:t>
      </w:r>
      <w:r w:rsidR="00587E5F" w:rsidRPr="00A557BB">
        <w:rPr>
          <w:lang w:val="fr-FR"/>
        </w:rPr>
        <w:t>s</w:t>
      </w:r>
      <w:r w:rsidRPr="00A557BB">
        <w:rPr>
          <w:lang w:val="fr-FR"/>
        </w:rPr>
        <w:t xml:space="preserve"> dispose que l'entreprise avait accepté de passer à une alternative à faible PRP et qu'elle n'utiliserait pas de HCFC-141b au-delà du 31 décembre 2019. Afin de réduire le risque de commerce illicite de HCFC-141b, des instructions ont été envoyées en janvier 2019 aux autorités nationales compétentes appliquant le système de permis, faisant référence à une interdiction d'importer le HCFC-141b en vigueur à compter du 1</w:t>
      </w:r>
      <w:r w:rsidRPr="00A557BB">
        <w:rPr>
          <w:vertAlign w:val="superscript"/>
          <w:lang w:val="fr-FR"/>
        </w:rPr>
        <w:t>er</w:t>
      </w:r>
      <w:r w:rsidRPr="00A557BB">
        <w:rPr>
          <w:lang w:val="fr-FR"/>
        </w:rPr>
        <w:t xml:space="preserve"> janvier 2020. Les entreprises de formulation et les fabricants de mousses, </w:t>
      </w:r>
      <w:r w:rsidR="0091191B" w:rsidRPr="00A557BB">
        <w:rPr>
          <w:lang w:val="fr-FR"/>
        </w:rPr>
        <w:t>admissibles</w:t>
      </w:r>
      <w:r w:rsidRPr="00A557BB">
        <w:rPr>
          <w:lang w:val="fr-FR"/>
        </w:rPr>
        <w:t xml:space="preserve"> et non </w:t>
      </w:r>
      <w:r w:rsidR="0091191B" w:rsidRPr="00A557BB">
        <w:rPr>
          <w:lang w:val="fr-FR"/>
        </w:rPr>
        <w:t>admissibles</w:t>
      </w:r>
      <w:r w:rsidRPr="00A557BB">
        <w:rPr>
          <w:lang w:val="fr-FR"/>
        </w:rPr>
        <w:t xml:space="preserve">, ont été informés de l'interdiction imminente par écrit et par le biais de réunions. </w:t>
      </w:r>
    </w:p>
    <w:p w14:paraId="3E73D414" w14:textId="77777777" w:rsidR="00F041B1" w:rsidRPr="00A557BB" w:rsidRDefault="00F041B1" w:rsidP="00F041B1">
      <w:pPr>
        <w:pStyle w:val="Heading1"/>
        <w:rPr>
          <w:lang w:val="fr-FR"/>
        </w:rPr>
      </w:pPr>
      <w:r w:rsidRPr="00A557BB">
        <w:rPr>
          <w:lang w:val="fr-FR"/>
        </w:rPr>
        <w:t>Le Secrétariat apprécie les mesures prises par le PNUD pour accélérer les reconversions et assurer une transition en douceur vers de</w:t>
      </w:r>
      <w:r w:rsidR="00587E5F" w:rsidRPr="00A557BB">
        <w:rPr>
          <w:lang w:val="fr-FR"/>
        </w:rPr>
        <w:t xml:space="preserve">s technologies de remplacement </w:t>
      </w:r>
      <w:r w:rsidRPr="00A557BB">
        <w:rPr>
          <w:lang w:val="fr-FR"/>
        </w:rPr>
        <w:t>à faible PRP tout en maintenant les risques de contrebande de HCFC-141</w:t>
      </w:r>
      <w:r w:rsidRPr="00A557BB">
        <w:rPr>
          <w:lang w:val="fr-FR"/>
        </w:rPr>
        <w:noBreakHyphen/>
        <w:t>b au minimum. En cas d'utilisation temp</w:t>
      </w:r>
      <w:r w:rsidR="00587E5F" w:rsidRPr="00A557BB">
        <w:rPr>
          <w:lang w:val="fr-FR"/>
        </w:rPr>
        <w:t xml:space="preserve">oraire d'agents de soufflage à base de </w:t>
      </w:r>
      <w:r w:rsidRPr="00A557BB">
        <w:rPr>
          <w:lang w:val="fr-FR"/>
        </w:rPr>
        <w:t>HFC à fort PRP par les entreprises bénéficiant d'une assistance dans le cadre du projet, le Secrétariat recommande de le signaler au Comité exécutif jusqu'à ce qu</w:t>
      </w:r>
      <w:r w:rsidR="00587E5F" w:rsidRPr="00A557BB">
        <w:rPr>
          <w:lang w:val="fr-FR"/>
        </w:rPr>
        <w:t xml:space="preserve">e la reconversion en agents de </w:t>
      </w:r>
      <w:r w:rsidRPr="00A557BB">
        <w:rPr>
          <w:lang w:val="fr-FR"/>
        </w:rPr>
        <w:t>gonflage à faible PRP soit en production.</w:t>
      </w:r>
    </w:p>
    <w:p w14:paraId="7C9BCCB1" w14:textId="77777777" w:rsidR="00F041B1" w:rsidRPr="00A557BB" w:rsidRDefault="00F041B1" w:rsidP="00F041B1">
      <w:pPr>
        <w:pStyle w:val="Heading1"/>
        <w:numPr>
          <w:ilvl w:val="0"/>
          <w:numId w:val="0"/>
        </w:numPr>
        <w:rPr>
          <w:i/>
          <w:lang w:val="fr-FR"/>
        </w:rPr>
      </w:pPr>
      <w:r w:rsidRPr="00A557BB">
        <w:rPr>
          <w:i/>
          <w:lang w:val="fr-FR"/>
        </w:rPr>
        <w:t>Mise à jour concernant les entreprises actives dans le secteur des panneaux continus</w:t>
      </w:r>
    </w:p>
    <w:p w14:paraId="0008A2CF" w14:textId="77777777" w:rsidR="00F041B1" w:rsidRPr="00A557BB" w:rsidRDefault="00F041B1" w:rsidP="00F041B1">
      <w:pPr>
        <w:pStyle w:val="Heading1"/>
        <w:rPr>
          <w:lang w:val="fr-FR"/>
        </w:rPr>
      </w:pPr>
      <w:r w:rsidRPr="00A557BB">
        <w:rPr>
          <w:lang w:val="fr-FR"/>
        </w:rPr>
        <w:t>En ce qui concerne l'évaluation de la conformité des fabricants de panneaux continus avec l'interdiction de l'utilisation des HCFC à compter du 1</w:t>
      </w:r>
      <w:r w:rsidRPr="00A557BB">
        <w:rPr>
          <w:vertAlign w:val="superscript"/>
          <w:lang w:val="fr-FR"/>
        </w:rPr>
        <w:t>er</w:t>
      </w:r>
      <w:r w:rsidRPr="00A557BB">
        <w:rPr>
          <w:lang w:val="fr-FR"/>
        </w:rPr>
        <w:t xml:space="preserve"> janvier 2015, qui n'a </w:t>
      </w:r>
      <w:r w:rsidR="00587E5F" w:rsidRPr="00A557BB">
        <w:rPr>
          <w:lang w:val="fr-FR"/>
        </w:rPr>
        <w:t xml:space="preserve">toujours </w:t>
      </w:r>
      <w:r w:rsidRPr="00A557BB">
        <w:rPr>
          <w:lang w:val="fr-FR"/>
        </w:rPr>
        <w:t xml:space="preserve">pas été </w:t>
      </w:r>
      <w:r w:rsidR="00587E5F" w:rsidRPr="00A557BB">
        <w:rPr>
          <w:lang w:val="fr-FR"/>
        </w:rPr>
        <w:t>soumise</w:t>
      </w:r>
      <w:r w:rsidRPr="00A557BB">
        <w:rPr>
          <w:lang w:val="fr-FR"/>
        </w:rPr>
        <w:t xml:space="preserve">, le PNUD a répété que l'évaluation était en cours, ajoutant que le processus impliquait la coordination d'un ensemble de procédures devant être suivies par les multiples agences impliquées, ce qui rendait difficile </w:t>
      </w:r>
      <w:r w:rsidRPr="00A557BB">
        <w:rPr>
          <w:lang w:val="fr-FR"/>
        </w:rPr>
        <w:lastRenderedPageBreak/>
        <w:t>de parler d'un délai précis. Comme convenu à la 82</w:t>
      </w:r>
      <w:r w:rsidRPr="00A557BB">
        <w:rPr>
          <w:vertAlign w:val="superscript"/>
          <w:lang w:val="fr-FR"/>
        </w:rPr>
        <w:t>e</w:t>
      </w:r>
      <w:r w:rsidRPr="00A557BB">
        <w:rPr>
          <w:lang w:val="fr-FR"/>
        </w:rPr>
        <w:t xml:space="preserve"> réunion, aucun décaissement supplémentaire n'a été effectué en faveur de ces entreprises et les fonds seront restitués au projet s'il était établi que les deux lignes de production de panneaux continus s'étaient trouvées en contravention vis-à-vis des </w:t>
      </w:r>
      <w:r w:rsidR="00587E5F" w:rsidRPr="00A557BB">
        <w:rPr>
          <w:lang w:val="fr-FR"/>
        </w:rPr>
        <w:t>objectifs d'élimination du 1</w:t>
      </w:r>
      <w:r w:rsidR="00587E5F" w:rsidRPr="00A557BB">
        <w:rPr>
          <w:vertAlign w:val="superscript"/>
          <w:lang w:val="fr-FR"/>
        </w:rPr>
        <w:t>er</w:t>
      </w:r>
      <w:r w:rsidR="00587E5F" w:rsidRPr="00A557BB">
        <w:rPr>
          <w:lang w:val="fr-FR"/>
        </w:rPr>
        <w:t xml:space="preserve"> janvier 2015.</w:t>
      </w:r>
    </w:p>
    <w:p w14:paraId="665A8017" w14:textId="77777777" w:rsidR="00F041B1" w:rsidRPr="00A557BB" w:rsidRDefault="0064628C" w:rsidP="00F041B1">
      <w:pPr>
        <w:pStyle w:val="Heading1"/>
        <w:numPr>
          <w:ilvl w:val="0"/>
          <w:numId w:val="0"/>
        </w:numPr>
        <w:rPr>
          <w:b/>
          <w:lang w:val="fr-FR"/>
        </w:rPr>
      </w:pPr>
      <w:r w:rsidRPr="00A557BB">
        <w:rPr>
          <w:b/>
          <w:lang w:val="fr-FR"/>
        </w:rPr>
        <w:t>Recommandation</w:t>
      </w:r>
    </w:p>
    <w:p w14:paraId="38F0E898" w14:textId="77777777" w:rsidR="00F041B1" w:rsidRPr="00A557BB" w:rsidRDefault="00F041B1" w:rsidP="00F041B1">
      <w:pPr>
        <w:pStyle w:val="Heading1"/>
        <w:rPr>
          <w:lang w:val="fr-FR"/>
        </w:rPr>
      </w:pPr>
      <w:r w:rsidRPr="00A557BB">
        <w:rPr>
          <w:lang w:val="fr-FR"/>
        </w:rPr>
        <w:t>Le Comité exécutif pourrait souhaiter :</w:t>
      </w:r>
    </w:p>
    <w:p w14:paraId="0D17E876" w14:textId="77777777" w:rsidR="00F041B1" w:rsidRPr="00A557BB" w:rsidRDefault="00F041B1" w:rsidP="00F51DC8">
      <w:pPr>
        <w:pStyle w:val="Heading2"/>
        <w:numPr>
          <w:ilvl w:val="1"/>
          <w:numId w:val="8"/>
        </w:numPr>
        <w:rPr>
          <w:lang w:val="fr-FR"/>
        </w:rPr>
      </w:pPr>
      <w:r w:rsidRPr="00A557BB">
        <w:rPr>
          <w:lang w:val="fr-FR"/>
        </w:rPr>
        <w:t>prendre note du rapport présenté par le PNUD contenant la liste des entreprises du secteur de la fabrication de mousses de polyuréthane (PU) releva</w:t>
      </w:r>
      <w:r w:rsidR="00587E5F" w:rsidRPr="00A557BB">
        <w:rPr>
          <w:lang w:val="fr-FR"/>
        </w:rPr>
        <w:t xml:space="preserve">nt de la phase II du Plan </w:t>
      </w:r>
      <w:r w:rsidRPr="00A557BB">
        <w:rPr>
          <w:lang w:val="fr-FR"/>
        </w:rPr>
        <w:t xml:space="preserve">de gestion de l'élimination des HCFC (PGEH) pour l'Inde, ainsi que leur consommation de HCFC-141b, y compris les entreprises qui ont été jugées </w:t>
      </w:r>
      <w:r w:rsidR="0091191B" w:rsidRPr="00A557BB">
        <w:rPr>
          <w:lang w:val="fr-FR"/>
        </w:rPr>
        <w:t>admissibles</w:t>
      </w:r>
      <w:r w:rsidRPr="00A557BB">
        <w:rPr>
          <w:lang w:val="fr-FR"/>
        </w:rPr>
        <w:t>, celles qui ont été jugés in</w:t>
      </w:r>
      <w:r w:rsidR="0091191B" w:rsidRPr="00A557BB">
        <w:rPr>
          <w:lang w:val="fr-FR"/>
        </w:rPr>
        <w:t>admissibles</w:t>
      </w:r>
      <w:r w:rsidRPr="00A557BB">
        <w:rPr>
          <w:lang w:val="fr-FR"/>
        </w:rPr>
        <w:t xml:space="preserve"> et celles avec lesquelles des protocoles d’accord ont été signés</w:t>
      </w:r>
      <w:r w:rsidR="00587E5F" w:rsidRPr="00A557BB">
        <w:rPr>
          <w:lang w:val="fr-FR"/>
        </w:rPr>
        <w:t> ;</w:t>
      </w:r>
      <w:r w:rsidRPr="00A557BB">
        <w:rPr>
          <w:lang w:val="fr-FR"/>
        </w:rPr>
        <w:t xml:space="preserve"> </w:t>
      </w:r>
    </w:p>
    <w:p w14:paraId="693DB727" w14:textId="77777777" w:rsidR="00F041B1" w:rsidRPr="00A557BB" w:rsidRDefault="00F041B1" w:rsidP="00F041B1">
      <w:pPr>
        <w:pStyle w:val="Heading2"/>
        <w:keepNext/>
        <w:keepLines/>
        <w:widowControl/>
        <w:numPr>
          <w:ilvl w:val="1"/>
          <w:numId w:val="1"/>
        </w:numPr>
        <w:rPr>
          <w:lang w:val="fr-FR"/>
        </w:rPr>
      </w:pPr>
      <w:r w:rsidRPr="00A557BB">
        <w:rPr>
          <w:lang w:val="fr-FR"/>
        </w:rPr>
        <w:t>demander :</w:t>
      </w:r>
    </w:p>
    <w:p w14:paraId="7FA84D86" w14:textId="77777777" w:rsidR="00F041B1" w:rsidRPr="00A557BB" w:rsidRDefault="00F041B1" w:rsidP="00F041B1">
      <w:pPr>
        <w:pStyle w:val="Heading3"/>
        <w:keepNext/>
        <w:keepLines/>
        <w:widowControl/>
        <w:numPr>
          <w:ilvl w:val="2"/>
          <w:numId w:val="1"/>
        </w:numPr>
        <w:rPr>
          <w:lang w:val="fr-FR"/>
        </w:rPr>
      </w:pPr>
      <w:r w:rsidRPr="00A557BB">
        <w:rPr>
          <w:lang w:val="fr-FR"/>
        </w:rPr>
        <w:t xml:space="preserve">au PNUD de joindre à la demande de la troisième tranche de la phase II du PGEH une liste à jour des entreprises de mousse de polyuréthane ayant reçu un appui, ainsi que des informations sur l’utilisation temporaire de solutions de remplacement à fort PRP par toute entreprise assistée et le niveau de consommation y relatif ;  </w:t>
      </w:r>
    </w:p>
    <w:p w14:paraId="76B2FF45" w14:textId="661EE8EC" w:rsidR="00F041B1" w:rsidRPr="00A557BB" w:rsidRDefault="00F041B1" w:rsidP="00F041B1">
      <w:pPr>
        <w:pStyle w:val="Heading3"/>
        <w:numPr>
          <w:ilvl w:val="2"/>
          <w:numId w:val="1"/>
        </w:numPr>
        <w:rPr>
          <w:lang w:val="fr-FR"/>
        </w:rPr>
      </w:pPr>
      <w:r w:rsidRPr="00A557BB">
        <w:rPr>
          <w:lang w:val="fr-FR"/>
        </w:rPr>
        <w:t>au Gouvernement indien, par l’intermédiaire du PNUD, de fournir d’ici à la 85</w:t>
      </w:r>
      <w:r w:rsidRPr="00A557BB">
        <w:rPr>
          <w:vertAlign w:val="superscript"/>
          <w:lang w:val="fr-FR"/>
        </w:rPr>
        <w:t>e</w:t>
      </w:r>
      <w:r w:rsidR="002B0AF2">
        <w:rPr>
          <w:lang w:val="fr-FR"/>
        </w:rPr>
        <w:t> </w:t>
      </w:r>
      <w:r w:rsidRPr="00A557BB">
        <w:rPr>
          <w:lang w:val="fr-FR"/>
        </w:rPr>
        <w:t xml:space="preserve">réunion l’évaluation par </w:t>
      </w:r>
      <w:r w:rsidR="00587E5F" w:rsidRPr="00A557BB">
        <w:rPr>
          <w:lang w:val="fr-FR"/>
        </w:rPr>
        <w:t xml:space="preserve">le Gouvernement de la question </w:t>
      </w:r>
      <w:r w:rsidRPr="00A557BB">
        <w:rPr>
          <w:lang w:val="fr-FR"/>
        </w:rPr>
        <w:t xml:space="preserve">de </w:t>
      </w:r>
      <w:r w:rsidR="00587E5F" w:rsidRPr="00A557BB">
        <w:rPr>
          <w:lang w:val="fr-FR"/>
        </w:rPr>
        <w:t xml:space="preserve">savoir si les </w:t>
      </w:r>
      <w:r w:rsidRPr="00A557BB">
        <w:rPr>
          <w:lang w:val="fr-FR"/>
        </w:rPr>
        <w:t>fabricants de panneaux continus ont bien respecté l’interdiction, à compter du 1</w:t>
      </w:r>
      <w:r w:rsidRPr="00A557BB">
        <w:rPr>
          <w:vertAlign w:val="superscript"/>
          <w:lang w:val="fr-FR"/>
        </w:rPr>
        <w:t>er</w:t>
      </w:r>
      <w:r w:rsidRPr="00A557BB">
        <w:rPr>
          <w:lang w:val="fr-FR"/>
        </w:rPr>
        <w:t xml:space="preserve"> janvier 2015, </w:t>
      </w:r>
      <w:r w:rsidR="00587E5F" w:rsidRPr="00A557BB">
        <w:rPr>
          <w:lang w:val="fr-FR"/>
        </w:rPr>
        <w:t>du</w:t>
      </w:r>
      <w:r w:rsidRPr="00A557BB">
        <w:rPr>
          <w:lang w:val="fr-FR"/>
        </w:rPr>
        <w:t xml:space="preserve"> HCFC-141b, conformément à la décision 82/74 b) et c).</w:t>
      </w:r>
    </w:p>
    <w:p w14:paraId="4BF7E1FE" w14:textId="77777777" w:rsidR="004A1603" w:rsidRPr="00A557BB" w:rsidRDefault="00587E5F" w:rsidP="004A1603">
      <w:pPr>
        <w:keepNext/>
        <w:keepLines/>
        <w:rPr>
          <w:lang w:val="fr-FR"/>
        </w:rPr>
      </w:pPr>
      <w:r w:rsidRPr="00A557BB">
        <w:rPr>
          <w:u w:val="single"/>
          <w:lang w:val="fr-FR"/>
        </w:rPr>
        <w:t>Libye :</w:t>
      </w:r>
      <w:r w:rsidR="004A1603" w:rsidRPr="00A557BB">
        <w:rPr>
          <w:u w:val="single"/>
          <w:lang w:val="fr-FR"/>
        </w:rPr>
        <w:t xml:space="preserve"> Plan de gestion de l'élimination des HCFC (phase I - Rapport périodique)</w:t>
      </w:r>
      <w:r w:rsidR="004A1603" w:rsidRPr="00A557BB">
        <w:rPr>
          <w:lang w:val="fr-FR"/>
        </w:rPr>
        <w:t xml:space="preserve"> (ONUDI)</w:t>
      </w:r>
    </w:p>
    <w:p w14:paraId="7FA5A4B6" w14:textId="77777777" w:rsidR="004A1603" w:rsidRPr="00A557BB" w:rsidRDefault="004A1603" w:rsidP="004A1603">
      <w:pPr>
        <w:keepNext/>
        <w:keepLines/>
        <w:rPr>
          <w:lang w:val="fr-FR"/>
        </w:rPr>
      </w:pPr>
    </w:p>
    <w:p w14:paraId="10ACD959" w14:textId="77777777" w:rsidR="004A1603" w:rsidRPr="00A557BB" w:rsidRDefault="004A1603" w:rsidP="004A1603">
      <w:pPr>
        <w:keepNext/>
        <w:keepLines/>
        <w:rPr>
          <w:b/>
          <w:lang w:val="fr-FR"/>
        </w:rPr>
      </w:pPr>
      <w:r w:rsidRPr="00A557BB">
        <w:rPr>
          <w:b/>
          <w:lang w:val="fr-FR"/>
        </w:rPr>
        <w:t>Historique</w:t>
      </w:r>
    </w:p>
    <w:p w14:paraId="521AEF4B" w14:textId="77777777" w:rsidR="004A1603" w:rsidRPr="00A557BB" w:rsidRDefault="004A1603" w:rsidP="004A1603">
      <w:pPr>
        <w:keepNext/>
        <w:keepLines/>
        <w:rPr>
          <w:lang w:val="fr-FR"/>
        </w:rPr>
      </w:pPr>
    </w:p>
    <w:p w14:paraId="6E5AE06B" w14:textId="77777777" w:rsidR="004A1603" w:rsidRPr="00A557BB" w:rsidRDefault="004A1603" w:rsidP="004A1603">
      <w:pPr>
        <w:pStyle w:val="Heading1"/>
        <w:rPr>
          <w:lang w:val="fr-FR"/>
        </w:rPr>
      </w:pPr>
      <w:r w:rsidRPr="00A557BB">
        <w:rPr>
          <w:lang w:val="fr-FR"/>
        </w:rPr>
        <w:t>À leur vingt-septième réunion, les Parties ont noté que la consommation annuelle de HCFC de 144,0 tonnes PAO déclarée par la Libye pour 2013 et de 122,4 tonnes PAO pour 2014 dépassait la consommation maximale autorisée du pays de 118,38 tonnes PAO pour les substances contrôlées pour ces années et que la Libye était d</w:t>
      </w:r>
      <w:r w:rsidR="00205581" w:rsidRPr="00A557BB">
        <w:rPr>
          <w:lang w:val="fr-FR"/>
        </w:rPr>
        <w:t xml:space="preserve">onc en non-conformité avec les </w:t>
      </w:r>
      <w:r w:rsidRPr="00A557BB">
        <w:rPr>
          <w:lang w:val="fr-FR"/>
        </w:rPr>
        <w:t>mesures de contrôle de la consommation stipulées par le Protocole pour les HCFC. Les parties ont également noté avec satisfaction que la Libye avait présenté un plan d'action visant à garantir le respect des mesures de contrôle des HCFC énoncées dans le Protocole, aux termes de laquelle la Libye s'était spécifiquement engagée à réduire la consommation de HCFC de 122,4 tonnes PAO en 2014 au maximum :</w:t>
      </w:r>
    </w:p>
    <w:p w14:paraId="2F605059" w14:textId="77777777" w:rsidR="004A1603" w:rsidRPr="00A557BB" w:rsidRDefault="00205581" w:rsidP="004A1603">
      <w:pPr>
        <w:pStyle w:val="Heading2"/>
        <w:numPr>
          <w:ilvl w:val="1"/>
          <w:numId w:val="1"/>
        </w:numPr>
        <w:tabs>
          <w:tab w:val="clear" w:pos="0"/>
        </w:tabs>
        <w:ind w:left="1418"/>
        <w:rPr>
          <w:lang w:val="fr-FR"/>
        </w:rPr>
      </w:pPr>
      <w:r w:rsidRPr="00A557BB">
        <w:rPr>
          <w:lang w:val="fr-FR"/>
        </w:rPr>
        <w:t>à 122,3 tonnes PAO en 2015 ;</w:t>
      </w:r>
    </w:p>
    <w:p w14:paraId="1CF73A54" w14:textId="77777777" w:rsidR="004A1603" w:rsidRPr="00A557BB" w:rsidRDefault="004A1603" w:rsidP="004A1603">
      <w:pPr>
        <w:pStyle w:val="Heading2"/>
        <w:numPr>
          <w:ilvl w:val="1"/>
          <w:numId w:val="1"/>
        </w:numPr>
        <w:tabs>
          <w:tab w:val="clear" w:pos="0"/>
        </w:tabs>
        <w:ind w:left="1418"/>
        <w:rPr>
          <w:lang w:val="fr-FR"/>
        </w:rPr>
      </w:pPr>
      <w:r w:rsidRPr="00A557BB">
        <w:rPr>
          <w:lang w:val="fr-FR"/>
        </w:rPr>
        <w:t>à 1</w:t>
      </w:r>
      <w:r w:rsidR="00205581" w:rsidRPr="00A557BB">
        <w:rPr>
          <w:lang w:val="fr-FR"/>
        </w:rPr>
        <w:t>18,4 tonnes PAO en 2016 et 2017 ;</w:t>
      </w:r>
    </w:p>
    <w:p w14:paraId="538573BE" w14:textId="77777777" w:rsidR="004A1603" w:rsidRPr="00A557BB" w:rsidRDefault="004A1603" w:rsidP="004A1603">
      <w:pPr>
        <w:pStyle w:val="Heading2"/>
        <w:numPr>
          <w:ilvl w:val="1"/>
          <w:numId w:val="1"/>
        </w:numPr>
        <w:tabs>
          <w:tab w:val="clear" w:pos="0"/>
        </w:tabs>
        <w:ind w:left="1418"/>
        <w:rPr>
          <w:lang w:val="fr-FR"/>
        </w:rPr>
      </w:pPr>
      <w:r w:rsidRPr="00A557BB">
        <w:rPr>
          <w:lang w:val="fr-FR"/>
        </w:rPr>
        <w:t>à 106,5</w:t>
      </w:r>
      <w:r w:rsidR="00205581" w:rsidRPr="00A557BB">
        <w:rPr>
          <w:lang w:val="fr-FR"/>
        </w:rPr>
        <w:t> ODP tonnes PAO en 2018 et 2019 ;</w:t>
      </w:r>
    </w:p>
    <w:p w14:paraId="41B627F3" w14:textId="77777777" w:rsidR="004A1603" w:rsidRPr="00A557BB" w:rsidRDefault="004A1603" w:rsidP="004A1603">
      <w:pPr>
        <w:pStyle w:val="Heading2"/>
        <w:numPr>
          <w:ilvl w:val="1"/>
          <w:numId w:val="1"/>
        </w:numPr>
        <w:tabs>
          <w:tab w:val="clear" w:pos="0"/>
        </w:tabs>
        <w:ind w:left="1418"/>
        <w:rPr>
          <w:lang w:val="fr-FR"/>
        </w:rPr>
      </w:pPr>
      <w:r w:rsidRPr="00A557BB">
        <w:rPr>
          <w:lang w:val="fr-FR"/>
        </w:rPr>
        <w:t>à 76</w:t>
      </w:r>
      <w:r w:rsidR="00205581" w:rsidRPr="00A557BB">
        <w:rPr>
          <w:lang w:val="fr-FR"/>
        </w:rPr>
        <w:t>,95 tonnes PAO en 2020 et 2021 ;</w:t>
      </w:r>
    </w:p>
    <w:p w14:paraId="04276CA6" w14:textId="77777777" w:rsidR="004A1603" w:rsidRPr="00A557BB" w:rsidRDefault="004A1603" w:rsidP="004A1603">
      <w:pPr>
        <w:pStyle w:val="Heading2"/>
        <w:numPr>
          <w:ilvl w:val="1"/>
          <w:numId w:val="1"/>
        </w:numPr>
        <w:tabs>
          <w:tab w:val="clear" w:pos="0"/>
        </w:tabs>
        <w:ind w:left="1418"/>
        <w:rPr>
          <w:lang w:val="fr-FR"/>
        </w:rPr>
      </w:pPr>
      <w:r w:rsidRPr="00A557BB">
        <w:rPr>
          <w:lang w:val="fr-FR"/>
        </w:rPr>
        <w:t>aux niveaux autorisés en vertu du Protocole de Montréal en 2022 et pour les années ultérieures.</w:t>
      </w:r>
    </w:p>
    <w:p w14:paraId="777FC7D6" w14:textId="77777777" w:rsidR="004A1603" w:rsidRPr="00A557BB" w:rsidRDefault="004A1603" w:rsidP="004A1603">
      <w:pPr>
        <w:pStyle w:val="Heading1"/>
        <w:rPr>
          <w:lang w:val="fr-FR"/>
        </w:rPr>
      </w:pPr>
      <w:r w:rsidRPr="00A557BB">
        <w:rPr>
          <w:lang w:val="fr-FR"/>
        </w:rPr>
        <w:t>Le Comité exécutif a ensuite approuvé la phase I du PGEH pour la Libye</w:t>
      </w:r>
      <w:r w:rsidR="00205581" w:rsidRPr="00A557BB">
        <w:rPr>
          <w:lang w:val="fr-FR"/>
        </w:rPr>
        <w:t>,</w:t>
      </w:r>
      <w:r w:rsidRPr="00A557BB">
        <w:rPr>
          <w:lang w:val="fr-FR"/>
        </w:rPr>
        <w:t xml:space="preserve"> lors de la 75</w:t>
      </w:r>
      <w:r w:rsidRPr="00A557BB">
        <w:rPr>
          <w:vertAlign w:val="superscript"/>
          <w:lang w:val="fr-FR"/>
        </w:rPr>
        <w:t>e</w:t>
      </w:r>
      <w:r w:rsidRPr="00A557BB">
        <w:rPr>
          <w:lang w:val="fr-FR"/>
        </w:rPr>
        <w:t xml:space="preserve"> réunion</w:t>
      </w:r>
      <w:r w:rsidR="00205581" w:rsidRPr="00A557BB">
        <w:rPr>
          <w:lang w:val="fr-FR"/>
        </w:rPr>
        <w:t>,</w:t>
      </w:r>
      <w:r w:rsidRPr="00A557BB">
        <w:rPr>
          <w:lang w:val="fr-FR"/>
        </w:rPr>
        <w:t xml:space="preserve"> afin de faciliter sa mise en œuvre du plan d’action </w:t>
      </w:r>
      <w:r w:rsidR="00205581" w:rsidRPr="00A557BB">
        <w:rPr>
          <w:lang w:val="fr-FR"/>
        </w:rPr>
        <w:t>et que le pays retrouve sa conformité</w:t>
      </w:r>
      <w:r w:rsidRPr="00A557BB">
        <w:rPr>
          <w:lang w:val="fr-FR"/>
        </w:rPr>
        <w:t xml:space="preserve">. Les cibles de </w:t>
      </w:r>
      <w:r w:rsidRPr="00A557BB">
        <w:rPr>
          <w:lang w:val="fr-FR"/>
        </w:rPr>
        <w:lastRenderedPageBreak/>
        <w:t>contrôle proposées dans le plan d’action ont été utilisées comme cibles de contrôle du Protocole de Montréal pour la phase I du PGEH pour la Libye.</w:t>
      </w:r>
    </w:p>
    <w:p w14:paraId="7C224B09" w14:textId="77777777" w:rsidR="004A1603" w:rsidRPr="00A557BB" w:rsidRDefault="004A1603" w:rsidP="004A1603">
      <w:pPr>
        <w:pStyle w:val="Heading1"/>
        <w:tabs>
          <w:tab w:val="clear" w:pos="0"/>
          <w:tab w:val="num" w:pos="710"/>
        </w:tabs>
        <w:rPr>
          <w:lang w:val="fr-FR"/>
        </w:rPr>
      </w:pPr>
      <w:r w:rsidRPr="00A557BB">
        <w:rPr>
          <w:lang w:val="fr-FR"/>
        </w:rPr>
        <w:t>À la 82</w:t>
      </w:r>
      <w:r w:rsidRPr="00A557BB">
        <w:rPr>
          <w:vertAlign w:val="superscript"/>
          <w:lang w:val="fr-FR"/>
        </w:rPr>
        <w:t>e</w:t>
      </w:r>
      <w:r w:rsidRPr="00A557BB">
        <w:rPr>
          <w:lang w:val="fr-FR"/>
        </w:rPr>
        <w:t xml:space="preserve"> réunion, le Comité exécutif a pris note du rapport périodique portant sur la première tranche de la phase I du PGEH, selon lequel la Libye appliquait un système d'octroi de permis et de quotas pour contrôler l'importation de HCFC, et que la consommation de 2017 était inférieure aux objectifs fixés dans le plan d'action. À la même réunion, le Comité a approuvé la deuxième et dernière tranche et demandé au Gouvernement libyen et à l’ONUDI de soumettre un rapport sur l’état d’avancement de l’application du programme de travail associé à la tranche finale et un rapport de vérification de la consommation et ce chaque année jusqu’à la fin de la phase I (décision 82/75). </w:t>
      </w:r>
    </w:p>
    <w:p w14:paraId="4AA5807F" w14:textId="77777777" w:rsidR="004A1603" w:rsidRPr="00A557BB" w:rsidRDefault="004A1603" w:rsidP="004A1603">
      <w:pPr>
        <w:pStyle w:val="Heading1"/>
        <w:keepNext/>
        <w:keepLines/>
        <w:tabs>
          <w:tab w:val="clear" w:pos="0"/>
          <w:tab w:val="num" w:pos="710"/>
        </w:tabs>
        <w:rPr>
          <w:i/>
          <w:lang w:val="fr-FR"/>
        </w:rPr>
      </w:pPr>
      <w:r w:rsidRPr="00A557BB">
        <w:rPr>
          <w:lang w:val="fr-FR"/>
        </w:rPr>
        <w:t xml:space="preserve">Au nom du gouvernement de la Libye, l’ONUDI, agissant en qualité d’agence d’exécution principale, a présenté le rapport périodique annuel sur la mise en œuvre du programme de travail associé à la phase I du PGEH, conformément à la décision 82/75 c). </w:t>
      </w:r>
    </w:p>
    <w:p w14:paraId="4A3F5516" w14:textId="77777777" w:rsidR="004A1603" w:rsidRPr="00A557BB" w:rsidRDefault="004A1603" w:rsidP="004A1603">
      <w:pPr>
        <w:pStyle w:val="Heading1"/>
        <w:keepNext/>
        <w:keepLines/>
        <w:numPr>
          <w:ilvl w:val="0"/>
          <w:numId w:val="0"/>
        </w:numPr>
        <w:rPr>
          <w:i/>
          <w:lang w:val="fr-FR"/>
        </w:rPr>
      </w:pPr>
      <w:r w:rsidRPr="00A557BB">
        <w:rPr>
          <w:i/>
          <w:lang w:val="fr-FR"/>
        </w:rPr>
        <w:t>Consommation de HCFC</w:t>
      </w:r>
    </w:p>
    <w:p w14:paraId="7AB01BBC" w14:textId="77777777" w:rsidR="004A1603" w:rsidRPr="00A557BB" w:rsidRDefault="004A1603" w:rsidP="004A1603">
      <w:pPr>
        <w:pStyle w:val="Heading1"/>
        <w:rPr>
          <w:lang w:val="fr-FR"/>
        </w:rPr>
      </w:pPr>
      <w:r w:rsidRPr="00A557BB">
        <w:rPr>
          <w:lang w:val="fr-FR"/>
        </w:rPr>
        <w:t xml:space="preserve">Le gouvernement de la Libye a rapporté une consommation de 76,75 tonnes PAO de HCFC en 2018, ce qui représente 29,75 tonnes PAO de moins que la cible de contrôle établie dans le plan d’action pour l’année. La consommation de HCFC a diminué depuis 2014 en raison de la mise en œuvre du PGEH, notamment grâce au système d'octroi de permis et de quotas, qui a limité les importations de HCFC dans le pays, et à l'introduction progressive d'équipements sans HCFC. La réduction de la consommation de HCFC est également due à l'évolution de la situation économique du pays et sur le plan de la sécurité.  </w:t>
      </w:r>
    </w:p>
    <w:p w14:paraId="5124E6F8" w14:textId="77777777" w:rsidR="004A1603" w:rsidRPr="00A557BB" w:rsidRDefault="004A1603" w:rsidP="004A1603">
      <w:pPr>
        <w:rPr>
          <w:i/>
          <w:lang w:val="fr-FR"/>
        </w:rPr>
      </w:pPr>
      <w:r w:rsidRPr="00A557BB">
        <w:rPr>
          <w:i/>
          <w:lang w:val="fr-FR"/>
        </w:rPr>
        <w:t xml:space="preserve">Rapport de vérification </w:t>
      </w:r>
    </w:p>
    <w:p w14:paraId="0FBD92AF" w14:textId="77777777" w:rsidR="004A1603" w:rsidRPr="00A557BB" w:rsidRDefault="004A1603" w:rsidP="004A1603">
      <w:pPr>
        <w:rPr>
          <w:lang w:val="fr-FR"/>
        </w:rPr>
      </w:pPr>
    </w:p>
    <w:p w14:paraId="76B10E33" w14:textId="42FCCEDD" w:rsidR="004A1603" w:rsidRPr="00A557BB" w:rsidRDefault="004A1603" w:rsidP="004A1603">
      <w:pPr>
        <w:pStyle w:val="Heading1"/>
        <w:tabs>
          <w:tab w:val="clear" w:pos="0"/>
          <w:tab w:val="num" w:pos="710"/>
        </w:tabs>
        <w:rPr>
          <w:lang w:val="fr-FR"/>
        </w:rPr>
      </w:pPr>
      <w:r w:rsidRPr="00A557BB">
        <w:rPr>
          <w:iCs/>
          <w:lang w:val="fr-FR"/>
        </w:rPr>
        <w:t>Une vérification de la consommation a été effectuée en 2018 et le rapport a été soumis à la 82</w:t>
      </w:r>
      <w:r w:rsidRPr="00A557BB">
        <w:rPr>
          <w:iCs/>
          <w:vertAlign w:val="superscript"/>
          <w:lang w:val="fr-FR"/>
        </w:rPr>
        <w:t>e</w:t>
      </w:r>
      <w:r w:rsidR="00704793">
        <w:rPr>
          <w:iCs/>
          <w:lang w:val="fr-FR"/>
        </w:rPr>
        <w:t> </w:t>
      </w:r>
      <w:r w:rsidRPr="00A557BB">
        <w:rPr>
          <w:iCs/>
          <w:lang w:val="fr-FR"/>
        </w:rPr>
        <w:t>réunion. Cependant, il est impossible d</w:t>
      </w:r>
      <w:r w:rsidRPr="00A557BB">
        <w:rPr>
          <w:lang w:val="fr-FR"/>
        </w:rPr>
        <w:t xml:space="preserve">'effectuer une autre vérification de la consommation en raison </w:t>
      </w:r>
      <w:r w:rsidRPr="00A557BB">
        <w:rPr>
          <w:iCs/>
          <w:lang w:val="fr-FR"/>
        </w:rPr>
        <w:t xml:space="preserve">de la situation du pays sur le plan de la sécurité. Par conséquent, aucun </w:t>
      </w:r>
      <w:r w:rsidRPr="00A557BB">
        <w:rPr>
          <w:lang w:val="fr-FR"/>
        </w:rPr>
        <w:t>rapport de vérification de la consommation n'a été soumis à la 84</w:t>
      </w:r>
      <w:r w:rsidRPr="00A557BB">
        <w:rPr>
          <w:vertAlign w:val="superscript"/>
          <w:lang w:val="fr-FR"/>
        </w:rPr>
        <w:t>e</w:t>
      </w:r>
      <w:r w:rsidRPr="00A557BB">
        <w:rPr>
          <w:lang w:val="fr-FR"/>
        </w:rPr>
        <w:t xml:space="preserve"> réunion.</w:t>
      </w:r>
    </w:p>
    <w:p w14:paraId="2912A74E" w14:textId="77777777" w:rsidR="00C41573" w:rsidRDefault="00C41573" w:rsidP="004A1603">
      <w:pPr>
        <w:pStyle w:val="Heading1"/>
        <w:numPr>
          <w:ilvl w:val="0"/>
          <w:numId w:val="0"/>
        </w:numPr>
        <w:rPr>
          <w:i/>
          <w:lang w:val="fr-FR"/>
        </w:rPr>
      </w:pPr>
    </w:p>
    <w:p w14:paraId="017AB770" w14:textId="7B23D797" w:rsidR="004A1603" w:rsidRPr="00A557BB" w:rsidRDefault="004A1603" w:rsidP="004A1603">
      <w:pPr>
        <w:pStyle w:val="Heading1"/>
        <w:numPr>
          <w:ilvl w:val="0"/>
          <w:numId w:val="0"/>
        </w:numPr>
        <w:rPr>
          <w:i/>
          <w:lang w:val="fr-FR"/>
        </w:rPr>
      </w:pPr>
      <w:r w:rsidRPr="00A557BB">
        <w:rPr>
          <w:i/>
          <w:lang w:val="fr-FR"/>
        </w:rPr>
        <w:t>Rapport périodique</w:t>
      </w:r>
    </w:p>
    <w:p w14:paraId="5BDBEF5F" w14:textId="77777777" w:rsidR="004A1603" w:rsidRPr="00A557BB" w:rsidRDefault="004A1603" w:rsidP="004A1603">
      <w:pPr>
        <w:pStyle w:val="Heading1"/>
        <w:tabs>
          <w:tab w:val="clear" w:pos="0"/>
          <w:tab w:val="num" w:pos="710"/>
        </w:tabs>
        <w:rPr>
          <w:lang w:val="fr-FR"/>
        </w:rPr>
      </w:pPr>
      <w:r w:rsidRPr="00A557BB">
        <w:rPr>
          <w:iCs/>
          <w:lang w:val="fr-FR"/>
        </w:rPr>
        <w:t xml:space="preserve">La mise en œuvre du PGEH dans le pays a été lente en raison des circonstances qui ont prévalu au cours des derniers mois. L'UNO a fait de son mieux pour contrôler les importations et récolter les données de consommation. L'UNO informe les autorités douanières et les importateurs des quotas d'importation établis. Les contingents d'importation ont été contrôlés tous les trimestres. Bien que des efforts aient été faits pour collecter des données de toutes les régions, la consommation n’est pas vérifiable dans certaines régions en raison de problèmes de sécurité. Les bureaux régionaux de l’Autorité générale de l’environnement (EGA) s’efforcent de mener à bien leurs tâches respectives et de rester connectés au bureau central de Tripoli. </w:t>
      </w:r>
    </w:p>
    <w:p w14:paraId="1F7AE562" w14:textId="77777777" w:rsidR="004A1603" w:rsidRPr="00A557BB" w:rsidRDefault="004A1603" w:rsidP="004A1603">
      <w:pPr>
        <w:widowControl w:val="0"/>
        <w:numPr>
          <w:ilvl w:val="0"/>
          <w:numId w:val="1"/>
        </w:numPr>
        <w:tabs>
          <w:tab w:val="clear" w:pos="0"/>
          <w:tab w:val="num" w:pos="710"/>
        </w:tabs>
        <w:spacing w:after="240"/>
        <w:outlineLvl w:val="0"/>
        <w:rPr>
          <w:i/>
          <w:lang w:val="fr-FR"/>
        </w:rPr>
      </w:pPr>
      <w:r w:rsidRPr="00A557BB">
        <w:rPr>
          <w:iCs/>
          <w:lang w:val="fr-FR"/>
        </w:rPr>
        <w:t>Compte tenu de la situation actuelle, l'UNO étudie la possibilité de former des agents des douanes au contrôle des importations de HCFC et de former des techniciens aux bonnes pratiques d'entretien des</w:t>
      </w:r>
      <w:r w:rsidR="00614272" w:rsidRPr="00A557BB">
        <w:rPr>
          <w:iCs/>
          <w:lang w:val="fr-FR"/>
        </w:rPr>
        <w:t xml:space="preserve"> </w:t>
      </w:r>
      <w:r w:rsidR="00663ABA" w:rsidRPr="00A557BB">
        <w:rPr>
          <w:iCs/>
          <w:lang w:val="fr-FR"/>
        </w:rPr>
        <w:t>équipements de</w:t>
      </w:r>
      <w:r w:rsidR="00614272" w:rsidRPr="00A557BB">
        <w:rPr>
          <w:iCs/>
          <w:lang w:val="fr-FR"/>
        </w:rPr>
        <w:t xml:space="preserve"> </w:t>
      </w:r>
      <w:r w:rsidRPr="00A557BB">
        <w:rPr>
          <w:iCs/>
          <w:lang w:val="fr-FR"/>
        </w:rPr>
        <w:t>réfrigération et de</w:t>
      </w:r>
      <w:r w:rsidR="00614272" w:rsidRPr="00A557BB">
        <w:rPr>
          <w:iCs/>
          <w:lang w:val="fr-FR"/>
        </w:rPr>
        <w:t xml:space="preserve"> </w:t>
      </w:r>
      <w:r w:rsidR="00663ABA" w:rsidRPr="00A557BB">
        <w:rPr>
          <w:iCs/>
          <w:lang w:val="fr-FR"/>
        </w:rPr>
        <w:t>climatisation avec l'a</w:t>
      </w:r>
      <w:r w:rsidR="00614272" w:rsidRPr="00A557BB">
        <w:rPr>
          <w:iCs/>
          <w:lang w:val="fr-FR"/>
        </w:rPr>
        <w:t>ide de l’</w:t>
      </w:r>
      <w:r w:rsidR="00663ABA" w:rsidRPr="00A557BB">
        <w:rPr>
          <w:iCs/>
          <w:lang w:val="fr-FR"/>
        </w:rPr>
        <w:t>UNO de la Tunisie.</w:t>
      </w:r>
    </w:p>
    <w:p w14:paraId="48BEA5AF" w14:textId="77777777" w:rsidR="004A1603" w:rsidRPr="00A557BB" w:rsidRDefault="004A1603" w:rsidP="00B45D48">
      <w:pPr>
        <w:keepNext/>
        <w:spacing w:after="240"/>
        <w:outlineLvl w:val="0"/>
        <w:rPr>
          <w:i/>
          <w:lang w:val="fr-FR"/>
        </w:rPr>
      </w:pPr>
      <w:r w:rsidRPr="00A557BB">
        <w:rPr>
          <w:i/>
          <w:lang w:val="fr-FR"/>
        </w:rPr>
        <w:lastRenderedPageBreak/>
        <w:t xml:space="preserve">Niveau de décaissement </w:t>
      </w:r>
    </w:p>
    <w:p w14:paraId="54E7168C" w14:textId="77777777" w:rsidR="004A1603" w:rsidRPr="00A557BB" w:rsidRDefault="004A1603" w:rsidP="00B45D48">
      <w:pPr>
        <w:pStyle w:val="Heading1"/>
        <w:keepNext/>
        <w:tabs>
          <w:tab w:val="clear" w:pos="0"/>
          <w:tab w:val="num" w:pos="710"/>
        </w:tabs>
        <w:rPr>
          <w:lang w:val="fr-FR"/>
        </w:rPr>
      </w:pPr>
      <w:r w:rsidRPr="00A557BB">
        <w:rPr>
          <w:lang w:val="fr-FR"/>
        </w:rPr>
        <w:t>En octobre 2019, sur les 970 417 $US de la première tranche,</w:t>
      </w:r>
      <w:r w:rsidRPr="00A557BB">
        <w:rPr>
          <w:rStyle w:val="FootnoteReference"/>
          <w:lang w:val="fr-FR"/>
        </w:rPr>
        <w:footnoteReference w:id="19"/>
      </w:r>
      <w:r w:rsidRPr="00A557BB">
        <w:rPr>
          <w:lang w:val="fr-FR"/>
        </w:rPr>
        <w:t xml:space="preserve"> 661 459 $US (soit 68,2%) ont été décaissés; cependant, rien n'a encore été décaissé sur les 190 893 $US approuvés pour la deuxième tranche. </w:t>
      </w:r>
    </w:p>
    <w:p w14:paraId="4058C8E2" w14:textId="77777777" w:rsidR="004A1603" w:rsidRPr="00A557BB" w:rsidRDefault="004A1603" w:rsidP="004A1603">
      <w:pPr>
        <w:pStyle w:val="Heading1"/>
        <w:widowControl w:val="0"/>
        <w:numPr>
          <w:ilvl w:val="0"/>
          <w:numId w:val="0"/>
        </w:numPr>
        <w:rPr>
          <w:b/>
          <w:bCs/>
          <w:lang w:val="fr-FR"/>
        </w:rPr>
      </w:pPr>
      <w:r w:rsidRPr="00A557BB">
        <w:rPr>
          <w:b/>
          <w:bCs/>
          <w:lang w:val="fr-FR"/>
        </w:rPr>
        <w:t>Observations du Secrétariat</w:t>
      </w:r>
    </w:p>
    <w:p w14:paraId="291F5FA5" w14:textId="77777777" w:rsidR="004A1603" w:rsidRPr="00A557BB" w:rsidRDefault="004A1603" w:rsidP="004A1603">
      <w:pPr>
        <w:pStyle w:val="Heading1"/>
        <w:widowControl w:val="0"/>
        <w:tabs>
          <w:tab w:val="clear" w:pos="0"/>
          <w:tab w:val="num" w:pos="710"/>
        </w:tabs>
        <w:rPr>
          <w:lang w:val="fr-FR"/>
        </w:rPr>
      </w:pPr>
      <w:r w:rsidRPr="00A557BB">
        <w:rPr>
          <w:lang w:val="fr-FR"/>
        </w:rPr>
        <w:t>La phase I du PGEH comprenait la reconversion de trois entreprises de m</w:t>
      </w:r>
      <w:r w:rsidR="00205581" w:rsidRPr="00A557BB">
        <w:rPr>
          <w:lang w:val="fr-FR"/>
        </w:rPr>
        <w:t>ousses en cyclopentane. À la 82</w:t>
      </w:r>
      <w:r w:rsidRPr="00A557BB">
        <w:rPr>
          <w:vertAlign w:val="superscript"/>
          <w:lang w:val="fr-FR"/>
        </w:rPr>
        <w:t>e</w:t>
      </w:r>
      <w:r w:rsidRPr="00A557BB">
        <w:rPr>
          <w:lang w:val="fr-FR"/>
        </w:rPr>
        <w:t xml:space="preserve"> réunion, la </w:t>
      </w:r>
      <w:r w:rsidR="002F5396" w:rsidRPr="00A557BB">
        <w:rPr>
          <w:lang w:val="fr-FR"/>
        </w:rPr>
        <w:t>reconversion</w:t>
      </w:r>
      <w:r w:rsidRPr="00A557BB">
        <w:rPr>
          <w:lang w:val="fr-FR"/>
        </w:rPr>
        <w:t xml:space="preserve"> d'une entreprise, Alyem, a été annulée car l'entreprise n'était plus en activité. En réponse à la question de savoir où en était le matériel fabriqué pour les deux autres entreprises, l’ONUDI a indiqué que le matériel d’une entreprise avait été livré à l’entreprise bénéficiaire et qu’il était entreposé en lieu sûr en attendant de pouvoir être mis en service. L'équipement destiné à une autre entreprise est entreposé chez le fabricant. En raison des problèmes de sécurité, le fournisseur ne peut pas effectuer l'installation et la mise en service. </w:t>
      </w:r>
    </w:p>
    <w:p w14:paraId="33A4F2BE" w14:textId="77777777" w:rsidR="004A1603" w:rsidRPr="00A557BB" w:rsidRDefault="004A1603" w:rsidP="004A1603">
      <w:pPr>
        <w:pStyle w:val="Heading1"/>
        <w:widowControl w:val="0"/>
        <w:tabs>
          <w:tab w:val="clear" w:pos="0"/>
          <w:tab w:val="num" w:pos="710"/>
        </w:tabs>
        <w:rPr>
          <w:lang w:val="fr-FR"/>
        </w:rPr>
      </w:pPr>
      <w:r w:rsidRPr="00A557BB">
        <w:rPr>
          <w:lang w:val="fr-FR"/>
        </w:rPr>
        <w:t xml:space="preserve">Le plan de travail de la deuxième tranche comprenait la formation de 50 techniciens en climatisation et en réfrigération sur les bonnes pratiques d'entretien et 25 agents des douanes en matière de contrôle des importations de HCFC et de prévention du commerce illégal. Il est actuellement prévu de former les formateurs en Allemagne.  </w:t>
      </w:r>
    </w:p>
    <w:p w14:paraId="5A012688" w14:textId="77777777" w:rsidR="004A1603" w:rsidRPr="00A557BB" w:rsidRDefault="004A1603" w:rsidP="004A1603">
      <w:pPr>
        <w:pStyle w:val="Heading1"/>
        <w:widowControl w:val="0"/>
        <w:tabs>
          <w:tab w:val="clear" w:pos="0"/>
          <w:tab w:val="num" w:pos="710"/>
        </w:tabs>
        <w:rPr>
          <w:lang w:val="fr-FR"/>
        </w:rPr>
      </w:pPr>
      <w:r w:rsidRPr="00A557BB">
        <w:rPr>
          <w:lang w:val="fr-FR"/>
        </w:rPr>
        <w:t xml:space="preserve">Après enquête sur le contingent d'importation octroyé, l'ONUDI a confirmé que des contingents d'importation nationaux étaient fixés à 105,65 tonnes PAO pour 2019 et à 76,67 tonnes PAO pour 2020, ce qui est inférieur à l'objectif de réduction de 35% de 76,95 tonnes PAO au titre du Protocole de Montréal pour cette année-là.  </w:t>
      </w:r>
    </w:p>
    <w:p w14:paraId="7930227E" w14:textId="77777777" w:rsidR="004A1603" w:rsidRPr="00A557BB" w:rsidRDefault="004A1603" w:rsidP="004A1603">
      <w:pPr>
        <w:pStyle w:val="Heading1"/>
        <w:widowControl w:val="0"/>
        <w:tabs>
          <w:tab w:val="clear" w:pos="0"/>
          <w:tab w:val="num" w:pos="710"/>
        </w:tabs>
        <w:rPr>
          <w:lang w:val="fr-FR"/>
        </w:rPr>
      </w:pPr>
      <w:r w:rsidRPr="00A557BB">
        <w:rPr>
          <w:lang w:val="fr-FR"/>
        </w:rPr>
        <w:t>Notant la situation en matière de sécurité dans le pays, les activités en suspens devant être mises en œuvre et indiquant que la date d'achèvement de la phase I du PGEH était fixée au 31 décembre 2019, l'ONUDI a demandé de prolonger la phase I du PGEH jusqu'au 31 décembre 2021. Cette extension aiderait le pays à mener à bien les activités restantes.</w:t>
      </w:r>
    </w:p>
    <w:p w14:paraId="46A83BFA" w14:textId="77777777" w:rsidR="004A1603" w:rsidRPr="00A557BB" w:rsidRDefault="0064628C" w:rsidP="004A1603">
      <w:pPr>
        <w:tabs>
          <w:tab w:val="left" w:pos="720"/>
        </w:tabs>
        <w:spacing w:after="240"/>
        <w:outlineLvl w:val="0"/>
        <w:rPr>
          <w:b/>
          <w:lang w:val="fr-FR"/>
        </w:rPr>
      </w:pPr>
      <w:r w:rsidRPr="00A557BB">
        <w:rPr>
          <w:b/>
          <w:lang w:val="fr-FR"/>
        </w:rPr>
        <w:t>Recommandation</w:t>
      </w:r>
    </w:p>
    <w:p w14:paraId="3F11B791" w14:textId="77777777" w:rsidR="004A1603" w:rsidRPr="00A557BB" w:rsidRDefault="004A1603" w:rsidP="004A1603">
      <w:pPr>
        <w:pStyle w:val="Heading1"/>
        <w:keepNext/>
        <w:tabs>
          <w:tab w:val="num" w:pos="710"/>
        </w:tabs>
        <w:rPr>
          <w:lang w:val="fr-FR"/>
        </w:rPr>
      </w:pPr>
      <w:r w:rsidRPr="00A557BB">
        <w:rPr>
          <w:lang w:val="fr-FR"/>
        </w:rPr>
        <w:t>Le Comité exécutif pourrait souhaiter :</w:t>
      </w:r>
    </w:p>
    <w:p w14:paraId="25BC1609" w14:textId="77777777" w:rsidR="004A1603" w:rsidRPr="00A557BB" w:rsidRDefault="004A1603" w:rsidP="00DE6F31">
      <w:pPr>
        <w:pStyle w:val="Heading2"/>
        <w:numPr>
          <w:ilvl w:val="1"/>
          <w:numId w:val="1"/>
        </w:numPr>
        <w:tabs>
          <w:tab w:val="clear" w:pos="0"/>
        </w:tabs>
        <w:ind w:left="1418"/>
        <w:rPr>
          <w:lang w:val="fr-FR"/>
        </w:rPr>
      </w:pPr>
      <w:r w:rsidRPr="00A557BB">
        <w:rPr>
          <w:lang w:val="fr-FR"/>
        </w:rPr>
        <w:t>prendre note du rapport périodique sur la mise en œuvre de la</w:t>
      </w:r>
      <w:r w:rsidR="00205581" w:rsidRPr="00A557BB">
        <w:rPr>
          <w:lang w:val="fr-FR"/>
        </w:rPr>
        <w:t xml:space="preserve"> phase I du plan de gestion de </w:t>
      </w:r>
      <w:r w:rsidRPr="00A557BB">
        <w:rPr>
          <w:lang w:val="fr-FR"/>
        </w:rPr>
        <w:t>l’élimination des HCFC (PGEH) pour la Libye présenté par l'ONUDI et contenu dans le document paru sous la cote UNEP/OzL.Pro/ExCom/84/22 ;</w:t>
      </w:r>
    </w:p>
    <w:p w14:paraId="3BA62160" w14:textId="77777777" w:rsidR="004A1603" w:rsidRPr="00A557BB" w:rsidRDefault="004A1603" w:rsidP="00DE6F31">
      <w:pPr>
        <w:pStyle w:val="Heading2"/>
        <w:numPr>
          <w:ilvl w:val="1"/>
          <w:numId w:val="1"/>
        </w:numPr>
        <w:tabs>
          <w:tab w:val="clear" w:pos="0"/>
          <w:tab w:val="num" w:pos="710"/>
        </w:tabs>
        <w:ind w:left="1418"/>
        <w:rPr>
          <w:lang w:val="fr-FR"/>
        </w:rPr>
      </w:pPr>
      <w:r w:rsidRPr="00A557BB">
        <w:rPr>
          <w:lang w:val="fr-FR"/>
        </w:rPr>
        <w:t>examiner la prolongation jusqu'au 31 décembre 2021 de la phase I du PGEH, en prenant note de la situation sécuritaire difficile dans le pays, étant entendu qu'un projet d'accord révisé entre le gouvernement de la Libye et le Comité exécutif serait soumis avec le rapport d'avancement sur la mise en œuvre du programme de travail et un rapport de vérification à la 86</w:t>
      </w:r>
      <w:r w:rsidRPr="00A557BB">
        <w:rPr>
          <w:vertAlign w:val="superscript"/>
          <w:lang w:val="fr-FR"/>
        </w:rPr>
        <w:t>e</w:t>
      </w:r>
      <w:r w:rsidRPr="00A557BB">
        <w:rPr>
          <w:lang w:val="fr-FR"/>
        </w:rPr>
        <w:t xml:space="preserve"> réunion.</w:t>
      </w:r>
    </w:p>
    <w:p w14:paraId="6F5B2C00" w14:textId="77777777" w:rsidR="00712F7B" w:rsidRPr="00A557BB" w:rsidRDefault="00712F7B" w:rsidP="00D11B6F">
      <w:pPr>
        <w:keepNext/>
        <w:keepLines/>
        <w:widowControl w:val="0"/>
        <w:spacing w:after="240"/>
        <w:rPr>
          <w:lang w:val="fr-FR"/>
        </w:rPr>
      </w:pPr>
      <w:r w:rsidRPr="00A557BB">
        <w:rPr>
          <w:u w:val="single"/>
          <w:lang w:val="fr-FR"/>
        </w:rPr>
        <w:lastRenderedPageBreak/>
        <w:t>Maldives: Plan de gestion de l'élimination des HCFC (phase I et projet de démonstration de solutions de remplacement à faible PRP et sans HCFC dans le secteur de la pêche</w:t>
      </w:r>
      <w:r w:rsidR="0018562F" w:rsidRPr="00A557BB">
        <w:rPr>
          <w:u w:val="single"/>
          <w:lang w:val="fr-FR"/>
        </w:rPr>
        <w:t xml:space="preserve"> - Rapport périodique)</w:t>
      </w:r>
      <w:r w:rsidRPr="00A557BB">
        <w:rPr>
          <w:lang w:val="fr-FR"/>
        </w:rPr>
        <w:t xml:space="preserve"> (PNUE et PNUD)</w:t>
      </w:r>
    </w:p>
    <w:p w14:paraId="17B3EAD2" w14:textId="77777777" w:rsidR="00712F7B" w:rsidRPr="00A557BB" w:rsidRDefault="00712F7B" w:rsidP="00D11B6F">
      <w:pPr>
        <w:keepNext/>
        <w:keepLines/>
        <w:widowControl w:val="0"/>
        <w:tabs>
          <w:tab w:val="num" w:pos="710"/>
        </w:tabs>
        <w:spacing w:after="240"/>
        <w:outlineLvl w:val="1"/>
        <w:rPr>
          <w:b/>
          <w:lang w:val="fr-FR"/>
        </w:rPr>
      </w:pPr>
      <w:r w:rsidRPr="00A557BB">
        <w:rPr>
          <w:b/>
          <w:lang w:val="fr-FR"/>
        </w:rPr>
        <w:t>Historique</w:t>
      </w:r>
    </w:p>
    <w:p w14:paraId="6C4446A3" w14:textId="77777777" w:rsidR="00712F7B" w:rsidRPr="00A557BB" w:rsidRDefault="00712F7B" w:rsidP="00D11B6F">
      <w:pPr>
        <w:pStyle w:val="Heading1"/>
        <w:keepNext/>
        <w:keepLines/>
        <w:widowControl w:val="0"/>
        <w:rPr>
          <w:lang w:val="fr-FR"/>
        </w:rPr>
      </w:pPr>
      <w:r w:rsidRPr="00A557BB">
        <w:rPr>
          <w:lang w:val="fr-FR"/>
        </w:rPr>
        <w:t>À la 83</w:t>
      </w:r>
      <w:r w:rsidRPr="00A557BB">
        <w:rPr>
          <w:vertAlign w:val="superscript"/>
          <w:lang w:val="fr-FR"/>
        </w:rPr>
        <w:t>e</w:t>
      </w:r>
      <w:r w:rsidRPr="00A557BB">
        <w:rPr>
          <w:lang w:val="fr-FR"/>
        </w:rPr>
        <w:t xml:space="preserve"> réunion, le PNUD a rendu un rapport sur l</w:t>
      </w:r>
      <w:r w:rsidR="00205581" w:rsidRPr="00A557BB">
        <w:rPr>
          <w:lang w:val="fr-FR"/>
        </w:rPr>
        <w:t xml:space="preserve">e projet de démonstration basé </w:t>
      </w:r>
      <w:r w:rsidRPr="00A557BB">
        <w:rPr>
          <w:lang w:val="fr-FR"/>
        </w:rPr>
        <w:t xml:space="preserve">sur les </w:t>
      </w:r>
      <w:r w:rsidR="00614272" w:rsidRPr="00A557BB">
        <w:rPr>
          <w:lang w:val="fr-FR"/>
        </w:rPr>
        <w:t>technologie</w:t>
      </w:r>
      <w:r w:rsidRPr="00A557BB">
        <w:rPr>
          <w:lang w:val="fr-FR"/>
        </w:rPr>
        <w:t>s de remplacement sans HCFC et à faible PRP pour le secteur de la pêche aux Maldives, approuvé lors de la 76</w:t>
      </w:r>
      <w:r w:rsidRPr="00A557BB">
        <w:rPr>
          <w:vertAlign w:val="superscript"/>
          <w:lang w:val="fr-FR"/>
        </w:rPr>
        <w:t>e</w:t>
      </w:r>
      <w:r w:rsidRPr="00A557BB">
        <w:rPr>
          <w:lang w:val="fr-FR"/>
        </w:rPr>
        <w:t xml:space="preserve"> réunion,</w:t>
      </w:r>
      <w:r w:rsidRPr="00A557BB">
        <w:rPr>
          <w:rStyle w:val="FootnoteReference"/>
          <w:lang w:val="fr-FR"/>
        </w:rPr>
        <w:footnoteReference w:id="20"/>
      </w:r>
      <w:r w:rsidR="00205581" w:rsidRPr="00A557BB">
        <w:rPr>
          <w:lang w:val="fr-FR"/>
        </w:rPr>
        <w:t xml:space="preserve"> </w:t>
      </w:r>
      <w:r w:rsidRPr="00A557BB">
        <w:rPr>
          <w:lang w:val="fr-FR"/>
        </w:rPr>
        <w:t>dans le contexte de la mise en œuvre du PGEH, sur la base de laquelle le Comité exécutif a demandé au PNUD d'inclure un rapport sur l'état du projet de démonstration dans chaque rapport d'avancement sur la mise en œuvre du PGEH pour les Maldives, conformément aux décisions 80/70 ( b) et 83/25 (b).</w:t>
      </w:r>
    </w:p>
    <w:p w14:paraId="1256DEF1" w14:textId="77777777" w:rsidR="00712F7B" w:rsidRPr="00A557BB" w:rsidRDefault="00712F7B" w:rsidP="00712F7B">
      <w:pPr>
        <w:widowControl w:val="0"/>
        <w:spacing w:after="240"/>
        <w:rPr>
          <w:b/>
          <w:lang w:val="fr-FR"/>
        </w:rPr>
      </w:pPr>
      <w:r w:rsidRPr="00A557BB">
        <w:rPr>
          <w:b/>
          <w:lang w:val="fr-FR"/>
        </w:rPr>
        <w:t>Rapport périodique</w:t>
      </w:r>
    </w:p>
    <w:p w14:paraId="29B3839E" w14:textId="77777777" w:rsidR="00712F7B" w:rsidRPr="00A557BB" w:rsidRDefault="00712F7B" w:rsidP="00712F7B">
      <w:pPr>
        <w:widowControl w:val="0"/>
        <w:numPr>
          <w:ilvl w:val="0"/>
          <w:numId w:val="1"/>
        </w:numPr>
        <w:tabs>
          <w:tab w:val="clear" w:pos="0"/>
          <w:tab w:val="num" w:pos="710"/>
        </w:tabs>
        <w:spacing w:after="240"/>
        <w:outlineLvl w:val="0"/>
        <w:rPr>
          <w:lang w:val="fr-FR"/>
        </w:rPr>
      </w:pPr>
      <w:r w:rsidRPr="00A557BB">
        <w:rPr>
          <w:lang w:val="fr-FR"/>
        </w:rPr>
        <w:t>En réponse aux décisions susdites, le PNUE a indiqué que la mi</w:t>
      </w:r>
      <w:r w:rsidR="00205581" w:rsidRPr="00A557BB">
        <w:rPr>
          <w:lang w:val="fr-FR"/>
        </w:rPr>
        <w:t>se en œuvre du PGEH progressait ;</w:t>
      </w:r>
      <w:r w:rsidRPr="00A557BB">
        <w:rPr>
          <w:lang w:val="fr-FR"/>
        </w:rPr>
        <w:t xml:space="preserve"> la consommation de HCFC déclarée par les Maldives en 2018 était de 1,21 tonne PAO (22 tm), ce qui correspond à la consommation maximale autorisée pour l'année en vertu de l'Accord avec le Comité exécutif, une consommation inférieure de 3,39 </w:t>
      </w:r>
      <w:r w:rsidRPr="00A557BB">
        <w:rPr>
          <w:color w:val="000000" w:themeColor="text1"/>
          <w:lang w:val="fr-FR"/>
        </w:rPr>
        <w:t xml:space="preserve">tonnes PAO (61,63 tm) au </w:t>
      </w:r>
      <w:r w:rsidRPr="00A557BB">
        <w:rPr>
          <w:lang w:val="fr-FR"/>
        </w:rPr>
        <w:t xml:space="preserve">niveau de référence de HCFC aux fins </w:t>
      </w:r>
      <w:r w:rsidR="00614272" w:rsidRPr="00A557BB">
        <w:rPr>
          <w:lang w:val="fr-FR"/>
        </w:rPr>
        <w:t>de conformité</w:t>
      </w:r>
      <w:r w:rsidRPr="00A557BB">
        <w:rPr>
          <w:lang w:val="fr-FR"/>
        </w:rPr>
        <w:t xml:space="preserve"> (soit 4,6 tonnes PAO ou 83,63 tm).  Les principales activités réa</w:t>
      </w:r>
      <w:r w:rsidR="00205581" w:rsidRPr="00A557BB">
        <w:rPr>
          <w:lang w:val="fr-FR"/>
        </w:rPr>
        <w:t xml:space="preserve">lisées entre septembre 2018 et </w:t>
      </w:r>
      <w:r w:rsidRPr="00A557BB">
        <w:rPr>
          <w:lang w:val="fr-FR"/>
        </w:rPr>
        <w:t>septembre 2019 comprennent :</w:t>
      </w:r>
    </w:p>
    <w:p w14:paraId="66CD037C" w14:textId="77777777" w:rsidR="00712F7B" w:rsidRPr="00A557BB" w:rsidRDefault="00712F7B" w:rsidP="00712F7B">
      <w:pPr>
        <w:pStyle w:val="Heading2"/>
        <w:numPr>
          <w:ilvl w:val="1"/>
          <w:numId w:val="1"/>
        </w:numPr>
        <w:rPr>
          <w:lang w:val="fr-FR"/>
        </w:rPr>
      </w:pPr>
      <w:r w:rsidRPr="00A557BB">
        <w:rPr>
          <w:lang w:val="fr-FR"/>
        </w:rPr>
        <w:t>la formation de 30 agents des douanes et membres des forces de l'ordre sur la mise en œuvre du système d'octroi de permis pour les SAO, élaboration de codes des douanes et de la base de données sur les importations de HFC avec les douanes. Dix agents des douanes ont participé à une formation régionale sur le contrôle des conteneurs dans la région de l’Asie du Sud, qui comprenait une session sur le respect de l’environnement et le commerce illicite liée au Protocole de Montréal, organisée par l’Office des Nations Unies contre la drogue et le crime ; deux agents des douanes ont participé à un atelier sur l'approvisionnement écologique pour un refroidissement d</w:t>
      </w:r>
      <w:r w:rsidR="00205581" w:rsidRPr="00A557BB">
        <w:rPr>
          <w:lang w:val="fr-FR"/>
        </w:rPr>
        <w:t>urable à Jakarta, en Indonésie ;</w:t>
      </w:r>
    </w:p>
    <w:p w14:paraId="620BAA00" w14:textId="77777777" w:rsidR="00712F7B" w:rsidRPr="00A557BB" w:rsidRDefault="00712F7B" w:rsidP="00712F7B">
      <w:pPr>
        <w:pStyle w:val="Heading2"/>
        <w:numPr>
          <w:ilvl w:val="1"/>
          <w:numId w:val="1"/>
        </w:numPr>
        <w:spacing w:after="120"/>
        <w:rPr>
          <w:lang w:val="fr-FR"/>
        </w:rPr>
      </w:pPr>
      <w:r w:rsidRPr="00A557BB">
        <w:rPr>
          <w:lang w:val="fr-FR"/>
        </w:rPr>
        <w:t>douze techniciens en maintenance ont reçu une formation sur le permis</w:t>
      </w:r>
      <w:r w:rsidR="00205581" w:rsidRPr="00A557BB">
        <w:rPr>
          <w:lang w:val="fr-FR"/>
        </w:rPr>
        <w:t xml:space="preserve"> de conduire des frigorigènes (</w:t>
      </w:r>
      <w:r w:rsidRPr="00A557BB">
        <w:rPr>
          <w:lang w:val="fr-FR"/>
        </w:rPr>
        <w:t>RDL) pour les petites applications par l’AHRI et le PNUE ; un maître formateur a été formé à Guangzhou, en Chine, sur l'utilisation sans danger de frigorigènes inflammables pour les climatiseurs de salle ;</w:t>
      </w:r>
    </w:p>
    <w:p w14:paraId="7485A8CC" w14:textId="77777777" w:rsidR="00712F7B" w:rsidRPr="00A557BB" w:rsidRDefault="00712F7B" w:rsidP="00712F7B">
      <w:pPr>
        <w:pStyle w:val="Heading2"/>
        <w:numPr>
          <w:ilvl w:val="1"/>
          <w:numId w:val="1"/>
        </w:numPr>
        <w:rPr>
          <w:lang w:val="fr-FR"/>
        </w:rPr>
      </w:pPr>
      <w:r w:rsidRPr="00A557BB">
        <w:rPr>
          <w:lang w:val="fr-FR"/>
        </w:rPr>
        <w:t>Les parties prenantes des secteurs de la pêche et de l'efficacité énergétique ainsi que des centres d'enseignement et de formation techniques et professionnels ainsi que l'UNO ont assisté à des ateliers portant sur la politique d'efficacité énergétique du matériel de réfrigération et de climatisation et sur les bonnes pratiques en entretien pour créer des synergies avec les activités en cours du PGEH.</w:t>
      </w:r>
    </w:p>
    <w:p w14:paraId="46A9A267" w14:textId="77777777" w:rsidR="00712F7B" w:rsidRPr="00A557BB" w:rsidRDefault="00712F7B" w:rsidP="00712F7B">
      <w:pPr>
        <w:pStyle w:val="Heading1"/>
        <w:widowControl w:val="0"/>
        <w:spacing w:after="120"/>
        <w:rPr>
          <w:lang w:val="fr-FR"/>
        </w:rPr>
      </w:pPr>
      <w:r w:rsidRPr="00A557BB">
        <w:rPr>
          <w:lang w:val="fr-FR"/>
        </w:rPr>
        <w:t>En ce qui concerne les activités d’investissement mises en œuvre par l’intermédiaire du PNUD, les activités suivantes ont été réalisées :</w:t>
      </w:r>
    </w:p>
    <w:p w14:paraId="74C832D7" w14:textId="77777777" w:rsidR="00712F7B" w:rsidRPr="00A557BB" w:rsidRDefault="00712F7B" w:rsidP="00712F7B">
      <w:pPr>
        <w:pStyle w:val="Heading2"/>
        <w:numPr>
          <w:ilvl w:val="1"/>
          <w:numId w:val="1"/>
        </w:numPr>
        <w:spacing w:after="120"/>
        <w:rPr>
          <w:lang w:val="fr-FR"/>
        </w:rPr>
      </w:pPr>
      <w:r w:rsidRPr="00A557BB">
        <w:rPr>
          <w:lang w:val="fr-FR"/>
        </w:rPr>
        <w:t xml:space="preserve">un Centre de récupération, de recyclage et de valorisation a été créé à l’école polytechnique des Maldives ; une formation a été fournie à deux formateurs pour faire fonctionner le Centre, appuyée par des activités de sensibilisation encourageant le recyclage et la récupération des SAO ; </w:t>
      </w:r>
    </w:p>
    <w:p w14:paraId="3F5351C0" w14:textId="77777777" w:rsidR="00712F7B" w:rsidRPr="00A557BB" w:rsidRDefault="00712F7B" w:rsidP="00712F7B">
      <w:pPr>
        <w:pStyle w:val="Heading2"/>
        <w:numPr>
          <w:ilvl w:val="1"/>
          <w:numId w:val="1"/>
        </w:numPr>
        <w:rPr>
          <w:lang w:val="fr-FR"/>
        </w:rPr>
      </w:pPr>
      <w:r w:rsidRPr="00A557BB">
        <w:rPr>
          <w:lang w:val="fr-FR"/>
        </w:rPr>
        <w:t>le programme d’incitation au remplacement des équipements a été mis en œuvre conjointement avec la Société maldivienne des pêches industrie</w:t>
      </w:r>
      <w:r w:rsidR="00205581" w:rsidRPr="00A557BB">
        <w:rPr>
          <w:lang w:val="fr-FR"/>
        </w:rPr>
        <w:t xml:space="preserve">lles (MIFCO), qui a acheté </w:t>
      </w:r>
      <w:r w:rsidRPr="00A557BB">
        <w:rPr>
          <w:lang w:val="fr-FR"/>
        </w:rPr>
        <w:t xml:space="preserve">et distribué 129 climatiseurs à différentes capacités de refroidissement basés sur le </w:t>
      </w:r>
      <w:r w:rsidRPr="00A557BB">
        <w:rPr>
          <w:lang w:val="fr-FR"/>
        </w:rPr>
        <w:lastRenderedPageBreak/>
        <w:t>frigorigène R-32, ce qui a permis de faire baisser la facture d'électricité de 15 à 18% environ ; du matériel supplémentaire est en cours d’achat et devrait être installé d’ici octobre 2020.</w:t>
      </w:r>
    </w:p>
    <w:p w14:paraId="7A73FF19" w14:textId="77777777" w:rsidR="00712F7B" w:rsidRPr="00A557BB" w:rsidRDefault="00205581" w:rsidP="00712F7B">
      <w:pPr>
        <w:pStyle w:val="Heading1"/>
        <w:widowControl w:val="0"/>
        <w:rPr>
          <w:lang w:val="fr-FR"/>
        </w:rPr>
      </w:pPr>
      <w:r w:rsidRPr="00A557BB">
        <w:rPr>
          <w:lang w:val="fr-FR"/>
        </w:rPr>
        <w:t xml:space="preserve">Trois bateaux de pêche modernisés, équipés de systèmes à </w:t>
      </w:r>
      <w:r w:rsidR="00712F7B" w:rsidRPr="00A557BB">
        <w:rPr>
          <w:lang w:val="fr-FR"/>
        </w:rPr>
        <w:t>R-448A, sont en service</w:t>
      </w:r>
      <w:r w:rsidRPr="00A557BB">
        <w:rPr>
          <w:lang w:val="fr-FR"/>
        </w:rPr>
        <w:t xml:space="preserve"> depuis septembre 2019</w:t>
      </w:r>
      <w:r w:rsidR="00712F7B" w:rsidRPr="00A557BB">
        <w:rPr>
          <w:lang w:val="fr-FR"/>
        </w:rPr>
        <w:t>. Les problèmes techniques rencontrés pour moderniser les navires étaient dus aux matériaux utilisés pour les joints, l'étanchéité et une ancienne pompe à eau. Après avis technique du fournisseur, du matériel spécial a été commandé pour remplacer ces pièces. Les résultats sont attendus d’i</w:t>
      </w:r>
      <w:r w:rsidRPr="00A557BB">
        <w:rPr>
          <w:lang w:val="fr-FR"/>
        </w:rPr>
        <w:t>ci novembre 2019. Le PNUD fera</w:t>
      </w:r>
      <w:r w:rsidR="00712F7B" w:rsidRPr="00A557BB">
        <w:rPr>
          <w:lang w:val="fr-FR"/>
        </w:rPr>
        <w:t xml:space="preserve"> le point sur la manière dont ces problèmes techniques ont été résolus après l'installation du nouveau matériel. </w:t>
      </w:r>
    </w:p>
    <w:p w14:paraId="4F0E65CE" w14:textId="77777777" w:rsidR="00712F7B" w:rsidRPr="00A557BB" w:rsidRDefault="00712F7B" w:rsidP="00E748BB">
      <w:pPr>
        <w:pStyle w:val="Heading1"/>
        <w:keepNext/>
        <w:rPr>
          <w:lang w:val="fr-FR"/>
        </w:rPr>
      </w:pPr>
      <w:r w:rsidRPr="00A557BB">
        <w:rPr>
          <w:lang w:val="fr-FR"/>
        </w:rPr>
        <w:t>Le PNUD a également signalé que le R-448A n’était toujours pas disponible dans le pays, mais que le MIFCO disposait de stocks suffisants pou</w:t>
      </w:r>
      <w:r w:rsidR="00205581" w:rsidRPr="00A557BB">
        <w:rPr>
          <w:lang w:val="fr-FR"/>
        </w:rPr>
        <w:t>r équiper les bateaux de pêche.</w:t>
      </w:r>
      <w:r w:rsidRPr="00A557BB">
        <w:rPr>
          <w:lang w:val="fr-FR"/>
        </w:rPr>
        <w:t xml:space="preserve"> Le MIFCO prévoit de moderniser 12 unités supplémentaires avec le R-448A en 2020 en attendant que d'autres solutions soient disponibles. L’étude théorique explorant les nouveaux frigorigènes de la catégorie A1 (frigorigènes de faible toxicité et à inflammabilité nulle</w:t>
      </w:r>
      <w:r w:rsidR="00205581" w:rsidRPr="00A557BB">
        <w:rPr>
          <w:lang w:val="fr-FR"/>
        </w:rPr>
        <w:t xml:space="preserve">) et de ceux dont le PRP est </w:t>
      </w:r>
      <w:r w:rsidRPr="00A557BB">
        <w:rPr>
          <w:lang w:val="fr-FR"/>
        </w:rPr>
        <w:t>inféri</w:t>
      </w:r>
      <w:r w:rsidR="00205581" w:rsidRPr="00A557BB">
        <w:rPr>
          <w:lang w:val="fr-FR"/>
        </w:rPr>
        <w:t>eur à celui du R-448A (PRP de 1 </w:t>
      </w:r>
      <w:r w:rsidRPr="00A557BB">
        <w:rPr>
          <w:lang w:val="fr-FR"/>
        </w:rPr>
        <w:t xml:space="preserve">273) est toujours en cours. Le consultant informera le Gouvernement et le PNUD des conclusions. À ce jour, aucune autre solution de remplacement du R-448A n'a été trouvée pour les bateaux de pêche. </w:t>
      </w:r>
    </w:p>
    <w:p w14:paraId="76647643" w14:textId="77777777" w:rsidR="00712F7B" w:rsidRPr="00A557BB" w:rsidRDefault="00712F7B" w:rsidP="00712F7B">
      <w:pPr>
        <w:widowControl w:val="0"/>
        <w:spacing w:after="240"/>
        <w:rPr>
          <w:i/>
          <w:lang w:val="fr-FR"/>
        </w:rPr>
      </w:pPr>
      <w:r w:rsidRPr="00A557BB">
        <w:rPr>
          <w:i/>
          <w:lang w:val="fr-FR"/>
        </w:rPr>
        <w:t>Rapport financier</w:t>
      </w:r>
    </w:p>
    <w:p w14:paraId="0719CDCC" w14:textId="77777777" w:rsidR="00712F7B" w:rsidRPr="00A557BB" w:rsidRDefault="00712F7B" w:rsidP="00712F7B">
      <w:pPr>
        <w:pStyle w:val="Heading1"/>
        <w:widowControl w:val="0"/>
        <w:rPr>
          <w:lang w:val="fr-FR"/>
        </w:rPr>
      </w:pPr>
      <w:r w:rsidRPr="00A557BB">
        <w:rPr>
          <w:lang w:val="fr-FR"/>
        </w:rPr>
        <w:t>En septembre 2019, le PNUE avait signalé un taux de décaissement cumulé de 97% pour la phase I du PGEH pour les Maldives, résumé au tableau 6.</w:t>
      </w:r>
    </w:p>
    <w:p w14:paraId="03F8BC7E" w14:textId="77777777" w:rsidR="00712F7B" w:rsidRPr="00A557BB" w:rsidRDefault="00712F7B" w:rsidP="00712F7B">
      <w:pPr>
        <w:pStyle w:val="Caption"/>
        <w:keepNext/>
        <w:keepLines/>
        <w:spacing w:after="0"/>
        <w:rPr>
          <w:rFonts w:ascii="Times New Roman" w:hAnsi="Times New Roman"/>
          <w:b/>
          <w:i w:val="0"/>
          <w:color w:val="auto"/>
          <w:sz w:val="22"/>
          <w:szCs w:val="22"/>
          <w:lang w:val="fr-FR"/>
        </w:rPr>
      </w:pPr>
      <w:r w:rsidRPr="00A557BB">
        <w:rPr>
          <w:rFonts w:ascii="Times New Roman" w:hAnsi="Times New Roman"/>
          <w:b/>
          <w:i w:val="0"/>
          <w:color w:val="auto"/>
          <w:sz w:val="22"/>
          <w:szCs w:val="22"/>
          <w:lang w:val="fr-FR"/>
        </w:rPr>
        <w:t>Tableau 6 : Rapport financier sur la phase I du PGEH des Maldives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0"/>
        <w:gridCol w:w="1134"/>
        <w:gridCol w:w="1418"/>
        <w:gridCol w:w="1417"/>
        <w:gridCol w:w="1276"/>
        <w:gridCol w:w="2268"/>
      </w:tblGrid>
      <w:tr w:rsidR="00712F7B" w:rsidRPr="00A557BB" w14:paraId="42ECDF29" w14:textId="77777777" w:rsidTr="00712F7B">
        <w:trPr>
          <w:trHeight w:val="404"/>
          <w:tblHeader/>
        </w:trPr>
        <w:tc>
          <w:tcPr>
            <w:tcW w:w="2954" w:type="dxa"/>
            <w:gridSpan w:val="2"/>
            <w:shd w:val="clear" w:color="auto" w:fill="auto"/>
            <w:noWrap/>
            <w:vAlign w:val="center"/>
            <w:hideMark/>
          </w:tcPr>
          <w:p w14:paraId="7863D5C8" w14:textId="77777777" w:rsidR="00712F7B" w:rsidRPr="00A557BB" w:rsidRDefault="00712F7B" w:rsidP="00FA135A">
            <w:pPr>
              <w:keepNext/>
              <w:keepLines/>
              <w:rPr>
                <w:b/>
                <w:bCs/>
                <w:color w:val="000000"/>
                <w:sz w:val="20"/>
                <w:szCs w:val="20"/>
                <w:lang w:val="fr-FR" w:eastAsia="en-CA"/>
              </w:rPr>
            </w:pPr>
            <w:r w:rsidRPr="00A557BB">
              <w:rPr>
                <w:b/>
                <w:bCs/>
                <w:color w:val="000000"/>
                <w:sz w:val="20"/>
                <w:szCs w:val="20"/>
                <w:lang w:val="fr-FR" w:eastAsia="fr"/>
              </w:rPr>
              <w:t>Tranche</w:t>
            </w:r>
          </w:p>
        </w:tc>
        <w:tc>
          <w:tcPr>
            <w:tcW w:w="1418" w:type="dxa"/>
            <w:shd w:val="clear" w:color="auto" w:fill="auto"/>
            <w:noWrap/>
            <w:vAlign w:val="center"/>
            <w:hideMark/>
          </w:tcPr>
          <w:p w14:paraId="290D59B6" w14:textId="77777777" w:rsidR="00712F7B" w:rsidRPr="00A557BB" w:rsidRDefault="00712F7B" w:rsidP="00FA135A">
            <w:pPr>
              <w:keepNext/>
              <w:keepLines/>
              <w:jc w:val="center"/>
              <w:rPr>
                <w:b/>
                <w:color w:val="000000"/>
                <w:sz w:val="20"/>
                <w:szCs w:val="20"/>
                <w:lang w:val="fr-FR" w:eastAsia="en-CA"/>
              </w:rPr>
            </w:pPr>
            <w:r w:rsidRPr="00A557BB">
              <w:rPr>
                <w:b/>
                <w:color w:val="000000"/>
                <w:sz w:val="20"/>
                <w:szCs w:val="20"/>
                <w:lang w:val="fr-FR" w:eastAsia="fr"/>
              </w:rPr>
              <w:t>PNUE</w:t>
            </w:r>
          </w:p>
        </w:tc>
        <w:tc>
          <w:tcPr>
            <w:tcW w:w="1417" w:type="dxa"/>
            <w:vAlign w:val="center"/>
          </w:tcPr>
          <w:p w14:paraId="00375EEE" w14:textId="77777777" w:rsidR="00712F7B" w:rsidRPr="00A557BB" w:rsidRDefault="00712F7B" w:rsidP="00FA135A">
            <w:pPr>
              <w:keepNext/>
              <w:keepLines/>
              <w:jc w:val="center"/>
              <w:rPr>
                <w:b/>
                <w:color w:val="000000"/>
                <w:sz w:val="20"/>
                <w:szCs w:val="20"/>
                <w:lang w:val="fr-FR" w:eastAsia="en-CA"/>
              </w:rPr>
            </w:pPr>
            <w:r w:rsidRPr="00A557BB">
              <w:rPr>
                <w:b/>
                <w:color w:val="000000"/>
                <w:sz w:val="20"/>
                <w:szCs w:val="20"/>
                <w:lang w:val="fr-FR" w:eastAsia="fr"/>
              </w:rPr>
              <w:t>PNUD</w:t>
            </w:r>
          </w:p>
        </w:tc>
        <w:tc>
          <w:tcPr>
            <w:tcW w:w="1276" w:type="dxa"/>
            <w:shd w:val="clear" w:color="auto" w:fill="auto"/>
            <w:noWrap/>
            <w:vAlign w:val="center"/>
            <w:hideMark/>
          </w:tcPr>
          <w:p w14:paraId="674192B2" w14:textId="77777777" w:rsidR="00712F7B" w:rsidRPr="00A557BB" w:rsidRDefault="00712F7B" w:rsidP="00FA135A">
            <w:pPr>
              <w:keepNext/>
              <w:keepLines/>
              <w:jc w:val="center"/>
              <w:rPr>
                <w:b/>
                <w:color w:val="000000"/>
                <w:sz w:val="20"/>
                <w:szCs w:val="20"/>
                <w:lang w:val="fr-FR" w:eastAsia="en-CA"/>
              </w:rPr>
            </w:pPr>
            <w:r w:rsidRPr="00A557BB">
              <w:rPr>
                <w:b/>
                <w:color w:val="000000"/>
                <w:sz w:val="20"/>
                <w:szCs w:val="20"/>
                <w:lang w:val="fr-FR" w:eastAsia="fr"/>
              </w:rPr>
              <w:t>Total</w:t>
            </w:r>
          </w:p>
        </w:tc>
        <w:tc>
          <w:tcPr>
            <w:tcW w:w="2268" w:type="dxa"/>
            <w:shd w:val="clear" w:color="auto" w:fill="auto"/>
            <w:noWrap/>
            <w:vAlign w:val="center"/>
            <w:hideMark/>
          </w:tcPr>
          <w:p w14:paraId="59A5A662" w14:textId="77777777" w:rsidR="00712F7B" w:rsidRPr="00A557BB" w:rsidRDefault="00712F7B" w:rsidP="00FA135A">
            <w:pPr>
              <w:keepNext/>
              <w:keepLines/>
              <w:jc w:val="center"/>
              <w:rPr>
                <w:b/>
                <w:color w:val="000000"/>
                <w:sz w:val="20"/>
                <w:szCs w:val="20"/>
                <w:lang w:val="fr-FR" w:eastAsia="en-CA"/>
              </w:rPr>
            </w:pPr>
            <w:r w:rsidRPr="00A557BB">
              <w:rPr>
                <w:b/>
                <w:color w:val="000000"/>
                <w:sz w:val="20"/>
                <w:szCs w:val="20"/>
                <w:lang w:val="fr-FR" w:eastAsia="fr"/>
              </w:rPr>
              <w:t>Taux de décaissement (%)</w:t>
            </w:r>
          </w:p>
        </w:tc>
      </w:tr>
      <w:tr w:rsidR="00712F7B" w:rsidRPr="00A557BB" w14:paraId="72AB2BA0" w14:textId="77777777" w:rsidTr="00712F7B">
        <w:trPr>
          <w:trHeight w:val="179"/>
        </w:trPr>
        <w:tc>
          <w:tcPr>
            <w:tcW w:w="1820" w:type="dxa"/>
            <w:vMerge w:val="restart"/>
            <w:shd w:val="clear" w:color="auto" w:fill="auto"/>
            <w:noWrap/>
            <w:vAlign w:val="center"/>
            <w:hideMark/>
          </w:tcPr>
          <w:p w14:paraId="1439EE68" w14:textId="77777777" w:rsidR="00712F7B" w:rsidRPr="00A557BB" w:rsidRDefault="00712F7B" w:rsidP="00FA135A">
            <w:pPr>
              <w:jc w:val="left"/>
              <w:rPr>
                <w:bCs/>
                <w:color w:val="000000"/>
                <w:sz w:val="20"/>
                <w:szCs w:val="20"/>
                <w:lang w:val="fr-FR" w:eastAsia="en-CA"/>
              </w:rPr>
            </w:pPr>
            <w:r w:rsidRPr="00A557BB">
              <w:rPr>
                <w:bCs/>
                <w:color w:val="000000"/>
                <w:sz w:val="20"/>
                <w:szCs w:val="20"/>
                <w:lang w:val="fr-FR" w:eastAsia="fr"/>
              </w:rPr>
              <w:t>Première tranche</w:t>
            </w:r>
          </w:p>
        </w:tc>
        <w:tc>
          <w:tcPr>
            <w:tcW w:w="1134" w:type="dxa"/>
            <w:shd w:val="clear" w:color="auto" w:fill="auto"/>
            <w:noWrap/>
            <w:vAlign w:val="center"/>
            <w:hideMark/>
          </w:tcPr>
          <w:p w14:paraId="0D7BBC57" w14:textId="77777777" w:rsidR="00712F7B" w:rsidRPr="00A557BB" w:rsidRDefault="00712F7B" w:rsidP="00FA135A">
            <w:pPr>
              <w:rPr>
                <w:bCs/>
                <w:color w:val="000000"/>
                <w:sz w:val="20"/>
                <w:szCs w:val="20"/>
                <w:lang w:val="fr-FR" w:eastAsia="en-CA"/>
              </w:rPr>
            </w:pPr>
            <w:r w:rsidRPr="00A557BB">
              <w:rPr>
                <w:bCs/>
                <w:color w:val="000000"/>
                <w:sz w:val="20"/>
                <w:szCs w:val="20"/>
                <w:lang w:val="fr-FR" w:eastAsia="fr"/>
              </w:rPr>
              <w:t xml:space="preserve">Approuvé </w:t>
            </w:r>
          </w:p>
        </w:tc>
        <w:tc>
          <w:tcPr>
            <w:tcW w:w="1418" w:type="dxa"/>
            <w:shd w:val="clear" w:color="auto" w:fill="auto"/>
            <w:noWrap/>
            <w:vAlign w:val="center"/>
          </w:tcPr>
          <w:p w14:paraId="5EF4FDB1" w14:textId="77777777" w:rsidR="00712F7B" w:rsidRPr="00A557BB" w:rsidRDefault="00712F7B" w:rsidP="00FA135A">
            <w:pPr>
              <w:jc w:val="right"/>
              <w:rPr>
                <w:color w:val="000000"/>
                <w:sz w:val="20"/>
                <w:szCs w:val="20"/>
                <w:lang w:val="fr-FR" w:eastAsia="en-CA"/>
              </w:rPr>
            </w:pPr>
            <w:r w:rsidRPr="00A557BB">
              <w:rPr>
                <w:sz w:val="20"/>
                <w:szCs w:val="20"/>
                <w:lang w:val="fr-FR"/>
              </w:rPr>
              <w:t>355 940</w:t>
            </w:r>
          </w:p>
        </w:tc>
        <w:tc>
          <w:tcPr>
            <w:tcW w:w="1417" w:type="dxa"/>
            <w:vAlign w:val="center"/>
          </w:tcPr>
          <w:p w14:paraId="77B54FF5" w14:textId="77777777" w:rsidR="00712F7B" w:rsidRPr="00A557BB" w:rsidRDefault="00712F7B" w:rsidP="00FA135A">
            <w:pPr>
              <w:jc w:val="right"/>
              <w:rPr>
                <w:color w:val="000000"/>
                <w:sz w:val="20"/>
                <w:szCs w:val="20"/>
                <w:lang w:val="fr-FR" w:eastAsia="en-CA"/>
              </w:rPr>
            </w:pPr>
            <w:r w:rsidRPr="00A557BB">
              <w:rPr>
                <w:sz w:val="20"/>
                <w:szCs w:val="20"/>
                <w:lang w:val="fr-FR"/>
              </w:rPr>
              <w:t>400 000</w:t>
            </w:r>
          </w:p>
        </w:tc>
        <w:tc>
          <w:tcPr>
            <w:tcW w:w="1276" w:type="dxa"/>
            <w:shd w:val="clear" w:color="auto" w:fill="auto"/>
            <w:noWrap/>
            <w:vAlign w:val="center"/>
          </w:tcPr>
          <w:p w14:paraId="01C94FFC" w14:textId="77777777" w:rsidR="00712F7B" w:rsidRPr="00A557BB" w:rsidRDefault="00712F7B" w:rsidP="00FA135A">
            <w:pPr>
              <w:jc w:val="right"/>
              <w:rPr>
                <w:color w:val="000000"/>
                <w:sz w:val="20"/>
                <w:szCs w:val="20"/>
                <w:lang w:val="fr-FR" w:eastAsia="en-CA"/>
              </w:rPr>
            </w:pPr>
            <w:r w:rsidRPr="00A557BB">
              <w:rPr>
                <w:bCs/>
                <w:sz w:val="20"/>
                <w:szCs w:val="20"/>
                <w:lang w:val="fr-FR"/>
              </w:rPr>
              <w:t>755 940</w:t>
            </w:r>
          </w:p>
        </w:tc>
        <w:tc>
          <w:tcPr>
            <w:tcW w:w="2268" w:type="dxa"/>
            <w:vMerge w:val="restart"/>
            <w:shd w:val="clear" w:color="auto" w:fill="auto"/>
            <w:noWrap/>
            <w:vAlign w:val="center"/>
          </w:tcPr>
          <w:p w14:paraId="230E3244" w14:textId="77777777" w:rsidR="00712F7B" w:rsidRPr="00A557BB" w:rsidRDefault="00712F7B" w:rsidP="00FA135A">
            <w:pPr>
              <w:jc w:val="center"/>
              <w:rPr>
                <w:color w:val="000000"/>
                <w:sz w:val="20"/>
                <w:szCs w:val="20"/>
                <w:lang w:val="fr-FR" w:eastAsia="en-CA"/>
              </w:rPr>
            </w:pPr>
            <w:r w:rsidRPr="00A557BB">
              <w:rPr>
                <w:bCs/>
                <w:sz w:val="20"/>
                <w:szCs w:val="20"/>
                <w:lang w:val="fr-FR"/>
              </w:rPr>
              <w:t> 99%</w:t>
            </w:r>
          </w:p>
        </w:tc>
      </w:tr>
      <w:tr w:rsidR="00712F7B" w:rsidRPr="00A557BB" w14:paraId="6CB09598" w14:textId="77777777" w:rsidTr="00712F7B">
        <w:trPr>
          <w:trHeight w:val="215"/>
        </w:trPr>
        <w:tc>
          <w:tcPr>
            <w:tcW w:w="1820" w:type="dxa"/>
            <w:vMerge/>
            <w:vAlign w:val="center"/>
            <w:hideMark/>
          </w:tcPr>
          <w:p w14:paraId="2BB59090" w14:textId="77777777" w:rsidR="00712F7B" w:rsidRPr="00A557BB" w:rsidRDefault="00712F7B" w:rsidP="00FA135A">
            <w:pPr>
              <w:jc w:val="left"/>
              <w:rPr>
                <w:bCs/>
                <w:color w:val="000000"/>
                <w:sz w:val="20"/>
                <w:szCs w:val="20"/>
                <w:lang w:val="fr-FR" w:eastAsia="en-CA"/>
              </w:rPr>
            </w:pPr>
          </w:p>
        </w:tc>
        <w:tc>
          <w:tcPr>
            <w:tcW w:w="1134" w:type="dxa"/>
            <w:shd w:val="clear" w:color="auto" w:fill="auto"/>
            <w:noWrap/>
            <w:vAlign w:val="center"/>
            <w:hideMark/>
          </w:tcPr>
          <w:p w14:paraId="6F77AC77" w14:textId="77777777" w:rsidR="00712F7B" w:rsidRPr="00A557BB" w:rsidRDefault="00712F7B" w:rsidP="00FA135A">
            <w:pPr>
              <w:rPr>
                <w:bCs/>
                <w:color w:val="000000"/>
                <w:sz w:val="20"/>
                <w:szCs w:val="20"/>
                <w:lang w:val="fr-FR" w:eastAsia="en-CA"/>
              </w:rPr>
            </w:pPr>
            <w:r w:rsidRPr="00A557BB">
              <w:rPr>
                <w:bCs/>
                <w:color w:val="000000"/>
                <w:sz w:val="20"/>
                <w:szCs w:val="20"/>
                <w:lang w:val="fr-FR" w:eastAsia="fr"/>
              </w:rPr>
              <w:t xml:space="preserve">Décaissé </w:t>
            </w:r>
          </w:p>
        </w:tc>
        <w:tc>
          <w:tcPr>
            <w:tcW w:w="1418" w:type="dxa"/>
            <w:shd w:val="clear" w:color="auto" w:fill="auto"/>
            <w:noWrap/>
            <w:vAlign w:val="center"/>
          </w:tcPr>
          <w:p w14:paraId="5D204E5C" w14:textId="77777777" w:rsidR="00712F7B" w:rsidRPr="00A557BB" w:rsidRDefault="00712F7B" w:rsidP="00FA135A">
            <w:pPr>
              <w:jc w:val="right"/>
              <w:rPr>
                <w:color w:val="000000"/>
                <w:sz w:val="20"/>
                <w:szCs w:val="20"/>
                <w:lang w:val="fr-FR" w:eastAsia="en-CA"/>
              </w:rPr>
            </w:pPr>
            <w:r w:rsidRPr="00A557BB">
              <w:rPr>
                <w:sz w:val="20"/>
                <w:szCs w:val="20"/>
                <w:lang w:val="fr-FR"/>
              </w:rPr>
              <w:t>355 940</w:t>
            </w:r>
          </w:p>
        </w:tc>
        <w:tc>
          <w:tcPr>
            <w:tcW w:w="1417" w:type="dxa"/>
            <w:vAlign w:val="center"/>
          </w:tcPr>
          <w:p w14:paraId="3B6B0673" w14:textId="77777777" w:rsidR="00712F7B" w:rsidRPr="00A557BB" w:rsidRDefault="00712F7B" w:rsidP="00FA135A">
            <w:pPr>
              <w:jc w:val="right"/>
              <w:rPr>
                <w:color w:val="000000"/>
                <w:sz w:val="20"/>
                <w:szCs w:val="20"/>
                <w:lang w:val="fr-FR" w:eastAsia="en-CA"/>
              </w:rPr>
            </w:pPr>
            <w:r w:rsidRPr="00A557BB">
              <w:rPr>
                <w:bCs/>
                <w:sz w:val="20"/>
                <w:szCs w:val="20"/>
                <w:lang w:val="fr-FR"/>
              </w:rPr>
              <w:t>393 324</w:t>
            </w:r>
          </w:p>
        </w:tc>
        <w:tc>
          <w:tcPr>
            <w:tcW w:w="1276" w:type="dxa"/>
            <w:shd w:val="clear" w:color="auto" w:fill="auto"/>
            <w:noWrap/>
            <w:vAlign w:val="center"/>
          </w:tcPr>
          <w:p w14:paraId="13E33A41" w14:textId="77777777" w:rsidR="00712F7B" w:rsidRPr="00A557BB" w:rsidRDefault="00712F7B" w:rsidP="00FA135A">
            <w:pPr>
              <w:jc w:val="right"/>
              <w:rPr>
                <w:color w:val="000000"/>
                <w:sz w:val="20"/>
                <w:szCs w:val="20"/>
                <w:lang w:val="fr-FR" w:eastAsia="en-CA"/>
              </w:rPr>
            </w:pPr>
            <w:r w:rsidRPr="00A557BB">
              <w:rPr>
                <w:bCs/>
                <w:sz w:val="20"/>
                <w:szCs w:val="20"/>
                <w:lang w:val="fr-FR"/>
              </w:rPr>
              <w:t>749 264</w:t>
            </w:r>
          </w:p>
        </w:tc>
        <w:tc>
          <w:tcPr>
            <w:tcW w:w="2268" w:type="dxa"/>
            <w:vMerge/>
            <w:vAlign w:val="center"/>
          </w:tcPr>
          <w:p w14:paraId="0F3E863D" w14:textId="77777777" w:rsidR="00712F7B" w:rsidRPr="00A557BB" w:rsidRDefault="00712F7B" w:rsidP="00FA135A">
            <w:pPr>
              <w:jc w:val="center"/>
              <w:rPr>
                <w:color w:val="000000"/>
                <w:sz w:val="20"/>
                <w:szCs w:val="20"/>
                <w:lang w:val="fr-FR" w:eastAsia="en-CA"/>
              </w:rPr>
            </w:pPr>
          </w:p>
        </w:tc>
      </w:tr>
      <w:tr w:rsidR="00712F7B" w:rsidRPr="00A557BB" w14:paraId="6699944D" w14:textId="77777777" w:rsidTr="00712F7B">
        <w:trPr>
          <w:trHeight w:val="152"/>
        </w:trPr>
        <w:tc>
          <w:tcPr>
            <w:tcW w:w="1820" w:type="dxa"/>
            <w:vMerge w:val="restart"/>
            <w:shd w:val="clear" w:color="auto" w:fill="auto"/>
            <w:noWrap/>
            <w:vAlign w:val="center"/>
            <w:hideMark/>
          </w:tcPr>
          <w:p w14:paraId="4D67D457" w14:textId="77777777" w:rsidR="00712F7B" w:rsidRPr="00A557BB" w:rsidRDefault="00712F7B" w:rsidP="00FA135A">
            <w:pPr>
              <w:jc w:val="left"/>
              <w:rPr>
                <w:bCs/>
                <w:color w:val="000000"/>
                <w:sz w:val="20"/>
                <w:szCs w:val="20"/>
                <w:lang w:val="fr-FR" w:eastAsia="en-CA"/>
              </w:rPr>
            </w:pPr>
            <w:r w:rsidRPr="00A557BB">
              <w:rPr>
                <w:bCs/>
                <w:color w:val="000000"/>
                <w:sz w:val="20"/>
                <w:szCs w:val="20"/>
                <w:lang w:val="fr-FR" w:eastAsia="fr"/>
              </w:rPr>
              <w:t>Deuxième tranche</w:t>
            </w:r>
          </w:p>
        </w:tc>
        <w:tc>
          <w:tcPr>
            <w:tcW w:w="1134" w:type="dxa"/>
            <w:shd w:val="clear" w:color="auto" w:fill="auto"/>
            <w:noWrap/>
            <w:vAlign w:val="center"/>
            <w:hideMark/>
          </w:tcPr>
          <w:p w14:paraId="2349EBA4" w14:textId="77777777" w:rsidR="00712F7B" w:rsidRPr="00A557BB" w:rsidRDefault="00712F7B" w:rsidP="00FA135A">
            <w:pPr>
              <w:rPr>
                <w:bCs/>
                <w:color w:val="000000"/>
                <w:sz w:val="20"/>
                <w:szCs w:val="20"/>
                <w:lang w:val="fr-FR" w:eastAsia="en-CA"/>
              </w:rPr>
            </w:pPr>
            <w:r w:rsidRPr="00A557BB">
              <w:rPr>
                <w:bCs/>
                <w:color w:val="000000"/>
                <w:sz w:val="20"/>
                <w:szCs w:val="20"/>
                <w:lang w:val="fr-FR" w:eastAsia="fr"/>
              </w:rPr>
              <w:t xml:space="preserve">Approuvé </w:t>
            </w:r>
          </w:p>
        </w:tc>
        <w:tc>
          <w:tcPr>
            <w:tcW w:w="1418" w:type="dxa"/>
            <w:shd w:val="clear" w:color="auto" w:fill="auto"/>
            <w:noWrap/>
            <w:vAlign w:val="center"/>
          </w:tcPr>
          <w:p w14:paraId="65E1CAD7" w14:textId="77777777" w:rsidR="00712F7B" w:rsidRPr="00A557BB" w:rsidRDefault="00712F7B" w:rsidP="00FA135A">
            <w:pPr>
              <w:jc w:val="right"/>
              <w:rPr>
                <w:color w:val="000000"/>
                <w:sz w:val="20"/>
                <w:szCs w:val="20"/>
                <w:lang w:val="fr-FR" w:eastAsia="en-CA"/>
              </w:rPr>
            </w:pPr>
            <w:r w:rsidRPr="00A557BB">
              <w:rPr>
                <w:sz w:val="20"/>
                <w:szCs w:val="20"/>
                <w:lang w:val="fr-FR"/>
              </w:rPr>
              <w:t>173 400</w:t>
            </w:r>
          </w:p>
        </w:tc>
        <w:tc>
          <w:tcPr>
            <w:tcW w:w="1417" w:type="dxa"/>
            <w:vAlign w:val="center"/>
          </w:tcPr>
          <w:p w14:paraId="222F9943" w14:textId="77777777" w:rsidR="00712F7B" w:rsidRPr="00A557BB" w:rsidRDefault="00712F7B" w:rsidP="00FA135A">
            <w:pPr>
              <w:jc w:val="right"/>
              <w:rPr>
                <w:color w:val="000000"/>
                <w:sz w:val="20"/>
                <w:szCs w:val="20"/>
                <w:lang w:val="fr-FR" w:eastAsia="en-CA"/>
              </w:rPr>
            </w:pPr>
            <w:r w:rsidRPr="00A557BB">
              <w:rPr>
                <w:sz w:val="20"/>
                <w:szCs w:val="20"/>
                <w:lang w:val="fr-FR"/>
              </w:rPr>
              <w:t>20 000</w:t>
            </w:r>
          </w:p>
        </w:tc>
        <w:tc>
          <w:tcPr>
            <w:tcW w:w="1276" w:type="dxa"/>
            <w:shd w:val="clear" w:color="auto" w:fill="auto"/>
            <w:noWrap/>
            <w:vAlign w:val="center"/>
          </w:tcPr>
          <w:p w14:paraId="17175C2F" w14:textId="77777777" w:rsidR="00712F7B" w:rsidRPr="00A557BB" w:rsidRDefault="00712F7B" w:rsidP="00FA135A">
            <w:pPr>
              <w:jc w:val="right"/>
              <w:rPr>
                <w:color w:val="000000"/>
                <w:sz w:val="20"/>
                <w:szCs w:val="20"/>
                <w:lang w:val="fr-FR" w:eastAsia="en-CA"/>
              </w:rPr>
            </w:pPr>
            <w:r w:rsidRPr="00A557BB">
              <w:rPr>
                <w:bCs/>
                <w:sz w:val="20"/>
                <w:szCs w:val="20"/>
                <w:lang w:val="fr-FR"/>
              </w:rPr>
              <w:t>193 400</w:t>
            </w:r>
          </w:p>
        </w:tc>
        <w:tc>
          <w:tcPr>
            <w:tcW w:w="2268" w:type="dxa"/>
            <w:vMerge w:val="restart"/>
            <w:shd w:val="clear" w:color="auto" w:fill="auto"/>
            <w:noWrap/>
            <w:vAlign w:val="center"/>
          </w:tcPr>
          <w:p w14:paraId="76383D6E" w14:textId="77777777" w:rsidR="00712F7B" w:rsidRPr="00A557BB" w:rsidRDefault="00712F7B" w:rsidP="00FA135A">
            <w:pPr>
              <w:jc w:val="center"/>
              <w:rPr>
                <w:color w:val="000000"/>
                <w:sz w:val="20"/>
                <w:szCs w:val="20"/>
                <w:lang w:val="fr-FR" w:eastAsia="en-CA"/>
              </w:rPr>
            </w:pPr>
            <w:r w:rsidRPr="00A557BB">
              <w:rPr>
                <w:bCs/>
                <w:sz w:val="20"/>
                <w:szCs w:val="20"/>
                <w:lang w:val="fr-FR"/>
              </w:rPr>
              <w:t>100%</w:t>
            </w:r>
          </w:p>
        </w:tc>
      </w:tr>
      <w:tr w:rsidR="00712F7B" w:rsidRPr="00A557BB" w14:paraId="6C77EE8E" w14:textId="77777777" w:rsidTr="00712F7B">
        <w:trPr>
          <w:trHeight w:val="179"/>
        </w:trPr>
        <w:tc>
          <w:tcPr>
            <w:tcW w:w="1820" w:type="dxa"/>
            <w:vMerge/>
            <w:vAlign w:val="center"/>
            <w:hideMark/>
          </w:tcPr>
          <w:p w14:paraId="2CDB4B2E" w14:textId="77777777" w:rsidR="00712F7B" w:rsidRPr="00A557BB" w:rsidRDefault="00712F7B" w:rsidP="00FA135A">
            <w:pPr>
              <w:jc w:val="left"/>
              <w:rPr>
                <w:bCs/>
                <w:color w:val="000000"/>
                <w:sz w:val="20"/>
                <w:szCs w:val="20"/>
                <w:lang w:val="fr-FR" w:eastAsia="en-CA"/>
              </w:rPr>
            </w:pPr>
          </w:p>
        </w:tc>
        <w:tc>
          <w:tcPr>
            <w:tcW w:w="1134" w:type="dxa"/>
            <w:shd w:val="clear" w:color="auto" w:fill="auto"/>
            <w:noWrap/>
            <w:vAlign w:val="center"/>
            <w:hideMark/>
          </w:tcPr>
          <w:p w14:paraId="73DFEB31" w14:textId="77777777" w:rsidR="00712F7B" w:rsidRPr="00A557BB" w:rsidRDefault="00712F7B" w:rsidP="00FA135A">
            <w:pPr>
              <w:rPr>
                <w:bCs/>
                <w:color w:val="000000"/>
                <w:sz w:val="20"/>
                <w:szCs w:val="20"/>
                <w:lang w:val="fr-FR" w:eastAsia="en-CA"/>
              </w:rPr>
            </w:pPr>
            <w:r w:rsidRPr="00A557BB">
              <w:rPr>
                <w:bCs/>
                <w:color w:val="000000"/>
                <w:sz w:val="20"/>
                <w:szCs w:val="20"/>
                <w:lang w:val="fr-FR" w:eastAsia="fr"/>
              </w:rPr>
              <w:t xml:space="preserve">Décaissé </w:t>
            </w:r>
          </w:p>
        </w:tc>
        <w:tc>
          <w:tcPr>
            <w:tcW w:w="1418" w:type="dxa"/>
            <w:shd w:val="clear" w:color="auto" w:fill="auto"/>
            <w:noWrap/>
            <w:vAlign w:val="center"/>
          </w:tcPr>
          <w:p w14:paraId="704E9B94" w14:textId="77777777" w:rsidR="00712F7B" w:rsidRPr="00A557BB" w:rsidRDefault="00712F7B" w:rsidP="00FA135A">
            <w:pPr>
              <w:jc w:val="right"/>
              <w:rPr>
                <w:color w:val="000000"/>
                <w:sz w:val="20"/>
                <w:szCs w:val="20"/>
                <w:lang w:val="fr-FR" w:eastAsia="en-CA"/>
              </w:rPr>
            </w:pPr>
            <w:r w:rsidRPr="00A557BB">
              <w:rPr>
                <w:sz w:val="20"/>
                <w:szCs w:val="20"/>
                <w:lang w:val="fr-FR"/>
              </w:rPr>
              <w:t>173 400</w:t>
            </w:r>
          </w:p>
        </w:tc>
        <w:tc>
          <w:tcPr>
            <w:tcW w:w="1417" w:type="dxa"/>
            <w:vAlign w:val="center"/>
          </w:tcPr>
          <w:p w14:paraId="12B36272" w14:textId="77777777" w:rsidR="00712F7B" w:rsidRPr="00A557BB" w:rsidRDefault="00712F7B" w:rsidP="00FA135A">
            <w:pPr>
              <w:jc w:val="right"/>
              <w:rPr>
                <w:color w:val="000000"/>
                <w:sz w:val="20"/>
                <w:szCs w:val="20"/>
                <w:lang w:val="fr-FR" w:eastAsia="en-CA"/>
              </w:rPr>
            </w:pPr>
            <w:r w:rsidRPr="00A557BB">
              <w:rPr>
                <w:bCs/>
                <w:sz w:val="20"/>
                <w:szCs w:val="20"/>
                <w:lang w:val="fr-FR"/>
              </w:rPr>
              <w:t>20 000</w:t>
            </w:r>
          </w:p>
        </w:tc>
        <w:tc>
          <w:tcPr>
            <w:tcW w:w="1276" w:type="dxa"/>
            <w:shd w:val="clear" w:color="auto" w:fill="auto"/>
            <w:noWrap/>
            <w:vAlign w:val="center"/>
          </w:tcPr>
          <w:p w14:paraId="06D475A0" w14:textId="77777777" w:rsidR="00712F7B" w:rsidRPr="00A557BB" w:rsidRDefault="00712F7B" w:rsidP="00FA135A">
            <w:pPr>
              <w:jc w:val="right"/>
              <w:rPr>
                <w:color w:val="000000"/>
                <w:sz w:val="20"/>
                <w:szCs w:val="20"/>
                <w:lang w:val="fr-FR" w:eastAsia="en-CA"/>
              </w:rPr>
            </w:pPr>
            <w:r w:rsidRPr="00A557BB">
              <w:rPr>
                <w:bCs/>
                <w:sz w:val="20"/>
                <w:szCs w:val="20"/>
                <w:lang w:val="fr-FR"/>
              </w:rPr>
              <w:t>193 400</w:t>
            </w:r>
          </w:p>
        </w:tc>
        <w:tc>
          <w:tcPr>
            <w:tcW w:w="2268" w:type="dxa"/>
            <w:vMerge/>
            <w:vAlign w:val="center"/>
          </w:tcPr>
          <w:p w14:paraId="1FB1362C" w14:textId="77777777" w:rsidR="00712F7B" w:rsidRPr="00A557BB" w:rsidRDefault="00712F7B" w:rsidP="00FA135A">
            <w:pPr>
              <w:jc w:val="center"/>
              <w:rPr>
                <w:color w:val="000000"/>
                <w:sz w:val="20"/>
                <w:szCs w:val="20"/>
                <w:lang w:val="fr-FR" w:eastAsia="en-CA"/>
              </w:rPr>
            </w:pPr>
          </w:p>
        </w:tc>
      </w:tr>
      <w:tr w:rsidR="00712F7B" w:rsidRPr="00A557BB" w14:paraId="510E9C8F" w14:textId="77777777" w:rsidTr="00712F7B">
        <w:trPr>
          <w:trHeight w:val="125"/>
        </w:trPr>
        <w:tc>
          <w:tcPr>
            <w:tcW w:w="1820" w:type="dxa"/>
            <w:vMerge w:val="restart"/>
            <w:shd w:val="clear" w:color="auto" w:fill="auto"/>
            <w:noWrap/>
            <w:vAlign w:val="center"/>
            <w:hideMark/>
          </w:tcPr>
          <w:p w14:paraId="50079CBF" w14:textId="77777777" w:rsidR="00712F7B" w:rsidRPr="00A557BB" w:rsidRDefault="00712F7B" w:rsidP="00FA135A">
            <w:pPr>
              <w:jc w:val="left"/>
              <w:rPr>
                <w:bCs/>
                <w:color w:val="000000"/>
                <w:sz w:val="20"/>
                <w:szCs w:val="20"/>
                <w:lang w:val="fr-FR" w:eastAsia="en-CA"/>
              </w:rPr>
            </w:pPr>
            <w:r w:rsidRPr="00A557BB">
              <w:rPr>
                <w:bCs/>
                <w:color w:val="000000"/>
                <w:sz w:val="20"/>
                <w:szCs w:val="20"/>
                <w:lang w:val="fr-FR" w:eastAsia="fr"/>
              </w:rPr>
              <w:t>Troisième tranche</w:t>
            </w:r>
          </w:p>
        </w:tc>
        <w:tc>
          <w:tcPr>
            <w:tcW w:w="1134" w:type="dxa"/>
            <w:shd w:val="clear" w:color="auto" w:fill="auto"/>
            <w:noWrap/>
            <w:vAlign w:val="center"/>
            <w:hideMark/>
          </w:tcPr>
          <w:p w14:paraId="4F15193D" w14:textId="77777777" w:rsidR="00712F7B" w:rsidRPr="00A557BB" w:rsidRDefault="00712F7B" w:rsidP="00FA135A">
            <w:pPr>
              <w:rPr>
                <w:bCs/>
                <w:color w:val="000000"/>
                <w:sz w:val="20"/>
                <w:szCs w:val="20"/>
                <w:lang w:val="fr-FR" w:eastAsia="en-CA"/>
              </w:rPr>
            </w:pPr>
            <w:r w:rsidRPr="00A557BB">
              <w:rPr>
                <w:bCs/>
                <w:color w:val="000000"/>
                <w:sz w:val="20"/>
                <w:szCs w:val="20"/>
                <w:lang w:val="fr-FR" w:eastAsia="fr"/>
              </w:rPr>
              <w:t xml:space="preserve">Approuvé </w:t>
            </w:r>
          </w:p>
        </w:tc>
        <w:tc>
          <w:tcPr>
            <w:tcW w:w="1418" w:type="dxa"/>
            <w:shd w:val="clear" w:color="auto" w:fill="auto"/>
            <w:noWrap/>
            <w:vAlign w:val="center"/>
          </w:tcPr>
          <w:p w14:paraId="7776086E" w14:textId="77777777" w:rsidR="00712F7B" w:rsidRPr="00A557BB" w:rsidRDefault="00712F7B" w:rsidP="00FA135A">
            <w:pPr>
              <w:jc w:val="right"/>
              <w:rPr>
                <w:color w:val="000000"/>
                <w:sz w:val="20"/>
                <w:szCs w:val="20"/>
                <w:lang w:val="fr-FR" w:eastAsia="en-CA"/>
              </w:rPr>
            </w:pPr>
            <w:r w:rsidRPr="00A557BB">
              <w:rPr>
                <w:sz w:val="20"/>
                <w:szCs w:val="20"/>
                <w:lang w:val="fr-FR"/>
              </w:rPr>
              <w:t>100 660</w:t>
            </w:r>
          </w:p>
        </w:tc>
        <w:tc>
          <w:tcPr>
            <w:tcW w:w="1417" w:type="dxa"/>
            <w:vAlign w:val="center"/>
          </w:tcPr>
          <w:p w14:paraId="062E6AE9" w14:textId="77777777" w:rsidR="00712F7B" w:rsidRPr="00A557BB" w:rsidRDefault="00712F7B" w:rsidP="00FA135A">
            <w:pPr>
              <w:jc w:val="right"/>
              <w:rPr>
                <w:color w:val="000000"/>
                <w:sz w:val="20"/>
                <w:szCs w:val="20"/>
                <w:lang w:val="fr-FR" w:eastAsia="en-CA"/>
              </w:rPr>
            </w:pPr>
            <w:r w:rsidRPr="00A557BB">
              <w:rPr>
                <w:sz w:val="20"/>
                <w:szCs w:val="20"/>
                <w:lang w:val="fr-FR"/>
              </w:rPr>
              <w:t>s.o.</w:t>
            </w:r>
          </w:p>
        </w:tc>
        <w:tc>
          <w:tcPr>
            <w:tcW w:w="1276" w:type="dxa"/>
            <w:shd w:val="clear" w:color="auto" w:fill="auto"/>
            <w:noWrap/>
            <w:vAlign w:val="center"/>
          </w:tcPr>
          <w:p w14:paraId="3DC8255E" w14:textId="77777777" w:rsidR="00712F7B" w:rsidRPr="00A557BB" w:rsidRDefault="00712F7B" w:rsidP="00FA135A">
            <w:pPr>
              <w:jc w:val="right"/>
              <w:rPr>
                <w:color w:val="000000"/>
                <w:sz w:val="20"/>
                <w:szCs w:val="20"/>
                <w:lang w:val="fr-FR" w:eastAsia="en-CA"/>
              </w:rPr>
            </w:pPr>
            <w:r w:rsidRPr="00A557BB">
              <w:rPr>
                <w:sz w:val="20"/>
                <w:szCs w:val="20"/>
                <w:lang w:val="fr-FR"/>
              </w:rPr>
              <w:t>100 660</w:t>
            </w:r>
          </w:p>
        </w:tc>
        <w:tc>
          <w:tcPr>
            <w:tcW w:w="2268" w:type="dxa"/>
            <w:vMerge w:val="restart"/>
            <w:shd w:val="clear" w:color="auto" w:fill="auto"/>
            <w:noWrap/>
            <w:vAlign w:val="center"/>
          </w:tcPr>
          <w:p w14:paraId="424E4DE2" w14:textId="77777777" w:rsidR="00712F7B" w:rsidRPr="00A557BB" w:rsidRDefault="00712F7B" w:rsidP="00FA135A">
            <w:pPr>
              <w:jc w:val="center"/>
              <w:rPr>
                <w:color w:val="000000"/>
                <w:sz w:val="20"/>
                <w:szCs w:val="20"/>
                <w:lang w:val="fr-FR" w:eastAsia="en-CA"/>
              </w:rPr>
            </w:pPr>
            <w:r w:rsidRPr="00A557BB">
              <w:rPr>
                <w:bCs/>
                <w:sz w:val="20"/>
                <w:szCs w:val="20"/>
                <w:lang w:val="fr-FR"/>
              </w:rPr>
              <w:t>100%</w:t>
            </w:r>
          </w:p>
        </w:tc>
      </w:tr>
      <w:tr w:rsidR="00712F7B" w:rsidRPr="00A557BB" w14:paraId="59975517" w14:textId="77777777" w:rsidTr="00712F7B">
        <w:trPr>
          <w:trHeight w:val="58"/>
        </w:trPr>
        <w:tc>
          <w:tcPr>
            <w:tcW w:w="1820" w:type="dxa"/>
            <w:vMerge/>
            <w:vAlign w:val="center"/>
            <w:hideMark/>
          </w:tcPr>
          <w:p w14:paraId="38990266" w14:textId="77777777" w:rsidR="00712F7B" w:rsidRPr="00A557BB" w:rsidRDefault="00712F7B" w:rsidP="00FA135A">
            <w:pPr>
              <w:jc w:val="left"/>
              <w:rPr>
                <w:bCs/>
                <w:color w:val="000000"/>
                <w:sz w:val="20"/>
                <w:szCs w:val="20"/>
                <w:lang w:val="fr-FR" w:eastAsia="en-CA"/>
              </w:rPr>
            </w:pPr>
          </w:p>
        </w:tc>
        <w:tc>
          <w:tcPr>
            <w:tcW w:w="1134" w:type="dxa"/>
            <w:shd w:val="clear" w:color="auto" w:fill="auto"/>
            <w:noWrap/>
            <w:vAlign w:val="center"/>
            <w:hideMark/>
          </w:tcPr>
          <w:p w14:paraId="60FDE4D6" w14:textId="77777777" w:rsidR="00712F7B" w:rsidRPr="00A557BB" w:rsidRDefault="00712F7B" w:rsidP="00FA135A">
            <w:pPr>
              <w:rPr>
                <w:bCs/>
                <w:color w:val="000000"/>
                <w:sz w:val="20"/>
                <w:szCs w:val="20"/>
                <w:lang w:val="fr-FR" w:eastAsia="en-CA"/>
              </w:rPr>
            </w:pPr>
            <w:r w:rsidRPr="00A557BB">
              <w:rPr>
                <w:bCs/>
                <w:color w:val="000000"/>
                <w:sz w:val="20"/>
                <w:szCs w:val="20"/>
                <w:lang w:val="fr-FR" w:eastAsia="fr"/>
              </w:rPr>
              <w:t xml:space="preserve">Décaissé </w:t>
            </w:r>
          </w:p>
        </w:tc>
        <w:tc>
          <w:tcPr>
            <w:tcW w:w="1418" w:type="dxa"/>
            <w:shd w:val="clear" w:color="auto" w:fill="auto"/>
            <w:noWrap/>
            <w:vAlign w:val="center"/>
          </w:tcPr>
          <w:p w14:paraId="0740C129" w14:textId="77777777" w:rsidR="00712F7B" w:rsidRPr="00A557BB" w:rsidRDefault="00712F7B" w:rsidP="00FA135A">
            <w:pPr>
              <w:jc w:val="right"/>
              <w:rPr>
                <w:color w:val="000000"/>
                <w:sz w:val="20"/>
                <w:szCs w:val="20"/>
                <w:lang w:val="fr-FR" w:eastAsia="en-CA"/>
              </w:rPr>
            </w:pPr>
            <w:r w:rsidRPr="00A557BB">
              <w:rPr>
                <w:sz w:val="20"/>
                <w:szCs w:val="20"/>
                <w:lang w:val="fr-FR"/>
              </w:rPr>
              <w:t>100 660</w:t>
            </w:r>
          </w:p>
        </w:tc>
        <w:tc>
          <w:tcPr>
            <w:tcW w:w="1417" w:type="dxa"/>
            <w:vAlign w:val="center"/>
          </w:tcPr>
          <w:p w14:paraId="5A3EE615" w14:textId="77777777" w:rsidR="00712F7B" w:rsidRPr="00A557BB" w:rsidRDefault="00712F7B" w:rsidP="00FA135A">
            <w:pPr>
              <w:jc w:val="right"/>
              <w:rPr>
                <w:color w:val="000000"/>
                <w:sz w:val="20"/>
                <w:szCs w:val="20"/>
                <w:lang w:val="fr-FR" w:eastAsia="en-CA"/>
              </w:rPr>
            </w:pPr>
            <w:r w:rsidRPr="00A557BB">
              <w:rPr>
                <w:sz w:val="20"/>
                <w:szCs w:val="20"/>
                <w:lang w:val="fr-FR"/>
              </w:rPr>
              <w:t>s.o.</w:t>
            </w:r>
          </w:p>
        </w:tc>
        <w:tc>
          <w:tcPr>
            <w:tcW w:w="1276" w:type="dxa"/>
            <w:shd w:val="clear" w:color="auto" w:fill="auto"/>
            <w:noWrap/>
            <w:vAlign w:val="center"/>
          </w:tcPr>
          <w:p w14:paraId="3A0DA991" w14:textId="77777777" w:rsidR="00712F7B" w:rsidRPr="00A557BB" w:rsidRDefault="00712F7B" w:rsidP="00FA135A">
            <w:pPr>
              <w:jc w:val="right"/>
              <w:rPr>
                <w:color w:val="000000"/>
                <w:sz w:val="20"/>
                <w:szCs w:val="20"/>
                <w:lang w:val="fr-FR" w:eastAsia="en-CA"/>
              </w:rPr>
            </w:pPr>
            <w:r w:rsidRPr="00A557BB">
              <w:rPr>
                <w:sz w:val="20"/>
                <w:szCs w:val="20"/>
                <w:lang w:val="fr-FR"/>
              </w:rPr>
              <w:t>100 660</w:t>
            </w:r>
          </w:p>
        </w:tc>
        <w:tc>
          <w:tcPr>
            <w:tcW w:w="2268" w:type="dxa"/>
            <w:vMerge/>
            <w:vAlign w:val="center"/>
          </w:tcPr>
          <w:p w14:paraId="392EF5C5" w14:textId="77777777" w:rsidR="00712F7B" w:rsidRPr="00A557BB" w:rsidRDefault="00712F7B" w:rsidP="00FA135A">
            <w:pPr>
              <w:jc w:val="center"/>
              <w:rPr>
                <w:color w:val="000000"/>
                <w:sz w:val="20"/>
                <w:szCs w:val="20"/>
                <w:lang w:val="fr-FR" w:eastAsia="en-CA"/>
              </w:rPr>
            </w:pPr>
          </w:p>
        </w:tc>
      </w:tr>
      <w:tr w:rsidR="00712F7B" w:rsidRPr="00A557BB" w14:paraId="7FDC2E8B" w14:textId="77777777" w:rsidTr="00712F7B">
        <w:trPr>
          <w:trHeight w:val="58"/>
        </w:trPr>
        <w:tc>
          <w:tcPr>
            <w:tcW w:w="1820" w:type="dxa"/>
            <w:vMerge w:val="restart"/>
            <w:shd w:val="clear" w:color="auto" w:fill="auto"/>
            <w:noWrap/>
            <w:vAlign w:val="center"/>
            <w:hideMark/>
          </w:tcPr>
          <w:p w14:paraId="1DA83AFC" w14:textId="77777777" w:rsidR="00712F7B" w:rsidRPr="00A557BB" w:rsidRDefault="00712F7B" w:rsidP="00FA135A">
            <w:pPr>
              <w:jc w:val="left"/>
              <w:rPr>
                <w:bCs/>
                <w:color w:val="000000"/>
                <w:sz w:val="20"/>
                <w:szCs w:val="20"/>
                <w:lang w:val="fr-FR" w:eastAsia="en-CA"/>
              </w:rPr>
            </w:pPr>
            <w:r w:rsidRPr="00A557BB">
              <w:rPr>
                <w:bCs/>
                <w:color w:val="000000"/>
                <w:sz w:val="20"/>
                <w:szCs w:val="20"/>
                <w:lang w:val="fr-FR" w:eastAsia="fr"/>
              </w:rPr>
              <w:t>Quatrième tranche</w:t>
            </w:r>
          </w:p>
        </w:tc>
        <w:tc>
          <w:tcPr>
            <w:tcW w:w="1134" w:type="dxa"/>
            <w:shd w:val="clear" w:color="auto" w:fill="auto"/>
            <w:noWrap/>
            <w:vAlign w:val="center"/>
            <w:hideMark/>
          </w:tcPr>
          <w:p w14:paraId="59EB910A" w14:textId="77777777" w:rsidR="00712F7B" w:rsidRPr="00A557BB" w:rsidRDefault="00712F7B" w:rsidP="00FA135A">
            <w:pPr>
              <w:rPr>
                <w:bCs/>
                <w:color w:val="000000"/>
                <w:sz w:val="20"/>
                <w:szCs w:val="20"/>
                <w:lang w:val="fr-FR" w:eastAsia="en-CA"/>
              </w:rPr>
            </w:pPr>
            <w:r w:rsidRPr="00A557BB">
              <w:rPr>
                <w:bCs/>
                <w:color w:val="000000"/>
                <w:sz w:val="20"/>
                <w:szCs w:val="20"/>
                <w:lang w:val="fr-FR" w:eastAsia="fr"/>
              </w:rPr>
              <w:t xml:space="preserve">Approuvé </w:t>
            </w:r>
          </w:p>
        </w:tc>
        <w:tc>
          <w:tcPr>
            <w:tcW w:w="1418" w:type="dxa"/>
            <w:shd w:val="clear" w:color="auto" w:fill="auto"/>
            <w:noWrap/>
            <w:vAlign w:val="center"/>
          </w:tcPr>
          <w:p w14:paraId="3D280F04" w14:textId="77777777" w:rsidR="00712F7B" w:rsidRPr="00A557BB" w:rsidRDefault="00712F7B" w:rsidP="00FA135A">
            <w:pPr>
              <w:jc w:val="right"/>
              <w:rPr>
                <w:color w:val="000000"/>
                <w:sz w:val="20"/>
                <w:szCs w:val="20"/>
                <w:lang w:val="fr-FR" w:eastAsia="en-CA"/>
              </w:rPr>
            </w:pPr>
            <w:r w:rsidRPr="00A557BB">
              <w:rPr>
                <w:sz w:val="20"/>
                <w:szCs w:val="20"/>
                <w:lang w:val="fr-FR"/>
              </w:rPr>
              <w:t>50 000</w:t>
            </w:r>
          </w:p>
        </w:tc>
        <w:tc>
          <w:tcPr>
            <w:tcW w:w="1417" w:type="dxa"/>
            <w:vAlign w:val="center"/>
          </w:tcPr>
          <w:p w14:paraId="44D4D2E3" w14:textId="77777777" w:rsidR="00712F7B" w:rsidRPr="00A557BB" w:rsidRDefault="00712F7B" w:rsidP="00FA135A">
            <w:pPr>
              <w:jc w:val="right"/>
              <w:rPr>
                <w:color w:val="000000"/>
                <w:sz w:val="20"/>
                <w:szCs w:val="20"/>
                <w:lang w:val="fr-FR" w:eastAsia="en-CA"/>
              </w:rPr>
            </w:pPr>
            <w:r w:rsidRPr="00A557BB">
              <w:rPr>
                <w:sz w:val="20"/>
                <w:szCs w:val="20"/>
                <w:lang w:val="fr-FR"/>
              </w:rPr>
              <w:t>s.o.</w:t>
            </w:r>
          </w:p>
        </w:tc>
        <w:tc>
          <w:tcPr>
            <w:tcW w:w="1276" w:type="dxa"/>
            <w:shd w:val="clear" w:color="auto" w:fill="auto"/>
            <w:noWrap/>
            <w:vAlign w:val="center"/>
          </w:tcPr>
          <w:p w14:paraId="33AB1E6A" w14:textId="77777777" w:rsidR="00712F7B" w:rsidRPr="00A557BB" w:rsidRDefault="00712F7B" w:rsidP="00FA135A">
            <w:pPr>
              <w:jc w:val="right"/>
              <w:rPr>
                <w:color w:val="000000"/>
                <w:sz w:val="20"/>
                <w:szCs w:val="20"/>
                <w:lang w:val="fr-FR" w:eastAsia="en-CA"/>
              </w:rPr>
            </w:pPr>
            <w:r w:rsidRPr="00A557BB">
              <w:rPr>
                <w:sz w:val="20"/>
                <w:szCs w:val="20"/>
                <w:lang w:val="fr-FR"/>
              </w:rPr>
              <w:t>50 000</w:t>
            </w:r>
          </w:p>
        </w:tc>
        <w:tc>
          <w:tcPr>
            <w:tcW w:w="2268" w:type="dxa"/>
            <w:vMerge w:val="restart"/>
            <w:shd w:val="clear" w:color="auto" w:fill="auto"/>
            <w:noWrap/>
            <w:vAlign w:val="center"/>
          </w:tcPr>
          <w:p w14:paraId="46BA9B14" w14:textId="77777777" w:rsidR="00712F7B" w:rsidRPr="00A557BB" w:rsidRDefault="00712F7B" w:rsidP="00FA135A">
            <w:pPr>
              <w:jc w:val="center"/>
              <w:rPr>
                <w:color w:val="000000"/>
                <w:sz w:val="20"/>
                <w:szCs w:val="20"/>
                <w:lang w:val="fr-FR" w:eastAsia="en-CA"/>
              </w:rPr>
            </w:pPr>
            <w:r w:rsidRPr="00A557BB">
              <w:rPr>
                <w:bCs/>
                <w:sz w:val="20"/>
                <w:szCs w:val="20"/>
                <w:lang w:val="fr-FR"/>
              </w:rPr>
              <w:t>50%</w:t>
            </w:r>
          </w:p>
        </w:tc>
      </w:tr>
      <w:tr w:rsidR="00712F7B" w:rsidRPr="00A557BB" w14:paraId="5F23E402" w14:textId="77777777" w:rsidTr="00712F7B">
        <w:trPr>
          <w:trHeight w:val="125"/>
        </w:trPr>
        <w:tc>
          <w:tcPr>
            <w:tcW w:w="1820" w:type="dxa"/>
            <w:vMerge/>
            <w:vAlign w:val="center"/>
            <w:hideMark/>
          </w:tcPr>
          <w:p w14:paraId="3CF29A5C" w14:textId="77777777" w:rsidR="00712F7B" w:rsidRPr="00A557BB" w:rsidRDefault="00712F7B" w:rsidP="00FA135A">
            <w:pPr>
              <w:jc w:val="left"/>
              <w:rPr>
                <w:bCs/>
                <w:color w:val="000000"/>
                <w:sz w:val="20"/>
                <w:szCs w:val="20"/>
                <w:lang w:val="fr-FR" w:eastAsia="en-CA"/>
              </w:rPr>
            </w:pPr>
          </w:p>
        </w:tc>
        <w:tc>
          <w:tcPr>
            <w:tcW w:w="1134" w:type="dxa"/>
            <w:shd w:val="clear" w:color="auto" w:fill="auto"/>
            <w:noWrap/>
            <w:vAlign w:val="center"/>
            <w:hideMark/>
          </w:tcPr>
          <w:p w14:paraId="42188BAC" w14:textId="77777777" w:rsidR="00712F7B" w:rsidRPr="00A557BB" w:rsidRDefault="00712F7B" w:rsidP="00FA135A">
            <w:pPr>
              <w:rPr>
                <w:bCs/>
                <w:color w:val="000000"/>
                <w:sz w:val="20"/>
                <w:szCs w:val="20"/>
                <w:lang w:val="fr-FR" w:eastAsia="en-CA"/>
              </w:rPr>
            </w:pPr>
            <w:r w:rsidRPr="00A557BB">
              <w:rPr>
                <w:bCs/>
                <w:color w:val="000000"/>
                <w:sz w:val="20"/>
                <w:szCs w:val="20"/>
                <w:lang w:val="fr-FR" w:eastAsia="fr"/>
              </w:rPr>
              <w:t xml:space="preserve">Décaissé </w:t>
            </w:r>
          </w:p>
        </w:tc>
        <w:tc>
          <w:tcPr>
            <w:tcW w:w="1418" w:type="dxa"/>
            <w:shd w:val="clear" w:color="auto" w:fill="auto"/>
            <w:noWrap/>
            <w:vAlign w:val="center"/>
          </w:tcPr>
          <w:p w14:paraId="42B30D91" w14:textId="77777777" w:rsidR="00712F7B" w:rsidRPr="00A557BB" w:rsidRDefault="00712F7B" w:rsidP="00FA135A">
            <w:pPr>
              <w:jc w:val="right"/>
              <w:rPr>
                <w:color w:val="000000"/>
                <w:sz w:val="20"/>
                <w:szCs w:val="20"/>
                <w:lang w:val="fr-FR" w:eastAsia="en-CA"/>
              </w:rPr>
            </w:pPr>
            <w:r w:rsidRPr="00A557BB">
              <w:rPr>
                <w:sz w:val="20"/>
                <w:szCs w:val="20"/>
                <w:lang w:val="fr-FR"/>
              </w:rPr>
              <w:t>25 000 *</w:t>
            </w:r>
          </w:p>
        </w:tc>
        <w:tc>
          <w:tcPr>
            <w:tcW w:w="1417" w:type="dxa"/>
            <w:vAlign w:val="center"/>
          </w:tcPr>
          <w:p w14:paraId="6A1C4379" w14:textId="77777777" w:rsidR="00712F7B" w:rsidRPr="00A557BB" w:rsidRDefault="00712F7B" w:rsidP="00FA135A">
            <w:pPr>
              <w:jc w:val="right"/>
              <w:rPr>
                <w:color w:val="000000"/>
                <w:sz w:val="20"/>
                <w:szCs w:val="20"/>
                <w:lang w:val="fr-FR" w:eastAsia="en-CA"/>
              </w:rPr>
            </w:pPr>
            <w:r w:rsidRPr="00A557BB">
              <w:rPr>
                <w:sz w:val="20"/>
                <w:szCs w:val="20"/>
                <w:lang w:val="fr-FR"/>
              </w:rPr>
              <w:t>s.o.</w:t>
            </w:r>
          </w:p>
        </w:tc>
        <w:tc>
          <w:tcPr>
            <w:tcW w:w="1276" w:type="dxa"/>
            <w:shd w:val="clear" w:color="auto" w:fill="auto"/>
            <w:noWrap/>
            <w:vAlign w:val="center"/>
          </w:tcPr>
          <w:p w14:paraId="595563F4" w14:textId="77777777" w:rsidR="00712F7B" w:rsidRPr="00A557BB" w:rsidRDefault="00712F7B" w:rsidP="00FA135A">
            <w:pPr>
              <w:jc w:val="right"/>
              <w:rPr>
                <w:color w:val="000000"/>
                <w:sz w:val="20"/>
                <w:szCs w:val="20"/>
                <w:lang w:val="fr-FR" w:eastAsia="en-CA"/>
              </w:rPr>
            </w:pPr>
            <w:r w:rsidRPr="00A557BB">
              <w:rPr>
                <w:color w:val="000000"/>
                <w:sz w:val="20"/>
                <w:szCs w:val="20"/>
                <w:lang w:val="fr-FR"/>
              </w:rPr>
              <w:t>25 000</w:t>
            </w:r>
          </w:p>
        </w:tc>
        <w:tc>
          <w:tcPr>
            <w:tcW w:w="2268" w:type="dxa"/>
            <w:vMerge/>
            <w:vAlign w:val="center"/>
          </w:tcPr>
          <w:p w14:paraId="3BE8702B" w14:textId="77777777" w:rsidR="00712F7B" w:rsidRPr="00A557BB" w:rsidRDefault="00712F7B" w:rsidP="00FA135A">
            <w:pPr>
              <w:jc w:val="center"/>
              <w:rPr>
                <w:color w:val="000000"/>
                <w:sz w:val="20"/>
                <w:szCs w:val="20"/>
                <w:lang w:val="fr-FR" w:eastAsia="en-CA"/>
              </w:rPr>
            </w:pPr>
          </w:p>
        </w:tc>
      </w:tr>
      <w:tr w:rsidR="00712F7B" w:rsidRPr="00A557BB" w14:paraId="1D52CB28" w14:textId="77777777" w:rsidTr="00712F7B">
        <w:trPr>
          <w:trHeight w:val="58"/>
        </w:trPr>
        <w:tc>
          <w:tcPr>
            <w:tcW w:w="1820" w:type="dxa"/>
            <w:vMerge w:val="restart"/>
            <w:shd w:val="clear" w:color="auto" w:fill="auto"/>
            <w:vAlign w:val="center"/>
            <w:hideMark/>
          </w:tcPr>
          <w:p w14:paraId="7EEEF804" w14:textId="77777777" w:rsidR="00712F7B" w:rsidRPr="00A557BB" w:rsidRDefault="00712F7B" w:rsidP="00FA135A">
            <w:pPr>
              <w:jc w:val="left"/>
              <w:rPr>
                <w:bCs/>
                <w:color w:val="000000"/>
                <w:sz w:val="20"/>
                <w:szCs w:val="20"/>
                <w:lang w:val="fr-FR" w:eastAsia="en-CA"/>
              </w:rPr>
            </w:pPr>
            <w:r w:rsidRPr="00A557BB">
              <w:rPr>
                <w:bCs/>
                <w:color w:val="000000"/>
                <w:sz w:val="20"/>
                <w:szCs w:val="20"/>
                <w:lang w:val="fr-FR" w:eastAsia="fr"/>
              </w:rPr>
              <w:t>Total</w:t>
            </w:r>
          </w:p>
        </w:tc>
        <w:tc>
          <w:tcPr>
            <w:tcW w:w="1134" w:type="dxa"/>
            <w:shd w:val="clear" w:color="auto" w:fill="auto"/>
            <w:vAlign w:val="center"/>
            <w:hideMark/>
          </w:tcPr>
          <w:p w14:paraId="30ADA2BF" w14:textId="77777777" w:rsidR="00712F7B" w:rsidRPr="00A557BB" w:rsidRDefault="00712F7B" w:rsidP="00FA135A">
            <w:pPr>
              <w:rPr>
                <w:bCs/>
                <w:color w:val="000000"/>
                <w:sz w:val="20"/>
                <w:szCs w:val="20"/>
                <w:lang w:val="fr-FR" w:eastAsia="en-CA"/>
              </w:rPr>
            </w:pPr>
            <w:r w:rsidRPr="00A557BB">
              <w:rPr>
                <w:bCs/>
                <w:color w:val="000000"/>
                <w:sz w:val="20"/>
                <w:szCs w:val="20"/>
                <w:lang w:val="fr-FR" w:eastAsia="fr"/>
              </w:rPr>
              <w:t xml:space="preserve">Approuvé </w:t>
            </w:r>
          </w:p>
        </w:tc>
        <w:tc>
          <w:tcPr>
            <w:tcW w:w="1418" w:type="dxa"/>
            <w:shd w:val="clear" w:color="auto" w:fill="auto"/>
            <w:vAlign w:val="center"/>
          </w:tcPr>
          <w:p w14:paraId="10494571" w14:textId="77777777" w:rsidR="00712F7B" w:rsidRPr="00A557BB" w:rsidRDefault="00712F7B" w:rsidP="00FA135A">
            <w:pPr>
              <w:jc w:val="right"/>
              <w:rPr>
                <w:color w:val="000000"/>
                <w:sz w:val="20"/>
                <w:szCs w:val="20"/>
                <w:lang w:val="fr-FR" w:eastAsia="en-CA"/>
              </w:rPr>
            </w:pPr>
            <w:r w:rsidRPr="00A557BB">
              <w:rPr>
                <w:sz w:val="20"/>
                <w:szCs w:val="20"/>
                <w:lang w:val="fr-FR"/>
              </w:rPr>
              <w:t>680 000</w:t>
            </w:r>
          </w:p>
        </w:tc>
        <w:tc>
          <w:tcPr>
            <w:tcW w:w="1417" w:type="dxa"/>
            <w:vAlign w:val="center"/>
          </w:tcPr>
          <w:p w14:paraId="65F9C189" w14:textId="77777777" w:rsidR="00712F7B" w:rsidRPr="00A557BB" w:rsidRDefault="00712F7B" w:rsidP="00FA135A">
            <w:pPr>
              <w:jc w:val="right"/>
              <w:rPr>
                <w:color w:val="000000"/>
                <w:sz w:val="20"/>
                <w:szCs w:val="20"/>
                <w:lang w:val="fr-FR" w:eastAsia="en-CA"/>
              </w:rPr>
            </w:pPr>
            <w:r w:rsidRPr="00A557BB">
              <w:rPr>
                <w:sz w:val="20"/>
                <w:szCs w:val="20"/>
                <w:lang w:val="fr-FR"/>
              </w:rPr>
              <w:t>420 000</w:t>
            </w:r>
          </w:p>
        </w:tc>
        <w:tc>
          <w:tcPr>
            <w:tcW w:w="1276" w:type="dxa"/>
            <w:shd w:val="clear" w:color="auto" w:fill="auto"/>
            <w:vAlign w:val="center"/>
          </w:tcPr>
          <w:p w14:paraId="39829B88" w14:textId="77777777" w:rsidR="00712F7B" w:rsidRPr="00A557BB" w:rsidRDefault="00712F7B" w:rsidP="00FA135A">
            <w:pPr>
              <w:jc w:val="right"/>
              <w:rPr>
                <w:color w:val="000000"/>
                <w:sz w:val="20"/>
                <w:szCs w:val="20"/>
                <w:lang w:val="fr-FR" w:eastAsia="en-CA"/>
              </w:rPr>
            </w:pPr>
            <w:r w:rsidRPr="00A557BB">
              <w:rPr>
                <w:bCs/>
                <w:color w:val="000000"/>
                <w:sz w:val="20"/>
                <w:szCs w:val="20"/>
                <w:lang w:val="fr-FR"/>
              </w:rPr>
              <w:t>1 100 000</w:t>
            </w:r>
          </w:p>
        </w:tc>
        <w:tc>
          <w:tcPr>
            <w:tcW w:w="2268" w:type="dxa"/>
            <w:vMerge w:val="restart"/>
            <w:shd w:val="clear" w:color="auto" w:fill="auto"/>
            <w:vAlign w:val="center"/>
          </w:tcPr>
          <w:p w14:paraId="6295866C" w14:textId="77777777" w:rsidR="00712F7B" w:rsidRPr="00A557BB" w:rsidRDefault="00712F7B" w:rsidP="00FA135A">
            <w:pPr>
              <w:jc w:val="center"/>
              <w:rPr>
                <w:color w:val="000000"/>
                <w:sz w:val="20"/>
                <w:szCs w:val="20"/>
                <w:lang w:val="fr-FR" w:eastAsia="en-CA"/>
              </w:rPr>
            </w:pPr>
            <w:r w:rsidRPr="00A557BB">
              <w:rPr>
                <w:sz w:val="20"/>
                <w:szCs w:val="20"/>
                <w:lang w:val="fr-FR"/>
              </w:rPr>
              <w:t>97%</w:t>
            </w:r>
          </w:p>
        </w:tc>
      </w:tr>
      <w:tr w:rsidR="00712F7B" w:rsidRPr="00A557BB" w14:paraId="7126D618" w14:textId="77777777" w:rsidTr="00712F7B">
        <w:trPr>
          <w:trHeight w:val="179"/>
        </w:trPr>
        <w:tc>
          <w:tcPr>
            <w:tcW w:w="1820" w:type="dxa"/>
            <w:vMerge/>
            <w:shd w:val="clear" w:color="auto" w:fill="auto"/>
            <w:vAlign w:val="center"/>
          </w:tcPr>
          <w:p w14:paraId="0C4882EB" w14:textId="77777777" w:rsidR="00712F7B" w:rsidRPr="00A557BB" w:rsidRDefault="00712F7B" w:rsidP="00FA135A">
            <w:pPr>
              <w:jc w:val="left"/>
              <w:rPr>
                <w:b/>
                <w:bCs/>
                <w:color w:val="000000"/>
                <w:sz w:val="20"/>
                <w:szCs w:val="20"/>
                <w:lang w:val="fr-FR" w:eastAsia="en-CA"/>
              </w:rPr>
            </w:pPr>
          </w:p>
        </w:tc>
        <w:tc>
          <w:tcPr>
            <w:tcW w:w="1134" w:type="dxa"/>
            <w:shd w:val="clear" w:color="auto" w:fill="auto"/>
            <w:vAlign w:val="center"/>
          </w:tcPr>
          <w:p w14:paraId="54D32C7D" w14:textId="77777777" w:rsidR="00712F7B" w:rsidRPr="00A557BB" w:rsidRDefault="00712F7B" w:rsidP="00FA135A">
            <w:pPr>
              <w:rPr>
                <w:bCs/>
                <w:color w:val="000000"/>
                <w:sz w:val="20"/>
                <w:szCs w:val="20"/>
                <w:lang w:val="fr-FR" w:eastAsia="en-CA"/>
              </w:rPr>
            </w:pPr>
            <w:r w:rsidRPr="00A557BB">
              <w:rPr>
                <w:bCs/>
                <w:color w:val="000000"/>
                <w:sz w:val="20"/>
                <w:szCs w:val="20"/>
                <w:lang w:val="fr-FR" w:eastAsia="fr"/>
              </w:rPr>
              <w:t xml:space="preserve">Décaissé </w:t>
            </w:r>
          </w:p>
        </w:tc>
        <w:tc>
          <w:tcPr>
            <w:tcW w:w="1418" w:type="dxa"/>
            <w:shd w:val="clear" w:color="auto" w:fill="auto"/>
            <w:vAlign w:val="center"/>
          </w:tcPr>
          <w:p w14:paraId="445E9D50" w14:textId="77777777" w:rsidR="00712F7B" w:rsidRPr="00A557BB" w:rsidRDefault="00712F7B" w:rsidP="00FA135A">
            <w:pPr>
              <w:jc w:val="right"/>
              <w:rPr>
                <w:color w:val="000000"/>
                <w:sz w:val="20"/>
                <w:szCs w:val="20"/>
                <w:lang w:val="fr-FR" w:eastAsia="en-CA"/>
              </w:rPr>
            </w:pPr>
            <w:r w:rsidRPr="00A557BB">
              <w:rPr>
                <w:sz w:val="20"/>
                <w:szCs w:val="20"/>
                <w:lang w:val="fr-FR"/>
              </w:rPr>
              <w:t>655 000</w:t>
            </w:r>
          </w:p>
        </w:tc>
        <w:tc>
          <w:tcPr>
            <w:tcW w:w="1417" w:type="dxa"/>
            <w:vAlign w:val="center"/>
          </w:tcPr>
          <w:p w14:paraId="7CC5E119" w14:textId="77777777" w:rsidR="00712F7B" w:rsidRPr="00A557BB" w:rsidRDefault="00712F7B" w:rsidP="00FA135A">
            <w:pPr>
              <w:jc w:val="right"/>
              <w:rPr>
                <w:color w:val="000000"/>
                <w:sz w:val="20"/>
                <w:szCs w:val="20"/>
                <w:lang w:val="fr-FR" w:eastAsia="en-CA"/>
              </w:rPr>
            </w:pPr>
            <w:r w:rsidRPr="00A557BB">
              <w:rPr>
                <w:sz w:val="20"/>
                <w:szCs w:val="20"/>
                <w:lang w:val="fr-FR"/>
              </w:rPr>
              <w:t>413 324</w:t>
            </w:r>
          </w:p>
        </w:tc>
        <w:tc>
          <w:tcPr>
            <w:tcW w:w="1276" w:type="dxa"/>
            <w:shd w:val="clear" w:color="auto" w:fill="auto"/>
            <w:vAlign w:val="center"/>
          </w:tcPr>
          <w:p w14:paraId="4E597085" w14:textId="77777777" w:rsidR="00712F7B" w:rsidRPr="00A557BB" w:rsidRDefault="00712F7B" w:rsidP="00FA135A">
            <w:pPr>
              <w:jc w:val="right"/>
              <w:rPr>
                <w:color w:val="000000"/>
                <w:sz w:val="20"/>
                <w:szCs w:val="20"/>
                <w:lang w:val="fr-FR" w:eastAsia="en-CA"/>
              </w:rPr>
            </w:pPr>
            <w:r w:rsidRPr="00A557BB">
              <w:rPr>
                <w:bCs/>
                <w:sz w:val="20"/>
                <w:szCs w:val="20"/>
                <w:lang w:val="fr-FR"/>
              </w:rPr>
              <w:t>1 068 324</w:t>
            </w:r>
          </w:p>
        </w:tc>
        <w:tc>
          <w:tcPr>
            <w:tcW w:w="2268" w:type="dxa"/>
            <w:vMerge/>
            <w:shd w:val="clear" w:color="auto" w:fill="auto"/>
            <w:vAlign w:val="center"/>
          </w:tcPr>
          <w:p w14:paraId="583E82A5" w14:textId="77777777" w:rsidR="00712F7B" w:rsidRPr="00A557BB" w:rsidRDefault="00712F7B" w:rsidP="00FA135A">
            <w:pPr>
              <w:jc w:val="center"/>
              <w:rPr>
                <w:color w:val="000000"/>
                <w:sz w:val="20"/>
                <w:szCs w:val="20"/>
                <w:lang w:val="fr-FR" w:eastAsia="en-CA"/>
              </w:rPr>
            </w:pPr>
          </w:p>
        </w:tc>
      </w:tr>
    </w:tbl>
    <w:p w14:paraId="79F054F8" w14:textId="77777777" w:rsidR="00712F7B" w:rsidRPr="00A557BB" w:rsidRDefault="00712F7B" w:rsidP="00712F7B">
      <w:pPr>
        <w:rPr>
          <w:sz w:val="18"/>
          <w:szCs w:val="18"/>
          <w:lang w:val="fr-FR"/>
        </w:rPr>
      </w:pPr>
      <w:r w:rsidRPr="00A557BB">
        <w:rPr>
          <w:lang w:val="fr-FR"/>
        </w:rPr>
        <w:t xml:space="preserve">* </w:t>
      </w:r>
      <w:r w:rsidRPr="00A557BB">
        <w:rPr>
          <w:sz w:val="18"/>
          <w:szCs w:val="18"/>
          <w:lang w:val="fr-FR"/>
        </w:rPr>
        <w:t>Selon les dépenses comptabilisées par l'UNO et pas encore enregistrées dans Umoja</w:t>
      </w:r>
    </w:p>
    <w:p w14:paraId="13F8B0D9" w14:textId="77777777" w:rsidR="00712F7B" w:rsidRPr="00A557BB" w:rsidRDefault="00712F7B" w:rsidP="00712F7B">
      <w:pPr>
        <w:rPr>
          <w:sz w:val="18"/>
          <w:szCs w:val="18"/>
          <w:lang w:val="fr-FR"/>
        </w:rPr>
      </w:pPr>
    </w:p>
    <w:p w14:paraId="46A526F5" w14:textId="77777777" w:rsidR="00712F7B" w:rsidRPr="00A557BB" w:rsidRDefault="00712F7B" w:rsidP="00712F7B">
      <w:pPr>
        <w:widowControl w:val="0"/>
        <w:spacing w:after="240"/>
        <w:outlineLvl w:val="0"/>
        <w:rPr>
          <w:bCs/>
          <w:i/>
          <w:lang w:val="fr-FR"/>
        </w:rPr>
      </w:pPr>
      <w:r w:rsidRPr="00A557BB">
        <w:rPr>
          <w:bCs/>
          <w:i/>
          <w:lang w:val="fr-FR"/>
        </w:rPr>
        <w:t>Plan d'activités pour 2020</w:t>
      </w:r>
    </w:p>
    <w:p w14:paraId="48D472B3" w14:textId="77777777" w:rsidR="00712F7B" w:rsidRPr="00A557BB" w:rsidRDefault="00712F7B" w:rsidP="00712F7B">
      <w:pPr>
        <w:pStyle w:val="Heading1"/>
        <w:rPr>
          <w:lang w:val="fr-FR"/>
        </w:rPr>
      </w:pPr>
      <w:r w:rsidRPr="00A557BB">
        <w:rPr>
          <w:lang w:val="fr-FR"/>
        </w:rPr>
        <w:t>Le plan de travail pour les activités restant à entreprendre en 2020 est résumé dans le tableau 7.</w:t>
      </w:r>
    </w:p>
    <w:p w14:paraId="194113DF" w14:textId="77777777" w:rsidR="00712F7B" w:rsidRPr="00A557BB" w:rsidRDefault="00EF54D3" w:rsidP="00712F7B">
      <w:pPr>
        <w:rPr>
          <w:b/>
          <w:lang w:val="fr-FR"/>
        </w:rPr>
      </w:pPr>
      <w:r w:rsidRPr="00A557BB">
        <w:rPr>
          <w:b/>
          <w:lang w:val="fr-FR"/>
        </w:rPr>
        <w:t>Tableau 7: Plan de travail concernant le PGEH pour les Maldives</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08"/>
        <w:gridCol w:w="2235"/>
      </w:tblGrid>
      <w:tr w:rsidR="00712F7B" w:rsidRPr="00A557BB" w14:paraId="6B5D95E6" w14:textId="77777777" w:rsidTr="00414B0A">
        <w:trPr>
          <w:trHeight w:val="300"/>
          <w:tblHeader/>
        </w:trPr>
        <w:tc>
          <w:tcPr>
            <w:tcW w:w="7008" w:type="dxa"/>
          </w:tcPr>
          <w:p w14:paraId="70A4197E" w14:textId="77777777" w:rsidR="00712F7B" w:rsidRPr="00A557BB" w:rsidRDefault="00712F7B" w:rsidP="00FA135A">
            <w:pPr>
              <w:adjustRightInd w:val="0"/>
              <w:snapToGrid w:val="0"/>
              <w:jc w:val="center"/>
              <w:rPr>
                <w:rFonts w:eastAsia="SimSun"/>
                <w:b/>
                <w:sz w:val="20"/>
                <w:szCs w:val="20"/>
                <w:lang w:val="fr-FR"/>
              </w:rPr>
            </w:pPr>
            <w:r w:rsidRPr="00A557BB">
              <w:rPr>
                <w:rFonts w:eastAsia="SimSun"/>
                <w:b/>
                <w:sz w:val="20"/>
                <w:szCs w:val="20"/>
                <w:lang w:val="fr-FR"/>
              </w:rPr>
              <w:t>Année</w:t>
            </w:r>
          </w:p>
        </w:tc>
        <w:tc>
          <w:tcPr>
            <w:tcW w:w="2235" w:type="dxa"/>
          </w:tcPr>
          <w:p w14:paraId="6272DB8D" w14:textId="77777777" w:rsidR="00712F7B" w:rsidRPr="00A557BB" w:rsidRDefault="00712F7B" w:rsidP="00FA135A">
            <w:pPr>
              <w:adjustRightInd w:val="0"/>
              <w:snapToGrid w:val="0"/>
              <w:jc w:val="center"/>
              <w:rPr>
                <w:rFonts w:eastAsia="SimSun"/>
                <w:b/>
                <w:sz w:val="20"/>
                <w:szCs w:val="20"/>
                <w:lang w:val="fr-FR"/>
              </w:rPr>
            </w:pPr>
            <w:r w:rsidRPr="00A557BB">
              <w:rPr>
                <w:rFonts w:eastAsia="SimSun"/>
                <w:b/>
                <w:sz w:val="20"/>
                <w:szCs w:val="20"/>
                <w:lang w:val="fr-FR"/>
              </w:rPr>
              <w:t>Budget ($US)</w:t>
            </w:r>
          </w:p>
        </w:tc>
      </w:tr>
      <w:tr w:rsidR="00712F7B" w:rsidRPr="00A557BB" w14:paraId="1726EDF4" w14:textId="77777777" w:rsidTr="00414B0A">
        <w:trPr>
          <w:trHeight w:val="42"/>
        </w:trPr>
        <w:tc>
          <w:tcPr>
            <w:tcW w:w="7008" w:type="dxa"/>
          </w:tcPr>
          <w:p w14:paraId="004C850E" w14:textId="77777777" w:rsidR="00712F7B" w:rsidRPr="00A557BB" w:rsidRDefault="00712F7B" w:rsidP="00FA135A">
            <w:pPr>
              <w:adjustRightInd w:val="0"/>
              <w:snapToGrid w:val="0"/>
              <w:rPr>
                <w:rFonts w:eastAsia="SimSun"/>
                <w:sz w:val="20"/>
                <w:szCs w:val="20"/>
                <w:lang w:val="fr-FR"/>
              </w:rPr>
            </w:pPr>
            <w:r w:rsidRPr="00A557BB">
              <w:rPr>
                <w:rFonts w:eastAsia="SimSun"/>
                <w:b/>
                <w:bCs/>
                <w:color w:val="000000"/>
                <w:sz w:val="20"/>
                <w:szCs w:val="20"/>
                <w:lang w:val="fr-FR" w:eastAsia="zh-CN"/>
              </w:rPr>
              <w:t>Politiques d'élimination des HCFC et application des lois</w:t>
            </w:r>
          </w:p>
        </w:tc>
        <w:tc>
          <w:tcPr>
            <w:tcW w:w="2235" w:type="dxa"/>
          </w:tcPr>
          <w:p w14:paraId="12991E2A" w14:textId="77777777" w:rsidR="00712F7B" w:rsidRPr="00A557BB" w:rsidRDefault="00712F7B" w:rsidP="00FA135A">
            <w:pPr>
              <w:adjustRightInd w:val="0"/>
              <w:snapToGrid w:val="0"/>
              <w:jc w:val="center"/>
              <w:rPr>
                <w:rFonts w:eastAsia="SimSun"/>
                <w:sz w:val="20"/>
                <w:szCs w:val="20"/>
                <w:lang w:val="fr-FR"/>
              </w:rPr>
            </w:pPr>
            <w:r w:rsidRPr="00A557BB">
              <w:rPr>
                <w:rFonts w:eastAsia="SimSun"/>
                <w:sz w:val="20"/>
                <w:szCs w:val="20"/>
                <w:lang w:val="fr-FR"/>
              </w:rPr>
              <w:t>7 500</w:t>
            </w:r>
          </w:p>
        </w:tc>
      </w:tr>
      <w:tr w:rsidR="00712F7B" w:rsidRPr="002221F7" w14:paraId="327EECC4" w14:textId="77777777" w:rsidTr="00414B0A">
        <w:trPr>
          <w:trHeight w:val="269"/>
        </w:trPr>
        <w:tc>
          <w:tcPr>
            <w:tcW w:w="7008" w:type="dxa"/>
          </w:tcPr>
          <w:p w14:paraId="4B83706E" w14:textId="77777777" w:rsidR="00712F7B" w:rsidRPr="00A557BB" w:rsidRDefault="00712F7B" w:rsidP="00FA135A">
            <w:pPr>
              <w:adjustRightInd w:val="0"/>
              <w:snapToGrid w:val="0"/>
              <w:rPr>
                <w:rFonts w:eastAsia="SimSun"/>
                <w:sz w:val="20"/>
                <w:szCs w:val="20"/>
                <w:lang w:val="fr-FR"/>
              </w:rPr>
            </w:pPr>
            <w:r w:rsidRPr="00A557BB">
              <w:rPr>
                <w:rFonts w:eastAsia="SimSun"/>
                <w:sz w:val="20"/>
                <w:szCs w:val="20"/>
                <w:lang w:val="fr-FR"/>
              </w:rPr>
              <w:t xml:space="preserve">Formation de 15 agents des forces de l'ordre sur les nouveaux règlements </w:t>
            </w:r>
          </w:p>
        </w:tc>
        <w:tc>
          <w:tcPr>
            <w:tcW w:w="2235" w:type="dxa"/>
          </w:tcPr>
          <w:p w14:paraId="0C7D003D" w14:textId="77777777" w:rsidR="00712F7B" w:rsidRPr="00A557BB" w:rsidRDefault="00712F7B" w:rsidP="00FA135A">
            <w:pPr>
              <w:adjustRightInd w:val="0"/>
              <w:snapToGrid w:val="0"/>
              <w:jc w:val="center"/>
              <w:rPr>
                <w:rFonts w:eastAsia="SimSun"/>
                <w:sz w:val="20"/>
                <w:szCs w:val="20"/>
                <w:lang w:val="fr-FR"/>
              </w:rPr>
            </w:pPr>
          </w:p>
        </w:tc>
      </w:tr>
      <w:tr w:rsidR="00712F7B" w:rsidRPr="00A557BB" w14:paraId="6C8822F6" w14:textId="77777777" w:rsidTr="00414B0A">
        <w:trPr>
          <w:trHeight w:val="300"/>
        </w:trPr>
        <w:tc>
          <w:tcPr>
            <w:tcW w:w="7008" w:type="dxa"/>
          </w:tcPr>
          <w:p w14:paraId="4A4DF56B" w14:textId="77777777" w:rsidR="00712F7B" w:rsidRPr="00A557BB" w:rsidRDefault="00712F7B" w:rsidP="00FA135A">
            <w:pPr>
              <w:adjustRightInd w:val="0"/>
              <w:snapToGrid w:val="0"/>
              <w:rPr>
                <w:rFonts w:eastAsia="SimSun"/>
                <w:sz w:val="20"/>
                <w:szCs w:val="20"/>
                <w:lang w:val="fr-FR"/>
              </w:rPr>
            </w:pPr>
            <w:r w:rsidRPr="00A557BB">
              <w:rPr>
                <w:rFonts w:eastAsia="SimSun"/>
                <w:b/>
                <w:bCs/>
                <w:color w:val="000000"/>
                <w:sz w:val="20"/>
                <w:szCs w:val="20"/>
                <w:lang w:val="fr-FR" w:eastAsia="zh-CN"/>
              </w:rPr>
              <w:t>Plan visant la réduction progressive de la consommation de HCFC</w:t>
            </w:r>
          </w:p>
        </w:tc>
        <w:tc>
          <w:tcPr>
            <w:tcW w:w="2235" w:type="dxa"/>
          </w:tcPr>
          <w:p w14:paraId="2BCCD806" w14:textId="77777777" w:rsidR="00712F7B" w:rsidRPr="00A557BB" w:rsidRDefault="00712F7B" w:rsidP="00FA135A">
            <w:pPr>
              <w:adjustRightInd w:val="0"/>
              <w:snapToGrid w:val="0"/>
              <w:jc w:val="center"/>
              <w:rPr>
                <w:rFonts w:eastAsia="SimSun"/>
                <w:sz w:val="20"/>
                <w:szCs w:val="20"/>
                <w:lang w:val="fr-FR"/>
              </w:rPr>
            </w:pPr>
            <w:r w:rsidRPr="00A557BB">
              <w:rPr>
                <w:rFonts w:eastAsia="SimSun"/>
                <w:sz w:val="20"/>
                <w:szCs w:val="20"/>
                <w:lang w:val="fr-FR"/>
              </w:rPr>
              <w:t>5 000</w:t>
            </w:r>
          </w:p>
        </w:tc>
      </w:tr>
      <w:tr w:rsidR="00712F7B" w:rsidRPr="002221F7" w14:paraId="29F81298" w14:textId="77777777" w:rsidTr="00414B0A">
        <w:trPr>
          <w:trHeight w:val="300"/>
        </w:trPr>
        <w:tc>
          <w:tcPr>
            <w:tcW w:w="7008" w:type="dxa"/>
          </w:tcPr>
          <w:p w14:paraId="3DB22DD4" w14:textId="77777777" w:rsidR="00712F7B" w:rsidRPr="00A557BB" w:rsidRDefault="00712F7B" w:rsidP="00FA135A">
            <w:pPr>
              <w:adjustRightInd w:val="0"/>
              <w:snapToGrid w:val="0"/>
              <w:rPr>
                <w:rFonts w:eastAsia="SimSun"/>
                <w:sz w:val="20"/>
                <w:szCs w:val="20"/>
                <w:lang w:val="fr-FR"/>
              </w:rPr>
            </w:pPr>
            <w:r w:rsidRPr="00A557BB">
              <w:rPr>
                <w:rFonts w:eastAsia="SimSun"/>
                <w:sz w:val="20"/>
                <w:szCs w:val="20"/>
                <w:lang w:val="fr-FR"/>
              </w:rPr>
              <w:t>Atelier de formation des formateurs sur les bonnes pratiques d'entretien pour 15 participants</w:t>
            </w:r>
          </w:p>
        </w:tc>
        <w:tc>
          <w:tcPr>
            <w:tcW w:w="2235" w:type="dxa"/>
          </w:tcPr>
          <w:p w14:paraId="7794FE98" w14:textId="77777777" w:rsidR="00712F7B" w:rsidRPr="00A557BB" w:rsidRDefault="00712F7B" w:rsidP="00FA135A">
            <w:pPr>
              <w:adjustRightInd w:val="0"/>
              <w:snapToGrid w:val="0"/>
              <w:jc w:val="center"/>
              <w:rPr>
                <w:rFonts w:eastAsia="SimSun"/>
                <w:sz w:val="20"/>
                <w:szCs w:val="20"/>
                <w:lang w:val="fr-FR"/>
              </w:rPr>
            </w:pPr>
          </w:p>
        </w:tc>
      </w:tr>
      <w:tr w:rsidR="00712F7B" w:rsidRPr="002221F7" w14:paraId="76177CB3" w14:textId="77777777" w:rsidTr="00414B0A">
        <w:trPr>
          <w:trHeight w:val="300"/>
        </w:trPr>
        <w:tc>
          <w:tcPr>
            <w:tcW w:w="7008" w:type="dxa"/>
          </w:tcPr>
          <w:p w14:paraId="2CEE10FC" w14:textId="77777777" w:rsidR="00712F7B" w:rsidRPr="00A557BB" w:rsidRDefault="00712F7B" w:rsidP="00FA135A">
            <w:pPr>
              <w:adjustRightInd w:val="0"/>
              <w:snapToGrid w:val="0"/>
              <w:rPr>
                <w:rFonts w:eastAsia="SimSun"/>
                <w:sz w:val="20"/>
                <w:szCs w:val="20"/>
                <w:lang w:val="fr-FR"/>
              </w:rPr>
            </w:pPr>
            <w:r w:rsidRPr="00A557BB">
              <w:rPr>
                <w:rFonts w:eastAsia="SimSun"/>
                <w:sz w:val="20"/>
                <w:szCs w:val="20"/>
                <w:lang w:val="fr-FR"/>
              </w:rPr>
              <w:t>Formation dispensée sur la maintenance des navires de pêche et des hébergements touristiques, pour 20 participants</w:t>
            </w:r>
          </w:p>
        </w:tc>
        <w:tc>
          <w:tcPr>
            <w:tcW w:w="2235" w:type="dxa"/>
          </w:tcPr>
          <w:p w14:paraId="440E5D20" w14:textId="77777777" w:rsidR="00712F7B" w:rsidRPr="00A557BB" w:rsidRDefault="00712F7B" w:rsidP="00FA135A">
            <w:pPr>
              <w:adjustRightInd w:val="0"/>
              <w:snapToGrid w:val="0"/>
              <w:jc w:val="center"/>
              <w:rPr>
                <w:rFonts w:eastAsia="SimSun"/>
                <w:sz w:val="20"/>
                <w:szCs w:val="20"/>
                <w:lang w:val="fr-FR"/>
              </w:rPr>
            </w:pPr>
          </w:p>
        </w:tc>
      </w:tr>
      <w:tr w:rsidR="00712F7B" w:rsidRPr="00A557BB" w14:paraId="05A7E287" w14:textId="77777777" w:rsidTr="00414B0A">
        <w:trPr>
          <w:trHeight w:val="300"/>
        </w:trPr>
        <w:tc>
          <w:tcPr>
            <w:tcW w:w="7008" w:type="dxa"/>
            <w:shd w:val="clear" w:color="auto" w:fill="auto"/>
          </w:tcPr>
          <w:p w14:paraId="7E17C454" w14:textId="77777777" w:rsidR="00712F7B" w:rsidRPr="00A557BB" w:rsidRDefault="00712F7B" w:rsidP="00FA135A">
            <w:pPr>
              <w:adjustRightInd w:val="0"/>
              <w:snapToGrid w:val="0"/>
              <w:rPr>
                <w:rFonts w:eastAsia="SimSun"/>
                <w:b/>
                <w:bCs/>
                <w:color w:val="000000"/>
                <w:sz w:val="20"/>
                <w:szCs w:val="20"/>
                <w:lang w:val="fr-FR" w:eastAsia="zh-CN"/>
              </w:rPr>
            </w:pPr>
            <w:r w:rsidRPr="00A557BB">
              <w:rPr>
                <w:rFonts w:eastAsia="SimSun"/>
                <w:b/>
                <w:bCs/>
                <w:color w:val="000000"/>
                <w:sz w:val="20"/>
                <w:szCs w:val="20"/>
                <w:lang w:val="fr-FR" w:eastAsia="zh-CN"/>
              </w:rPr>
              <w:t>Volet investissement</w:t>
            </w:r>
          </w:p>
        </w:tc>
        <w:tc>
          <w:tcPr>
            <w:tcW w:w="2235" w:type="dxa"/>
          </w:tcPr>
          <w:p w14:paraId="70D3BA88" w14:textId="77777777" w:rsidR="00712F7B" w:rsidRPr="00A557BB" w:rsidRDefault="00712F7B" w:rsidP="00FA135A">
            <w:pPr>
              <w:adjustRightInd w:val="0"/>
              <w:snapToGrid w:val="0"/>
              <w:jc w:val="center"/>
              <w:rPr>
                <w:rFonts w:eastAsia="SimSun"/>
                <w:sz w:val="20"/>
                <w:szCs w:val="20"/>
                <w:lang w:val="fr-FR"/>
              </w:rPr>
            </w:pPr>
          </w:p>
        </w:tc>
      </w:tr>
      <w:tr w:rsidR="00712F7B" w:rsidRPr="00A557BB" w14:paraId="40A9D94F" w14:textId="77777777" w:rsidTr="00414B0A">
        <w:trPr>
          <w:trHeight w:val="300"/>
        </w:trPr>
        <w:tc>
          <w:tcPr>
            <w:tcW w:w="7008" w:type="dxa"/>
          </w:tcPr>
          <w:p w14:paraId="14AA16E8" w14:textId="77777777" w:rsidR="00712F7B" w:rsidRPr="00A557BB" w:rsidRDefault="00712F7B" w:rsidP="00FA135A">
            <w:pPr>
              <w:adjustRightInd w:val="0"/>
              <w:snapToGrid w:val="0"/>
              <w:rPr>
                <w:rFonts w:eastAsia="SimSun"/>
                <w:bCs/>
                <w:color w:val="000000"/>
                <w:sz w:val="20"/>
                <w:szCs w:val="20"/>
                <w:lang w:val="fr-FR" w:eastAsia="zh-CN"/>
              </w:rPr>
            </w:pPr>
            <w:r w:rsidRPr="00A557BB">
              <w:rPr>
                <w:rFonts w:eastAsia="SimSun"/>
                <w:bCs/>
                <w:color w:val="000000"/>
                <w:sz w:val="20"/>
                <w:szCs w:val="20"/>
                <w:lang w:val="fr-FR" w:eastAsia="zh-CN"/>
              </w:rPr>
              <w:lastRenderedPageBreak/>
              <w:t xml:space="preserve">Achat des accessoires requis pour le centre de récupération </w:t>
            </w:r>
          </w:p>
        </w:tc>
        <w:tc>
          <w:tcPr>
            <w:tcW w:w="2235" w:type="dxa"/>
          </w:tcPr>
          <w:p w14:paraId="5C3D8F28" w14:textId="77777777" w:rsidR="00712F7B" w:rsidRPr="00A557BB" w:rsidRDefault="00613E57" w:rsidP="00FA135A">
            <w:pPr>
              <w:adjustRightInd w:val="0"/>
              <w:snapToGrid w:val="0"/>
              <w:jc w:val="center"/>
              <w:rPr>
                <w:rFonts w:eastAsia="SimSun"/>
                <w:sz w:val="20"/>
                <w:szCs w:val="20"/>
                <w:lang w:val="fr-FR"/>
              </w:rPr>
            </w:pPr>
            <w:bdo w:val="ltr">
              <w:r w:rsidR="00712F7B" w:rsidRPr="00A557BB">
                <w:rPr>
                  <w:rFonts w:eastAsia="SimSun"/>
                  <w:sz w:val="20"/>
                  <w:szCs w:val="20"/>
                  <w:lang w:val="fr-FR"/>
                </w:rPr>
                <w:t>6 676</w:t>
              </w:r>
              <w:r w:rsidR="00712F7B" w:rsidRPr="00A557BB">
                <w:rPr>
                  <w:lang w:val="fr-FR"/>
                </w:rPr>
                <w:t>‬</w:t>
              </w:r>
              <w:r w:rsidR="00712F7B" w:rsidRPr="00A557BB">
                <w:rPr>
                  <w:lang w:val="fr-FR"/>
                </w:rPr>
                <w:t>‬</w:t>
              </w:r>
              <w:r w:rsidR="00712F7B" w:rsidRPr="00A557BB">
                <w:rPr>
                  <w:lang w:val="fr-FR"/>
                </w:rPr>
                <w:t>‬</w:t>
              </w:r>
              <w:r w:rsidR="00712F7B" w:rsidRPr="00A557BB">
                <w:rPr>
                  <w:lang w:val="fr-FR"/>
                </w:rPr>
                <w:t>‬</w:t>
              </w:r>
              <w:r w:rsidR="00712F7B" w:rsidRPr="00A557BB">
                <w:rPr>
                  <w:lang w:val="fr-FR"/>
                </w:rPr>
                <w:t>‬</w:t>
              </w:r>
              <w:r w:rsidR="00FA135A" w:rsidRPr="00A557BB">
                <w:rPr>
                  <w:lang w:val="fr-FR"/>
                </w:rPr>
                <w:t>‬</w:t>
              </w:r>
              <w:r w:rsidR="009A3DA8" w:rsidRPr="00A557BB">
                <w:rPr>
                  <w:lang w:val="fr-FR"/>
                </w:rPr>
                <w:t>‬</w:t>
              </w:r>
              <w:r w:rsidR="00EF2AC7" w:rsidRPr="00A557BB">
                <w:rPr>
                  <w:lang w:val="fr-FR"/>
                </w:rPr>
                <w:t>‬</w:t>
              </w:r>
              <w:r w:rsidR="00896655" w:rsidRPr="00A557BB">
                <w:rPr>
                  <w:lang w:val="fr-FR"/>
                </w:rPr>
                <w:t>‬</w:t>
              </w:r>
              <w:r w:rsidR="004A1603" w:rsidRPr="00A557BB">
                <w:rPr>
                  <w:lang w:val="fr-FR"/>
                </w:rPr>
                <w:t>‬</w:t>
              </w:r>
              <w:r w:rsidR="008D6D9B" w:rsidRPr="00A557BB">
                <w:rPr>
                  <w:lang w:val="fr-FR"/>
                </w:rPr>
                <w:t>‬</w:t>
              </w:r>
              <w:r w:rsidR="00E402E0" w:rsidRPr="00A557BB">
                <w:rPr>
                  <w:lang w:val="fr-FR"/>
                </w:rPr>
                <w:t>‬</w:t>
              </w:r>
              <w:r w:rsidR="005644A7" w:rsidRPr="00A557BB">
                <w:rPr>
                  <w:lang w:val="fr-FR"/>
                </w:rPr>
                <w:t>‬</w:t>
              </w:r>
              <w:r w:rsidR="004E23BC" w:rsidRPr="00A557BB">
                <w:rPr>
                  <w:lang w:val="fr-FR"/>
                </w:rPr>
                <w:t>‬</w:t>
              </w:r>
              <w:r w:rsidR="00667B8F" w:rsidRPr="00A557BB">
                <w:rPr>
                  <w:lang w:val="fr-FR"/>
                </w:rPr>
                <w:t>‬</w:t>
              </w:r>
              <w:r w:rsidR="00F6520F" w:rsidRPr="00A557BB">
                <w:rPr>
                  <w:lang w:val="fr-FR"/>
                </w:rPr>
                <w:t>‬</w:t>
              </w:r>
              <w:r w:rsidR="001C4F37" w:rsidRPr="00A557BB">
                <w:rPr>
                  <w:lang w:val="fr-FR"/>
                </w:rPr>
                <w:t>‬</w:t>
              </w:r>
              <w:r w:rsidR="00514465" w:rsidRPr="00A557BB">
                <w:rPr>
                  <w:lang w:val="fr-FR"/>
                </w:rPr>
                <w:t>‬</w:t>
              </w:r>
              <w:r w:rsidR="00BB56A5" w:rsidRPr="00A557BB">
                <w:rPr>
                  <w:lang w:val="fr-FR"/>
                </w:rPr>
                <w:t>‬</w:t>
              </w:r>
              <w:r w:rsidR="00AC0424" w:rsidRPr="00A557BB">
                <w:rPr>
                  <w:lang w:val="fr-FR"/>
                </w:rPr>
                <w:t>‬</w:t>
              </w:r>
              <w:r w:rsidR="008C01DD" w:rsidRPr="00A557BB">
                <w:rPr>
                  <w:lang w:val="fr-FR"/>
                </w:rPr>
                <w:t>‬</w:t>
              </w:r>
              <w:r w:rsidR="00DE6F31" w:rsidRPr="00A557BB">
                <w:rPr>
                  <w:lang w:val="fr-FR"/>
                </w:rPr>
                <w:t>‬</w:t>
              </w:r>
              <w:r w:rsidR="001D226E" w:rsidRPr="00A557BB">
                <w:rPr>
                  <w:lang w:val="fr-FR"/>
                </w:rPr>
                <w:t>‬</w:t>
              </w:r>
              <w:r w:rsidR="00201C93" w:rsidRPr="00A557BB">
                <w:rPr>
                  <w:lang w:val="fr-FR"/>
                </w:rPr>
                <w:t>‬</w:t>
              </w:r>
              <w:r w:rsidR="00614272" w:rsidRPr="00A557BB">
                <w:rPr>
                  <w:lang w:val="fr-FR"/>
                </w:rPr>
                <w:t>‬</w:t>
              </w:r>
              <w:r w:rsidR="00EC1F23">
                <w:t>‬</w:t>
              </w:r>
              <w:r w:rsidR="00F27002">
                <w:t>‬</w:t>
              </w:r>
              <w:r w:rsidR="00D11B6F">
                <w:t>‬</w:t>
              </w:r>
              <w:r w:rsidR="00C41225">
                <w:t>‬</w:t>
              </w:r>
              <w:r>
                <w:t>‬</w:t>
              </w:r>
            </w:bdo>
          </w:p>
        </w:tc>
      </w:tr>
      <w:tr w:rsidR="00712F7B" w:rsidRPr="002221F7" w14:paraId="391FB22C" w14:textId="77777777" w:rsidTr="00414B0A">
        <w:trPr>
          <w:trHeight w:val="300"/>
        </w:trPr>
        <w:tc>
          <w:tcPr>
            <w:tcW w:w="7008" w:type="dxa"/>
          </w:tcPr>
          <w:p w14:paraId="4F027521" w14:textId="77777777" w:rsidR="00712F7B" w:rsidRPr="00A557BB" w:rsidRDefault="00712F7B" w:rsidP="00FA135A">
            <w:pPr>
              <w:adjustRightInd w:val="0"/>
              <w:snapToGrid w:val="0"/>
              <w:rPr>
                <w:rFonts w:eastAsia="SimSun"/>
                <w:bCs/>
                <w:color w:val="000000"/>
                <w:sz w:val="20"/>
                <w:szCs w:val="20"/>
                <w:lang w:val="fr-FR" w:eastAsia="zh-CN"/>
              </w:rPr>
            </w:pPr>
            <w:r w:rsidRPr="00A557BB">
              <w:rPr>
                <w:rFonts w:eastAsia="SimSun"/>
                <w:bCs/>
                <w:color w:val="000000"/>
                <w:sz w:val="20"/>
                <w:szCs w:val="20"/>
                <w:lang w:val="fr-FR" w:eastAsia="zh-CN"/>
              </w:rPr>
              <w:t>Achèvement de l'installation des climatiseurs achetés et suivi du programme d'incitation au remplacement d'équipements</w:t>
            </w:r>
          </w:p>
        </w:tc>
        <w:tc>
          <w:tcPr>
            <w:tcW w:w="2235" w:type="dxa"/>
          </w:tcPr>
          <w:p w14:paraId="2C544D21" w14:textId="77777777" w:rsidR="00712F7B" w:rsidRPr="00A557BB" w:rsidRDefault="00712F7B" w:rsidP="00FA135A">
            <w:pPr>
              <w:adjustRightInd w:val="0"/>
              <w:snapToGrid w:val="0"/>
              <w:jc w:val="center"/>
              <w:rPr>
                <w:rFonts w:eastAsia="SimSun"/>
                <w:sz w:val="20"/>
                <w:szCs w:val="20"/>
                <w:lang w:val="fr-FR"/>
              </w:rPr>
            </w:pPr>
            <w:r w:rsidRPr="00A557BB">
              <w:rPr>
                <w:rFonts w:eastAsia="SimSun"/>
                <w:sz w:val="20"/>
                <w:szCs w:val="20"/>
                <w:lang w:val="fr-FR"/>
              </w:rPr>
              <w:t>Financement issu de la tranche précédente</w:t>
            </w:r>
          </w:p>
        </w:tc>
      </w:tr>
      <w:tr w:rsidR="00712F7B" w:rsidRPr="00A557BB" w14:paraId="3B13B141" w14:textId="77777777" w:rsidTr="00414B0A">
        <w:trPr>
          <w:trHeight w:val="300"/>
        </w:trPr>
        <w:tc>
          <w:tcPr>
            <w:tcW w:w="7008" w:type="dxa"/>
          </w:tcPr>
          <w:p w14:paraId="10030AE5" w14:textId="77777777" w:rsidR="00712F7B" w:rsidRPr="00A557BB" w:rsidRDefault="00712F7B" w:rsidP="00FA135A">
            <w:pPr>
              <w:adjustRightInd w:val="0"/>
              <w:snapToGrid w:val="0"/>
              <w:rPr>
                <w:rFonts w:eastAsia="SimSun"/>
                <w:b/>
                <w:bCs/>
                <w:color w:val="000000"/>
                <w:sz w:val="20"/>
                <w:szCs w:val="20"/>
                <w:lang w:val="fr-FR" w:eastAsia="zh-CN"/>
              </w:rPr>
            </w:pPr>
            <w:r w:rsidRPr="00A557BB">
              <w:rPr>
                <w:rFonts w:eastAsia="SimSun"/>
                <w:b/>
                <w:bCs/>
                <w:color w:val="000000"/>
                <w:sz w:val="20"/>
                <w:szCs w:val="20"/>
                <w:lang w:val="fr-FR" w:eastAsia="zh-CN"/>
              </w:rPr>
              <w:t xml:space="preserve">Sensibilisation et communication </w:t>
            </w:r>
          </w:p>
        </w:tc>
        <w:tc>
          <w:tcPr>
            <w:tcW w:w="2235" w:type="dxa"/>
          </w:tcPr>
          <w:p w14:paraId="5FC59C8D" w14:textId="77777777" w:rsidR="00712F7B" w:rsidRPr="00A557BB" w:rsidRDefault="00712F7B" w:rsidP="00FA135A">
            <w:pPr>
              <w:adjustRightInd w:val="0"/>
              <w:snapToGrid w:val="0"/>
              <w:jc w:val="center"/>
              <w:rPr>
                <w:rFonts w:eastAsia="SimSun"/>
                <w:sz w:val="20"/>
                <w:szCs w:val="20"/>
                <w:lang w:val="fr-FR"/>
              </w:rPr>
            </w:pPr>
            <w:r w:rsidRPr="00A557BB">
              <w:rPr>
                <w:rFonts w:eastAsia="SimSun"/>
                <w:sz w:val="20"/>
                <w:szCs w:val="20"/>
                <w:lang w:val="fr-FR"/>
              </w:rPr>
              <w:t>7 500</w:t>
            </w:r>
          </w:p>
        </w:tc>
      </w:tr>
      <w:tr w:rsidR="00712F7B" w:rsidRPr="00A557BB" w14:paraId="0ACE9A91" w14:textId="77777777" w:rsidTr="00414B0A">
        <w:trPr>
          <w:trHeight w:val="300"/>
        </w:trPr>
        <w:tc>
          <w:tcPr>
            <w:tcW w:w="7008" w:type="dxa"/>
          </w:tcPr>
          <w:p w14:paraId="7D83D0E5" w14:textId="77777777" w:rsidR="00712F7B" w:rsidRPr="00A557BB" w:rsidRDefault="00712F7B" w:rsidP="00FA135A">
            <w:pPr>
              <w:adjustRightInd w:val="0"/>
              <w:snapToGrid w:val="0"/>
              <w:rPr>
                <w:rFonts w:eastAsia="SimSun"/>
                <w:b/>
                <w:bCs/>
                <w:color w:val="000000"/>
                <w:sz w:val="20"/>
                <w:szCs w:val="20"/>
                <w:lang w:val="fr-FR" w:eastAsia="zh-CN"/>
              </w:rPr>
            </w:pPr>
            <w:r w:rsidRPr="00A557BB">
              <w:rPr>
                <w:rFonts w:eastAsia="SimSun"/>
                <w:sz w:val="20"/>
                <w:szCs w:val="20"/>
                <w:lang w:val="fr-FR"/>
              </w:rPr>
              <w:t>Campagne de sensibilisation</w:t>
            </w:r>
          </w:p>
        </w:tc>
        <w:tc>
          <w:tcPr>
            <w:tcW w:w="2235" w:type="dxa"/>
          </w:tcPr>
          <w:p w14:paraId="44F1C991" w14:textId="77777777" w:rsidR="00712F7B" w:rsidRPr="00A557BB" w:rsidRDefault="00712F7B" w:rsidP="00FA135A">
            <w:pPr>
              <w:adjustRightInd w:val="0"/>
              <w:snapToGrid w:val="0"/>
              <w:jc w:val="center"/>
              <w:rPr>
                <w:rFonts w:eastAsia="SimSun"/>
                <w:sz w:val="20"/>
                <w:szCs w:val="20"/>
                <w:lang w:val="fr-FR"/>
              </w:rPr>
            </w:pPr>
          </w:p>
        </w:tc>
      </w:tr>
      <w:tr w:rsidR="00712F7B" w:rsidRPr="002221F7" w14:paraId="5A1DBE04" w14:textId="77777777" w:rsidTr="00414B0A">
        <w:trPr>
          <w:trHeight w:val="300"/>
        </w:trPr>
        <w:tc>
          <w:tcPr>
            <w:tcW w:w="7008" w:type="dxa"/>
          </w:tcPr>
          <w:p w14:paraId="330C6CD1" w14:textId="77777777" w:rsidR="00712F7B" w:rsidRPr="00A557BB" w:rsidRDefault="00712F7B" w:rsidP="00FA135A">
            <w:pPr>
              <w:adjustRightInd w:val="0"/>
              <w:snapToGrid w:val="0"/>
              <w:rPr>
                <w:rFonts w:eastAsia="SimSun"/>
                <w:b/>
                <w:bCs/>
                <w:color w:val="000000"/>
                <w:sz w:val="20"/>
                <w:szCs w:val="20"/>
                <w:lang w:val="fr-FR" w:eastAsia="zh-CN"/>
              </w:rPr>
            </w:pPr>
            <w:r w:rsidRPr="00A557BB">
              <w:rPr>
                <w:rFonts w:eastAsia="SimSun"/>
                <w:sz w:val="20"/>
                <w:szCs w:val="20"/>
                <w:lang w:val="fr-FR"/>
              </w:rPr>
              <w:t>Distribution de supports (dépliants, brochures et livrets et traduction de documents de référence par exemple)</w:t>
            </w:r>
          </w:p>
        </w:tc>
        <w:tc>
          <w:tcPr>
            <w:tcW w:w="2235" w:type="dxa"/>
          </w:tcPr>
          <w:p w14:paraId="7EB753FB" w14:textId="77777777" w:rsidR="00712F7B" w:rsidRPr="00A557BB" w:rsidRDefault="00712F7B" w:rsidP="00FA135A">
            <w:pPr>
              <w:adjustRightInd w:val="0"/>
              <w:snapToGrid w:val="0"/>
              <w:jc w:val="center"/>
              <w:rPr>
                <w:rFonts w:eastAsia="SimSun"/>
                <w:sz w:val="20"/>
                <w:szCs w:val="20"/>
                <w:lang w:val="fr-FR"/>
              </w:rPr>
            </w:pPr>
          </w:p>
        </w:tc>
      </w:tr>
      <w:tr w:rsidR="00712F7B" w:rsidRPr="00A557BB" w14:paraId="1FFE9C15" w14:textId="77777777" w:rsidTr="00414B0A">
        <w:trPr>
          <w:trHeight w:val="300"/>
        </w:trPr>
        <w:tc>
          <w:tcPr>
            <w:tcW w:w="7008" w:type="dxa"/>
          </w:tcPr>
          <w:p w14:paraId="420F86C8" w14:textId="77777777" w:rsidR="00712F7B" w:rsidRPr="00A557BB" w:rsidRDefault="00712F7B" w:rsidP="00FA135A">
            <w:pPr>
              <w:adjustRightInd w:val="0"/>
              <w:snapToGrid w:val="0"/>
              <w:rPr>
                <w:rFonts w:eastAsia="SimSun"/>
                <w:b/>
                <w:bCs/>
                <w:color w:val="000000"/>
                <w:sz w:val="20"/>
                <w:szCs w:val="20"/>
                <w:lang w:val="fr-FR" w:eastAsia="zh-CN"/>
              </w:rPr>
            </w:pPr>
            <w:r w:rsidRPr="00A557BB">
              <w:rPr>
                <w:rFonts w:eastAsia="SimSun"/>
                <w:b/>
                <w:bCs/>
                <w:color w:val="000000"/>
                <w:sz w:val="20"/>
                <w:szCs w:val="20"/>
                <w:lang w:val="fr-FR" w:eastAsia="zh-CN"/>
              </w:rPr>
              <w:t>Suivi et gestion de la coordination de projet</w:t>
            </w:r>
          </w:p>
        </w:tc>
        <w:tc>
          <w:tcPr>
            <w:tcW w:w="2235" w:type="dxa"/>
          </w:tcPr>
          <w:p w14:paraId="68B26CA3" w14:textId="77777777" w:rsidR="00712F7B" w:rsidRPr="00A557BB" w:rsidRDefault="00712F7B" w:rsidP="00201C93">
            <w:pPr>
              <w:adjustRightInd w:val="0"/>
              <w:snapToGrid w:val="0"/>
              <w:jc w:val="center"/>
              <w:rPr>
                <w:rFonts w:eastAsia="SimSun"/>
                <w:sz w:val="20"/>
                <w:szCs w:val="20"/>
                <w:lang w:val="fr-FR"/>
              </w:rPr>
            </w:pPr>
            <w:r w:rsidRPr="00A557BB">
              <w:rPr>
                <w:rFonts w:eastAsia="SimSun"/>
                <w:sz w:val="20"/>
                <w:szCs w:val="20"/>
                <w:lang w:val="fr-FR"/>
              </w:rPr>
              <w:t>5 000</w:t>
            </w:r>
          </w:p>
        </w:tc>
      </w:tr>
      <w:tr w:rsidR="00712F7B" w:rsidRPr="002221F7" w14:paraId="46A35E99" w14:textId="77777777" w:rsidTr="00414B0A">
        <w:trPr>
          <w:trHeight w:val="300"/>
        </w:trPr>
        <w:tc>
          <w:tcPr>
            <w:tcW w:w="7008" w:type="dxa"/>
          </w:tcPr>
          <w:p w14:paraId="05B69691" w14:textId="77777777" w:rsidR="00712F7B" w:rsidRPr="00A557BB" w:rsidRDefault="00712F7B" w:rsidP="00FA135A">
            <w:pPr>
              <w:adjustRightInd w:val="0"/>
              <w:snapToGrid w:val="0"/>
              <w:rPr>
                <w:rFonts w:eastAsia="SimSun"/>
                <w:b/>
                <w:bCs/>
                <w:color w:val="000000"/>
                <w:sz w:val="20"/>
                <w:szCs w:val="20"/>
                <w:lang w:val="fr-FR" w:eastAsia="zh-CN"/>
              </w:rPr>
            </w:pPr>
            <w:r w:rsidRPr="00A557BB">
              <w:rPr>
                <w:rFonts w:eastAsia="SimSun"/>
                <w:bCs/>
                <w:color w:val="000000"/>
                <w:sz w:val="20"/>
                <w:szCs w:val="20"/>
                <w:lang w:val="fr-FR" w:eastAsia="zh-CN"/>
              </w:rPr>
              <w:t>Discussions de groupe sur les besoins d'élimination des HCFC et d'entretien au-delà de 2020</w:t>
            </w:r>
          </w:p>
        </w:tc>
        <w:tc>
          <w:tcPr>
            <w:tcW w:w="2235" w:type="dxa"/>
          </w:tcPr>
          <w:p w14:paraId="48BAF059" w14:textId="77777777" w:rsidR="00712F7B" w:rsidRPr="00A557BB" w:rsidRDefault="00712F7B" w:rsidP="00FA135A">
            <w:pPr>
              <w:adjustRightInd w:val="0"/>
              <w:snapToGrid w:val="0"/>
              <w:jc w:val="center"/>
              <w:rPr>
                <w:rFonts w:eastAsia="SimSun"/>
                <w:sz w:val="20"/>
                <w:szCs w:val="20"/>
                <w:lang w:val="fr-FR"/>
              </w:rPr>
            </w:pPr>
          </w:p>
        </w:tc>
      </w:tr>
      <w:tr w:rsidR="00712F7B" w:rsidRPr="00A557BB" w14:paraId="6981E833" w14:textId="77777777" w:rsidTr="00414B0A">
        <w:trPr>
          <w:trHeight w:val="300"/>
        </w:trPr>
        <w:tc>
          <w:tcPr>
            <w:tcW w:w="7008" w:type="dxa"/>
          </w:tcPr>
          <w:p w14:paraId="0470EC60" w14:textId="77777777" w:rsidR="00712F7B" w:rsidRPr="00A557BB" w:rsidRDefault="00712F7B" w:rsidP="00FA135A">
            <w:pPr>
              <w:rPr>
                <w:rFonts w:eastAsia="SimSun"/>
                <w:b/>
                <w:bCs/>
                <w:color w:val="000000"/>
                <w:sz w:val="20"/>
                <w:szCs w:val="20"/>
                <w:lang w:val="fr-FR" w:eastAsia="zh-CN"/>
              </w:rPr>
            </w:pPr>
            <w:r w:rsidRPr="00A557BB">
              <w:rPr>
                <w:rFonts w:eastAsia="SimSun"/>
                <w:b/>
                <w:bCs/>
                <w:color w:val="000000"/>
                <w:sz w:val="20"/>
                <w:szCs w:val="20"/>
                <w:lang w:val="fr-FR" w:eastAsia="zh-CN"/>
              </w:rPr>
              <w:t>Préparation du rapport d'achèvement du projet et du rapport financier final</w:t>
            </w:r>
          </w:p>
        </w:tc>
        <w:tc>
          <w:tcPr>
            <w:tcW w:w="2235" w:type="dxa"/>
          </w:tcPr>
          <w:p w14:paraId="7B28DBB7" w14:textId="77777777" w:rsidR="00712F7B" w:rsidRPr="00A557BB" w:rsidRDefault="00712F7B" w:rsidP="00FA135A">
            <w:pPr>
              <w:adjustRightInd w:val="0"/>
              <w:snapToGrid w:val="0"/>
              <w:jc w:val="center"/>
              <w:rPr>
                <w:rFonts w:eastAsia="SimSun"/>
                <w:b/>
                <w:sz w:val="20"/>
                <w:szCs w:val="20"/>
                <w:lang w:val="fr-FR"/>
              </w:rPr>
            </w:pPr>
            <w:r w:rsidRPr="00A557BB">
              <w:rPr>
                <w:rFonts w:eastAsia="SimSun"/>
                <w:b/>
                <w:sz w:val="20"/>
                <w:szCs w:val="20"/>
                <w:lang w:val="fr-FR"/>
              </w:rPr>
              <w:t>0</w:t>
            </w:r>
          </w:p>
        </w:tc>
      </w:tr>
    </w:tbl>
    <w:p w14:paraId="37B5DBF2" w14:textId="77777777" w:rsidR="00712F7B" w:rsidRPr="00A557BB" w:rsidRDefault="00712F7B" w:rsidP="00712F7B">
      <w:pPr>
        <w:rPr>
          <w:lang w:val="fr-FR"/>
        </w:rPr>
      </w:pPr>
    </w:p>
    <w:p w14:paraId="56C3B093" w14:textId="77777777" w:rsidR="00712F7B" w:rsidRPr="00A557BB" w:rsidRDefault="00712F7B" w:rsidP="00B45D48">
      <w:pPr>
        <w:keepNext/>
        <w:spacing w:after="240"/>
        <w:outlineLvl w:val="0"/>
        <w:rPr>
          <w:lang w:val="fr-FR"/>
        </w:rPr>
      </w:pPr>
      <w:r w:rsidRPr="00A557BB">
        <w:rPr>
          <w:b/>
          <w:bCs/>
          <w:lang w:val="fr-FR"/>
        </w:rPr>
        <w:t>Observations du Secrétariat</w:t>
      </w:r>
    </w:p>
    <w:p w14:paraId="2C59D331" w14:textId="77777777" w:rsidR="00712F7B" w:rsidRPr="00A557BB" w:rsidRDefault="00712F7B" w:rsidP="00B45D48">
      <w:pPr>
        <w:pStyle w:val="Heading1"/>
        <w:keepNext/>
        <w:rPr>
          <w:lang w:val="fr-FR"/>
        </w:rPr>
      </w:pPr>
      <w:r w:rsidRPr="00A557BB">
        <w:rPr>
          <w:lang w:val="fr-FR"/>
        </w:rPr>
        <w:t>Le Secrétariat s'est enquis de la consommation continue de HCFC-22 pour l'entretien des navires de pêche après 2020, notant que le gouvernement s'était engagé à réduire la consommation de HCFC de 97,5% de la consommation de référence d'ici 2020. Le PNUE a indiqué que, même si la plupart des navires de pêche existant</w:t>
      </w:r>
      <w:r w:rsidR="00205581" w:rsidRPr="00A557BB">
        <w:rPr>
          <w:lang w:val="fr-FR"/>
        </w:rPr>
        <w:t>s utilisaient encore du HCFC-22</w:t>
      </w:r>
      <w:r w:rsidRPr="00A557BB">
        <w:rPr>
          <w:lang w:val="fr-FR"/>
        </w:rPr>
        <w:t>, la demande semblait diminuer en raison de l'interdiction d'importer des équipem</w:t>
      </w:r>
      <w:r w:rsidR="00205581" w:rsidRPr="00A557BB">
        <w:rPr>
          <w:lang w:val="fr-FR"/>
        </w:rPr>
        <w:t xml:space="preserve">ents fonctionnant aux HCFC, en </w:t>
      </w:r>
      <w:r w:rsidRPr="00A557BB">
        <w:rPr>
          <w:lang w:val="fr-FR"/>
        </w:rPr>
        <w:t xml:space="preserve">vigueur depuis 2016. Le gouvernement utilisera la consommation de HCFC-22 associée aux 2,5% par an de 2021 à 2025 pour le secteur de la pêche et s'engage à ce que, d'ici 2026, la plupart des navires de pêche aient été reconvertis à des frigorigènes sans HCFC. Le gouvernement étudie de manière approfondie des solutions de remplacement à faible PRP pour faciliter l'élimination complète des HCFC. Les nouveaux bateaux et installations de pêche mis en place à partir de 2020 </w:t>
      </w:r>
      <w:r w:rsidR="00205581" w:rsidRPr="00A557BB">
        <w:rPr>
          <w:lang w:val="fr-FR"/>
        </w:rPr>
        <w:t xml:space="preserve">utiliseront des frigorigènes à </w:t>
      </w:r>
      <w:r w:rsidRPr="00A557BB">
        <w:rPr>
          <w:lang w:val="fr-FR"/>
        </w:rPr>
        <w:t>faible PRP, ce qui aidera le pays à parvenir à l'élimination totale en 2025.</w:t>
      </w:r>
    </w:p>
    <w:p w14:paraId="0D07C5D6" w14:textId="77777777" w:rsidR="00712F7B" w:rsidRPr="00A557BB" w:rsidRDefault="00712F7B" w:rsidP="00712F7B">
      <w:pPr>
        <w:widowControl w:val="0"/>
        <w:numPr>
          <w:ilvl w:val="0"/>
          <w:numId w:val="1"/>
        </w:numPr>
        <w:tabs>
          <w:tab w:val="clear" w:pos="0"/>
          <w:tab w:val="num" w:pos="710"/>
        </w:tabs>
        <w:spacing w:after="240"/>
        <w:outlineLvl w:val="0"/>
        <w:rPr>
          <w:lang w:val="fr-FR"/>
        </w:rPr>
      </w:pPr>
      <w:r w:rsidRPr="00A557BB">
        <w:rPr>
          <w:lang w:val="fr-FR"/>
        </w:rPr>
        <w:t>Le PNUD a également indiqué que le financement approuvé pour le projet de démonstration, d'un montant de 141 000 $US, avait été entièrement décaissé et que le rapport d'achèvement du projet serait soumis à la 85</w:t>
      </w:r>
      <w:r w:rsidRPr="00A557BB">
        <w:rPr>
          <w:vertAlign w:val="superscript"/>
          <w:lang w:val="fr-FR"/>
        </w:rPr>
        <w:t>e</w:t>
      </w:r>
      <w:r w:rsidRPr="00A557BB">
        <w:rPr>
          <w:lang w:val="fr-FR"/>
        </w:rPr>
        <w:t xml:space="preserve"> réunion. </w:t>
      </w:r>
    </w:p>
    <w:p w14:paraId="7E3D5DB5" w14:textId="77777777" w:rsidR="00712F7B" w:rsidRPr="00A557BB" w:rsidRDefault="00712F7B" w:rsidP="00712F7B">
      <w:pPr>
        <w:widowControl w:val="0"/>
        <w:tabs>
          <w:tab w:val="left" w:pos="2880"/>
          <w:tab w:val="left" w:pos="5760"/>
        </w:tabs>
        <w:spacing w:after="240"/>
        <w:rPr>
          <w:b/>
          <w:lang w:val="fr-FR"/>
        </w:rPr>
      </w:pPr>
      <w:r w:rsidRPr="00A557BB">
        <w:rPr>
          <w:b/>
          <w:lang w:val="fr-FR"/>
        </w:rPr>
        <w:t>Recommandation</w:t>
      </w:r>
    </w:p>
    <w:p w14:paraId="1340E716" w14:textId="77777777" w:rsidR="00712F7B" w:rsidRPr="00A557BB" w:rsidRDefault="00712F7B" w:rsidP="00712F7B">
      <w:pPr>
        <w:widowControl w:val="0"/>
        <w:numPr>
          <w:ilvl w:val="0"/>
          <w:numId w:val="1"/>
        </w:numPr>
        <w:tabs>
          <w:tab w:val="clear" w:pos="0"/>
          <w:tab w:val="num" w:pos="710"/>
        </w:tabs>
        <w:spacing w:after="240"/>
        <w:outlineLvl w:val="0"/>
        <w:rPr>
          <w:lang w:val="fr-FR"/>
        </w:rPr>
      </w:pPr>
      <w:r w:rsidRPr="00A557BB">
        <w:rPr>
          <w:lang w:val="fr-FR"/>
        </w:rPr>
        <w:t>Le Comité exécutif pourrait souhaiter :</w:t>
      </w:r>
    </w:p>
    <w:p w14:paraId="3BEDF40F" w14:textId="77777777" w:rsidR="00712F7B" w:rsidRPr="00A557BB" w:rsidRDefault="00F6520F" w:rsidP="00712F7B">
      <w:pPr>
        <w:widowControl w:val="0"/>
        <w:numPr>
          <w:ilvl w:val="1"/>
          <w:numId w:val="1"/>
        </w:numPr>
        <w:tabs>
          <w:tab w:val="clear" w:pos="0"/>
          <w:tab w:val="num" w:pos="557"/>
        </w:tabs>
        <w:spacing w:after="240"/>
        <w:ind w:left="1418" w:hanging="709"/>
        <w:outlineLvl w:val="1"/>
        <w:rPr>
          <w:lang w:val="fr-FR"/>
        </w:rPr>
      </w:pPr>
      <w:r w:rsidRPr="00A557BB">
        <w:rPr>
          <w:lang w:val="fr-FR"/>
        </w:rPr>
        <w:t xml:space="preserve">noter les rapports d'avancement sur le projet de démonstration basé sur les technologies </w:t>
      </w:r>
      <w:r w:rsidR="00712F7B" w:rsidRPr="00A557BB">
        <w:rPr>
          <w:lang w:val="fr-FR"/>
        </w:rPr>
        <w:t>de remplacement</w:t>
      </w:r>
      <w:r w:rsidRPr="00A557BB">
        <w:rPr>
          <w:lang w:val="fr-FR"/>
        </w:rPr>
        <w:t xml:space="preserve"> sans </w:t>
      </w:r>
      <w:r w:rsidR="00712F7B" w:rsidRPr="00A557BB">
        <w:rPr>
          <w:lang w:val="fr-FR"/>
        </w:rPr>
        <w:t>HCFC et</w:t>
      </w:r>
      <w:r w:rsidRPr="00A557BB">
        <w:rPr>
          <w:lang w:val="fr-FR"/>
        </w:rPr>
        <w:t xml:space="preserve"> </w:t>
      </w:r>
      <w:r w:rsidR="00712F7B" w:rsidRPr="00A557BB">
        <w:rPr>
          <w:lang w:val="fr-FR"/>
        </w:rPr>
        <w:t>à faible</w:t>
      </w:r>
      <w:r w:rsidRPr="00A557BB">
        <w:rPr>
          <w:lang w:val="fr-FR"/>
        </w:rPr>
        <w:t xml:space="preserve"> PRP en réfrigération dans le secteur de la pêche et sur la mise en œuvre de la phase I du plan de gestion de l'élimination des HCFC (PGEH) pour les Maldives</w:t>
      </w:r>
      <w:r w:rsidR="00205581" w:rsidRPr="00A557BB">
        <w:rPr>
          <w:lang w:val="fr-FR"/>
        </w:rPr>
        <w:t>, soumis</w:t>
      </w:r>
      <w:r w:rsidRPr="00A557BB">
        <w:rPr>
          <w:lang w:val="fr-FR"/>
        </w:rPr>
        <w:t xml:space="preserve"> par le PNUE et contenu</w:t>
      </w:r>
      <w:r w:rsidR="00205581" w:rsidRPr="00A557BB">
        <w:rPr>
          <w:lang w:val="fr-FR"/>
        </w:rPr>
        <w:t>s</w:t>
      </w:r>
      <w:r w:rsidRPr="00A557BB">
        <w:rPr>
          <w:lang w:val="fr-FR"/>
        </w:rPr>
        <w:t xml:space="preserve"> dans le document paru sous la cote UNEP/OzL.Pro/ExCom/84/22 ; </w:t>
      </w:r>
    </w:p>
    <w:p w14:paraId="32B8BEB7" w14:textId="69A14040" w:rsidR="00712F7B" w:rsidRPr="00A557BB" w:rsidRDefault="00712F7B" w:rsidP="00712F7B">
      <w:pPr>
        <w:pStyle w:val="Heading2"/>
        <w:numPr>
          <w:ilvl w:val="1"/>
          <w:numId w:val="1"/>
        </w:numPr>
        <w:ind w:left="1418"/>
        <w:rPr>
          <w:lang w:val="fr-FR"/>
        </w:rPr>
      </w:pPr>
      <w:r w:rsidRPr="00A557BB">
        <w:rPr>
          <w:lang w:val="fr-FR"/>
        </w:rPr>
        <w:t>demander au PNUE de continuer à soumettre un rapport annuel sur l'état d'avancement de la mise en œuvre de la phase I du PGEH pour les Maldives jusqu'à l'achèvement de la phase I au 31 décembre 2020, et de soumettre le rapport d'achèvement de projet au plus tard à la première réunion du Comité exécutif de 2021 ;</w:t>
      </w:r>
    </w:p>
    <w:p w14:paraId="74792F18" w14:textId="77777777" w:rsidR="00712F7B" w:rsidRPr="00A557BB" w:rsidRDefault="00712F7B" w:rsidP="00712F7B">
      <w:pPr>
        <w:pStyle w:val="Heading2"/>
        <w:numPr>
          <w:ilvl w:val="1"/>
          <w:numId w:val="1"/>
        </w:numPr>
        <w:rPr>
          <w:lang w:val="fr-FR"/>
        </w:rPr>
      </w:pPr>
      <w:r w:rsidRPr="00A557BB">
        <w:rPr>
          <w:lang w:val="fr-FR"/>
        </w:rPr>
        <w:t>demander en outr</w:t>
      </w:r>
      <w:r w:rsidR="00205581" w:rsidRPr="00A557BB">
        <w:rPr>
          <w:lang w:val="fr-FR"/>
        </w:rPr>
        <w:t>e au PNUD de soumettre à la 85</w:t>
      </w:r>
      <w:r w:rsidR="00205581" w:rsidRPr="00A557BB">
        <w:rPr>
          <w:vertAlign w:val="superscript"/>
          <w:lang w:val="fr-FR"/>
        </w:rPr>
        <w:t>e</w:t>
      </w:r>
      <w:r w:rsidR="00205581" w:rsidRPr="00A557BB">
        <w:rPr>
          <w:lang w:val="fr-FR"/>
        </w:rPr>
        <w:t xml:space="preserve"> réunion </w:t>
      </w:r>
      <w:r w:rsidRPr="00A557BB">
        <w:rPr>
          <w:lang w:val="fr-FR"/>
        </w:rPr>
        <w:t>son rapport d'achèvement du projet de démonstration basé sur les technologies de remplacement sans HCFC et à faible PRP en réfrigération dans le secteur de la pêche aux Maldives.</w:t>
      </w:r>
    </w:p>
    <w:p w14:paraId="6810A9E5" w14:textId="77777777" w:rsidR="00205D0C" w:rsidRPr="00A557BB" w:rsidRDefault="00205D0C" w:rsidP="00D11B6F">
      <w:pPr>
        <w:keepNext/>
        <w:keepLines/>
        <w:rPr>
          <w:lang w:val="fr-FR"/>
        </w:rPr>
      </w:pPr>
      <w:r w:rsidRPr="00A557BB">
        <w:rPr>
          <w:u w:val="single"/>
          <w:lang w:val="fr-FR"/>
        </w:rPr>
        <w:lastRenderedPageBreak/>
        <w:t>Mexique: plan de gestion de l’élimination des HCFC (phase I - rapport périodique)</w:t>
      </w:r>
      <w:r w:rsidRPr="00A557BB">
        <w:rPr>
          <w:lang w:val="fr-FR"/>
        </w:rPr>
        <w:t xml:space="preserve"> (ONUDI et PNUD)</w:t>
      </w:r>
    </w:p>
    <w:p w14:paraId="6252B1E5" w14:textId="77777777" w:rsidR="00205D0C" w:rsidRPr="00A557BB" w:rsidRDefault="00205D0C" w:rsidP="00D11B6F">
      <w:pPr>
        <w:keepNext/>
        <w:keepLines/>
        <w:rPr>
          <w:lang w:val="fr-FR"/>
        </w:rPr>
      </w:pPr>
    </w:p>
    <w:p w14:paraId="197F9A20" w14:textId="77777777" w:rsidR="00205D0C" w:rsidRPr="00A557BB" w:rsidRDefault="00D61D56" w:rsidP="00D11B6F">
      <w:pPr>
        <w:keepNext/>
        <w:keepLines/>
        <w:rPr>
          <w:b/>
          <w:lang w:val="fr-FR"/>
        </w:rPr>
      </w:pPr>
      <w:r w:rsidRPr="00A557BB">
        <w:rPr>
          <w:b/>
          <w:lang w:val="fr-FR"/>
        </w:rPr>
        <w:t>Historique</w:t>
      </w:r>
    </w:p>
    <w:p w14:paraId="4F4881BC" w14:textId="77777777" w:rsidR="00205D0C" w:rsidRPr="00A557BB" w:rsidRDefault="00205D0C" w:rsidP="00D11B6F">
      <w:pPr>
        <w:keepNext/>
        <w:keepLines/>
        <w:rPr>
          <w:lang w:val="fr-FR"/>
        </w:rPr>
      </w:pPr>
    </w:p>
    <w:p w14:paraId="2BA5E769" w14:textId="3B4E47C2" w:rsidR="00205D0C" w:rsidRPr="00A557BB" w:rsidRDefault="00205D0C" w:rsidP="00D11B6F">
      <w:pPr>
        <w:pStyle w:val="Heading1"/>
        <w:keepNext/>
        <w:keepLines/>
        <w:rPr>
          <w:lang w:val="fr-FR"/>
        </w:rPr>
      </w:pPr>
      <w:r w:rsidRPr="00A557BB">
        <w:rPr>
          <w:lang w:val="fr-FR"/>
        </w:rPr>
        <w:t>Au nom du gouve</w:t>
      </w:r>
      <w:r w:rsidR="0077500D" w:rsidRPr="00A557BB">
        <w:rPr>
          <w:lang w:val="fr-FR"/>
        </w:rPr>
        <w:t>rnement du Mexique, l'ONUDI, agissant en sa qualité d’</w:t>
      </w:r>
      <w:r w:rsidRPr="00A557BB">
        <w:rPr>
          <w:lang w:val="fr-FR"/>
        </w:rPr>
        <w:t xml:space="preserve">agence d'exécution principale, a soumis </w:t>
      </w:r>
      <w:r w:rsidR="0077500D" w:rsidRPr="00A557BB">
        <w:rPr>
          <w:lang w:val="fr-FR"/>
        </w:rPr>
        <w:t>son</w:t>
      </w:r>
      <w:r w:rsidRPr="00A557BB">
        <w:rPr>
          <w:lang w:val="fr-FR"/>
        </w:rPr>
        <w:t xml:space="preserve"> rapport annuel sur l'état d'avancement de la mise en œuvre du programme de travail associé à la cinquiè</w:t>
      </w:r>
      <w:r w:rsidR="0077500D" w:rsidRPr="00A557BB">
        <w:rPr>
          <w:lang w:val="fr-FR"/>
        </w:rPr>
        <w:t>me et dernière tranche du PGEH,</w:t>
      </w:r>
      <w:r w:rsidRPr="00A557BB">
        <w:rPr>
          <w:vertAlign w:val="superscript"/>
          <w:lang w:val="fr-FR"/>
        </w:rPr>
        <w:footnoteReference w:id="21"/>
      </w:r>
      <w:r w:rsidRPr="00A557BB">
        <w:rPr>
          <w:lang w:val="fr-FR"/>
        </w:rPr>
        <w:t xml:space="preserve"> conformément à la décision 75/29 a).</w:t>
      </w:r>
      <w:r w:rsidRPr="00A557BB">
        <w:rPr>
          <w:vertAlign w:val="superscript"/>
          <w:lang w:val="fr-FR"/>
        </w:rPr>
        <w:footnoteReference w:id="22"/>
      </w:r>
    </w:p>
    <w:p w14:paraId="16AB6005" w14:textId="77777777" w:rsidR="00205D0C" w:rsidRPr="00A557BB" w:rsidRDefault="00205D0C" w:rsidP="00205D0C">
      <w:pPr>
        <w:pStyle w:val="StyleHeader4Para4Left0Firstline0"/>
        <w:numPr>
          <w:ilvl w:val="0"/>
          <w:numId w:val="0"/>
        </w:numPr>
        <w:rPr>
          <w:i/>
          <w:sz w:val="22"/>
          <w:lang w:val="fr-FR"/>
        </w:rPr>
      </w:pPr>
      <w:r w:rsidRPr="00A557BB">
        <w:rPr>
          <w:i/>
          <w:sz w:val="22"/>
          <w:lang w:val="fr-FR"/>
        </w:rPr>
        <w:t>Consommation de HCFC</w:t>
      </w:r>
    </w:p>
    <w:p w14:paraId="478F4E1F" w14:textId="05A81B23" w:rsidR="00205D0C" w:rsidRPr="00A557BB" w:rsidRDefault="00205D0C" w:rsidP="00205D0C">
      <w:pPr>
        <w:pStyle w:val="Heading1"/>
        <w:rPr>
          <w:lang w:val="fr-FR"/>
        </w:rPr>
      </w:pPr>
      <w:r w:rsidRPr="00A557BB">
        <w:rPr>
          <w:lang w:val="fr-FR"/>
        </w:rPr>
        <w:t>Le gouvernement du Mexique a déclaré une consommation de HCFC de 321,07 tonnes PAO en 2018, qui est</w:t>
      </w:r>
      <w:r w:rsidR="0077500D" w:rsidRPr="00A557BB">
        <w:rPr>
          <w:lang w:val="fr-FR"/>
        </w:rPr>
        <w:t xml:space="preserve"> inférieure de</w:t>
      </w:r>
      <w:r w:rsidRPr="00A557BB">
        <w:rPr>
          <w:lang w:val="fr-FR"/>
        </w:rPr>
        <w:t xml:space="preserve"> 68 % à la consommation de 1 033,9 tonnes PAO figurant dans son Accord avec le Comité exécutif pour la même année, et inférieure </w:t>
      </w:r>
      <w:r w:rsidR="0077500D" w:rsidRPr="00A557BB">
        <w:rPr>
          <w:lang w:val="fr-FR"/>
        </w:rPr>
        <w:t xml:space="preserve">de 72 % </w:t>
      </w:r>
      <w:r w:rsidRPr="00A557BB">
        <w:rPr>
          <w:lang w:val="fr-FR"/>
        </w:rPr>
        <w:t xml:space="preserve">à la consommation de référence de HCFC fixée à 1 148,8 tonnes PAO. Le Gouvernement a également communiqué les données de consommation sectorielles figurant dans le rapport sur la mise en œuvre du programme de pays pour 2018, lesquelles concordent avec les données transmises au titre de l’article 7 du Protocole. </w:t>
      </w:r>
    </w:p>
    <w:p w14:paraId="5FB4DED7" w14:textId="77777777" w:rsidR="00205D0C" w:rsidRPr="00A557BB" w:rsidRDefault="00205D0C" w:rsidP="00205D0C">
      <w:pPr>
        <w:pStyle w:val="Heading1"/>
        <w:rPr>
          <w:i/>
          <w:lang w:val="fr-FR"/>
        </w:rPr>
      </w:pPr>
      <w:r w:rsidRPr="00A557BB">
        <w:rPr>
          <w:lang w:val="fr-FR"/>
        </w:rPr>
        <w:t>La tendance à la baisse de la consommation de HCFC est attribuée aux activités d'élimination dans les secteurs de la mousse de PU et de l'entretien de la réfrigération, à la hausse des prix des HCFC et à la disponibilité de solutions de remplacement abordables, à la réduction progressive des quotas d'importation de HCFC, à la réduction de la demande en climatisation en 2018 en raison de températures ambiantes basses et au passage à des climatiseurs sans HCFC, conformément aux normes en vigueur. Le gouvernement estime que, si aucun effort supplémentaire n'est fait dans les secteurs de la réfrigération et de la production, la consommation de HCFC-22 restera au même niveau pour les prochaines années, jusqu'à ce que l'équipement installé atteigne sa fin de vie.</w:t>
      </w:r>
    </w:p>
    <w:p w14:paraId="38D5C74E" w14:textId="77777777" w:rsidR="00205D0C" w:rsidRPr="00A557BB" w:rsidRDefault="00205D0C" w:rsidP="00205D0C">
      <w:pPr>
        <w:pStyle w:val="StyleHeader4Para4Left0Firstline0"/>
        <w:numPr>
          <w:ilvl w:val="0"/>
          <w:numId w:val="0"/>
        </w:numPr>
        <w:rPr>
          <w:i/>
          <w:sz w:val="22"/>
          <w:lang w:val="fr-FR"/>
        </w:rPr>
      </w:pPr>
      <w:r w:rsidRPr="00A557BB">
        <w:rPr>
          <w:i/>
          <w:sz w:val="22"/>
          <w:lang w:val="fr-FR"/>
        </w:rPr>
        <w:t>Activités dans le secteur de la fabrication des aérosols</w:t>
      </w:r>
    </w:p>
    <w:p w14:paraId="7C4BD612" w14:textId="77777777" w:rsidR="00205D0C" w:rsidRPr="00A557BB" w:rsidRDefault="00205D0C" w:rsidP="00205D0C">
      <w:pPr>
        <w:pStyle w:val="Heading1"/>
        <w:rPr>
          <w:lang w:val="fr-FR"/>
        </w:rPr>
      </w:pPr>
      <w:r w:rsidRPr="00A557BB">
        <w:rPr>
          <w:lang w:val="fr-FR"/>
        </w:rPr>
        <w:t>Projet Silimex (11,0 tonnes PAO de HCFC-141b) : Projet achevé en décembre 2014.</w:t>
      </w:r>
    </w:p>
    <w:p w14:paraId="04606F79" w14:textId="77777777" w:rsidR="00205D0C" w:rsidRPr="00A557BB" w:rsidRDefault="00205D0C" w:rsidP="00205D0C">
      <w:pPr>
        <w:pStyle w:val="StyleHeader4Para4Left0Firstline0"/>
        <w:numPr>
          <w:ilvl w:val="0"/>
          <w:numId w:val="0"/>
        </w:numPr>
        <w:rPr>
          <w:i/>
          <w:sz w:val="22"/>
          <w:lang w:val="fr-FR"/>
        </w:rPr>
      </w:pPr>
      <w:r w:rsidRPr="00A557BB">
        <w:rPr>
          <w:i/>
          <w:sz w:val="22"/>
          <w:lang w:val="fr-FR"/>
        </w:rPr>
        <w:t>Activités dans le secteur de la fabrication de la mousse PU</w:t>
      </w:r>
    </w:p>
    <w:p w14:paraId="02A11D0C" w14:textId="4DC54C95" w:rsidR="00205D0C" w:rsidRPr="00A557BB" w:rsidRDefault="00205D0C" w:rsidP="00205D0C">
      <w:pPr>
        <w:pStyle w:val="Heading1"/>
        <w:rPr>
          <w:lang w:val="fr-FR"/>
        </w:rPr>
      </w:pPr>
      <w:r w:rsidRPr="00A557BB">
        <w:rPr>
          <w:lang w:val="fr-FR"/>
        </w:rPr>
        <w:t>Réfrigération domestique</w:t>
      </w:r>
      <w:r w:rsidR="00254E14" w:rsidRPr="00A557BB">
        <w:rPr>
          <w:lang w:val="fr-FR"/>
        </w:rPr>
        <w:t xml:space="preserve"> (Mabe, 55,9 tonnes PAO de HCFC :</w:t>
      </w:r>
      <w:r w:rsidRPr="00A557BB">
        <w:rPr>
          <w:lang w:val="fr-FR"/>
        </w:rPr>
        <w:t xml:space="preserve"> la reconversion à des agents de gonflage à base d'HC est terminée.</w:t>
      </w:r>
    </w:p>
    <w:p w14:paraId="79E40FA6" w14:textId="62785F02" w:rsidR="00205D0C" w:rsidRPr="00A557BB" w:rsidRDefault="00205D0C" w:rsidP="00205D0C">
      <w:pPr>
        <w:pStyle w:val="Heading1"/>
        <w:rPr>
          <w:lang w:val="fr-FR"/>
        </w:rPr>
      </w:pPr>
      <w:r w:rsidRPr="00A557BB">
        <w:rPr>
          <w:lang w:val="fr-FR"/>
        </w:rPr>
        <w:t>Réfrigération commerciale (Fersa (7,3 tonnes PAO de HCFC-141b), Frigopanel (6,4 tonnes PAO), Metalfrio (9,2 tonnes PAO))</w:t>
      </w:r>
      <w:r w:rsidR="00254E14" w:rsidRPr="00A557BB">
        <w:rPr>
          <w:lang w:val="fr-FR"/>
        </w:rPr>
        <w:t> :</w:t>
      </w:r>
      <w:r w:rsidRPr="00A557BB">
        <w:rPr>
          <w:lang w:val="fr-FR"/>
        </w:rPr>
        <w:t xml:space="preserve"> La </w:t>
      </w:r>
      <w:r w:rsidR="002F5396" w:rsidRPr="00A557BB">
        <w:rPr>
          <w:lang w:val="fr-FR"/>
        </w:rPr>
        <w:t>reconversion</w:t>
      </w:r>
      <w:r w:rsidRPr="00A557BB">
        <w:rPr>
          <w:lang w:val="fr-FR"/>
        </w:rPr>
        <w:t xml:space="preserve"> à la technologie à base d'HC est terminée.</w:t>
      </w:r>
    </w:p>
    <w:p w14:paraId="3D395FA6" w14:textId="27D975A6" w:rsidR="00205D0C" w:rsidRPr="00A557BB" w:rsidRDefault="00205D0C" w:rsidP="00205D0C">
      <w:pPr>
        <w:pStyle w:val="Heading1"/>
        <w:rPr>
          <w:i/>
          <w:lang w:val="fr-FR"/>
        </w:rPr>
      </w:pPr>
      <w:r w:rsidRPr="00A557BB">
        <w:rPr>
          <w:lang w:val="fr-FR"/>
        </w:rPr>
        <w:t xml:space="preserve">Projet lié aux entreprises de formulation : </w:t>
      </w:r>
      <w:r w:rsidR="00254E14" w:rsidRPr="00A557BB">
        <w:rPr>
          <w:lang w:val="fr-FR"/>
        </w:rPr>
        <w:t>n</w:t>
      </w:r>
      <w:r w:rsidRPr="00A557BB">
        <w:rPr>
          <w:lang w:val="fr-FR"/>
        </w:rPr>
        <w:t>euf entreprises de formulation et 285 utilisateurs de mousse d</w:t>
      </w:r>
      <w:r w:rsidR="00254E14" w:rsidRPr="00A557BB">
        <w:rPr>
          <w:lang w:val="fr-FR"/>
        </w:rPr>
        <w:t>e PU en aval ont été reconverti</w:t>
      </w:r>
      <w:r w:rsidRPr="00A557BB">
        <w:rPr>
          <w:lang w:val="fr-FR"/>
        </w:rPr>
        <w:t>s à plusieurs solutions de remplacement à faible PRP (HC pures et prémélangées, formiate de méthyle, méthylal, eau et HFO).</w:t>
      </w:r>
    </w:p>
    <w:p w14:paraId="5D1735F3" w14:textId="77777777" w:rsidR="00205D0C" w:rsidRPr="00A557BB" w:rsidRDefault="00205D0C" w:rsidP="00205D0C">
      <w:pPr>
        <w:pStyle w:val="Heading1"/>
        <w:numPr>
          <w:ilvl w:val="0"/>
          <w:numId w:val="0"/>
        </w:numPr>
        <w:rPr>
          <w:i/>
          <w:lang w:val="fr-FR"/>
        </w:rPr>
      </w:pPr>
      <w:r w:rsidRPr="00A557BB">
        <w:rPr>
          <w:i/>
          <w:lang w:val="fr-FR"/>
        </w:rPr>
        <w:t>Activités dans le secteur de la mousse de polystyrène extrudée (XPS)</w:t>
      </w:r>
    </w:p>
    <w:p w14:paraId="5E7D9287" w14:textId="178A9B74" w:rsidR="00205D0C" w:rsidRPr="00A557BB" w:rsidRDefault="00205D0C" w:rsidP="00205D0C">
      <w:pPr>
        <w:pStyle w:val="Heading1"/>
        <w:rPr>
          <w:i/>
          <w:u w:val="single"/>
          <w:lang w:val="fr-FR"/>
        </w:rPr>
      </w:pPr>
      <w:r w:rsidRPr="00A557BB">
        <w:rPr>
          <w:lang w:val="fr-FR"/>
        </w:rPr>
        <w:t>À la</w:t>
      </w:r>
      <w:r w:rsidR="0077500D" w:rsidRPr="00A557BB">
        <w:rPr>
          <w:lang w:val="fr-FR"/>
        </w:rPr>
        <w:t xml:space="preserve"> 79</w:t>
      </w:r>
      <w:r w:rsidR="0077500D" w:rsidRPr="00A557BB">
        <w:rPr>
          <w:vertAlign w:val="superscript"/>
          <w:lang w:val="fr-FR"/>
        </w:rPr>
        <w:t>e</w:t>
      </w:r>
      <w:r w:rsidR="0077500D" w:rsidRPr="00A557BB">
        <w:rPr>
          <w:lang w:val="fr-FR"/>
        </w:rPr>
        <w:t xml:space="preserve"> </w:t>
      </w:r>
      <w:r w:rsidRPr="00A557BB">
        <w:rPr>
          <w:lang w:val="fr-FR"/>
        </w:rPr>
        <w:t>réunion, le Comité exécutif a approuvé la réaffectation de 1 293 558 $US économisés dans le cadre de la mise en œuvre du plan du secteur de la mousse PU, en vue de reconvertir deux entreprises admissibles du secteur de la mousse XPS (Plasticos Espumados et Termofoam Valladolid) et d’éliminer complètement l’ut</w:t>
      </w:r>
      <w:r w:rsidR="00254E14" w:rsidRPr="00A557BB">
        <w:rPr>
          <w:lang w:val="fr-FR"/>
        </w:rPr>
        <w:t xml:space="preserve">ilisation du HCFC-142b dans le </w:t>
      </w:r>
      <w:r w:rsidRPr="00A557BB">
        <w:rPr>
          <w:lang w:val="fr-FR"/>
        </w:rPr>
        <w:t xml:space="preserve">pays. Termofoam effectue actuellement des </w:t>
      </w:r>
      <w:r w:rsidRPr="00A557BB">
        <w:rPr>
          <w:lang w:val="fr-FR"/>
        </w:rPr>
        <w:lastRenderedPageBreak/>
        <w:t xml:space="preserve">essais dans l'usine reconvertie et finalisera la </w:t>
      </w:r>
      <w:r w:rsidR="002F5396" w:rsidRPr="00A557BB">
        <w:rPr>
          <w:lang w:val="fr-FR"/>
        </w:rPr>
        <w:t>reconversion</w:t>
      </w:r>
      <w:r w:rsidRPr="00A557BB">
        <w:rPr>
          <w:lang w:val="fr-FR"/>
        </w:rPr>
        <w:t xml:space="preserve"> </w:t>
      </w:r>
      <w:r w:rsidR="00254E14" w:rsidRPr="00A557BB">
        <w:rPr>
          <w:lang w:val="fr-FR"/>
        </w:rPr>
        <w:t>en HFO-1234ze en décembre 2019.</w:t>
      </w:r>
      <w:r w:rsidRPr="00A557BB">
        <w:rPr>
          <w:lang w:val="fr-FR"/>
        </w:rPr>
        <w:t xml:space="preserve"> Plasticos Espumados a décidé de ne pas participer au PGEH et a plutôt utilisé des mélanges à base de HFC.</w:t>
      </w:r>
    </w:p>
    <w:p w14:paraId="126B2A6D" w14:textId="77777777" w:rsidR="00205D0C" w:rsidRPr="00A557BB" w:rsidRDefault="00205D0C" w:rsidP="00205D0C">
      <w:pPr>
        <w:pStyle w:val="Heading1"/>
        <w:numPr>
          <w:ilvl w:val="0"/>
          <w:numId w:val="0"/>
        </w:numPr>
        <w:rPr>
          <w:i/>
          <w:lang w:val="fr-FR"/>
        </w:rPr>
      </w:pPr>
      <w:r w:rsidRPr="00A557BB">
        <w:rPr>
          <w:i/>
          <w:lang w:val="fr-FR"/>
        </w:rPr>
        <w:t>Activités dans le secteur de l’entretien de la réfrigération</w:t>
      </w:r>
    </w:p>
    <w:p w14:paraId="344741DC" w14:textId="6227464B" w:rsidR="00205D0C" w:rsidRPr="00A557BB" w:rsidRDefault="00205D0C" w:rsidP="00205D0C">
      <w:pPr>
        <w:pStyle w:val="Heading1"/>
        <w:rPr>
          <w:lang w:val="fr-FR"/>
        </w:rPr>
      </w:pPr>
      <w:r w:rsidRPr="00A557BB">
        <w:rPr>
          <w:bCs/>
          <w:lang w:val="fr-FR"/>
        </w:rPr>
        <w:t>La mise en œuvre des activités dans le secteur de l'entretien de l'équipement de réfrigération sera finalisée en décembre 1919 avec la formation des 145 derniers techniciens. Parmi les résultats ob</w:t>
      </w:r>
      <w:r w:rsidR="00254E14" w:rsidRPr="00A557BB">
        <w:rPr>
          <w:bCs/>
          <w:lang w:val="fr-FR"/>
        </w:rPr>
        <w:t>tenus jusqu'ici, on peut citer</w:t>
      </w:r>
      <w:r w:rsidRPr="00A557BB">
        <w:rPr>
          <w:bCs/>
          <w:lang w:val="fr-FR"/>
        </w:rPr>
        <w:t xml:space="preserve"> la formation aux bonnes pratiques en réfrigération de 38 formateurs et de 3 500 technicien</w:t>
      </w:r>
      <w:r w:rsidR="00254E14" w:rsidRPr="00A557BB">
        <w:rPr>
          <w:bCs/>
          <w:lang w:val="fr-FR"/>
        </w:rPr>
        <w:t>s dans 11 centres de formation,</w:t>
      </w:r>
      <w:r w:rsidRPr="00A557BB">
        <w:rPr>
          <w:bCs/>
          <w:lang w:val="fr-FR"/>
        </w:rPr>
        <w:t xml:space="preserve"> la formation de 82 agents des douanes et la distribution d'identifiants de frigorigènes </w:t>
      </w:r>
      <w:r w:rsidR="00254E14" w:rsidRPr="00A557BB">
        <w:rPr>
          <w:bCs/>
          <w:lang w:val="fr-FR"/>
        </w:rPr>
        <w:t>à 12 points d'entrée douaniers,</w:t>
      </w:r>
      <w:r w:rsidRPr="00A557BB">
        <w:rPr>
          <w:bCs/>
          <w:lang w:val="fr-FR"/>
        </w:rPr>
        <w:t xml:space="preserve"> l'élaboration et la distribution à 4 000 exemplaires d’un manuel de formation pour le</w:t>
      </w:r>
      <w:r w:rsidR="00254E14" w:rsidRPr="00A557BB">
        <w:rPr>
          <w:bCs/>
          <w:lang w:val="fr-FR"/>
        </w:rPr>
        <w:t>s techniciens en réfrigération,</w:t>
      </w:r>
      <w:r w:rsidRPr="00A557BB">
        <w:rPr>
          <w:bCs/>
          <w:lang w:val="fr-FR"/>
        </w:rPr>
        <w:t xml:space="preserve"> la distribution de près de 300 k</w:t>
      </w:r>
      <w:r w:rsidR="00254E14" w:rsidRPr="00A557BB">
        <w:rPr>
          <w:bCs/>
          <w:lang w:val="fr-FR"/>
        </w:rPr>
        <w:t>its d'entretien aux techniciens et</w:t>
      </w:r>
      <w:r w:rsidRPr="00A557BB">
        <w:rPr>
          <w:bCs/>
          <w:lang w:val="fr-FR"/>
        </w:rPr>
        <w:t xml:space="preserve"> l'élaboration ou la mise à jour de normes portant </w:t>
      </w:r>
      <w:r w:rsidRPr="00A557BB">
        <w:rPr>
          <w:color w:val="000000"/>
          <w:lang w:val="fr-FR"/>
        </w:rPr>
        <w:t>sur l'efficacité énergétique des systèmes de climatisation pour fenêtres (NOM-021-ENER / SCFI EE), de climatiseurs inverseurs (NOM-026) et des équipements de climatisation (023-ENER-2010</w:t>
      </w:r>
      <w:r w:rsidRPr="00A557BB">
        <w:rPr>
          <w:bCs/>
          <w:lang w:val="fr-FR"/>
        </w:rPr>
        <w:t>).</w:t>
      </w:r>
    </w:p>
    <w:p w14:paraId="2CB6597C" w14:textId="77777777" w:rsidR="00205D0C" w:rsidRPr="00A557BB" w:rsidRDefault="00205D0C" w:rsidP="00205D0C">
      <w:pPr>
        <w:pStyle w:val="StyleHeader4Para4Left0Firstline0"/>
        <w:numPr>
          <w:ilvl w:val="0"/>
          <w:numId w:val="0"/>
        </w:numPr>
        <w:rPr>
          <w:i/>
          <w:sz w:val="22"/>
          <w:lang w:val="fr-FR"/>
        </w:rPr>
      </w:pPr>
      <w:r w:rsidRPr="00A557BB">
        <w:rPr>
          <w:i/>
          <w:sz w:val="22"/>
          <w:lang w:val="fr-FR"/>
        </w:rPr>
        <w:t>Niveau de décaissement</w:t>
      </w:r>
    </w:p>
    <w:p w14:paraId="6A93A53D" w14:textId="77777777" w:rsidR="00205D0C" w:rsidRPr="00A557BB" w:rsidRDefault="00205D0C" w:rsidP="00205D0C">
      <w:pPr>
        <w:pStyle w:val="Heading1"/>
        <w:rPr>
          <w:lang w:val="fr-FR"/>
        </w:rPr>
      </w:pPr>
      <w:r w:rsidRPr="00A557BB">
        <w:rPr>
          <w:lang w:val="fr-FR"/>
        </w:rPr>
        <w:t>En septembre 2019, sur le montant</w:t>
      </w:r>
      <w:r w:rsidR="00614272" w:rsidRPr="00A557BB">
        <w:rPr>
          <w:lang w:val="fr-FR"/>
        </w:rPr>
        <w:t xml:space="preserve"> approuvé de 18 066 211 $US, 17 077 </w:t>
      </w:r>
      <w:r w:rsidRPr="00A557BB">
        <w:rPr>
          <w:lang w:val="fr-FR"/>
        </w:rPr>
        <w:t>105 $US (</w:t>
      </w:r>
      <w:r w:rsidR="00614272" w:rsidRPr="00A557BB">
        <w:rPr>
          <w:lang w:val="fr-FR"/>
        </w:rPr>
        <w:t xml:space="preserve">95 %) avaient été décaissés (12 666 604 $US pour le PNUD, et 4 410 </w:t>
      </w:r>
      <w:r w:rsidRPr="00A557BB">
        <w:rPr>
          <w:lang w:val="fr-FR"/>
        </w:rPr>
        <w:t>501 $US pour l’ONUDI). Le solde de 989 106 $US sera retourné à la 83</w:t>
      </w:r>
      <w:r w:rsidRPr="00A557BB">
        <w:rPr>
          <w:vertAlign w:val="superscript"/>
          <w:lang w:val="fr-FR"/>
        </w:rPr>
        <w:t>e</w:t>
      </w:r>
      <w:r w:rsidRPr="00A557BB">
        <w:rPr>
          <w:lang w:val="fr-FR"/>
        </w:rPr>
        <w:t xml:space="preserve"> réunion, dès la clôture financière de la phase I (Tableau 8).</w:t>
      </w:r>
    </w:p>
    <w:p w14:paraId="3D370208" w14:textId="77777777" w:rsidR="00205D0C" w:rsidRPr="00A557BB" w:rsidRDefault="00EF54D3" w:rsidP="00205D0C">
      <w:pPr>
        <w:pStyle w:val="StyleHeader4Para4Left0Firstline0"/>
        <w:numPr>
          <w:ilvl w:val="0"/>
          <w:numId w:val="0"/>
        </w:numPr>
        <w:spacing w:after="0"/>
        <w:rPr>
          <w:b/>
          <w:sz w:val="22"/>
          <w:lang w:val="fr-FR"/>
        </w:rPr>
      </w:pPr>
      <w:r w:rsidRPr="00A557BB">
        <w:rPr>
          <w:b/>
          <w:sz w:val="22"/>
          <w:lang w:val="fr-FR"/>
        </w:rPr>
        <w:t>Tableau 8:</w:t>
      </w:r>
      <w:r w:rsidR="00205D0C" w:rsidRPr="00A557BB">
        <w:rPr>
          <w:b/>
          <w:sz w:val="22"/>
          <w:lang w:val="fr-FR"/>
        </w:rPr>
        <w:t xml:space="preserve"> Rapport financier de la phase I du PGEH pour le Mexique, septembre 2019 ($US)</w:t>
      </w:r>
    </w:p>
    <w:tbl>
      <w:tblPr>
        <w:tblW w:w="4985" w:type="pct"/>
        <w:tblInd w:w="108" w:type="dxa"/>
        <w:tblLayout w:type="fixed"/>
        <w:tblLook w:val="04A0" w:firstRow="1" w:lastRow="0" w:firstColumn="1" w:lastColumn="0" w:noHBand="0" w:noVBand="1"/>
      </w:tblPr>
      <w:tblGrid>
        <w:gridCol w:w="3470"/>
        <w:gridCol w:w="915"/>
        <w:gridCol w:w="2035"/>
        <w:gridCol w:w="1306"/>
        <w:gridCol w:w="731"/>
        <w:gridCol w:w="1090"/>
      </w:tblGrid>
      <w:tr w:rsidR="00205D0C" w:rsidRPr="00A557BB" w14:paraId="41448920" w14:textId="77777777" w:rsidTr="000E0FB5">
        <w:trPr>
          <w:trHeight w:val="58"/>
          <w:tblHeader/>
        </w:trPr>
        <w:tc>
          <w:tcPr>
            <w:tcW w:w="18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5C3D4" w14:textId="77777777" w:rsidR="00205D0C" w:rsidRPr="00A557BB" w:rsidRDefault="00205D0C" w:rsidP="005A3C39">
            <w:pPr>
              <w:widowControl w:val="0"/>
              <w:jc w:val="center"/>
              <w:rPr>
                <w:b/>
                <w:bCs/>
                <w:color w:val="000000"/>
                <w:sz w:val="20"/>
                <w:szCs w:val="20"/>
                <w:lang w:val="fr-FR"/>
              </w:rPr>
            </w:pPr>
            <w:r w:rsidRPr="00A557BB">
              <w:rPr>
                <w:b/>
                <w:bCs/>
                <w:color w:val="000000"/>
                <w:sz w:val="20"/>
                <w:szCs w:val="20"/>
                <w:lang w:val="fr-FR"/>
              </w:rPr>
              <w:t>Volet</w:t>
            </w:r>
          </w:p>
        </w:tc>
        <w:tc>
          <w:tcPr>
            <w:tcW w:w="47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6441B" w14:textId="77777777" w:rsidR="00205D0C" w:rsidRPr="00A557BB" w:rsidRDefault="00205D0C" w:rsidP="005A3C39">
            <w:pPr>
              <w:widowControl w:val="0"/>
              <w:jc w:val="center"/>
              <w:rPr>
                <w:b/>
                <w:bCs/>
                <w:color w:val="000000"/>
                <w:sz w:val="20"/>
                <w:szCs w:val="20"/>
                <w:lang w:val="fr-FR"/>
              </w:rPr>
            </w:pPr>
            <w:r w:rsidRPr="00A557BB">
              <w:rPr>
                <w:b/>
                <w:bCs/>
                <w:color w:val="000000"/>
                <w:sz w:val="20"/>
                <w:szCs w:val="20"/>
                <w:lang w:val="fr-FR"/>
              </w:rPr>
              <w:t>Agence</w:t>
            </w:r>
          </w:p>
        </w:tc>
        <w:tc>
          <w:tcPr>
            <w:tcW w:w="106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F7A1B" w14:textId="77777777" w:rsidR="00205D0C" w:rsidRPr="00A557BB" w:rsidRDefault="00205D0C" w:rsidP="005A3C39">
            <w:pPr>
              <w:widowControl w:val="0"/>
              <w:jc w:val="center"/>
              <w:rPr>
                <w:b/>
                <w:bCs/>
                <w:color w:val="000000"/>
                <w:sz w:val="20"/>
                <w:szCs w:val="20"/>
                <w:lang w:val="fr-FR"/>
              </w:rPr>
            </w:pPr>
            <w:r w:rsidRPr="00A557BB">
              <w:rPr>
                <w:b/>
                <w:bCs/>
                <w:color w:val="000000"/>
                <w:sz w:val="20"/>
                <w:szCs w:val="20"/>
                <w:lang w:val="fr-FR"/>
              </w:rPr>
              <w:t xml:space="preserve">Financement approuvé </w:t>
            </w:r>
          </w:p>
          <w:p w14:paraId="27EC346D" w14:textId="77777777" w:rsidR="00205D0C" w:rsidRPr="00A557BB" w:rsidRDefault="00205D0C" w:rsidP="005A3C39">
            <w:pPr>
              <w:widowControl w:val="0"/>
              <w:jc w:val="center"/>
              <w:rPr>
                <w:b/>
                <w:bCs/>
                <w:color w:val="000000"/>
                <w:sz w:val="20"/>
                <w:szCs w:val="20"/>
                <w:lang w:val="fr-FR"/>
              </w:rPr>
            </w:pPr>
            <w:r w:rsidRPr="00A557BB">
              <w:rPr>
                <w:b/>
                <w:bCs/>
                <w:color w:val="000000"/>
                <w:sz w:val="20"/>
                <w:szCs w:val="20"/>
                <w:lang w:val="fr-FR"/>
              </w:rPr>
              <w:t>($US)</w:t>
            </w:r>
          </w:p>
        </w:tc>
        <w:tc>
          <w:tcPr>
            <w:tcW w:w="1067" w:type="pct"/>
            <w:gridSpan w:val="2"/>
            <w:tcBorders>
              <w:top w:val="single" w:sz="4" w:space="0" w:color="auto"/>
              <w:left w:val="nil"/>
              <w:bottom w:val="single" w:sz="4" w:space="0" w:color="auto"/>
              <w:right w:val="single" w:sz="4" w:space="0" w:color="auto"/>
            </w:tcBorders>
            <w:shd w:val="clear" w:color="auto" w:fill="auto"/>
            <w:noWrap/>
            <w:vAlign w:val="center"/>
            <w:hideMark/>
          </w:tcPr>
          <w:p w14:paraId="2BA4128A" w14:textId="77777777" w:rsidR="00205D0C" w:rsidRPr="00A557BB" w:rsidRDefault="00205D0C" w:rsidP="005A3C39">
            <w:pPr>
              <w:widowControl w:val="0"/>
              <w:jc w:val="center"/>
              <w:rPr>
                <w:b/>
                <w:bCs/>
                <w:color w:val="000000"/>
                <w:sz w:val="20"/>
                <w:szCs w:val="20"/>
                <w:lang w:val="fr-FR"/>
              </w:rPr>
            </w:pPr>
            <w:r w:rsidRPr="00A557BB">
              <w:rPr>
                <w:b/>
                <w:bCs/>
                <w:color w:val="000000"/>
                <w:sz w:val="20"/>
                <w:szCs w:val="20"/>
                <w:lang w:val="fr-FR"/>
              </w:rPr>
              <w:t>Fonds décaissés</w:t>
            </w:r>
          </w:p>
        </w:tc>
        <w:tc>
          <w:tcPr>
            <w:tcW w:w="571" w:type="pct"/>
            <w:vMerge w:val="restart"/>
            <w:tcBorders>
              <w:top w:val="single" w:sz="4" w:space="0" w:color="auto"/>
              <w:left w:val="single" w:sz="4" w:space="0" w:color="auto"/>
              <w:right w:val="single" w:sz="4" w:space="0" w:color="auto"/>
            </w:tcBorders>
            <w:shd w:val="clear" w:color="auto" w:fill="auto"/>
            <w:vAlign w:val="center"/>
          </w:tcPr>
          <w:p w14:paraId="506802E9" w14:textId="77777777" w:rsidR="00205D0C" w:rsidRPr="00A557BB" w:rsidRDefault="00205D0C" w:rsidP="005A3C39">
            <w:pPr>
              <w:widowControl w:val="0"/>
              <w:jc w:val="center"/>
              <w:rPr>
                <w:b/>
                <w:bCs/>
                <w:color w:val="000000"/>
                <w:sz w:val="20"/>
                <w:szCs w:val="20"/>
                <w:lang w:val="fr-FR"/>
              </w:rPr>
            </w:pPr>
            <w:r w:rsidRPr="00A557BB">
              <w:rPr>
                <w:b/>
                <w:bCs/>
                <w:color w:val="000000"/>
                <w:sz w:val="20"/>
                <w:szCs w:val="20"/>
                <w:lang w:val="fr-FR"/>
              </w:rPr>
              <w:t>Solde ($US)</w:t>
            </w:r>
          </w:p>
        </w:tc>
      </w:tr>
      <w:tr w:rsidR="00205D0C" w:rsidRPr="00A557BB" w14:paraId="1AE99408" w14:textId="77777777" w:rsidTr="000E0FB5">
        <w:trPr>
          <w:trHeight w:val="58"/>
          <w:tblHeader/>
        </w:trPr>
        <w:tc>
          <w:tcPr>
            <w:tcW w:w="1817" w:type="pct"/>
            <w:vMerge/>
            <w:tcBorders>
              <w:top w:val="single" w:sz="4" w:space="0" w:color="auto"/>
              <w:left w:val="single" w:sz="4" w:space="0" w:color="auto"/>
              <w:bottom w:val="single" w:sz="4" w:space="0" w:color="auto"/>
              <w:right w:val="single" w:sz="4" w:space="0" w:color="auto"/>
            </w:tcBorders>
            <w:vAlign w:val="center"/>
            <w:hideMark/>
          </w:tcPr>
          <w:p w14:paraId="7D4D5A5A" w14:textId="77777777" w:rsidR="00205D0C" w:rsidRPr="00A557BB" w:rsidRDefault="00205D0C" w:rsidP="005A3C39">
            <w:pPr>
              <w:widowControl w:val="0"/>
              <w:jc w:val="left"/>
              <w:rPr>
                <w:b/>
                <w:bCs/>
                <w:color w:val="000000"/>
                <w:sz w:val="20"/>
                <w:szCs w:val="20"/>
                <w:lang w:val="fr-FR"/>
              </w:rPr>
            </w:pPr>
          </w:p>
        </w:tc>
        <w:tc>
          <w:tcPr>
            <w:tcW w:w="479" w:type="pct"/>
            <w:vMerge/>
            <w:tcBorders>
              <w:top w:val="single" w:sz="4" w:space="0" w:color="auto"/>
              <w:left w:val="single" w:sz="4" w:space="0" w:color="auto"/>
              <w:bottom w:val="single" w:sz="4" w:space="0" w:color="auto"/>
              <w:right w:val="single" w:sz="4" w:space="0" w:color="auto"/>
            </w:tcBorders>
            <w:vAlign w:val="center"/>
            <w:hideMark/>
          </w:tcPr>
          <w:p w14:paraId="1B9024B6" w14:textId="77777777" w:rsidR="00205D0C" w:rsidRPr="00A557BB" w:rsidRDefault="00205D0C" w:rsidP="005A3C39">
            <w:pPr>
              <w:widowControl w:val="0"/>
              <w:jc w:val="left"/>
              <w:rPr>
                <w:b/>
                <w:bCs/>
                <w:color w:val="000000"/>
                <w:sz w:val="20"/>
                <w:szCs w:val="20"/>
                <w:lang w:val="fr-FR"/>
              </w:rPr>
            </w:pPr>
          </w:p>
        </w:tc>
        <w:tc>
          <w:tcPr>
            <w:tcW w:w="1066" w:type="pct"/>
            <w:vMerge/>
            <w:tcBorders>
              <w:top w:val="single" w:sz="4" w:space="0" w:color="auto"/>
              <w:left w:val="single" w:sz="4" w:space="0" w:color="auto"/>
              <w:bottom w:val="single" w:sz="4" w:space="0" w:color="auto"/>
              <w:right w:val="single" w:sz="4" w:space="0" w:color="auto"/>
            </w:tcBorders>
            <w:vAlign w:val="center"/>
            <w:hideMark/>
          </w:tcPr>
          <w:p w14:paraId="03DD10E5" w14:textId="77777777" w:rsidR="00205D0C" w:rsidRPr="00A557BB" w:rsidRDefault="00205D0C" w:rsidP="005A3C39">
            <w:pPr>
              <w:widowControl w:val="0"/>
              <w:jc w:val="left"/>
              <w:rPr>
                <w:b/>
                <w:bCs/>
                <w:color w:val="000000"/>
                <w:sz w:val="20"/>
                <w:szCs w:val="20"/>
                <w:lang w:val="fr-FR"/>
              </w:rPr>
            </w:pPr>
          </w:p>
        </w:tc>
        <w:tc>
          <w:tcPr>
            <w:tcW w:w="684" w:type="pct"/>
            <w:tcBorders>
              <w:top w:val="nil"/>
              <w:left w:val="nil"/>
              <w:bottom w:val="single" w:sz="4" w:space="0" w:color="auto"/>
              <w:right w:val="single" w:sz="4" w:space="0" w:color="auto"/>
            </w:tcBorders>
            <w:shd w:val="clear" w:color="auto" w:fill="auto"/>
            <w:noWrap/>
            <w:vAlign w:val="center"/>
            <w:hideMark/>
          </w:tcPr>
          <w:p w14:paraId="52DDCC33" w14:textId="77777777" w:rsidR="00205D0C" w:rsidRPr="00A557BB" w:rsidRDefault="00205D0C" w:rsidP="005A3C39">
            <w:pPr>
              <w:widowControl w:val="0"/>
              <w:jc w:val="center"/>
              <w:rPr>
                <w:b/>
                <w:bCs/>
                <w:color w:val="000000"/>
                <w:sz w:val="20"/>
                <w:szCs w:val="20"/>
                <w:lang w:val="fr-FR"/>
              </w:rPr>
            </w:pPr>
            <w:r w:rsidRPr="00A557BB">
              <w:rPr>
                <w:b/>
                <w:bCs/>
                <w:color w:val="000000"/>
                <w:sz w:val="20"/>
                <w:szCs w:val="20"/>
                <w:lang w:val="fr-FR"/>
              </w:rPr>
              <w:t>($US)</w:t>
            </w:r>
          </w:p>
        </w:tc>
        <w:tc>
          <w:tcPr>
            <w:tcW w:w="382" w:type="pct"/>
            <w:tcBorders>
              <w:top w:val="nil"/>
              <w:left w:val="nil"/>
              <w:bottom w:val="single" w:sz="4" w:space="0" w:color="auto"/>
              <w:right w:val="single" w:sz="4" w:space="0" w:color="auto"/>
            </w:tcBorders>
            <w:shd w:val="clear" w:color="auto" w:fill="auto"/>
            <w:vAlign w:val="center"/>
            <w:hideMark/>
          </w:tcPr>
          <w:p w14:paraId="21EFA469" w14:textId="77777777" w:rsidR="00205D0C" w:rsidRPr="00A557BB" w:rsidRDefault="00205D0C" w:rsidP="005A3C39">
            <w:pPr>
              <w:widowControl w:val="0"/>
              <w:jc w:val="center"/>
              <w:rPr>
                <w:b/>
                <w:bCs/>
                <w:color w:val="000000"/>
                <w:sz w:val="20"/>
                <w:szCs w:val="20"/>
                <w:lang w:val="fr-FR"/>
              </w:rPr>
            </w:pPr>
            <w:r w:rsidRPr="00A557BB">
              <w:rPr>
                <w:b/>
                <w:bCs/>
                <w:color w:val="000000"/>
                <w:sz w:val="20"/>
                <w:szCs w:val="20"/>
                <w:lang w:val="fr-FR"/>
              </w:rPr>
              <w:t>(%)</w:t>
            </w:r>
          </w:p>
        </w:tc>
        <w:tc>
          <w:tcPr>
            <w:tcW w:w="571" w:type="pct"/>
            <w:vMerge/>
            <w:tcBorders>
              <w:left w:val="single" w:sz="4" w:space="0" w:color="auto"/>
              <w:bottom w:val="single" w:sz="4" w:space="0" w:color="auto"/>
              <w:right w:val="single" w:sz="4" w:space="0" w:color="auto"/>
            </w:tcBorders>
            <w:shd w:val="clear" w:color="auto" w:fill="auto"/>
          </w:tcPr>
          <w:p w14:paraId="0183087F" w14:textId="77777777" w:rsidR="00205D0C" w:rsidRPr="00A557BB" w:rsidRDefault="00205D0C" w:rsidP="005A3C39">
            <w:pPr>
              <w:widowControl w:val="0"/>
              <w:jc w:val="left"/>
              <w:rPr>
                <w:b/>
                <w:bCs/>
                <w:color w:val="000000"/>
                <w:sz w:val="20"/>
                <w:szCs w:val="20"/>
                <w:lang w:val="fr-FR"/>
              </w:rPr>
            </w:pPr>
          </w:p>
        </w:tc>
      </w:tr>
      <w:tr w:rsidR="00205D0C" w:rsidRPr="00A557BB" w14:paraId="38993C69" w14:textId="77777777" w:rsidTr="000E0FB5">
        <w:trPr>
          <w:trHeight w:val="71"/>
        </w:trPr>
        <w:tc>
          <w:tcPr>
            <w:tcW w:w="1817" w:type="pct"/>
            <w:tcBorders>
              <w:top w:val="nil"/>
              <w:left w:val="single" w:sz="4" w:space="0" w:color="auto"/>
              <w:bottom w:val="single" w:sz="4" w:space="0" w:color="auto"/>
              <w:right w:val="single" w:sz="4" w:space="0" w:color="auto"/>
            </w:tcBorders>
            <w:shd w:val="clear" w:color="auto" w:fill="auto"/>
            <w:noWrap/>
            <w:vAlign w:val="center"/>
            <w:hideMark/>
          </w:tcPr>
          <w:p w14:paraId="0DE0AA9D" w14:textId="77777777" w:rsidR="00205D0C" w:rsidRPr="00A557BB" w:rsidRDefault="00205D0C" w:rsidP="005A3C39">
            <w:pPr>
              <w:widowControl w:val="0"/>
              <w:jc w:val="left"/>
              <w:rPr>
                <w:color w:val="000000"/>
                <w:sz w:val="20"/>
                <w:szCs w:val="20"/>
                <w:lang w:val="fr-FR"/>
              </w:rPr>
            </w:pPr>
            <w:r w:rsidRPr="00A557BB">
              <w:rPr>
                <w:color w:val="000000"/>
                <w:sz w:val="20"/>
                <w:szCs w:val="20"/>
                <w:lang w:val="fr-FR"/>
              </w:rPr>
              <w:t>Mousse PU (Mabe)</w:t>
            </w:r>
          </w:p>
        </w:tc>
        <w:tc>
          <w:tcPr>
            <w:tcW w:w="47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FDEE62" w14:textId="77777777" w:rsidR="00205D0C" w:rsidRPr="00A557BB" w:rsidRDefault="00205D0C" w:rsidP="005A3C39">
            <w:pPr>
              <w:widowControl w:val="0"/>
              <w:jc w:val="left"/>
              <w:rPr>
                <w:color w:val="000000"/>
                <w:sz w:val="20"/>
                <w:szCs w:val="20"/>
                <w:lang w:val="fr-FR"/>
              </w:rPr>
            </w:pPr>
            <w:r w:rsidRPr="00A557BB">
              <w:rPr>
                <w:color w:val="000000"/>
                <w:sz w:val="20"/>
                <w:szCs w:val="20"/>
                <w:lang w:val="fr-FR"/>
              </w:rPr>
              <w:t>PNUD</w:t>
            </w:r>
          </w:p>
        </w:tc>
        <w:tc>
          <w:tcPr>
            <w:tcW w:w="1066" w:type="pct"/>
            <w:tcBorders>
              <w:top w:val="nil"/>
              <w:left w:val="nil"/>
              <w:bottom w:val="single" w:sz="4" w:space="0" w:color="auto"/>
              <w:right w:val="single" w:sz="4" w:space="0" w:color="auto"/>
            </w:tcBorders>
            <w:shd w:val="clear" w:color="auto" w:fill="auto"/>
            <w:noWrap/>
            <w:vAlign w:val="center"/>
            <w:hideMark/>
          </w:tcPr>
          <w:p w14:paraId="6EAF27A3" w14:textId="77777777" w:rsidR="00205D0C" w:rsidRPr="00A557BB" w:rsidRDefault="00205D0C" w:rsidP="005A3C39">
            <w:pPr>
              <w:widowControl w:val="0"/>
              <w:jc w:val="right"/>
              <w:rPr>
                <w:color w:val="000000"/>
                <w:sz w:val="20"/>
                <w:szCs w:val="20"/>
                <w:lang w:val="fr-FR"/>
              </w:rPr>
            </w:pPr>
            <w:r w:rsidRPr="00A557BB">
              <w:rPr>
                <w:color w:val="000000"/>
                <w:sz w:val="20"/>
                <w:szCs w:val="20"/>
                <w:lang w:val="fr-FR"/>
              </w:rPr>
              <w:t>2 428 987</w:t>
            </w:r>
          </w:p>
        </w:tc>
        <w:tc>
          <w:tcPr>
            <w:tcW w:w="684" w:type="pct"/>
            <w:tcBorders>
              <w:top w:val="nil"/>
              <w:left w:val="nil"/>
              <w:bottom w:val="single" w:sz="4" w:space="0" w:color="auto"/>
              <w:right w:val="single" w:sz="4" w:space="0" w:color="auto"/>
            </w:tcBorders>
            <w:shd w:val="clear" w:color="auto" w:fill="auto"/>
            <w:noWrap/>
            <w:vAlign w:val="center"/>
            <w:hideMark/>
          </w:tcPr>
          <w:p w14:paraId="50908E60" w14:textId="77777777" w:rsidR="00205D0C" w:rsidRPr="00A557BB" w:rsidRDefault="00205D0C" w:rsidP="005A3C39">
            <w:pPr>
              <w:widowControl w:val="0"/>
              <w:jc w:val="right"/>
              <w:rPr>
                <w:color w:val="000000"/>
                <w:sz w:val="20"/>
                <w:szCs w:val="20"/>
                <w:lang w:val="fr-FR"/>
              </w:rPr>
            </w:pPr>
            <w:r w:rsidRPr="00A557BB">
              <w:rPr>
                <w:color w:val="000000"/>
                <w:sz w:val="20"/>
                <w:szCs w:val="20"/>
                <w:lang w:val="fr-FR"/>
              </w:rPr>
              <w:t>2 424 875</w:t>
            </w:r>
          </w:p>
        </w:tc>
        <w:tc>
          <w:tcPr>
            <w:tcW w:w="382" w:type="pct"/>
            <w:tcBorders>
              <w:top w:val="nil"/>
              <w:left w:val="nil"/>
              <w:bottom w:val="single" w:sz="4" w:space="0" w:color="auto"/>
              <w:right w:val="single" w:sz="4" w:space="0" w:color="auto"/>
            </w:tcBorders>
            <w:shd w:val="clear" w:color="auto" w:fill="auto"/>
            <w:vAlign w:val="center"/>
            <w:hideMark/>
          </w:tcPr>
          <w:p w14:paraId="54B2E3F2" w14:textId="77777777" w:rsidR="00205D0C" w:rsidRPr="00A557BB" w:rsidRDefault="00201C93" w:rsidP="005A3C39">
            <w:pPr>
              <w:widowControl w:val="0"/>
              <w:jc w:val="right"/>
              <w:rPr>
                <w:color w:val="000000"/>
                <w:sz w:val="20"/>
                <w:szCs w:val="20"/>
                <w:lang w:val="fr-FR"/>
              </w:rPr>
            </w:pPr>
            <w:r w:rsidRPr="00A557BB">
              <w:rPr>
                <w:color w:val="000000"/>
                <w:sz w:val="20"/>
                <w:szCs w:val="20"/>
                <w:lang w:val="fr-FR"/>
              </w:rPr>
              <w:t>99,8</w:t>
            </w:r>
          </w:p>
        </w:tc>
        <w:tc>
          <w:tcPr>
            <w:tcW w:w="571" w:type="pct"/>
            <w:tcBorders>
              <w:top w:val="nil"/>
              <w:left w:val="nil"/>
              <w:bottom w:val="single" w:sz="4" w:space="0" w:color="auto"/>
              <w:right w:val="single" w:sz="4" w:space="0" w:color="auto"/>
            </w:tcBorders>
            <w:shd w:val="clear" w:color="auto" w:fill="auto"/>
          </w:tcPr>
          <w:p w14:paraId="6DDFAA68" w14:textId="77777777" w:rsidR="00205D0C" w:rsidRPr="00A557BB" w:rsidRDefault="00205D0C" w:rsidP="005A3C39">
            <w:pPr>
              <w:widowControl w:val="0"/>
              <w:jc w:val="right"/>
              <w:rPr>
                <w:color w:val="000000"/>
                <w:sz w:val="20"/>
                <w:szCs w:val="20"/>
                <w:lang w:val="fr-FR"/>
              </w:rPr>
            </w:pPr>
            <w:r w:rsidRPr="00A557BB">
              <w:rPr>
                <w:color w:val="000000"/>
                <w:sz w:val="20"/>
                <w:szCs w:val="20"/>
                <w:lang w:val="fr-FR"/>
              </w:rPr>
              <w:t>4 112</w:t>
            </w:r>
          </w:p>
        </w:tc>
      </w:tr>
      <w:tr w:rsidR="00205D0C" w:rsidRPr="00A557BB" w14:paraId="48D9113B" w14:textId="77777777" w:rsidTr="000E0FB5">
        <w:trPr>
          <w:trHeight w:val="287"/>
        </w:trPr>
        <w:tc>
          <w:tcPr>
            <w:tcW w:w="18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F5FE2" w14:textId="77777777" w:rsidR="00205D0C" w:rsidRPr="00A557BB" w:rsidRDefault="00205D0C" w:rsidP="005A3C39">
            <w:pPr>
              <w:widowControl w:val="0"/>
              <w:jc w:val="left"/>
              <w:rPr>
                <w:color w:val="000000"/>
                <w:sz w:val="20"/>
                <w:szCs w:val="20"/>
                <w:lang w:val="fr-FR"/>
              </w:rPr>
            </w:pPr>
            <w:r w:rsidRPr="00A557BB">
              <w:rPr>
                <w:color w:val="000000"/>
                <w:sz w:val="20"/>
                <w:szCs w:val="20"/>
                <w:lang w:val="fr-FR"/>
              </w:rPr>
              <w:t xml:space="preserve">Mousse PU (entreprises de formulation) </w:t>
            </w:r>
          </w:p>
          <w:p w14:paraId="07FE55D8" w14:textId="77777777" w:rsidR="00205D0C" w:rsidRPr="00A557BB" w:rsidRDefault="00205D0C" w:rsidP="005A3C39">
            <w:pPr>
              <w:widowControl w:val="0"/>
              <w:jc w:val="left"/>
              <w:rPr>
                <w:color w:val="000000"/>
                <w:sz w:val="20"/>
                <w:szCs w:val="20"/>
                <w:lang w:val="fr-FR"/>
              </w:rPr>
            </w:pPr>
            <w:r w:rsidRPr="00A557BB">
              <w:rPr>
                <w:color w:val="000000"/>
                <w:sz w:val="20"/>
                <w:szCs w:val="20"/>
                <w:lang w:val="fr-FR"/>
              </w:rPr>
              <w:t>y compris deux fabricants de mousses XPS*</w:t>
            </w:r>
          </w:p>
        </w:tc>
        <w:tc>
          <w:tcPr>
            <w:tcW w:w="479" w:type="pct"/>
            <w:vMerge/>
            <w:tcBorders>
              <w:top w:val="nil"/>
              <w:left w:val="single" w:sz="4" w:space="0" w:color="auto"/>
              <w:bottom w:val="single" w:sz="4" w:space="0" w:color="auto"/>
              <w:right w:val="single" w:sz="4" w:space="0" w:color="auto"/>
            </w:tcBorders>
            <w:vAlign w:val="center"/>
            <w:hideMark/>
          </w:tcPr>
          <w:p w14:paraId="432FF2CB" w14:textId="77777777" w:rsidR="00205D0C" w:rsidRPr="00A557BB" w:rsidRDefault="00205D0C" w:rsidP="005A3C39">
            <w:pPr>
              <w:widowControl w:val="0"/>
              <w:jc w:val="left"/>
              <w:rPr>
                <w:color w:val="000000"/>
                <w:sz w:val="20"/>
                <w:szCs w:val="20"/>
                <w:lang w:val="fr-FR"/>
              </w:rPr>
            </w:pPr>
          </w:p>
        </w:tc>
        <w:tc>
          <w:tcPr>
            <w:tcW w:w="1066" w:type="pct"/>
            <w:tcBorders>
              <w:top w:val="single" w:sz="4" w:space="0" w:color="auto"/>
              <w:left w:val="nil"/>
              <w:bottom w:val="single" w:sz="4" w:space="0" w:color="auto"/>
              <w:right w:val="single" w:sz="4" w:space="0" w:color="auto"/>
            </w:tcBorders>
            <w:shd w:val="clear" w:color="auto" w:fill="auto"/>
            <w:noWrap/>
            <w:vAlign w:val="center"/>
            <w:hideMark/>
          </w:tcPr>
          <w:p w14:paraId="21823FD9" w14:textId="77777777" w:rsidR="00205D0C" w:rsidRPr="00A557BB" w:rsidRDefault="00205D0C" w:rsidP="005A3C39">
            <w:pPr>
              <w:widowControl w:val="0"/>
              <w:jc w:val="right"/>
              <w:rPr>
                <w:color w:val="000000"/>
                <w:sz w:val="20"/>
                <w:szCs w:val="20"/>
                <w:lang w:val="fr-FR"/>
              </w:rPr>
            </w:pPr>
            <w:r w:rsidRPr="00A557BB">
              <w:rPr>
                <w:color w:val="000000"/>
                <w:sz w:val="20"/>
                <w:szCs w:val="20"/>
                <w:lang w:val="fr-FR"/>
              </w:rPr>
              <w:t>11 225 029</w:t>
            </w:r>
          </w:p>
        </w:tc>
        <w:tc>
          <w:tcPr>
            <w:tcW w:w="684" w:type="pct"/>
            <w:tcBorders>
              <w:top w:val="single" w:sz="4" w:space="0" w:color="auto"/>
              <w:left w:val="nil"/>
              <w:bottom w:val="single" w:sz="4" w:space="0" w:color="auto"/>
              <w:right w:val="single" w:sz="4" w:space="0" w:color="auto"/>
            </w:tcBorders>
            <w:shd w:val="clear" w:color="auto" w:fill="auto"/>
            <w:noWrap/>
            <w:vAlign w:val="center"/>
            <w:hideMark/>
          </w:tcPr>
          <w:p w14:paraId="1CD8231A" w14:textId="77777777" w:rsidR="00205D0C" w:rsidRPr="00A557BB" w:rsidRDefault="00205D0C" w:rsidP="005A3C39">
            <w:pPr>
              <w:widowControl w:val="0"/>
              <w:jc w:val="right"/>
              <w:rPr>
                <w:color w:val="000000"/>
                <w:sz w:val="20"/>
                <w:szCs w:val="20"/>
                <w:lang w:val="fr-FR"/>
              </w:rPr>
            </w:pPr>
            <w:r w:rsidRPr="00A557BB">
              <w:rPr>
                <w:color w:val="000000"/>
                <w:sz w:val="20"/>
                <w:szCs w:val="20"/>
                <w:lang w:val="fr-FR"/>
              </w:rPr>
              <w:t>10 241 729</w:t>
            </w:r>
          </w:p>
        </w:tc>
        <w:tc>
          <w:tcPr>
            <w:tcW w:w="382" w:type="pct"/>
            <w:tcBorders>
              <w:top w:val="single" w:sz="4" w:space="0" w:color="auto"/>
              <w:left w:val="nil"/>
              <w:bottom w:val="single" w:sz="4" w:space="0" w:color="auto"/>
              <w:right w:val="single" w:sz="4" w:space="0" w:color="auto"/>
            </w:tcBorders>
            <w:shd w:val="clear" w:color="auto" w:fill="auto"/>
            <w:vAlign w:val="center"/>
            <w:hideMark/>
          </w:tcPr>
          <w:p w14:paraId="2AC769EC" w14:textId="77777777" w:rsidR="00205D0C" w:rsidRPr="00A557BB" w:rsidRDefault="00201C93" w:rsidP="005A3C39">
            <w:pPr>
              <w:widowControl w:val="0"/>
              <w:jc w:val="right"/>
              <w:rPr>
                <w:color w:val="000000"/>
                <w:sz w:val="20"/>
                <w:szCs w:val="20"/>
                <w:lang w:val="fr-FR"/>
              </w:rPr>
            </w:pPr>
            <w:r w:rsidRPr="00A557BB">
              <w:rPr>
                <w:color w:val="000000"/>
                <w:sz w:val="20"/>
                <w:szCs w:val="20"/>
                <w:lang w:val="fr-FR"/>
              </w:rPr>
              <w:t>91,2</w:t>
            </w:r>
          </w:p>
        </w:tc>
        <w:tc>
          <w:tcPr>
            <w:tcW w:w="571" w:type="pct"/>
            <w:tcBorders>
              <w:top w:val="single" w:sz="4" w:space="0" w:color="auto"/>
              <w:left w:val="nil"/>
              <w:bottom w:val="single" w:sz="4" w:space="0" w:color="auto"/>
              <w:right w:val="single" w:sz="4" w:space="0" w:color="auto"/>
            </w:tcBorders>
            <w:shd w:val="clear" w:color="auto" w:fill="auto"/>
            <w:vAlign w:val="center"/>
          </w:tcPr>
          <w:p w14:paraId="3F375588" w14:textId="77777777" w:rsidR="00205D0C" w:rsidRPr="00A557BB" w:rsidRDefault="00205D0C" w:rsidP="005A3C39">
            <w:pPr>
              <w:widowControl w:val="0"/>
              <w:jc w:val="right"/>
              <w:rPr>
                <w:color w:val="000000"/>
                <w:sz w:val="20"/>
                <w:szCs w:val="20"/>
                <w:lang w:val="fr-FR"/>
              </w:rPr>
            </w:pPr>
            <w:r w:rsidRPr="00A557BB">
              <w:rPr>
                <w:color w:val="000000"/>
                <w:sz w:val="20"/>
                <w:szCs w:val="20"/>
                <w:lang w:val="fr-FR"/>
              </w:rPr>
              <w:t>983 300</w:t>
            </w:r>
          </w:p>
        </w:tc>
      </w:tr>
      <w:tr w:rsidR="00205D0C" w:rsidRPr="00A557BB" w14:paraId="6FF6A3E0" w14:textId="77777777" w:rsidTr="000E0FB5">
        <w:trPr>
          <w:trHeight w:val="58"/>
        </w:trPr>
        <w:tc>
          <w:tcPr>
            <w:tcW w:w="18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6E192" w14:textId="77777777" w:rsidR="00205D0C" w:rsidRPr="00A557BB" w:rsidRDefault="00205D0C" w:rsidP="005A3C39">
            <w:pPr>
              <w:keepNext/>
              <w:jc w:val="left"/>
              <w:rPr>
                <w:color w:val="000000"/>
                <w:sz w:val="20"/>
                <w:szCs w:val="20"/>
                <w:lang w:val="fr-FR"/>
              </w:rPr>
            </w:pPr>
            <w:r w:rsidRPr="00A557BB">
              <w:rPr>
                <w:color w:val="000000"/>
                <w:sz w:val="20"/>
                <w:szCs w:val="20"/>
                <w:lang w:val="fr-FR"/>
              </w:rPr>
              <w:t>Mousse PU (Metalfrío, Fersa, Ojeda)</w:t>
            </w:r>
          </w:p>
        </w:tc>
        <w:tc>
          <w:tcPr>
            <w:tcW w:w="47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B86F69" w14:textId="77777777" w:rsidR="00205D0C" w:rsidRPr="00A557BB" w:rsidRDefault="00205D0C" w:rsidP="005A3C39">
            <w:pPr>
              <w:keepNext/>
              <w:jc w:val="left"/>
              <w:rPr>
                <w:color w:val="000000"/>
                <w:sz w:val="20"/>
                <w:szCs w:val="20"/>
                <w:lang w:val="fr-FR"/>
              </w:rPr>
            </w:pPr>
            <w:r w:rsidRPr="00A557BB">
              <w:rPr>
                <w:color w:val="000000"/>
                <w:sz w:val="20"/>
                <w:szCs w:val="20"/>
                <w:lang w:val="fr-FR"/>
              </w:rPr>
              <w:t>ONUDI</w:t>
            </w:r>
          </w:p>
        </w:tc>
        <w:tc>
          <w:tcPr>
            <w:tcW w:w="1066" w:type="pct"/>
            <w:tcBorders>
              <w:top w:val="single" w:sz="4" w:space="0" w:color="auto"/>
              <w:left w:val="nil"/>
              <w:bottom w:val="single" w:sz="4" w:space="0" w:color="auto"/>
              <w:right w:val="single" w:sz="4" w:space="0" w:color="auto"/>
            </w:tcBorders>
            <w:shd w:val="clear" w:color="auto" w:fill="auto"/>
            <w:noWrap/>
            <w:vAlign w:val="center"/>
            <w:hideMark/>
          </w:tcPr>
          <w:p w14:paraId="3796F306" w14:textId="77777777" w:rsidR="00205D0C" w:rsidRPr="00A557BB" w:rsidRDefault="00205D0C" w:rsidP="005A3C39">
            <w:pPr>
              <w:keepNext/>
              <w:jc w:val="right"/>
              <w:rPr>
                <w:color w:val="000000"/>
                <w:sz w:val="20"/>
                <w:szCs w:val="20"/>
                <w:lang w:val="fr-FR"/>
              </w:rPr>
            </w:pPr>
            <w:r w:rsidRPr="00A557BB">
              <w:rPr>
                <w:color w:val="000000"/>
                <w:sz w:val="20"/>
                <w:szCs w:val="20"/>
                <w:lang w:val="fr-FR"/>
              </w:rPr>
              <w:t>2 046 110</w:t>
            </w:r>
          </w:p>
        </w:tc>
        <w:tc>
          <w:tcPr>
            <w:tcW w:w="684" w:type="pct"/>
            <w:tcBorders>
              <w:top w:val="single" w:sz="4" w:space="0" w:color="auto"/>
              <w:left w:val="nil"/>
              <w:bottom w:val="single" w:sz="4" w:space="0" w:color="auto"/>
              <w:right w:val="single" w:sz="4" w:space="0" w:color="auto"/>
            </w:tcBorders>
            <w:shd w:val="clear" w:color="auto" w:fill="auto"/>
            <w:noWrap/>
            <w:vAlign w:val="center"/>
            <w:hideMark/>
          </w:tcPr>
          <w:p w14:paraId="34F60BE4" w14:textId="77777777" w:rsidR="00205D0C" w:rsidRPr="00A557BB" w:rsidRDefault="00205D0C" w:rsidP="005A3C39">
            <w:pPr>
              <w:keepNext/>
              <w:jc w:val="right"/>
              <w:rPr>
                <w:color w:val="000000"/>
                <w:sz w:val="20"/>
                <w:szCs w:val="20"/>
                <w:lang w:val="fr-FR"/>
              </w:rPr>
            </w:pPr>
            <w:r w:rsidRPr="00A557BB">
              <w:rPr>
                <w:color w:val="000000"/>
                <w:sz w:val="20"/>
                <w:szCs w:val="20"/>
                <w:lang w:val="fr-FR"/>
              </w:rPr>
              <w:t> 2 046 086</w:t>
            </w:r>
          </w:p>
        </w:tc>
        <w:tc>
          <w:tcPr>
            <w:tcW w:w="382" w:type="pct"/>
            <w:tcBorders>
              <w:top w:val="single" w:sz="4" w:space="0" w:color="auto"/>
              <w:left w:val="nil"/>
              <w:bottom w:val="single" w:sz="4" w:space="0" w:color="auto"/>
              <w:right w:val="single" w:sz="4" w:space="0" w:color="auto"/>
            </w:tcBorders>
            <w:shd w:val="clear" w:color="auto" w:fill="auto"/>
            <w:vAlign w:val="center"/>
            <w:hideMark/>
          </w:tcPr>
          <w:p w14:paraId="5E32F415" w14:textId="77777777" w:rsidR="00205D0C" w:rsidRPr="00A557BB" w:rsidRDefault="00201C93" w:rsidP="005A3C39">
            <w:pPr>
              <w:keepNext/>
              <w:jc w:val="right"/>
              <w:rPr>
                <w:color w:val="000000"/>
                <w:sz w:val="20"/>
                <w:szCs w:val="20"/>
                <w:lang w:val="fr-FR"/>
              </w:rPr>
            </w:pPr>
            <w:r w:rsidRPr="00A557BB">
              <w:rPr>
                <w:color w:val="000000"/>
                <w:sz w:val="20"/>
                <w:szCs w:val="20"/>
                <w:lang w:val="fr-FR"/>
              </w:rPr>
              <w:t>100,0</w:t>
            </w:r>
          </w:p>
        </w:tc>
        <w:tc>
          <w:tcPr>
            <w:tcW w:w="571" w:type="pct"/>
            <w:tcBorders>
              <w:top w:val="single" w:sz="4" w:space="0" w:color="auto"/>
              <w:left w:val="nil"/>
              <w:bottom w:val="single" w:sz="4" w:space="0" w:color="auto"/>
              <w:right w:val="single" w:sz="4" w:space="0" w:color="auto"/>
            </w:tcBorders>
            <w:shd w:val="clear" w:color="auto" w:fill="auto"/>
            <w:vAlign w:val="center"/>
          </w:tcPr>
          <w:p w14:paraId="63CAA3B1" w14:textId="77777777" w:rsidR="00205D0C" w:rsidRPr="00A557BB" w:rsidRDefault="00205D0C" w:rsidP="005A3C39">
            <w:pPr>
              <w:keepNext/>
              <w:jc w:val="right"/>
              <w:rPr>
                <w:color w:val="000000"/>
                <w:sz w:val="20"/>
                <w:szCs w:val="20"/>
                <w:lang w:val="fr-FR"/>
              </w:rPr>
            </w:pPr>
            <w:r w:rsidRPr="00A557BB">
              <w:rPr>
                <w:color w:val="000000"/>
                <w:sz w:val="20"/>
                <w:szCs w:val="20"/>
                <w:lang w:val="fr-FR"/>
              </w:rPr>
              <w:t>24</w:t>
            </w:r>
          </w:p>
        </w:tc>
      </w:tr>
      <w:tr w:rsidR="00205D0C" w:rsidRPr="00A557BB" w14:paraId="56D5E46F" w14:textId="77777777" w:rsidTr="000E0FB5">
        <w:trPr>
          <w:trHeight w:val="107"/>
        </w:trPr>
        <w:tc>
          <w:tcPr>
            <w:tcW w:w="1817" w:type="pct"/>
            <w:tcBorders>
              <w:top w:val="nil"/>
              <w:left w:val="single" w:sz="4" w:space="0" w:color="auto"/>
              <w:bottom w:val="single" w:sz="4" w:space="0" w:color="auto"/>
              <w:right w:val="single" w:sz="4" w:space="0" w:color="auto"/>
            </w:tcBorders>
            <w:shd w:val="clear" w:color="auto" w:fill="auto"/>
            <w:noWrap/>
            <w:vAlign w:val="center"/>
            <w:hideMark/>
          </w:tcPr>
          <w:p w14:paraId="63F9BBC3" w14:textId="17C08A7C" w:rsidR="00205D0C" w:rsidRPr="00A557BB" w:rsidRDefault="00205D0C" w:rsidP="005A3C39">
            <w:pPr>
              <w:keepNext/>
              <w:jc w:val="left"/>
              <w:rPr>
                <w:color w:val="000000"/>
                <w:sz w:val="20"/>
                <w:szCs w:val="20"/>
                <w:lang w:val="fr-FR"/>
              </w:rPr>
            </w:pPr>
            <w:r w:rsidRPr="00A557BB">
              <w:rPr>
                <w:color w:val="000000"/>
                <w:sz w:val="20"/>
                <w:szCs w:val="20"/>
                <w:lang w:val="fr-FR"/>
              </w:rPr>
              <w:t>Aérosol</w:t>
            </w:r>
            <w:r w:rsidR="00254E14" w:rsidRPr="00A557BB">
              <w:rPr>
                <w:color w:val="000000"/>
                <w:sz w:val="20"/>
                <w:szCs w:val="20"/>
                <w:lang w:val="fr-FR"/>
              </w:rPr>
              <w:t>s</w:t>
            </w:r>
            <w:r w:rsidRPr="00A557BB">
              <w:rPr>
                <w:color w:val="000000"/>
                <w:sz w:val="20"/>
                <w:szCs w:val="20"/>
                <w:lang w:val="fr-FR"/>
              </w:rPr>
              <w:t xml:space="preserve"> (Silimex)</w:t>
            </w:r>
          </w:p>
        </w:tc>
        <w:tc>
          <w:tcPr>
            <w:tcW w:w="479" w:type="pct"/>
            <w:vMerge/>
            <w:tcBorders>
              <w:top w:val="nil"/>
              <w:left w:val="single" w:sz="4" w:space="0" w:color="auto"/>
              <w:bottom w:val="single" w:sz="4" w:space="0" w:color="auto"/>
              <w:right w:val="single" w:sz="4" w:space="0" w:color="auto"/>
            </w:tcBorders>
            <w:vAlign w:val="center"/>
            <w:hideMark/>
          </w:tcPr>
          <w:p w14:paraId="7EA51D8C" w14:textId="77777777" w:rsidR="00205D0C" w:rsidRPr="00A557BB" w:rsidRDefault="00205D0C" w:rsidP="005A3C39">
            <w:pPr>
              <w:keepNext/>
              <w:jc w:val="left"/>
              <w:rPr>
                <w:color w:val="000000"/>
                <w:sz w:val="20"/>
                <w:szCs w:val="20"/>
                <w:lang w:val="fr-FR"/>
              </w:rPr>
            </w:pPr>
          </w:p>
        </w:tc>
        <w:tc>
          <w:tcPr>
            <w:tcW w:w="1066" w:type="pct"/>
            <w:tcBorders>
              <w:top w:val="single" w:sz="4" w:space="0" w:color="auto"/>
              <w:left w:val="nil"/>
              <w:bottom w:val="single" w:sz="4" w:space="0" w:color="auto"/>
              <w:right w:val="single" w:sz="4" w:space="0" w:color="auto"/>
            </w:tcBorders>
            <w:shd w:val="clear" w:color="auto" w:fill="auto"/>
            <w:noWrap/>
            <w:vAlign w:val="center"/>
            <w:hideMark/>
          </w:tcPr>
          <w:p w14:paraId="1F6B91C7" w14:textId="77777777" w:rsidR="00205D0C" w:rsidRPr="00A557BB" w:rsidRDefault="00205D0C" w:rsidP="005A3C39">
            <w:pPr>
              <w:keepNext/>
              <w:jc w:val="right"/>
              <w:rPr>
                <w:color w:val="000000"/>
                <w:sz w:val="20"/>
                <w:szCs w:val="20"/>
                <w:lang w:val="fr-FR"/>
              </w:rPr>
            </w:pPr>
            <w:r w:rsidRPr="00A557BB">
              <w:rPr>
                <w:color w:val="000000"/>
                <w:sz w:val="20"/>
                <w:szCs w:val="20"/>
                <w:lang w:val="fr-FR"/>
              </w:rPr>
              <w:t>520 916</w:t>
            </w:r>
          </w:p>
        </w:tc>
        <w:tc>
          <w:tcPr>
            <w:tcW w:w="684" w:type="pct"/>
            <w:tcBorders>
              <w:top w:val="single" w:sz="4" w:space="0" w:color="auto"/>
              <w:left w:val="nil"/>
              <w:bottom w:val="single" w:sz="4" w:space="0" w:color="auto"/>
              <w:right w:val="single" w:sz="4" w:space="0" w:color="auto"/>
            </w:tcBorders>
            <w:shd w:val="clear" w:color="auto" w:fill="auto"/>
            <w:noWrap/>
            <w:vAlign w:val="center"/>
            <w:hideMark/>
          </w:tcPr>
          <w:p w14:paraId="7CC433F7" w14:textId="77777777" w:rsidR="00205D0C" w:rsidRPr="00A557BB" w:rsidRDefault="00205D0C" w:rsidP="005A3C39">
            <w:pPr>
              <w:keepNext/>
              <w:jc w:val="right"/>
              <w:rPr>
                <w:color w:val="000000"/>
                <w:sz w:val="20"/>
                <w:szCs w:val="20"/>
                <w:lang w:val="fr-FR"/>
              </w:rPr>
            </w:pPr>
            <w:r w:rsidRPr="00A557BB">
              <w:rPr>
                <w:color w:val="000000"/>
                <w:sz w:val="20"/>
                <w:szCs w:val="20"/>
                <w:lang w:val="fr-FR"/>
              </w:rPr>
              <w:t>520 894</w:t>
            </w:r>
          </w:p>
        </w:tc>
        <w:tc>
          <w:tcPr>
            <w:tcW w:w="382" w:type="pct"/>
            <w:tcBorders>
              <w:top w:val="single" w:sz="4" w:space="0" w:color="auto"/>
              <w:left w:val="nil"/>
              <w:bottom w:val="single" w:sz="4" w:space="0" w:color="auto"/>
              <w:right w:val="single" w:sz="4" w:space="0" w:color="auto"/>
            </w:tcBorders>
            <w:shd w:val="clear" w:color="auto" w:fill="auto"/>
            <w:vAlign w:val="center"/>
            <w:hideMark/>
          </w:tcPr>
          <w:p w14:paraId="0E0A7F2C" w14:textId="77777777" w:rsidR="00205D0C" w:rsidRPr="00A557BB" w:rsidRDefault="00201C93" w:rsidP="005A3C39">
            <w:pPr>
              <w:keepNext/>
              <w:jc w:val="right"/>
              <w:rPr>
                <w:color w:val="000000"/>
                <w:sz w:val="20"/>
                <w:szCs w:val="20"/>
                <w:lang w:val="fr-FR"/>
              </w:rPr>
            </w:pPr>
            <w:r w:rsidRPr="00A557BB">
              <w:rPr>
                <w:color w:val="000000"/>
                <w:sz w:val="20"/>
                <w:szCs w:val="20"/>
                <w:lang w:val="fr-FR"/>
              </w:rPr>
              <w:t>100,0</w:t>
            </w:r>
          </w:p>
        </w:tc>
        <w:tc>
          <w:tcPr>
            <w:tcW w:w="571" w:type="pct"/>
            <w:tcBorders>
              <w:top w:val="single" w:sz="4" w:space="0" w:color="auto"/>
              <w:left w:val="nil"/>
              <w:bottom w:val="single" w:sz="4" w:space="0" w:color="auto"/>
              <w:right w:val="single" w:sz="4" w:space="0" w:color="auto"/>
            </w:tcBorders>
            <w:shd w:val="clear" w:color="auto" w:fill="auto"/>
          </w:tcPr>
          <w:p w14:paraId="43BD78F3" w14:textId="77777777" w:rsidR="00205D0C" w:rsidRPr="00A557BB" w:rsidRDefault="00205D0C" w:rsidP="005A3C39">
            <w:pPr>
              <w:keepNext/>
              <w:jc w:val="right"/>
              <w:rPr>
                <w:color w:val="000000"/>
                <w:sz w:val="20"/>
                <w:szCs w:val="20"/>
                <w:lang w:val="fr-FR"/>
              </w:rPr>
            </w:pPr>
            <w:r w:rsidRPr="00A557BB">
              <w:rPr>
                <w:color w:val="000000"/>
                <w:sz w:val="20"/>
                <w:szCs w:val="20"/>
                <w:lang w:val="fr-FR"/>
              </w:rPr>
              <w:t>22</w:t>
            </w:r>
          </w:p>
        </w:tc>
      </w:tr>
      <w:tr w:rsidR="00205D0C" w:rsidRPr="00A557BB" w14:paraId="61347854" w14:textId="77777777" w:rsidTr="000E0FB5">
        <w:trPr>
          <w:trHeight w:val="58"/>
        </w:trPr>
        <w:tc>
          <w:tcPr>
            <w:tcW w:w="1817" w:type="pct"/>
            <w:tcBorders>
              <w:top w:val="nil"/>
              <w:left w:val="single" w:sz="4" w:space="0" w:color="auto"/>
              <w:bottom w:val="single" w:sz="4" w:space="0" w:color="auto"/>
              <w:right w:val="single" w:sz="4" w:space="0" w:color="auto"/>
            </w:tcBorders>
            <w:shd w:val="clear" w:color="auto" w:fill="auto"/>
            <w:noWrap/>
            <w:vAlign w:val="center"/>
            <w:hideMark/>
          </w:tcPr>
          <w:p w14:paraId="66A94E37" w14:textId="77777777" w:rsidR="00205D0C" w:rsidRPr="00A557BB" w:rsidRDefault="00205D0C" w:rsidP="005A3C39">
            <w:pPr>
              <w:keepNext/>
              <w:jc w:val="left"/>
              <w:rPr>
                <w:color w:val="000000"/>
                <w:sz w:val="20"/>
                <w:szCs w:val="20"/>
                <w:lang w:val="fr-FR"/>
              </w:rPr>
            </w:pPr>
            <w:r w:rsidRPr="00A557BB">
              <w:rPr>
                <w:color w:val="000000"/>
                <w:sz w:val="20"/>
                <w:szCs w:val="20"/>
                <w:lang w:val="fr-FR"/>
              </w:rPr>
              <w:t>Secteur de l’entretien en réfrigération</w:t>
            </w:r>
          </w:p>
        </w:tc>
        <w:tc>
          <w:tcPr>
            <w:tcW w:w="479" w:type="pct"/>
            <w:vMerge/>
            <w:tcBorders>
              <w:top w:val="nil"/>
              <w:left w:val="single" w:sz="4" w:space="0" w:color="auto"/>
              <w:bottom w:val="single" w:sz="4" w:space="0" w:color="auto"/>
              <w:right w:val="single" w:sz="4" w:space="0" w:color="auto"/>
            </w:tcBorders>
            <w:vAlign w:val="center"/>
            <w:hideMark/>
          </w:tcPr>
          <w:p w14:paraId="082A704C" w14:textId="77777777" w:rsidR="00205D0C" w:rsidRPr="00A557BB" w:rsidRDefault="00205D0C" w:rsidP="005A3C39">
            <w:pPr>
              <w:keepNext/>
              <w:jc w:val="left"/>
              <w:rPr>
                <w:color w:val="000000"/>
                <w:sz w:val="20"/>
                <w:szCs w:val="20"/>
                <w:lang w:val="fr-FR"/>
              </w:rPr>
            </w:pPr>
          </w:p>
        </w:tc>
        <w:tc>
          <w:tcPr>
            <w:tcW w:w="1066" w:type="pct"/>
            <w:tcBorders>
              <w:top w:val="nil"/>
              <w:left w:val="nil"/>
              <w:bottom w:val="single" w:sz="4" w:space="0" w:color="auto"/>
              <w:right w:val="single" w:sz="4" w:space="0" w:color="auto"/>
            </w:tcBorders>
            <w:shd w:val="clear" w:color="auto" w:fill="auto"/>
            <w:noWrap/>
            <w:vAlign w:val="center"/>
            <w:hideMark/>
          </w:tcPr>
          <w:p w14:paraId="5F22BEB1" w14:textId="77777777" w:rsidR="00205D0C" w:rsidRPr="00A557BB" w:rsidRDefault="00205D0C" w:rsidP="005A3C39">
            <w:pPr>
              <w:keepNext/>
              <w:jc w:val="right"/>
              <w:rPr>
                <w:color w:val="000000"/>
                <w:sz w:val="20"/>
                <w:szCs w:val="20"/>
                <w:lang w:val="fr-FR"/>
              </w:rPr>
            </w:pPr>
            <w:r w:rsidRPr="00A557BB">
              <w:rPr>
                <w:color w:val="000000"/>
                <w:sz w:val="20"/>
                <w:szCs w:val="20"/>
                <w:lang w:val="fr-FR"/>
              </w:rPr>
              <w:t>1 845 169</w:t>
            </w:r>
          </w:p>
        </w:tc>
        <w:tc>
          <w:tcPr>
            <w:tcW w:w="684" w:type="pct"/>
            <w:tcBorders>
              <w:top w:val="nil"/>
              <w:left w:val="nil"/>
              <w:bottom w:val="single" w:sz="4" w:space="0" w:color="auto"/>
              <w:right w:val="single" w:sz="4" w:space="0" w:color="auto"/>
            </w:tcBorders>
            <w:shd w:val="clear" w:color="auto" w:fill="auto"/>
            <w:noWrap/>
            <w:vAlign w:val="center"/>
            <w:hideMark/>
          </w:tcPr>
          <w:p w14:paraId="52FA7726" w14:textId="77777777" w:rsidR="00205D0C" w:rsidRPr="00A557BB" w:rsidRDefault="00205D0C" w:rsidP="005A3C39">
            <w:pPr>
              <w:keepNext/>
              <w:jc w:val="right"/>
              <w:rPr>
                <w:color w:val="000000"/>
                <w:sz w:val="20"/>
                <w:szCs w:val="20"/>
                <w:lang w:val="fr-FR"/>
              </w:rPr>
            </w:pPr>
            <w:r w:rsidRPr="00A557BB">
              <w:rPr>
                <w:color w:val="000000"/>
                <w:sz w:val="20"/>
                <w:szCs w:val="20"/>
                <w:lang w:val="fr-FR"/>
              </w:rPr>
              <w:t>1 843 521</w:t>
            </w:r>
          </w:p>
        </w:tc>
        <w:tc>
          <w:tcPr>
            <w:tcW w:w="382" w:type="pct"/>
            <w:tcBorders>
              <w:top w:val="nil"/>
              <w:left w:val="nil"/>
              <w:bottom w:val="single" w:sz="4" w:space="0" w:color="auto"/>
              <w:right w:val="single" w:sz="4" w:space="0" w:color="auto"/>
            </w:tcBorders>
            <w:shd w:val="clear" w:color="auto" w:fill="auto"/>
            <w:vAlign w:val="center"/>
            <w:hideMark/>
          </w:tcPr>
          <w:p w14:paraId="6DB9C764" w14:textId="77777777" w:rsidR="00205D0C" w:rsidRPr="00A557BB" w:rsidRDefault="00201C93" w:rsidP="005A3C39">
            <w:pPr>
              <w:keepNext/>
              <w:jc w:val="right"/>
              <w:rPr>
                <w:color w:val="000000"/>
                <w:sz w:val="20"/>
                <w:szCs w:val="20"/>
                <w:lang w:val="fr-FR"/>
              </w:rPr>
            </w:pPr>
            <w:r w:rsidRPr="00A557BB">
              <w:rPr>
                <w:color w:val="000000"/>
                <w:sz w:val="20"/>
                <w:szCs w:val="20"/>
                <w:lang w:val="fr-FR"/>
              </w:rPr>
              <w:t>99,9</w:t>
            </w:r>
          </w:p>
        </w:tc>
        <w:tc>
          <w:tcPr>
            <w:tcW w:w="571" w:type="pct"/>
            <w:tcBorders>
              <w:top w:val="nil"/>
              <w:left w:val="nil"/>
              <w:bottom w:val="single" w:sz="4" w:space="0" w:color="auto"/>
              <w:right w:val="single" w:sz="4" w:space="0" w:color="auto"/>
            </w:tcBorders>
            <w:shd w:val="clear" w:color="auto" w:fill="auto"/>
          </w:tcPr>
          <w:p w14:paraId="0B233853" w14:textId="77777777" w:rsidR="00205D0C" w:rsidRPr="00A557BB" w:rsidRDefault="00205D0C" w:rsidP="005A3C39">
            <w:pPr>
              <w:keepNext/>
              <w:jc w:val="right"/>
              <w:rPr>
                <w:color w:val="000000"/>
                <w:sz w:val="20"/>
                <w:szCs w:val="20"/>
                <w:lang w:val="fr-FR"/>
              </w:rPr>
            </w:pPr>
            <w:r w:rsidRPr="00A557BB">
              <w:rPr>
                <w:color w:val="000000"/>
                <w:sz w:val="20"/>
                <w:szCs w:val="20"/>
                <w:lang w:val="fr-FR"/>
              </w:rPr>
              <w:t>1 648</w:t>
            </w:r>
          </w:p>
        </w:tc>
      </w:tr>
      <w:tr w:rsidR="00205D0C" w:rsidRPr="00A557BB" w14:paraId="2D79E42C" w14:textId="77777777" w:rsidTr="000E0FB5">
        <w:trPr>
          <w:trHeight w:val="58"/>
        </w:trPr>
        <w:tc>
          <w:tcPr>
            <w:tcW w:w="2296" w:type="pct"/>
            <w:gridSpan w:val="2"/>
            <w:tcBorders>
              <w:top w:val="nil"/>
              <w:left w:val="single" w:sz="4" w:space="0" w:color="auto"/>
              <w:bottom w:val="single" w:sz="4" w:space="0" w:color="auto"/>
              <w:right w:val="single" w:sz="4" w:space="0" w:color="auto"/>
            </w:tcBorders>
            <w:shd w:val="clear" w:color="auto" w:fill="auto"/>
            <w:noWrap/>
            <w:vAlign w:val="center"/>
            <w:hideMark/>
          </w:tcPr>
          <w:p w14:paraId="34F926DA" w14:textId="77777777" w:rsidR="00205D0C" w:rsidRPr="00A557BB" w:rsidRDefault="00205D0C" w:rsidP="005A3C39">
            <w:pPr>
              <w:keepNext/>
              <w:jc w:val="left"/>
              <w:rPr>
                <w:b/>
                <w:bCs/>
                <w:color w:val="000000"/>
                <w:sz w:val="20"/>
                <w:szCs w:val="20"/>
                <w:lang w:val="fr-FR"/>
              </w:rPr>
            </w:pPr>
            <w:r w:rsidRPr="00A557BB">
              <w:rPr>
                <w:b/>
                <w:bCs/>
                <w:color w:val="000000"/>
                <w:sz w:val="20"/>
                <w:szCs w:val="20"/>
                <w:lang w:val="fr-FR"/>
              </w:rPr>
              <w:t>Total</w:t>
            </w:r>
          </w:p>
        </w:tc>
        <w:tc>
          <w:tcPr>
            <w:tcW w:w="1066" w:type="pct"/>
            <w:tcBorders>
              <w:top w:val="nil"/>
              <w:left w:val="nil"/>
              <w:bottom w:val="single" w:sz="4" w:space="0" w:color="auto"/>
              <w:right w:val="single" w:sz="4" w:space="0" w:color="auto"/>
            </w:tcBorders>
            <w:shd w:val="clear" w:color="auto" w:fill="auto"/>
            <w:noWrap/>
            <w:vAlign w:val="center"/>
            <w:hideMark/>
          </w:tcPr>
          <w:p w14:paraId="55544818" w14:textId="77777777" w:rsidR="00205D0C" w:rsidRPr="00A557BB" w:rsidRDefault="00205D0C" w:rsidP="005A3C39">
            <w:pPr>
              <w:keepNext/>
              <w:jc w:val="right"/>
              <w:rPr>
                <w:b/>
                <w:bCs/>
                <w:color w:val="000000"/>
                <w:sz w:val="20"/>
                <w:szCs w:val="20"/>
                <w:lang w:val="fr-FR"/>
              </w:rPr>
            </w:pPr>
            <w:r w:rsidRPr="00A557BB">
              <w:rPr>
                <w:b/>
                <w:bCs/>
                <w:color w:val="000000"/>
                <w:sz w:val="20"/>
                <w:szCs w:val="20"/>
                <w:lang w:val="fr-FR"/>
              </w:rPr>
              <w:t>18 066 211</w:t>
            </w:r>
          </w:p>
        </w:tc>
        <w:tc>
          <w:tcPr>
            <w:tcW w:w="684" w:type="pct"/>
            <w:tcBorders>
              <w:top w:val="nil"/>
              <w:left w:val="nil"/>
              <w:bottom w:val="single" w:sz="4" w:space="0" w:color="auto"/>
              <w:right w:val="single" w:sz="4" w:space="0" w:color="auto"/>
            </w:tcBorders>
            <w:shd w:val="clear" w:color="auto" w:fill="auto"/>
            <w:noWrap/>
            <w:hideMark/>
          </w:tcPr>
          <w:p w14:paraId="1D5EA4D3" w14:textId="77777777" w:rsidR="00205D0C" w:rsidRPr="00A557BB" w:rsidRDefault="00205D0C" w:rsidP="005A3C39">
            <w:pPr>
              <w:keepNext/>
              <w:jc w:val="right"/>
              <w:rPr>
                <w:b/>
                <w:color w:val="000000"/>
                <w:sz w:val="20"/>
                <w:szCs w:val="20"/>
                <w:lang w:val="fr-FR"/>
              </w:rPr>
            </w:pPr>
            <w:r w:rsidRPr="00A557BB">
              <w:rPr>
                <w:b/>
                <w:color w:val="000000"/>
                <w:sz w:val="20"/>
                <w:szCs w:val="20"/>
                <w:lang w:val="fr-FR"/>
              </w:rPr>
              <w:t>17 077 105</w:t>
            </w:r>
          </w:p>
        </w:tc>
        <w:tc>
          <w:tcPr>
            <w:tcW w:w="382" w:type="pct"/>
            <w:tcBorders>
              <w:top w:val="nil"/>
              <w:left w:val="nil"/>
              <w:bottom w:val="single" w:sz="4" w:space="0" w:color="auto"/>
              <w:right w:val="single" w:sz="4" w:space="0" w:color="auto"/>
            </w:tcBorders>
            <w:shd w:val="clear" w:color="auto" w:fill="auto"/>
            <w:vAlign w:val="center"/>
            <w:hideMark/>
          </w:tcPr>
          <w:p w14:paraId="52E5FFE7" w14:textId="77777777" w:rsidR="00205D0C" w:rsidRPr="00A557BB" w:rsidRDefault="00201C93" w:rsidP="005A3C39">
            <w:pPr>
              <w:keepNext/>
              <w:jc w:val="right"/>
              <w:rPr>
                <w:b/>
                <w:color w:val="000000"/>
                <w:sz w:val="20"/>
                <w:szCs w:val="20"/>
                <w:lang w:val="fr-FR"/>
              </w:rPr>
            </w:pPr>
            <w:r w:rsidRPr="00A557BB">
              <w:rPr>
                <w:b/>
                <w:color w:val="000000"/>
                <w:sz w:val="20"/>
                <w:szCs w:val="20"/>
                <w:lang w:val="fr-FR"/>
              </w:rPr>
              <w:t>94,5</w:t>
            </w:r>
          </w:p>
        </w:tc>
        <w:tc>
          <w:tcPr>
            <w:tcW w:w="571" w:type="pct"/>
            <w:tcBorders>
              <w:top w:val="nil"/>
              <w:left w:val="nil"/>
              <w:bottom w:val="single" w:sz="4" w:space="0" w:color="auto"/>
              <w:right w:val="single" w:sz="4" w:space="0" w:color="auto"/>
            </w:tcBorders>
            <w:shd w:val="clear" w:color="auto" w:fill="auto"/>
          </w:tcPr>
          <w:p w14:paraId="5C97252C" w14:textId="77777777" w:rsidR="00205D0C" w:rsidRPr="00A557BB" w:rsidRDefault="00205D0C" w:rsidP="005A3C39">
            <w:pPr>
              <w:keepNext/>
              <w:jc w:val="right"/>
              <w:rPr>
                <w:b/>
                <w:color w:val="000000"/>
                <w:sz w:val="20"/>
                <w:szCs w:val="20"/>
                <w:lang w:val="fr-FR"/>
              </w:rPr>
            </w:pPr>
            <w:r w:rsidRPr="00A557BB">
              <w:rPr>
                <w:b/>
                <w:color w:val="000000"/>
                <w:sz w:val="20"/>
                <w:szCs w:val="20"/>
                <w:lang w:val="fr-FR"/>
              </w:rPr>
              <w:t>989 106</w:t>
            </w:r>
          </w:p>
        </w:tc>
      </w:tr>
    </w:tbl>
    <w:p w14:paraId="383347FF" w14:textId="172FA8B5" w:rsidR="00205D0C" w:rsidRPr="00A557BB" w:rsidRDefault="00205D0C" w:rsidP="00205D0C">
      <w:pPr>
        <w:pStyle w:val="StyleHeader4Para4Left0Firstline0"/>
        <w:numPr>
          <w:ilvl w:val="0"/>
          <w:numId w:val="0"/>
        </w:numPr>
        <w:spacing w:after="0"/>
        <w:rPr>
          <w:sz w:val="18"/>
          <w:szCs w:val="18"/>
          <w:lang w:val="fr-FR"/>
        </w:rPr>
      </w:pPr>
      <w:r w:rsidRPr="00A557BB">
        <w:rPr>
          <w:sz w:val="18"/>
          <w:szCs w:val="18"/>
          <w:lang w:val="fr-FR"/>
        </w:rPr>
        <w:t xml:space="preserve">* Sur la totalité du financement approuvé pour le projet lié aux entreprises de formulation, le Comité </w:t>
      </w:r>
      <w:r w:rsidR="00254E14" w:rsidRPr="00A557BB">
        <w:rPr>
          <w:sz w:val="18"/>
          <w:szCs w:val="18"/>
          <w:lang w:val="fr-FR"/>
        </w:rPr>
        <w:t>a approuvé</w:t>
      </w:r>
      <w:r w:rsidRPr="00A557BB">
        <w:rPr>
          <w:sz w:val="18"/>
          <w:szCs w:val="18"/>
          <w:lang w:val="fr-FR"/>
        </w:rPr>
        <w:t>, à la 79</w:t>
      </w:r>
      <w:r w:rsidR="00254E14" w:rsidRPr="00A557BB">
        <w:rPr>
          <w:sz w:val="18"/>
          <w:szCs w:val="18"/>
          <w:vertAlign w:val="superscript"/>
          <w:lang w:val="fr-FR"/>
        </w:rPr>
        <w:t>e</w:t>
      </w:r>
      <w:r w:rsidRPr="00A557BB">
        <w:rPr>
          <w:sz w:val="18"/>
          <w:szCs w:val="18"/>
          <w:lang w:val="fr-FR"/>
        </w:rPr>
        <w:t xml:space="preserve"> réunion, </w:t>
      </w:r>
      <w:r w:rsidR="00254E14" w:rsidRPr="00A557BB">
        <w:rPr>
          <w:sz w:val="18"/>
          <w:szCs w:val="18"/>
          <w:lang w:val="fr-FR"/>
        </w:rPr>
        <w:t>la</w:t>
      </w:r>
      <w:r w:rsidRPr="00A557BB">
        <w:rPr>
          <w:sz w:val="18"/>
          <w:szCs w:val="18"/>
          <w:lang w:val="fr-FR"/>
        </w:rPr>
        <w:t xml:space="preserve"> réaffectation de 1 293 558 $US pour la reconversion de deux entreprises de fabrication de mousse XPS.</w:t>
      </w:r>
    </w:p>
    <w:p w14:paraId="225DDD93" w14:textId="72C54A83" w:rsidR="00205D0C" w:rsidRPr="00A557BB" w:rsidRDefault="00205D0C" w:rsidP="00205D0C">
      <w:pPr>
        <w:pStyle w:val="StyleHeader4Para4Left0Firstline0"/>
        <w:numPr>
          <w:ilvl w:val="0"/>
          <w:numId w:val="0"/>
        </w:numPr>
        <w:spacing w:after="0"/>
        <w:rPr>
          <w:sz w:val="18"/>
          <w:szCs w:val="18"/>
          <w:lang w:val="fr-FR"/>
        </w:rPr>
      </w:pPr>
      <w:r w:rsidRPr="00A557BB">
        <w:rPr>
          <w:sz w:val="18"/>
          <w:szCs w:val="18"/>
          <w:lang w:val="fr-FR"/>
        </w:rPr>
        <w:t xml:space="preserve"> ** Sur le solde total de 989 106 $US, 4 112 $US issus du projet Mabe, 22 $US issus du projet aérosols et 1 104 $US issus du secteur de l'entretien ont déjà été </w:t>
      </w:r>
      <w:r w:rsidR="00254E14" w:rsidRPr="00A557BB">
        <w:rPr>
          <w:sz w:val="18"/>
          <w:szCs w:val="18"/>
          <w:lang w:val="fr-FR"/>
        </w:rPr>
        <w:t>retournés</w:t>
      </w:r>
      <w:r w:rsidRPr="00A557BB">
        <w:rPr>
          <w:sz w:val="18"/>
          <w:szCs w:val="18"/>
          <w:lang w:val="fr-FR"/>
        </w:rPr>
        <w:t xml:space="preserve"> au Fonds par le PNUD et l'ONUDI lors de réunions précédentes. L'ONUDI restituera 24 $US au projet de mousse de polyuréthane à la </w:t>
      </w:r>
      <w:r w:rsidR="00254E14" w:rsidRPr="00A557BB">
        <w:rPr>
          <w:sz w:val="18"/>
          <w:szCs w:val="18"/>
          <w:lang w:val="fr-FR"/>
        </w:rPr>
        <w:t>85</w:t>
      </w:r>
      <w:r w:rsidR="00254E14" w:rsidRPr="00A557BB">
        <w:rPr>
          <w:sz w:val="18"/>
          <w:szCs w:val="18"/>
          <w:vertAlign w:val="superscript"/>
          <w:lang w:val="fr-FR"/>
        </w:rPr>
        <w:t>e</w:t>
      </w:r>
      <w:r w:rsidR="00254E14" w:rsidRPr="00A557BB">
        <w:rPr>
          <w:sz w:val="18"/>
          <w:szCs w:val="18"/>
          <w:lang w:val="fr-FR"/>
        </w:rPr>
        <w:t xml:space="preserve"> réunion</w:t>
      </w:r>
      <w:r w:rsidRPr="00A557BB">
        <w:rPr>
          <w:sz w:val="18"/>
          <w:szCs w:val="18"/>
          <w:lang w:val="fr-FR"/>
        </w:rPr>
        <w:t xml:space="preserve"> et les soldes restants (983 300 $US provenant du projet de mousse de polyuréthane du PNUD et tout solde du secteur de l'entretien de l'ONUDI) à la 8</w:t>
      </w:r>
      <w:r w:rsidR="00254E14" w:rsidRPr="00A557BB">
        <w:rPr>
          <w:sz w:val="18"/>
          <w:szCs w:val="18"/>
          <w:lang w:val="fr-FR"/>
        </w:rPr>
        <w:t>7</w:t>
      </w:r>
      <w:r w:rsidR="00254E14" w:rsidRPr="00A557BB">
        <w:rPr>
          <w:sz w:val="18"/>
          <w:szCs w:val="18"/>
          <w:vertAlign w:val="superscript"/>
          <w:lang w:val="fr-FR"/>
        </w:rPr>
        <w:t>e</w:t>
      </w:r>
      <w:r w:rsidR="00254E14" w:rsidRPr="00A557BB">
        <w:rPr>
          <w:sz w:val="18"/>
          <w:szCs w:val="18"/>
          <w:lang w:val="fr-FR"/>
        </w:rPr>
        <w:t xml:space="preserve"> réunion, lors</w:t>
      </w:r>
      <w:r w:rsidRPr="00A557BB">
        <w:rPr>
          <w:sz w:val="18"/>
          <w:szCs w:val="18"/>
          <w:vertAlign w:val="superscript"/>
          <w:lang w:val="fr-FR"/>
        </w:rPr>
        <w:t xml:space="preserve"> </w:t>
      </w:r>
      <w:r w:rsidRPr="00A557BB">
        <w:rPr>
          <w:sz w:val="18"/>
          <w:szCs w:val="18"/>
          <w:lang w:val="fr-FR"/>
        </w:rPr>
        <w:t>de l'achèvement financier de la dernière tranche de la phase I du PGEH.</w:t>
      </w:r>
    </w:p>
    <w:p w14:paraId="060A2560" w14:textId="77777777" w:rsidR="00205D0C" w:rsidRPr="00A557BB" w:rsidRDefault="00205D0C" w:rsidP="00205D0C">
      <w:pPr>
        <w:pStyle w:val="StyleHeader4Para4Left0Firstline0"/>
        <w:numPr>
          <w:ilvl w:val="0"/>
          <w:numId w:val="0"/>
        </w:numPr>
        <w:spacing w:after="0"/>
        <w:rPr>
          <w:b/>
          <w:sz w:val="22"/>
          <w:lang w:val="fr-FR"/>
        </w:rPr>
      </w:pPr>
    </w:p>
    <w:p w14:paraId="4E48869A" w14:textId="77777777" w:rsidR="00205D0C" w:rsidRPr="00A557BB" w:rsidRDefault="0064628C" w:rsidP="00205D0C">
      <w:pPr>
        <w:pStyle w:val="StyleHeader4Para4Left0Firstline0"/>
        <w:numPr>
          <w:ilvl w:val="0"/>
          <w:numId w:val="0"/>
        </w:numPr>
        <w:rPr>
          <w:b/>
          <w:sz w:val="22"/>
          <w:lang w:val="fr-FR"/>
        </w:rPr>
      </w:pPr>
      <w:r w:rsidRPr="00A557BB">
        <w:rPr>
          <w:b/>
          <w:sz w:val="22"/>
          <w:lang w:val="fr-FR"/>
        </w:rPr>
        <w:t>Observations du Secrétariat</w:t>
      </w:r>
    </w:p>
    <w:p w14:paraId="4F609AA9" w14:textId="15C87B8E" w:rsidR="00205D0C" w:rsidRPr="00A557BB" w:rsidRDefault="00205D0C" w:rsidP="00205D0C">
      <w:pPr>
        <w:pStyle w:val="Heading1"/>
        <w:rPr>
          <w:lang w:val="fr-FR"/>
        </w:rPr>
      </w:pPr>
      <w:r w:rsidRPr="00A557BB">
        <w:rPr>
          <w:lang w:val="fr-FR"/>
        </w:rPr>
        <w:t>Le Secrétariat note avec satisfaction que le Gouvernement mexicain, avec l'assistance de l'ONUDI et du PNUD, a pratiquement achevé tous les projets d'investissement et</w:t>
      </w:r>
      <w:r w:rsidR="00254E14" w:rsidRPr="00A557BB">
        <w:rPr>
          <w:lang w:val="fr-FR"/>
        </w:rPr>
        <w:t xml:space="preserve"> toutes</w:t>
      </w:r>
      <w:r w:rsidRPr="00A557BB">
        <w:rPr>
          <w:lang w:val="fr-FR"/>
        </w:rPr>
        <w:t xml:space="preserve"> les activités du secteur de l'entretien en réfrigération dans la phase I, atteignant et dépassant les objectifs de réduction de la consommation de HCFC, y compris la </w:t>
      </w:r>
      <w:r w:rsidR="002F5396" w:rsidRPr="00A557BB">
        <w:rPr>
          <w:lang w:val="fr-FR"/>
        </w:rPr>
        <w:t>reconversion</w:t>
      </w:r>
      <w:r w:rsidRPr="00A557BB">
        <w:rPr>
          <w:lang w:val="fr-FR"/>
        </w:rPr>
        <w:t xml:space="preserve"> de près de 300 entreprises manufacturières. Les seules activités en suspens sont l'achèvement de la reconversion du fabricant de mousse XPS Termofoam et la formation des 145 derniers techniciens. Ces deux activités devraient être menées à terme d'ici à décembre 2019. </w:t>
      </w:r>
    </w:p>
    <w:p w14:paraId="481A21A2" w14:textId="271E5A0B" w:rsidR="00205D0C" w:rsidRPr="00A557BB" w:rsidRDefault="00205D0C" w:rsidP="00205D0C">
      <w:pPr>
        <w:pStyle w:val="Heading1"/>
        <w:rPr>
          <w:lang w:val="fr-FR"/>
        </w:rPr>
      </w:pPr>
      <w:r w:rsidRPr="00A557BB">
        <w:rPr>
          <w:lang w:val="fr-FR"/>
        </w:rPr>
        <w:t xml:space="preserve">Afin de garantir la durabilité de la reconversion </w:t>
      </w:r>
      <w:r w:rsidR="00254E14" w:rsidRPr="00A557BB">
        <w:rPr>
          <w:lang w:val="fr-FR"/>
        </w:rPr>
        <w:t>du secteur des mousses XPS, le G</w:t>
      </w:r>
      <w:r w:rsidRPr="00A557BB">
        <w:rPr>
          <w:lang w:val="fr-FR"/>
        </w:rPr>
        <w:t>ouvernement du Mexique s'est engagé à ne pas attribuer de quota d'importation de HCFC-142b à compter du 1</w:t>
      </w:r>
      <w:r w:rsidRPr="00A557BB">
        <w:rPr>
          <w:vertAlign w:val="superscript"/>
          <w:lang w:val="fr-FR"/>
        </w:rPr>
        <w:t>er</w:t>
      </w:r>
      <w:r w:rsidRPr="00A557BB">
        <w:rPr>
          <w:lang w:val="fr-FR"/>
        </w:rPr>
        <w:t xml:space="preserve"> janvier 2020 et à restreindre toute utilisation potentielle du HCFC-22 dans la fabrication de La mousse XPS à </w:t>
      </w:r>
      <w:r w:rsidRPr="00A557BB">
        <w:rPr>
          <w:lang w:val="fr-FR"/>
        </w:rPr>
        <w:lastRenderedPageBreak/>
        <w:t>l'aide de son système d'octroi de permis d'importation et de consommation, comme le stipule la décision 79/38 (c) (ii).</w:t>
      </w:r>
    </w:p>
    <w:p w14:paraId="2D890E55" w14:textId="77777777" w:rsidR="00205D0C" w:rsidRPr="00A557BB" w:rsidRDefault="00205D0C" w:rsidP="00205D0C">
      <w:pPr>
        <w:pStyle w:val="Heading1"/>
        <w:rPr>
          <w:lang w:val="fr-FR"/>
        </w:rPr>
      </w:pPr>
      <w:r w:rsidRPr="00A557BB">
        <w:rPr>
          <w:lang w:val="fr-FR"/>
        </w:rPr>
        <w:t>Pour rationaliser le rendu de rapports dans ce cas, la phase I étant pratiquement terminée, le Secrétariat propose que le rapport portant sur l'achèvement de la formation de techniciens, le projet liés aux mousses XPS et l'ajustement des quotas d'importation soit consigné dans le prochain rapport périodique et la demande de tranche concernant la phase II du PGEH, à présenter à la 86</w:t>
      </w:r>
      <w:r w:rsidRPr="00A557BB">
        <w:rPr>
          <w:vertAlign w:val="superscript"/>
          <w:lang w:val="fr-FR"/>
        </w:rPr>
        <w:t>e</w:t>
      </w:r>
      <w:r w:rsidRPr="00A557BB">
        <w:rPr>
          <w:lang w:val="fr-FR"/>
        </w:rPr>
        <w:t xml:space="preserve"> réunion. Conformément à la décision 82/33 c), le rapport d'achèvement du projet pour la phase I sera soumis au plus tard le 30 juin 2020.</w:t>
      </w:r>
    </w:p>
    <w:p w14:paraId="7DF79B7B" w14:textId="77777777" w:rsidR="00205D0C" w:rsidRPr="00A557BB" w:rsidRDefault="00205D0C" w:rsidP="00205D0C">
      <w:pPr>
        <w:pStyle w:val="Heading1"/>
        <w:rPr>
          <w:lang w:val="fr-FR"/>
        </w:rPr>
      </w:pPr>
      <w:r w:rsidRPr="00A557BB">
        <w:rPr>
          <w:lang w:val="fr-FR"/>
        </w:rPr>
        <w:t>En ce qui concerne la décision 82/33 b), le PNUD a également soumis la liste finale des utilisateurs en aval de mousses de polyuréthane assistés au titre de la phase I du PGEH et a confirmé qu'un solde non utilisé de 983 300 $US serait restitué au Fonds à la 87</w:t>
      </w:r>
      <w:r w:rsidRPr="00A557BB">
        <w:rPr>
          <w:vertAlign w:val="superscript"/>
          <w:lang w:val="fr-FR"/>
        </w:rPr>
        <w:t>e</w:t>
      </w:r>
      <w:r w:rsidRPr="00A557BB">
        <w:rPr>
          <w:lang w:val="fr-FR"/>
        </w:rPr>
        <w:t xml:space="preserve"> réunion, lors de l'achèvement financier de la phase I du PGEH en décembre 2020. Ce solde correspond aux fonds associés à l'entreprise de mousse XPS Plasticos Espumados, qui n'a pas participé à la phase I du PGEH (683 300 $US), et à des économies estimées à 300 000 $US découlant de la reconversion des entreprises de formulation et des utilisateurs de mousses PU en aval.</w:t>
      </w:r>
    </w:p>
    <w:p w14:paraId="1F14BE43" w14:textId="77777777" w:rsidR="00205D0C" w:rsidRPr="00A557BB" w:rsidRDefault="00205D0C" w:rsidP="00205D0C">
      <w:pPr>
        <w:pStyle w:val="StyleHeader4Para4Left0Firstline0"/>
        <w:numPr>
          <w:ilvl w:val="0"/>
          <w:numId w:val="0"/>
        </w:numPr>
        <w:rPr>
          <w:sz w:val="22"/>
          <w:lang w:val="fr-FR"/>
        </w:rPr>
      </w:pPr>
      <w:r w:rsidRPr="00A557BB">
        <w:rPr>
          <w:b/>
          <w:sz w:val="22"/>
          <w:lang w:val="fr-FR"/>
        </w:rPr>
        <w:t>Recommandation</w:t>
      </w:r>
    </w:p>
    <w:p w14:paraId="79D3DE7D" w14:textId="77777777" w:rsidR="00205D0C" w:rsidRPr="00A557BB" w:rsidRDefault="00205D0C" w:rsidP="00205D0C">
      <w:pPr>
        <w:pStyle w:val="Heading1"/>
        <w:rPr>
          <w:lang w:val="fr-FR"/>
        </w:rPr>
      </w:pPr>
      <w:r w:rsidRPr="00A557BB">
        <w:rPr>
          <w:lang w:val="fr-FR"/>
        </w:rPr>
        <w:t>Le Comité exécutif pourrait souhaiter prendre note :</w:t>
      </w:r>
    </w:p>
    <w:p w14:paraId="500B4C8F" w14:textId="596F88FC" w:rsidR="00205D0C" w:rsidRPr="00A557BB" w:rsidRDefault="00205D0C" w:rsidP="00205D0C">
      <w:pPr>
        <w:pStyle w:val="Heading2"/>
        <w:numPr>
          <w:ilvl w:val="1"/>
          <w:numId w:val="1"/>
        </w:numPr>
        <w:rPr>
          <w:lang w:val="fr-FR"/>
        </w:rPr>
      </w:pPr>
      <w:r w:rsidRPr="00A557BB">
        <w:rPr>
          <w:lang w:val="fr-FR"/>
        </w:rPr>
        <w:t>du rapport périodique 2019 sur la mise en œuvre de la p</w:t>
      </w:r>
      <w:r w:rsidR="00254E14" w:rsidRPr="00A557BB">
        <w:rPr>
          <w:lang w:val="fr-FR"/>
        </w:rPr>
        <w:t>hase I du plan de gestion de l'</w:t>
      </w:r>
      <w:r w:rsidRPr="00A557BB">
        <w:rPr>
          <w:lang w:val="fr-FR"/>
        </w:rPr>
        <w:t xml:space="preserve">élimination des HCFC (PGEH) pour le Mexique soumis par l'ONUDI, contenu dans le document paru sous la cote UNEP/OzL.Pro/ExCom/84/22 ; </w:t>
      </w:r>
    </w:p>
    <w:p w14:paraId="5C84DA32" w14:textId="2B523771" w:rsidR="00205D0C" w:rsidRPr="00A557BB" w:rsidRDefault="00205D0C" w:rsidP="00205D0C">
      <w:pPr>
        <w:pStyle w:val="Heading2"/>
        <w:numPr>
          <w:ilvl w:val="1"/>
          <w:numId w:val="1"/>
        </w:numPr>
        <w:rPr>
          <w:lang w:val="fr-FR"/>
        </w:rPr>
      </w:pPr>
      <w:r w:rsidRPr="00A557BB">
        <w:rPr>
          <w:lang w:val="fr-FR"/>
        </w:rPr>
        <w:t>que l'entreprise Plasticos Espumados n'a pas participé à la phase I du PGEH pour le Mexique et que les fonds approuvés de 683 300 $US seront reversés au Fonds à la 87</w:t>
      </w:r>
      <w:r w:rsidRPr="00A557BB">
        <w:rPr>
          <w:vertAlign w:val="superscript"/>
          <w:lang w:val="fr-FR"/>
        </w:rPr>
        <w:t>e</w:t>
      </w:r>
      <w:r w:rsidR="008A09F8">
        <w:rPr>
          <w:lang w:val="fr-FR"/>
        </w:rPr>
        <w:t> </w:t>
      </w:r>
      <w:r w:rsidRPr="00A557BB">
        <w:rPr>
          <w:lang w:val="fr-FR"/>
        </w:rPr>
        <w:t>réunion,  lors de l’achèvement financier de la phase I du PGEH ;</w:t>
      </w:r>
    </w:p>
    <w:p w14:paraId="6FB39E9B" w14:textId="0A10DE42" w:rsidR="00205D0C" w:rsidRPr="00A557BB" w:rsidRDefault="00205D0C" w:rsidP="00205D0C">
      <w:pPr>
        <w:pStyle w:val="Heading2"/>
        <w:numPr>
          <w:ilvl w:val="1"/>
          <w:numId w:val="1"/>
        </w:numPr>
        <w:rPr>
          <w:lang w:val="fr-FR"/>
        </w:rPr>
      </w:pPr>
      <w:r w:rsidRPr="00A557BB">
        <w:rPr>
          <w:lang w:val="fr-FR"/>
        </w:rPr>
        <w:t>du solde de 24 $US qui sera restitué par l’ONUDI à la 85</w:t>
      </w:r>
      <w:r w:rsidRPr="00A557BB">
        <w:rPr>
          <w:vertAlign w:val="superscript"/>
          <w:lang w:val="fr-FR"/>
        </w:rPr>
        <w:t>e</w:t>
      </w:r>
      <w:r w:rsidRPr="00A557BB">
        <w:rPr>
          <w:lang w:val="fr-FR"/>
        </w:rPr>
        <w:t xml:space="preserve"> réunion, ainsi que du solde estimé à 300 000 $US, qui sera restitué par le PNUD et l’ONUDI, de même que tout solde ouvert issu du sec</w:t>
      </w:r>
      <w:r w:rsidR="00254E14" w:rsidRPr="00A557BB">
        <w:rPr>
          <w:lang w:val="fr-FR"/>
        </w:rPr>
        <w:t>teur de la maintenance, à la 87</w:t>
      </w:r>
      <w:r w:rsidRPr="00A557BB">
        <w:rPr>
          <w:vertAlign w:val="superscript"/>
          <w:lang w:val="fr-FR"/>
        </w:rPr>
        <w:t>e</w:t>
      </w:r>
      <w:r w:rsidRPr="00A557BB">
        <w:rPr>
          <w:lang w:val="fr-FR"/>
        </w:rPr>
        <w:t xml:space="preserve"> réunion, lors de l’achèvement financier de la phase I du PGEH ;</w:t>
      </w:r>
    </w:p>
    <w:p w14:paraId="58D89678" w14:textId="77777777" w:rsidR="00205D0C" w:rsidRPr="00A557BB" w:rsidRDefault="00205D0C" w:rsidP="00205D0C">
      <w:pPr>
        <w:pStyle w:val="Heading2"/>
        <w:numPr>
          <w:ilvl w:val="1"/>
          <w:numId w:val="1"/>
        </w:numPr>
        <w:rPr>
          <w:lang w:val="fr-FR"/>
        </w:rPr>
      </w:pPr>
      <w:r w:rsidRPr="00A557BB">
        <w:rPr>
          <w:lang w:val="fr-FR"/>
        </w:rPr>
        <w:t>que le PNUD et l'ONUDI remettront leur dernier rapport sur l'achèvement des activités restantes de la phase I dans le cadre du prochain rapport périodique associé à la phase II du PGEH et soumettront le rapport d'achèvement du projet de la phase I au plus tard le 30 juin 2020, conformément à la décision 82/33 c).</w:t>
      </w:r>
    </w:p>
    <w:p w14:paraId="081164AC" w14:textId="77777777" w:rsidR="00053143" w:rsidRPr="00A557BB" w:rsidRDefault="004F257E" w:rsidP="00053143">
      <w:pPr>
        <w:rPr>
          <w:lang w:val="fr-FR"/>
        </w:rPr>
      </w:pPr>
      <w:r w:rsidRPr="00A557BB">
        <w:rPr>
          <w:u w:val="single"/>
          <w:lang w:val="fr-FR"/>
        </w:rPr>
        <w:t>Qatar: Plan de gestion de l'élimination des HCFC (phase I - rapport d'étape final)</w:t>
      </w:r>
      <w:r w:rsidR="00053143" w:rsidRPr="00A557BB">
        <w:rPr>
          <w:lang w:val="fr-FR"/>
        </w:rPr>
        <w:t xml:space="preserve"> (ONUDI et PNUE)</w:t>
      </w:r>
    </w:p>
    <w:p w14:paraId="1E4FBD41" w14:textId="77777777" w:rsidR="00053143" w:rsidRPr="00A557BB" w:rsidRDefault="00053143" w:rsidP="00053143">
      <w:pPr>
        <w:rPr>
          <w:lang w:val="fr-FR"/>
        </w:rPr>
      </w:pPr>
    </w:p>
    <w:p w14:paraId="741C24E0" w14:textId="77777777" w:rsidR="00053143" w:rsidRPr="00A557BB" w:rsidRDefault="00053143" w:rsidP="00053143">
      <w:pPr>
        <w:rPr>
          <w:b/>
          <w:lang w:val="fr-FR"/>
        </w:rPr>
      </w:pPr>
      <w:r w:rsidRPr="00A557BB">
        <w:rPr>
          <w:b/>
          <w:lang w:val="fr-FR"/>
        </w:rPr>
        <w:t>Historique</w:t>
      </w:r>
    </w:p>
    <w:p w14:paraId="76BFA367" w14:textId="77777777" w:rsidR="00053143" w:rsidRPr="00A557BB" w:rsidRDefault="00053143" w:rsidP="00053143">
      <w:pPr>
        <w:rPr>
          <w:lang w:val="fr-FR"/>
        </w:rPr>
      </w:pPr>
    </w:p>
    <w:p w14:paraId="30EC9457" w14:textId="77777777" w:rsidR="00053143" w:rsidRPr="00A557BB" w:rsidRDefault="00053143" w:rsidP="00053143">
      <w:pPr>
        <w:pStyle w:val="Heading1"/>
        <w:rPr>
          <w:lang w:val="fr-FR"/>
        </w:rPr>
      </w:pPr>
      <w:r w:rsidRPr="00A557BB">
        <w:rPr>
          <w:lang w:val="fr-FR"/>
        </w:rPr>
        <w:t>À sa 82</w:t>
      </w:r>
      <w:r w:rsidRPr="00A557BB">
        <w:rPr>
          <w:vertAlign w:val="superscript"/>
          <w:lang w:val="fr-FR"/>
        </w:rPr>
        <w:t>e</w:t>
      </w:r>
      <w:r w:rsidRPr="00A557BB">
        <w:rPr>
          <w:lang w:val="fr-FR"/>
        </w:rPr>
        <w:t xml:space="preserve"> réunion, le Comité exécutif a prolongé la phase I du PGEH pour le Qatar de janvier 2015 à juillet 2019 et prié le Gouvernement du Qatar, l’ONUDI et le PNUE de soumettre leur rapport périodique final à la 84</w:t>
      </w:r>
      <w:r w:rsidRPr="00A557BB">
        <w:rPr>
          <w:vertAlign w:val="superscript"/>
          <w:lang w:val="fr-FR"/>
        </w:rPr>
        <w:t>e</w:t>
      </w:r>
      <w:r w:rsidRPr="00A557BB">
        <w:rPr>
          <w:lang w:val="fr-FR"/>
        </w:rPr>
        <w:t xml:space="preserve"> réunion, de restituer le solde inutilisé avant le 31 décembre 2019 et de soumettre le rapport d'achèvement du projet lors de la première réunion tenue en 2020 (décision 82/34). </w:t>
      </w:r>
    </w:p>
    <w:p w14:paraId="7F03930F" w14:textId="328AF7D7" w:rsidR="00053143" w:rsidRPr="00A557BB" w:rsidRDefault="00053143" w:rsidP="00053143">
      <w:pPr>
        <w:pStyle w:val="Heading1"/>
        <w:rPr>
          <w:lang w:val="fr-FR"/>
        </w:rPr>
      </w:pPr>
      <w:r w:rsidRPr="00A557BB">
        <w:rPr>
          <w:lang w:val="fr-FR"/>
        </w:rPr>
        <w:t>À la 82</w:t>
      </w:r>
      <w:r w:rsidRPr="00A557BB">
        <w:rPr>
          <w:vertAlign w:val="superscript"/>
          <w:lang w:val="fr-FR"/>
        </w:rPr>
        <w:t>e</w:t>
      </w:r>
      <w:r w:rsidRPr="00A557BB">
        <w:rPr>
          <w:lang w:val="fr-FR"/>
        </w:rPr>
        <w:t xml:space="preserve"> réunion, le Comité exécutif a également noté que le gouvernement pourrait présenter la demande portant sur la phase II du PGEH lors de la 83</w:t>
      </w:r>
      <w:r w:rsidRPr="00A557BB">
        <w:rPr>
          <w:vertAlign w:val="superscript"/>
          <w:lang w:val="fr-FR"/>
        </w:rPr>
        <w:t>e</w:t>
      </w:r>
      <w:r w:rsidRPr="00A557BB">
        <w:rPr>
          <w:lang w:val="fr-FR"/>
        </w:rPr>
        <w:t xml:space="preserve"> réunion, étant entendu qu'il comprendrait la vérification de la consommation du pays pour l</w:t>
      </w:r>
      <w:r w:rsidR="00254E14" w:rsidRPr="00A557BB">
        <w:rPr>
          <w:lang w:val="fr-FR"/>
        </w:rPr>
        <w:t>es années 2017 à 2018 ; aucune demande n</w:t>
      </w:r>
      <w:r w:rsidRPr="00A557BB">
        <w:rPr>
          <w:lang w:val="fr-FR"/>
        </w:rPr>
        <w:t>'a cependant été soumise ni à la 83</w:t>
      </w:r>
      <w:r w:rsidRPr="00A557BB">
        <w:rPr>
          <w:vertAlign w:val="superscript"/>
          <w:lang w:val="fr-FR"/>
        </w:rPr>
        <w:t>e</w:t>
      </w:r>
      <w:r w:rsidRPr="00A557BB">
        <w:rPr>
          <w:lang w:val="fr-FR"/>
        </w:rPr>
        <w:t xml:space="preserve"> ni à la 84</w:t>
      </w:r>
      <w:r w:rsidRPr="00A557BB">
        <w:rPr>
          <w:vertAlign w:val="superscript"/>
          <w:lang w:val="fr-FR"/>
        </w:rPr>
        <w:t>e</w:t>
      </w:r>
      <w:r w:rsidRPr="00A557BB">
        <w:rPr>
          <w:lang w:val="fr-FR"/>
        </w:rPr>
        <w:t xml:space="preserve"> réunion.</w:t>
      </w:r>
    </w:p>
    <w:p w14:paraId="472DB543" w14:textId="77777777" w:rsidR="00053143" w:rsidRPr="00A557BB" w:rsidRDefault="00053143" w:rsidP="00053143">
      <w:pPr>
        <w:pStyle w:val="Heading1"/>
        <w:numPr>
          <w:ilvl w:val="0"/>
          <w:numId w:val="0"/>
        </w:numPr>
        <w:rPr>
          <w:b/>
          <w:lang w:val="fr-FR"/>
        </w:rPr>
      </w:pPr>
      <w:r w:rsidRPr="00A557BB">
        <w:rPr>
          <w:b/>
          <w:lang w:val="fr-FR"/>
        </w:rPr>
        <w:lastRenderedPageBreak/>
        <w:t>Observations du Secrétariat</w:t>
      </w:r>
    </w:p>
    <w:p w14:paraId="3F8FAD45" w14:textId="77777777" w:rsidR="00053143" w:rsidRPr="00A557BB" w:rsidRDefault="00053143" w:rsidP="00053143">
      <w:pPr>
        <w:pStyle w:val="Heading1"/>
        <w:rPr>
          <w:lang w:val="fr-FR"/>
        </w:rPr>
      </w:pPr>
      <w:r w:rsidRPr="00A557BB">
        <w:rPr>
          <w:lang w:val="fr-FR"/>
        </w:rPr>
        <w:t xml:space="preserve">Au cours de l’examen du projet, le Secrétariat a été informé qu’en raison d’un changement survenu au sein de l’unité nationale ozone, le rapport final sur l’état d’avancement de la phase I n’avait pas pu être soumis et qu'un délai supplémentaire, à savoir au 31 décembre 2020, serait nécessaire à cette fin. </w:t>
      </w:r>
    </w:p>
    <w:p w14:paraId="05F7196B" w14:textId="77777777" w:rsidR="00053143" w:rsidRPr="00A557BB" w:rsidRDefault="00053143" w:rsidP="00053143">
      <w:pPr>
        <w:pStyle w:val="Heading1"/>
        <w:numPr>
          <w:ilvl w:val="0"/>
          <w:numId w:val="0"/>
        </w:numPr>
        <w:rPr>
          <w:b/>
          <w:lang w:val="fr-FR"/>
        </w:rPr>
      </w:pPr>
      <w:r w:rsidRPr="00A557BB">
        <w:rPr>
          <w:b/>
          <w:lang w:val="fr-FR"/>
        </w:rPr>
        <w:t>Recommandation</w:t>
      </w:r>
    </w:p>
    <w:p w14:paraId="7396E02E" w14:textId="77777777" w:rsidR="00053143" w:rsidRPr="00A557BB" w:rsidRDefault="00053143" w:rsidP="00053143">
      <w:pPr>
        <w:pStyle w:val="Heading1"/>
        <w:rPr>
          <w:lang w:val="fr-FR"/>
        </w:rPr>
      </w:pPr>
      <w:r w:rsidRPr="00A557BB">
        <w:rPr>
          <w:lang w:val="fr-FR"/>
        </w:rPr>
        <w:t>Le Comité exécutif pourrait souhaiter :</w:t>
      </w:r>
    </w:p>
    <w:p w14:paraId="7E233B65" w14:textId="77777777" w:rsidR="00053143" w:rsidRPr="00A557BB" w:rsidRDefault="00053143" w:rsidP="00053143">
      <w:pPr>
        <w:pStyle w:val="Heading2"/>
        <w:numPr>
          <w:ilvl w:val="1"/>
          <w:numId w:val="1"/>
        </w:numPr>
        <w:rPr>
          <w:lang w:val="fr-FR"/>
        </w:rPr>
      </w:pPr>
      <w:r w:rsidRPr="00A557BB">
        <w:rPr>
          <w:lang w:val="fr-FR"/>
        </w:rPr>
        <w:t xml:space="preserve">prendre note de la demande d'extension de la phase I du plan de gestion de l'élimination des HCFC (PGEH) du Qatar figurant dans le document paru sous la cote UNEP/OzL.Pro/ExCom/84/22 ; </w:t>
      </w:r>
    </w:p>
    <w:p w14:paraId="28AA871B" w14:textId="41C6AEF8" w:rsidR="00053143" w:rsidRPr="00A557BB" w:rsidRDefault="00254E14" w:rsidP="00053143">
      <w:pPr>
        <w:pStyle w:val="Heading2"/>
        <w:numPr>
          <w:ilvl w:val="1"/>
          <w:numId w:val="1"/>
        </w:numPr>
        <w:rPr>
          <w:lang w:val="fr-FR"/>
        </w:rPr>
      </w:pPr>
      <w:r w:rsidRPr="00A557BB">
        <w:rPr>
          <w:lang w:val="fr-FR"/>
        </w:rPr>
        <w:t>à</w:t>
      </w:r>
      <w:r w:rsidR="00053143" w:rsidRPr="00A557BB">
        <w:rPr>
          <w:lang w:val="fr-FR"/>
        </w:rPr>
        <w:t xml:space="preserve"> titre exceptionnel, et notant qu'aucune nouvelle prolongation de la mise en œuvre du projet ne serait demandée, approuver la prolongation de la date d'achèvement de la phase I du PGEH pour le Qa</w:t>
      </w:r>
      <w:r w:rsidRPr="00A557BB">
        <w:rPr>
          <w:lang w:val="fr-FR"/>
        </w:rPr>
        <w:t>tar jusqu'au 31 décembre 2020 ;</w:t>
      </w:r>
    </w:p>
    <w:p w14:paraId="310DE290" w14:textId="02C06FD1" w:rsidR="00053143" w:rsidRPr="00A557BB" w:rsidRDefault="00053143" w:rsidP="00053143">
      <w:pPr>
        <w:pStyle w:val="Heading2"/>
        <w:numPr>
          <w:ilvl w:val="1"/>
          <w:numId w:val="1"/>
        </w:numPr>
        <w:rPr>
          <w:lang w:val="fr-FR"/>
        </w:rPr>
      </w:pPr>
      <w:r w:rsidRPr="00A557BB">
        <w:rPr>
          <w:lang w:val="fr-FR"/>
        </w:rPr>
        <w:t>demander au Gouvernement du Qatar, à l’ONUDI et au PNUE de soumettre, à la 87</w:t>
      </w:r>
      <w:r w:rsidRPr="00A557BB">
        <w:rPr>
          <w:vertAlign w:val="superscript"/>
          <w:lang w:val="fr-FR"/>
        </w:rPr>
        <w:t>e</w:t>
      </w:r>
      <w:r w:rsidR="00234883">
        <w:rPr>
          <w:lang w:val="fr-FR"/>
        </w:rPr>
        <w:t> </w:t>
      </w:r>
      <w:r w:rsidRPr="00A557BB">
        <w:rPr>
          <w:lang w:val="fr-FR"/>
        </w:rPr>
        <w:t>réunion, le rapport périodique final et le rapport d’achèvement du projet, d’assurer l’achèvement du projet sur le plan financier et de restituer les soldes restants d’ici à la 87</w:t>
      </w:r>
      <w:r w:rsidRPr="00A557BB">
        <w:rPr>
          <w:vertAlign w:val="superscript"/>
          <w:lang w:val="fr-FR"/>
        </w:rPr>
        <w:t>e</w:t>
      </w:r>
      <w:r w:rsidR="00234883">
        <w:rPr>
          <w:lang w:val="fr-FR"/>
        </w:rPr>
        <w:t> </w:t>
      </w:r>
      <w:r w:rsidRPr="00A557BB">
        <w:rPr>
          <w:lang w:val="fr-FR"/>
        </w:rPr>
        <w:t xml:space="preserve">réunion. </w:t>
      </w:r>
    </w:p>
    <w:p w14:paraId="7CB97A49" w14:textId="77777777" w:rsidR="003D777B" w:rsidRPr="00A557BB" w:rsidRDefault="003D777B" w:rsidP="003D777B">
      <w:pPr>
        <w:spacing w:after="240"/>
        <w:rPr>
          <w:lang w:val="fr-FR"/>
        </w:rPr>
      </w:pPr>
      <w:r w:rsidRPr="00A557BB">
        <w:rPr>
          <w:u w:val="single"/>
          <w:lang w:val="fr-FR"/>
        </w:rPr>
        <w:t>Uruguay: Plan de gestion de l'élimination des HCFC (phase II - Rapport sur les progrès accomplis dans la mise en œuvre de la reconversion des entreprises de fabrication de mousses)</w:t>
      </w:r>
      <w:r w:rsidRPr="00A557BB">
        <w:rPr>
          <w:lang w:val="fr-FR"/>
        </w:rPr>
        <w:t xml:space="preserve"> (PNUD)</w:t>
      </w:r>
    </w:p>
    <w:p w14:paraId="729549C3" w14:textId="77777777" w:rsidR="003D777B" w:rsidRPr="00A557BB" w:rsidRDefault="003D777B" w:rsidP="00053143">
      <w:pPr>
        <w:widowControl w:val="0"/>
        <w:spacing w:after="240"/>
        <w:rPr>
          <w:b/>
          <w:lang w:val="fr-FR"/>
        </w:rPr>
      </w:pPr>
      <w:r w:rsidRPr="00A557BB">
        <w:rPr>
          <w:b/>
          <w:lang w:val="fr-FR"/>
        </w:rPr>
        <w:t>Historique</w:t>
      </w:r>
    </w:p>
    <w:p w14:paraId="643BB8CC" w14:textId="7E332DB7" w:rsidR="003D777B" w:rsidRPr="00A557BB" w:rsidRDefault="003D777B" w:rsidP="00053143">
      <w:pPr>
        <w:pStyle w:val="Heading1"/>
        <w:widowControl w:val="0"/>
        <w:rPr>
          <w:lang w:val="fr-FR"/>
        </w:rPr>
      </w:pPr>
      <w:r w:rsidRPr="00A557BB">
        <w:rPr>
          <w:lang w:val="fr-FR"/>
        </w:rPr>
        <w:t>À la 82</w:t>
      </w:r>
      <w:r w:rsidRPr="00A557BB">
        <w:rPr>
          <w:vertAlign w:val="superscript"/>
          <w:lang w:val="fr-FR"/>
        </w:rPr>
        <w:t>e</w:t>
      </w:r>
      <w:r w:rsidRPr="00A557BB">
        <w:rPr>
          <w:lang w:val="fr-FR"/>
        </w:rPr>
        <w:t xml:space="preserve"> réunion, le Comité exécutif a examiné la demande de la deuxième tranche de la phase II du PGEH pour l'Uruguay.</w:t>
      </w:r>
      <w:r w:rsidRPr="00A557BB">
        <w:rPr>
          <w:rStyle w:val="FootnoteReference"/>
          <w:lang w:val="fr-FR"/>
        </w:rPr>
        <w:footnoteReference w:id="23"/>
      </w:r>
      <w:r w:rsidRPr="00A557BB">
        <w:rPr>
          <w:lang w:val="fr-FR"/>
        </w:rPr>
        <w:t xml:space="preserve"> La demande incluait la mise en œuvre d'un projet d'élimination du HCFC-141b utilisé dans la fabrication de mousses en convertissant 21 PME à une technologie basée sur les HFO. Le PNUD avait indiqué qu’il était toujours difficile de s’approvisionner en HFO dans la région. En approuvant la tranche, le Comité a demandé au PNUD de faire rapport à la 84</w:t>
      </w:r>
      <w:r w:rsidRPr="00A557BB">
        <w:rPr>
          <w:vertAlign w:val="superscript"/>
          <w:lang w:val="fr-FR"/>
        </w:rPr>
        <w:t>e</w:t>
      </w:r>
      <w:r w:rsidRPr="00A557BB">
        <w:rPr>
          <w:lang w:val="fr-FR"/>
        </w:rPr>
        <w:t xml:space="preserve"> réunion sur la mise en œuvre de la reconversion des PME et sur la disponibilité des HFO et des systèmes de PU basés sur le HFO ainsi que les composants associés (décision 82/76 b) (ii)).</w:t>
      </w:r>
    </w:p>
    <w:p w14:paraId="622D46CB" w14:textId="77777777" w:rsidR="003D777B" w:rsidRPr="00A557BB" w:rsidRDefault="003D777B" w:rsidP="003D777B">
      <w:pPr>
        <w:keepNext/>
        <w:keepLines/>
        <w:spacing w:after="240"/>
        <w:rPr>
          <w:b/>
          <w:lang w:val="fr-FR"/>
        </w:rPr>
      </w:pPr>
      <w:r w:rsidRPr="00A557BB">
        <w:rPr>
          <w:b/>
          <w:lang w:val="fr-FR"/>
        </w:rPr>
        <w:t>Rapport périodique</w:t>
      </w:r>
    </w:p>
    <w:p w14:paraId="7E01CE08" w14:textId="7B868E77" w:rsidR="003D777B" w:rsidRPr="00A557BB" w:rsidRDefault="003D777B" w:rsidP="003D777B">
      <w:pPr>
        <w:pStyle w:val="Heading1"/>
        <w:rPr>
          <w:lang w:val="fr-FR"/>
        </w:rPr>
      </w:pPr>
      <w:r w:rsidRPr="00A557BB">
        <w:rPr>
          <w:lang w:val="fr-FR"/>
        </w:rPr>
        <w:t>Conformément à la décision susmentionnée, le PNUD a indiqué que la plupart des entreprises de mousses utilisaient des systèmes à base de HCFC-141b et de HFC basés</w:t>
      </w:r>
      <w:r w:rsidR="00254E14" w:rsidRPr="00A557BB">
        <w:rPr>
          <w:lang w:val="fr-FR"/>
        </w:rPr>
        <w:t xml:space="preserve"> sur le prix de la formulation ; aucune reconversion utilisant </w:t>
      </w:r>
      <w:r w:rsidRPr="00A557BB">
        <w:rPr>
          <w:lang w:val="fr-FR"/>
        </w:rPr>
        <w:t xml:space="preserve">des agents gonflants à faible PRP n'a </w:t>
      </w:r>
      <w:r w:rsidR="00254E14" w:rsidRPr="00A557BB">
        <w:rPr>
          <w:lang w:val="fr-FR"/>
        </w:rPr>
        <w:t xml:space="preserve">cependant </w:t>
      </w:r>
      <w:r w:rsidRPr="00A557BB">
        <w:rPr>
          <w:lang w:val="fr-FR"/>
        </w:rPr>
        <w:t>été effectuée parmi ces entreprises.</w:t>
      </w:r>
    </w:p>
    <w:p w14:paraId="264A0584" w14:textId="71C4C3D9" w:rsidR="003D777B" w:rsidRPr="00A557BB" w:rsidRDefault="003D777B" w:rsidP="003D777B">
      <w:pPr>
        <w:pStyle w:val="Heading1"/>
        <w:rPr>
          <w:lang w:val="fr-FR"/>
        </w:rPr>
      </w:pPr>
      <w:r w:rsidRPr="00A557BB">
        <w:rPr>
          <w:lang w:val="fr-FR"/>
        </w:rPr>
        <w:t>L’UNO a rencontré des fournisseurs locaux de systèmes de PU, où les obstacles suivants ont été mis au jour : le marché de la mousse est restreint dans le pays et il n'est pas économiquement réalisable pour les entreprises de formulation internationales d'y distribuer de tels systèmes ; les distributeurs locaux n’ont aucune connaissance des systèmes à base de HFO et sont donc réticents à les proposer à leur</w:t>
      </w:r>
      <w:r w:rsidR="00254E14" w:rsidRPr="00A557BB">
        <w:rPr>
          <w:lang w:val="fr-FR"/>
        </w:rPr>
        <w:t xml:space="preserve">s  clients ; et le coût élevé des </w:t>
      </w:r>
      <w:r w:rsidRPr="00A557BB">
        <w:rPr>
          <w:lang w:val="fr-FR"/>
        </w:rPr>
        <w:t>HFO par rapport aux systèmes basés sur le HCFC-141b et les HFC. L’UNO a également rencontré une entreprise de formulation proposant des systèmes à base de HFO dans la région ; lors de cette réunion, une formulation adaptée aux applications utilisées en Uruguay a été identifiée. Un approvisionnement de systèmes à HFO de ce genre sera fourni à titre expérimental d’ici 2020.</w:t>
      </w:r>
    </w:p>
    <w:p w14:paraId="00C24F21" w14:textId="77777777" w:rsidR="003D777B" w:rsidRPr="00A557BB" w:rsidRDefault="003D777B" w:rsidP="003D777B">
      <w:pPr>
        <w:widowControl w:val="0"/>
        <w:spacing w:after="240"/>
        <w:outlineLvl w:val="0"/>
        <w:rPr>
          <w:b/>
          <w:lang w:val="fr-FR"/>
        </w:rPr>
      </w:pPr>
      <w:r w:rsidRPr="00A557BB">
        <w:rPr>
          <w:b/>
          <w:lang w:val="fr-FR"/>
        </w:rPr>
        <w:lastRenderedPageBreak/>
        <w:t>Observations du Secrétariat</w:t>
      </w:r>
    </w:p>
    <w:p w14:paraId="396264FA" w14:textId="77777777" w:rsidR="003D777B" w:rsidRPr="00A557BB" w:rsidRDefault="003D777B" w:rsidP="003D777B">
      <w:pPr>
        <w:pStyle w:val="Heading1"/>
        <w:widowControl w:val="0"/>
        <w:rPr>
          <w:lang w:val="fr-FR"/>
        </w:rPr>
      </w:pPr>
      <w:r w:rsidRPr="00A557BB">
        <w:rPr>
          <w:lang w:val="fr-FR"/>
        </w:rPr>
        <w:t xml:space="preserve">Le Secrétariat a pris note des difficultés persistantes rencontrées par les PME pour se procurer des HFO, technologie sélectionnée pour les conversions, ainsi que des efforts déployés par le PNUD pour aider le gouvernement de l'Uruguay à assurer la fourniture de systèmes de polyols à faible PRP et la reconversion des PME.  </w:t>
      </w:r>
    </w:p>
    <w:p w14:paraId="0EC8A94F" w14:textId="71219863" w:rsidR="003D777B" w:rsidRPr="00A557BB" w:rsidRDefault="003D777B" w:rsidP="003D777B">
      <w:pPr>
        <w:pStyle w:val="Heading1"/>
        <w:widowControl w:val="0"/>
        <w:rPr>
          <w:lang w:val="fr-FR"/>
        </w:rPr>
      </w:pPr>
      <w:r w:rsidRPr="00A557BB">
        <w:rPr>
          <w:lang w:val="fr-FR"/>
        </w:rPr>
        <w:t xml:space="preserve">Le PNUD a indiqué que les plus grandes PME s'étaient engagées à investir davantage dans la </w:t>
      </w:r>
      <w:r w:rsidR="002F5396" w:rsidRPr="00A557BB">
        <w:rPr>
          <w:lang w:val="fr-FR"/>
        </w:rPr>
        <w:t>reconversion</w:t>
      </w:r>
      <w:r w:rsidRPr="00A557BB">
        <w:rPr>
          <w:lang w:val="fr-FR"/>
        </w:rPr>
        <w:t xml:space="preserve"> de leur production en cyclopentane en tant qu'agent gonflant, tandis que les autres PME testa</w:t>
      </w:r>
      <w:r w:rsidR="00254E14" w:rsidRPr="00A557BB">
        <w:rPr>
          <w:lang w:val="fr-FR"/>
        </w:rPr>
        <w:t xml:space="preserve">ient des systèmes à base d'eau </w:t>
      </w:r>
      <w:r w:rsidRPr="00A557BB">
        <w:rPr>
          <w:lang w:val="fr-FR"/>
        </w:rPr>
        <w:t>pour des applications spécifiques.</w:t>
      </w:r>
    </w:p>
    <w:p w14:paraId="4313FC83" w14:textId="77777777" w:rsidR="003D777B" w:rsidRPr="00A557BB" w:rsidRDefault="003D777B" w:rsidP="003D777B">
      <w:pPr>
        <w:numPr>
          <w:ilvl w:val="0"/>
          <w:numId w:val="1"/>
        </w:numPr>
        <w:tabs>
          <w:tab w:val="clear" w:pos="0"/>
          <w:tab w:val="num" w:pos="710"/>
        </w:tabs>
        <w:spacing w:after="240"/>
        <w:outlineLvl w:val="0"/>
        <w:rPr>
          <w:b/>
          <w:lang w:val="fr-FR"/>
        </w:rPr>
      </w:pPr>
      <w:r w:rsidRPr="00A557BB">
        <w:rPr>
          <w:lang w:val="fr-FR"/>
        </w:rPr>
        <w:t>Il a été noté que le PNUD et le Gouvernement de l’Uruguay continueraient à surveiller la reconversion de ces entreprises et rendraient compte de l’état de la disponibilité des HFO et des résultats des essais d’autres produits à faible PRP, à la 85</w:t>
      </w:r>
      <w:r w:rsidRPr="00A557BB">
        <w:rPr>
          <w:vertAlign w:val="superscript"/>
          <w:lang w:val="fr-FR"/>
        </w:rPr>
        <w:t>e</w:t>
      </w:r>
      <w:r w:rsidRPr="00A557BB">
        <w:rPr>
          <w:lang w:val="fr-FR"/>
        </w:rPr>
        <w:t xml:space="preserve"> réunion. Le PNUD a également réaffirmé que le gouvernement était pleinement résolu à assurer l'élimination des HCFC-141b utilisés par les PME et ferait tout son possible pour que des solutions de remplacement à faible PRP puissent être mises à disposition en 2020.</w:t>
      </w:r>
    </w:p>
    <w:p w14:paraId="70CB0BFF" w14:textId="77777777" w:rsidR="003D777B" w:rsidRPr="00A557BB" w:rsidRDefault="003D777B" w:rsidP="003D777B">
      <w:pPr>
        <w:spacing w:after="240"/>
        <w:outlineLvl w:val="0"/>
        <w:rPr>
          <w:b/>
          <w:lang w:val="fr-FR"/>
        </w:rPr>
      </w:pPr>
      <w:r w:rsidRPr="00A557BB">
        <w:rPr>
          <w:b/>
          <w:lang w:val="fr-FR"/>
        </w:rPr>
        <w:t>Recommandation</w:t>
      </w:r>
    </w:p>
    <w:p w14:paraId="389830BF" w14:textId="77777777" w:rsidR="003D777B" w:rsidRPr="00A557BB" w:rsidRDefault="003D777B" w:rsidP="003D777B">
      <w:pPr>
        <w:keepNext/>
        <w:numPr>
          <w:ilvl w:val="0"/>
          <w:numId w:val="1"/>
        </w:numPr>
        <w:tabs>
          <w:tab w:val="clear" w:pos="0"/>
          <w:tab w:val="num" w:pos="710"/>
        </w:tabs>
        <w:spacing w:after="240"/>
        <w:outlineLvl w:val="0"/>
        <w:rPr>
          <w:lang w:val="fr-FR"/>
        </w:rPr>
      </w:pPr>
      <w:r w:rsidRPr="00A557BB">
        <w:rPr>
          <w:lang w:val="fr-FR"/>
        </w:rPr>
        <w:t>Le Comité exécutif pourrait souhaiter :</w:t>
      </w:r>
    </w:p>
    <w:p w14:paraId="4192D3A6" w14:textId="4CB70B56" w:rsidR="003D777B" w:rsidRPr="00A557BB" w:rsidRDefault="00F6520F" w:rsidP="003D777B">
      <w:pPr>
        <w:pStyle w:val="Heading2"/>
        <w:numPr>
          <w:ilvl w:val="1"/>
          <w:numId w:val="1"/>
        </w:numPr>
        <w:rPr>
          <w:lang w:val="fr-FR"/>
        </w:rPr>
      </w:pPr>
      <w:r w:rsidRPr="00A557BB">
        <w:rPr>
          <w:lang w:val="fr-FR"/>
        </w:rPr>
        <w:t xml:space="preserve">prendre note du rapport soumis par le PNUD concernant l’état d’avancement de la reconversion des entreprises de fabrication de mousses et la disponibilité de HFO et de systèmes de PU basés sur les HFO et de leurs composants associés, financés dans le cadre de la phase II du plan de gestion de l'élimination des HCFC pour l'Uruguay, contenu dans le document paru sous la cote UNEP/OzL.Pro/ExCom/84/22 ; </w:t>
      </w:r>
    </w:p>
    <w:p w14:paraId="38CE4CFD" w14:textId="4E13C4BB" w:rsidR="003D777B" w:rsidRPr="00A557BB" w:rsidRDefault="003D777B" w:rsidP="00B45D48">
      <w:pPr>
        <w:pStyle w:val="Heading2"/>
        <w:keepNext/>
        <w:widowControl/>
        <w:numPr>
          <w:ilvl w:val="1"/>
          <w:numId w:val="1"/>
        </w:numPr>
        <w:rPr>
          <w:b/>
          <w:caps/>
          <w:lang w:val="fr-FR"/>
        </w:rPr>
      </w:pPr>
      <w:r w:rsidRPr="00A557BB">
        <w:rPr>
          <w:lang w:val="fr-FR"/>
        </w:rPr>
        <w:t>demander au PNUD de continuer à aider le Gouvernement de l'Uruguay à assurer l'approvisionnement en HFO et en systèmes de polyuréthane basés sur les HFO et</w:t>
      </w:r>
      <w:r w:rsidR="000051AE" w:rsidRPr="00A557BB">
        <w:rPr>
          <w:lang w:val="fr-FR"/>
        </w:rPr>
        <w:t xml:space="preserve"> de leurs composants associés, </w:t>
      </w:r>
      <w:r w:rsidRPr="00A557BB">
        <w:rPr>
          <w:lang w:val="fr-FR"/>
        </w:rPr>
        <w:t>ou d'autres solutions de remplacement à faible potentiel de réchauffement de la planète, et de faire rapport à la 85</w:t>
      </w:r>
      <w:r w:rsidRPr="00A557BB">
        <w:rPr>
          <w:vertAlign w:val="superscript"/>
          <w:lang w:val="fr-FR"/>
        </w:rPr>
        <w:t>e</w:t>
      </w:r>
      <w:r w:rsidRPr="00A557BB">
        <w:rPr>
          <w:lang w:val="fr-FR"/>
        </w:rPr>
        <w:t xml:space="preserve"> réunion et à chaque réunion suivante sur l'état de la reconversion des 21 petites et moyennes entreprises du secteur des mousses jusqu'à ce que la technologie initialement sélecti</w:t>
      </w:r>
      <w:r w:rsidR="000051AE" w:rsidRPr="00A557BB">
        <w:rPr>
          <w:lang w:val="fr-FR"/>
        </w:rPr>
        <w:t xml:space="preserve">onnée ou une autre technologie </w:t>
      </w:r>
      <w:r w:rsidRPr="00A557BB">
        <w:rPr>
          <w:lang w:val="fr-FR"/>
        </w:rPr>
        <w:t>à faible PRP soit en production.</w:t>
      </w:r>
    </w:p>
    <w:p w14:paraId="5D6C5CE7" w14:textId="77777777" w:rsidR="00B642D3" w:rsidRPr="00A557BB" w:rsidRDefault="00D0637C" w:rsidP="00E748BB">
      <w:pPr>
        <w:keepNext/>
        <w:rPr>
          <w:b/>
          <w:u w:val="single"/>
          <w:lang w:val="fr-FR"/>
        </w:rPr>
      </w:pPr>
      <w:r w:rsidRPr="00A557BB">
        <w:rPr>
          <w:b/>
          <w:u w:val="single"/>
          <w:lang w:val="fr-FR"/>
        </w:rPr>
        <w:t>Projets de démonstration sur des solutions de remplacement à faible PRP et études de faisabilité sur le refroidissement urbain</w:t>
      </w:r>
    </w:p>
    <w:p w14:paraId="2134DF57" w14:textId="77777777" w:rsidR="00B642D3" w:rsidRPr="00A557BB" w:rsidRDefault="00B642D3" w:rsidP="00E748BB">
      <w:pPr>
        <w:keepNext/>
        <w:rPr>
          <w:b/>
          <w:lang w:val="fr-FR"/>
        </w:rPr>
      </w:pPr>
    </w:p>
    <w:p w14:paraId="0468C2C8" w14:textId="77777777" w:rsidR="00FA135A" w:rsidRPr="00A557BB" w:rsidRDefault="00FA135A" w:rsidP="00E748BB">
      <w:pPr>
        <w:keepNext/>
        <w:spacing w:after="240"/>
        <w:rPr>
          <w:lang w:val="fr-FR"/>
        </w:rPr>
      </w:pPr>
      <w:r w:rsidRPr="00A557BB">
        <w:rPr>
          <w:u w:val="single"/>
          <w:lang w:val="fr-FR"/>
        </w:rPr>
        <w:t xml:space="preserve">Egypte: Démonstration d'options </w:t>
      </w:r>
      <w:r w:rsidRPr="00A557BB">
        <w:rPr>
          <w:u w:val="single"/>
          <w:lang w:val="fr-FR"/>
        </w:rPr>
        <w:noBreakHyphen/>
        <w:t xml:space="preserve">peu coûteuses pour effectuer la reconversion vers des </w:t>
      </w:r>
      <w:r w:rsidR="00614272" w:rsidRPr="00A557BB">
        <w:rPr>
          <w:u w:val="single"/>
          <w:lang w:val="fr-FR"/>
        </w:rPr>
        <w:t>technologie</w:t>
      </w:r>
      <w:r w:rsidRPr="00A557BB">
        <w:rPr>
          <w:u w:val="single"/>
          <w:lang w:val="fr-FR"/>
        </w:rPr>
        <w:t xml:space="preserve">s sans SAO dans le secteur </w:t>
      </w:r>
      <w:r w:rsidR="0018562F" w:rsidRPr="00A557BB">
        <w:rPr>
          <w:u w:val="single"/>
          <w:lang w:val="fr-FR"/>
        </w:rPr>
        <w:t>des polyuréthanes pour les très petits utilisateurs (rapport final)</w:t>
      </w:r>
      <w:r w:rsidRPr="00A557BB">
        <w:rPr>
          <w:lang w:val="fr-FR"/>
        </w:rPr>
        <w:t xml:space="preserve"> (PNUD) </w:t>
      </w:r>
    </w:p>
    <w:p w14:paraId="420532A5" w14:textId="77777777" w:rsidR="00FA135A" w:rsidRPr="00A557BB" w:rsidRDefault="00FA135A" w:rsidP="00FA135A">
      <w:pPr>
        <w:spacing w:after="240"/>
        <w:rPr>
          <w:b/>
          <w:lang w:val="fr-FR"/>
        </w:rPr>
      </w:pPr>
      <w:r w:rsidRPr="00A557BB">
        <w:rPr>
          <w:b/>
          <w:lang w:val="fr-FR"/>
        </w:rPr>
        <w:t>Historique</w:t>
      </w:r>
    </w:p>
    <w:p w14:paraId="5C74C26D" w14:textId="03FC4801" w:rsidR="00FA135A" w:rsidRPr="00A557BB" w:rsidRDefault="00FA135A" w:rsidP="00FA135A">
      <w:pPr>
        <w:pStyle w:val="Heading1"/>
        <w:rPr>
          <w:color w:val="000000"/>
          <w:kern w:val="36"/>
          <w:lang w:val="fr-FR"/>
        </w:rPr>
      </w:pPr>
      <w:r w:rsidRPr="00A557BB">
        <w:rPr>
          <w:lang w:val="fr-FR"/>
        </w:rPr>
        <w:t>Le projet de démonstration sur les options à faible coût destinées aux très petits utilisateurs (VSU) pour les applications de mousses de polyuréthane en Égypte a été approuvé à la 76</w:t>
      </w:r>
      <w:r w:rsidRPr="00A557BB">
        <w:rPr>
          <w:vertAlign w:val="superscript"/>
          <w:lang w:val="fr-FR"/>
        </w:rPr>
        <w:t>e</w:t>
      </w:r>
      <w:r w:rsidRPr="00A557BB">
        <w:rPr>
          <w:lang w:val="fr-FR"/>
        </w:rPr>
        <w:t xml:space="preserve"> réunion,</w:t>
      </w:r>
      <w:r w:rsidR="000051AE" w:rsidRPr="00A557BB">
        <w:rPr>
          <w:rStyle w:val="FootnoteReference"/>
          <w:lang w:val="fr-FR"/>
        </w:rPr>
        <w:footnoteReference w:id="24"/>
      </w:r>
      <w:r w:rsidRPr="00A557BB">
        <w:rPr>
          <w:lang w:val="fr-FR"/>
        </w:rPr>
        <w:t xml:space="preserve"> pour </w:t>
      </w:r>
      <w:r w:rsidR="000051AE" w:rsidRPr="00A557BB">
        <w:rPr>
          <w:lang w:val="fr-FR"/>
        </w:rPr>
        <w:t xml:space="preserve">un montant de </w:t>
      </w:r>
      <w:r w:rsidRPr="00A557BB">
        <w:rPr>
          <w:lang w:val="fr-FR"/>
        </w:rPr>
        <w:t>295 000 $US, auxquels s’ajoutent 20 650 $US de coûts d'appui d'agence pour le PNUD. Le projet devait dévelo</w:t>
      </w:r>
      <w:r w:rsidR="000051AE" w:rsidRPr="00A557BB">
        <w:rPr>
          <w:lang w:val="fr-FR"/>
        </w:rPr>
        <w:t xml:space="preserve">pper une unité de distribution de mousse pour </w:t>
      </w:r>
      <w:r w:rsidRPr="00A557BB">
        <w:rPr>
          <w:lang w:val="fr-FR"/>
        </w:rPr>
        <w:t>des applications de coulée sur place utilisées par les VSU, à un coût inférieur aux distributeurs disponibles sur le marché et explorer la possibilité de pré-emballer des systèmes de mousse PU pour certaines applications de mousse qui seraient faciles à utiliser pour les VSU, avec des unités de moussage à faible coût. A la 83</w:t>
      </w:r>
      <w:r w:rsidRPr="00A557BB">
        <w:rPr>
          <w:vertAlign w:val="superscript"/>
          <w:lang w:val="fr-FR"/>
        </w:rPr>
        <w:t>e</w:t>
      </w:r>
      <w:r w:rsidRPr="00A557BB">
        <w:rPr>
          <w:lang w:val="fr-FR"/>
        </w:rPr>
        <w:t xml:space="preserve"> réunion, le Comité </w:t>
      </w:r>
      <w:r w:rsidRPr="00A557BB">
        <w:rPr>
          <w:lang w:val="fr-FR"/>
        </w:rPr>
        <w:lastRenderedPageBreak/>
        <w:t>exécutif a examiné un rapport final préliminaire du</w:t>
      </w:r>
      <w:r w:rsidR="000051AE" w:rsidRPr="00A557BB">
        <w:rPr>
          <w:lang w:val="fr-FR"/>
        </w:rPr>
        <w:t xml:space="preserve"> </w:t>
      </w:r>
      <w:r w:rsidRPr="00A557BB">
        <w:rPr>
          <w:color w:val="000000"/>
          <w:kern w:val="36"/>
          <w:lang w:val="fr-FR"/>
        </w:rPr>
        <w:t xml:space="preserve">projet et a notamment demandé au PNUD de soumettre le rapport final du projet, </w:t>
      </w:r>
      <w:r w:rsidRPr="00A557BB">
        <w:rPr>
          <w:lang w:val="fr-FR"/>
        </w:rPr>
        <w:t>à la 84</w:t>
      </w:r>
      <w:r w:rsidRPr="00A557BB">
        <w:rPr>
          <w:color w:val="000000"/>
          <w:kern w:val="36"/>
          <w:vertAlign w:val="superscript"/>
          <w:lang w:val="fr-FR"/>
        </w:rPr>
        <w:t>e</w:t>
      </w:r>
      <w:r w:rsidR="000051AE" w:rsidRPr="00A557BB">
        <w:rPr>
          <w:color w:val="000000"/>
          <w:kern w:val="36"/>
          <w:vertAlign w:val="superscript"/>
          <w:lang w:val="fr-FR"/>
        </w:rPr>
        <w:t xml:space="preserve"> </w:t>
      </w:r>
      <w:r w:rsidRPr="00A557BB">
        <w:rPr>
          <w:lang w:val="fr-FR"/>
        </w:rPr>
        <w:t>réunion</w:t>
      </w:r>
      <w:r w:rsidR="000051AE" w:rsidRPr="00A557BB">
        <w:rPr>
          <w:color w:val="000000"/>
          <w:kern w:val="36"/>
          <w:lang w:val="fr-FR"/>
        </w:rPr>
        <w:t xml:space="preserve"> au plus</w:t>
      </w:r>
      <w:r w:rsidR="000051AE" w:rsidRPr="00A557BB">
        <w:rPr>
          <w:lang w:val="fr-FR"/>
        </w:rPr>
        <w:t xml:space="preserve"> tard</w:t>
      </w:r>
      <w:r w:rsidRPr="00A557BB">
        <w:rPr>
          <w:lang w:val="fr-FR"/>
        </w:rPr>
        <w:t>, notant qu'</w:t>
      </w:r>
      <w:r w:rsidRPr="00A557BB">
        <w:rPr>
          <w:color w:val="000000"/>
          <w:kern w:val="36"/>
          <w:lang w:val="fr-FR"/>
        </w:rPr>
        <w:t>il comprendrait les détails comparatifs des caractéristiques techniques de l'équipement d'origine et des unités optimisées à faible coût ainsi que les performances de l'équipement pendant les essais, y compris les systèmes de mousse utilisés, les résultats de l'utilisation du nouvel équipement et les recommandations relatives à son utilité pour les très petits utilisateurs (décision 83/29 (c</w:t>
      </w:r>
      <w:r w:rsidRPr="00A557BB">
        <w:rPr>
          <w:lang w:val="fr-FR"/>
        </w:rPr>
        <w:t>)).</w:t>
      </w:r>
    </w:p>
    <w:p w14:paraId="0653AB50" w14:textId="77777777" w:rsidR="00FA135A" w:rsidRPr="00A557BB" w:rsidRDefault="00FA135A" w:rsidP="00FA135A">
      <w:pPr>
        <w:pStyle w:val="Heading1"/>
        <w:rPr>
          <w:lang w:val="fr-FR"/>
        </w:rPr>
      </w:pPr>
      <w:r w:rsidRPr="00A557BB">
        <w:rPr>
          <w:lang w:val="fr-FR"/>
        </w:rPr>
        <w:t xml:space="preserve">Conformément à la décision 83/29 c), le PNUD a présenté, au nom du Gouvernement égyptien, le rapport final du projet de démonstration visant à optimiser </w:t>
      </w:r>
      <w:r w:rsidRPr="00A557BB">
        <w:rPr>
          <w:color w:val="000000"/>
          <w:kern w:val="36"/>
          <w:lang w:val="fr-FR"/>
        </w:rPr>
        <w:t>les technologies sans SAO dans le secteur des mousses PU en Égypte. Le rapport final est joint au présent document.</w:t>
      </w:r>
      <w:r w:rsidRPr="00A557BB">
        <w:rPr>
          <w:lang w:val="fr-FR"/>
        </w:rPr>
        <w:t xml:space="preserve"> </w:t>
      </w:r>
    </w:p>
    <w:p w14:paraId="52DFDC20" w14:textId="77777777" w:rsidR="00FA135A" w:rsidRPr="00A557BB" w:rsidRDefault="00FA135A" w:rsidP="00FA135A">
      <w:pPr>
        <w:spacing w:after="240"/>
        <w:rPr>
          <w:b/>
          <w:lang w:val="fr-FR"/>
        </w:rPr>
      </w:pPr>
      <w:r w:rsidRPr="00A557BB">
        <w:rPr>
          <w:b/>
          <w:lang w:val="fr-FR"/>
        </w:rPr>
        <w:t>Résumé du rapport final</w:t>
      </w:r>
    </w:p>
    <w:p w14:paraId="710C9D13" w14:textId="77777777" w:rsidR="00FA135A" w:rsidRPr="00A557BB" w:rsidRDefault="00FA135A" w:rsidP="00FA135A">
      <w:pPr>
        <w:numPr>
          <w:ilvl w:val="0"/>
          <w:numId w:val="1"/>
        </w:numPr>
        <w:tabs>
          <w:tab w:val="clear" w:pos="0"/>
          <w:tab w:val="num" w:pos="710"/>
        </w:tabs>
        <w:spacing w:after="240"/>
        <w:outlineLvl w:val="0"/>
        <w:rPr>
          <w:color w:val="000000"/>
          <w:kern w:val="36"/>
          <w:lang w:val="fr-FR"/>
        </w:rPr>
      </w:pPr>
      <w:r w:rsidRPr="00A557BB">
        <w:rPr>
          <w:color w:val="000000"/>
          <w:kern w:val="36"/>
          <w:lang w:val="fr-FR"/>
        </w:rPr>
        <w:t>Le PNUD a conçu le projet en deux parties : la première partie concernait la sélection de l'équipement (à savoir l'élaboration de ses caractéristiques techniques, les appels d'offres, l'examen des soumissions et les achats), et la seconde concernait l'optimisation des systèmes de moussage préemballés, ce qui comprenait la sélection d'une entreprise de formulation qui se procurerait des systèmes préemballés auprès des fournisseurs et un essai sur site du système, avec les équipements sélectionnés et les petits utilisateurs de mousse.</w:t>
      </w:r>
    </w:p>
    <w:p w14:paraId="0BF2DFDC" w14:textId="137FBB7D" w:rsidR="00FA135A" w:rsidRPr="00A557BB" w:rsidRDefault="00FA135A" w:rsidP="00FA135A">
      <w:pPr>
        <w:numPr>
          <w:ilvl w:val="0"/>
          <w:numId w:val="1"/>
        </w:numPr>
        <w:tabs>
          <w:tab w:val="clear" w:pos="0"/>
          <w:tab w:val="num" w:pos="710"/>
        </w:tabs>
        <w:spacing w:after="240"/>
        <w:outlineLvl w:val="0"/>
        <w:rPr>
          <w:lang w:val="fr-FR"/>
        </w:rPr>
      </w:pPr>
      <w:r w:rsidRPr="00A557BB">
        <w:rPr>
          <w:lang w:val="fr-FR"/>
        </w:rPr>
        <w:t xml:space="preserve">Le projet incluait différentes caractéristiques techniques visant à modifier les distributeurs de mousse de petite taille et mobiles généralement utilisés par les VSU. En conclusion, un équipement plus simple a été conçu par le biais d’un processus d’appel d’offres, dégageant </w:t>
      </w:r>
      <w:r w:rsidRPr="00A557BB">
        <w:rPr>
          <w:lang w:val="fr-FR"/>
        </w:rPr>
        <w:noBreakHyphen/>
        <w:t xml:space="preserve">les économies suivantes:  un distributeur de mousse de base à semelle et à coulée sur place au </w:t>
      </w:r>
      <w:r w:rsidR="00FC6258">
        <w:rPr>
          <w:lang w:val="fr-FR"/>
        </w:rPr>
        <w:t>coût de 5 500 $US au lieu de 10 </w:t>
      </w:r>
      <w:r w:rsidRPr="00A557BB">
        <w:rPr>
          <w:lang w:val="fr-FR"/>
        </w:rPr>
        <w:t>00</w:t>
      </w:r>
      <w:r w:rsidR="00FC6258">
        <w:rPr>
          <w:lang w:val="fr-FR"/>
        </w:rPr>
        <w:t>0 </w:t>
      </w:r>
      <w:r w:rsidRPr="00A557BB">
        <w:rPr>
          <w:lang w:val="fr-FR"/>
        </w:rPr>
        <w:t>$US</w:t>
      </w:r>
      <w:r w:rsidR="000051AE" w:rsidRPr="00A557BB">
        <w:rPr>
          <w:lang w:val="fr-FR"/>
        </w:rPr>
        <w:t> ;</w:t>
      </w:r>
      <w:r w:rsidRPr="00A557BB">
        <w:rPr>
          <w:lang w:val="fr-FR"/>
        </w:rPr>
        <w:t xml:space="preserve"> un vaporisateur simple à coulée sur place, au coût de </w:t>
      </w:r>
      <w:r w:rsidR="000051AE" w:rsidRPr="00A557BB">
        <w:rPr>
          <w:lang w:val="fr-FR"/>
        </w:rPr>
        <w:t>7 000 $US au lieu de 10 000 $US ;</w:t>
      </w:r>
      <w:r w:rsidRPr="00A557BB">
        <w:rPr>
          <w:lang w:val="fr-FR"/>
        </w:rPr>
        <w:t xml:space="preserve"> et un distributeur simple de mousse à peau intégrée au coût de 20 000 $US au lieu de 25 000 à 30 000 $US. Trois types différents de machines de moussage ont été achetés : une machine à haute pression, une à basse pression</w:t>
      </w:r>
      <w:r w:rsidR="000051AE" w:rsidRPr="00A557BB">
        <w:rPr>
          <w:lang w:val="fr-FR"/>
        </w:rPr>
        <w:t xml:space="preserve"> et une autre à basse pression pour les sociétés actives dans le secteur des </w:t>
      </w:r>
      <w:r w:rsidRPr="00A557BB">
        <w:rPr>
          <w:lang w:val="fr-FR"/>
        </w:rPr>
        <w:t>mousses à peau intégrée. Elles ont été testées</w:t>
      </w:r>
      <w:r w:rsidR="00614272" w:rsidRPr="00A557BB">
        <w:rPr>
          <w:lang w:val="fr-FR"/>
        </w:rPr>
        <w:t>.</w:t>
      </w:r>
    </w:p>
    <w:p w14:paraId="7F82BB6E" w14:textId="4E0523B9" w:rsidR="00FA135A" w:rsidRPr="00A557BB" w:rsidRDefault="00FA135A" w:rsidP="00FA135A">
      <w:pPr>
        <w:pStyle w:val="Heading1"/>
        <w:rPr>
          <w:lang w:val="fr-FR"/>
        </w:rPr>
      </w:pPr>
      <w:r w:rsidRPr="00A557BB">
        <w:rPr>
          <w:lang w:val="fr-FR"/>
        </w:rPr>
        <w:t xml:space="preserve">Chacun des équipements a été testé dans des entreprises de formulation sélectionnées qui travaillaient avec des produits (eau, formiate de méthyle et méthylal) disponibles localement. Au cours des </w:t>
      </w:r>
      <w:r w:rsidR="000051AE" w:rsidRPr="00A557BB">
        <w:rPr>
          <w:lang w:val="fr-FR"/>
        </w:rPr>
        <w:t>essais</w:t>
      </w:r>
      <w:r w:rsidRPr="00A557BB">
        <w:rPr>
          <w:lang w:val="fr-FR"/>
        </w:rPr>
        <w:t>, alors que les performances globales de l'équipement étaient positives, il a été constaté que l'équipement modifié ne pouvait être utilisé qu'avec des formul</w:t>
      </w:r>
      <w:r w:rsidR="00777426">
        <w:rPr>
          <w:lang w:val="fr-FR"/>
        </w:rPr>
        <w:t>ations basées sur un rapport 1:</w:t>
      </w:r>
      <w:r w:rsidRPr="00A557BB">
        <w:rPr>
          <w:lang w:val="fr-FR"/>
        </w:rPr>
        <w:t xml:space="preserve">1 de l'agent gonflant au polyol ; Cependant, certaines entreprises de formulation utilisent des systèmes chimiques ayant des rapports variables (par exemple, 1: 1,5 à 1:70 pour les formulations à base d’eau). À la demande du PNUD, un fournisseur a modifié le matériel pour lui permettre de fonctionner avec des rapports variables. Cependant, des tests supplémentaires visant à vérifier les performances de l'équipement modifié avec des systèmes disponibles localement utilisant des rapports variables n'ont pas pu être effectués en raison de la date d'achèvement du projet.  </w:t>
      </w:r>
    </w:p>
    <w:p w14:paraId="555D7A39" w14:textId="60E0A57C" w:rsidR="00FA135A" w:rsidRPr="00A557BB" w:rsidRDefault="00FA135A" w:rsidP="00FA135A">
      <w:pPr>
        <w:numPr>
          <w:ilvl w:val="0"/>
          <w:numId w:val="1"/>
        </w:numPr>
        <w:tabs>
          <w:tab w:val="clear" w:pos="0"/>
          <w:tab w:val="num" w:pos="710"/>
        </w:tabs>
        <w:spacing w:after="240"/>
        <w:outlineLvl w:val="0"/>
        <w:rPr>
          <w:lang w:val="fr-FR"/>
        </w:rPr>
      </w:pPr>
      <w:r w:rsidRPr="00A557BB">
        <w:rPr>
          <w:lang w:val="fr-FR"/>
        </w:rPr>
        <w:t xml:space="preserve">Lors de la mise en œuvre de l'optimisation des systèmes de moussage préemballés, il a été constaté que ces systèmes étaient très coûteux et destinés à des applications peu répandues en Égypte. On en a conclu que cette option n’était ni rentable ni viable dans </w:t>
      </w:r>
      <w:r w:rsidR="000051AE" w:rsidRPr="00A557BB">
        <w:rPr>
          <w:lang w:val="fr-FR"/>
        </w:rPr>
        <w:t>la majorité des pays visés à l’a</w:t>
      </w:r>
      <w:r w:rsidRPr="00A557BB">
        <w:rPr>
          <w:lang w:val="fr-FR"/>
        </w:rPr>
        <w:t>rticle 5.</w:t>
      </w:r>
    </w:p>
    <w:p w14:paraId="7E26C1EF" w14:textId="77777777" w:rsidR="00FA135A" w:rsidRPr="00A557BB" w:rsidRDefault="00FA135A" w:rsidP="00FA135A">
      <w:pPr>
        <w:numPr>
          <w:ilvl w:val="0"/>
          <w:numId w:val="1"/>
        </w:numPr>
        <w:tabs>
          <w:tab w:val="clear" w:pos="0"/>
          <w:tab w:val="num" w:pos="710"/>
        </w:tabs>
        <w:spacing w:after="240"/>
        <w:outlineLvl w:val="0"/>
        <w:rPr>
          <w:lang w:val="fr-FR"/>
        </w:rPr>
      </w:pPr>
      <w:r w:rsidRPr="00A557BB">
        <w:rPr>
          <w:lang w:val="fr-FR"/>
        </w:rPr>
        <w:t>Le rapport a conclu que le projet démontrait ce qui suit :</w:t>
      </w:r>
    </w:p>
    <w:p w14:paraId="2FEAD6E0" w14:textId="77777777" w:rsidR="00FA135A" w:rsidRPr="00A557BB" w:rsidRDefault="00FA135A" w:rsidP="00FA135A">
      <w:pPr>
        <w:widowControl w:val="0"/>
        <w:numPr>
          <w:ilvl w:val="1"/>
          <w:numId w:val="1"/>
        </w:numPr>
        <w:tabs>
          <w:tab w:val="clear" w:pos="0"/>
          <w:tab w:val="num" w:pos="557"/>
        </w:tabs>
        <w:spacing w:after="240"/>
        <w:ind w:left="1418"/>
        <w:outlineLvl w:val="1"/>
        <w:rPr>
          <w:lang w:val="fr-FR"/>
        </w:rPr>
      </w:pPr>
      <w:r w:rsidRPr="00A557BB">
        <w:rPr>
          <w:lang w:val="fr-FR"/>
        </w:rPr>
        <w:t>En émettant des caractéristiques techniques visant à les adapter, des distributeurs de mousse simples pourraient être proposés aux petits utilisateurs de mousse et tireraient les prix vers le bas (30 à 50% de moins que les distributeurs standards) ;</w:t>
      </w:r>
    </w:p>
    <w:p w14:paraId="5F421C53" w14:textId="77777777" w:rsidR="00FA135A" w:rsidRPr="00A557BB" w:rsidRDefault="00FA135A" w:rsidP="00D11B6F">
      <w:pPr>
        <w:keepNext/>
        <w:keepLines/>
        <w:widowControl w:val="0"/>
        <w:numPr>
          <w:ilvl w:val="1"/>
          <w:numId w:val="1"/>
        </w:numPr>
        <w:tabs>
          <w:tab w:val="clear" w:pos="0"/>
          <w:tab w:val="num" w:pos="557"/>
        </w:tabs>
        <w:spacing w:after="240"/>
        <w:ind w:left="1417"/>
        <w:outlineLvl w:val="1"/>
        <w:rPr>
          <w:lang w:val="fr-FR"/>
        </w:rPr>
      </w:pPr>
      <w:r w:rsidRPr="00A557BB">
        <w:rPr>
          <w:lang w:val="fr-FR"/>
        </w:rPr>
        <w:lastRenderedPageBreak/>
        <w:t>Des ajustements pourront se révéler nécessaires pour que les caractéristiques techniques des distributeurs de mousse permettent de les utiliser avec des rapports variables dans les formulations chimiques ;</w:t>
      </w:r>
    </w:p>
    <w:p w14:paraId="06458AE6" w14:textId="55B267F8" w:rsidR="00FA135A" w:rsidRPr="00A557BB" w:rsidRDefault="00FA135A" w:rsidP="00FA135A">
      <w:pPr>
        <w:keepNext/>
        <w:numPr>
          <w:ilvl w:val="1"/>
          <w:numId w:val="1"/>
        </w:numPr>
        <w:tabs>
          <w:tab w:val="clear" w:pos="0"/>
          <w:tab w:val="num" w:pos="557"/>
        </w:tabs>
        <w:spacing w:after="240"/>
        <w:ind w:left="1418"/>
        <w:outlineLvl w:val="1"/>
        <w:rPr>
          <w:lang w:val="fr-FR"/>
        </w:rPr>
      </w:pPr>
      <w:r w:rsidRPr="00A557BB">
        <w:rPr>
          <w:lang w:val="fr-FR"/>
        </w:rPr>
        <w:t>le recours à des produits chimiques préemballés conçus pour des applications très spécialisées (par exemple, le remblayage autour des bornes électriques) ne semble pas ni rentable ni durable dans la majorité des pays visés à l'article 5 dans la mesure où lesdites applications très spécialisées n</w:t>
      </w:r>
      <w:r w:rsidR="00392678" w:rsidRPr="00A557BB">
        <w:rPr>
          <w:lang w:val="fr-FR"/>
        </w:rPr>
        <w:t>’y</w:t>
      </w:r>
      <w:r w:rsidRPr="00A557BB">
        <w:rPr>
          <w:lang w:val="fr-FR"/>
        </w:rPr>
        <w:t xml:space="preserve"> </w:t>
      </w:r>
      <w:r w:rsidR="00392678" w:rsidRPr="00A557BB">
        <w:rPr>
          <w:lang w:val="fr-FR"/>
        </w:rPr>
        <w:t>sont pas monnaie courante</w:t>
      </w:r>
      <w:r w:rsidRPr="00A557BB">
        <w:rPr>
          <w:lang w:val="fr-FR"/>
        </w:rPr>
        <w:t xml:space="preserve">. </w:t>
      </w:r>
    </w:p>
    <w:p w14:paraId="34EE5EDD" w14:textId="77777777" w:rsidR="00FA135A" w:rsidRPr="00A557BB" w:rsidRDefault="00FA135A" w:rsidP="00FA135A">
      <w:pPr>
        <w:spacing w:after="240"/>
        <w:rPr>
          <w:b/>
          <w:lang w:val="fr-FR"/>
        </w:rPr>
      </w:pPr>
      <w:r w:rsidRPr="00A557BB">
        <w:rPr>
          <w:b/>
          <w:lang w:val="fr-FR"/>
        </w:rPr>
        <w:t>Observations du Secrétariat</w:t>
      </w:r>
    </w:p>
    <w:p w14:paraId="37BA1ECD" w14:textId="682EE37F" w:rsidR="00FA135A" w:rsidRPr="00A557BB" w:rsidRDefault="00FA135A" w:rsidP="00FA135A">
      <w:pPr>
        <w:numPr>
          <w:ilvl w:val="0"/>
          <w:numId w:val="1"/>
        </w:numPr>
        <w:tabs>
          <w:tab w:val="clear" w:pos="0"/>
          <w:tab w:val="num" w:pos="710"/>
        </w:tabs>
        <w:spacing w:after="240"/>
        <w:outlineLvl w:val="0"/>
        <w:rPr>
          <w:lang w:val="fr-FR"/>
        </w:rPr>
      </w:pPr>
      <w:r w:rsidRPr="00A557BB">
        <w:rPr>
          <w:lang w:val="fr-FR"/>
        </w:rPr>
        <w:t xml:space="preserve">Le Secrétariat a noté que le PNUD avait demandé à un expert </w:t>
      </w:r>
      <w:r w:rsidR="00335905" w:rsidRPr="00A557BB">
        <w:rPr>
          <w:lang w:val="fr-FR"/>
        </w:rPr>
        <w:t>de mener une évaluation par les pairs sur</w:t>
      </w:r>
      <w:r w:rsidRPr="00A557BB">
        <w:rPr>
          <w:lang w:val="fr-FR"/>
        </w:rPr>
        <w:t xml:space="preserve"> le rapport final après </w:t>
      </w:r>
      <w:r w:rsidR="00335905" w:rsidRPr="00A557BB">
        <w:rPr>
          <w:lang w:val="fr-FR"/>
        </w:rPr>
        <w:t>que celui-ci avait été soumis pour examen</w:t>
      </w:r>
      <w:r w:rsidRPr="00A557BB">
        <w:rPr>
          <w:lang w:val="fr-FR"/>
        </w:rPr>
        <w:t xml:space="preserve"> par le Comité exécutif. L’évaluation technique a mis en é</w:t>
      </w:r>
      <w:r w:rsidR="00335905" w:rsidRPr="00A557BB">
        <w:rPr>
          <w:lang w:val="fr-FR"/>
        </w:rPr>
        <w:t xml:space="preserve">vidence des problèmes liés aux limites </w:t>
      </w:r>
      <w:r w:rsidRPr="00A557BB">
        <w:rPr>
          <w:lang w:val="fr-FR"/>
        </w:rPr>
        <w:t xml:space="preserve">de l’utilisation du matériel </w:t>
      </w:r>
      <w:r w:rsidR="00335905" w:rsidRPr="00A557BB">
        <w:rPr>
          <w:lang w:val="fr-FR"/>
        </w:rPr>
        <w:t>permettant d’ajuster les proportions des formulations chimiques</w:t>
      </w:r>
      <w:r w:rsidRPr="00A557BB">
        <w:rPr>
          <w:lang w:val="fr-FR"/>
        </w:rPr>
        <w:t>, à la nécessité de vérifier l’utilité du matériel modifié auprès des utilisateurs finaux utilisant des systèmes de moussage locaux et au manque d’informat</w:t>
      </w:r>
      <w:r w:rsidR="00335905" w:rsidRPr="00A557BB">
        <w:rPr>
          <w:lang w:val="fr-FR"/>
        </w:rPr>
        <w:t xml:space="preserve">ions sur les résultats des essais menés </w:t>
      </w:r>
      <w:r w:rsidRPr="00A557BB">
        <w:rPr>
          <w:lang w:val="fr-FR"/>
        </w:rPr>
        <w:t xml:space="preserve">avec les utilisateurs finaux. Le PNUD a expliqué que </w:t>
      </w:r>
      <w:r w:rsidR="00335905" w:rsidRPr="00A557BB">
        <w:rPr>
          <w:lang w:val="fr-FR"/>
        </w:rPr>
        <w:t xml:space="preserve">la relecture </w:t>
      </w:r>
      <w:r w:rsidR="00392678" w:rsidRPr="00A557BB">
        <w:rPr>
          <w:lang w:val="fr-FR"/>
        </w:rPr>
        <w:t xml:space="preserve">par les pairs avait été </w:t>
      </w:r>
      <w:r w:rsidR="00A557BB" w:rsidRPr="00A557BB">
        <w:rPr>
          <w:lang w:val="fr-FR"/>
        </w:rPr>
        <w:t>commanditée</w:t>
      </w:r>
      <w:r w:rsidRPr="00A557BB">
        <w:rPr>
          <w:lang w:val="fr-FR"/>
        </w:rPr>
        <w:t xml:space="preserve"> après la préparation du rapport final et que les résultats de cet examen n'avaient pas été inclus dans la version envoyée au Secrétariat. Le PNUD a donc été prié de soumettre à nouveau un rapport révisé tenant compte des observations contenues dans le rapport du relecteur. </w:t>
      </w:r>
    </w:p>
    <w:p w14:paraId="7A3C6221" w14:textId="674348DE" w:rsidR="00FA135A" w:rsidRPr="00A557BB" w:rsidRDefault="00FA135A" w:rsidP="00FA135A">
      <w:pPr>
        <w:pStyle w:val="Heading1"/>
        <w:rPr>
          <w:lang w:val="fr-FR"/>
        </w:rPr>
      </w:pPr>
      <w:r w:rsidRPr="00A557BB">
        <w:rPr>
          <w:lang w:val="fr-FR"/>
        </w:rPr>
        <w:t xml:space="preserve">Il a également été noté que dans la décision 83/29 c), le PNUD avait été </w:t>
      </w:r>
      <w:r w:rsidR="00392678" w:rsidRPr="00A557BB">
        <w:rPr>
          <w:lang w:val="fr-FR"/>
        </w:rPr>
        <w:t xml:space="preserve">prié d’inclure dans </w:t>
      </w:r>
      <w:r w:rsidRPr="00A557BB">
        <w:rPr>
          <w:lang w:val="fr-FR"/>
        </w:rPr>
        <w:t xml:space="preserve">le rapport final une comparaison des </w:t>
      </w:r>
      <w:r w:rsidR="00335905" w:rsidRPr="00A557BB">
        <w:rPr>
          <w:lang w:val="fr-FR"/>
        </w:rPr>
        <w:t>caractéristiques techniques</w:t>
      </w:r>
      <w:r w:rsidRPr="00A557BB">
        <w:rPr>
          <w:lang w:val="fr-FR"/>
        </w:rPr>
        <w:t xml:space="preserve"> de l'équipement d'origine avec celles de l'unité de moussage optimisée à </w:t>
      </w:r>
      <w:r w:rsidR="00335905" w:rsidRPr="00A557BB">
        <w:rPr>
          <w:lang w:val="fr-FR"/>
        </w:rPr>
        <w:t>bas</w:t>
      </w:r>
      <w:r w:rsidRPr="00A557BB">
        <w:rPr>
          <w:lang w:val="fr-FR"/>
        </w:rPr>
        <w:t xml:space="preserve"> coût. Cependant, le rapport final ne fournissait pas ces informations, mais uniquement les </w:t>
      </w:r>
      <w:r w:rsidR="00A557BB" w:rsidRPr="00A557BB">
        <w:rPr>
          <w:lang w:val="fr-FR"/>
        </w:rPr>
        <w:t>caractéristiques</w:t>
      </w:r>
      <w:r w:rsidR="00335905" w:rsidRPr="00A557BB">
        <w:rPr>
          <w:lang w:val="fr-FR"/>
        </w:rPr>
        <w:t xml:space="preserve"> techniques</w:t>
      </w:r>
      <w:r w:rsidRPr="00A557BB">
        <w:rPr>
          <w:lang w:val="fr-FR"/>
        </w:rPr>
        <w:t xml:space="preserve"> minimales des équipements pour </w:t>
      </w:r>
      <w:r w:rsidR="00335905" w:rsidRPr="00A557BB">
        <w:rPr>
          <w:lang w:val="fr-FR"/>
        </w:rPr>
        <w:t xml:space="preserve">des </w:t>
      </w:r>
      <w:r w:rsidRPr="00A557BB">
        <w:rPr>
          <w:lang w:val="fr-FR"/>
        </w:rPr>
        <w:t xml:space="preserve">applications </w:t>
      </w:r>
      <w:r w:rsidR="00392678" w:rsidRPr="00A557BB">
        <w:rPr>
          <w:lang w:val="fr-FR"/>
        </w:rPr>
        <w:t>de coulée sur place, de pulvérisation et à peau intégrée</w:t>
      </w:r>
      <w:r w:rsidRPr="00A557BB">
        <w:rPr>
          <w:lang w:val="fr-FR"/>
        </w:rPr>
        <w:t xml:space="preserve">, par rapport aux </w:t>
      </w:r>
      <w:r w:rsidR="00392678" w:rsidRPr="00A557BB">
        <w:rPr>
          <w:lang w:val="fr-FR"/>
        </w:rPr>
        <w:t>caractéristiques techniques</w:t>
      </w:r>
      <w:r w:rsidRPr="00A557BB">
        <w:rPr>
          <w:lang w:val="fr-FR"/>
        </w:rPr>
        <w:t xml:space="preserve"> des </w:t>
      </w:r>
      <w:r w:rsidR="002F5396" w:rsidRPr="00A557BB">
        <w:rPr>
          <w:lang w:val="fr-FR"/>
        </w:rPr>
        <w:t xml:space="preserve">unités de moussage </w:t>
      </w:r>
      <w:r w:rsidR="00392678" w:rsidRPr="00A557BB">
        <w:rPr>
          <w:lang w:val="fr-FR"/>
        </w:rPr>
        <w:t>normales</w:t>
      </w:r>
      <w:r w:rsidR="002F5396" w:rsidRPr="00A557BB">
        <w:rPr>
          <w:lang w:val="fr-FR"/>
        </w:rPr>
        <w:t>. Le volet d’</w:t>
      </w:r>
      <w:r w:rsidR="00392678" w:rsidRPr="00A557BB">
        <w:rPr>
          <w:lang w:val="fr-FR"/>
        </w:rPr>
        <w:t>équipement</w:t>
      </w:r>
      <w:r w:rsidRPr="00A557BB">
        <w:rPr>
          <w:lang w:val="fr-FR"/>
        </w:rPr>
        <w:t xml:space="preserve"> du projet a uniquement pris en compte une unité de moussage très </w:t>
      </w:r>
      <w:r w:rsidR="00392678" w:rsidRPr="00A557BB">
        <w:rPr>
          <w:lang w:val="fr-FR"/>
        </w:rPr>
        <w:t>simple</w:t>
      </w:r>
      <w:r w:rsidRPr="00A557BB">
        <w:rPr>
          <w:lang w:val="fr-FR"/>
        </w:rPr>
        <w:t xml:space="preserve"> et a supprimé certains composants, tels que les tuyaux chauffants et les fonctions d’autonettoyage, qui étaient essentiels pour les opérations de moussage. Ces changements ont contribué à </w:t>
      </w:r>
      <w:r w:rsidR="00335905" w:rsidRPr="00A557BB">
        <w:rPr>
          <w:lang w:val="fr-FR"/>
        </w:rPr>
        <w:t>faire baisser</w:t>
      </w:r>
      <w:r w:rsidRPr="00A557BB">
        <w:rPr>
          <w:lang w:val="fr-FR"/>
        </w:rPr>
        <w:t xml:space="preserve"> le coût de l'équipement</w:t>
      </w:r>
      <w:r w:rsidR="00335905" w:rsidRPr="00A557BB">
        <w:rPr>
          <w:lang w:val="fr-FR"/>
        </w:rPr>
        <w:t xml:space="preserve"> nécessaire</w:t>
      </w:r>
      <w:r w:rsidRPr="00A557BB">
        <w:rPr>
          <w:lang w:val="fr-FR"/>
        </w:rPr>
        <w:t>.</w:t>
      </w:r>
    </w:p>
    <w:p w14:paraId="798D8D03" w14:textId="3CCD5702" w:rsidR="00FA135A" w:rsidRPr="00A557BB" w:rsidRDefault="00FA135A" w:rsidP="00FA135A">
      <w:pPr>
        <w:numPr>
          <w:ilvl w:val="0"/>
          <w:numId w:val="1"/>
        </w:numPr>
        <w:tabs>
          <w:tab w:val="clear" w:pos="0"/>
          <w:tab w:val="num" w:pos="710"/>
        </w:tabs>
        <w:spacing w:after="240"/>
        <w:outlineLvl w:val="0"/>
        <w:rPr>
          <w:lang w:val="fr-FR"/>
        </w:rPr>
      </w:pPr>
      <w:r w:rsidRPr="00A557BB">
        <w:rPr>
          <w:lang w:val="fr-FR"/>
        </w:rPr>
        <w:t xml:space="preserve">En ce qui concerne l’incompatibilité des systèmes locaux et des distributeurs due à des </w:t>
      </w:r>
      <w:r w:rsidR="00392678" w:rsidRPr="00A557BB">
        <w:rPr>
          <w:lang w:val="fr-FR"/>
        </w:rPr>
        <w:t>proportions</w:t>
      </w:r>
      <w:r w:rsidRPr="00A557BB">
        <w:rPr>
          <w:lang w:val="fr-FR"/>
        </w:rPr>
        <w:t xml:space="preserve"> variables</w:t>
      </w:r>
      <w:r w:rsidR="00392678" w:rsidRPr="00A557BB">
        <w:rPr>
          <w:lang w:val="fr-FR"/>
        </w:rPr>
        <w:t xml:space="preserve"> dans la formulation</w:t>
      </w:r>
      <w:r w:rsidRPr="00A557BB">
        <w:rPr>
          <w:lang w:val="fr-FR"/>
        </w:rPr>
        <w:t xml:space="preserve">, l’utilisation de ces petites unités de moussage à faible coût serait affectée par le fait que </w:t>
      </w:r>
      <w:r w:rsidR="00392678" w:rsidRPr="00A557BB">
        <w:rPr>
          <w:lang w:val="fr-FR"/>
        </w:rPr>
        <w:t>les proportions seront</w:t>
      </w:r>
      <w:r w:rsidRPr="00A557BB">
        <w:rPr>
          <w:lang w:val="fr-FR"/>
        </w:rPr>
        <w:t xml:space="preserve"> testé</w:t>
      </w:r>
      <w:r w:rsidR="00392678" w:rsidRPr="00A557BB">
        <w:rPr>
          <w:lang w:val="fr-FR"/>
        </w:rPr>
        <w:t>es</w:t>
      </w:r>
      <w:r w:rsidRPr="00A557BB">
        <w:rPr>
          <w:lang w:val="fr-FR"/>
        </w:rPr>
        <w:t xml:space="preserve"> lors de la mise en œuvre de la phase II</w:t>
      </w:r>
      <w:r w:rsidR="00392678" w:rsidRPr="00A557BB">
        <w:rPr>
          <w:lang w:val="fr-FR"/>
        </w:rPr>
        <w:t xml:space="preserve"> du PGEH s’agissant des petit</w:t>
      </w:r>
      <w:r w:rsidRPr="00A557BB">
        <w:rPr>
          <w:lang w:val="fr-FR"/>
        </w:rPr>
        <w:t xml:space="preserve">s utilisateurs. Il a également été confirmé que, étant donné que les fournisseurs d’unités ou de distributeurs de moussage étaient en mesure d’apporter des modifications à l’équipement de base pour </w:t>
      </w:r>
      <w:r w:rsidR="00335905" w:rsidRPr="00A557BB">
        <w:rPr>
          <w:lang w:val="fr-FR"/>
        </w:rPr>
        <w:t>ajuster l</w:t>
      </w:r>
      <w:r w:rsidRPr="00A557BB">
        <w:rPr>
          <w:lang w:val="fr-FR"/>
        </w:rPr>
        <w:t xml:space="preserve">es </w:t>
      </w:r>
      <w:r w:rsidR="00335905" w:rsidRPr="00A557BB">
        <w:rPr>
          <w:lang w:val="fr-FR"/>
        </w:rPr>
        <w:t>proportions</w:t>
      </w:r>
      <w:r w:rsidRPr="00A557BB">
        <w:rPr>
          <w:lang w:val="fr-FR"/>
        </w:rPr>
        <w:t>, une fois la vérification de l’utilisation de cet équipement terminée, elle garantirait leur utilisation future</w:t>
      </w:r>
      <w:r w:rsidR="00335905" w:rsidRPr="00A557BB">
        <w:rPr>
          <w:lang w:val="fr-FR"/>
        </w:rPr>
        <w:t xml:space="preserve"> par les très petits utilisateurs</w:t>
      </w:r>
      <w:r w:rsidRPr="00A557BB">
        <w:rPr>
          <w:lang w:val="fr-FR"/>
        </w:rPr>
        <w:t>.</w:t>
      </w:r>
    </w:p>
    <w:p w14:paraId="4667A433" w14:textId="77777777" w:rsidR="00FA135A" w:rsidRPr="00A557BB" w:rsidRDefault="00FA135A" w:rsidP="00FA135A">
      <w:pPr>
        <w:numPr>
          <w:ilvl w:val="0"/>
          <w:numId w:val="1"/>
        </w:numPr>
        <w:tabs>
          <w:tab w:val="clear" w:pos="0"/>
          <w:tab w:val="num" w:pos="710"/>
        </w:tabs>
        <w:spacing w:after="240"/>
        <w:outlineLvl w:val="0"/>
        <w:rPr>
          <w:lang w:val="fr-FR"/>
        </w:rPr>
      </w:pPr>
      <w:r w:rsidRPr="00A557BB">
        <w:rPr>
          <w:lang w:val="fr-FR"/>
        </w:rPr>
        <w:t xml:space="preserve">Le PNUD a précisé que l'objectif global du projet de démonstration, qui était de démontrer la possibilité de disposer de petites unités de moussage à faible coût pour les unités de soins intensifs, a été réalisé, comme indiqué dans les conclusions du rapport final. </w:t>
      </w:r>
    </w:p>
    <w:p w14:paraId="111318F7" w14:textId="1849133A" w:rsidR="00FA135A" w:rsidRPr="00A557BB" w:rsidRDefault="00392678" w:rsidP="00FA135A">
      <w:pPr>
        <w:pStyle w:val="Heading1"/>
        <w:rPr>
          <w:lang w:val="fr-FR"/>
        </w:rPr>
      </w:pPr>
      <w:r w:rsidRPr="00A557BB">
        <w:rPr>
          <w:lang w:val="fr-FR"/>
        </w:rPr>
        <w:t xml:space="preserve">En conclusion, le projet a montré qu’à l’aide de caractéristiques techniques très claires </w:t>
      </w:r>
      <w:r w:rsidR="00335905" w:rsidRPr="00A557BB">
        <w:rPr>
          <w:lang w:val="fr-FR"/>
        </w:rPr>
        <w:t>portant sur les</w:t>
      </w:r>
      <w:r w:rsidR="00FA135A" w:rsidRPr="00A557BB">
        <w:rPr>
          <w:lang w:val="fr-FR"/>
        </w:rPr>
        <w:t xml:space="preserve"> composants minimaux de l'équipement permettant les opérations de moussage, des distributeurs de mousse de base pourraient être disponibles à un </w:t>
      </w:r>
      <w:r w:rsidR="00335905" w:rsidRPr="00A557BB">
        <w:rPr>
          <w:lang w:val="fr-FR"/>
        </w:rPr>
        <w:t>coût</w:t>
      </w:r>
      <w:r w:rsidR="00FA135A" w:rsidRPr="00A557BB">
        <w:rPr>
          <w:lang w:val="fr-FR"/>
        </w:rPr>
        <w:t xml:space="preserve"> inférieur de 30 à 50% aux distributeurs </w:t>
      </w:r>
      <w:r w:rsidR="00335905" w:rsidRPr="00A557BB">
        <w:rPr>
          <w:lang w:val="fr-FR"/>
        </w:rPr>
        <w:t>normaux</w:t>
      </w:r>
      <w:r w:rsidR="00FA135A" w:rsidRPr="00A557BB">
        <w:rPr>
          <w:lang w:val="fr-FR"/>
        </w:rPr>
        <w:t xml:space="preserve">, réduisant ainsi potentiellement les coûts d'équipement des futurs projets de mousse financés par le Fonds multilatéral pour les petits et très petits fabricants de mousses. Dans certains cas, les spécifications de l'équipement doivent être ajustées pour permettre l'utilisation de systèmes chimiques à </w:t>
      </w:r>
      <w:r w:rsidR="00335905" w:rsidRPr="00A557BB">
        <w:rPr>
          <w:lang w:val="fr-FR"/>
        </w:rPr>
        <w:t>proportions</w:t>
      </w:r>
      <w:r w:rsidR="00FA135A" w:rsidRPr="00A557BB">
        <w:rPr>
          <w:lang w:val="fr-FR"/>
        </w:rPr>
        <w:t xml:space="preserve"> variables.</w:t>
      </w:r>
    </w:p>
    <w:p w14:paraId="24B16671" w14:textId="77777777" w:rsidR="00FA135A" w:rsidRPr="00A557BB" w:rsidRDefault="00FA135A" w:rsidP="00D11B6F">
      <w:pPr>
        <w:pStyle w:val="Heading1"/>
        <w:keepNext/>
        <w:keepLines/>
        <w:numPr>
          <w:ilvl w:val="0"/>
          <w:numId w:val="0"/>
        </w:numPr>
        <w:rPr>
          <w:b/>
          <w:lang w:val="fr-FR"/>
        </w:rPr>
      </w:pPr>
      <w:r w:rsidRPr="00A557BB">
        <w:rPr>
          <w:b/>
          <w:lang w:val="fr-FR"/>
        </w:rPr>
        <w:lastRenderedPageBreak/>
        <w:t>Recommandation</w:t>
      </w:r>
    </w:p>
    <w:p w14:paraId="44B3C50F" w14:textId="77777777" w:rsidR="00FA135A" w:rsidRPr="00A557BB" w:rsidRDefault="00FA135A" w:rsidP="00D11B6F">
      <w:pPr>
        <w:keepNext/>
        <w:keepLines/>
        <w:numPr>
          <w:ilvl w:val="0"/>
          <w:numId w:val="1"/>
        </w:numPr>
        <w:tabs>
          <w:tab w:val="clear" w:pos="0"/>
          <w:tab w:val="num" w:pos="710"/>
        </w:tabs>
        <w:spacing w:after="240"/>
        <w:outlineLvl w:val="0"/>
        <w:rPr>
          <w:lang w:val="fr-FR"/>
        </w:rPr>
      </w:pPr>
      <w:r w:rsidRPr="00A557BB">
        <w:rPr>
          <w:lang w:val="fr-FR"/>
        </w:rPr>
        <w:t>Le Comité exécutif pourrait souhaiter :</w:t>
      </w:r>
    </w:p>
    <w:p w14:paraId="3F9B9948" w14:textId="6713363A" w:rsidR="00FA135A" w:rsidRPr="00A557BB" w:rsidRDefault="00FA135A" w:rsidP="00D11B6F">
      <w:pPr>
        <w:pStyle w:val="Heading2"/>
        <w:keepNext/>
        <w:keepLines/>
        <w:numPr>
          <w:ilvl w:val="1"/>
          <w:numId w:val="1"/>
        </w:numPr>
        <w:rPr>
          <w:lang w:val="fr-FR"/>
        </w:rPr>
      </w:pPr>
      <w:r w:rsidRPr="00A557BB">
        <w:rPr>
          <w:lang w:val="fr-FR"/>
        </w:rPr>
        <w:t xml:space="preserve">noter, avec satisfaction, le rapport final sur la démonstration des options à </w:t>
      </w:r>
      <w:r w:rsidR="00335905" w:rsidRPr="00A557BB">
        <w:rPr>
          <w:lang w:val="fr-FR"/>
        </w:rPr>
        <w:t>bas</w:t>
      </w:r>
      <w:r w:rsidRPr="00A557BB">
        <w:rPr>
          <w:lang w:val="fr-FR"/>
        </w:rPr>
        <w:t xml:space="preserve"> coût pour la </w:t>
      </w:r>
      <w:r w:rsidR="002F5396" w:rsidRPr="00A557BB">
        <w:rPr>
          <w:lang w:val="fr-FR"/>
        </w:rPr>
        <w:t>reconversion</w:t>
      </w:r>
      <w:r w:rsidRPr="00A557BB">
        <w:rPr>
          <w:lang w:val="fr-FR"/>
        </w:rPr>
        <w:t xml:space="preserve"> aux technologies sans SAO dans le secteur des mousses polyuréthane (PU) chez les très petits utilisateurs (USV) en Égypte, soumis par le PNUD et contenu dans le document </w:t>
      </w:r>
      <w:r w:rsidR="00335905" w:rsidRPr="00A557BB">
        <w:rPr>
          <w:lang w:val="fr-FR"/>
        </w:rPr>
        <w:t xml:space="preserve">paru sous la cote </w:t>
      </w:r>
      <w:r w:rsidRPr="00A557BB">
        <w:rPr>
          <w:lang w:val="fr-FR"/>
        </w:rPr>
        <w:t>UNEP/OzL.Pro/ExCom/</w:t>
      </w:r>
      <w:r w:rsidR="00335905" w:rsidRPr="00A557BB">
        <w:rPr>
          <w:lang w:val="fr-FR"/>
        </w:rPr>
        <w:t>84/22 ;</w:t>
      </w:r>
    </w:p>
    <w:p w14:paraId="4F5427E9" w14:textId="0DA88AD8" w:rsidR="00FA135A" w:rsidRPr="00A557BB" w:rsidRDefault="00335905" w:rsidP="00CF3BE9">
      <w:pPr>
        <w:pStyle w:val="Heading2"/>
        <w:keepNext/>
        <w:numPr>
          <w:ilvl w:val="1"/>
          <w:numId w:val="1"/>
        </w:numPr>
        <w:rPr>
          <w:lang w:val="fr-FR"/>
        </w:rPr>
      </w:pPr>
      <w:r w:rsidRPr="00A557BB">
        <w:rPr>
          <w:lang w:val="fr-FR"/>
        </w:rPr>
        <w:t>i</w:t>
      </w:r>
      <w:r w:rsidR="00FA135A" w:rsidRPr="00A557BB">
        <w:rPr>
          <w:lang w:val="fr-FR"/>
        </w:rPr>
        <w:t xml:space="preserve">nviter les agences bilatérales et d'exécution à prendre en compte le rapport mentionné au sous-paragraphe a) ci-dessus lors de l'assistance aux pays visés à l'article 5 pour la préparation de projets de mousse de polyuréthane pour les UVA utilisant des </w:t>
      </w:r>
      <w:r w:rsidR="002F5396" w:rsidRPr="00A557BB">
        <w:rPr>
          <w:lang w:val="fr-FR"/>
        </w:rPr>
        <w:t>frigorigènes</w:t>
      </w:r>
      <w:r w:rsidR="00FA135A" w:rsidRPr="00A557BB">
        <w:rPr>
          <w:lang w:val="fr-FR"/>
        </w:rPr>
        <w:t xml:space="preserve"> à faible </w:t>
      </w:r>
      <w:r w:rsidRPr="00A557BB">
        <w:rPr>
          <w:lang w:val="fr-FR"/>
        </w:rPr>
        <w:t>PRP</w:t>
      </w:r>
      <w:r w:rsidR="00FA135A" w:rsidRPr="00A557BB">
        <w:rPr>
          <w:lang w:val="fr-FR"/>
        </w:rPr>
        <w:t>.</w:t>
      </w:r>
    </w:p>
    <w:p w14:paraId="6A8BFDCB" w14:textId="243EC771" w:rsidR="009A3DA8" w:rsidRPr="00A557BB" w:rsidRDefault="009A3DA8" w:rsidP="009A3DA8">
      <w:pPr>
        <w:pStyle w:val="StyleHeader4Para4Left0Firstline0"/>
        <w:numPr>
          <w:ilvl w:val="0"/>
          <w:numId w:val="0"/>
        </w:numPr>
        <w:rPr>
          <w:sz w:val="22"/>
          <w:u w:val="single"/>
          <w:lang w:val="fr-FR"/>
        </w:rPr>
      </w:pPr>
      <w:r w:rsidRPr="00A557BB">
        <w:rPr>
          <w:sz w:val="22"/>
          <w:u w:val="single"/>
          <w:lang w:val="fr-FR"/>
        </w:rPr>
        <w:t xml:space="preserve">Maroc : Démonstration de l’utilisation d’une technologie de gonflage au pentane, à </w:t>
      </w:r>
      <w:r w:rsidR="00335905" w:rsidRPr="00A557BB">
        <w:rPr>
          <w:sz w:val="22"/>
          <w:u w:val="single"/>
          <w:lang w:val="fr-FR"/>
        </w:rPr>
        <w:t>bas</w:t>
      </w:r>
      <w:r w:rsidRPr="00A557BB">
        <w:rPr>
          <w:sz w:val="22"/>
          <w:u w:val="single"/>
          <w:lang w:val="fr-FR"/>
        </w:rPr>
        <w:t xml:space="preserve"> coût, pour la reconversion à des technologies sans </w:t>
      </w:r>
      <w:r w:rsidR="00335905" w:rsidRPr="00A557BB">
        <w:rPr>
          <w:sz w:val="22"/>
          <w:u w:val="single"/>
          <w:lang w:val="fr-FR"/>
        </w:rPr>
        <w:t>de</w:t>
      </w:r>
      <w:r w:rsidRPr="00A557BB">
        <w:rPr>
          <w:sz w:val="22"/>
          <w:u w:val="single"/>
          <w:lang w:val="fr-FR"/>
        </w:rPr>
        <w:t xml:space="preserve"> petites et moyennes</w:t>
      </w:r>
      <w:r w:rsidR="001F5768" w:rsidRPr="00A557BB">
        <w:rPr>
          <w:sz w:val="22"/>
          <w:u w:val="single"/>
          <w:lang w:val="fr-FR"/>
        </w:rPr>
        <w:t xml:space="preserve"> entreprises</w:t>
      </w:r>
      <w:r w:rsidR="00335905" w:rsidRPr="00A557BB">
        <w:rPr>
          <w:sz w:val="22"/>
          <w:u w:val="single"/>
          <w:lang w:val="fr-FR"/>
        </w:rPr>
        <w:t xml:space="preserve"> fabriquant des mousses de PU</w:t>
      </w:r>
      <w:r w:rsidR="001F5768" w:rsidRPr="00A557BB">
        <w:rPr>
          <w:sz w:val="22"/>
          <w:u w:val="single"/>
          <w:lang w:val="fr-FR"/>
        </w:rPr>
        <w:t xml:space="preserve"> (rapport</w:t>
      </w:r>
      <w:r w:rsidRPr="00A557BB">
        <w:rPr>
          <w:sz w:val="22"/>
          <w:u w:val="single"/>
          <w:lang w:val="fr-FR"/>
        </w:rPr>
        <w:t xml:space="preserve"> final)</w:t>
      </w:r>
      <w:r w:rsidRPr="00A557BB">
        <w:rPr>
          <w:sz w:val="22"/>
          <w:lang w:val="fr-FR"/>
        </w:rPr>
        <w:t xml:space="preserve"> (ONUDI) </w:t>
      </w:r>
    </w:p>
    <w:p w14:paraId="17944105" w14:textId="7D155E8F" w:rsidR="009A3DA8" w:rsidRPr="00A557BB" w:rsidRDefault="00330F7F" w:rsidP="009A3DA8">
      <w:pPr>
        <w:pStyle w:val="Heading1"/>
        <w:rPr>
          <w:lang w:val="fr-FR"/>
        </w:rPr>
      </w:pPr>
      <w:r w:rsidRPr="00A557BB">
        <w:rPr>
          <w:lang w:val="fr-FR"/>
        </w:rPr>
        <w:t>À la</w:t>
      </w:r>
      <w:r w:rsidR="009A3DA8" w:rsidRPr="00A557BB">
        <w:rPr>
          <w:lang w:val="fr-FR"/>
        </w:rPr>
        <w:t xml:space="preserve"> 75</w:t>
      </w:r>
      <w:r w:rsidR="009A3DA8" w:rsidRPr="00A557BB">
        <w:rPr>
          <w:vertAlign w:val="superscript"/>
          <w:lang w:val="fr-FR"/>
        </w:rPr>
        <w:t>e</w:t>
      </w:r>
      <w:r w:rsidR="009A3DA8" w:rsidRPr="00A557BB">
        <w:rPr>
          <w:lang w:val="fr-FR"/>
        </w:rPr>
        <w:t xml:space="preserve"> réunion, </w:t>
      </w:r>
      <w:r w:rsidR="00335905" w:rsidRPr="00A557BB">
        <w:rPr>
          <w:lang w:val="fr-FR"/>
        </w:rPr>
        <w:t>le Comité exécutif a approuvé un</w:t>
      </w:r>
      <w:r w:rsidR="009A3DA8" w:rsidRPr="00A557BB">
        <w:rPr>
          <w:lang w:val="fr-FR"/>
        </w:rPr>
        <w:t xml:space="preserve"> projet de démonstration de l’utilisation</w:t>
      </w:r>
      <w:r w:rsidR="00335905" w:rsidRPr="00A557BB">
        <w:rPr>
          <w:lang w:val="fr-FR"/>
        </w:rPr>
        <w:t xml:space="preserve"> d’une technologie de moussage </w:t>
      </w:r>
      <w:r w:rsidR="009A3DA8" w:rsidRPr="00A557BB">
        <w:rPr>
          <w:lang w:val="fr-FR"/>
        </w:rPr>
        <w:t xml:space="preserve">au pentane à </w:t>
      </w:r>
      <w:r w:rsidR="00335905" w:rsidRPr="00A557BB">
        <w:rPr>
          <w:lang w:val="fr-FR"/>
        </w:rPr>
        <w:t>bas</w:t>
      </w:r>
      <w:r w:rsidR="009A3DA8" w:rsidRPr="00A557BB">
        <w:rPr>
          <w:lang w:val="fr-FR"/>
        </w:rPr>
        <w:t xml:space="preserve"> coût pour</w:t>
      </w:r>
      <w:r w:rsidR="00335905" w:rsidRPr="00A557BB">
        <w:rPr>
          <w:lang w:val="fr-FR"/>
        </w:rPr>
        <w:t xml:space="preserve"> permettre</w:t>
      </w:r>
      <w:r w:rsidR="009A3DA8" w:rsidRPr="00A557BB">
        <w:rPr>
          <w:lang w:val="fr-FR"/>
        </w:rPr>
        <w:t xml:space="preserve"> la reconversion à des technologies de fabrication de mousses </w:t>
      </w:r>
      <w:r w:rsidR="00335905" w:rsidRPr="00A557BB">
        <w:rPr>
          <w:lang w:val="fr-FR"/>
        </w:rPr>
        <w:t>de polyuréthane sans SAO dans les</w:t>
      </w:r>
      <w:r w:rsidR="009A3DA8" w:rsidRPr="00A557BB">
        <w:rPr>
          <w:lang w:val="fr-FR"/>
        </w:rPr>
        <w:t xml:space="preserve"> petites et moyennes entreprises au Maroc, pour un montant de 280 500 $US, plus coûts d’appui d’agence de 19</w:t>
      </w:r>
      <w:r w:rsidR="00F07147">
        <w:rPr>
          <w:lang w:val="fr-FR"/>
        </w:rPr>
        <w:t> 635 $US pour l’ONUDI (</w:t>
      </w:r>
      <w:r w:rsidR="00F07147" w:rsidRPr="00F07147">
        <w:rPr>
          <w:lang w:val="fr-FR"/>
        </w:rPr>
        <w:t>décision</w:t>
      </w:r>
      <w:r w:rsidR="009A3DA8" w:rsidRPr="00F07147">
        <w:rPr>
          <w:lang w:val="fr-FR"/>
        </w:rPr>
        <w:t>75</w:t>
      </w:r>
      <w:r w:rsidR="009A3DA8" w:rsidRPr="00A557BB">
        <w:rPr>
          <w:lang w:val="fr-FR"/>
        </w:rPr>
        <w:t xml:space="preserve">/41). </w:t>
      </w:r>
    </w:p>
    <w:p w14:paraId="2D8F225A" w14:textId="6A23A2A0" w:rsidR="009A3DA8" w:rsidRPr="00A557BB" w:rsidRDefault="009A3DA8" w:rsidP="009A3DA8">
      <w:pPr>
        <w:pStyle w:val="Heading1"/>
        <w:rPr>
          <w:lang w:val="fr-FR"/>
        </w:rPr>
      </w:pPr>
      <w:r w:rsidRPr="00A557BB">
        <w:rPr>
          <w:lang w:val="fr-FR"/>
        </w:rPr>
        <w:t xml:space="preserve">L’objectif du projet était d’explorer la possibilité de réduire les coûts d’investissement initiaux en concevant une machine de moussage simple, </w:t>
      </w:r>
      <w:r w:rsidR="00335905" w:rsidRPr="00A557BB">
        <w:rPr>
          <w:lang w:val="fr-FR"/>
        </w:rPr>
        <w:t>normalisée</w:t>
      </w:r>
      <w:r w:rsidRPr="00A557BB">
        <w:rPr>
          <w:lang w:val="fr-FR"/>
        </w:rPr>
        <w:t xml:space="preserve">, compacte et facile à utiliser, capable de fonctionner avec du pentane inflammable, des équipements et des systèmes de ventilation mobiles utilisables avec différents produits. </w:t>
      </w:r>
    </w:p>
    <w:p w14:paraId="67259FC0" w14:textId="6A87ED55" w:rsidR="009A3DA8" w:rsidRPr="00A557BB" w:rsidRDefault="009A3DA8" w:rsidP="009A3DA8">
      <w:pPr>
        <w:pStyle w:val="Heading1"/>
        <w:rPr>
          <w:lang w:val="fr-FR"/>
        </w:rPr>
      </w:pPr>
      <w:r w:rsidRPr="00A557BB">
        <w:rPr>
          <w:lang w:val="fr-FR"/>
        </w:rPr>
        <w:t xml:space="preserve">En conséquence, le projet a été conçu </w:t>
      </w:r>
      <w:r w:rsidR="00335905" w:rsidRPr="00A557BB">
        <w:rPr>
          <w:lang w:val="fr-FR"/>
        </w:rPr>
        <w:t>en gardant à l’esprit</w:t>
      </w:r>
      <w:r w:rsidRPr="00A557BB">
        <w:rPr>
          <w:lang w:val="fr-FR"/>
        </w:rPr>
        <w:t xml:space="preserve"> trois mesures </w:t>
      </w:r>
      <w:r w:rsidR="00335905" w:rsidRPr="00A557BB">
        <w:rPr>
          <w:lang w:val="fr-FR"/>
        </w:rPr>
        <w:t xml:space="preserve">principales visant à réduire les coûts : </w:t>
      </w:r>
      <w:r w:rsidRPr="00A557BB">
        <w:rPr>
          <w:lang w:val="fr-FR"/>
        </w:rPr>
        <w:t>l'utilisation de polyol</w:t>
      </w:r>
      <w:r w:rsidR="00335905" w:rsidRPr="00A557BB">
        <w:rPr>
          <w:lang w:val="fr-FR"/>
        </w:rPr>
        <w:t>s prémélangés à base de pentane ;</w:t>
      </w:r>
      <w:r w:rsidRPr="00A557BB">
        <w:rPr>
          <w:lang w:val="fr-FR"/>
        </w:rPr>
        <w:t xml:space="preserve"> </w:t>
      </w:r>
      <w:r w:rsidR="00870F31" w:rsidRPr="00A557BB">
        <w:rPr>
          <w:lang w:val="fr-FR"/>
        </w:rPr>
        <w:t>une</w:t>
      </w:r>
      <w:r w:rsidRPr="00A557BB">
        <w:rPr>
          <w:lang w:val="fr-FR"/>
        </w:rPr>
        <w:t xml:space="preserve"> unité de moussage au pentane compacte </w:t>
      </w:r>
      <w:r w:rsidR="00870F31" w:rsidRPr="00A557BB">
        <w:rPr>
          <w:lang w:val="fr-FR"/>
        </w:rPr>
        <w:t xml:space="preserve">avec une tête de mélange mobile, conçue </w:t>
      </w:r>
      <w:r w:rsidRPr="00A557BB">
        <w:rPr>
          <w:lang w:val="fr-FR"/>
        </w:rPr>
        <w:t xml:space="preserve">pour permettre le </w:t>
      </w:r>
      <w:r w:rsidR="00870F31" w:rsidRPr="00A557BB">
        <w:rPr>
          <w:lang w:val="fr-FR"/>
        </w:rPr>
        <w:t>coulage</w:t>
      </w:r>
      <w:r w:rsidRPr="00A557BB">
        <w:rPr>
          <w:lang w:val="fr-FR"/>
        </w:rPr>
        <w:t xml:space="preserve"> de la mousse dans des mou</w:t>
      </w:r>
      <w:r w:rsidR="00335905" w:rsidRPr="00A557BB">
        <w:rPr>
          <w:lang w:val="fr-FR"/>
        </w:rPr>
        <w:t>les situés dans une zone importante ;</w:t>
      </w:r>
      <w:r w:rsidRPr="00A557BB">
        <w:rPr>
          <w:lang w:val="fr-FR"/>
        </w:rPr>
        <w:t xml:space="preserve"> et la conception d'un système de sécurité simplifié </w:t>
      </w:r>
      <w:r w:rsidR="00335905" w:rsidRPr="00A557BB">
        <w:rPr>
          <w:lang w:val="fr-FR"/>
        </w:rPr>
        <w:t>couvrant</w:t>
      </w:r>
      <w:r w:rsidRPr="00A557BB">
        <w:rPr>
          <w:lang w:val="fr-FR"/>
        </w:rPr>
        <w:t xml:space="preserve"> toutes les zones de moussage. </w:t>
      </w:r>
    </w:p>
    <w:p w14:paraId="296E6669" w14:textId="520BE895" w:rsidR="009A3DA8" w:rsidRPr="00A557BB" w:rsidRDefault="009A3DA8" w:rsidP="009A3DA8">
      <w:pPr>
        <w:pStyle w:val="Heading1"/>
        <w:rPr>
          <w:lang w:val="fr-FR"/>
        </w:rPr>
      </w:pPr>
      <w:r w:rsidRPr="00A557BB">
        <w:rPr>
          <w:lang w:val="fr-FR"/>
        </w:rPr>
        <w:t xml:space="preserve">Il a été proposé que le projet soit mis en œuvre </w:t>
      </w:r>
      <w:r w:rsidR="00870F31" w:rsidRPr="00A557BB">
        <w:rPr>
          <w:lang w:val="fr-FR"/>
        </w:rPr>
        <w:t xml:space="preserve">au sein de Engequife, une PME utilisant </w:t>
      </w:r>
      <w:r w:rsidRPr="00A557BB">
        <w:rPr>
          <w:lang w:val="fr-FR"/>
        </w:rPr>
        <w:t xml:space="preserve">des polyols prémélangés à base de HCFC-141b pour </w:t>
      </w:r>
      <w:r w:rsidR="00870F31" w:rsidRPr="00A557BB">
        <w:rPr>
          <w:lang w:val="fr-FR"/>
        </w:rPr>
        <w:t>fabriquer</w:t>
      </w:r>
      <w:r w:rsidRPr="00A557BB">
        <w:rPr>
          <w:lang w:val="fr-FR"/>
        </w:rPr>
        <w:t xml:space="preserve"> </w:t>
      </w:r>
      <w:r w:rsidR="00870F31" w:rsidRPr="00A557BB">
        <w:rPr>
          <w:lang w:val="fr-FR"/>
        </w:rPr>
        <w:t xml:space="preserve">des </w:t>
      </w:r>
      <w:r w:rsidRPr="00A557BB">
        <w:rPr>
          <w:lang w:val="fr-FR"/>
        </w:rPr>
        <w:t>mousse</w:t>
      </w:r>
      <w:r w:rsidR="00870F31" w:rsidRPr="00A557BB">
        <w:rPr>
          <w:lang w:val="fr-FR"/>
        </w:rPr>
        <w:t>s isolantes dans des équipements</w:t>
      </w:r>
      <w:r w:rsidRPr="00A557BB">
        <w:rPr>
          <w:lang w:val="fr-FR"/>
        </w:rPr>
        <w:t xml:space="preserve"> de réfrigération commerciaux consommant 1,9 </w:t>
      </w:r>
      <w:r w:rsidR="00870F31" w:rsidRPr="00A557BB">
        <w:rPr>
          <w:lang w:val="fr-FR"/>
        </w:rPr>
        <w:t>tm de HCFC</w:t>
      </w:r>
      <w:r w:rsidRPr="00A557BB">
        <w:rPr>
          <w:lang w:val="fr-FR"/>
        </w:rPr>
        <w:noBreakHyphen/>
        <w:t>141b. Le projet est terminé et le rapport final est annexé au présent document.</w:t>
      </w:r>
    </w:p>
    <w:p w14:paraId="7CBECC15" w14:textId="77777777" w:rsidR="004943D2" w:rsidRPr="00A557BB" w:rsidRDefault="004943D2" w:rsidP="004943D2">
      <w:pPr>
        <w:pStyle w:val="Heading1"/>
        <w:numPr>
          <w:ilvl w:val="0"/>
          <w:numId w:val="1"/>
        </w:numPr>
        <w:rPr>
          <w:lang w:val="fr-FR"/>
        </w:rPr>
      </w:pPr>
      <w:r w:rsidRPr="00A557BB">
        <w:rPr>
          <w:lang w:val="fr-FR"/>
        </w:rPr>
        <w:t xml:space="preserve">Pour des raisons de rentabilité, le polyol prémélangé à base de cyclopentane serait livré dans de petites cuves ou des fûts. Le polyol prémélangé avec du cyclopentane dans les fûts serait versé dans une machine de moussage à haute pression, compacte, à deux flux de matière première ; pour permettre une utilisation sûre de la formulation, des capteurs seraient installés dans toutes les sources d'émissions potentielles de cyclopentane et deux systèmes d'extraction permettraient d'extraire les gaz, le cas échéant, des zones de production de mousse. Une normalisation de l'équipement pourrait également permettre de réduire considérablement les coûts.  </w:t>
      </w:r>
    </w:p>
    <w:p w14:paraId="3CE0C26D" w14:textId="77777777" w:rsidR="004943D2" w:rsidRPr="00A557BB" w:rsidRDefault="004943D2" w:rsidP="004943D2">
      <w:pPr>
        <w:pStyle w:val="Heading1"/>
        <w:numPr>
          <w:ilvl w:val="0"/>
          <w:numId w:val="1"/>
        </w:numPr>
        <w:rPr>
          <w:lang w:val="fr-FR"/>
        </w:rPr>
      </w:pPr>
      <w:r w:rsidRPr="00A557BB">
        <w:rPr>
          <w:lang w:val="fr-FR"/>
        </w:rPr>
        <w:t>Avec cette approche, le projet a été mis en œuvre en quatre étapes, comme expliqué ci-dessous.</w:t>
      </w:r>
    </w:p>
    <w:p w14:paraId="158FAAF0" w14:textId="77777777" w:rsidR="004943D2" w:rsidRPr="00A557BB" w:rsidRDefault="004943D2" w:rsidP="004943D2">
      <w:pPr>
        <w:pStyle w:val="StyleHeader4Para4Left0Firstline0"/>
        <w:numPr>
          <w:ilvl w:val="0"/>
          <w:numId w:val="0"/>
        </w:numPr>
        <w:rPr>
          <w:i/>
          <w:sz w:val="22"/>
          <w:lang w:val="fr-FR"/>
        </w:rPr>
      </w:pPr>
      <w:r w:rsidRPr="00A557BB">
        <w:rPr>
          <w:i/>
          <w:sz w:val="22"/>
          <w:lang w:val="fr-FR"/>
        </w:rPr>
        <w:t>Etape 1. Mission d'étude permettant d'identifier le fournisseur de produits chimiques et visites permettant de sélectionner le fournisseur</w:t>
      </w:r>
    </w:p>
    <w:p w14:paraId="439D7CC6" w14:textId="77777777" w:rsidR="004943D2" w:rsidRPr="00A557BB" w:rsidRDefault="004943D2" w:rsidP="004943D2">
      <w:pPr>
        <w:pStyle w:val="Heading1"/>
        <w:numPr>
          <w:ilvl w:val="0"/>
          <w:numId w:val="1"/>
        </w:numPr>
        <w:rPr>
          <w:lang w:val="fr-FR"/>
        </w:rPr>
      </w:pPr>
      <w:r w:rsidRPr="00A557BB">
        <w:rPr>
          <w:lang w:val="fr-FR"/>
        </w:rPr>
        <w:lastRenderedPageBreak/>
        <w:t xml:space="preserve">Trois fournisseurs ont été identifiés et, à la suite de discussions, Pumex, un fournisseur basé au Mexique, a été identifié comme fournisseur potentiel de systèmes de polyols prémélangés à base de cyclopentane. Un voyage d'étude a été entrepris en septembre 2017 pour discuter avec l'équipe technique de Pumex et avec deux clients différents de Pumex des aspects liés à la sécurité de l'approvisionnement et de l'utilisation de systèmes prémélangés au cyclopentane.  Après des consultations approfondies et une évaluation technique, Pumex a accepté de vendre des formulations de cyclopentane à Engequife.  </w:t>
      </w:r>
    </w:p>
    <w:p w14:paraId="0BC88BA1" w14:textId="77777777" w:rsidR="004943D2" w:rsidRPr="00A557BB" w:rsidRDefault="004943D2" w:rsidP="004943D2">
      <w:pPr>
        <w:pStyle w:val="StyleHeader4Para4Left0Firstline0"/>
        <w:keepNext/>
        <w:widowControl/>
        <w:numPr>
          <w:ilvl w:val="0"/>
          <w:numId w:val="0"/>
        </w:numPr>
        <w:tabs>
          <w:tab w:val="clear" w:pos="2880"/>
          <w:tab w:val="clear" w:pos="5760"/>
        </w:tabs>
        <w:rPr>
          <w:i/>
          <w:sz w:val="22"/>
          <w:lang w:val="fr-FR"/>
        </w:rPr>
      </w:pPr>
      <w:r w:rsidRPr="00A557BB">
        <w:rPr>
          <w:i/>
          <w:sz w:val="22"/>
          <w:lang w:val="fr-FR"/>
        </w:rPr>
        <w:t>Etape 2. Etude techniques et de l'équipement visant à identifier les fournisseurs de technologies et d'équipements</w:t>
      </w:r>
    </w:p>
    <w:p w14:paraId="27A14ED8" w14:textId="77777777" w:rsidR="004943D2" w:rsidRPr="00A557BB" w:rsidRDefault="004943D2" w:rsidP="004943D2">
      <w:pPr>
        <w:pStyle w:val="Heading1"/>
        <w:keepNext/>
        <w:numPr>
          <w:ilvl w:val="0"/>
          <w:numId w:val="1"/>
        </w:numPr>
        <w:rPr>
          <w:lang w:val="fr-FR"/>
        </w:rPr>
      </w:pPr>
      <w:r w:rsidRPr="00A557BB">
        <w:rPr>
          <w:lang w:val="fr-FR"/>
        </w:rPr>
        <w:t>L'équipe du projet a organisé une mission en Italie en octobre 2017 pour discuter avec quatre fournisseurs d'équipements de la conception, des aspects techniques et de la sécurité liés à l'utilisation de systèmes prémélangés à base de cyclopentane dans les PME, des besoins en équipement de sécurité et des possibilités de faire baisser les coûts dans la conception d'équipements ou de systèmes.</w:t>
      </w:r>
    </w:p>
    <w:p w14:paraId="725A8683" w14:textId="77777777" w:rsidR="004943D2" w:rsidRPr="00A557BB" w:rsidRDefault="004943D2" w:rsidP="004943D2">
      <w:pPr>
        <w:pStyle w:val="StyleHeader4Para4Left0Firstline0"/>
        <w:numPr>
          <w:ilvl w:val="0"/>
          <w:numId w:val="0"/>
        </w:numPr>
        <w:tabs>
          <w:tab w:val="clear" w:pos="2880"/>
        </w:tabs>
        <w:rPr>
          <w:i/>
          <w:sz w:val="22"/>
          <w:lang w:val="fr-FR"/>
        </w:rPr>
      </w:pPr>
      <w:r w:rsidRPr="00A557BB">
        <w:rPr>
          <w:i/>
          <w:sz w:val="22"/>
          <w:lang w:val="fr-FR"/>
        </w:rPr>
        <w:t>Etape 3. Fourniture d'équipements, de produits chimiques, travaux entrepris localement et mise en service</w:t>
      </w:r>
    </w:p>
    <w:p w14:paraId="15E74BD3" w14:textId="77777777" w:rsidR="004943D2" w:rsidRPr="00A557BB" w:rsidRDefault="004943D2" w:rsidP="004943D2">
      <w:pPr>
        <w:pStyle w:val="Heading1"/>
        <w:numPr>
          <w:ilvl w:val="0"/>
          <w:numId w:val="1"/>
        </w:numPr>
        <w:rPr>
          <w:lang w:val="fr-FR"/>
        </w:rPr>
      </w:pPr>
      <w:r w:rsidRPr="00A557BB">
        <w:rPr>
          <w:lang w:val="fr-FR"/>
        </w:rPr>
        <w:t>Un processus d'appel d'offres concurrentiel a été lancé pour la fourniture d'équipements et sur cette base, Cannon Afros a été identifié comme fournisseur.</w:t>
      </w:r>
    </w:p>
    <w:p w14:paraId="6554976C" w14:textId="3B253796" w:rsidR="004943D2" w:rsidRPr="00A557BB" w:rsidRDefault="004943D2" w:rsidP="004943D2">
      <w:pPr>
        <w:pStyle w:val="Heading1"/>
        <w:numPr>
          <w:ilvl w:val="0"/>
          <w:numId w:val="1"/>
        </w:numPr>
        <w:rPr>
          <w:lang w:val="fr-FR"/>
        </w:rPr>
      </w:pPr>
      <w:r w:rsidRPr="00A557BB">
        <w:rPr>
          <w:lang w:val="fr-FR"/>
        </w:rPr>
        <w:t xml:space="preserve">L'offre de Cannon Afros comprenait un équipement de moussage très compact avec une tuyauterie limitée, des capteurs dans deux flux de matières premières </w:t>
      </w:r>
      <w:r w:rsidRPr="002221F7">
        <w:rPr>
          <w:lang w:val="fr-FR"/>
        </w:rPr>
        <w:t>et un système de remplissage de barils et un panneau de commande intégré, une tête de mélange mobile</w:t>
      </w:r>
      <w:r w:rsidR="008D6B42" w:rsidRPr="002221F7">
        <w:rPr>
          <w:rStyle w:val="FootnoteReference"/>
          <w:lang w:val="fr-FR"/>
        </w:rPr>
        <w:footnoteReference w:id="25"/>
      </w:r>
      <w:r w:rsidRPr="002221F7">
        <w:rPr>
          <w:lang w:val="fr-FR"/>
        </w:rPr>
        <w:t xml:space="preserve"> avec une flèche desservant différents moules et presses, une optimisation des coûts grâce à la mise en place</w:t>
      </w:r>
      <w:r w:rsidRPr="00A557BB">
        <w:rPr>
          <w:lang w:val="fr-FR"/>
        </w:rPr>
        <w:t xml:space="preserve"> d'un ventilateur double pour la zone humide et d'un ventilateur d'extraction pour la zone sèche, l'installation de six capteurs et systèmes de détection permettant de déclencher l'alarme et d'équipements à l'azote connectés à un panneau de commande. Tous les conduits et tubes devaient être installés localement par Engequife. Pumex a fourni des formulations de cyclopentane en fûts.</w:t>
      </w:r>
    </w:p>
    <w:p w14:paraId="7941E5CB" w14:textId="77777777" w:rsidR="004943D2" w:rsidRPr="00A557BB" w:rsidRDefault="004943D2" w:rsidP="004943D2">
      <w:pPr>
        <w:pStyle w:val="Heading1"/>
        <w:numPr>
          <w:ilvl w:val="0"/>
          <w:numId w:val="1"/>
        </w:numPr>
        <w:rPr>
          <w:lang w:val="fr-FR"/>
        </w:rPr>
      </w:pPr>
      <w:r w:rsidRPr="00A557BB">
        <w:rPr>
          <w:lang w:val="fr-FR"/>
        </w:rPr>
        <w:t>La mise en service a été retardée en raison de la délocalisation de la production d’Engequife dans de nouvelles installations ; après l'achèvement des travaux d'électricité et de génie civil sur site, l'installation de l'équipement a été achevée et la formation dispensée.</w:t>
      </w:r>
    </w:p>
    <w:p w14:paraId="70199B99" w14:textId="77777777" w:rsidR="004943D2" w:rsidRPr="00A557BB" w:rsidRDefault="004943D2" w:rsidP="004943D2">
      <w:pPr>
        <w:pStyle w:val="StyleHeader4Para4Left0Firstline0"/>
        <w:numPr>
          <w:ilvl w:val="0"/>
          <w:numId w:val="0"/>
        </w:numPr>
        <w:tabs>
          <w:tab w:val="clear" w:pos="2880"/>
        </w:tabs>
        <w:rPr>
          <w:i/>
          <w:sz w:val="22"/>
          <w:lang w:val="fr-FR"/>
        </w:rPr>
      </w:pPr>
      <w:r w:rsidRPr="00A557BB">
        <w:rPr>
          <w:i/>
          <w:sz w:val="22"/>
          <w:lang w:val="fr-FR"/>
        </w:rPr>
        <w:t>Étape 4. Résultats du projet et diffusion</w:t>
      </w:r>
    </w:p>
    <w:p w14:paraId="21732A5B" w14:textId="77777777" w:rsidR="004943D2" w:rsidRPr="00A557BB" w:rsidRDefault="004943D2" w:rsidP="004943D2">
      <w:pPr>
        <w:pStyle w:val="Heading1"/>
        <w:numPr>
          <w:ilvl w:val="0"/>
          <w:numId w:val="1"/>
        </w:numPr>
        <w:rPr>
          <w:lang w:val="fr-FR"/>
        </w:rPr>
      </w:pPr>
      <w:r w:rsidRPr="00A557BB">
        <w:rPr>
          <w:lang w:val="fr-FR"/>
        </w:rPr>
        <w:t>Tous les tests et productions de mousses ont été réalisés.  Les principales conclusions sont présentées ci-dessous.</w:t>
      </w:r>
    </w:p>
    <w:p w14:paraId="5A2C9C94" w14:textId="4487B31A" w:rsidR="004943D2" w:rsidRPr="00A557BB" w:rsidRDefault="004943D2" w:rsidP="004943D2">
      <w:pPr>
        <w:pStyle w:val="Heading2"/>
        <w:numPr>
          <w:ilvl w:val="1"/>
          <w:numId w:val="1"/>
        </w:numPr>
        <w:rPr>
          <w:lang w:val="fr-FR"/>
        </w:rPr>
      </w:pPr>
      <w:r w:rsidRPr="00A557BB">
        <w:rPr>
          <w:lang w:val="fr-FR"/>
        </w:rPr>
        <w:t xml:space="preserve">Les systèmes de cyclopentane prémélangés sont suffisamment stables et peuvent être utilisés dans le commerce; il n'y a pas de problèmes particuliers concernant le transport et l'expédition de systèmes </w:t>
      </w:r>
      <w:r w:rsidR="00A557BB" w:rsidRPr="00A557BB">
        <w:rPr>
          <w:lang w:val="fr-FR"/>
        </w:rPr>
        <w:t>prémélangés</w:t>
      </w:r>
      <w:r w:rsidRPr="00A557BB">
        <w:rPr>
          <w:lang w:val="fr-FR"/>
        </w:rPr>
        <w:t xml:space="preserve"> au cyclopentane dans des fûts. Ils sont expédiés en tant que « produits chimiques dangereux » avec le coût supplémentaire y afférent ;</w:t>
      </w:r>
    </w:p>
    <w:p w14:paraId="7C7FCA74" w14:textId="77777777" w:rsidR="004943D2" w:rsidRPr="00A557BB" w:rsidRDefault="004943D2" w:rsidP="004943D2">
      <w:pPr>
        <w:pStyle w:val="Heading2"/>
        <w:numPr>
          <w:ilvl w:val="1"/>
          <w:numId w:val="1"/>
        </w:numPr>
        <w:rPr>
          <w:lang w:val="fr-FR"/>
        </w:rPr>
      </w:pPr>
      <w:r w:rsidRPr="00A557BB">
        <w:rPr>
          <w:lang w:val="fr-FR"/>
        </w:rPr>
        <w:t>La qualité de la mousse produite avec les systèmes fonctionnant au cyclopentane est similaire à celle obtenue avec le HCFC-141b; aucun problème de sécurité particulier ni aucune difficulté n'ont été rencontrés lors de l'utilisation de systèmes fonctionnant au cyclopentane avec l'équipement fourni ;</w:t>
      </w:r>
    </w:p>
    <w:p w14:paraId="4D86CB89" w14:textId="77777777" w:rsidR="004943D2" w:rsidRPr="00A557BB" w:rsidRDefault="004943D2" w:rsidP="004943D2">
      <w:pPr>
        <w:pStyle w:val="Heading2"/>
        <w:numPr>
          <w:ilvl w:val="1"/>
          <w:numId w:val="1"/>
        </w:numPr>
        <w:rPr>
          <w:lang w:val="fr-FR"/>
        </w:rPr>
      </w:pPr>
      <w:r w:rsidRPr="00A557BB">
        <w:rPr>
          <w:lang w:val="fr-FR"/>
        </w:rPr>
        <w:t xml:space="preserve">Il est possible de réduire les coûts d'investissement en exploitant des installations de fabrication de mousses sans systèmes complexes de mélange et de stockage du </w:t>
      </w:r>
      <w:r w:rsidRPr="00A557BB">
        <w:rPr>
          <w:lang w:val="fr-FR"/>
        </w:rPr>
        <w:lastRenderedPageBreak/>
        <w:t>cyclopentane, une solution technique compacte utilisant du pentane et une conception économique de la tête de moussage et du système de ventilation et de sécurité ; cette technologie compacte à base de pentane peut être appliquée dans de nombreuses PME travaillant dans le sous-secteur des mousses rigides ; sa réplication peut générer des économies ;</w:t>
      </w:r>
    </w:p>
    <w:p w14:paraId="473B294D" w14:textId="77777777" w:rsidR="004943D2" w:rsidRPr="00A557BB" w:rsidRDefault="004943D2" w:rsidP="004943D2">
      <w:pPr>
        <w:pStyle w:val="Heading2"/>
        <w:numPr>
          <w:ilvl w:val="1"/>
          <w:numId w:val="1"/>
        </w:numPr>
        <w:rPr>
          <w:lang w:val="fr-FR"/>
        </w:rPr>
      </w:pPr>
      <w:r w:rsidRPr="00A557BB">
        <w:rPr>
          <w:lang w:val="fr-FR"/>
        </w:rPr>
        <w:t>des économies sont attendues en raison du prix de revient du cyclopentane, inférieur à celui du HCFC-141b ;</w:t>
      </w:r>
    </w:p>
    <w:p w14:paraId="43AC4358" w14:textId="77777777" w:rsidR="004943D2" w:rsidRPr="00A557BB" w:rsidRDefault="004943D2" w:rsidP="004943D2">
      <w:pPr>
        <w:pStyle w:val="Heading2"/>
        <w:numPr>
          <w:ilvl w:val="1"/>
          <w:numId w:val="1"/>
        </w:numPr>
        <w:rPr>
          <w:lang w:val="fr-FR"/>
        </w:rPr>
      </w:pPr>
      <w:r w:rsidRPr="00A557BB">
        <w:rPr>
          <w:lang w:val="fr-FR"/>
        </w:rPr>
        <w:t xml:space="preserve">la consommation d’azote a été jugée élevée et son utilisation doit être optimisée. </w:t>
      </w:r>
    </w:p>
    <w:p w14:paraId="42A04EAD" w14:textId="01BC9BC0" w:rsidR="004943D2" w:rsidRPr="00A557BB" w:rsidRDefault="004943D2" w:rsidP="004943D2">
      <w:pPr>
        <w:pStyle w:val="Heading1"/>
        <w:numPr>
          <w:ilvl w:val="0"/>
          <w:numId w:val="1"/>
        </w:numPr>
        <w:rPr>
          <w:lang w:val="fr-FR"/>
        </w:rPr>
      </w:pPr>
      <w:r w:rsidRPr="00A557BB">
        <w:rPr>
          <w:lang w:val="fr-FR"/>
        </w:rPr>
        <w:t xml:space="preserve">Un atelier a été organisé pour présenter les résultats du projet de démonstration, suivi d'une visite à l'usine </w:t>
      </w:r>
      <w:r w:rsidR="00A557BB" w:rsidRPr="00A557BB">
        <w:rPr>
          <w:lang w:val="fr-FR"/>
        </w:rPr>
        <w:t>Engequife</w:t>
      </w:r>
      <w:r w:rsidRPr="00A557BB">
        <w:rPr>
          <w:lang w:val="fr-FR"/>
        </w:rPr>
        <w:t>. Les entreprises marocaines concernées par la production de mousses rigides ont participé à l'un et l'autre</w:t>
      </w:r>
      <w:r w:rsidR="00A557BB" w:rsidRPr="00A557BB">
        <w:rPr>
          <w:lang w:val="fr-FR"/>
        </w:rPr>
        <w:t>.</w:t>
      </w:r>
    </w:p>
    <w:p w14:paraId="1AF7162C" w14:textId="77777777" w:rsidR="004943D2" w:rsidRPr="00A557BB" w:rsidRDefault="004943D2" w:rsidP="004943D2">
      <w:pPr>
        <w:pStyle w:val="StyleHeader4Para4Left0Firstline0"/>
        <w:numPr>
          <w:ilvl w:val="0"/>
          <w:numId w:val="0"/>
        </w:numPr>
        <w:rPr>
          <w:b/>
          <w:sz w:val="22"/>
          <w:lang w:val="fr-FR"/>
        </w:rPr>
      </w:pPr>
      <w:r w:rsidRPr="00A557BB">
        <w:rPr>
          <w:b/>
          <w:sz w:val="22"/>
          <w:lang w:val="fr-FR"/>
        </w:rPr>
        <w:t xml:space="preserve">Observations du Secrétariat </w:t>
      </w:r>
    </w:p>
    <w:p w14:paraId="141A48DD" w14:textId="77777777" w:rsidR="004943D2" w:rsidRPr="00A557BB" w:rsidRDefault="004943D2" w:rsidP="004943D2">
      <w:pPr>
        <w:pStyle w:val="Heading1"/>
        <w:numPr>
          <w:ilvl w:val="0"/>
          <w:numId w:val="1"/>
        </w:numPr>
        <w:rPr>
          <w:lang w:val="fr-FR"/>
        </w:rPr>
      </w:pPr>
      <w:r w:rsidRPr="00A557BB">
        <w:rPr>
          <w:lang w:val="fr-FR"/>
        </w:rPr>
        <w:t xml:space="preserve">L'ONUDI a expliqué que le retard dans la mise en œuvre du projet était dû au fait que l'UNO n'était pas disponible pour participer à la visite d'étude visant à identifier les fournisseurs potentiels de polyols prémélangés à base de HC et d'équipements de moussage et au fait que les nouveaux locaux, situés dans une zone industrielle, n’étaient pas prêts au moment de la livraison du matériel en 2018. </w:t>
      </w:r>
    </w:p>
    <w:p w14:paraId="4F6A0693" w14:textId="77777777" w:rsidR="004943D2" w:rsidRPr="00A557BB" w:rsidRDefault="004943D2" w:rsidP="004943D2">
      <w:pPr>
        <w:pStyle w:val="Heading1"/>
        <w:numPr>
          <w:ilvl w:val="0"/>
          <w:numId w:val="1"/>
        </w:numPr>
        <w:rPr>
          <w:lang w:val="fr-FR"/>
        </w:rPr>
      </w:pPr>
      <w:r w:rsidRPr="00A557BB">
        <w:rPr>
          <w:lang w:val="fr-FR"/>
        </w:rPr>
        <w:t>L’ONUDI a expliqué qu’il n’existait pas de réservoir de stockage de matières premières dans le système d’approvisionnement en matières premières; les matières premières sont transportées en fûts (l'un pour l'isocyanate et l'autre pour le polyol prémélangé à base de cyclopentane), reliés à une machine de moussage compacte à haute pression.  Des économies ont été réalisées, aucun réservoir de stockage du pentane nécessitant des travaux de génie civil et des systèmes de sécurité n’étant requis (économies de 50 à 100 000 $US) ; aucun système de prémélange comprenant un réservoir tampon et les équipements de sécurité associés n'étant nécessaire (économies de 50 à 100 000 $US) ; des économies ont également été réalisées grâce à l’installation d’une machine compacte et d’un système d'extraction économique utilisant un double ventilateur et un extracteur (économies de 50 à 100 000 $US).</w:t>
      </w:r>
    </w:p>
    <w:p w14:paraId="318B0966" w14:textId="77777777" w:rsidR="004943D2" w:rsidRPr="00A557BB" w:rsidRDefault="004943D2" w:rsidP="004943D2">
      <w:pPr>
        <w:pStyle w:val="Heading1"/>
        <w:numPr>
          <w:ilvl w:val="0"/>
          <w:numId w:val="1"/>
        </w:numPr>
        <w:rPr>
          <w:lang w:val="fr-FR"/>
        </w:rPr>
      </w:pPr>
      <w:r w:rsidRPr="00A557BB">
        <w:rPr>
          <w:lang w:val="fr-FR"/>
        </w:rPr>
        <w:t>L’ONUDI a fourni les informations indiquées dans le tableau 9 sur le surcoût en capital du matériel installé dans le projet de démonstration.</w:t>
      </w:r>
    </w:p>
    <w:p w14:paraId="46785CC1" w14:textId="77777777" w:rsidR="009A3DA8" w:rsidRPr="00A557BB" w:rsidRDefault="009A3DA8" w:rsidP="009A3DA8">
      <w:pPr>
        <w:pStyle w:val="StyleHeader4Para4Left0Firstline0"/>
        <w:keepNext/>
        <w:keepLines/>
        <w:numPr>
          <w:ilvl w:val="0"/>
          <w:numId w:val="0"/>
        </w:numPr>
        <w:tabs>
          <w:tab w:val="clear" w:pos="2880"/>
          <w:tab w:val="clear" w:pos="5760"/>
        </w:tabs>
        <w:spacing w:after="0"/>
        <w:rPr>
          <w:b/>
          <w:sz w:val="22"/>
          <w:lang w:val="fr-FR"/>
        </w:rPr>
      </w:pPr>
      <w:r w:rsidRPr="00A557BB">
        <w:rPr>
          <w:b/>
          <w:sz w:val="22"/>
          <w:lang w:val="fr-FR"/>
        </w:rPr>
        <w:t>Tableau 9: Coûts différentiels liés au matériel permettant l’utilisation du système à base de cyclopentane prémélangé (en $ US)</w:t>
      </w:r>
    </w:p>
    <w:tbl>
      <w:tblPr>
        <w:tblStyle w:val="TableGrid"/>
        <w:tblW w:w="0" w:type="auto"/>
        <w:tblInd w:w="108" w:type="dxa"/>
        <w:tblLook w:val="04A0" w:firstRow="1" w:lastRow="0" w:firstColumn="1" w:lastColumn="0" w:noHBand="0" w:noVBand="1"/>
      </w:tblPr>
      <w:tblGrid>
        <w:gridCol w:w="6691"/>
        <w:gridCol w:w="2551"/>
      </w:tblGrid>
      <w:tr w:rsidR="009A3DA8" w:rsidRPr="002221F7" w14:paraId="00ACEF42" w14:textId="77777777" w:rsidTr="008E0DC3">
        <w:tc>
          <w:tcPr>
            <w:tcW w:w="6691" w:type="dxa"/>
          </w:tcPr>
          <w:p w14:paraId="128B3793" w14:textId="77777777" w:rsidR="009A3DA8" w:rsidRPr="00A557BB" w:rsidRDefault="009A3DA8" w:rsidP="00E402E0">
            <w:pPr>
              <w:pStyle w:val="StyleHeader4Para4Left0Firstline0"/>
              <w:keepNext/>
              <w:keepLines/>
              <w:numPr>
                <w:ilvl w:val="0"/>
                <w:numId w:val="0"/>
              </w:numPr>
              <w:tabs>
                <w:tab w:val="clear" w:pos="2880"/>
                <w:tab w:val="clear" w:pos="5760"/>
              </w:tabs>
              <w:spacing w:after="0"/>
              <w:rPr>
                <w:sz w:val="22"/>
                <w:lang w:val="fr-FR"/>
              </w:rPr>
            </w:pPr>
          </w:p>
        </w:tc>
        <w:tc>
          <w:tcPr>
            <w:tcW w:w="2551" w:type="dxa"/>
          </w:tcPr>
          <w:p w14:paraId="01DFC59E" w14:textId="77777777" w:rsidR="009A3DA8" w:rsidRPr="00A557BB" w:rsidRDefault="009A3DA8" w:rsidP="00E402E0">
            <w:pPr>
              <w:pStyle w:val="StyleHeader4Para4Left0Firstline0"/>
              <w:keepNext/>
              <w:keepLines/>
              <w:numPr>
                <w:ilvl w:val="0"/>
                <w:numId w:val="0"/>
              </w:numPr>
              <w:tabs>
                <w:tab w:val="clear" w:pos="2880"/>
                <w:tab w:val="clear" w:pos="5760"/>
              </w:tabs>
              <w:spacing w:after="0"/>
              <w:rPr>
                <w:sz w:val="22"/>
                <w:lang w:val="fr-FR"/>
              </w:rPr>
            </w:pPr>
          </w:p>
        </w:tc>
      </w:tr>
      <w:tr w:rsidR="009A3DA8" w:rsidRPr="00A557BB" w14:paraId="62283CAF" w14:textId="77777777" w:rsidTr="008E0DC3">
        <w:tc>
          <w:tcPr>
            <w:tcW w:w="6691" w:type="dxa"/>
          </w:tcPr>
          <w:p w14:paraId="05635494" w14:textId="77777777" w:rsidR="009A3DA8" w:rsidRPr="00A557BB" w:rsidRDefault="009A3DA8" w:rsidP="00E402E0">
            <w:pPr>
              <w:pStyle w:val="StyleHeader4Para4Left0Firstline0"/>
              <w:keepNext/>
              <w:keepLines/>
              <w:numPr>
                <w:ilvl w:val="0"/>
                <w:numId w:val="0"/>
              </w:numPr>
              <w:tabs>
                <w:tab w:val="clear" w:pos="2880"/>
                <w:tab w:val="clear" w:pos="5760"/>
              </w:tabs>
              <w:spacing w:after="0"/>
              <w:rPr>
                <w:sz w:val="22"/>
                <w:lang w:val="fr-FR"/>
              </w:rPr>
            </w:pPr>
            <w:r w:rsidRPr="00A557BB">
              <w:rPr>
                <w:sz w:val="22"/>
                <w:lang w:val="fr-FR"/>
              </w:rPr>
              <w:t>Équipement de moussage compact avec tête mélangeuse et flèche</w:t>
            </w:r>
          </w:p>
        </w:tc>
        <w:tc>
          <w:tcPr>
            <w:tcW w:w="2551" w:type="dxa"/>
          </w:tcPr>
          <w:p w14:paraId="4EB07292" w14:textId="77777777" w:rsidR="009A3DA8" w:rsidRPr="00A557BB" w:rsidRDefault="009A3DA8" w:rsidP="00E402E0">
            <w:pPr>
              <w:pStyle w:val="StyleHeader4Para4Left0Firstline0"/>
              <w:keepNext/>
              <w:keepLines/>
              <w:numPr>
                <w:ilvl w:val="0"/>
                <w:numId w:val="0"/>
              </w:numPr>
              <w:tabs>
                <w:tab w:val="clear" w:pos="2880"/>
                <w:tab w:val="clear" w:pos="5760"/>
              </w:tabs>
              <w:spacing w:after="0"/>
              <w:jc w:val="right"/>
              <w:rPr>
                <w:sz w:val="22"/>
                <w:lang w:val="fr-FR"/>
              </w:rPr>
            </w:pPr>
            <w:r w:rsidRPr="00A557BB">
              <w:rPr>
                <w:sz w:val="22"/>
                <w:lang w:val="fr-FR"/>
              </w:rPr>
              <w:t>103 000</w:t>
            </w:r>
          </w:p>
        </w:tc>
      </w:tr>
      <w:tr w:rsidR="009A3DA8" w:rsidRPr="00A557BB" w14:paraId="22C2E2E6" w14:textId="77777777" w:rsidTr="008E0DC3">
        <w:tc>
          <w:tcPr>
            <w:tcW w:w="6691" w:type="dxa"/>
          </w:tcPr>
          <w:p w14:paraId="3CACFC56" w14:textId="77777777" w:rsidR="009A3DA8" w:rsidRPr="00A557BB" w:rsidRDefault="009A3DA8" w:rsidP="00E402E0">
            <w:pPr>
              <w:pStyle w:val="StyleHeader4Para4Left0Firstline0"/>
              <w:numPr>
                <w:ilvl w:val="0"/>
                <w:numId w:val="0"/>
              </w:numPr>
              <w:tabs>
                <w:tab w:val="clear" w:pos="2880"/>
                <w:tab w:val="clear" w:pos="5760"/>
              </w:tabs>
              <w:spacing w:after="0"/>
              <w:rPr>
                <w:sz w:val="22"/>
                <w:lang w:val="fr-FR"/>
              </w:rPr>
            </w:pPr>
            <w:r w:rsidRPr="00A557BB">
              <w:rPr>
                <w:sz w:val="22"/>
                <w:lang w:val="fr-FR"/>
              </w:rPr>
              <w:t>Valve d'inertage à l'azote</w:t>
            </w:r>
          </w:p>
        </w:tc>
        <w:tc>
          <w:tcPr>
            <w:tcW w:w="2551" w:type="dxa"/>
          </w:tcPr>
          <w:p w14:paraId="53594542" w14:textId="77777777" w:rsidR="009A3DA8" w:rsidRPr="00A557BB" w:rsidRDefault="009A3DA8" w:rsidP="00E402E0">
            <w:pPr>
              <w:pStyle w:val="StyleHeader4Para4Left0Firstline0"/>
              <w:numPr>
                <w:ilvl w:val="0"/>
                <w:numId w:val="0"/>
              </w:numPr>
              <w:tabs>
                <w:tab w:val="clear" w:pos="2880"/>
                <w:tab w:val="clear" w:pos="5760"/>
              </w:tabs>
              <w:spacing w:after="0"/>
              <w:jc w:val="right"/>
              <w:rPr>
                <w:sz w:val="22"/>
                <w:lang w:val="fr-FR"/>
              </w:rPr>
            </w:pPr>
            <w:r w:rsidRPr="00A557BB">
              <w:rPr>
                <w:sz w:val="22"/>
                <w:lang w:val="fr-FR"/>
              </w:rPr>
              <w:t>1100</w:t>
            </w:r>
          </w:p>
        </w:tc>
      </w:tr>
      <w:tr w:rsidR="009A3DA8" w:rsidRPr="00A557BB" w14:paraId="6BB58405" w14:textId="77777777" w:rsidTr="008E0DC3">
        <w:tc>
          <w:tcPr>
            <w:tcW w:w="6691" w:type="dxa"/>
          </w:tcPr>
          <w:p w14:paraId="298756F1" w14:textId="77777777" w:rsidR="009A3DA8" w:rsidRPr="00A557BB" w:rsidRDefault="009A3DA8" w:rsidP="00E402E0">
            <w:pPr>
              <w:pStyle w:val="StyleHeader4Para4Left0Firstline0"/>
              <w:numPr>
                <w:ilvl w:val="0"/>
                <w:numId w:val="0"/>
              </w:numPr>
              <w:tabs>
                <w:tab w:val="clear" w:pos="2880"/>
                <w:tab w:val="clear" w:pos="5760"/>
              </w:tabs>
              <w:spacing w:after="0"/>
              <w:rPr>
                <w:sz w:val="22"/>
                <w:lang w:val="fr-FR"/>
              </w:rPr>
            </w:pPr>
            <w:r w:rsidRPr="00A557BB">
              <w:rPr>
                <w:sz w:val="22"/>
                <w:lang w:val="fr-FR"/>
              </w:rPr>
              <w:t>Systèmes de sécurité, y compris capteurs de gaz et ventilateurs du panneau de commande</w:t>
            </w:r>
          </w:p>
        </w:tc>
        <w:tc>
          <w:tcPr>
            <w:tcW w:w="2551" w:type="dxa"/>
          </w:tcPr>
          <w:p w14:paraId="481F16AB" w14:textId="77777777" w:rsidR="009A3DA8" w:rsidRPr="00A557BB" w:rsidRDefault="009A3DA8" w:rsidP="00E402E0">
            <w:pPr>
              <w:pStyle w:val="StyleHeader4Para4Left0Firstline0"/>
              <w:numPr>
                <w:ilvl w:val="0"/>
                <w:numId w:val="0"/>
              </w:numPr>
              <w:tabs>
                <w:tab w:val="clear" w:pos="2880"/>
                <w:tab w:val="clear" w:pos="5760"/>
              </w:tabs>
              <w:spacing w:after="0"/>
              <w:jc w:val="right"/>
              <w:rPr>
                <w:sz w:val="22"/>
                <w:lang w:val="fr-FR"/>
              </w:rPr>
            </w:pPr>
            <w:r w:rsidRPr="00A557BB">
              <w:rPr>
                <w:sz w:val="22"/>
                <w:lang w:val="fr-FR"/>
              </w:rPr>
              <w:t>44 400</w:t>
            </w:r>
          </w:p>
        </w:tc>
      </w:tr>
      <w:tr w:rsidR="009A3DA8" w:rsidRPr="00A557BB" w14:paraId="313413EC" w14:textId="77777777" w:rsidTr="008E0DC3">
        <w:tc>
          <w:tcPr>
            <w:tcW w:w="6691" w:type="dxa"/>
          </w:tcPr>
          <w:p w14:paraId="2D96B538" w14:textId="77777777" w:rsidR="009A3DA8" w:rsidRPr="00A557BB" w:rsidRDefault="009A3DA8" w:rsidP="00E402E0">
            <w:pPr>
              <w:pStyle w:val="StyleHeader4Para4Left0Firstline0"/>
              <w:numPr>
                <w:ilvl w:val="0"/>
                <w:numId w:val="0"/>
              </w:numPr>
              <w:tabs>
                <w:tab w:val="clear" w:pos="2880"/>
                <w:tab w:val="clear" w:pos="5760"/>
              </w:tabs>
              <w:spacing w:after="0"/>
              <w:rPr>
                <w:sz w:val="22"/>
                <w:lang w:val="fr-FR"/>
              </w:rPr>
            </w:pPr>
            <w:r w:rsidRPr="00A557BB">
              <w:rPr>
                <w:sz w:val="22"/>
                <w:lang w:val="fr-FR"/>
              </w:rPr>
              <w:t>Conception technique</w:t>
            </w:r>
          </w:p>
        </w:tc>
        <w:tc>
          <w:tcPr>
            <w:tcW w:w="2551" w:type="dxa"/>
          </w:tcPr>
          <w:p w14:paraId="09B2F37F" w14:textId="77777777" w:rsidR="009A3DA8" w:rsidRPr="00A557BB" w:rsidRDefault="009A3DA8" w:rsidP="00E402E0">
            <w:pPr>
              <w:pStyle w:val="StyleHeader4Para4Left0Firstline0"/>
              <w:numPr>
                <w:ilvl w:val="0"/>
                <w:numId w:val="0"/>
              </w:numPr>
              <w:tabs>
                <w:tab w:val="clear" w:pos="2880"/>
                <w:tab w:val="clear" w:pos="5760"/>
              </w:tabs>
              <w:spacing w:after="0"/>
              <w:jc w:val="right"/>
              <w:rPr>
                <w:sz w:val="22"/>
                <w:lang w:val="fr-FR"/>
              </w:rPr>
            </w:pPr>
            <w:r w:rsidRPr="00A557BB">
              <w:rPr>
                <w:sz w:val="22"/>
                <w:lang w:val="fr-FR"/>
              </w:rPr>
              <w:t>11 100</w:t>
            </w:r>
          </w:p>
        </w:tc>
      </w:tr>
      <w:tr w:rsidR="009A3DA8" w:rsidRPr="00A557BB" w14:paraId="6B7F4F81" w14:textId="77777777" w:rsidTr="008E0DC3">
        <w:tc>
          <w:tcPr>
            <w:tcW w:w="6691" w:type="dxa"/>
          </w:tcPr>
          <w:p w14:paraId="35ED14D5" w14:textId="77777777" w:rsidR="009A3DA8" w:rsidRPr="00A557BB" w:rsidRDefault="009A3DA8" w:rsidP="00E402E0">
            <w:pPr>
              <w:pStyle w:val="StyleHeader4Para4Left0Firstline0"/>
              <w:numPr>
                <w:ilvl w:val="0"/>
                <w:numId w:val="0"/>
              </w:numPr>
              <w:tabs>
                <w:tab w:val="clear" w:pos="2880"/>
                <w:tab w:val="clear" w:pos="5760"/>
              </w:tabs>
              <w:spacing w:after="0"/>
              <w:rPr>
                <w:b/>
                <w:sz w:val="22"/>
                <w:lang w:val="fr-FR"/>
              </w:rPr>
            </w:pPr>
            <w:r w:rsidRPr="00A557BB">
              <w:rPr>
                <w:b/>
                <w:sz w:val="22"/>
                <w:lang w:val="fr-FR"/>
              </w:rPr>
              <w:t>Sous-total</w:t>
            </w:r>
          </w:p>
        </w:tc>
        <w:tc>
          <w:tcPr>
            <w:tcW w:w="2551" w:type="dxa"/>
          </w:tcPr>
          <w:p w14:paraId="63450FE2" w14:textId="77777777" w:rsidR="009A3DA8" w:rsidRPr="00A557BB" w:rsidRDefault="009A3DA8" w:rsidP="00E402E0">
            <w:pPr>
              <w:pStyle w:val="StyleHeader4Para4Left0Firstline0"/>
              <w:numPr>
                <w:ilvl w:val="0"/>
                <w:numId w:val="0"/>
              </w:numPr>
              <w:tabs>
                <w:tab w:val="clear" w:pos="2880"/>
                <w:tab w:val="clear" w:pos="5760"/>
              </w:tabs>
              <w:spacing w:after="0"/>
              <w:jc w:val="right"/>
              <w:rPr>
                <w:b/>
                <w:sz w:val="22"/>
                <w:lang w:val="fr-FR"/>
              </w:rPr>
            </w:pPr>
            <w:r w:rsidRPr="00A557BB">
              <w:rPr>
                <w:b/>
                <w:sz w:val="22"/>
                <w:lang w:val="fr-FR"/>
              </w:rPr>
              <w:t>159 600</w:t>
            </w:r>
          </w:p>
        </w:tc>
      </w:tr>
      <w:tr w:rsidR="009A3DA8" w:rsidRPr="00A557BB" w14:paraId="4356FD00" w14:textId="77777777" w:rsidTr="008E0DC3">
        <w:tc>
          <w:tcPr>
            <w:tcW w:w="6691" w:type="dxa"/>
          </w:tcPr>
          <w:p w14:paraId="0E19F21D" w14:textId="77777777" w:rsidR="009A3DA8" w:rsidRPr="00A557BB" w:rsidRDefault="009A3DA8" w:rsidP="00E402E0">
            <w:pPr>
              <w:pStyle w:val="StyleHeader4Para4Left0Firstline0"/>
              <w:numPr>
                <w:ilvl w:val="0"/>
                <w:numId w:val="0"/>
              </w:numPr>
              <w:tabs>
                <w:tab w:val="clear" w:pos="2880"/>
                <w:tab w:val="clear" w:pos="5760"/>
              </w:tabs>
              <w:spacing w:after="0"/>
              <w:rPr>
                <w:sz w:val="22"/>
                <w:lang w:val="fr-FR"/>
              </w:rPr>
            </w:pPr>
            <w:r w:rsidRPr="00A557BB">
              <w:rPr>
                <w:sz w:val="22"/>
                <w:lang w:val="fr-FR"/>
              </w:rPr>
              <w:t>Pièces détachées</w:t>
            </w:r>
          </w:p>
        </w:tc>
        <w:tc>
          <w:tcPr>
            <w:tcW w:w="2551" w:type="dxa"/>
          </w:tcPr>
          <w:p w14:paraId="146A0BE5" w14:textId="77777777" w:rsidR="009A3DA8" w:rsidRPr="00A557BB" w:rsidRDefault="009A3DA8" w:rsidP="00E402E0">
            <w:pPr>
              <w:pStyle w:val="StyleHeader4Para4Left0Firstline0"/>
              <w:numPr>
                <w:ilvl w:val="0"/>
                <w:numId w:val="0"/>
              </w:numPr>
              <w:tabs>
                <w:tab w:val="clear" w:pos="2880"/>
                <w:tab w:val="clear" w:pos="5760"/>
              </w:tabs>
              <w:spacing w:after="0"/>
              <w:jc w:val="right"/>
              <w:rPr>
                <w:sz w:val="22"/>
                <w:lang w:val="fr-FR"/>
              </w:rPr>
            </w:pPr>
            <w:r w:rsidRPr="00A557BB">
              <w:rPr>
                <w:sz w:val="22"/>
                <w:lang w:val="fr-FR"/>
              </w:rPr>
              <w:t>9 300</w:t>
            </w:r>
          </w:p>
        </w:tc>
      </w:tr>
      <w:tr w:rsidR="009A3DA8" w:rsidRPr="00A557BB" w14:paraId="062703E6" w14:textId="77777777" w:rsidTr="008E0DC3">
        <w:tc>
          <w:tcPr>
            <w:tcW w:w="6691" w:type="dxa"/>
          </w:tcPr>
          <w:p w14:paraId="7B34B44D" w14:textId="77777777" w:rsidR="009A3DA8" w:rsidRPr="00A557BB" w:rsidRDefault="009A3DA8" w:rsidP="00E402E0">
            <w:pPr>
              <w:pStyle w:val="StyleHeader4Para4Left0Firstline0"/>
              <w:numPr>
                <w:ilvl w:val="0"/>
                <w:numId w:val="0"/>
              </w:numPr>
              <w:tabs>
                <w:tab w:val="clear" w:pos="2880"/>
                <w:tab w:val="clear" w:pos="5760"/>
              </w:tabs>
              <w:spacing w:after="0"/>
              <w:rPr>
                <w:sz w:val="22"/>
                <w:lang w:val="fr-FR"/>
              </w:rPr>
            </w:pPr>
            <w:r w:rsidRPr="00A557BB">
              <w:rPr>
                <w:sz w:val="22"/>
                <w:lang w:val="fr-FR"/>
              </w:rPr>
              <w:t>Transports et livraison</w:t>
            </w:r>
          </w:p>
        </w:tc>
        <w:tc>
          <w:tcPr>
            <w:tcW w:w="2551" w:type="dxa"/>
          </w:tcPr>
          <w:p w14:paraId="2FF5DCDE" w14:textId="77777777" w:rsidR="009A3DA8" w:rsidRPr="00A557BB" w:rsidRDefault="009A3DA8" w:rsidP="00E402E0">
            <w:pPr>
              <w:pStyle w:val="StyleHeader4Para4Left0Firstline0"/>
              <w:numPr>
                <w:ilvl w:val="0"/>
                <w:numId w:val="0"/>
              </w:numPr>
              <w:tabs>
                <w:tab w:val="clear" w:pos="2880"/>
                <w:tab w:val="clear" w:pos="5760"/>
              </w:tabs>
              <w:spacing w:after="0"/>
              <w:jc w:val="right"/>
              <w:rPr>
                <w:sz w:val="22"/>
                <w:lang w:val="fr-FR"/>
              </w:rPr>
            </w:pPr>
            <w:r w:rsidRPr="00A557BB">
              <w:rPr>
                <w:sz w:val="22"/>
                <w:lang w:val="fr-FR"/>
              </w:rPr>
              <w:t>2 500</w:t>
            </w:r>
          </w:p>
        </w:tc>
      </w:tr>
      <w:tr w:rsidR="009A3DA8" w:rsidRPr="00A557BB" w14:paraId="53ED8632" w14:textId="77777777" w:rsidTr="008E0DC3">
        <w:tc>
          <w:tcPr>
            <w:tcW w:w="6691" w:type="dxa"/>
          </w:tcPr>
          <w:p w14:paraId="21CD3A77" w14:textId="77777777" w:rsidR="009A3DA8" w:rsidRPr="00A557BB" w:rsidRDefault="009A3DA8" w:rsidP="00E402E0">
            <w:pPr>
              <w:pStyle w:val="StyleHeader4Para4Left0Firstline0"/>
              <w:numPr>
                <w:ilvl w:val="0"/>
                <w:numId w:val="0"/>
              </w:numPr>
              <w:tabs>
                <w:tab w:val="clear" w:pos="2880"/>
                <w:tab w:val="clear" w:pos="5760"/>
              </w:tabs>
              <w:spacing w:after="0"/>
              <w:rPr>
                <w:sz w:val="22"/>
                <w:lang w:val="fr-FR"/>
              </w:rPr>
            </w:pPr>
            <w:r w:rsidRPr="00A557BB">
              <w:rPr>
                <w:sz w:val="22"/>
                <w:lang w:val="fr-FR"/>
              </w:rPr>
              <w:t>Installation et mise en service</w:t>
            </w:r>
          </w:p>
        </w:tc>
        <w:tc>
          <w:tcPr>
            <w:tcW w:w="2551" w:type="dxa"/>
          </w:tcPr>
          <w:p w14:paraId="5948ABA4" w14:textId="77777777" w:rsidR="009A3DA8" w:rsidRPr="00A557BB" w:rsidRDefault="009A3DA8" w:rsidP="00E402E0">
            <w:pPr>
              <w:pStyle w:val="StyleHeader4Para4Left0Firstline0"/>
              <w:numPr>
                <w:ilvl w:val="0"/>
                <w:numId w:val="0"/>
              </w:numPr>
              <w:tabs>
                <w:tab w:val="clear" w:pos="2880"/>
                <w:tab w:val="clear" w:pos="5760"/>
              </w:tabs>
              <w:spacing w:after="0"/>
              <w:jc w:val="right"/>
              <w:rPr>
                <w:sz w:val="22"/>
                <w:lang w:val="fr-FR"/>
              </w:rPr>
            </w:pPr>
            <w:r w:rsidRPr="00A557BB">
              <w:rPr>
                <w:sz w:val="22"/>
                <w:lang w:val="fr-FR"/>
              </w:rPr>
              <w:t>17 400</w:t>
            </w:r>
          </w:p>
        </w:tc>
      </w:tr>
      <w:tr w:rsidR="009A3DA8" w:rsidRPr="00A557BB" w14:paraId="3DF790DC" w14:textId="77777777" w:rsidTr="008E0DC3">
        <w:tc>
          <w:tcPr>
            <w:tcW w:w="6691" w:type="dxa"/>
          </w:tcPr>
          <w:p w14:paraId="5A422147" w14:textId="77777777" w:rsidR="009A3DA8" w:rsidRPr="00A557BB" w:rsidRDefault="009A3DA8" w:rsidP="00E402E0">
            <w:pPr>
              <w:pStyle w:val="StyleHeader4Para4Left0Firstline0"/>
              <w:numPr>
                <w:ilvl w:val="0"/>
                <w:numId w:val="0"/>
              </w:numPr>
              <w:tabs>
                <w:tab w:val="clear" w:pos="2880"/>
                <w:tab w:val="clear" w:pos="5760"/>
              </w:tabs>
              <w:spacing w:after="0"/>
              <w:rPr>
                <w:b/>
                <w:sz w:val="22"/>
                <w:lang w:val="fr-FR"/>
              </w:rPr>
            </w:pPr>
            <w:r w:rsidRPr="00A557BB">
              <w:rPr>
                <w:b/>
                <w:sz w:val="22"/>
                <w:lang w:val="fr-FR"/>
              </w:rPr>
              <w:t>Total</w:t>
            </w:r>
          </w:p>
        </w:tc>
        <w:tc>
          <w:tcPr>
            <w:tcW w:w="2551" w:type="dxa"/>
          </w:tcPr>
          <w:p w14:paraId="360376F6" w14:textId="77777777" w:rsidR="009A3DA8" w:rsidRPr="00A557BB" w:rsidRDefault="009A3DA8" w:rsidP="00E402E0">
            <w:pPr>
              <w:pStyle w:val="StyleHeader4Para4Left0Firstline0"/>
              <w:numPr>
                <w:ilvl w:val="0"/>
                <w:numId w:val="0"/>
              </w:numPr>
              <w:tabs>
                <w:tab w:val="clear" w:pos="2880"/>
                <w:tab w:val="clear" w:pos="5760"/>
              </w:tabs>
              <w:spacing w:after="0"/>
              <w:jc w:val="right"/>
              <w:rPr>
                <w:b/>
                <w:sz w:val="22"/>
                <w:lang w:val="fr-FR"/>
              </w:rPr>
            </w:pPr>
            <w:r w:rsidRPr="00A557BB">
              <w:rPr>
                <w:b/>
                <w:sz w:val="22"/>
                <w:lang w:val="fr-FR"/>
              </w:rPr>
              <w:t>188 800</w:t>
            </w:r>
          </w:p>
        </w:tc>
      </w:tr>
    </w:tbl>
    <w:p w14:paraId="5D7D2B6D" w14:textId="77777777" w:rsidR="009A3DA8" w:rsidRPr="00A557BB" w:rsidRDefault="009A3DA8" w:rsidP="009A3DA8">
      <w:pPr>
        <w:pStyle w:val="StyleHeader4Para4Left0Firstline0"/>
        <w:numPr>
          <w:ilvl w:val="0"/>
          <w:numId w:val="0"/>
        </w:numPr>
        <w:tabs>
          <w:tab w:val="clear" w:pos="2880"/>
          <w:tab w:val="clear" w:pos="5760"/>
        </w:tabs>
        <w:spacing w:after="0"/>
        <w:rPr>
          <w:sz w:val="22"/>
          <w:lang w:val="fr-FR"/>
        </w:rPr>
      </w:pPr>
    </w:p>
    <w:p w14:paraId="25F7D6D5" w14:textId="77777777" w:rsidR="009A3DA8" w:rsidRPr="00A557BB" w:rsidRDefault="009A3DA8" w:rsidP="009A3DA8">
      <w:pPr>
        <w:pStyle w:val="Heading1"/>
        <w:rPr>
          <w:lang w:val="fr-FR"/>
        </w:rPr>
      </w:pPr>
      <w:r w:rsidRPr="00A557BB">
        <w:rPr>
          <w:lang w:val="fr-FR"/>
        </w:rPr>
        <w:t xml:space="preserve">À propos des coûts de fonctionnement supplémentaires, l’ONUDI a expliqué que les coûts des systèmes avant et après </w:t>
      </w:r>
      <w:r w:rsidR="002F5396" w:rsidRPr="00A557BB">
        <w:rPr>
          <w:lang w:val="fr-FR"/>
        </w:rPr>
        <w:t>reconversion</w:t>
      </w:r>
      <w:r w:rsidRPr="00A557BB">
        <w:rPr>
          <w:lang w:val="fr-FR"/>
        </w:rPr>
        <w:t xml:space="preserve"> (Tableau 10) reflètent les prix et les coûts pour les petites commandes utilisées dans le projet; ainsi, ils peuvent ne pas refléter les coûts réels dans des situations impliquant une adoption à grande échelle.  </w:t>
      </w:r>
    </w:p>
    <w:p w14:paraId="2FF961E0" w14:textId="77777777" w:rsidR="009A3DA8" w:rsidRPr="00A557BB" w:rsidRDefault="009A3DA8" w:rsidP="009A3DA8">
      <w:pPr>
        <w:pStyle w:val="StyleHeader4Para4Left0Firstline0"/>
        <w:numPr>
          <w:ilvl w:val="0"/>
          <w:numId w:val="0"/>
        </w:numPr>
        <w:tabs>
          <w:tab w:val="clear" w:pos="2880"/>
          <w:tab w:val="clear" w:pos="5760"/>
        </w:tabs>
        <w:spacing w:after="0"/>
        <w:rPr>
          <w:b/>
          <w:sz w:val="22"/>
          <w:lang w:val="fr-FR"/>
        </w:rPr>
      </w:pPr>
      <w:r w:rsidRPr="00A557BB">
        <w:rPr>
          <w:b/>
          <w:sz w:val="22"/>
          <w:lang w:val="fr-FR"/>
        </w:rPr>
        <w:lastRenderedPageBreak/>
        <w:t>Tableau 10: Coûts différentiels liés au matériel d’utilisation du système prémélangé à base de cyclopentane</w:t>
      </w:r>
    </w:p>
    <w:tbl>
      <w:tblPr>
        <w:tblW w:w="5020" w:type="pct"/>
        <w:tblInd w:w="108" w:type="dxa"/>
        <w:tblLayout w:type="fixed"/>
        <w:tblLook w:val="04A0" w:firstRow="1" w:lastRow="0" w:firstColumn="1" w:lastColumn="0" w:noHBand="0" w:noVBand="1"/>
      </w:tblPr>
      <w:tblGrid>
        <w:gridCol w:w="4388"/>
        <w:gridCol w:w="1598"/>
        <w:gridCol w:w="1308"/>
        <w:gridCol w:w="1184"/>
        <w:gridCol w:w="1136"/>
      </w:tblGrid>
      <w:tr w:rsidR="009A3DA8" w:rsidRPr="00A557BB" w14:paraId="747E87A9" w14:textId="77777777" w:rsidTr="008F3F8C">
        <w:trPr>
          <w:trHeight w:val="640"/>
        </w:trPr>
        <w:tc>
          <w:tcPr>
            <w:tcW w:w="2282" w:type="pct"/>
            <w:tcBorders>
              <w:top w:val="single" w:sz="4" w:space="0" w:color="auto"/>
              <w:left w:val="single" w:sz="4" w:space="0" w:color="auto"/>
              <w:bottom w:val="single" w:sz="4" w:space="0" w:color="auto"/>
              <w:right w:val="single" w:sz="4" w:space="0" w:color="auto"/>
            </w:tcBorders>
            <w:shd w:val="clear" w:color="auto" w:fill="auto"/>
            <w:hideMark/>
          </w:tcPr>
          <w:p w14:paraId="0D2CA692" w14:textId="77777777" w:rsidR="009A3DA8" w:rsidRPr="00A557BB" w:rsidRDefault="009A3DA8" w:rsidP="00E402E0">
            <w:pPr>
              <w:jc w:val="center"/>
              <w:rPr>
                <w:b/>
                <w:sz w:val="20"/>
                <w:szCs w:val="20"/>
                <w:lang w:val="fr-FR"/>
              </w:rPr>
            </w:pPr>
            <w:r w:rsidRPr="00A557BB">
              <w:rPr>
                <w:b/>
                <w:sz w:val="20"/>
                <w:szCs w:val="20"/>
                <w:lang w:val="fr-FR"/>
              </w:rPr>
              <w:t>Produits chimiques</w:t>
            </w:r>
          </w:p>
        </w:tc>
        <w:tc>
          <w:tcPr>
            <w:tcW w:w="831" w:type="pct"/>
            <w:tcBorders>
              <w:top w:val="single" w:sz="4" w:space="0" w:color="auto"/>
              <w:left w:val="nil"/>
              <w:bottom w:val="single" w:sz="4" w:space="0" w:color="auto"/>
              <w:right w:val="single" w:sz="4" w:space="0" w:color="auto"/>
            </w:tcBorders>
            <w:shd w:val="clear" w:color="auto" w:fill="auto"/>
            <w:hideMark/>
          </w:tcPr>
          <w:p w14:paraId="04FEDA80" w14:textId="77777777" w:rsidR="009A3DA8" w:rsidRPr="00A557BB" w:rsidRDefault="009A3DA8" w:rsidP="00E402E0">
            <w:pPr>
              <w:jc w:val="center"/>
              <w:rPr>
                <w:b/>
                <w:sz w:val="20"/>
                <w:szCs w:val="20"/>
                <w:lang w:val="fr-FR"/>
              </w:rPr>
            </w:pPr>
            <w:r w:rsidRPr="00A557BB">
              <w:rPr>
                <w:b/>
                <w:sz w:val="20"/>
                <w:szCs w:val="20"/>
                <w:lang w:val="fr-FR"/>
              </w:rPr>
              <w:t>Consommation unitaire (mt)</w:t>
            </w:r>
          </w:p>
        </w:tc>
        <w:tc>
          <w:tcPr>
            <w:tcW w:w="680" w:type="pct"/>
            <w:tcBorders>
              <w:top w:val="single" w:sz="4" w:space="0" w:color="auto"/>
              <w:left w:val="nil"/>
              <w:bottom w:val="single" w:sz="4" w:space="0" w:color="auto"/>
              <w:right w:val="single" w:sz="4" w:space="0" w:color="auto"/>
            </w:tcBorders>
            <w:shd w:val="clear" w:color="auto" w:fill="auto"/>
            <w:hideMark/>
          </w:tcPr>
          <w:p w14:paraId="40112177" w14:textId="77777777" w:rsidR="009A3DA8" w:rsidRPr="00A557BB" w:rsidRDefault="009A3DA8" w:rsidP="00E402E0">
            <w:pPr>
              <w:jc w:val="center"/>
              <w:rPr>
                <w:b/>
                <w:sz w:val="20"/>
                <w:szCs w:val="20"/>
                <w:lang w:val="fr-FR"/>
              </w:rPr>
            </w:pPr>
            <w:r w:rsidRPr="00A557BB">
              <w:rPr>
                <w:b/>
                <w:sz w:val="20"/>
                <w:szCs w:val="20"/>
                <w:lang w:val="fr-FR"/>
              </w:rPr>
              <w:t>Composition</w:t>
            </w:r>
          </w:p>
          <w:p w14:paraId="6C3D9836" w14:textId="77777777" w:rsidR="009A3DA8" w:rsidRPr="00A557BB" w:rsidRDefault="009A3DA8" w:rsidP="00E402E0">
            <w:pPr>
              <w:jc w:val="center"/>
              <w:rPr>
                <w:b/>
                <w:sz w:val="20"/>
                <w:szCs w:val="20"/>
                <w:lang w:val="fr-FR"/>
              </w:rPr>
            </w:pPr>
            <w:r w:rsidRPr="00A557BB">
              <w:rPr>
                <w:b/>
                <w:sz w:val="20"/>
                <w:szCs w:val="20"/>
                <w:lang w:val="fr-FR"/>
              </w:rPr>
              <w:t>(%)</w:t>
            </w:r>
          </w:p>
        </w:tc>
        <w:tc>
          <w:tcPr>
            <w:tcW w:w="616" w:type="pct"/>
            <w:tcBorders>
              <w:top w:val="single" w:sz="4" w:space="0" w:color="auto"/>
              <w:left w:val="nil"/>
              <w:bottom w:val="single" w:sz="4" w:space="0" w:color="auto"/>
              <w:right w:val="single" w:sz="4" w:space="0" w:color="auto"/>
            </w:tcBorders>
            <w:shd w:val="clear" w:color="auto" w:fill="auto"/>
            <w:hideMark/>
          </w:tcPr>
          <w:p w14:paraId="1205427C" w14:textId="77777777" w:rsidR="009A3DA8" w:rsidRPr="00A557BB" w:rsidRDefault="009A3DA8" w:rsidP="00E402E0">
            <w:pPr>
              <w:jc w:val="center"/>
              <w:rPr>
                <w:b/>
                <w:sz w:val="20"/>
                <w:szCs w:val="20"/>
                <w:lang w:val="fr-FR"/>
              </w:rPr>
            </w:pPr>
            <w:r w:rsidRPr="00A557BB">
              <w:rPr>
                <w:b/>
                <w:sz w:val="20"/>
                <w:szCs w:val="20"/>
                <w:lang w:val="fr-FR"/>
              </w:rPr>
              <w:t>Prix</w:t>
            </w:r>
          </w:p>
          <w:p w14:paraId="6ED4540E" w14:textId="77777777" w:rsidR="009A3DA8" w:rsidRPr="00A557BB" w:rsidRDefault="009A3DA8" w:rsidP="00E402E0">
            <w:pPr>
              <w:jc w:val="center"/>
              <w:rPr>
                <w:b/>
                <w:sz w:val="20"/>
                <w:szCs w:val="20"/>
                <w:lang w:val="fr-FR"/>
              </w:rPr>
            </w:pPr>
            <w:r w:rsidRPr="00A557BB">
              <w:rPr>
                <w:b/>
                <w:sz w:val="20"/>
                <w:szCs w:val="20"/>
                <w:lang w:val="fr-FR"/>
              </w:rPr>
              <w:t>($US/unité)</w:t>
            </w:r>
          </w:p>
        </w:tc>
        <w:tc>
          <w:tcPr>
            <w:tcW w:w="591" w:type="pct"/>
            <w:tcBorders>
              <w:top w:val="single" w:sz="4" w:space="0" w:color="auto"/>
              <w:left w:val="nil"/>
              <w:bottom w:val="single" w:sz="4" w:space="0" w:color="auto"/>
              <w:right w:val="single" w:sz="4" w:space="0" w:color="auto"/>
            </w:tcBorders>
            <w:shd w:val="clear" w:color="auto" w:fill="auto"/>
            <w:hideMark/>
          </w:tcPr>
          <w:p w14:paraId="62A98216" w14:textId="77777777" w:rsidR="009A3DA8" w:rsidRPr="00A557BB" w:rsidRDefault="009A3DA8" w:rsidP="00E402E0">
            <w:pPr>
              <w:jc w:val="center"/>
              <w:rPr>
                <w:b/>
                <w:sz w:val="20"/>
                <w:szCs w:val="20"/>
                <w:lang w:val="fr-FR"/>
              </w:rPr>
            </w:pPr>
            <w:r w:rsidRPr="00A557BB">
              <w:rPr>
                <w:b/>
                <w:sz w:val="20"/>
                <w:szCs w:val="20"/>
                <w:lang w:val="fr-FR"/>
              </w:rPr>
              <w:t>Coût total</w:t>
            </w:r>
          </w:p>
          <w:p w14:paraId="1BF08081" w14:textId="77777777" w:rsidR="009A3DA8" w:rsidRPr="00A557BB" w:rsidRDefault="009A3DA8" w:rsidP="00E402E0">
            <w:pPr>
              <w:jc w:val="center"/>
              <w:rPr>
                <w:b/>
                <w:sz w:val="20"/>
                <w:szCs w:val="20"/>
                <w:lang w:val="fr-FR"/>
              </w:rPr>
            </w:pPr>
            <w:r w:rsidRPr="00A557BB">
              <w:rPr>
                <w:b/>
                <w:sz w:val="20"/>
                <w:szCs w:val="20"/>
                <w:lang w:val="fr-FR"/>
              </w:rPr>
              <w:t>($US)</w:t>
            </w:r>
          </w:p>
        </w:tc>
      </w:tr>
      <w:tr w:rsidR="009A3DA8" w:rsidRPr="00A557BB" w14:paraId="370E1EB9" w14:textId="77777777" w:rsidTr="008F3F8C">
        <w:trPr>
          <w:trHeight w:val="41"/>
        </w:trPr>
        <w:tc>
          <w:tcPr>
            <w:tcW w:w="2282" w:type="pct"/>
            <w:tcBorders>
              <w:top w:val="nil"/>
              <w:left w:val="single" w:sz="4" w:space="0" w:color="auto"/>
              <w:bottom w:val="single" w:sz="4" w:space="0" w:color="auto"/>
              <w:right w:val="single" w:sz="4" w:space="0" w:color="auto"/>
            </w:tcBorders>
            <w:shd w:val="clear" w:color="auto" w:fill="auto"/>
            <w:noWrap/>
            <w:hideMark/>
          </w:tcPr>
          <w:p w14:paraId="35276471" w14:textId="77777777" w:rsidR="009A3DA8" w:rsidRPr="00A557BB" w:rsidRDefault="009A3DA8" w:rsidP="00E402E0">
            <w:pPr>
              <w:rPr>
                <w:sz w:val="20"/>
                <w:szCs w:val="20"/>
                <w:lang w:val="fr-FR"/>
              </w:rPr>
            </w:pPr>
            <w:r w:rsidRPr="00A557BB">
              <w:rPr>
                <w:sz w:val="20"/>
                <w:szCs w:val="20"/>
                <w:lang w:val="fr-FR"/>
              </w:rPr>
              <w:t>HCFC-141b dans les polyols prémélangés</w:t>
            </w:r>
          </w:p>
        </w:tc>
        <w:tc>
          <w:tcPr>
            <w:tcW w:w="831" w:type="pct"/>
            <w:tcBorders>
              <w:top w:val="nil"/>
              <w:left w:val="nil"/>
              <w:bottom w:val="single" w:sz="4" w:space="0" w:color="auto"/>
              <w:right w:val="single" w:sz="4" w:space="0" w:color="auto"/>
            </w:tcBorders>
            <w:shd w:val="clear" w:color="auto" w:fill="auto"/>
            <w:noWrap/>
            <w:hideMark/>
          </w:tcPr>
          <w:p w14:paraId="43451B3E" w14:textId="77777777" w:rsidR="009A3DA8" w:rsidRPr="00A557BB" w:rsidRDefault="009A3DA8" w:rsidP="00E402E0">
            <w:pPr>
              <w:jc w:val="right"/>
              <w:rPr>
                <w:sz w:val="20"/>
                <w:szCs w:val="20"/>
                <w:lang w:val="fr-FR"/>
              </w:rPr>
            </w:pPr>
            <w:r w:rsidRPr="00A557BB">
              <w:rPr>
                <w:sz w:val="20"/>
                <w:szCs w:val="20"/>
                <w:lang w:val="fr-FR"/>
              </w:rPr>
              <w:t>3, 1</w:t>
            </w:r>
          </w:p>
        </w:tc>
        <w:tc>
          <w:tcPr>
            <w:tcW w:w="680" w:type="pct"/>
            <w:tcBorders>
              <w:top w:val="nil"/>
              <w:left w:val="nil"/>
              <w:bottom w:val="single" w:sz="4" w:space="0" w:color="auto"/>
              <w:right w:val="single" w:sz="4" w:space="0" w:color="auto"/>
            </w:tcBorders>
            <w:shd w:val="clear" w:color="auto" w:fill="auto"/>
            <w:noWrap/>
            <w:hideMark/>
          </w:tcPr>
          <w:p w14:paraId="4D32EB58" w14:textId="77777777" w:rsidR="009A3DA8" w:rsidRPr="00A557BB" w:rsidRDefault="009A3DA8" w:rsidP="00E402E0">
            <w:pPr>
              <w:jc w:val="right"/>
              <w:rPr>
                <w:sz w:val="20"/>
                <w:szCs w:val="20"/>
                <w:lang w:val="fr-FR"/>
              </w:rPr>
            </w:pPr>
            <w:r w:rsidRPr="00A557BB">
              <w:rPr>
                <w:sz w:val="20"/>
                <w:szCs w:val="20"/>
                <w:lang w:val="fr-FR"/>
              </w:rPr>
              <w:t>41</w:t>
            </w:r>
          </w:p>
        </w:tc>
        <w:tc>
          <w:tcPr>
            <w:tcW w:w="616" w:type="pct"/>
            <w:tcBorders>
              <w:top w:val="nil"/>
              <w:left w:val="nil"/>
              <w:bottom w:val="single" w:sz="4" w:space="0" w:color="auto"/>
              <w:right w:val="single" w:sz="4" w:space="0" w:color="auto"/>
            </w:tcBorders>
            <w:shd w:val="clear" w:color="auto" w:fill="auto"/>
            <w:noWrap/>
            <w:hideMark/>
          </w:tcPr>
          <w:p w14:paraId="357B764C" w14:textId="77777777" w:rsidR="009A3DA8" w:rsidRPr="00A557BB" w:rsidRDefault="009A3DA8" w:rsidP="00E402E0">
            <w:pPr>
              <w:jc w:val="right"/>
              <w:rPr>
                <w:sz w:val="20"/>
                <w:szCs w:val="20"/>
                <w:lang w:val="fr-FR"/>
              </w:rPr>
            </w:pPr>
            <w:r w:rsidRPr="00A557BB">
              <w:rPr>
                <w:sz w:val="20"/>
                <w:szCs w:val="20"/>
                <w:lang w:val="fr-FR"/>
              </w:rPr>
              <w:t>2,35</w:t>
            </w:r>
          </w:p>
        </w:tc>
        <w:tc>
          <w:tcPr>
            <w:tcW w:w="591" w:type="pct"/>
            <w:tcBorders>
              <w:top w:val="single" w:sz="4" w:space="0" w:color="auto"/>
              <w:left w:val="nil"/>
              <w:bottom w:val="single" w:sz="4" w:space="0" w:color="auto"/>
              <w:right w:val="single" w:sz="4" w:space="0" w:color="auto"/>
            </w:tcBorders>
            <w:shd w:val="clear" w:color="auto" w:fill="auto"/>
            <w:noWrap/>
            <w:hideMark/>
          </w:tcPr>
          <w:p w14:paraId="5C760797" w14:textId="77777777" w:rsidR="009A3DA8" w:rsidRPr="00A557BB" w:rsidRDefault="009A3DA8" w:rsidP="00E402E0">
            <w:pPr>
              <w:jc w:val="right"/>
              <w:rPr>
                <w:sz w:val="20"/>
                <w:szCs w:val="20"/>
                <w:lang w:val="fr-FR"/>
              </w:rPr>
            </w:pPr>
            <w:r w:rsidRPr="00A557BB">
              <w:rPr>
                <w:sz w:val="20"/>
                <w:szCs w:val="20"/>
                <w:lang w:val="fr-FR"/>
              </w:rPr>
              <w:t>7 285,00</w:t>
            </w:r>
          </w:p>
        </w:tc>
      </w:tr>
      <w:tr w:rsidR="009A3DA8" w:rsidRPr="00A557BB" w14:paraId="535EEA37" w14:textId="77777777" w:rsidTr="008F3F8C">
        <w:trPr>
          <w:trHeight w:val="270"/>
        </w:trPr>
        <w:tc>
          <w:tcPr>
            <w:tcW w:w="2282" w:type="pct"/>
            <w:tcBorders>
              <w:top w:val="nil"/>
              <w:left w:val="single" w:sz="4" w:space="0" w:color="auto"/>
              <w:bottom w:val="single" w:sz="4" w:space="0" w:color="auto"/>
              <w:right w:val="single" w:sz="4" w:space="0" w:color="auto"/>
            </w:tcBorders>
            <w:shd w:val="clear" w:color="auto" w:fill="auto"/>
            <w:noWrap/>
            <w:hideMark/>
          </w:tcPr>
          <w:p w14:paraId="33BD6424" w14:textId="77777777" w:rsidR="009A3DA8" w:rsidRPr="00A557BB" w:rsidRDefault="009A3DA8" w:rsidP="00E402E0">
            <w:pPr>
              <w:rPr>
                <w:sz w:val="20"/>
                <w:szCs w:val="20"/>
                <w:lang w:val="fr-FR"/>
              </w:rPr>
            </w:pPr>
            <w:r w:rsidRPr="00A557BB">
              <w:rPr>
                <w:sz w:val="20"/>
                <w:szCs w:val="20"/>
                <w:lang w:val="fr-FR"/>
              </w:rPr>
              <w:t>MDI polymérique</w:t>
            </w:r>
          </w:p>
        </w:tc>
        <w:tc>
          <w:tcPr>
            <w:tcW w:w="831" w:type="pct"/>
            <w:tcBorders>
              <w:top w:val="nil"/>
              <w:left w:val="nil"/>
              <w:bottom w:val="single" w:sz="4" w:space="0" w:color="auto"/>
              <w:right w:val="single" w:sz="4" w:space="0" w:color="auto"/>
            </w:tcBorders>
            <w:shd w:val="clear" w:color="auto" w:fill="auto"/>
            <w:noWrap/>
            <w:hideMark/>
          </w:tcPr>
          <w:p w14:paraId="03B7971E" w14:textId="77777777" w:rsidR="009A3DA8" w:rsidRPr="00A557BB" w:rsidRDefault="009A3DA8" w:rsidP="00E402E0">
            <w:pPr>
              <w:jc w:val="right"/>
              <w:rPr>
                <w:sz w:val="20"/>
                <w:szCs w:val="20"/>
                <w:lang w:val="fr-FR"/>
              </w:rPr>
            </w:pPr>
            <w:r w:rsidRPr="00A557BB">
              <w:rPr>
                <w:sz w:val="20"/>
                <w:szCs w:val="20"/>
                <w:lang w:val="fr-FR"/>
              </w:rPr>
              <w:t>4, 52</w:t>
            </w:r>
          </w:p>
        </w:tc>
        <w:tc>
          <w:tcPr>
            <w:tcW w:w="680" w:type="pct"/>
            <w:tcBorders>
              <w:top w:val="nil"/>
              <w:left w:val="nil"/>
              <w:bottom w:val="single" w:sz="4" w:space="0" w:color="auto"/>
              <w:right w:val="single" w:sz="4" w:space="0" w:color="auto"/>
            </w:tcBorders>
            <w:shd w:val="clear" w:color="auto" w:fill="auto"/>
            <w:noWrap/>
            <w:hideMark/>
          </w:tcPr>
          <w:p w14:paraId="352D0BCD" w14:textId="77777777" w:rsidR="009A3DA8" w:rsidRPr="00A557BB" w:rsidRDefault="009A3DA8" w:rsidP="00E402E0">
            <w:pPr>
              <w:jc w:val="right"/>
              <w:rPr>
                <w:sz w:val="20"/>
                <w:szCs w:val="20"/>
                <w:lang w:val="fr-FR"/>
              </w:rPr>
            </w:pPr>
            <w:r w:rsidRPr="00A557BB">
              <w:rPr>
                <w:sz w:val="20"/>
                <w:szCs w:val="20"/>
                <w:lang w:val="fr-FR"/>
              </w:rPr>
              <w:t>59</w:t>
            </w:r>
          </w:p>
        </w:tc>
        <w:tc>
          <w:tcPr>
            <w:tcW w:w="616" w:type="pct"/>
            <w:tcBorders>
              <w:top w:val="nil"/>
              <w:left w:val="nil"/>
              <w:bottom w:val="single" w:sz="4" w:space="0" w:color="auto"/>
              <w:right w:val="single" w:sz="4" w:space="0" w:color="auto"/>
            </w:tcBorders>
            <w:shd w:val="clear" w:color="auto" w:fill="auto"/>
            <w:noWrap/>
            <w:hideMark/>
          </w:tcPr>
          <w:p w14:paraId="1C2A9044" w14:textId="77777777" w:rsidR="009A3DA8" w:rsidRPr="00A557BB" w:rsidRDefault="009A3DA8" w:rsidP="00E402E0">
            <w:pPr>
              <w:jc w:val="right"/>
              <w:rPr>
                <w:sz w:val="20"/>
                <w:szCs w:val="20"/>
                <w:lang w:val="fr-FR"/>
              </w:rPr>
            </w:pPr>
            <w:r w:rsidRPr="00A557BB">
              <w:rPr>
                <w:sz w:val="20"/>
                <w:szCs w:val="20"/>
                <w:lang w:val="fr-FR"/>
              </w:rPr>
              <w:t>2,30</w:t>
            </w:r>
          </w:p>
        </w:tc>
        <w:tc>
          <w:tcPr>
            <w:tcW w:w="591" w:type="pct"/>
            <w:tcBorders>
              <w:top w:val="single" w:sz="4" w:space="0" w:color="auto"/>
              <w:left w:val="nil"/>
              <w:bottom w:val="single" w:sz="4" w:space="0" w:color="auto"/>
              <w:right w:val="single" w:sz="4" w:space="0" w:color="auto"/>
            </w:tcBorders>
            <w:shd w:val="clear" w:color="auto" w:fill="auto"/>
            <w:noWrap/>
            <w:hideMark/>
          </w:tcPr>
          <w:p w14:paraId="27ED3D8C" w14:textId="77777777" w:rsidR="009A3DA8" w:rsidRPr="00A557BB" w:rsidRDefault="009A3DA8" w:rsidP="00E402E0">
            <w:pPr>
              <w:jc w:val="right"/>
              <w:rPr>
                <w:sz w:val="20"/>
                <w:szCs w:val="20"/>
                <w:lang w:val="fr-FR"/>
              </w:rPr>
            </w:pPr>
            <w:r w:rsidRPr="00A557BB">
              <w:rPr>
                <w:sz w:val="20"/>
                <w:szCs w:val="20"/>
                <w:lang w:val="fr-FR"/>
              </w:rPr>
              <w:t>10 396,00</w:t>
            </w:r>
          </w:p>
        </w:tc>
      </w:tr>
      <w:tr w:rsidR="009A3DA8" w:rsidRPr="00A557BB" w14:paraId="727366C4" w14:textId="77777777" w:rsidTr="008F3F8C">
        <w:trPr>
          <w:trHeight w:val="41"/>
        </w:trPr>
        <w:tc>
          <w:tcPr>
            <w:tcW w:w="2282" w:type="pct"/>
            <w:tcBorders>
              <w:top w:val="nil"/>
              <w:left w:val="single" w:sz="4" w:space="0" w:color="auto"/>
              <w:bottom w:val="single" w:sz="4" w:space="0" w:color="auto"/>
              <w:right w:val="single" w:sz="4" w:space="0" w:color="auto"/>
            </w:tcBorders>
            <w:shd w:val="clear" w:color="auto" w:fill="auto"/>
            <w:noWrap/>
            <w:hideMark/>
          </w:tcPr>
          <w:p w14:paraId="7B4C2F52" w14:textId="77777777" w:rsidR="009A3DA8" w:rsidRPr="00A557BB" w:rsidRDefault="009A3DA8" w:rsidP="00E402E0">
            <w:pPr>
              <w:rPr>
                <w:sz w:val="20"/>
                <w:szCs w:val="20"/>
                <w:lang w:val="fr-FR"/>
              </w:rPr>
            </w:pPr>
            <w:r w:rsidRPr="00A557BB">
              <w:rPr>
                <w:sz w:val="20"/>
                <w:szCs w:val="20"/>
                <w:lang w:val="fr-FR"/>
              </w:rPr>
              <w:t>Autres additifs</w:t>
            </w:r>
          </w:p>
        </w:tc>
        <w:tc>
          <w:tcPr>
            <w:tcW w:w="831" w:type="pct"/>
            <w:tcBorders>
              <w:top w:val="nil"/>
              <w:left w:val="nil"/>
              <w:bottom w:val="single" w:sz="4" w:space="0" w:color="auto"/>
              <w:right w:val="single" w:sz="4" w:space="0" w:color="auto"/>
            </w:tcBorders>
            <w:shd w:val="clear" w:color="auto" w:fill="auto"/>
            <w:noWrap/>
            <w:hideMark/>
          </w:tcPr>
          <w:p w14:paraId="34C059D8" w14:textId="77777777" w:rsidR="009A3DA8" w:rsidRPr="00A557BB" w:rsidRDefault="009A3DA8" w:rsidP="00E402E0">
            <w:pPr>
              <w:jc w:val="right"/>
              <w:rPr>
                <w:sz w:val="20"/>
                <w:szCs w:val="20"/>
                <w:lang w:val="fr-FR"/>
              </w:rPr>
            </w:pPr>
            <w:r w:rsidRPr="00A557BB">
              <w:rPr>
                <w:sz w:val="20"/>
                <w:szCs w:val="20"/>
                <w:lang w:val="fr-FR"/>
              </w:rPr>
              <w:t>-</w:t>
            </w:r>
          </w:p>
        </w:tc>
        <w:tc>
          <w:tcPr>
            <w:tcW w:w="680" w:type="pct"/>
            <w:tcBorders>
              <w:top w:val="nil"/>
              <w:left w:val="nil"/>
              <w:bottom w:val="single" w:sz="4" w:space="0" w:color="auto"/>
              <w:right w:val="single" w:sz="4" w:space="0" w:color="auto"/>
            </w:tcBorders>
            <w:shd w:val="clear" w:color="auto" w:fill="auto"/>
            <w:noWrap/>
            <w:hideMark/>
          </w:tcPr>
          <w:p w14:paraId="52439373" w14:textId="77777777" w:rsidR="009A3DA8" w:rsidRPr="00A557BB" w:rsidRDefault="009A3DA8" w:rsidP="00E402E0">
            <w:pPr>
              <w:jc w:val="right"/>
              <w:rPr>
                <w:sz w:val="20"/>
                <w:szCs w:val="20"/>
                <w:lang w:val="fr-FR"/>
              </w:rPr>
            </w:pPr>
          </w:p>
        </w:tc>
        <w:tc>
          <w:tcPr>
            <w:tcW w:w="616" w:type="pct"/>
            <w:tcBorders>
              <w:top w:val="nil"/>
              <w:left w:val="nil"/>
              <w:bottom w:val="single" w:sz="4" w:space="0" w:color="auto"/>
              <w:right w:val="single" w:sz="4" w:space="0" w:color="auto"/>
            </w:tcBorders>
            <w:shd w:val="clear" w:color="auto" w:fill="auto"/>
            <w:noWrap/>
            <w:hideMark/>
          </w:tcPr>
          <w:p w14:paraId="057C96C5" w14:textId="77777777" w:rsidR="009A3DA8" w:rsidRPr="00A557BB" w:rsidRDefault="009A3DA8" w:rsidP="00E402E0">
            <w:pPr>
              <w:jc w:val="right"/>
              <w:rPr>
                <w:sz w:val="20"/>
                <w:szCs w:val="20"/>
                <w:lang w:val="fr-FR"/>
              </w:rPr>
            </w:pPr>
            <w:r w:rsidRPr="00A557BB">
              <w:rPr>
                <w:sz w:val="20"/>
                <w:szCs w:val="20"/>
                <w:lang w:val="fr-FR"/>
              </w:rPr>
              <w:t>-</w:t>
            </w:r>
          </w:p>
        </w:tc>
        <w:tc>
          <w:tcPr>
            <w:tcW w:w="591" w:type="pct"/>
            <w:tcBorders>
              <w:top w:val="single" w:sz="4" w:space="0" w:color="auto"/>
              <w:left w:val="nil"/>
              <w:bottom w:val="single" w:sz="4" w:space="0" w:color="auto"/>
              <w:right w:val="single" w:sz="4" w:space="0" w:color="auto"/>
            </w:tcBorders>
            <w:shd w:val="clear" w:color="auto" w:fill="auto"/>
            <w:noWrap/>
            <w:hideMark/>
          </w:tcPr>
          <w:p w14:paraId="17B0BDF0" w14:textId="77777777" w:rsidR="009A3DA8" w:rsidRPr="00A557BB" w:rsidRDefault="009A3DA8" w:rsidP="00E402E0">
            <w:pPr>
              <w:jc w:val="right"/>
              <w:rPr>
                <w:sz w:val="20"/>
                <w:szCs w:val="20"/>
                <w:lang w:val="fr-FR"/>
              </w:rPr>
            </w:pPr>
            <w:r w:rsidRPr="00A557BB">
              <w:rPr>
                <w:sz w:val="20"/>
                <w:szCs w:val="20"/>
                <w:lang w:val="fr-FR"/>
              </w:rPr>
              <w:t>-</w:t>
            </w:r>
          </w:p>
        </w:tc>
      </w:tr>
      <w:tr w:rsidR="009A3DA8" w:rsidRPr="00A557BB" w14:paraId="1CAE929B" w14:textId="77777777" w:rsidTr="008F3F8C">
        <w:trPr>
          <w:trHeight w:val="41"/>
        </w:trPr>
        <w:tc>
          <w:tcPr>
            <w:tcW w:w="2282" w:type="pct"/>
            <w:tcBorders>
              <w:top w:val="nil"/>
              <w:left w:val="single" w:sz="4" w:space="0" w:color="auto"/>
              <w:bottom w:val="single" w:sz="4" w:space="0" w:color="auto"/>
              <w:right w:val="single" w:sz="4" w:space="0" w:color="auto"/>
            </w:tcBorders>
            <w:shd w:val="clear" w:color="auto" w:fill="auto"/>
            <w:noWrap/>
          </w:tcPr>
          <w:p w14:paraId="503A7173" w14:textId="77777777" w:rsidR="009A3DA8" w:rsidRPr="00A557BB" w:rsidRDefault="009A3DA8" w:rsidP="00E402E0">
            <w:pPr>
              <w:rPr>
                <w:b/>
                <w:sz w:val="20"/>
                <w:szCs w:val="20"/>
                <w:lang w:val="fr-FR"/>
              </w:rPr>
            </w:pPr>
            <w:r w:rsidRPr="00A557BB">
              <w:rPr>
                <w:b/>
                <w:sz w:val="20"/>
                <w:szCs w:val="20"/>
                <w:lang w:val="fr-FR"/>
              </w:rPr>
              <w:t xml:space="preserve">Total avant </w:t>
            </w:r>
            <w:r w:rsidR="002F5396" w:rsidRPr="00A557BB">
              <w:rPr>
                <w:b/>
                <w:sz w:val="20"/>
                <w:szCs w:val="20"/>
                <w:lang w:val="fr-FR"/>
              </w:rPr>
              <w:t>reconversion</w:t>
            </w:r>
          </w:p>
        </w:tc>
        <w:tc>
          <w:tcPr>
            <w:tcW w:w="831" w:type="pct"/>
            <w:tcBorders>
              <w:top w:val="nil"/>
              <w:left w:val="nil"/>
              <w:bottom w:val="single" w:sz="4" w:space="0" w:color="auto"/>
              <w:right w:val="single" w:sz="4" w:space="0" w:color="auto"/>
            </w:tcBorders>
            <w:shd w:val="clear" w:color="auto" w:fill="auto"/>
            <w:noWrap/>
          </w:tcPr>
          <w:p w14:paraId="6D1F398B" w14:textId="77777777" w:rsidR="009A3DA8" w:rsidRPr="00A557BB" w:rsidRDefault="009A3DA8" w:rsidP="00E402E0">
            <w:pPr>
              <w:jc w:val="right"/>
              <w:rPr>
                <w:b/>
                <w:sz w:val="20"/>
                <w:szCs w:val="20"/>
                <w:lang w:val="fr-FR"/>
              </w:rPr>
            </w:pPr>
            <w:r w:rsidRPr="00A557BB">
              <w:rPr>
                <w:b/>
                <w:sz w:val="20"/>
                <w:szCs w:val="20"/>
                <w:lang w:val="fr-FR"/>
              </w:rPr>
              <w:t>7, 62</w:t>
            </w:r>
          </w:p>
        </w:tc>
        <w:tc>
          <w:tcPr>
            <w:tcW w:w="680" w:type="pct"/>
            <w:tcBorders>
              <w:top w:val="nil"/>
              <w:left w:val="nil"/>
              <w:bottom w:val="single" w:sz="4" w:space="0" w:color="auto"/>
              <w:right w:val="single" w:sz="4" w:space="0" w:color="auto"/>
            </w:tcBorders>
            <w:shd w:val="clear" w:color="auto" w:fill="auto"/>
            <w:noWrap/>
          </w:tcPr>
          <w:p w14:paraId="61EF717F" w14:textId="77777777" w:rsidR="009A3DA8" w:rsidRPr="00A557BB" w:rsidRDefault="009A3DA8" w:rsidP="00E402E0">
            <w:pPr>
              <w:jc w:val="right"/>
              <w:rPr>
                <w:b/>
                <w:sz w:val="20"/>
                <w:szCs w:val="20"/>
                <w:lang w:val="fr-FR"/>
              </w:rPr>
            </w:pPr>
            <w:r w:rsidRPr="00A557BB">
              <w:rPr>
                <w:b/>
                <w:sz w:val="20"/>
                <w:szCs w:val="20"/>
                <w:lang w:val="fr-FR"/>
              </w:rPr>
              <w:t>100</w:t>
            </w:r>
          </w:p>
        </w:tc>
        <w:tc>
          <w:tcPr>
            <w:tcW w:w="616" w:type="pct"/>
            <w:tcBorders>
              <w:top w:val="nil"/>
              <w:left w:val="nil"/>
              <w:bottom w:val="single" w:sz="4" w:space="0" w:color="auto"/>
              <w:right w:val="single" w:sz="4" w:space="0" w:color="auto"/>
            </w:tcBorders>
            <w:shd w:val="clear" w:color="auto" w:fill="auto"/>
            <w:noWrap/>
          </w:tcPr>
          <w:p w14:paraId="39E1F379" w14:textId="77777777" w:rsidR="009A3DA8" w:rsidRPr="00A557BB" w:rsidRDefault="009A3DA8" w:rsidP="00E402E0">
            <w:pPr>
              <w:jc w:val="right"/>
              <w:rPr>
                <w:b/>
                <w:sz w:val="20"/>
                <w:szCs w:val="20"/>
                <w:lang w:val="fr-FR"/>
              </w:rPr>
            </w:pPr>
          </w:p>
        </w:tc>
        <w:tc>
          <w:tcPr>
            <w:tcW w:w="591" w:type="pct"/>
            <w:tcBorders>
              <w:top w:val="single" w:sz="4" w:space="0" w:color="auto"/>
              <w:left w:val="nil"/>
              <w:bottom w:val="single" w:sz="4" w:space="0" w:color="auto"/>
              <w:right w:val="single" w:sz="4" w:space="0" w:color="auto"/>
            </w:tcBorders>
            <w:shd w:val="clear" w:color="auto" w:fill="auto"/>
            <w:noWrap/>
          </w:tcPr>
          <w:p w14:paraId="2C4636BC" w14:textId="77777777" w:rsidR="009A3DA8" w:rsidRPr="00A557BB" w:rsidRDefault="009A3DA8" w:rsidP="00E402E0">
            <w:pPr>
              <w:jc w:val="right"/>
              <w:rPr>
                <w:b/>
                <w:sz w:val="20"/>
                <w:szCs w:val="20"/>
                <w:lang w:val="fr-FR"/>
              </w:rPr>
            </w:pPr>
            <w:r w:rsidRPr="00A557BB">
              <w:rPr>
                <w:b/>
                <w:sz w:val="20"/>
                <w:szCs w:val="20"/>
                <w:lang w:val="fr-FR"/>
              </w:rPr>
              <w:t>17 681,00</w:t>
            </w:r>
          </w:p>
        </w:tc>
      </w:tr>
      <w:tr w:rsidR="009A3DA8" w:rsidRPr="00A557BB" w14:paraId="0AC12BBA" w14:textId="77777777" w:rsidTr="008F3F8C">
        <w:trPr>
          <w:trHeight w:val="41"/>
        </w:trPr>
        <w:tc>
          <w:tcPr>
            <w:tcW w:w="2282" w:type="pct"/>
            <w:tcBorders>
              <w:top w:val="nil"/>
              <w:left w:val="single" w:sz="4" w:space="0" w:color="auto"/>
              <w:bottom w:val="single" w:sz="4" w:space="0" w:color="auto"/>
              <w:right w:val="single" w:sz="4" w:space="0" w:color="auto"/>
            </w:tcBorders>
            <w:shd w:val="clear" w:color="auto" w:fill="auto"/>
            <w:noWrap/>
            <w:hideMark/>
          </w:tcPr>
          <w:p w14:paraId="703B02A5" w14:textId="77777777" w:rsidR="009A3DA8" w:rsidRPr="00A557BB" w:rsidRDefault="009A3DA8" w:rsidP="00E402E0">
            <w:pPr>
              <w:rPr>
                <w:sz w:val="20"/>
                <w:szCs w:val="20"/>
                <w:lang w:val="fr-FR"/>
              </w:rPr>
            </w:pPr>
            <w:r w:rsidRPr="00A557BB">
              <w:rPr>
                <w:sz w:val="20"/>
                <w:szCs w:val="20"/>
                <w:lang w:val="fr-FR"/>
              </w:rPr>
              <w:t xml:space="preserve">Polyol </w:t>
            </w:r>
            <w:r w:rsidR="00614272" w:rsidRPr="00A557BB">
              <w:rPr>
                <w:sz w:val="20"/>
                <w:szCs w:val="20"/>
                <w:lang w:val="fr-FR"/>
              </w:rPr>
              <w:t>prémélangé</w:t>
            </w:r>
            <w:r w:rsidRPr="00A557BB">
              <w:rPr>
                <w:sz w:val="20"/>
                <w:szCs w:val="20"/>
                <w:lang w:val="fr-FR"/>
              </w:rPr>
              <w:t xml:space="preserve"> au cyclopentane</w:t>
            </w:r>
          </w:p>
        </w:tc>
        <w:tc>
          <w:tcPr>
            <w:tcW w:w="831" w:type="pct"/>
            <w:tcBorders>
              <w:top w:val="nil"/>
              <w:left w:val="nil"/>
              <w:bottom w:val="single" w:sz="4" w:space="0" w:color="auto"/>
              <w:right w:val="single" w:sz="4" w:space="0" w:color="auto"/>
            </w:tcBorders>
            <w:shd w:val="clear" w:color="auto" w:fill="auto"/>
            <w:noWrap/>
            <w:hideMark/>
          </w:tcPr>
          <w:p w14:paraId="22E178F1" w14:textId="77777777" w:rsidR="009A3DA8" w:rsidRPr="00A557BB" w:rsidRDefault="009A3DA8" w:rsidP="00E402E0">
            <w:pPr>
              <w:jc w:val="right"/>
              <w:rPr>
                <w:sz w:val="20"/>
                <w:szCs w:val="20"/>
                <w:lang w:val="fr-FR"/>
              </w:rPr>
            </w:pPr>
            <w:r w:rsidRPr="00A557BB">
              <w:rPr>
                <w:sz w:val="20"/>
                <w:szCs w:val="20"/>
                <w:lang w:val="fr-FR"/>
              </w:rPr>
              <w:t>2, 93</w:t>
            </w:r>
          </w:p>
        </w:tc>
        <w:tc>
          <w:tcPr>
            <w:tcW w:w="680" w:type="pct"/>
            <w:tcBorders>
              <w:top w:val="nil"/>
              <w:left w:val="nil"/>
              <w:bottom w:val="single" w:sz="4" w:space="0" w:color="auto"/>
              <w:right w:val="single" w:sz="4" w:space="0" w:color="auto"/>
            </w:tcBorders>
            <w:shd w:val="clear" w:color="auto" w:fill="auto"/>
            <w:noWrap/>
            <w:hideMark/>
          </w:tcPr>
          <w:p w14:paraId="3EE978E9" w14:textId="77777777" w:rsidR="009A3DA8" w:rsidRPr="00A557BB" w:rsidRDefault="009A3DA8" w:rsidP="00E402E0">
            <w:pPr>
              <w:jc w:val="right"/>
              <w:rPr>
                <w:sz w:val="20"/>
                <w:szCs w:val="20"/>
                <w:lang w:val="fr-FR"/>
              </w:rPr>
            </w:pPr>
            <w:r w:rsidRPr="00A557BB">
              <w:rPr>
                <w:sz w:val="20"/>
                <w:szCs w:val="20"/>
                <w:lang w:val="fr-FR"/>
              </w:rPr>
              <w:t>39</w:t>
            </w:r>
          </w:p>
        </w:tc>
        <w:tc>
          <w:tcPr>
            <w:tcW w:w="616" w:type="pct"/>
            <w:tcBorders>
              <w:top w:val="nil"/>
              <w:left w:val="nil"/>
              <w:bottom w:val="single" w:sz="4" w:space="0" w:color="auto"/>
              <w:right w:val="single" w:sz="4" w:space="0" w:color="auto"/>
            </w:tcBorders>
            <w:shd w:val="clear" w:color="auto" w:fill="auto"/>
            <w:noWrap/>
            <w:hideMark/>
          </w:tcPr>
          <w:p w14:paraId="1DD067CD" w14:textId="77777777" w:rsidR="009A3DA8" w:rsidRPr="00A557BB" w:rsidRDefault="009A3DA8" w:rsidP="00E402E0">
            <w:pPr>
              <w:jc w:val="right"/>
              <w:rPr>
                <w:sz w:val="20"/>
                <w:szCs w:val="20"/>
                <w:lang w:val="fr-FR"/>
              </w:rPr>
            </w:pPr>
            <w:r w:rsidRPr="00A557BB">
              <w:rPr>
                <w:sz w:val="20"/>
                <w:szCs w:val="20"/>
                <w:lang w:val="fr-FR"/>
              </w:rPr>
              <w:t>2,25</w:t>
            </w:r>
          </w:p>
        </w:tc>
        <w:tc>
          <w:tcPr>
            <w:tcW w:w="591" w:type="pct"/>
            <w:tcBorders>
              <w:top w:val="single" w:sz="4" w:space="0" w:color="auto"/>
              <w:left w:val="nil"/>
              <w:bottom w:val="single" w:sz="4" w:space="0" w:color="auto"/>
              <w:right w:val="single" w:sz="4" w:space="0" w:color="auto"/>
            </w:tcBorders>
            <w:shd w:val="clear" w:color="auto" w:fill="auto"/>
            <w:noWrap/>
            <w:hideMark/>
          </w:tcPr>
          <w:p w14:paraId="5F2ADF30" w14:textId="77777777" w:rsidR="009A3DA8" w:rsidRPr="00A557BB" w:rsidRDefault="009A3DA8" w:rsidP="00E402E0">
            <w:pPr>
              <w:jc w:val="right"/>
              <w:rPr>
                <w:sz w:val="20"/>
                <w:szCs w:val="20"/>
                <w:lang w:val="fr-FR"/>
              </w:rPr>
            </w:pPr>
            <w:r w:rsidRPr="00A557BB">
              <w:rPr>
                <w:sz w:val="20"/>
                <w:szCs w:val="20"/>
                <w:lang w:val="fr-FR"/>
              </w:rPr>
              <w:t>6 592,50</w:t>
            </w:r>
          </w:p>
        </w:tc>
      </w:tr>
      <w:tr w:rsidR="009A3DA8" w:rsidRPr="00A557BB" w14:paraId="060519E2" w14:textId="77777777" w:rsidTr="008F3F8C">
        <w:trPr>
          <w:trHeight w:val="41"/>
        </w:trPr>
        <w:tc>
          <w:tcPr>
            <w:tcW w:w="2282" w:type="pct"/>
            <w:tcBorders>
              <w:top w:val="nil"/>
              <w:left w:val="single" w:sz="4" w:space="0" w:color="auto"/>
              <w:bottom w:val="single" w:sz="4" w:space="0" w:color="auto"/>
              <w:right w:val="single" w:sz="4" w:space="0" w:color="auto"/>
            </w:tcBorders>
            <w:shd w:val="clear" w:color="auto" w:fill="auto"/>
            <w:noWrap/>
            <w:hideMark/>
          </w:tcPr>
          <w:p w14:paraId="2FB738A4" w14:textId="77777777" w:rsidR="009A3DA8" w:rsidRPr="00A557BB" w:rsidRDefault="009A3DA8" w:rsidP="00E402E0">
            <w:pPr>
              <w:rPr>
                <w:sz w:val="20"/>
                <w:szCs w:val="20"/>
                <w:lang w:val="fr-FR"/>
              </w:rPr>
            </w:pPr>
            <w:r w:rsidRPr="00A557BB">
              <w:rPr>
                <w:sz w:val="20"/>
                <w:szCs w:val="20"/>
                <w:lang w:val="fr-FR"/>
              </w:rPr>
              <w:t>MDI polymérique</w:t>
            </w:r>
          </w:p>
        </w:tc>
        <w:tc>
          <w:tcPr>
            <w:tcW w:w="831" w:type="pct"/>
            <w:tcBorders>
              <w:top w:val="nil"/>
              <w:left w:val="nil"/>
              <w:bottom w:val="single" w:sz="4" w:space="0" w:color="auto"/>
              <w:right w:val="single" w:sz="4" w:space="0" w:color="auto"/>
            </w:tcBorders>
            <w:shd w:val="clear" w:color="auto" w:fill="auto"/>
            <w:noWrap/>
            <w:hideMark/>
          </w:tcPr>
          <w:p w14:paraId="2304BCA7" w14:textId="77777777" w:rsidR="009A3DA8" w:rsidRPr="00A557BB" w:rsidRDefault="009A3DA8" w:rsidP="00E402E0">
            <w:pPr>
              <w:jc w:val="right"/>
              <w:rPr>
                <w:sz w:val="20"/>
                <w:szCs w:val="20"/>
                <w:lang w:val="fr-FR"/>
              </w:rPr>
            </w:pPr>
            <w:r w:rsidRPr="00A557BB">
              <w:rPr>
                <w:sz w:val="20"/>
                <w:szCs w:val="20"/>
                <w:lang w:val="fr-FR"/>
              </w:rPr>
              <w:t>4, 52</w:t>
            </w:r>
          </w:p>
        </w:tc>
        <w:tc>
          <w:tcPr>
            <w:tcW w:w="680" w:type="pct"/>
            <w:tcBorders>
              <w:top w:val="nil"/>
              <w:left w:val="nil"/>
              <w:bottom w:val="single" w:sz="4" w:space="0" w:color="auto"/>
              <w:right w:val="single" w:sz="4" w:space="0" w:color="auto"/>
            </w:tcBorders>
            <w:shd w:val="clear" w:color="auto" w:fill="auto"/>
            <w:noWrap/>
            <w:hideMark/>
          </w:tcPr>
          <w:p w14:paraId="07C61AAE" w14:textId="77777777" w:rsidR="009A3DA8" w:rsidRPr="00A557BB" w:rsidRDefault="009A3DA8" w:rsidP="00E402E0">
            <w:pPr>
              <w:jc w:val="right"/>
              <w:rPr>
                <w:sz w:val="20"/>
                <w:szCs w:val="20"/>
                <w:lang w:val="fr-FR"/>
              </w:rPr>
            </w:pPr>
            <w:r w:rsidRPr="00A557BB">
              <w:rPr>
                <w:sz w:val="20"/>
                <w:szCs w:val="20"/>
                <w:lang w:val="fr-FR"/>
              </w:rPr>
              <w:t>61</w:t>
            </w:r>
          </w:p>
        </w:tc>
        <w:tc>
          <w:tcPr>
            <w:tcW w:w="616" w:type="pct"/>
            <w:tcBorders>
              <w:top w:val="nil"/>
              <w:left w:val="nil"/>
              <w:bottom w:val="single" w:sz="4" w:space="0" w:color="auto"/>
              <w:right w:val="single" w:sz="4" w:space="0" w:color="auto"/>
            </w:tcBorders>
            <w:shd w:val="clear" w:color="auto" w:fill="auto"/>
            <w:noWrap/>
            <w:hideMark/>
          </w:tcPr>
          <w:p w14:paraId="55FA27AD" w14:textId="77777777" w:rsidR="009A3DA8" w:rsidRPr="00A557BB" w:rsidRDefault="009A3DA8" w:rsidP="00E402E0">
            <w:pPr>
              <w:jc w:val="right"/>
              <w:rPr>
                <w:sz w:val="20"/>
                <w:szCs w:val="20"/>
                <w:lang w:val="fr-FR"/>
              </w:rPr>
            </w:pPr>
            <w:r w:rsidRPr="00A557BB">
              <w:rPr>
                <w:sz w:val="20"/>
                <w:szCs w:val="20"/>
                <w:lang w:val="fr-FR"/>
              </w:rPr>
              <w:t>2,30</w:t>
            </w:r>
          </w:p>
        </w:tc>
        <w:tc>
          <w:tcPr>
            <w:tcW w:w="591" w:type="pct"/>
            <w:tcBorders>
              <w:top w:val="single" w:sz="4" w:space="0" w:color="auto"/>
              <w:left w:val="nil"/>
              <w:bottom w:val="single" w:sz="4" w:space="0" w:color="auto"/>
              <w:right w:val="single" w:sz="4" w:space="0" w:color="auto"/>
            </w:tcBorders>
            <w:shd w:val="clear" w:color="auto" w:fill="auto"/>
            <w:noWrap/>
            <w:hideMark/>
          </w:tcPr>
          <w:p w14:paraId="78D106F7" w14:textId="77777777" w:rsidR="009A3DA8" w:rsidRPr="00A557BB" w:rsidRDefault="009A3DA8" w:rsidP="00E402E0">
            <w:pPr>
              <w:jc w:val="right"/>
              <w:rPr>
                <w:sz w:val="20"/>
                <w:szCs w:val="20"/>
                <w:lang w:val="fr-FR"/>
              </w:rPr>
            </w:pPr>
            <w:r w:rsidRPr="00A557BB">
              <w:rPr>
                <w:sz w:val="20"/>
                <w:szCs w:val="20"/>
                <w:lang w:val="fr-FR"/>
              </w:rPr>
              <w:t>10 396,00</w:t>
            </w:r>
          </w:p>
        </w:tc>
      </w:tr>
      <w:tr w:rsidR="009A3DA8" w:rsidRPr="00A557BB" w14:paraId="1BD9ACE5" w14:textId="77777777" w:rsidTr="008F3F8C">
        <w:trPr>
          <w:trHeight w:val="222"/>
        </w:trPr>
        <w:tc>
          <w:tcPr>
            <w:tcW w:w="2282" w:type="pct"/>
            <w:tcBorders>
              <w:top w:val="single" w:sz="4" w:space="0" w:color="auto"/>
              <w:left w:val="single" w:sz="4" w:space="0" w:color="auto"/>
              <w:bottom w:val="single" w:sz="4" w:space="0" w:color="auto"/>
              <w:right w:val="single" w:sz="4" w:space="0" w:color="auto"/>
            </w:tcBorders>
            <w:shd w:val="clear" w:color="auto" w:fill="auto"/>
            <w:noWrap/>
          </w:tcPr>
          <w:p w14:paraId="0CBEB92A" w14:textId="77777777" w:rsidR="009A3DA8" w:rsidRPr="00A557BB" w:rsidRDefault="009A3DA8" w:rsidP="00E402E0">
            <w:pPr>
              <w:rPr>
                <w:sz w:val="20"/>
                <w:szCs w:val="20"/>
                <w:lang w:val="fr-FR"/>
              </w:rPr>
            </w:pPr>
            <w:r w:rsidRPr="00A557BB">
              <w:rPr>
                <w:sz w:val="20"/>
                <w:szCs w:val="20"/>
                <w:lang w:val="fr-FR"/>
              </w:rPr>
              <w:t>Autres additifs</w:t>
            </w:r>
          </w:p>
        </w:tc>
        <w:tc>
          <w:tcPr>
            <w:tcW w:w="831" w:type="pct"/>
            <w:tcBorders>
              <w:top w:val="single" w:sz="4" w:space="0" w:color="auto"/>
              <w:left w:val="nil"/>
              <w:bottom w:val="single" w:sz="4" w:space="0" w:color="auto"/>
              <w:right w:val="single" w:sz="4" w:space="0" w:color="auto"/>
            </w:tcBorders>
            <w:shd w:val="clear" w:color="auto" w:fill="auto"/>
            <w:noWrap/>
          </w:tcPr>
          <w:p w14:paraId="0BD22D5E" w14:textId="77777777" w:rsidR="009A3DA8" w:rsidRPr="00A557BB" w:rsidRDefault="009A3DA8" w:rsidP="00E402E0">
            <w:pPr>
              <w:jc w:val="right"/>
              <w:rPr>
                <w:sz w:val="20"/>
                <w:szCs w:val="20"/>
                <w:lang w:val="fr-FR"/>
              </w:rPr>
            </w:pPr>
            <w:r w:rsidRPr="00A557BB">
              <w:rPr>
                <w:sz w:val="20"/>
                <w:szCs w:val="20"/>
                <w:lang w:val="fr-FR"/>
              </w:rPr>
              <w:t>-</w:t>
            </w:r>
          </w:p>
        </w:tc>
        <w:tc>
          <w:tcPr>
            <w:tcW w:w="680" w:type="pct"/>
            <w:tcBorders>
              <w:top w:val="single" w:sz="4" w:space="0" w:color="auto"/>
              <w:left w:val="nil"/>
              <w:bottom w:val="single" w:sz="4" w:space="0" w:color="auto"/>
              <w:right w:val="single" w:sz="4" w:space="0" w:color="auto"/>
            </w:tcBorders>
            <w:shd w:val="clear" w:color="auto" w:fill="auto"/>
            <w:noWrap/>
          </w:tcPr>
          <w:p w14:paraId="19232FF7" w14:textId="77777777" w:rsidR="009A3DA8" w:rsidRPr="00A557BB" w:rsidRDefault="009A3DA8" w:rsidP="00E402E0">
            <w:pPr>
              <w:jc w:val="right"/>
              <w:rPr>
                <w:sz w:val="20"/>
                <w:szCs w:val="20"/>
                <w:lang w:val="fr-FR"/>
              </w:rPr>
            </w:pPr>
          </w:p>
        </w:tc>
        <w:tc>
          <w:tcPr>
            <w:tcW w:w="616" w:type="pct"/>
            <w:tcBorders>
              <w:top w:val="single" w:sz="4" w:space="0" w:color="auto"/>
              <w:left w:val="nil"/>
              <w:bottom w:val="single" w:sz="4" w:space="0" w:color="auto"/>
              <w:right w:val="single" w:sz="4" w:space="0" w:color="auto"/>
            </w:tcBorders>
            <w:shd w:val="clear" w:color="auto" w:fill="auto"/>
            <w:noWrap/>
          </w:tcPr>
          <w:p w14:paraId="75F3CEC6" w14:textId="77777777" w:rsidR="009A3DA8" w:rsidRPr="00A557BB" w:rsidRDefault="009A3DA8" w:rsidP="00E402E0">
            <w:pPr>
              <w:jc w:val="right"/>
              <w:rPr>
                <w:sz w:val="20"/>
                <w:szCs w:val="20"/>
                <w:lang w:val="fr-FR"/>
              </w:rPr>
            </w:pPr>
            <w:r w:rsidRPr="00A557BB">
              <w:rPr>
                <w:sz w:val="20"/>
                <w:szCs w:val="20"/>
                <w:lang w:val="fr-FR"/>
              </w:rPr>
              <w:t>-</w:t>
            </w:r>
          </w:p>
        </w:tc>
        <w:tc>
          <w:tcPr>
            <w:tcW w:w="591" w:type="pct"/>
            <w:tcBorders>
              <w:top w:val="single" w:sz="4" w:space="0" w:color="auto"/>
              <w:left w:val="nil"/>
              <w:bottom w:val="single" w:sz="4" w:space="0" w:color="auto"/>
              <w:right w:val="single" w:sz="4" w:space="0" w:color="auto"/>
            </w:tcBorders>
            <w:shd w:val="clear" w:color="auto" w:fill="auto"/>
            <w:noWrap/>
          </w:tcPr>
          <w:p w14:paraId="25507D0A" w14:textId="77777777" w:rsidR="009A3DA8" w:rsidRPr="00A557BB" w:rsidRDefault="009A3DA8" w:rsidP="00E402E0">
            <w:pPr>
              <w:jc w:val="right"/>
              <w:rPr>
                <w:sz w:val="20"/>
                <w:szCs w:val="20"/>
                <w:lang w:val="fr-FR"/>
              </w:rPr>
            </w:pPr>
          </w:p>
        </w:tc>
      </w:tr>
      <w:tr w:rsidR="009A3DA8" w:rsidRPr="00A557BB" w14:paraId="4F9E2994" w14:textId="77777777" w:rsidTr="008F3F8C">
        <w:trPr>
          <w:trHeight w:val="41"/>
        </w:trPr>
        <w:tc>
          <w:tcPr>
            <w:tcW w:w="2282" w:type="pct"/>
            <w:tcBorders>
              <w:top w:val="single" w:sz="4" w:space="0" w:color="auto"/>
              <w:left w:val="single" w:sz="4" w:space="0" w:color="auto"/>
              <w:bottom w:val="single" w:sz="4" w:space="0" w:color="auto"/>
              <w:right w:val="single" w:sz="4" w:space="0" w:color="auto"/>
            </w:tcBorders>
            <w:shd w:val="clear" w:color="auto" w:fill="auto"/>
            <w:noWrap/>
          </w:tcPr>
          <w:p w14:paraId="08CA92E1" w14:textId="77777777" w:rsidR="009A3DA8" w:rsidRPr="00A557BB" w:rsidRDefault="009A3DA8" w:rsidP="00E402E0">
            <w:pPr>
              <w:rPr>
                <w:b/>
                <w:sz w:val="20"/>
                <w:szCs w:val="20"/>
                <w:lang w:val="fr-FR"/>
              </w:rPr>
            </w:pPr>
            <w:r w:rsidRPr="00A557BB">
              <w:rPr>
                <w:b/>
                <w:sz w:val="20"/>
                <w:szCs w:val="20"/>
                <w:lang w:val="fr-FR"/>
              </w:rPr>
              <w:t>Total après reconversion</w:t>
            </w:r>
          </w:p>
        </w:tc>
        <w:tc>
          <w:tcPr>
            <w:tcW w:w="831" w:type="pct"/>
            <w:tcBorders>
              <w:top w:val="single" w:sz="4" w:space="0" w:color="auto"/>
              <w:left w:val="nil"/>
              <w:bottom w:val="single" w:sz="4" w:space="0" w:color="auto"/>
              <w:right w:val="single" w:sz="4" w:space="0" w:color="auto"/>
            </w:tcBorders>
            <w:shd w:val="clear" w:color="auto" w:fill="auto"/>
            <w:noWrap/>
          </w:tcPr>
          <w:p w14:paraId="5E71725D" w14:textId="77777777" w:rsidR="009A3DA8" w:rsidRPr="00A557BB" w:rsidRDefault="009A3DA8" w:rsidP="00E402E0">
            <w:pPr>
              <w:jc w:val="right"/>
              <w:rPr>
                <w:b/>
                <w:sz w:val="20"/>
                <w:szCs w:val="20"/>
                <w:lang w:val="fr-FR"/>
              </w:rPr>
            </w:pPr>
            <w:r w:rsidRPr="00A557BB">
              <w:rPr>
                <w:b/>
                <w:sz w:val="20"/>
                <w:szCs w:val="20"/>
                <w:lang w:val="fr-FR"/>
              </w:rPr>
              <w:t>7, 45</w:t>
            </w:r>
          </w:p>
        </w:tc>
        <w:tc>
          <w:tcPr>
            <w:tcW w:w="680" w:type="pct"/>
            <w:tcBorders>
              <w:top w:val="single" w:sz="4" w:space="0" w:color="auto"/>
              <w:left w:val="nil"/>
              <w:bottom w:val="single" w:sz="4" w:space="0" w:color="auto"/>
              <w:right w:val="single" w:sz="4" w:space="0" w:color="auto"/>
            </w:tcBorders>
            <w:shd w:val="clear" w:color="auto" w:fill="auto"/>
            <w:noWrap/>
          </w:tcPr>
          <w:p w14:paraId="413D5591" w14:textId="77777777" w:rsidR="009A3DA8" w:rsidRPr="00A557BB" w:rsidRDefault="009A3DA8" w:rsidP="00E402E0">
            <w:pPr>
              <w:jc w:val="right"/>
              <w:rPr>
                <w:b/>
                <w:sz w:val="20"/>
                <w:szCs w:val="20"/>
                <w:lang w:val="fr-FR"/>
              </w:rPr>
            </w:pPr>
          </w:p>
        </w:tc>
        <w:tc>
          <w:tcPr>
            <w:tcW w:w="616" w:type="pct"/>
            <w:tcBorders>
              <w:top w:val="single" w:sz="4" w:space="0" w:color="auto"/>
              <w:left w:val="nil"/>
              <w:bottom w:val="single" w:sz="4" w:space="0" w:color="auto"/>
              <w:right w:val="single" w:sz="4" w:space="0" w:color="auto"/>
            </w:tcBorders>
            <w:shd w:val="clear" w:color="auto" w:fill="auto"/>
            <w:noWrap/>
          </w:tcPr>
          <w:p w14:paraId="69087836" w14:textId="77777777" w:rsidR="009A3DA8" w:rsidRPr="00A557BB" w:rsidRDefault="009A3DA8" w:rsidP="00E402E0">
            <w:pPr>
              <w:jc w:val="right"/>
              <w:rPr>
                <w:b/>
                <w:sz w:val="20"/>
                <w:szCs w:val="20"/>
                <w:lang w:val="fr-FR"/>
              </w:rPr>
            </w:pPr>
          </w:p>
        </w:tc>
        <w:tc>
          <w:tcPr>
            <w:tcW w:w="591" w:type="pct"/>
            <w:tcBorders>
              <w:top w:val="single" w:sz="4" w:space="0" w:color="auto"/>
              <w:left w:val="nil"/>
              <w:bottom w:val="single" w:sz="4" w:space="0" w:color="auto"/>
              <w:right w:val="single" w:sz="4" w:space="0" w:color="auto"/>
            </w:tcBorders>
            <w:shd w:val="clear" w:color="auto" w:fill="auto"/>
            <w:noWrap/>
          </w:tcPr>
          <w:p w14:paraId="04F895F9" w14:textId="77777777" w:rsidR="009A3DA8" w:rsidRPr="00A557BB" w:rsidRDefault="009A3DA8" w:rsidP="00E402E0">
            <w:pPr>
              <w:jc w:val="right"/>
              <w:rPr>
                <w:b/>
                <w:sz w:val="20"/>
                <w:szCs w:val="20"/>
                <w:lang w:val="fr-FR"/>
              </w:rPr>
            </w:pPr>
            <w:r w:rsidRPr="00A557BB">
              <w:rPr>
                <w:b/>
                <w:sz w:val="20"/>
                <w:szCs w:val="20"/>
                <w:lang w:val="fr-FR"/>
              </w:rPr>
              <w:t>16 988,50</w:t>
            </w:r>
          </w:p>
        </w:tc>
      </w:tr>
      <w:tr w:rsidR="009A3DA8" w:rsidRPr="00A557BB" w14:paraId="141F7869" w14:textId="77777777" w:rsidTr="008F3F8C">
        <w:trPr>
          <w:trHeight w:val="41"/>
        </w:trPr>
        <w:tc>
          <w:tcPr>
            <w:tcW w:w="2282" w:type="pct"/>
            <w:tcBorders>
              <w:top w:val="single" w:sz="4" w:space="0" w:color="auto"/>
              <w:left w:val="single" w:sz="4" w:space="0" w:color="auto"/>
              <w:bottom w:val="single" w:sz="4" w:space="0" w:color="auto"/>
              <w:right w:val="single" w:sz="4" w:space="0" w:color="auto"/>
            </w:tcBorders>
            <w:shd w:val="clear" w:color="auto" w:fill="auto"/>
            <w:noWrap/>
          </w:tcPr>
          <w:p w14:paraId="01ADEE7B" w14:textId="77777777" w:rsidR="009A3DA8" w:rsidRPr="00A557BB" w:rsidRDefault="009A3DA8" w:rsidP="00E402E0">
            <w:pPr>
              <w:rPr>
                <w:b/>
                <w:sz w:val="20"/>
                <w:szCs w:val="20"/>
                <w:lang w:val="fr-FR"/>
              </w:rPr>
            </w:pPr>
            <w:r w:rsidRPr="00A557BB">
              <w:rPr>
                <w:b/>
                <w:sz w:val="20"/>
                <w:szCs w:val="20"/>
                <w:lang w:val="fr-FR"/>
              </w:rPr>
              <w:t>Économies après égalisation des quantités présentes dans le système *</w:t>
            </w:r>
          </w:p>
        </w:tc>
        <w:tc>
          <w:tcPr>
            <w:tcW w:w="831" w:type="pct"/>
            <w:tcBorders>
              <w:top w:val="single" w:sz="4" w:space="0" w:color="auto"/>
              <w:left w:val="nil"/>
              <w:bottom w:val="single" w:sz="4" w:space="0" w:color="auto"/>
              <w:right w:val="single" w:sz="4" w:space="0" w:color="auto"/>
            </w:tcBorders>
            <w:shd w:val="clear" w:color="auto" w:fill="auto"/>
            <w:noWrap/>
          </w:tcPr>
          <w:p w14:paraId="08A2A4C0" w14:textId="77777777" w:rsidR="009A3DA8" w:rsidRPr="00A557BB" w:rsidRDefault="009A3DA8" w:rsidP="00E402E0">
            <w:pPr>
              <w:jc w:val="right"/>
              <w:rPr>
                <w:b/>
                <w:sz w:val="20"/>
                <w:szCs w:val="20"/>
                <w:lang w:val="fr-FR"/>
              </w:rPr>
            </w:pPr>
          </w:p>
        </w:tc>
        <w:tc>
          <w:tcPr>
            <w:tcW w:w="680" w:type="pct"/>
            <w:tcBorders>
              <w:top w:val="single" w:sz="4" w:space="0" w:color="auto"/>
              <w:left w:val="nil"/>
              <w:bottom w:val="single" w:sz="4" w:space="0" w:color="auto"/>
              <w:right w:val="single" w:sz="4" w:space="0" w:color="auto"/>
            </w:tcBorders>
            <w:shd w:val="clear" w:color="auto" w:fill="auto"/>
            <w:noWrap/>
          </w:tcPr>
          <w:p w14:paraId="629718D7" w14:textId="77777777" w:rsidR="009A3DA8" w:rsidRPr="00A557BB" w:rsidRDefault="009A3DA8" w:rsidP="00E402E0">
            <w:pPr>
              <w:jc w:val="right"/>
              <w:rPr>
                <w:b/>
                <w:sz w:val="20"/>
                <w:szCs w:val="20"/>
                <w:lang w:val="fr-FR"/>
              </w:rPr>
            </w:pPr>
          </w:p>
        </w:tc>
        <w:tc>
          <w:tcPr>
            <w:tcW w:w="616" w:type="pct"/>
            <w:tcBorders>
              <w:top w:val="single" w:sz="4" w:space="0" w:color="auto"/>
              <w:left w:val="nil"/>
              <w:bottom w:val="single" w:sz="4" w:space="0" w:color="auto"/>
              <w:right w:val="single" w:sz="4" w:space="0" w:color="auto"/>
            </w:tcBorders>
            <w:shd w:val="clear" w:color="auto" w:fill="auto"/>
            <w:noWrap/>
          </w:tcPr>
          <w:p w14:paraId="59A0DEB0" w14:textId="77777777" w:rsidR="009A3DA8" w:rsidRPr="00A557BB" w:rsidRDefault="009A3DA8" w:rsidP="00E402E0">
            <w:pPr>
              <w:jc w:val="right"/>
              <w:rPr>
                <w:b/>
                <w:sz w:val="20"/>
                <w:szCs w:val="20"/>
                <w:lang w:val="fr-FR"/>
              </w:rPr>
            </w:pPr>
          </w:p>
        </w:tc>
        <w:tc>
          <w:tcPr>
            <w:tcW w:w="591" w:type="pct"/>
            <w:tcBorders>
              <w:top w:val="single" w:sz="4" w:space="0" w:color="auto"/>
              <w:left w:val="nil"/>
              <w:bottom w:val="single" w:sz="4" w:space="0" w:color="auto"/>
              <w:right w:val="single" w:sz="4" w:space="0" w:color="auto"/>
            </w:tcBorders>
            <w:shd w:val="clear" w:color="auto" w:fill="auto"/>
            <w:noWrap/>
          </w:tcPr>
          <w:p w14:paraId="0B8BFAC1" w14:textId="77777777" w:rsidR="009A3DA8" w:rsidRPr="00A557BB" w:rsidRDefault="009A3DA8" w:rsidP="00E402E0">
            <w:pPr>
              <w:jc w:val="right"/>
              <w:rPr>
                <w:b/>
                <w:sz w:val="20"/>
                <w:szCs w:val="20"/>
                <w:lang w:val="fr-FR"/>
              </w:rPr>
            </w:pPr>
            <w:r w:rsidRPr="00A557BB">
              <w:rPr>
                <w:b/>
                <w:sz w:val="20"/>
                <w:szCs w:val="20"/>
                <w:lang w:val="fr-FR"/>
              </w:rPr>
              <w:t>(304,84)</w:t>
            </w:r>
          </w:p>
        </w:tc>
      </w:tr>
    </w:tbl>
    <w:p w14:paraId="165B13C3" w14:textId="5459A19E" w:rsidR="009A3DA8" w:rsidRPr="00A557BB" w:rsidRDefault="009A3DA8" w:rsidP="009A3DA8">
      <w:pPr>
        <w:pStyle w:val="StyleHeader4Para4Left0Firstline0"/>
        <w:numPr>
          <w:ilvl w:val="0"/>
          <w:numId w:val="0"/>
        </w:numPr>
        <w:tabs>
          <w:tab w:val="clear" w:pos="2880"/>
          <w:tab w:val="clear" w:pos="5760"/>
        </w:tabs>
        <w:spacing w:after="0"/>
        <w:rPr>
          <w:szCs w:val="20"/>
          <w:lang w:val="fr-FR"/>
        </w:rPr>
      </w:pPr>
      <w:r w:rsidRPr="00A557BB">
        <w:rPr>
          <w:szCs w:val="20"/>
          <w:lang w:val="fr-FR"/>
        </w:rPr>
        <w:t>Remarque: Les systèmes basés sur du polyol prémélangé utilisant du HCFC-141b représentent environ 1 022 fois ceux bas</w:t>
      </w:r>
      <w:r w:rsidR="00870F31" w:rsidRPr="00A557BB">
        <w:rPr>
          <w:szCs w:val="20"/>
          <w:lang w:val="fr-FR"/>
        </w:rPr>
        <w:t xml:space="preserve">és sur des polyols prémélangés </w:t>
      </w:r>
      <w:r w:rsidRPr="00A557BB">
        <w:rPr>
          <w:szCs w:val="20"/>
          <w:lang w:val="fr-FR"/>
        </w:rPr>
        <w:t>au cyclopentane ; les coûts indiqués pour le polyol prémélangé à base de cyclopentane doivent être augmentés proportionnellement afin d'évaluer l'augmentation réelle des coûts.</w:t>
      </w:r>
    </w:p>
    <w:p w14:paraId="3F11DB7C" w14:textId="77777777" w:rsidR="009A3DA8" w:rsidRPr="00A557BB" w:rsidRDefault="009A3DA8" w:rsidP="009A3DA8">
      <w:pPr>
        <w:pStyle w:val="StyleHeader4Para4Left0Firstline0"/>
        <w:numPr>
          <w:ilvl w:val="0"/>
          <w:numId w:val="0"/>
        </w:numPr>
        <w:tabs>
          <w:tab w:val="clear" w:pos="2880"/>
          <w:tab w:val="clear" w:pos="5760"/>
        </w:tabs>
        <w:rPr>
          <w:szCs w:val="20"/>
          <w:lang w:val="fr-FR"/>
        </w:rPr>
      </w:pPr>
      <w:r w:rsidRPr="00A557BB">
        <w:rPr>
          <w:szCs w:val="20"/>
          <w:lang w:val="fr-FR"/>
        </w:rPr>
        <w:t>* Économies pour une production équivalant à 7,62 tm de systèmes de mousses à base de HCFC-141b.</w:t>
      </w:r>
    </w:p>
    <w:p w14:paraId="2B1DEE01" w14:textId="684B2DB6" w:rsidR="009A3DA8" w:rsidRPr="00A557BB" w:rsidRDefault="009A3DA8" w:rsidP="009A3DA8">
      <w:pPr>
        <w:pStyle w:val="Heading1"/>
        <w:rPr>
          <w:lang w:val="fr-FR"/>
        </w:rPr>
      </w:pPr>
      <w:r w:rsidRPr="00A557BB">
        <w:rPr>
          <w:lang w:val="fr-FR"/>
        </w:rPr>
        <w:t>Le Secrétariat note que les résultats du projet font apparaître des coûts d'investissement différ</w:t>
      </w:r>
      <w:r w:rsidR="00614272" w:rsidRPr="00A557BB">
        <w:rPr>
          <w:lang w:val="fr-FR"/>
        </w:rPr>
        <w:t xml:space="preserve">entiels moins élevés lorsqu'on </w:t>
      </w:r>
      <w:r w:rsidRPr="00A557BB">
        <w:rPr>
          <w:lang w:val="fr-FR"/>
        </w:rPr>
        <w:t>fait usage</w:t>
      </w:r>
      <w:r w:rsidR="00614272" w:rsidRPr="00A557BB">
        <w:rPr>
          <w:lang w:val="fr-FR"/>
        </w:rPr>
        <w:t xml:space="preserve"> </w:t>
      </w:r>
      <w:r w:rsidRPr="00A557BB">
        <w:rPr>
          <w:lang w:val="fr-FR"/>
        </w:rPr>
        <w:t>de cyclopentane prémélangé, principalement en raison du fait que le cyclopentane prémélangé est moins coûteux à stocker et à manipuler, de la conception économique de la tête mobile servant aux opérations de fabrication de mousse et d'un système de ventilation et d'extraction peu coûteux. Les coûts d'exploitation sont également inférieurs à ceux des formulations</w:t>
      </w:r>
      <w:r w:rsidR="00870F31" w:rsidRPr="00A557BB">
        <w:rPr>
          <w:lang w:val="fr-FR"/>
        </w:rPr>
        <w:t xml:space="preserve"> à base de HCFC-141b prémélangé</w:t>
      </w:r>
      <w:r w:rsidRPr="00A557BB">
        <w:rPr>
          <w:lang w:val="fr-FR"/>
        </w:rPr>
        <w:t xml:space="preserve">, ce qu'on peut en grande partie attribuer au prix élevé du HCFC-141b.  Les économies en capital et en coûts d'exploitation pourraient être plus importantes si les volumes d'achat d'équipement étaient plus importants, si les coûts des composants de l'équipement et des systèmes de sécurité étaient au plus juste et si les prix du HCFC-141b devaient encore </w:t>
      </w:r>
      <w:r w:rsidR="00614272" w:rsidRPr="00A557BB">
        <w:rPr>
          <w:lang w:val="fr-FR"/>
        </w:rPr>
        <w:t>augmenter</w:t>
      </w:r>
      <w:r w:rsidRPr="00A557BB">
        <w:rPr>
          <w:lang w:val="fr-FR"/>
        </w:rPr>
        <w:t xml:space="preserve">, en raison de contraintes d'approvisionnement sur différents marchés.   </w:t>
      </w:r>
    </w:p>
    <w:p w14:paraId="36405A8E" w14:textId="77777777" w:rsidR="009A3DA8" w:rsidRPr="00A557BB" w:rsidRDefault="009A3DA8" w:rsidP="009A3DA8">
      <w:pPr>
        <w:pStyle w:val="StyleHeader4Para4Left0Firstline0"/>
        <w:numPr>
          <w:ilvl w:val="0"/>
          <w:numId w:val="0"/>
        </w:numPr>
        <w:rPr>
          <w:b/>
          <w:sz w:val="22"/>
          <w:lang w:val="fr-FR"/>
        </w:rPr>
      </w:pPr>
      <w:r w:rsidRPr="00A557BB">
        <w:rPr>
          <w:b/>
          <w:sz w:val="22"/>
          <w:lang w:val="fr-FR"/>
        </w:rPr>
        <w:t xml:space="preserve">Recommandation </w:t>
      </w:r>
    </w:p>
    <w:p w14:paraId="5DDECA48" w14:textId="77777777" w:rsidR="009A3DA8" w:rsidRPr="00A557BB" w:rsidRDefault="009A3DA8" w:rsidP="009A3DA8">
      <w:pPr>
        <w:pStyle w:val="Heading1"/>
        <w:rPr>
          <w:lang w:val="fr-FR"/>
        </w:rPr>
      </w:pPr>
      <w:r w:rsidRPr="00A557BB">
        <w:rPr>
          <w:lang w:val="fr-FR"/>
        </w:rPr>
        <w:t xml:space="preserve">Le Comité exécutif pourrait souhaiter : </w:t>
      </w:r>
    </w:p>
    <w:p w14:paraId="47031E0C" w14:textId="3A53FF6C" w:rsidR="009A3DA8" w:rsidRPr="00A557BB" w:rsidRDefault="009A3DA8" w:rsidP="009A3DA8">
      <w:pPr>
        <w:pStyle w:val="Heading2"/>
        <w:numPr>
          <w:ilvl w:val="1"/>
          <w:numId w:val="1"/>
        </w:numPr>
        <w:rPr>
          <w:lang w:val="fr-FR"/>
        </w:rPr>
      </w:pPr>
      <w:r w:rsidRPr="00A557BB">
        <w:rPr>
          <w:lang w:val="fr-FR"/>
        </w:rPr>
        <w:t xml:space="preserve">prendre note du rapport périodique sur le projet de démonstration de l’utilisation d’une technologie de moussage au pentane à faible coût pour la reconversion à des technologies de fabrication de mousses de polyuréthane (PU) sans SAO dans des petites et moyennes entreprises au Maroc, soumis par l’ONUDI et </w:t>
      </w:r>
      <w:r w:rsidR="00E916A0" w:rsidRPr="00A557BB">
        <w:rPr>
          <w:lang w:val="fr-FR"/>
        </w:rPr>
        <w:t>figurant dans le document paru sous la cote UNEP</w:t>
      </w:r>
      <w:r w:rsidRPr="00A557BB">
        <w:rPr>
          <w:lang w:val="fr-FR"/>
        </w:rPr>
        <w:t>/OzL.Pro/ExCom/84/22</w:t>
      </w:r>
      <w:r w:rsidR="00392678" w:rsidRPr="00A557BB">
        <w:rPr>
          <w:lang w:val="fr-FR"/>
        </w:rPr>
        <w:t xml:space="preserve"> </w:t>
      </w:r>
      <w:r w:rsidRPr="00A557BB">
        <w:rPr>
          <w:lang w:val="fr-FR"/>
        </w:rPr>
        <w:t>;</w:t>
      </w:r>
    </w:p>
    <w:p w14:paraId="5DA48FCB" w14:textId="437A985E" w:rsidR="009A3DA8" w:rsidRPr="00A557BB" w:rsidRDefault="009A3DA8" w:rsidP="009A3DA8">
      <w:pPr>
        <w:pStyle w:val="Heading2"/>
        <w:numPr>
          <w:ilvl w:val="1"/>
          <w:numId w:val="1"/>
        </w:numPr>
        <w:rPr>
          <w:lang w:val="fr-FR"/>
        </w:rPr>
      </w:pPr>
      <w:r w:rsidRPr="00A557BB">
        <w:rPr>
          <w:lang w:val="fr-FR"/>
        </w:rPr>
        <w:t>inviter les agences bilatérales et d’exécution, lorsqu’elles aideront les pays visés à l’article 5 à préparer des projets dans les secteurs des mousses PU, à prendre en compte le rapport mentionné à l’alinéa a) ci-dessus.</w:t>
      </w:r>
    </w:p>
    <w:p w14:paraId="0D2D4BFF" w14:textId="77777777" w:rsidR="00E2565B" w:rsidRPr="00A557BB" w:rsidRDefault="00E2565B" w:rsidP="00E2565B">
      <w:pPr>
        <w:pStyle w:val="Heading1"/>
        <w:numPr>
          <w:ilvl w:val="0"/>
          <w:numId w:val="0"/>
        </w:numPr>
        <w:rPr>
          <w:lang w:val="fr-FR"/>
        </w:rPr>
      </w:pPr>
      <w:r w:rsidRPr="00A557BB">
        <w:rPr>
          <w:u w:val="single"/>
          <w:lang w:val="fr-FR"/>
        </w:rPr>
        <w:t xml:space="preserve">Arabie saoudite : Projet de démonstration pour l’élimination des HCFC en utilisant le HFO comme agent de gonflage dans les applications de mousse vaporisée à des températures ambiantes élevées </w:t>
      </w:r>
      <w:r w:rsidRPr="00A557BB">
        <w:rPr>
          <w:lang w:val="fr-FR"/>
        </w:rPr>
        <w:t>(ONUDI)</w:t>
      </w:r>
    </w:p>
    <w:p w14:paraId="1DC922AC" w14:textId="14F53696" w:rsidR="00E2565B" w:rsidRPr="00A557BB" w:rsidRDefault="00E2565B" w:rsidP="00E2565B">
      <w:pPr>
        <w:pStyle w:val="StyleHeader4Para4Left0Firstline0"/>
        <w:numPr>
          <w:ilvl w:val="0"/>
          <w:numId w:val="0"/>
        </w:numPr>
        <w:rPr>
          <w:b/>
          <w:sz w:val="22"/>
          <w:lang w:val="fr-FR"/>
        </w:rPr>
      </w:pPr>
      <w:r w:rsidRPr="00A557BB">
        <w:rPr>
          <w:b/>
          <w:sz w:val="22"/>
          <w:lang w:val="fr-FR"/>
        </w:rPr>
        <w:t xml:space="preserve">Historique </w:t>
      </w:r>
    </w:p>
    <w:p w14:paraId="4843DA54" w14:textId="48A448CE" w:rsidR="00E2565B" w:rsidRPr="00A557BB" w:rsidRDefault="00E2565B" w:rsidP="00E2565B">
      <w:pPr>
        <w:pStyle w:val="Heading1"/>
        <w:rPr>
          <w:lang w:val="fr-FR"/>
        </w:rPr>
      </w:pPr>
      <w:r w:rsidRPr="00A557BB">
        <w:rPr>
          <w:lang w:val="fr-FR"/>
        </w:rPr>
        <w:t>À la 76</w:t>
      </w:r>
      <w:r w:rsidRPr="00A557BB">
        <w:rPr>
          <w:vertAlign w:val="superscript"/>
          <w:lang w:val="fr-FR"/>
        </w:rPr>
        <w:t>e</w:t>
      </w:r>
      <w:r w:rsidRPr="00A557BB">
        <w:rPr>
          <w:lang w:val="fr-FR"/>
        </w:rPr>
        <w:t xml:space="preserve"> réunion, le Comité exécutif a approuvé un projet de démonstration visant à l'élimination des HCFC en utilisant des HFO comme agent gonflant pour la mousse dans les applications de mousse pulvérisée à température ambiante élevée en Arabie saoudite, pour un montant de 96 250 $US, coûts d'appui d'agence en sus pour l'ONUDI à hauteur de 8 663 $US. Il a demandé au Gouvernement saoudien </w:t>
      </w:r>
      <w:r w:rsidRPr="00A557BB">
        <w:rPr>
          <w:lang w:val="fr-FR"/>
        </w:rPr>
        <w:lastRenderedPageBreak/>
        <w:t>et à l'ONUDI d'achever le projet dans les 16 mois suivant son approbation et de soumettre un rapport final complet peu après l'achèvement du projet (décision 76/31).</w:t>
      </w:r>
      <w:r w:rsidRPr="00A557BB">
        <w:rPr>
          <w:rStyle w:val="FootnoteReference"/>
          <w:lang w:val="fr-FR"/>
        </w:rPr>
        <w:footnoteReference w:id="26"/>
      </w:r>
      <w:r w:rsidR="0071741B">
        <w:rPr>
          <w:lang w:val="fr-FR"/>
        </w:rPr>
        <w:t xml:space="preserve"> </w:t>
      </w:r>
    </w:p>
    <w:p w14:paraId="6E1BAB0B" w14:textId="70BA1216" w:rsidR="00E2565B" w:rsidRPr="00A557BB" w:rsidRDefault="00E2565B" w:rsidP="00E2565B">
      <w:pPr>
        <w:pStyle w:val="Heading1"/>
        <w:rPr>
          <w:lang w:val="fr-FR"/>
        </w:rPr>
      </w:pPr>
      <w:r w:rsidRPr="00A557BB">
        <w:rPr>
          <w:lang w:val="fr-FR"/>
        </w:rPr>
        <w:t>À la 83</w:t>
      </w:r>
      <w:r w:rsidRPr="00A557BB">
        <w:rPr>
          <w:vertAlign w:val="superscript"/>
          <w:lang w:val="fr-FR"/>
        </w:rPr>
        <w:t>e</w:t>
      </w:r>
      <w:r w:rsidR="00870F31" w:rsidRPr="00A557BB">
        <w:rPr>
          <w:lang w:val="fr-FR"/>
        </w:rPr>
        <w:t xml:space="preserve"> réunion, l’</w:t>
      </w:r>
      <w:r w:rsidRPr="00A557BB">
        <w:rPr>
          <w:lang w:val="fr-FR"/>
        </w:rPr>
        <w:t xml:space="preserve">ONUDI a présenté un rapport périodique détaillé sur le projet de démonstration.  L’ONUDI a accepté d’inclure dans les </w:t>
      </w:r>
      <w:r w:rsidR="00870F31" w:rsidRPr="00A557BB">
        <w:rPr>
          <w:lang w:val="fr-FR"/>
        </w:rPr>
        <w:t>essais pratiques</w:t>
      </w:r>
      <w:r w:rsidRPr="00A557BB">
        <w:rPr>
          <w:lang w:val="fr-FR"/>
        </w:rPr>
        <w:t xml:space="preserve"> plusieurs essais qui n’avaient pas pu être réalisés dans la première partie du projet, comme ceux, entre d’autres, portant sur la force d’adhérence, l’absorption de l’eau, la teneur en alvéoles fermées, la longévité de la résistance thermique et la force de compression  par rapport au vieillissement ou à la dégradation. Afin de mener à bien les activités restantes qui permettraient de dégager de précieuses informations provenant d’essais sur le terrain dans des conditions de température ambiante élevée, et tout en notant que des progrès considérables ont été réalisés, le Comité exécutif a décidé de reporter la date d’achèvement du projet au 31 octobre 2019, étant entendu qu’aucune autre la prolongation ne serait demandée. Il a demandé à l'ONUDI de soumettre le rapport final du projet à la 84</w:t>
      </w:r>
      <w:r w:rsidRPr="00A557BB">
        <w:rPr>
          <w:vertAlign w:val="superscript"/>
          <w:lang w:val="fr-FR"/>
        </w:rPr>
        <w:t>e</w:t>
      </w:r>
      <w:r w:rsidRPr="00A557BB">
        <w:rPr>
          <w:lang w:val="fr-FR"/>
        </w:rPr>
        <w:t xml:space="preserve"> réunion au plus </w:t>
      </w:r>
      <w:r w:rsidR="00614272" w:rsidRPr="00A557BB">
        <w:rPr>
          <w:lang w:val="fr-FR"/>
        </w:rPr>
        <w:t>tard (</w:t>
      </w:r>
      <w:r w:rsidRPr="00A557BB">
        <w:rPr>
          <w:lang w:val="fr-FR"/>
        </w:rPr>
        <w:t>décision 83/35 b) et c)).</w:t>
      </w:r>
    </w:p>
    <w:p w14:paraId="367DBFBB" w14:textId="77777777" w:rsidR="00E2565B" w:rsidRPr="00A557BB" w:rsidRDefault="00E2565B" w:rsidP="00E2565B">
      <w:pPr>
        <w:pStyle w:val="StyleHeader4Para4Left0Firstline0"/>
        <w:numPr>
          <w:ilvl w:val="0"/>
          <w:numId w:val="0"/>
        </w:numPr>
        <w:rPr>
          <w:b/>
          <w:sz w:val="22"/>
          <w:lang w:val="fr-FR"/>
        </w:rPr>
      </w:pPr>
      <w:r w:rsidRPr="00A557BB">
        <w:rPr>
          <w:b/>
          <w:sz w:val="22"/>
          <w:lang w:val="fr-FR"/>
        </w:rPr>
        <w:t>Observations du Secrétariat</w:t>
      </w:r>
    </w:p>
    <w:p w14:paraId="113130CB" w14:textId="29E0D6F7" w:rsidR="00E2565B" w:rsidRPr="00A557BB" w:rsidRDefault="00E2565B" w:rsidP="00E2565B">
      <w:pPr>
        <w:pStyle w:val="Heading1"/>
        <w:rPr>
          <w:lang w:val="fr-FR"/>
        </w:rPr>
      </w:pPr>
      <w:r w:rsidRPr="00A557BB">
        <w:rPr>
          <w:lang w:val="fr-FR"/>
        </w:rPr>
        <w:t>C</w:t>
      </w:r>
      <w:r w:rsidR="00870F31" w:rsidRPr="00A557BB">
        <w:rPr>
          <w:lang w:val="fr-FR"/>
        </w:rPr>
        <w:t xml:space="preserve">onformément à la décision 83/35 </w:t>
      </w:r>
      <w:r w:rsidRPr="00A557BB">
        <w:rPr>
          <w:lang w:val="fr-FR"/>
        </w:rPr>
        <w:t>c), l'ONUDI a présenté le rapport final du projet de démonstration le 11 novembre 2019, soit cinq semaines avant le début de la 84</w:t>
      </w:r>
      <w:r w:rsidRPr="00A557BB">
        <w:rPr>
          <w:vertAlign w:val="superscript"/>
          <w:lang w:val="fr-FR"/>
        </w:rPr>
        <w:t>e</w:t>
      </w:r>
      <w:r w:rsidRPr="00A557BB">
        <w:rPr>
          <w:lang w:val="fr-FR"/>
        </w:rPr>
        <w:t xml:space="preserve"> réunion. Par conséquent, le Secrétariat n’a pas pu examiner le rapport final. Le Secrétariat examinera le rapport et présentera ses conclusions à la 85</w:t>
      </w:r>
      <w:r w:rsidRPr="00A557BB">
        <w:rPr>
          <w:vertAlign w:val="superscript"/>
          <w:lang w:val="fr-FR"/>
        </w:rPr>
        <w:t>e</w:t>
      </w:r>
      <w:r w:rsidRPr="00A557BB">
        <w:rPr>
          <w:lang w:val="fr-FR"/>
        </w:rPr>
        <w:t xml:space="preserve"> réunion.</w:t>
      </w:r>
    </w:p>
    <w:p w14:paraId="272996A4" w14:textId="77777777" w:rsidR="00E2565B" w:rsidRPr="00A557BB" w:rsidRDefault="00E2565B" w:rsidP="00E2565B">
      <w:pPr>
        <w:pStyle w:val="StyleHeader4Para4Left0Firstline0"/>
        <w:numPr>
          <w:ilvl w:val="0"/>
          <w:numId w:val="0"/>
        </w:numPr>
        <w:rPr>
          <w:b/>
          <w:sz w:val="22"/>
          <w:lang w:val="fr-FR"/>
        </w:rPr>
      </w:pPr>
      <w:r w:rsidRPr="00A557BB">
        <w:rPr>
          <w:b/>
          <w:sz w:val="22"/>
          <w:lang w:val="fr-FR"/>
        </w:rPr>
        <w:t xml:space="preserve">Recommandation </w:t>
      </w:r>
    </w:p>
    <w:p w14:paraId="0184E294" w14:textId="77777777" w:rsidR="00E2565B" w:rsidRPr="00A557BB" w:rsidRDefault="00E2565B" w:rsidP="00E2565B">
      <w:pPr>
        <w:pStyle w:val="Heading1"/>
        <w:rPr>
          <w:lang w:val="fr-FR"/>
        </w:rPr>
      </w:pPr>
      <w:r w:rsidRPr="00A557BB">
        <w:rPr>
          <w:lang w:val="fr-FR"/>
        </w:rPr>
        <w:t>Le Comité exécutif pourrait souhaiter prendre note de la soumission par l'ONUDI du rapport final portant sur le projet de démonstration pour l'élimination des HCFC utilisant les HFO comme agents de gonflage dans les applications de mousse pulvérisée à des températures ambiantes élevées en Arabie saoudite, lequel rapport sera examiné et présenté par le Secrétariat à la 85</w:t>
      </w:r>
      <w:r w:rsidRPr="00A557BB">
        <w:rPr>
          <w:vertAlign w:val="superscript"/>
          <w:lang w:val="fr-FR"/>
        </w:rPr>
        <w:t>e</w:t>
      </w:r>
      <w:r w:rsidRPr="00A557BB">
        <w:rPr>
          <w:lang w:val="fr-FR"/>
        </w:rPr>
        <w:t xml:space="preserve"> réunion.</w:t>
      </w:r>
    </w:p>
    <w:p w14:paraId="61F508CD" w14:textId="31A38FA8" w:rsidR="00B455FE" w:rsidRPr="00A557BB" w:rsidRDefault="00B455FE" w:rsidP="00B455FE">
      <w:pPr>
        <w:rPr>
          <w:u w:val="single"/>
          <w:lang w:val="fr-FR"/>
        </w:rPr>
      </w:pPr>
      <w:r w:rsidRPr="00A557BB">
        <w:rPr>
          <w:u w:val="single"/>
          <w:lang w:val="fr-FR"/>
        </w:rPr>
        <w:t xml:space="preserve"> Région de l'Asie de l'Ouest : Projet de démonstration sur la promotion des frigorigènes de remplacement dans le secteur de la climatisation dans </w:t>
      </w:r>
      <w:r w:rsidR="001F5768" w:rsidRPr="00A557BB">
        <w:rPr>
          <w:u w:val="single"/>
          <w:lang w:val="fr-FR"/>
        </w:rPr>
        <w:t>les pays à haute température ambiante de Asie de l'Ouest (rapport</w:t>
      </w:r>
      <w:r w:rsidRPr="00A557BB">
        <w:rPr>
          <w:u w:val="single"/>
          <w:lang w:val="fr-FR"/>
        </w:rPr>
        <w:t xml:space="preserve"> final)</w:t>
      </w:r>
      <w:r w:rsidRPr="00A557BB">
        <w:rPr>
          <w:lang w:val="fr-FR"/>
        </w:rPr>
        <w:t xml:space="preserve"> (PNUE et ONUDI)</w:t>
      </w:r>
    </w:p>
    <w:p w14:paraId="105F93CB" w14:textId="77777777" w:rsidR="00B455FE" w:rsidRPr="00A557BB" w:rsidRDefault="00B455FE" w:rsidP="00B455FE">
      <w:pPr>
        <w:rPr>
          <w:lang w:val="fr-FR"/>
        </w:rPr>
      </w:pPr>
    </w:p>
    <w:p w14:paraId="3DB5803A" w14:textId="77777777" w:rsidR="00B455FE" w:rsidRPr="00A557BB" w:rsidRDefault="00B455FE" w:rsidP="00B455FE">
      <w:pPr>
        <w:rPr>
          <w:b/>
          <w:lang w:val="fr-FR"/>
        </w:rPr>
      </w:pPr>
      <w:r w:rsidRPr="00A557BB">
        <w:rPr>
          <w:b/>
          <w:lang w:val="fr-FR"/>
        </w:rPr>
        <w:t>Historique</w:t>
      </w:r>
    </w:p>
    <w:p w14:paraId="770514B9" w14:textId="77777777" w:rsidR="00B455FE" w:rsidRPr="00A557BB" w:rsidRDefault="00B455FE" w:rsidP="00B455FE">
      <w:pPr>
        <w:rPr>
          <w:lang w:val="fr-FR"/>
        </w:rPr>
      </w:pPr>
    </w:p>
    <w:p w14:paraId="18F8ED61" w14:textId="2E2487F5" w:rsidR="00B455FE" w:rsidRPr="00A557BB" w:rsidRDefault="00B455FE" w:rsidP="00B455FE">
      <w:pPr>
        <w:pStyle w:val="Heading1"/>
        <w:rPr>
          <w:lang w:val="fr-FR"/>
        </w:rPr>
      </w:pPr>
      <w:r w:rsidRPr="00A557BB">
        <w:rPr>
          <w:lang w:val="fr-FR"/>
        </w:rPr>
        <w:t>À la 76</w:t>
      </w:r>
      <w:r w:rsidRPr="00A557BB">
        <w:rPr>
          <w:vertAlign w:val="superscript"/>
          <w:lang w:val="fr-FR"/>
        </w:rPr>
        <w:t>e</w:t>
      </w:r>
      <w:r w:rsidRPr="00A557BB">
        <w:rPr>
          <w:lang w:val="fr-FR"/>
        </w:rPr>
        <w:t xml:space="preserve"> réunion, le Comité exécutif a approuvé un projet de démonstration sur la </w:t>
      </w:r>
      <w:r w:rsidR="00614272" w:rsidRPr="00A557BB">
        <w:rPr>
          <w:lang w:val="fr-FR"/>
        </w:rPr>
        <w:t>promotion</w:t>
      </w:r>
      <w:r w:rsidRPr="00A557BB">
        <w:rPr>
          <w:lang w:val="fr-FR"/>
        </w:rPr>
        <w:t xml:space="preserve"> des frigorigènes de remplacement en climatisation pour les pays à haute température ambiante en Asie occidentale.</w:t>
      </w:r>
      <w:r w:rsidR="00870F31" w:rsidRPr="00A557BB">
        <w:rPr>
          <w:vertAlign w:val="superscript"/>
          <w:lang w:val="fr-FR"/>
        </w:rPr>
        <w:t xml:space="preserve"> </w:t>
      </w:r>
      <w:r w:rsidR="00870F31" w:rsidRPr="00A557BB">
        <w:rPr>
          <w:vertAlign w:val="superscript"/>
          <w:lang w:val="fr-FR"/>
        </w:rPr>
        <w:footnoteReference w:id="27"/>
      </w:r>
      <w:r w:rsidRPr="00A557BB">
        <w:rPr>
          <w:lang w:val="fr-FR"/>
        </w:rPr>
        <w:t xml:space="preserve"> Mieux connu sous le nom de PRAHA-II, ce projet visait à tirer parti des avancées du projet de démonstration PRAHA-I, en renforçant les capacités des parties prenantes à utiliser des frigorigènes à </w:t>
      </w:r>
      <w:r w:rsidR="00205581" w:rsidRPr="00A557BB">
        <w:rPr>
          <w:lang w:val="fr-FR"/>
        </w:rPr>
        <w:t>faible</w:t>
      </w:r>
      <w:r w:rsidRPr="00A557BB">
        <w:rPr>
          <w:lang w:val="fr-FR"/>
        </w:rPr>
        <w:t xml:space="preserve"> PRP dans le secteur de la </w:t>
      </w:r>
      <w:r w:rsidR="00614272" w:rsidRPr="00A557BB">
        <w:rPr>
          <w:lang w:val="fr-FR"/>
        </w:rPr>
        <w:t>climatisation</w:t>
      </w:r>
      <w:r w:rsidRPr="00A557BB">
        <w:rPr>
          <w:lang w:val="fr-FR"/>
        </w:rPr>
        <w:t xml:space="preserve"> pour les pays à température ambiante élevée.</w:t>
      </w:r>
    </w:p>
    <w:p w14:paraId="20B75292" w14:textId="77777777" w:rsidR="00B455FE" w:rsidRPr="00A557BB" w:rsidRDefault="00B455FE" w:rsidP="00B455FE">
      <w:pPr>
        <w:pStyle w:val="Heading1"/>
        <w:rPr>
          <w:lang w:val="fr-FR"/>
        </w:rPr>
      </w:pPr>
      <w:r w:rsidRPr="00A557BB">
        <w:rPr>
          <w:lang w:val="fr-FR"/>
        </w:rPr>
        <w:t>À la 83</w:t>
      </w:r>
      <w:r w:rsidRPr="00A557BB">
        <w:rPr>
          <w:vertAlign w:val="superscript"/>
          <w:lang w:val="fr-FR"/>
        </w:rPr>
        <w:t>e</w:t>
      </w:r>
      <w:r w:rsidRPr="00A557BB">
        <w:rPr>
          <w:lang w:val="fr-FR"/>
        </w:rPr>
        <w:t xml:space="preserve"> réunion, un rapport périodique portant sur le projet de démonstration PRAHA-II a été présenté. Notant les progrès réalisés à ce jour, et les bénéfices que les pays à température ambiante élevée pourraient probablement en retirer, le Comité exécutif a notamment décidé de repousser, à titre exceptionnel, la date d'achèvement du projet au 15 novembre 2019, de demander au PNUE et à l'ONUDI de soumettre leur rapport final au plus tard à la 84</w:t>
      </w:r>
      <w:r w:rsidRPr="00A557BB">
        <w:rPr>
          <w:vertAlign w:val="superscript"/>
          <w:lang w:val="fr-FR"/>
        </w:rPr>
        <w:t>e</w:t>
      </w:r>
      <w:r w:rsidRPr="00A557BB">
        <w:rPr>
          <w:lang w:val="fr-FR"/>
        </w:rPr>
        <w:t xml:space="preserve"> réunion et de restituer tous les soldes restants avant la 85</w:t>
      </w:r>
      <w:r w:rsidRPr="00A557BB">
        <w:rPr>
          <w:vertAlign w:val="superscript"/>
          <w:lang w:val="fr-FR"/>
        </w:rPr>
        <w:t>e</w:t>
      </w:r>
      <w:r w:rsidRPr="00A557BB">
        <w:rPr>
          <w:lang w:val="fr-FR"/>
        </w:rPr>
        <w:t xml:space="preserve"> réunion (décision 83/27).</w:t>
      </w:r>
    </w:p>
    <w:p w14:paraId="33E76496" w14:textId="77777777" w:rsidR="00B455FE" w:rsidRPr="00A557BB" w:rsidRDefault="00B455FE" w:rsidP="00D11B6F">
      <w:pPr>
        <w:keepNext/>
        <w:keepLines/>
        <w:rPr>
          <w:b/>
          <w:lang w:val="fr-FR"/>
        </w:rPr>
      </w:pPr>
      <w:r w:rsidRPr="00A557BB">
        <w:rPr>
          <w:b/>
          <w:lang w:val="fr-FR"/>
        </w:rPr>
        <w:lastRenderedPageBreak/>
        <w:t>Observations du Secrétariat</w:t>
      </w:r>
    </w:p>
    <w:p w14:paraId="4F0A9526" w14:textId="77777777" w:rsidR="00B455FE" w:rsidRPr="00A557BB" w:rsidRDefault="00B455FE" w:rsidP="00D11B6F">
      <w:pPr>
        <w:keepNext/>
        <w:keepLines/>
        <w:rPr>
          <w:lang w:val="fr-FR"/>
        </w:rPr>
      </w:pPr>
    </w:p>
    <w:p w14:paraId="6408B7A8" w14:textId="77777777" w:rsidR="00B455FE" w:rsidRPr="00A557BB" w:rsidRDefault="00B455FE" w:rsidP="00D11B6F">
      <w:pPr>
        <w:keepNext/>
        <w:keepLines/>
        <w:numPr>
          <w:ilvl w:val="0"/>
          <w:numId w:val="1"/>
        </w:numPr>
        <w:tabs>
          <w:tab w:val="clear" w:pos="0"/>
          <w:tab w:val="num" w:pos="710"/>
        </w:tabs>
        <w:rPr>
          <w:lang w:val="fr-FR"/>
        </w:rPr>
      </w:pPr>
      <w:r w:rsidRPr="00A557BB">
        <w:rPr>
          <w:lang w:val="fr-FR"/>
        </w:rPr>
        <w:t>Conformément à la décision 83/27, le PNUE et l'ONUDI ont soumis le rapport final du projet le 24 octobre 2019. Tout en prenant note avec satisfaction du rapport final, le Secrétariat n’a pas été en mesure de l’examiner dans le peu de temps disponible. Le Secrétariat examinera le rapport et présentera ses conclusions à la 85</w:t>
      </w:r>
      <w:r w:rsidRPr="00A557BB">
        <w:rPr>
          <w:vertAlign w:val="superscript"/>
          <w:lang w:val="fr-FR"/>
        </w:rPr>
        <w:t>e</w:t>
      </w:r>
      <w:r w:rsidRPr="00A557BB">
        <w:rPr>
          <w:lang w:val="fr-FR"/>
        </w:rPr>
        <w:t xml:space="preserve"> réunion.</w:t>
      </w:r>
    </w:p>
    <w:p w14:paraId="3D7A949A" w14:textId="77777777" w:rsidR="00B455FE" w:rsidRPr="00A557BB" w:rsidRDefault="00B455FE" w:rsidP="00B455FE">
      <w:pPr>
        <w:rPr>
          <w:lang w:val="fr-FR"/>
        </w:rPr>
      </w:pPr>
    </w:p>
    <w:p w14:paraId="22A3B95B" w14:textId="77777777" w:rsidR="00B455FE" w:rsidRPr="00A557BB" w:rsidRDefault="00B455FE" w:rsidP="00B455FE">
      <w:pPr>
        <w:spacing w:after="240"/>
        <w:outlineLvl w:val="0"/>
        <w:rPr>
          <w:b/>
          <w:lang w:val="fr-FR"/>
        </w:rPr>
      </w:pPr>
      <w:r w:rsidRPr="00A557BB">
        <w:rPr>
          <w:b/>
          <w:lang w:val="fr-FR"/>
        </w:rPr>
        <w:t xml:space="preserve">Recommandation </w:t>
      </w:r>
    </w:p>
    <w:p w14:paraId="7E0A90A0" w14:textId="64391CCA" w:rsidR="00B455FE" w:rsidRPr="00A557BB" w:rsidRDefault="00B455FE" w:rsidP="00B455FE">
      <w:pPr>
        <w:numPr>
          <w:ilvl w:val="0"/>
          <w:numId w:val="1"/>
        </w:numPr>
        <w:tabs>
          <w:tab w:val="clear" w:pos="0"/>
          <w:tab w:val="num" w:pos="710"/>
        </w:tabs>
        <w:rPr>
          <w:lang w:val="fr-FR"/>
        </w:rPr>
      </w:pPr>
      <w:r w:rsidRPr="00A557BB">
        <w:rPr>
          <w:lang w:val="fr-FR"/>
        </w:rPr>
        <w:t>Le Comité exécutif pourrait prendre note de la soumission par le PNUE et l'ONUDI de leur rapport final sur le projet de démonstration sur la promotion de frigorigènes de remplacem</w:t>
      </w:r>
      <w:r w:rsidR="00870F31" w:rsidRPr="00A557BB">
        <w:rPr>
          <w:lang w:val="fr-FR"/>
        </w:rPr>
        <w:t xml:space="preserve">ent pour la climatisation dans </w:t>
      </w:r>
      <w:r w:rsidRPr="00A557BB">
        <w:rPr>
          <w:lang w:val="fr-FR"/>
        </w:rPr>
        <w:t>les pays à haute température ambiante en Asie occidentale (PRAHA-II), qui sera examiné et présenté par le Secrétariat à la 85</w:t>
      </w:r>
      <w:r w:rsidRPr="00A557BB">
        <w:rPr>
          <w:vertAlign w:val="superscript"/>
          <w:lang w:val="fr-FR"/>
        </w:rPr>
        <w:t>e</w:t>
      </w:r>
      <w:r w:rsidRPr="00A557BB">
        <w:rPr>
          <w:lang w:val="fr-FR"/>
        </w:rPr>
        <w:t xml:space="preserve"> réunion.</w:t>
      </w:r>
    </w:p>
    <w:p w14:paraId="765B4FA5" w14:textId="77777777" w:rsidR="00B455FE" w:rsidRPr="00A557BB" w:rsidRDefault="00B455FE" w:rsidP="00B455FE">
      <w:pPr>
        <w:rPr>
          <w:lang w:val="fr-FR"/>
        </w:rPr>
      </w:pPr>
    </w:p>
    <w:p w14:paraId="280B6128" w14:textId="7E125901" w:rsidR="00B55472" w:rsidRPr="00A557BB" w:rsidRDefault="00B55472" w:rsidP="00B55472">
      <w:pPr>
        <w:rPr>
          <w:lang w:val="fr-FR"/>
        </w:rPr>
      </w:pPr>
      <w:r w:rsidRPr="00A557BB">
        <w:rPr>
          <w:u w:val="single"/>
          <w:lang w:val="fr-FR"/>
        </w:rPr>
        <w:t xml:space="preserve">Échelle mondiale (régions Afrique de l'Est et Caraïbes) : Projet de démonstration sur la qualité des frigorigènes, le confinement et l'introduction de solutions de remplacement à faible PRP dans le secteur de la réfrigération et de la climatisation (rapport périodique) </w:t>
      </w:r>
      <w:r w:rsidRPr="00A557BB">
        <w:rPr>
          <w:lang w:val="fr-FR"/>
        </w:rPr>
        <w:t xml:space="preserve"> (ONUDI)</w:t>
      </w:r>
    </w:p>
    <w:p w14:paraId="579B0AE1" w14:textId="77777777" w:rsidR="00B55472" w:rsidRPr="00A557BB" w:rsidRDefault="00B55472" w:rsidP="00B55472">
      <w:pPr>
        <w:rPr>
          <w:lang w:val="fr-FR"/>
        </w:rPr>
      </w:pPr>
    </w:p>
    <w:p w14:paraId="71FD4149" w14:textId="77777777" w:rsidR="00B55472" w:rsidRPr="00A557BB" w:rsidRDefault="00B55472" w:rsidP="00B55472">
      <w:pPr>
        <w:rPr>
          <w:b/>
          <w:lang w:val="fr-FR"/>
        </w:rPr>
      </w:pPr>
      <w:r w:rsidRPr="00A557BB">
        <w:rPr>
          <w:b/>
          <w:lang w:val="fr-FR"/>
        </w:rPr>
        <w:t>Historique</w:t>
      </w:r>
    </w:p>
    <w:p w14:paraId="1BBE8EC6" w14:textId="77777777" w:rsidR="00B55472" w:rsidRPr="00A557BB" w:rsidRDefault="00B55472" w:rsidP="00B55472">
      <w:pPr>
        <w:rPr>
          <w:lang w:val="fr-FR"/>
        </w:rPr>
      </w:pPr>
    </w:p>
    <w:p w14:paraId="78780224" w14:textId="20ED8396" w:rsidR="00B55472" w:rsidRPr="00A557BB" w:rsidRDefault="00B55472" w:rsidP="00B55472">
      <w:pPr>
        <w:pStyle w:val="Heading1"/>
        <w:rPr>
          <w:lang w:val="fr-FR"/>
        </w:rPr>
      </w:pPr>
      <w:r w:rsidRPr="00A557BB">
        <w:rPr>
          <w:lang w:val="fr-FR"/>
        </w:rPr>
        <w:t>À la 76</w:t>
      </w:r>
      <w:r w:rsidRPr="00A557BB">
        <w:rPr>
          <w:vertAlign w:val="superscript"/>
          <w:lang w:val="fr-FR"/>
        </w:rPr>
        <w:t>e</w:t>
      </w:r>
      <w:r w:rsidRPr="00A557BB">
        <w:rPr>
          <w:lang w:val="fr-FR"/>
        </w:rPr>
        <w:t xml:space="preserve"> réunion, le Comité exécutif a décidé d’approuver le projet pilote dans les régions de l’Afrique de l’Est et des Caraïbes sur la qualité des frigorigènes, le confinement et l’introduction de </w:t>
      </w:r>
      <w:r w:rsidR="00E748BB" w:rsidRPr="00A557BB">
        <w:rPr>
          <w:lang w:val="fr-FR"/>
        </w:rPr>
        <w:t>solutions de</w:t>
      </w:r>
      <w:r w:rsidRPr="00A557BB">
        <w:rPr>
          <w:lang w:val="fr-FR"/>
        </w:rPr>
        <w:t xml:space="preserve"> remplacement à faible PRP d’un montant de 4 250 650 $US, soit 50 000 $US, coûts d'appui d'agence en sus à hauteur de 56 500 $US pour le PNUE et 345 000 $US, coûts d'appui d'agence en sus à hauteur de 24 150 $US pour l'ONUDI, conformément à la décision 72/40 (décision 76/36).</w:t>
      </w:r>
    </w:p>
    <w:p w14:paraId="2EF71278" w14:textId="77777777" w:rsidR="00B55472" w:rsidRPr="00A557BB" w:rsidRDefault="00B55472" w:rsidP="00B55472">
      <w:pPr>
        <w:pStyle w:val="Heading1"/>
        <w:rPr>
          <w:lang w:val="fr-FR"/>
        </w:rPr>
      </w:pPr>
      <w:r w:rsidRPr="00A557BB">
        <w:rPr>
          <w:lang w:val="fr-FR"/>
        </w:rPr>
        <w:t>À la 82</w:t>
      </w:r>
      <w:r w:rsidRPr="00A557BB">
        <w:rPr>
          <w:vertAlign w:val="superscript"/>
          <w:lang w:val="fr-FR"/>
        </w:rPr>
        <w:t>e</w:t>
      </w:r>
      <w:r w:rsidRPr="00A557BB">
        <w:rPr>
          <w:lang w:val="fr-FR"/>
        </w:rPr>
        <w:t xml:space="preserve"> réunion, le Comité exécutif a décidé d'annuler la composante mise en œuvre par le PNUE et de prolonger jusqu'au 31 juillet 2019 le délai d'achèvement du projet pour la composante mise en œuvre par l'ONUDI, étant entendu qu'aucune prolongation supplémentaire ne serait demandée, et de demander à l'ONUDI soumettre son rapport final à la 84</w:t>
      </w:r>
      <w:r w:rsidRPr="00A557BB">
        <w:rPr>
          <w:vertAlign w:val="superscript"/>
          <w:lang w:val="fr-FR"/>
        </w:rPr>
        <w:t>e</w:t>
      </w:r>
      <w:r w:rsidRPr="00A557BB">
        <w:rPr>
          <w:lang w:val="fr-FR"/>
        </w:rPr>
        <w:t xml:space="preserve"> réunion au plus tard (décision 82/22 c)). Le financement total pour le PNUE (56 500 $US) a été retourné à la 82</w:t>
      </w:r>
      <w:r w:rsidRPr="00A557BB">
        <w:rPr>
          <w:vertAlign w:val="superscript"/>
          <w:lang w:val="fr-FR"/>
        </w:rPr>
        <w:t>e</w:t>
      </w:r>
      <w:r w:rsidRPr="00A557BB">
        <w:rPr>
          <w:lang w:val="fr-FR"/>
        </w:rPr>
        <w:t xml:space="preserve"> réunion.</w:t>
      </w:r>
    </w:p>
    <w:p w14:paraId="578C54F1" w14:textId="77777777" w:rsidR="00B55472" w:rsidRPr="00A557BB" w:rsidRDefault="00B55472" w:rsidP="00667B8F">
      <w:pPr>
        <w:pStyle w:val="Heading1"/>
        <w:rPr>
          <w:lang w:val="fr-FR"/>
        </w:rPr>
      </w:pPr>
      <w:r w:rsidRPr="00A557BB">
        <w:rPr>
          <w:lang w:val="fr-FR"/>
        </w:rPr>
        <w:t>Conformément à la décision 82/22 c), l’ONUDI a présenté un rapport sur l’état d’avancement du projet de démonstration dans les régions de l’Afrique de l’Est et des Caraïbes.</w:t>
      </w:r>
    </w:p>
    <w:p w14:paraId="3DA3891A" w14:textId="77777777" w:rsidR="00B55472" w:rsidRPr="00A557BB" w:rsidRDefault="00B55472" w:rsidP="00B55472">
      <w:pPr>
        <w:pStyle w:val="Heading1"/>
        <w:numPr>
          <w:ilvl w:val="0"/>
          <w:numId w:val="0"/>
        </w:numPr>
        <w:rPr>
          <w:b/>
          <w:kern w:val="36"/>
          <w:lang w:val="fr-FR"/>
        </w:rPr>
      </w:pPr>
      <w:r w:rsidRPr="00A557BB">
        <w:rPr>
          <w:b/>
          <w:kern w:val="36"/>
          <w:lang w:val="fr-FR"/>
        </w:rPr>
        <w:t>Rapport périodique</w:t>
      </w:r>
    </w:p>
    <w:p w14:paraId="45CF8555" w14:textId="77777777" w:rsidR="00B55472" w:rsidRPr="00A557BB" w:rsidRDefault="00B55472" w:rsidP="00B55472">
      <w:pPr>
        <w:pStyle w:val="Heading1"/>
        <w:rPr>
          <w:lang w:val="fr-FR"/>
        </w:rPr>
      </w:pPr>
      <w:r w:rsidRPr="00A557BB">
        <w:rPr>
          <w:lang w:val="fr-FR"/>
        </w:rPr>
        <w:t xml:space="preserve">À partir des informations fournies dans le rapport d'avancement et des informations supplémentaires recueillies au cours de discussions avec l'ONUDI, le Secrétariat a noté que le projet avait été achevé au 31 juin 2019, conformément à la décision 82/22 (c) (ii). </w:t>
      </w:r>
    </w:p>
    <w:p w14:paraId="453AF461" w14:textId="77777777" w:rsidR="00B55472" w:rsidRPr="00A557BB" w:rsidRDefault="00B55472" w:rsidP="00B55472">
      <w:pPr>
        <w:pStyle w:val="Heading1"/>
        <w:rPr>
          <w:lang w:val="fr-FR"/>
        </w:rPr>
      </w:pPr>
      <w:r w:rsidRPr="00A557BB">
        <w:rPr>
          <w:lang w:val="fr-FR"/>
        </w:rPr>
        <w:t xml:space="preserve">La composante du projet relative à la région africaine couvrant l’Érythrée, le Kenya, le Rwanda, la République-Unie de Tanzanie et la Zambie </w:t>
      </w:r>
      <w:r w:rsidRPr="00A557BB">
        <w:rPr>
          <w:kern w:val="36"/>
          <w:lang w:val="fr-FR"/>
        </w:rPr>
        <w:t>visait à assurer la qualité des frigorigènes disponibles sur le marché.</w:t>
      </w:r>
      <w:r w:rsidRPr="00A557BB">
        <w:rPr>
          <w:lang w:val="fr-FR"/>
        </w:rPr>
        <w:t xml:space="preserve"> Compte tenu de sa situation géographique, de sa taille et de sa population plus importante, la République-Unie de Tanzanie a été choisie comme pays pilote pour la mise en œuvre d'activités techniques spécifiques. </w:t>
      </w:r>
    </w:p>
    <w:p w14:paraId="01BE19AA" w14:textId="77777777" w:rsidR="00B55472" w:rsidRPr="00A557BB" w:rsidRDefault="00B55472" w:rsidP="00B55472">
      <w:pPr>
        <w:pStyle w:val="Heading1"/>
        <w:rPr>
          <w:kern w:val="36"/>
          <w:lang w:val="fr-FR"/>
        </w:rPr>
      </w:pPr>
      <w:r w:rsidRPr="00A557BB">
        <w:rPr>
          <w:lang w:val="fr-FR"/>
        </w:rPr>
        <w:t xml:space="preserve">Le projet a mené des enquêtes et organisé un atelier de formation de formateurs à l'intention de techniciens en réfrigération, d'agents des douanes, d'inspecteurs de l'environnement et d'importateurs. Le projet a atteint son objectif qui consistait à faire le point sur les frigorigènes contrefaits dans la région. Il a également identifié les lacunes qui conduisent à l'entrée sur le marché de frigorigènes contrefaits dans la région. Les parties prenantes ont été formées aux aspects techniques de l'identification des frigorigènes contrefaits, de la mesure des paramètres de performance à l'aide de frigorigènes purs et contrefaits, ainsi </w:t>
      </w:r>
      <w:r w:rsidRPr="00A557BB">
        <w:rPr>
          <w:lang w:val="fr-FR"/>
        </w:rPr>
        <w:lastRenderedPageBreak/>
        <w:t>que de l'utilisation d'analyseurs de frigorigènes. Le projet a renforcé les centres de test de frigorigènes en fournissant des outils et du matériel, et a sensibilisé l'opinion à l'utilisation de frigorigènes contrefaits, en tenant compte des erreurs d'étiquetage, des conséquences de l'utilisation de frigorigènes contrefaits et des risques que ceux-ci représentent pour la sécurité.</w:t>
      </w:r>
    </w:p>
    <w:p w14:paraId="74EB3BDD" w14:textId="2D602BF7" w:rsidR="00B55472" w:rsidRPr="00A557BB" w:rsidRDefault="00B55472" w:rsidP="00B55472">
      <w:pPr>
        <w:pStyle w:val="Heading1"/>
        <w:rPr>
          <w:lang w:val="fr-FR"/>
        </w:rPr>
      </w:pPr>
      <w:r w:rsidRPr="00A557BB">
        <w:rPr>
          <w:lang w:val="fr-FR"/>
        </w:rPr>
        <w:t>La composante du projet concernant les Caraïbes, couvrant les Bahamas, la Grenade, Sainte-Lucie, Saint-Vincent-et-les Grenadines et le Suriname, visait à faciliter l'introduction de frigorigènes à</w:t>
      </w:r>
      <w:r w:rsidR="00870F31" w:rsidRPr="00A557BB">
        <w:rPr>
          <w:lang w:val="fr-FR"/>
        </w:rPr>
        <w:t xml:space="preserve"> faible PRP dans le secteur de </w:t>
      </w:r>
      <w:r w:rsidRPr="00A557BB">
        <w:rPr>
          <w:lang w:val="fr-FR"/>
        </w:rPr>
        <w:t>l'entretien en renforçant l'expertise des techniciens et en formant des formateurs spécialisés, en mettant à niveau les programmes de formation dans les centres de formation professionnelle, en fournissant des équipements de base dans les centres de formation régionaux et en fournissant des informations aux part</w:t>
      </w:r>
      <w:r w:rsidR="00870F31" w:rsidRPr="00A557BB">
        <w:rPr>
          <w:lang w:val="fr-FR"/>
        </w:rPr>
        <w:t xml:space="preserve">ies prenantes sur les derniers </w:t>
      </w:r>
      <w:r w:rsidRPr="00A557BB">
        <w:rPr>
          <w:lang w:val="fr-FR"/>
        </w:rPr>
        <w:t xml:space="preserve">équipements à HC disponibles sur le marché. </w:t>
      </w:r>
    </w:p>
    <w:p w14:paraId="7F647476" w14:textId="5B4E1B2D" w:rsidR="00B55472" w:rsidRPr="00A557BB" w:rsidRDefault="00B55472" w:rsidP="00B55472">
      <w:pPr>
        <w:pStyle w:val="Heading1"/>
        <w:rPr>
          <w:lang w:val="fr-FR"/>
        </w:rPr>
      </w:pPr>
      <w:r w:rsidRPr="00A557BB">
        <w:rPr>
          <w:lang w:val="fr-FR"/>
        </w:rPr>
        <w:t>Les activités mises en œuvre comprenaient notamment les suivantes : l'organisation d'un atelier régional à l'intention des décideurs et des concepteurs de programmes d'études réunissant des représentants de l'UNO et des prestataires de formation</w:t>
      </w:r>
      <w:r w:rsidR="00870F31" w:rsidRPr="00A557BB">
        <w:rPr>
          <w:lang w:val="fr-FR"/>
        </w:rPr>
        <w:t> ;</w:t>
      </w:r>
      <w:r w:rsidRPr="00A557BB">
        <w:rPr>
          <w:lang w:val="fr-FR"/>
        </w:rPr>
        <w:t xml:space="preserve"> la dotation du centre régional de formati</w:t>
      </w:r>
      <w:r w:rsidR="00870F31" w:rsidRPr="00A557BB">
        <w:rPr>
          <w:lang w:val="fr-FR"/>
        </w:rPr>
        <w:t>on de la Grenade d’outils et d’</w:t>
      </w:r>
      <w:r w:rsidRPr="00A557BB">
        <w:rPr>
          <w:lang w:val="fr-FR"/>
        </w:rPr>
        <w:t>équipements adaptés aux frigorig</w:t>
      </w:r>
      <w:r w:rsidR="00870F31" w:rsidRPr="00A557BB">
        <w:rPr>
          <w:lang w:val="fr-FR"/>
        </w:rPr>
        <w:t>ènes inflammables à faible PRP ;</w:t>
      </w:r>
      <w:r w:rsidRPr="00A557BB">
        <w:rPr>
          <w:lang w:val="fr-FR"/>
        </w:rPr>
        <w:t xml:space="preserve"> l'organisation d'un atelier régional de formation de formateurs à la Grenade, où les participants ont été formés aux aspects théoriques de l'entretien des équipements de réfrigération, y compris une formation à la manipulation sans danger de</w:t>
      </w:r>
      <w:r w:rsidR="00870F31" w:rsidRPr="00A557BB">
        <w:rPr>
          <w:lang w:val="fr-FR"/>
        </w:rPr>
        <w:t>s frigorigènes de remplacement ;</w:t>
      </w:r>
      <w:r w:rsidRPr="00A557BB">
        <w:rPr>
          <w:lang w:val="fr-FR"/>
        </w:rPr>
        <w:t xml:space="preserve"> la conception d'un programme régional de formation et de certification garantissant que seuls des techniciens qualifiés manipulent et entretiennent le matériel et les frigorigènes inflammables ; la livraison de deux climatiseurs à base de R-290 dans quatre pays ; et la tenue de la réunion </w:t>
      </w:r>
      <w:r w:rsidR="00870F31" w:rsidRPr="00A557BB">
        <w:rPr>
          <w:lang w:val="fr-FR"/>
        </w:rPr>
        <w:t xml:space="preserve">du groupe d'experts régionaux, dans </w:t>
      </w:r>
      <w:r w:rsidRPr="00A557BB">
        <w:rPr>
          <w:lang w:val="fr-FR"/>
        </w:rPr>
        <w:t xml:space="preserve">la foulée de la réunion des responsables de l'ozone </w:t>
      </w:r>
      <w:r w:rsidR="00870F31" w:rsidRPr="00A557BB">
        <w:rPr>
          <w:lang w:val="fr-FR"/>
        </w:rPr>
        <w:t xml:space="preserve">tenue </w:t>
      </w:r>
      <w:r w:rsidRPr="00A557BB">
        <w:rPr>
          <w:lang w:val="fr-FR"/>
        </w:rPr>
        <w:t xml:space="preserve">au Suriname en octobre 2019. </w:t>
      </w:r>
    </w:p>
    <w:p w14:paraId="4BD4C848" w14:textId="77777777" w:rsidR="00B55472" w:rsidRPr="00A557BB" w:rsidRDefault="00A85FDC" w:rsidP="00B55472">
      <w:pPr>
        <w:rPr>
          <w:b/>
          <w:lang w:val="fr-FR"/>
        </w:rPr>
      </w:pPr>
      <w:r w:rsidRPr="00A557BB">
        <w:rPr>
          <w:b/>
          <w:lang w:val="fr-FR"/>
        </w:rPr>
        <w:t>Observations du Secrétariat</w:t>
      </w:r>
    </w:p>
    <w:p w14:paraId="3D143DE9" w14:textId="77777777" w:rsidR="00B55472" w:rsidRPr="00A557BB" w:rsidRDefault="00B55472" w:rsidP="00B55472">
      <w:pPr>
        <w:rPr>
          <w:lang w:val="fr-FR"/>
        </w:rPr>
      </w:pPr>
    </w:p>
    <w:p w14:paraId="4C97DF9F" w14:textId="5B577356" w:rsidR="00B55472" w:rsidRPr="00A557BB" w:rsidRDefault="00B55472" w:rsidP="00B55472">
      <w:pPr>
        <w:pStyle w:val="Heading1"/>
        <w:rPr>
          <w:kern w:val="36"/>
          <w:lang w:val="fr-FR"/>
        </w:rPr>
      </w:pPr>
      <w:r w:rsidRPr="00A557BB">
        <w:rPr>
          <w:lang w:val="fr-FR"/>
        </w:rPr>
        <w:t xml:space="preserve">En examinant le rapport périodique, le Secrétariat a noté que des informations supplémentaires étaient nécessaires, </w:t>
      </w:r>
      <w:r w:rsidR="00870F31" w:rsidRPr="00A557BB">
        <w:rPr>
          <w:lang w:val="fr-FR"/>
        </w:rPr>
        <w:t>faisant remarquer</w:t>
      </w:r>
      <w:r w:rsidRPr="00A557BB">
        <w:rPr>
          <w:lang w:val="fr-FR"/>
        </w:rPr>
        <w:t xml:space="preserve"> que le projet était le seul projet de démonstration du secteur de l'entretien en réfrigération approuvé par le Comité exécutif et que les résultats pourraient être utilisés dans tous les pays mettant en œuvre des activités ce secteur. </w:t>
      </w:r>
    </w:p>
    <w:p w14:paraId="796AB7A4" w14:textId="4E16476D" w:rsidR="00B55472" w:rsidRPr="00A557BB" w:rsidRDefault="00B55472" w:rsidP="00B55472">
      <w:pPr>
        <w:pStyle w:val="Heading1"/>
        <w:rPr>
          <w:kern w:val="36"/>
          <w:lang w:val="fr-FR"/>
        </w:rPr>
      </w:pPr>
      <w:r w:rsidRPr="00A557BB">
        <w:rPr>
          <w:lang w:val="fr-FR"/>
        </w:rPr>
        <w:t>Les informations complémentaires requises comprennent notamment : les aspects rel</w:t>
      </w:r>
      <w:r w:rsidR="00870F31" w:rsidRPr="00A557BB">
        <w:rPr>
          <w:lang w:val="fr-FR"/>
        </w:rPr>
        <w:t xml:space="preserve">atifs à la sécurité lors de la </w:t>
      </w:r>
      <w:r w:rsidRPr="00A557BB">
        <w:rPr>
          <w:lang w:val="fr-FR"/>
        </w:rPr>
        <w:t>reconversion d'équipements à base de HCFC-22 aux frigorigènes inflammables ; les résu</w:t>
      </w:r>
      <w:r w:rsidR="00870F31" w:rsidRPr="00A557BB">
        <w:rPr>
          <w:lang w:val="fr-FR"/>
        </w:rPr>
        <w:t>ltats des performances et de l'</w:t>
      </w:r>
      <w:r w:rsidRPr="00A557BB">
        <w:rPr>
          <w:lang w:val="fr-FR"/>
        </w:rPr>
        <w:t xml:space="preserve">entretien des unités fonctionnant avec des HC installées dans chaque pays des Caraïbes ; la réglementation et la normalisation et leurs conséquences sur l'utilisation de la technologie dans ces pays ; des conclusions approfondies sur les outils nécessaires pour utiliser des frigorigènes inflammables, sur la base de l’expérience acquise par le centre régional de la Grenade ; l'importance de la </w:t>
      </w:r>
      <w:r w:rsidRPr="00A557BB">
        <w:rPr>
          <w:kern w:val="36"/>
          <w:lang w:val="fr-FR"/>
        </w:rPr>
        <w:t xml:space="preserve">question des frigorigènes contrefaits pour les UNO dans le contexte du respect du Protocole de Montréal et de l'élimination des substances réglementées ; des leçons </w:t>
      </w:r>
      <w:r w:rsidRPr="00A557BB">
        <w:rPr>
          <w:lang w:val="fr-FR"/>
        </w:rPr>
        <w:t>tirées de l'expérience concernant les mesures pratiques que pourraient adopter les pays pour garantir la qualité des frigorigènes sur les marchés intérieurs ; et les mesures de surveillance et d'</w:t>
      </w:r>
      <w:r w:rsidRPr="00A557BB">
        <w:rPr>
          <w:kern w:val="36"/>
          <w:lang w:val="fr-FR"/>
        </w:rPr>
        <w:t xml:space="preserve">application nécessaires pour réduire le risque d'importation et de vente de </w:t>
      </w:r>
      <w:r w:rsidR="002F5396" w:rsidRPr="00A557BB">
        <w:rPr>
          <w:kern w:val="36"/>
          <w:lang w:val="fr-FR"/>
        </w:rPr>
        <w:t>frigorigènes</w:t>
      </w:r>
      <w:r w:rsidRPr="00A557BB">
        <w:rPr>
          <w:kern w:val="36"/>
          <w:lang w:val="fr-FR"/>
        </w:rPr>
        <w:t xml:space="preserve"> contrefaits sur les marchés locaux.</w:t>
      </w:r>
    </w:p>
    <w:p w14:paraId="0E140977" w14:textId="7D30CDF6" w:rsidR="00B55472" w:rsidRPr="00A557BB" w:rsidRDefault="00B55472" w:rsidP="00B55472">
      <w:pPr>
        <w:pStyle w:val="Heading1"/>
        <w:rPr>
          <w:lang w:val="fr-FR"/>
        </w:rPr>
      </w:pPr>
      <w:r w:rsidRPr="00A557BB">
        <w:rPr>
          <w:lang w:val="fr-FR"/>
        </w:rPr>
        <w:t>Il a également été noté que la plupart des fonds approuvés pour l’ONUDI avai</w:t>
      </w:r>
      <w:r w:rsidR="00BE0480" w:rsidRPr="00A557BB">
        <w:rPr>
          <w:lang w:val="fr-FR"/>
        </w:rPr>
        <w:t xml:space="preserve">ent été décaissés ; cependant, </w:t>
      </w:r>
      <w:r w:rsidRPr="00A557BB">
        <w:rPr>
          <w:lang w:val="fr-FR"/>
        </w:rPr>
        <w:t>un rapport financier détaillé n'était pas inclus dans le rapport.</w:t>
      </w:r>
    </w:p>
    <w:p w14:paraId="31BBC983" w14:textId="77777777" w:rsidR="00B55472" w:rsidRPr="00A557BB" w:rsidRDefault="00B55472" w:rsidP="00B55472">
      <w:pPr>
        <w:pStyle w:val="Heading1"/>
        <w:rPr>
          <w:lang w:val="fr-FR"/>
        </w:rPr>
      </w:pPr>
      <w:r w:rsidRPr="00A557BB">
        <w:rPr>
          <w:lang w:val="fr-FR"/>
        </w:rPr>
        <w:t>Notant qu'il restait peu de temps pour répondre aux observations formulées par le Secrétariat, il a été convenu que l’ONUDI entreprendrait des travaux supplémentaires pour mettre la dernière main à un rapport de synthèse et le soumettre à la 85</w:t>
      </w:r>
      <w:r w:rsidRPr="00A557BB">
        <w:rPr>
          <w:vertAlign w:val="superscript"/>
          <w:lang w:val="fr-FR"/>
        </w:rPr>
        <w:t>e</w:t>
      </w:r>
      <w:r w:rsidRPr="00A557BB">
        <w:rPr>
          <w:lang w:val="fr-FR"/>
        </w:rPr>
        <w:t xml:space="preserve"> réunion. </w:t>
      </w:r>
    </w:p>
    <w:p w14:paraId="0C2E71AC" w14:textId="77777777" w:rsidR="00B55472" w:rsidRPr="00A557BB" w:rsidRDefault="00B55472" w:rsidP="00D11B6F">
      <w:pPr>
        <w:keepNext/>
        <w:keepLines/>
        <w:rPr>
          <w:b/>
          <w:lang w:val="fr-FR"/>
        </w:rPr>
      </w:pPr>
      <w:r w:rsidRPr="00A557BB">
        <w:rPr>
          <w:b/>
          <w:lang w:val="fr-FR"/>
        </w:rPr>
        <w:lastRenderedPageBreak/>
        <w:t>Recommandation</w:t>
      </w:r>
    </w:p>
    <w:p w14:paraId="6CCB871C" w14:textId="77777777" w:rsidR="00B55472" w:rsidRPr="00A557BB" w:rsidRDefault="00B55472" w:rsidP="00D11B6F">
      <w:pPr>
        <w:keepNext/>
        <w:keepLines/>
        <w:rPr>
          <w:lang w:val="fr-FR"/>
        </w:rPr>
      </w:pPr>
    </w:p>
    <w:p w14:paraId="570B1CC7" w14:textId="77777777" w:rsidR="00B55472" w:rsidRPr="00A557BB" w:rsidRDefault="00B55472" w:rsidP="00D11B6F">
      <w:pPr>
        <w:pStyle w:val="Heading1"/>
        <w:keepNext/>
        <w:keepLines/>
        <w:jc w:val="left"/>
        <w:rPr>
          <w:lang w:val="fr-FR"/>
        </w:rPr>
      </w:pPr>
      <w:r w:rsidRPr="00A557BB">
        <w:rPr>
          <w:lang w:val="fr-FR"/>
        </w:rPr>
        <w:t>Le Comité exécutif pourrait souhaiter :</w:t>
      </w:r>
    </w:p>
    <w:p w14:paraId="605BF5CD" w14:textId="3EC09BDB" w:rsidR="00B55472" w:rsidRPr="00A557BB" w:rsidRDefault="00BE0480" w:rsidP="00D11B6F">
      <w:pPr>
        <w:pStyle w:val="Heading2"/>
        <w:keepNext/>
        <w:keepLines/>
        <w:numPr>
          <w:ilvl w:val="1"/>
          <w:numId w:val="1"/>
        </w:numPr>
        <w:rPr>
          <w:lang w:val="fr-FR"/>
        </w:rPr>
      </w:pPr>
      <w:r w:rsidRPr="00A557BB">
        <w:rPr>
          <w:lang w:val="fr-FR"/>
        </w:rPr>
        <w:t>p</w:t>
      </w:r>
      <w:r w:rsidR="00B55472" w:rsidRPr="00A557BB">
        <w:rPr>
          <w:lang w:val="fr-FR"/>
        </w:rPr>
        <w:t xml:space="preserve">rendre note du rapport périodique sur le projet pilote mené à l'échelon mondial (régions de l'Afrique de l'Est et des Caraïbes) sur la qualité des frigorigènes, le confinement </w:t>
      </w:r>
      <w:r w:rsidRPr="00A557BB">
        <w:rPr>
          <w:lang w:val="fr-FR"/>
        </w:rPr>
        <w:t xml:space="preserve">et l'introduction de solutions de remplacement </w:t>
      </w:r>
      <w:r w:rsidR="00B55472" w:rsidRPr="00A557BB">
        <w:rPr>
          <w:lang w:val="fr-FR"/>
        </w:rPr>
        <w:t xml:space="preserve">à </w:t>
      </w:r>
      <w:r w:rsidR="00205581" w:rsidRPr="00A557BB">
        <w:rPr>
          <w:lang w:val="fr-FR"/>
        </w:rPr>
        <w:t>faible</w:t>
      </w:r>
      <w:r w:rsidR="00B55472" w:rsidRPr="00A557BB">
        <w:rPr>
          <w:lang w:val="fr-FR"/>
        </w:rPr>
        <w:t xml:space="preserve"> potentiel de réchauffement de planète dans l</w:t>
      </w:r>
      <w:r w:rsidRPr="00A557BB">
        <w:rPr>
          <w:lang w:val="fr-FR"/>
        </w:rPr>
        <w:t xml:space="preserve">e secteur de la réfrigération </w:t>
      </w:r>
      <w:r w:rsidR="00B55472" w:rsidRPr="00A557BB">
        <w:rPr>
          <w:lang w:val="fr-FR"/>
        </w:rPr>
        <w:t>et de la climatis</w:t>
      </w:r>
      <w:r w:rsidRPr="00A557BB">
        <w:rPr>
          <w:lang w:val="fr-FR"/>
        </w:rPr>
        <w:t>ation, présenté par l'ONUDI ;</w:t>
      </w:r>
    </w:p>
    <w:p w14:paraId="42F1AECF" w14:textId="24ACFE15" w:rsidR="00B55472" w:rsidRPr="00A557BB" w:rsidRDefault="00B55472" w:rsidP="00B55472">
      <w:pPr>
        <w:pStyle w:val="Heading2"/>
        <w:numPr>
          <w:ilvl w:val="1"/>
          <w:numId w:val="1"/>
        </w:numPr>
        <w:rPr>
          <w:lang w:val="fr-FR"/>
        </w:rPr>
      </w:pPr>
      <w:r w:rsidRPr="00A557BB">
        <w:rPr>
          <w:lang w:val="fr-FR"/>
        </w:rPr>
        <w:t xml:space="preserve">noter </w:t>
      </w:r>
      <w:r w:rsidR="00BE0480" w:rsidRPr="00A557BB">
        <w:rPr>
          <w:lang w:val="fr-FR"/>
        </w:rPr>
        <w:t xml:space="preserve">en outre </w:t>
      </w:r>
      <w:r w:rsidRPr="00A557BB">
        <w:rPr>
          <w:lang w:val="fr-FR"/>
        </w:rPr>
        <w:t xml:space="preserve">que l'ONUDI soumettra un rapport final sur </w:t>
      </w:r>
      <w:r w:rsidR="00BE0480" w:rsidRPr="00A557BB">
        <w:rPr>
          <w:lang w:val="fr-FR"/>
        </w:rPr>
        <w:t xml:space="preserve">le projet mentionné à l'alinéa </w:t>
      </w:r>
      <w:r w:rsidRPr="00A557BB">
        <w:rPr>
          <w:lang w:val="fr-FR"/>
        </w:rPr>
        <w:t>a) ci-dessus et le rapport d'achèvement du projet à la 85</w:t>
      </w:r>
      <w:r w:rsidRPr="00A557BB">
        <w:rPr>
          <w:vertAlign w:val="superscript"/>
          <w:lang w:val="fr-FR"/>
        </w:rPr>
        <w:t>e</w:t>
      </w:r>
      <w:r w:rsidRPr="00A557BB">
        <w:rPr>
          <w:lang w:val="fr-FR"/>
        </w:rPr>
        <w:t xml:space="preserve"> réunion et que les soldes inutilisés seraient </w:t>
      </w:r>
      <w:r w:rsidR="00BE0480" w:rsidRPr="00A557BB">
        <w:rPr>
          <w:lang w:val="fr-FR"/>
        </w:rPr>
        <w:t>retournés</w:t>
      </w:r>
      <w:r w:rsidRPr="00A557BB">
        <w:rPr>
          <w:lang w:val="fr-FR"/>
        </w:rPr>
        <w:t xml:space="preserve"> à la 86</w:t>
      </w:r>
      <w:r w:rsidRPr="00A557BB">
        <w:rPr>
          <w:vertAlign w:val="superscript"/>
          <w:lang w:val="fr-FR"/>
        </w:rPr>
        <w:t>e</w:t>
      </w:r>
      <w:r w:rsidRPr="00A557BB">
        <w:rPr>
          <w:lang w:val="fr-FR"/>
        </w:rPr>
        <w:t xml:space="preserve"> réunion.</w:t>
      </w:r>
    </w:p>
    <w:p w14:paraId="4CCC2645" w14:textId="77777777" w:rsidR="00D0637C" w:rsidRPr="00A557BB" w:rsidRDefault="00D0637C" w:rsidP="007C67BD">
      <w:pPr>
        <w:spacing w:after="240"/>
        <w:rPr>
          <w:b/>
          <w:u w:val="single"/>
          <w:lang w:val="fr-FR"/>
        </w:rPr>
      </w:pPr>
      <w:r w:rsidRPr="00A557BB">
        <w:rPr>
          <w:b/>
          <w:u w:val="single"/>
          <w:lang w:val="fr-FR"/>
        </w:rPr>
        <w:t>Bromure de méthyle (BM)</w:t>
      </w:r>
    </w:p>
    <w:p w14:paraId="4EE5148F" w14:textId="77777777" w:rsidR="007C67BD" w:rsidRPr="00A557BB" w:rsidRDefault="001F5768" w:rsidP="007C67BD">
      <w:pPr>
        <w:rPr>
          <w:lang w:val="fr-FR"/>
        </w:rPr>
      </w:pPr>
      <w:r w:rsidRPr="00A557BB">
        <w:rPr>
          <w:u w:val="single"/>
          <w:lang w:val="fr-FR"/>
        </w:rPr>
        <w:t>Argentine: dérogations pour utilisations critiques</w:t>
      </w:r>
      <w:r w:rsidR="007C67BD" w:rsidRPr="00A557BB">
        <w:rPr>
          <w:lang w:val="fr-FR"/>
        </w:rPr>
        <w:t xml:space="preserve"> (ONUDI)</w:t>
      </w:r>
    </w:p>
    <w:p w14:paraId="45529694" w14:textId="77777777" w:rsidR="007C67BD" w:rsidRPr="00A557BB" w:rsidRDefault="007C67BD" w:rsidP="007C67BD">
      <w:pPr>
        <w:rPr>
          <w:lang w:val="fr-FR"/>
        </w:rPr>
      </w:pPr>
    </w:p>
    <w:p w14:paraId="0C67836F" w14:textId="77777777" w:rsidR="007C67BD" w:rsidRPr="00A557BB" w:rsidRDefault="007C67BD" w:rsidP="007C67BD">
      <w:pPr>
        <w:rPr>
          <w:b/>
          <w:lang w:val="fr-FR"/>
        </w:rPr>
      </w:pPr>
      <w:r w:rsidRPr="00A557BB">
        <w:rPr>
          <w:b/>
          <w:lang w:val="fr-FR"/>
        </w:rPr>
        <w:t xml:space="preserve">Historique </w:t>
      </w:r>
    </w:p>
    <w:p w14:paraId="7A2A00BA" w14:textId="77777777" w:rsidR="007C67BD" w:rsidRPr="00A557BB" w:rsidRDefault="007C67BD" w:rsidP="007C67BD">
      <w:pPr>
        <w:rPr>
          <w:lang w:val="fr-FR"/>
        </w:rPr>
      </w:pPr>
    </w:p>
    <w:p w14:paraId="386AE3BF" w14:textId="2C60C1B9" w:rsidR="007C67BD" w:rsidRPr="00A557BB" w:rsidRDefault="007C67BD" w:rsidP="007C67BD">
      <w:pPr>
        <w:pStyle w:val="Heading1"/>
        <w:rPr>
          <w:lang w:val="fr-FR"/>
        </w:rPr>
      </w:pPr>
      <w:r w:rsidRPr="00A557BB">
        <w:rPr>
          <w:lang w:val="fr-FR"/>
        </w:rPr>
        <w:t>À la 30</w:t>
      </w:r>
      <w:r w:rsidRPr="00A557BB">
        <w:rPr>
          <w:vertAlign w:val="superscript"/>
          <w:lang w:val="fr-FR"/>
        </w:rPr>
        <w:t>e</w:t>
      </w:r>
      <w:r w:rsidRPr="00A557BB">
        <w:rPr>
          <w:lang w:val="fr-FR"/>
        </w:rPr>
        <w:t xml:space="preserve"> réunion, le Comité exécutif a approuvé le projet d'élimination du bromure de méthyle dans la production de fraises, de légumes protégés et </w:t>
      </w:r>
      <w:r w:rsidR="00BE0480" w:rsidRPr="00A557BB">
        <w:rPr>
          <w:lang w:val="fr-FR"/>
        </w:rPr>
        <w:t xml:space="preserve">de fleurs coupées en Argentine </w:t>
      </w:r>
      <w:r w:rsidRPr="00A557BB">
        <w:rPr>
          <w:lang w:val="fr-FR"/>
        </w:rPr>
        <w:t>et à la 36</w:t>
      </w:r>
      <w:r w:rsidRPr="00A557BB">
        <w:rPr>
          <w:vertAlign w:val="superscript"/>
          <w:lang w:val="fr-FR"/>
        </w:rPr>
        <w:t>e</w:t>
      </w:r>
      <w:r w:rsidRPr="00A557BB">
        <w:rPr>
          <w:lang w:val="fr-FR"/>
        </w:rPr>
        <w:t xml:space="preserve"> réunion, il a approuvé le projet d'élimination du bromure de méthyle dans la fumigat</w:t>
      </w:r>
      <w:r w:rsidR="00BE0480" w:rsidRPr="00A557BB">
        <w:rPr>
          <w:lang w:val="fr-FR"/>
        </w:rPr>
        <w:t xml:space="preserve">ion des sols, sur les semis de </w:t>
      </w:r>
      <w:r w:rsidRPr="00A557BB">
        <w:rPr>
          <w:lang w:val="fr-FR"/>
        </w:rPr>
        <w:t>tabac et de légumes non protégés. L'Accord passé entre le gouvernement de l'Argentine et le Comité exécutif a été modifié à la 45</w:t>
      </w:r>
      <w:r w:rsidRPr="00A557BB">
        <w:rPr>
          <w:vertAlign w:val="superscript"/>
          <w:lang w:val="fr-FR"/>
        </w:rPr>
        <w:t>e</w:t>
      </w:r>
      <w:r w:rsidRPr="00A557BB">
        <w:rPr>
          <w:lang w:val="fr-FR"/>
        </w:rPr>
        <w:t xml:space="preserve"> réunion. Alors que l'accord excluait explicitement les applications de quarantaine et de traitement préalable à l'expédition (QTPE) des objectifs de consommation nationale de bromure de méthyle, il ne prévoyait pas d'exclusion pour les dérogations pour utilisations critiques que les Parties au Protocole de Montréal pouvaient autoriser, mais il stipulait une consommation nationale de bromure de méthyle nulle d'ici 2015. Les Parties ont accord</w:t>
      </w:r>
      <w:r w:rsidR="00BE0480" w:rsidRPr="00A557BB">
        <w:rPr>
          <w:lang w:val="fr-FR"/>
        </w:rPr>
        <w:t xml:space="preserve">é à l'Argentine des dérogations pour usages critiques  aux </w:t>
      </w:r>
      <w:r w:rsidRPr="00A557BB">
        <w:rPr>
          <w:lang w:val="fr-FR"/>
        </w:rPr>
        <w:t>26</w:t>
      </w:r>
      <w:r w:rsidRPr="00A557BB">
        <w:rPr>
          <w:vertAlign w:val="superscript"/>
          <w:lang w:val="fr-FR"/>
        </w:rPr>
        <w:t>e</w:t>
      </w:r>
      <w:r w:rsidR="00BE0480" w:rsidRPr="00A557BB">
        <w:rPr>
          <w:lang w:val="fr-FR"/>
        </w:rPr>
        <w:t>, 27</w:t>
      </w:r>
      <w:r w:rsidR="00BE0480" w:rsidRPr="00A557BB">
        <w:rPr>
          <w:vertAlign w:val="superscript"/>
          <w:lang w:val="fr-FR"/>
        </w:rPr>
        <w:t>e</w:t>
      </w:r>
      <w:r w:rsidR="00BE0480" w:rsidRPr="00A557BB">
        <w:rPr>
          <w:lang w:val="fr-FR"/>
        </w:rPr>
        <w:t>, 28</w:t>
      </w:r>
      <w:r w:rsidR="00BE0480" w:rsidRPr="00A557BB">
        <w:rPr>
          <w:vertAlign w:val="superscript"/>
          <w:lang w:val="fr-FR"/>
        </w:rPr>
        <w:t>e</w:t>
      </w:r>
      <w:r w:rsidR="00BE0480" w:rsidRPr="00A557BB">
        <w:rPr>
          <w:lang w:val="fr-FR"/>
        </w:rPr>
        <w:t>, 29</w:t>
      </w:r>
      <w:r w:rsidR="00BE0480" w:rsidRPr="00A557BB">
        <w:rPr>
          <w:vertAlign w:val="superscript"/>
          <w:lang w:val="fr-FR"/>
        </w:rPr>
        <w:t>e</w:t>
      </w:r>
      <w:r w:rsidR="00BE0480" w:rsidRPr="00A557BB">
        <w:rPr>
          <w:lang w:val="fr-FR"/>
        </w:rPr>
        <w:t>, 30</w:t>
      </w:r>
      <w:r w:rsidR="00BE0480" w:rsidRPr="00A557BB">
        <w:rPr>
          <w:vertAlign w:val="superscript"/>
          <w:lang w:val="fr-FR"/>
        </w:rPr>
        <w:t>e</w:t>
      </w:r>
      <w:r w:rsidR="00BE0480" w:rsidRPr="00A557BB">
        <w:rPr>
          <w:lang w:val="fr-FR"/>
        </w:rPr>
        <w:t xml:space="preserve"> et 31</w:t>
      </w:r>
      <w:r w:rsidR="00BE0480" w:rsidRPr="00A557BB">
        <w:rPr>
          <w:vertAlign w:val="superscript"/>
          <w:lang w:val="fr-FR"/>
        </w:rPr>
        <w:t>e</w:t>
      </w:r>
      <w:r w:rsidRPr="00A557BB">
        <w:rPr>
          <w:lang w:val="fr-FR"/>
        </w:rPr>
        <w:t xml:space="preserve"> réunions des Parties pour une utilisation en 2015, 2016, 2017, 2018, 2019 et 2020, respectivement. </w:t>
      </w:r>
    </w:p>
    <w:p w14:paraId="77AFD9BF" w14:textId="77777777" w:rsidR="007C67BD" w:rsidRPr="00A557BB" w:rsidRDefault="007C67BD" w:rsidP="007C67BD">
      <w:pPr>
        <w:pStyle w:val="Heading1"/>
        <w:rPr>
          <w:lang w:val="fr-FR"/>
        </w:rPr>
      </w:pPr>
      <w:r w:rsidRPr="00A557BB">
        <w:rPr>
          <w:lang w:val="fr-FR"/>
        </w:rPr>
        <w:t xml:space="preserve">L'Argentine a déclaré une consommation de bromure de méthyle de 46,00 tonnes PAO en 2018, ce qui correspond aux dérogations pour usages critiques accordées pour cette année. En conséquence, le Secrétariat considère que le niveau de consommation de bromure de méthyle pour l'Argentine en 2018 était égal à zéro, ce qui correspond au niveau maximal spécifié dans l'Accord, compte tenu des dérogations pour usages critiques approuvées par les Parties. </w:t>
      </w:r>
    </w:p>
    <w:p w14:paraId="3041598B" w14:textId="77777777" w:rsidR="007C67BD" w:rsidRPr="00A557BB" w:rsidRDefault="00A85FDC" w:rsidP="00E748BB">
      <w:pPr>
        <w:keepNext/>
        <w:rPr>
          <w:b/>
          <w:lang w:val="fr-FR"/>
        </w:rPr>
      </w:pPr>
      <w:r w:rsidRPr="00A557BB">
        <w:rPr>
          <w:b/>
          <w:lang w:val="fr-FR"/>
        </w:rPr>
        <w:t>R</w:t>
      </w:r>
      <w:r w:rsidR="007C67BD" w:rsidRPr="00A557BB">
        <w:rPr>
          <w:b/>
          <w:lang w:val="fr-FR"/>
        </w:rPr>
        <w:t>ecommandation</w:t>
      </w:r>
    </w:p>
    <w:p w14:paraId="5614E55D" w14:textId="77777777" w:rsidR="007C67BD" w:rsidRPr="00A557BB" w:rsidRDefault="007C67BD" w:rsidP="00E748BB">
      <w:pPr>
        <w:keepNext/>
        <w:rPr>
          <w:lang w:val="fr-FR"/>
        </w:rPr>
      </w:pPr>
    </w:p>
    <w:p w14:paraId="7AAFFFA4" w14:textId="77777777" w:rsidR="007C67BD" w:rsidRPr="00A557BB" w:rsidRDefault="007C67BD" w:rsidP="00E748BB">
      <w:pPr>
        <w:pStyle w:val="Heading1"/>
        <w:keepNext/>
        <w:rPr>
          <w:lang w:val="fr-FR"/>
        </w:rPr>
      </w:pPr>
      <w:r w:rsidRPr="00A557BB">
        <w:rPr>
          <w:lang w:val="fr-FR"/>
        </w:rPr>
        <w:t>Le Comité exécutif pourrait souhaiter noter que le niveau de consommation de bromure de méthyle déclaré pour l'Argentine en 2018 était égal à zéro, conformément à l'accord conclu entre le gouvernement et le Comité exécutif, compte tenu des dérogations pour utilisations critiques approuvées par les Parties au Protocole de Montréal.</w:t>
      </w:r>
    </w:p>
    <w:p w14:paraId="4CEF3522" w14:textId="77777777" w:rsidR="00B642D3" w:rsidRPr="00A557BB" w:rsidRDefault="00B642D3" w:rsidP="009036A6">
      <w:pPr>
        <w:spacing w:after="240"/>
        <w:ind w:left="1440" w:hanging="1440"/>
        <w:rPr>
          <w:b/>
          <w:u w:val="single"/>
          <w:lang w:val="fr-FR"/>
        </w:rPr>
      </w:pPr>
      <w:r w:rsidRPr="00A557BB">
        <w:rPr>
          <w:b/>
          <w:u w:val="single"/>
          <w:lang w:val="fr-FR"/>
        </w:rPr>
        <w:t xml:space="preserve">Nouvelle d'agence d'exécution principale </w:t>
      </w:r>
    </w:p>
    <w:p w14:paraId="0FD62B40" w14:textId="77777777" w:rsidR="005A3C39" w:rsidRPr="00A557BB" w:rsidRDefault="005A3C39" w:rsidP="005A3C39">
      <w:pPr>
        <w:spacing w:after="240"/>
        <w:rPr>
          <w:u w:val="single"/>
          <w:lang w:val="fr-FR"/>
        </w:rPr>
      </w:pPr>
      <w:r w:rsidRPr="00A557BB">
        <w:rPr>
          <w:u w:val="single"/>
          <w:lang w:val="fr-FR"/>
        </w:rPr>
        <w:t>Sénégal: Plan de gestion de l'élimination des HCFC (phase I - Demande de changement d'agence d'exécution principale</w:t>
      </w:r>
      <w:r w:rsidRPr="00A557BB">
        <w:rPr>
          <w:lang w:val="fr-FR"/>
        </w:rPr>
        <w:t xml:space="preserve"> (PNUE / ONUDI)</w:t>
      </w:r>
    </w:p>
    <w:p w14:paraId="2645FE2F" w14:textId="47D9183F" w:rsidR="005A3C39" w:rsidRPr="00A557BB" w:rsidRDefault="005A3C39" w:rsidP="005A3C39">
      <w:pPr>
        <w:numPr>
          <w:ilvl w:val="0"/>
          <w:numId w:val="1"/>
        </w:numPr>
        <w:spacing w:after="240"/>
        <w:outlineLvl w:val="0"/>
        <w:rPr>
          <w:lang w:val="fr-FR"/>
        </w:rPr>
      </w:pPr>
      <w:r w:rsidRPr="00A557BB">
        <w:rPr>
          <w:lang w:val="fr-FR"/>
        </w:rPr>
        <w:t>Le gouvernement du Sénégal a envoyé une lettre officielle</w:t>
      </w:r>
      <w:r w:rsidRPr="00A557BB">
        <w:rPr>
          <w:rStyle w:val="FootnoteReference"/>
          <w:lang w:val="fr-FR"/>
        </w:rPr>
        <w:footnoteReference w:id="28"/>
      </w:r>
      <w:r w:rsidRPr="00A557BB">
        <w:rPr>
          <w:lang w:val="fr-FR"/>
        </w:rPr>
        <w:t xml:space="preserve"> au Secrétariat demandant un changement d'agence d'exécution principale pour la phase I du PGEH</w:t>
      </w:r>
      <w:r w:rsidRPr="00A557BB">
        <w:rPr>
          <w:rStyle w:val="FootnoteReference"/>
          <w:lang w:val="fr-FR"/>
        </w:rPr>
        <w:footnoteReference w:id="29"/>
      </w:r>
      <w:r w:rsidR="00BE0480" w:rsidRPr="00A557BB">
        <w:rPr>
          <w:lang w:val="fr-FR"/>
        </w:rPr>
        <w:t xml:space="preserve">, </w:t>
      </w:r>
      <w:r w:rsidRPr="00A557BB">
        <w:rPr>
          <w:lang w:val="fr-FR"/>
        </w:rPr>
        <w:t xml:space="preserve">l'ONUDI </w:t>
      </w:r>
      <w:r w:rsidR="00BE0480" w:rsidRPr="00A557BB">
        <w:rPr>
          <w:lang w:val="fr-FR"/>
        </w:rPr>
        <w:t xml:space="preserve">remplaçant le PNUE, </w:t>
      </w:r>
      <w:r w:rsidR="00BE0480" w:rsidRPr="00A557BB">
        <w:rPr>
          <w:lang w:val="fr-FR"/>
        </w:rPr>
        <w:lastRenderedPageBreak/>
        <w:t xml:space="preserve">qui est actuellement </w:t>
      </w:r>
      <w:r w:rsidRPr="00A557BB">
        <w:rPr>
          <w:lang w:val="fr-FR"/>
        </w:rPr>
        <w:t xml:space="preserve">agence d'exécution coopérante. Par la suite, l’ONUDI et le PNUE ont confirmé cette demande. </w:t>
      </w:r>
    </w:p>
    <w:p w14:paraId="663512EF" w14:textId="77777777" w:rsidR="005A3C39" w:rsidRPr="00A557BB" w:rsidRDefault="005A3C39" w:rsidP="005A3C39">
      <w:pPr>
        <w:spacing w:after="240"/>
        <w:rPr>
          <w:b/>
          <w:lang w:val="fr-FR"/>
        </w:rPr>
      </w:pPr>
      <w:r w:rsidRPr="00A557BB">
        <w:rPr>
          <w:b/>
          <w:lang w:val="fr-FR"/>
        </w:rPr>
        <w:t xml:space="preserve">Observations du Secrétariat </w:t>
      </w:r>
    </w:p>
    <w:p w14:paraId="1D244E11" w14:textId="5AD30A27" w:rsidR="005A3C39" w:rsidRPr="00A557BB" w:rsidRDefault="005A3C39" w:rsidP="005A3C39">
      <w:pPr>
        <w:pStyle w:val="Heading1"/>
        <w:rPr>
          <w:lang w:val="fr-FR"/>
        </w:rPr>
      </w:pPr>
      <w:r w:rsidRPr="00A557BB">
        <w:rPr>
          <w:lang w:val="fr-FR"/>
        </w:rPr>
        <w:t xml:space="preserve">Malgré le retard </w:t>
      </w:r>
      <w:r w:rsidR="00EC1F23">
        <w:rPr>
          <w:lang w:val="fr-FR"/>
        </w:rPr>
        <w:t>pris par</w:t>
      </w:r>
      <w:r w:rsidRPr="00A557BB">
        <w:rPr>
          <w:lang w:val="fr-FR"/>
        </w:rPr>
        <w:t xml:space="preserve"> la soumission de la troisième tranche du PGEH</w:t>
      </w:r>
      <w:r w:rsidR="00BE0480" w:rsidRPr="00A557BB">
        <w:rPr>
          <w:lang w:val="fr-FR"/>
        </w:rPr>
        <w:t>, le Secrétariat a noté que le G</w:t>
      </w:r>
      <w:r w:rsidRPr="00A557BB">
        <w:rPr>
          <w:lang w:val="fr-FR"/>
        </w:rPr>
        <w:t xml:space="preserve">ouvernement du Sénégal avait signalé une consommation de 15,13 PAO de HCFC en 2018 au titre de l'article 7 du Protocole de Montréal, soit 41,8% de la consommation de référence (36,20 tonnes PAO). </w:t>
      </w:r>
      <w:r w:rsidR="00EC1F23">
        <w:rPr>
          <w:lang w:val="fr-FR"/>
        </w:rPr>
        <w:t>Il semble donc que le pays ne risque guère de se retrouver en non-conformité</w:t>
      </w:r>
      <w:r w:rsidRPr="00A557BB">
        <w:rPr>
          <w:lang w:val="fr-FR"/>
        </w:rPr>
        <w:t>.</w:t>
      </w:r>
    </w:p>
    <w:p w14:paraId="14D3A397" w14:textId="77777777" w:rsidR="005A3C39" w:rsidRPr="00A557BB" w:rsidRDefault="005A3C39" w:rsidP="005A3C39">
      <w:pPr>
        <w:numPr>
          <w:ilvl w:val="0"/>
          <w:numId w:val="1"/>
        </w:numPr>
        <w:spacing w:after="240"/>
        <w:outlineLvl w:val="0"/>
        <w:rPr>
          <w:lang w:val="fr-FR"/>
        </w:rPr>
      </w:pPr>
      <w:r w:rsidRPr="00A557BB">
        <w:rPr>
          <w:lang w:val="fr-FR"/>
        </w:rPr>
        <w:t xml:space="preserve">Lors de l'examen de la demande présentée par le Gouvernement du Sénégal, il a été noté que, bien que la phase I du PGEH pour le Sénégal doive être menée à terme en 2020, la troisième tranche de financement (100 000 $US, plus les coûts d'appui d'agence pour l'ONUDI et le PNUE), attendue en 2018, n'avait pas encore été soumise. En outre, la quatrième et dernière tranche de financement (70 000 $US, plus les coûts d'appui d'agences pour l'ONUDI et le PNUE) devrait être soumise en 2020. </w:t>
      </w:r>
    </w:p>
    <w:p w14:paraId="1637A14A" w14:textId="77777777" w:rsidR="005A3C39" w:rsidRPr="00A557BB" w:rsidRDefault="005A3C39" w:rsidP="005A3C39">
      <w:pPr>
        <w:numPr>
          <w:ilvl w:val="0"/>
          <w:numId w:val="1"/>
        </w:numPr>
        <w:spacing w:after="240"/>
        <w:outlineLvl w:val="0"/>
        <w:rPr>
          <w:b/>
          <w:lang w:val="fr-FR"/>
        </w:rPr>
      </w:pPr>
      <w:r w:rsidRPr="00A557BB">
        <w:rPr>
          <w:lang w:val="fr-FR"/>
        </w:rPr>
        <w:t>En discutant de l'urgence de soumettre la tranche de financement en souffrance, le PNUE a indiqué qu'après la 84</w:t>
      </w:r>
      <w:r w:rsidRPr="00A557BB">
        <w:rPr>
          <w:vertAlign w:val="superscript"/>
          <w:lang w:val="fr-FR"/>
        </w:rPr>
        <w:t>e</w:t>
      </w:r>
      <w:r w:rsidRPr="00A557BB">
        <w:rPr>
          <w:lang w:val="fr-FR"/>
        </w:rPr>
        <w:t xml:space="preserve"> réunion (après que le Comité aura pris note de la demande de changement d'agence d'exécution principale), il discuterait avec le Gouvernement du Sénégal d'un plan d'action révisé sur la base des fonds disponibles restants, accompagnés d’un Accord révisé (indiquant le changement d'agence d’exécution principale et d'agence d’exécution coopérante ainsi qu'une éventuelle prolongation de la phase I), et soumettrait la troisième tranche à la 85</w:t>
      </w:r>
      <w:r w:rsidRPr="00A557BB">
        <w:rPr>
          <w:vertAlign w:val="superscript"/>
          <w:lang w:val="fr-FR"/>
        </w:rPr>
        <w:t>e</w:t>
      </w:r>
      <w:r w:rsidRPr="00A557BB">
        <w:rPr>
          <w:lang w:val="fr-FR"/>
        </w:rPr>
        <w:t xml:space="preserve"> réunion. </w:t>
      </w:r>
    </w:p>
    <w:p w14:paraId="6F3347A8" w14:textId="77777777" w:rsidR="005A3C39" w:rsidRPr="00A557BB" w:rsidRDefault="005A3C39" w:rsidP="005A3C39">
      <w:pPr>
        <w:spacing w:after="240"/>
        <w:outlineLvl w:val="0"/>
        <w:rPr>
          <w:b/>
          <w:lang w:val="fr-FR"/>
        </w:rPr>
      </w:pPr>
      <w:r w:rsidRPr="00A557BB">
        <w:rPr>
          <w:b/>
          <w:lang w:val="fr-FR"/>
        </w:rPr>
        <w:t>Recommandation</w:t>
      </w:r>
    </w:p>
    <w:p w14:paraId="1D50E594" w14:textId="77777777" w:rsidR="005A3C39" w:rsidRPr="00A557BB" w:rsidRDefault="005A3C39" w:rsidP="005A3C39">
      <w:pPr>
        <w:numPr>
          <w:ilvl w:val="0"/>
          <w:numId w:val="1"/>
        </w:numPr>
        <w:spacing w:after="240"/>
        <w:outlineLvl w:val="2"/>
        <w:rPr>
          <w:lang w:val="fr-FR"/>
        </w:rPr>
      </w:pPr>
      <w:r w:rsidRPr="00A557BB">
        <w:rPr>
          <w:lang w:val="fr-FR"/>
        </w:rPr>
        <w:t>Le Comité exécutif pourrait souhaiter :</w:t>
      </w:r>
    </w:p>
    <w:p w14:paraId="438427D2" w14:textId="77777777" w:rsidR="005A3C39" w:rsidRPr="00A557BB" w:rsidRDefault="005A3C39" w:rsidP="005A3C39">
      <w:pPr>
        <w:pStyle w:val="Heading2"/>
        <w:numPr>
          <w:ilvl w:val="1"/>
          <w:numId w:val="1"/>
        </w:numPr>
        <w:rPr>
          <w:lang w:val="fr-FR"/>
        </w:rPr>
      </w:pPr>
      <w:r w:rsidRPr="00A557BB">
        <w:rPr>
          <w:lang w:val="fr-FR"/>
        </w:rPr>
        <w:t>prendre note de la demande du Gouvernement du Sénégal d'intervertir les rôles d'agence d'exécution principale et d'agence d'exécution coopérante pour la phase I du plan de gestion de l'élimination des HCFC (PGEH), le PNUE devenant agence d'exécution principale ;</w:t>
      </w:r>
    </w:p>
    <w:p w14:paraId="3FF880F3" w14:textId="77777777" w:rsidR="005A3C39" w:rsidRPr="00A557BB" w:rsidRDefault="005A3C39" w:rsidP="005A3C39">
      <w:pPr>
        <w:pStyle w:val="Heading2"/>
        <w:numPr>
          <w:ilvl w:val="1"/>
          <w:numId w:val="1"/>
        </w:numPr>
        <w:rPr>
          <w:lang w:val="fr-FR"/>
        </w:rPr>
      </w:pPr>
      <w:r w:rsidRPr="00A557BB">
        <w:rPr>
          <w:lang w:val="fr-FR"/>
        </w:rPr>
        <w:t>demander au PNUE, en sa qualité qu’agence d’exécution principale, de soumettre la troisième tranche de financement de la phase I du PGEH, ainsi que l’Accord révisé entre le Gouvernement du Sénégal et le Comité exécutif, à la 85</w:t>
      </w:r>
      <w:r w:rsidRPr="00A557BB">
        <w:rPr>
          <w:vertAlign w:val="superscript"/>
          <w:lang w:val="fr-FR"/>
        </w:rPr>
        <w:t>e</w:t>
      </w:r>
      <w:r w:rsidRPr="00A557BB">
        <w:rPr>
          <w:lang w:val="fr-FR"/>
        </w:rPr>
        <w:t xml:space="preserve"> réunion au plus tard.</w:t>
      </w:r>
    </w:p>
    <w:p w14:paraId="3B77C611" w14:textId="77777777" w:rsidR="00B642D3" w:rsidRPr="00A557BB" w:rsidRDefault="00D0637C" w:rsidP="00BD069C">
      <w:pPr>
        <w:keepNext/>
        <w:rPr>
          <w:b/>
          <w:u w:val="single"/>
          <w:lang w:val="fr-FR"/>
        </w:rPr>
      </w:pPr>
      <w:r w:rsidRPr="00A557BB">
        <w:rPr>
          <w:b/>
          <w:u w:val="single"/>
          <w:lang w:val="fr-FR"/>
        </w:rPr>
        <w:t>Demandes de prolongation d'activités habilitantes</w:t>
      </w:r>
      <w:r w:rsidR="002A59A2" w:rsidRPr="00A557BB">
        <w:rPr>
          <w:b/>
          <w:lang w:val="fr-FR"/>
        </w:rPr>
        <w:t xml:space="preserve"> </w:t>
      </w:r>
      <w:r w:rsidR="00F60B0A" w:rsidRPr="00A557BB">
        <w:rPr>
          <w:lang w:val="fr-FR"/>
        </w:rPr>
        <w:t xml:space="preserve"> (PNUD, PNUE, ONUDI, Banque mondiale et Gouvernement allemand)</w:t>
      </w:r>
    </w:p>
    <w:p w14:paraId="7CF64134" w14:textId="77777777" w:rsidR="00D0637C" w:rsidRPr="00A557BB" w:rsidRDefault="00D0637C" w:rsidP="00BD069C">
      <w:pPr>
        <w:keepNext/>
        <w:rPr>
          <w:b/>
          <w:highlight w:val="yellow"/>
          <w:lang w:val="fr-FR"/>
        </w:rPr>
      </w:pPr>
    </w:p>
    <w:p w14:paraId="0E306F97" w14:textId="75D7427B" w:rsidR="00683B86" w:rsidRPr="00A557BB" w:rsidRDefault="00683B86" w:rsidP="00BD069C">
      <w:pPr>
        <w:pStyle w:val="Heading1"/>
        <w:keepNext/>
        <w:tabs>
          <w:tab w:val="num" w:pos="710"/>
        </w:tabs>
        <w:rPr>
          <w:lang w:val="fr-FR"/>
        </w:rPr>
      </w:pPr>
      <w:r w:rsidRPr="00A557BB">
        <w:rPr>
          <w:lang w:val="fr-FR"/>
        </w:rPr>
        <w:t>Conformément à la décision 81/32 a),</w:t>
      </w:r>
      <w:r w:rsidRPr="00A557BB">
        <w:rPr>
          <w:rStyle w:val="FootnoteReference"/>
          <w:lang w:val="fr-FR"/>
        </w:rPr>
        <w:footnoteReference w:id="30"/>
      </w:r>
      <w:r w:rsidRPr="00A557BB">
        <w:rPr>
          <w:lang w:val="fr-FR"/>
        </w:rPr>
        <w:t xml:space="preserve"> au nom de 63</w:t>
      </w:r>
      <w:r w:rsidRPr="00A557BB">
        <w:rPr>
          <w:rStyle w:val="FootnoteReference"/>
          <w:lang w:val="fr-FR"/>
        </w:rPr>
        <w:footnoteReference w:id="31"/>
      </w:r>
      <w:r w:rsidRPr="00A557BB">
        <w:rPr>
          <w:lang w:val="fr-FR"/>
        </w:rPr>
        <w:t xml:space="preserve"> pays visés à l'article 5, les agences bilatérales et d'exécution ont soumis des demandes officielles de prolongation des activités habilitantes dont l'achèvement est pour l'heure prévu pour décembre 2019, comme le montre le tableau 11. </w:t>
      </w:r>
    </w:p>
    <w:p w14:paraId="74171DA9" w14:textId="77777777" w:rsidR="001416F8" w:rsidRDefault="001416F8" w:rsidP="00683B86">
      <w:pPr>
        <w:pStyle w:val="Heading1"/>
        <w:numPr>
          <w:ilvl w:val="0"/>
          <w:numId w:val="0"/>
        </w:numPr>
        <w:spacing w:after="0"/>
        <w:rPr>
          <w:b/>
          <w:lang w:val="fr-FR"/>
        </w:rPr>
      </w:pPr>
    </w:p>
    <w:p w14:paraId="7335A588" w14:textId="2F9B4E49" w:rsidR="00683B86" w:rsidRPr="00A557BB" w:rsidRDefault="00EF54D3" w:rsidP="00683B86">
      <w:pPr>
        <w:pStyle w:val="Heading1"/>
        <w:numPr>
          <w:ilvl w:val="0"/>
          <w:numId w:val="0"/>
        </w:numPr>
        <w:spacing w:after="0"/>
        <w:rPr>
          <w:b/>
          <w:lang w:val="fr-FR"/>
        </w:rPr>
      </w:pPr>
      <w:r w:rsidRPr="00A557BB">
        <w:rPr>
          <w:b/>
          <w:lang w:val="fr-FR"/>
        </w:rPr>
        <w:lastRenderedPageBreak/>
        <w:t>Tableau 11: Demandes de prolongation d'activités habilitantes pour l'élimination des HFC soumises à la 84</w:t>
      </w:r>
      <w:r w:rsidR="00683B86" w:rsidRPr="00A557BB">
        <w:rPr>
          <w:b/>
          <w:vertAlign w:val="superscript"/>
          <w:lang w:val="fr-FR"/>
        </w:rPr>
        <w:t>e</w:t>
      </w:r>
      <w:r w:rsidR="00683B86" w:rsidRPr="00A557BB">
        <w:rPr>
          <w:b/>
          <w:lang w:val="fr-FR"/>
        </w:rPr>
        <w:t>réunion</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6"/>
        <w:gridCol w:w="2927"/>
        <w:gridCol w:w="3310"/>
      </w:tblGrid>
      <w:tr w:rsidR="00683B86" w:rsidRPr="00A557BB" w14:paraId="68F90F3C" w14:textId="77777777" w:rsidTr="001416F8">
        <w:trPr>
          <w:tblHeader/>
        </w:trPr>
        <w:tc>
          <w:tcPr>
            <w:tcW w:w="3006" w:type="dxa"/>
            <w:shd w:val="clear" w:color="auto" w:fill="auto"/>
            <w:tcMar>
              <w:top w:w="0" w:type="dxa"/>
              <w:left w:w="108" w:type="dxa"/>
              <w:bottom w:w="0" w:type="dxa"/>
              <w:right w:w="108" w:type="dxa"/>
            </w:tcMar>
          </w:tcPr>
          <w:p w14:paraId="6C1C3CA7" w14:textId="77777777" w:rsidR="00683B86" w:rsidRPr="00A557BB" w:rsidRDefault="00683B86" w:rsidP="00445E81">
            <w:pPr>
              <w:jc w:val="center"/>
              <w:rPr>
                <w:b/>
                <w:bCs/>
                <w:sz w:val="20"/>
                <w:szCs w:val="20"/>
                <w:lang w:val="fr-FR" w:eastAsia="zh-CN"/>
              </w:rPr>
            </w:pPr>
            <w:r w:rsidRPr="00A557BB">
              <w:rPr>
                <w:b/>
                <w:bCs/>
                <w:sz w:val="20"/>
                <w:szCs w:val="20"/>
                <w:lang w:val="fr-FR" w:eastAsia="zh-CN"/>
              </w:rPr>
              <w:t>Pays</w:t>
            </w:r>
          </w:p>
          <w:p w14:paraId="124FC264" w14:textId="77777777" w:rsidR="00683B86" w:rsidRPr="00A557BB" w:rsidRDefault="00683B86" w:rsidP="00445E81">
            <w:pPr>
              <w:jc w:val="center"/>
              <w:rPr>
                <w:b/>
                <w:bCs/>
                <w:sz w:val="20"/>
                <w:szCs w:val="20"/>
                <w:lang w:val="fr-FR" w:eastAsia="zh-CN"/>
              </w:rPr>
            </w:pPr>
          </w:p>
        </w:tc>
        <w:tc>
          <w:tcPr>
            <w:tcW w:w="2927" w:type="dxa"/>
            <w:shd w:val="clear" w:color="auto" w:fill="auto"/>
            <w:tcMar>
              <w:top w:w="0" w:type="dxa"/>
              <w:left w:w="108" w:type="dxa"/>
              <w:bottom w:w="0" w:type="dxa"/>
              <w:right w:w="108" w:type="dxa"/>
            </w:tcMar>
            <w:hideMark/>
          </w:tcPr>
          <w:p w14:paraId="18E12336" w14:textId="77777777" w:rsidR="00683B86" w:rsidRPr="00A557BB" w:rsidRDefault="00683B86" w:rsidP="00445E81">
            <w:pPr>
              <w:jc w:val="center"/>
              <w:rPr>
                <w:b/>
                <w:bCs/>
                <w:sz w:val="20"/>
                <w:szCs w:val="20"/>
                <w:lang w:val="fr-FR"/>
              </w:rPr>
            </w:pPr>
            <w:r w:rsidRPr="00A557BB">
              <w:rPr>
                <w:b/>
                <w:bCs/>
                <w:sz w:val="20"/>
                <w:szCs w:val="20"/>
                <w:lang w:val="fr-FR"/>
              </w:rPr>
              <w:t>Agence d'exécution principale</w:t>
            </w:r>
          </w:p>
        </w:tc>
        <w:tc>
          <w:tcPr>
            <w:tcW w:w="3310" w:type="dxa"/>
            <w:shd w:val="clear" w:color="auto" w:fill="auto"/>
            <w:tcMar>
              <w:top w:w="0" w:type="dxa"/>
              <w:left w:w="108" w:type="dxa"/>
              <w:bottom w:w="0" w:type="dxa"/>
              <w:right w:w="108" w:type="dxa"/>
            </w:tcMar>
            <w:hideMark/>
          </w:tcPr>
          <w:p w14:paraId="1010A0E4" w14:textId="77777777" w:rsidR="00683B86" w:rsidRPr="00A557BB" w:rsidRDefault="00683B86" w:rsidP="00445E81">
            <w:pPr>
              <w:jc w:val="center"/>
              <w:rPr>
                <w:b/>
                <w:bCs/>
                <w:sz w:val="20"/>
                <w:szCs w:val="20"/>
                <w:lang w:val="fr-FR"/>
              </w:rPr>
            </w:pPr>
            <w:r w:rsidRPr="00A557BB">
              <w:rPr>
                <w:b/>
                <w:bCs/>
                <w:sz w:val="20"/>
                <w:szCs w:val="20"/>
                <w:lang w:val="fr-FR"/>
              </w:rPr>
              <w:t>Prolongation demandée</w:t>
            </w:r>
          </w:p>
        </w:tc>
      </w:tr>
      <w:tr w:rsidR="00683B86" w:rsidRPr="00A557BB" w14:paraId="1CAB6FC6" w14:textId="77777777" w:rsidTr="001416F8">
        <w:tc>
          <w:tcPr>
            <w:tcW w:w="3006" w:type="dxa"/>
            <w:shd w:val="clear" w:color="auto" w:fill="auto"/>
            <w:tcMar>
              <w:top w:w="0" w:type="dxa"/>
              <w:left w:w="108" w:type="dxa"/>
              <w:bottom w:w="0" w:type="dxa"/>
              <w:right w:w="108" w:type="dxa"/>
            </w:tcMar>
            <w:vAlign w:val="center"/>
            <w:hideMark/>
          </w:tcPr>
          <w:p w14:paraId="35CA6AC8" w14:textId="77777777" w:rsidR="00683B86" w:rsidRPr="00A557BB" w:rsidRDefault="00683B86" w:rsidP="00445E81">
            <w:pPr>
              <w:rPr>
                <w:sz w:val="20"/>
                <w:szCs w:val="20"/>
                <w:lang w:val="fr-FR" w:eastAsia="zh-CN"/>
              </w:rPr>
            </w:pPr>
            <w:r w:rsidRPr="00A557BB">
              <w:rPr>
                <w:sz w:val="20"/>
                <w:szCs w:val="20"/>
                <w:lang w:val="fr-FR" w:eastAsia="zh-CN"/>
              </w:rPr>
              <w:t>Afghanistan</w:t>
            </w:r>
          </w:p>
        </w:tc>
        <w:tc>
          <w:tcPr>
            <w:tcW w:w="2927" w:type="dxa"/>
            <w:shd w:val="clear" w:color="auto" w:fill="auto"/>
            <w:tcMar>
              <w:top w:w="0" w:type="dxa"/>
              <w:left w:w="108" w:type="dxa"/>
              <w:bottom w:w="0" w:type="dxa"/>
              <w:right w:w="108" w:type="dxa"/>
            </w:tcMar>
          </w:tcPr>
          <w:p w14:paraId="316F4968"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vAlign w:val="bottom"/>
            <w:hideMark/>
          </w:tcPr>
          <w:p w14:paraId="155FF0F4"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665841A8" w14:textId="77777777" w:rsidTr="001416F8">
        <w:tc>
          <w:tcPr>
            <w:tcW w:w="3006" w:type="dxa"/>
            <w:shd w:val="clear" w:color="auto" w:fill="auto"/>
            <w:tcMar>
              <w:top w:w="0" w:type="dxa"/>
              <w:left w:w="108" w:type="dxa"/>
              <w:bottom w:w="0" w:type="dxa"/>
              <w:right w:w="108" w:type="dxa"/>
            </w:tcMar>
            <w:vAlign w:val="center"/>
          </w:tcPr>
          <w:p w14:paraId="77EBBC11" w14:textId="77777777" w:rsidR="00683B86" w:rsidRPr="00A557BB" w:rsidRDefault="00683B86" w:rsidP="00445E81">
            <w:pPr>
              <w:rPr>
                <w:sz w:val="20"/>
                <w:szCs w:val="20"/>
                <w:lang w:val="fr-FR" w:eastAsia="zh-CN"/>
              </w:rPr>
            </w:pPr>
            <w:r w:rsidRPr="00A557BB">
              <w:rPr>
                <w:sz w:val="20"/>
                <w:szCs w:val="20"/>
                <w:lang w:val="fr-FR" w:eastAsia="zh-CN"/>
              </w:rPr>
              <w:t>Argentine</w:t>
            </w:r>
          </w:p>
        </w:tc>
        <w:tc>
          <w:tcPr>
            <w:tcW w:w="2927" w:type="dxa"/>
            <w:shd w:val="clear" w:color="auto" w:fill="auto"/>
            <w:tcMar>
              <w:top w:w="0" w:type="dxa"/>
              <w:left w:w="108" w:type="dxa"/>
              <w:bottom w:w="0" w:type="dxa"/>
              <w:right w:w="108" w:type="dxa"/>
            </w:tcMar>
          </w:tcPr>
          <w:p w14:paraId="299AE0C6" w14:textId="77777777" w:rsidR="00683B86" w:rsidRPr="00A557BB" w:rsidRDefault="00683B86" w:rsidP="00445E81">
            <w:pPr>
              <w:rPr>
                <w:sz w:val="20"/>
                <w:szCs w:val="20"/>
                <w:lang w:val="fr-FR" w:eastAsia="zh-CN"/>
              </w:rPr>
            </w:pPr>
            <w:r w:rsidRPr="00A557BB">
              <w:rPr>
                <w:sz w:val="20"/>
                <w:szCs w:val="20"/>
                <w:lang w:val="fr-FR" w:eastAsia="zh-CN"/>
              </w:rPr>
              <w:t>ONUDI</w:t>
            </w:r>
          </w:p>
        </w:tc>
        <w:tc>
          <w:tcPr>
            <w:tcW w:w="3310" w:type="dxa"/>
            <w:shd w:val="clear" w:color="auto" w:fill="auto"/>
            <w:tcMar>
              <w:top w:w="0" w:type="dxa"/>
              <w:left w:w="108" w:type="dxa"/>
              <w:bottom w:w="0" w:type="dxa"/>
              <w:right w:w="108" w:type="dxa"/>
            </w:tcMar>
            <w:vAlign w:val="bottom"/>
          </w:tcPr>
          <w:p w14:paraId="35ADC480"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63A04DEC" w14:textId="77777777" w:rsidTr="001416F8">
        <w:tc>
          <w:tcPr>
            <w:tcW w:w="3006" w:type="dxa"/>
            <w:shd w:val="clear" w:color="auto" w:fill="auto"/>
            <w:tcMar>
              <w:top w:w="0" w:type="dxa"/>
              <w:left w:w="108" w:type="dxa"/>
              <w:bottom w:w="0" w:type="dxa"/>
              <w:right w:w="108" w:type="dxa"/>
            </w:tcMar>
            <w:hideMark/>
          </w:tcPr>
          <w:p w14:paraId="62DBBE18" w14:textId="77777777" w:rsidR="00683B86" w:rsidRPr="00A557BB" w:rsidRDefault="00683B86" w:rsidP="00445E81">
            <w:pPr>
              <w:rPr>
                <w:sz w:val="20"/>
                <w:szCs w:val="20"/>
                <w:lang w:val="fr-FR" w:eastAsia="zh-CN"/>
              </w:rPr>
            </w:pPr>
            <w:r w:rsidRPr="00A557BB">
              <w:rPr>
                <w:sz w:val="20"/>
                <w:szCs w:val="20"/>
                <w:lang w:val="fr-FR" w:eastAsia="zh-CN"/>
              </w:rPr>
              <w:t>Bahreïn</w:t>
            </w:r>
          </w:p>
        </w:tc>
        <w:tc>
          <w:tcPr>
            <w:tcW w:w="2927" w:type="dxa"/>
            <w:shd w:val="clear" w:color="auto" w:fill="auto"/>
            <w:tcMar>
              <w:top w:w="0" w:type="dxa"/>
              <w:left w:w="108" w:type="dxa"/>
              <w:bottom w:w="0" w:type="dxa"/>
              <w:right w:w="108" w:type="dxa"/>
            </w:tcMar>
          </w:tcPr>
          <w:p w14:paraId="2318866C"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7EE99FB1"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0A0D7B32" w14:textId="77777777" w:rsidTr="001416F8">
        <w:tc>
          <w:tcPr>
            <w:tcW w:w="3006" w:type="dxa"/>
            <w:shd w:val="clear" w:color="auto" w:fill="auto"/>
            <w:tcMar>
              <w:top w:w="0" w:type="dxa"/>
              <w:left w:w="108" w:type="dxa"/>
              <w:bottom w:w="0" w:type="dxa"/>
              <w:right w:w="108" w:type="dxa"/>
            </w:tcMar>
            <w:hideMark/>
          </w:tcPr>
          <w:p w14:paraId="17DA440F" w14:textId="77777777" w:rsidR="00683B86" w:rsidRPr="00A557BB" w:rsidRDefault="00683B86" w:rsidP="00445E81">
            <w:pPr>
              <w:rPr>
                <w:sz w:val="20"/>
                <w:szCs w:val="20"/>
                <w:lang w:val="fr-FR" w:eastAsia="zh-CN"/>
              </w:rPr>
            </w:pPr>
            <w:r w:rsidRPr="00A557BB">
              <w:rPr>
                <w:sz w:val="20"/>
                <w:szCs w:val="20"/>
                <w:lang w:val="fr-FR" w:eastAsia="zh-CN"/>
              </w:rPr>
              <w:t>Bangladesh</w:t>
            </w:r>
          </w:p>
        </w:tc>
        <w:tc>
          <w:tcPr>
            <w:tcW w:w="2927" w:type="dxa"/>
            <w:shd w:val="clear" w:color="auto" w:fill="auto"/>
            <w:tcMar>
              <w:top w:w="0" w:type="dxa"/>
              <w:left w:w="108" w:type="dxa"/>
              <w:bottom w:w="0" w:type="dxa"/>
              <w:right w:w="108" w:type="dxa"/>
            </w:tcMar>
          </w:tcPr>
          <w:p w14:paraId="2B71A773" w14:textId="77777777" w:rsidR="00683B86" w:rsidRPr="00A557BB" w:rsidRDefault="00683B86" w:rsidP="00445E81">
            <w:pPr>
              <w:rPr>
                <w:lang w:val="fr-FR"/>
              </w:rPr>
            </w:pPr>
            <w:r w:rsidRPr="00A557BB">
              <w:rPr>
                <w:sz w:val="20"/>
                <w:szCs w:val="20"/>
                <w:lang w:val="fr-FR" w:eastAsia="zh-CN"/>
              </w:rPr>
              <w:t>PNUD*</w:t>
            </w:r>
          </w:p>
        </w:tc>
        <w:tc>
          <w:tcPr>
            <w:tcW w:w="3310" w:type="dxa"/>
            <w:shd w:val="clear" w:color="auto" w:fill="auto"/>
            <w:tcMar>
              <w:top w:w="0" w:type="dxa"/>
              <w:left w:w="108" w:type="dxa"/>
              <w:bottom w:w="0" w:type="dxa"/>
              <w:right w:w="108" w:type="dxa"/>
            </w:tcMar>
            <w:hideMark/>
          </w:tcPr>
          <w:p w14:paraId="4231C2DD"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343F2679" w14:textId="77777777" w:rsidTr="001416F8">
        <w:tc>
          <w:tcPr>
            <w:tcW w:w="3006" w:type="dxa"/>
            <w:shd w:val="clear" w:color="auto" w:fill="auto"/>
            <w:tcMar>
              <w:top w:w="0" w:type="dxa"/>
              <w:left w:w="108" w:type="dxa"/>
              <w:bottom w:w="0" w:type="dxa"/>
              <w:right w:w="108" w:type="dxa"/>
            </w:tcMar>
            <w:hideMark/>
          </w:tcPr>
          <w:p w14:paraId="423BD7A6" w14:textId="77777777" w:rsidR="00683B86" w:rsidRPr="00A557BB" w:rsidRDefault="00683B86" w:rsidP="00445E81">
            <w:pPr>
              <w:rPr>
                <w:sz w:val="20"/>
                <w:szCs w:val="20"/>
                <w:lang w:val="fr-FR" w:eastAsia="zh-CN"/>
              </w:rPr>
            </w:pPr>
            <w:r w:rsidRPr="00A557BB">
              <w:rPr>
                <w:sz w:val="20"/>
                <w:szCs w:val="20"/>
                <w:lang w:val="fr-FR" w:eastAsia="zh-CN"/>
              </w:rPr>
              <w:t>Bénin</w:t>
            </w:r>
          </w:p>
        </w:tc>
        <w:tc>
          <w:tcPr>
            <w:tcW w:w="2927" w:type="dxa"/>
            <w:shd w:val="clear" w:color="auto" w:fill="auto"/>
            <w:tcMar>
              <w:top w:w="0" w:type="dxa"/>
              <w:left w:w="108" w:type="dxa"/>
              <w:bottom w:w="0" w:type="dxa"/>
              <w:right w:w="108" w:type="dxa"/>
            </w:tcMar>
          </w:tcPr>
          <w:p w14:paraId="0CCCD4C6"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290B5EC3"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29D8E7D4" w14:textId="77777777" w:rsidTr="001416F8">
        <w:tc>
          <w:tcPr>
            <w:tcW w:w="3006" w:type="dxa"/>
            <w:shd w:val="clear" w:color="auto" w:fill="auto"/>
            <w:tcMar>
              <w:top w:w="0" w:type="dxa"/>
              <w:left w:w="108" w:type="dxa"/>
              <w:bottom w:w="0" w:type="dxa"/>
              <w:right w:w="108" w:type="dxa"/>
            </w:tcMar>
            <w:hideMark/>
          </w:tcPr>
          <w:p w14:paraId="75B3BC4E"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Botswana</w:t>
            </w:r>
          </w:p>
        </w:tc>
        <w:tc>
          <w:tcPr>
            <w:tcW w:w="2927" w:type="dxa"/>
            <w:shd w:val="clear" w:color="auto" w:fill="auto"/>
            <w:tcMar>
              <w:top w:w="0" w:type="dxa"/>
              <w:left w:w="108" w:type="dxa"/>
              <w:bottom w:w="0" w:type="dxa"/>
              <w:right w:w="108" w:type="dxa"/>
            </w:tcMar>
          </w:tcPr>
          <w:p w14:paraId="0B4C0010"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7DAB25DF"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5F554AD0" w14:textId="77777777" w:rsidTr="001416F8">
        <w:tc>
          <w:tcPr>
            <w:tcW w:w="3006" w:type="dxa"/>
            <w:shd w:val="clear" w:color="auto" w:fill="auto"/>
            <w:tcMar>
              <w:top w:w="0" w:type="dxa"/>
              <w:left w:w="108" w:type="dxa"/>
              <w:bottom w:w="0" w:type="dxa"/>
              <w:right w:w="108" w:type="dxa"/>
            </w:tcMar>
            <w:hideMark/>
          </w:tcPr>
          <w:p w14:paraId="014287C3"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Tchad</w:t>
            </w:r>
          </w:p>
        </w:tc>
        <w:tc>
          <w:tcPr>
            <w:tcW w:w="2927" w:type="dxa"/>
            <w:shd w:val="clear" w:color="auto" w:fill="auto"/>
            <w:tcMar>
              <w:top w:w="0" w:type="dxa"/>
              <w:left w:w="108" w:type="dxa"/>
              <w:bottom w:w="0" w:type="dxa"/>
              <w:right w:w="108" w:type="dxa"/>
            </w:tcMar>
          </w:tcPr>
          <w:p w14:paraId="705EEBD9"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048AE3E4"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4B1B8DB8" w14:textId="77777777" w:rsidTr="001416F8">
        <w:tc>
          <w:tcPr>
            <w:tcW w:w="3006" w:type="dxa"/>
            <w:shd w:val="clear" w:color="auto" w:fill="auto"/>
            <w:tcMar>
              <w:top w:w="0" w:type="dxa"/>
              <w:left w:w="108" w:type="dxa"/>
              <w:bottom w:w="0" w:type="dxa"/>
              <w:right w:w="108" w:type="dxa"/>
            </w:tcMar>
            <w:hideMark/>
          </w:tcPr>
          <w:p w14:paraId="6623F51D"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Comores</w:t>
            </w:r>
          </w:p>
        </w:tc>
        <w:tc>
          <w:tcPr>
            <w:tcW w:w="2927" w:type="dxa"/>
            <w:shd w:val="clear" w:color="auto" w:fill="auto"/>
            <w:tcMar>
              <w:top w:w="0" w:type="dxa"/>
              <w:left w:w="108" w:type="dxa"/>
              <w:bottom w:w="0" w:type="dxa"/>
              <w:right w:w="108" w:type="dxa"/>
            </w:tcMar>
          </w:tcPr>
          <w:p w14:paraId="0C7F346D"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070AF9BD"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2A026EBB" w14:textId="77777777" w:rsidTr="001416F8">
        <w:tc>
          <w:tcPr>
            <w:tcW w:w="3006" w:type="dxa"/>
            <w:shd w:val="clear" w:color="auto" w:fill="auto"/>
            <w:tcMar>
              <w:top w:w="0" w:type="dxa"/>
              <w:left w:w="108" w:type="dxa"/>
              <w:bottom w:w="0" w:type="dxa"/>
              <w:right w:w="108" w:type="dxa"/>
            </w:tcMar>
            <w:hideMark/>
          </w:tcPr>
          <w:p w14:paraId="7B189F50" w14:textId="77777777" w:rsidR="00683B86" w:rsidRPr="00A557BB" w:rsidRDefault="00911DC5" w:rsidP="00445E81">
            <w:pPr>
              <w:rPr>
                <w:rFonts w:ascii="Calibri" w:hAnsi="Calibri" w:cs="Calibri"/>
                <w:sz w:val="20"/>
                <w:szCs w:val="20"/>
                <w:lang w:val="fr-FR" w:eastAsia="zh-CN"/>
              </w:rPr>
            </w:pPr>
            <w:r w:rsidRPr="00A557BB">
              <w:rPr>
                <w:sz w:val="20"/>
                <w:szCs w:val="20"/>
                <w:lang w:val="fr-FR" w:eastAsia="zh-CN"/>
              </w:rPr>
              <w:t>Côte d’Ivoire</w:t>
            </w:r>
          </w:p>
        </w:tc>
        <w:tc>
          <w:tcPr>
            <w:tcW w:w="2927" w:type="dxa"/>
            <w:shd w:val="clear" w:color="auto" w:fill="auto"/>
            <w:tcMar>
              <w:top w:w="0" w:type="dxa"/>
              <w:left w:w="108" w:type="dxa"/>
              <w:bottom w:w="0" w:type="dxa"/>
              <w:right w:w="108" w:type="dxa"/>
            </w:tcMar>
          </w:tcPr>
          <w:p w14:paraId="7AA4A73C"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19B0ADA6"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4F697593" w14:textId="77777777" w:rsidTr="001416F8">
        <w:tc>
          <w:tcPr>
            <w:tcW w:w="3006" w:type="dxa"/>
            <w:shd w:val="clear" w:color="auto" w:fill="auto"/>
            <w:tcMar>
              <w:top w:w="0" w:type="dxa"/>
              <w:left w:w="108" w:type="dxa"/>
              <w:bottom w:w="0" w:type="dxa"/>
              <w:right w:w="108" w:type="dxa"/>
            </w:tcMar>
          </w:tcPr>
          <w:p w14:paraId="3A5EC2F7" w14:textId="77777777" w:rsidR="00683B86" w:rsidRPr="00A557BB" w:rsidRDefault="00683B86" w:rsidP="00445E81">
            <w:pPr>
              <w:rPr>
                <w:sz w:val="20"/>
                <w:szCs w:val="20"/>
                <w:lang w:val="fr-FR" w:eastAsia="zh-CN"/>
              </w:rPr>
            </w:pPr>
            <w:r w:rsidRPr="00A557BB">
              <w:rPr>
                <w:sz w:val="20"/>
                <w:szCs w:val="20"/>
                <w:lang w:val="fr-FR" w:eastAsia="zh-CN"/>
              </w:rPr>
              <w:t>Cuba</w:t>
            </w:r>
          </w:p>
        </w:tc>
        <w:tc>
          <w:tcPr>
            <w:tcW w:w="2927" w:type="dxa"/>
            <w:shd w:val="clear" w:color="auto" w:fill="auto"/>
            <w:tcMar>
              <w:top w:w="0" w:type="dxa"/>
              <w:left w:w="108" w:type="dxa"/>
              <w:bottom w:w="0" w:type="dxa"/>
              <w:right w:w="108" w:type="dxa"/>
            </w:tcMar>
          </w:tcPr>
          <w:p w14:paraId="606A5F10" w14:textId="77777777" w:rsidR="00683B86" w:rsidRPr="00A557BB" w:rsidRDefault="00683B86" w:rsidP="00445E81">
            <w:pPr>
              <w:rPr>
                <w:sz w:val="20"/>
                <w:szCs w:val="20"/>
                <w:lang w:val="fr-FR" w:eastAsia="zh-CN"/>
              </w:rPr>
            </w:pPr>
            <w:r w:rsidRPr="00A557BB">
              <w:rPr>
                <w:sz w:val="20"/>
                <w:szCs w:val="20"/>
                <w:lang w:val="fr-FR" w:eastAsia="zh-CN"/>
              </w:rPr>
              <w:t>PNUD**</w:t>
            </w:r>
          </w:p>
        </w:tc>
        <w:tc>
          <w:tcPr>
            <w:tcW w:w="3310" w:type="dxa"/>
            <w:shd w:val="clear" w:color="auto" w:fill="auto"/>
            <w:tcMar>
              <w:top w:w="0" w:type="dxa"/>
              <w:left w:w="108" w:type="dxa"/>
              <w:bottom w:w="0" w:type="dxa"/>
              <w:right w:w="108" w:type="dxa"/>
            </w:tcMar>
          </w:tcPr>
          <w:p w14:paraId="6BCDC0C7"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6B9D9526" w14:textId="77777777" w:rsidTr="001416F8">
        <w:tc>
          <w:tcPr>
            <w:tcW w:w="3006" w:type="dxa"/>
            <w:shd w:val="clear" w:color="auto" w:fill="auto"/>
            <w:tcMar>
              <w:top w:w="0" w:type="dxa"/>
              <w:left w:w="108" w:type="dxa"/>
              <w:bottom w:w="0" w:type="dxa"/>
              <w:right w:w="108" w:type="dxa"/>
            </w:tcMar>
          </w:tcPr>
          <w:p w14:paraId="1BD055CE" w14:textId="77777777" w:rsidR="00683B86" w:rsidRPr="00A557BB" w:rsidRDefault="00683B86" w:rsidP="00445E81">
            <w:pPr>
              <w:rPr>
                <w:sz w:val="20"/>
                <w:szCs w:val="20"/>
                <w:lang w:val="fr-FR" w:eastAsia="zh-CN"/>
              </w:rPr>
            </w:pPr>
            <w:r w:rsidRPr="00A557BB">
              <w:rPr>
                <w:sz w:val="20"/>
                <w:szCs w:val="20"/>
                <w:lang w:val="fr-FR" w:eastAsia="zh-CN"/>
              </w:rPr>
              <w:t>République démocratique du Congo</w:t>
            </w:r>
          </w:p>
        </w:tc>
        <w:tc>
          <w:tcPr>
            <w:tcW w:w="2927" w:type="dxa"/>
            <w:shd w:val="clear" w:color="auto" w:fill="auto"/>
            <w:tcMar>
              <w:top w:w="0" w:type="dxa"/>
              <w:left w:w="108" w:type="dxa"/>
              <w:bottom w:w="0" w:type="dxa"/>
              <w:right w:w="108" w:type="dxa"/>
            </w:tcMar>
          </w:tcPr>
          <w:p w14:paraId="22788BAA" w14:textId="77777777" w:rsidR="00683B86" w:rsidRPr="00A557BB" w:rsidRDefault="00683B86" w:rsidP="00445E81">
            <w:pPr>
              <w:rPr>
                <w:sz w:val="20"/>
                <w:szCs w:val="20"/>
                <w:lang w:val="fr-FR" w:eastAsia="zh-CN"/>
              </w:rPr>
            </w:pPr>
            <w:r w:rsidRPr="00A557BB">
              <w:rPr>
                <w:sz w:val="20"/>
                <w:szCs w:val="20"/>
                <w:lang w:val="fr-FR" w:eastAsia="zh-CN"/>
              </w:rPr>
              <w:t>PNUE</w:t>
            </w:r>
          </w:p>
        </w:tc>
        <w:tc>
          <w:tcPr>
            <w:tcW w:w="3310" w:type="dxa"/>
            <w:shd w:val="clear" w:color="auto" w:fill="auto"/>
            <w:tcMar>
              <w:top w:w="0" w:type="dxa"/>
              <w:left w:w="108" w:type="dxa"/>
              <w:bottom w:w="0" w:type="dxa"/>
              <w:right w:w="108" w:type="dxa"/>
            </w:tcMar>
          </w:tcPr>
          <w:p w14:paraId="0592CBB5"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3F75A726" w14:textId="77777777" w:rsidTr="001416F8">
        <w:tc>
          <w:tcPr>
            <w:tcW w:w="3006" w:type="dxa"/>
            <w:shd w:val="clear" w:color="auto" w:fill="auto"/>
            <w:tcMar>
              <w:top w:w="0" w:type="dxa"/>
              <w:left w:w="108" w:type="dxa"/>
              <w:bottom w:w="0" w:type="dxa"/>
              <w:right w:w="108" w:type="dxa"/>
            </w:tcMar>
            <w:hideMark/>
          </w:tcPr>
          <w:p w14:paraId="176FCE11"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Djibouti</w:t>
            </w:r>
          </w:p>
        </w:tc>
        <w:tc>
          <w:tcPr>
            <w:tcW w:w="2927" w:type="dxa"/>
            <w:shd w:val="clear" w:color="auto" w:fill="auto"/>
            <w:tcMar>
              <w:top w:w="0" w:type="dxa"/>
              <w:left w:w="108" w:type="dxa"/>
              <w:bottom w:w="0" w:type="dxa"/>
              <w:right w:w="108" w:type="dxa"/>
            </w:tcMar>
          </w:tcPr>
          <w:p w14:paraId="37410E02"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55C34688"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3C4445CD" w14:textId="77777777" w:rsidTr="001416F8">
        <w:tc>
          <w:tcPr>
            <w:tcW w:w="3006" w:type="dxa"/>
            <w:shd w:val="clear" w:color="auto" w:fill="auto"/>
            <w:tcMar>
              <w:top w:w="0" w:type="dxa"/>
              <w:left w:w="108" w:type="dxa"/>
              <w:bottom w:w="0" w:type="dxa"/>
              <w:right w:w="108" w:type="dxa"/>
            </w:tcMar>
            <w:hideMark/>
          </w:tcPr>
          <w:p w14:paraId="1F9A2B2F"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Égypte</w:t>
            </w:r>
          </w:p>
        </w:tc>
        <w:tc>
          <w:tcPr>
            <w:tcW w:w="2927" w:type="dxa"/>
            <w:shd w:val="clear" w:color="auto" w:fill="auto"/>
            <w:tcMar>
              <w:top w:w="0" w:type="dxa"/>
              <w:left w:w="108" w:type="dxa"/>
              <w:bottom w:w="0" w:type="dxa"/>
              <w:right w:w="108" w:type="dxa"/>
            </w:tcMar>
          </w:tcPr>
          <w:p w14:paraId="78775D66"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1646FC28"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6B953AB4" w14:textId="77777777" w:rsidTr="001416F8">
        <w:tc>
          <w:tcPr>
            <w:tcW w:w="3006" w:type="dxa"/>
            <w:shd w:val="clear" w:color="auto" w:fill="auto"/>
            <w:tcMar>
              <w:top w:w="0" w:type="dxa"/>
              <w:left w:w="108" w:type="dxa"/>
              <w:bottom w:w="0" w:type="dxa"/>
              <w:right w:w="108" w:type="dxa"/>
            </w:tcMar>
          </w:tcPr>
          <w:p w14:paraId="223696F3" w14:textId="77777777" w:rsidR="00683B86" w:rsidRPr="00A557BB" w:rsidRDefault="00683B86" w:rsidP="00445E81">
            <w:pPr>
              <w:rPr>
                <w:sz w:val="20"/>
                <w:szCs w:val="20"/>
                <w:lang w:val="fr-FR" w:eastAsia="zh-CN"/>
              </w:rPr>
            </w:pPr>
            <w:r w:rsidRPr="00A557BB">
              <w:rPr>
                <w:sz w:val="20"/>
                <w:szCs w:val="20"/>
                <w:lang w:val="fr-FR" w:eastAsia="zh-CN"/>
              </w:rPr>
              <w:t>El Salvador</w:t>
            </w:r>
          </w:p>
        </w:tc>
        <w:tc>
          <w:tcPr>
            <w:tcW w:w="2927" w:type="dxa"/>
            <w:shd w:val="clear" w:color="auto" w:fill="auto"/>
            <w:tcMar>
              <w:top w:w="0" w:type="dxa"/>
              <w:left w:w="108" w:type="dxa"/>
              <w:bottom w:w="0" w:type="dxa"/>
              <w:right w:w="108" w:type="dxa"/>
            </w:tcMar>
          </w:tcPr>
          <w:p w14:paraId="2349BB13" w14:textId="77777777" w:rsidR="00683B86" w:rsidRPr="00A557BB" w:rsidRDefault="00683B86" w:rsidP="00445E81">
            <w:pPr>
              <w:rPr>
                <w:sz w:val="20"/>
                <w:szCs w:val="20"/>
                <w:lang w:val="fr-FR" w:eastAsia="zh-CN"/>
              </w:rPr>
            </w:pPr>
            <w:r w:rsidRPr="00A557BB">
              <w:rPr>
                <w:sz w:val="20"/>
                <w:szCs w:val="20"/>
                <w:lang w:val="fr-FR" w:eastAsia="zh-CN"/>
              </w:rPr>
              <w:t>PNUD**</w:t>
            </w:r>
          </w:p>
        </w:tc>
        <w:tc>
          <w:tcPr>
            <w:tcW w:w="3310" w:type="dxa"/>
            <w:shd w:val="clear" w:color="auto" w:fill="auto"/>
            <w:tcMar>
              <w:top w:w="0" w:type="dxa"/>
              <w:left w:w="108" w:type="dxa"/>
              <w:bottom w:w="0" w:type="dxa"/>
              <w:right w:w="108" w:type="dxa"/>
            </w:tcMar>
          </w:tcPr>
          <w:p w14:paraId="5E9A96BA"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7843A26F" w14:textId="77777777" w:rsidTr="001416F8">
        <w:tc>
          <w:tcPr>
            <w:tcW w:w="3006" w:type="dxa"/>
            <w:shd w:val="clear" w:color="auto" w:fill="auto"/>
            <w:tcMar>
              <w:top w:w="0" w:type="dxa"/>
              <w:left w:w="108" w:type="dxa"/>
              <w:bottom w:w="0" w:type="dxa"/>
              <w:right w:w="108" w:type="dxa"/>
            </w:tcMar>
            <w:hideMark/>
          </w:tcPr>
          <w:p w14:paraId="56FA0320"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Guinée équatoriale</w:t>
            </w:r>
          </w:p>
        </w:tc>
        <w:tc>
          <w:tcPr>
            <w:tcW w:w="2927" w:type="dxa"/>
            <w:shd w:val="clear" w:color="auto" w:fill="auto"/>
            <w:tcMar>
              <w:top w:w="0" w:type="dxa"/>
              <w:left w:w="108" w:type="dxa"/>
              <w:bottom w:w="0" w:type="dxa"/>
              <w:right w:w="108" w:type="dxa"/>
            </w:tcMar>
          </w:tcPr>
          <w:p w14:paraId="5056C6A7"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2C0FE151"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1E4534E0" w14:textId="77777777" w:rsidTr="001416F8">
        <w:tc>
          <w:tcPr>
            <w:tcW w:w="3006" w:type="dxa"/>
            <w:shd w:val="clear" w:color="auto" w:fill="auto"/>
            <w:tcMar>
              <w:top w:w="0" w:type="dxa"/>
              <w:left w:w="108" w:type="dxa"/>
              <w:bottom w:w="0" w:type="dxa"/>
              <w:right w:w="108" w:type="dxa"/>
            </w:tcMar>
          </w:tcPr>
          <w:p w14:paraId="55BB7D80" w14:textId="77777777" w:rsidR="00683B86" w:rsidRPr="00A557BB" w:rsidRDefault="00911DC5" w:rsidP="00445E81">
            <w:pPr>
              <w:rPr>
                <w:sz w:val="20"/>
                <w:szCs w:val="20"/>
                <w:lang w:val="fr-FR" w:eastAsia="zh-CN"/>
              </w:rPr>
            </w:pPr>
            <w:r w:rsidRPr="00A557BB">
              <w:rPr>
                <w:sz w:val="20"/>
                <w:szCs w:val="20"/>
                <w:lang w:val="fr-FR" w:eastAsia="zh-CN"/>
              </w:rPr>
              <w:t>Eswatini</w:t>
            </w:r>
          </w:p>
        </w:tc>
        <w:tc>
          <w:tcPr>
            <w:tcW w:w="2927" w:type="dxa"/>
            <w:shd w:val="clear" w:color="auto" w:fill="auto"/>
            <w:tcMar>
              <w:top w:w="0" w:type="dxa"/>
              <w:left w:w="108" w:type="dxa"/>
              <w:bottom w:w="0" w:type="dxa"/>
              <w:right w:w="108" w:type="dxa"/>
            </w:tcMar>
          </w:tcPr>
          <w:p w14:paraId="14CA7709" w14:textId="77777777" w:rsidR="00683B86" w:rsidRPr="00A557BB" w:rsidRDefault="00683B86" w:rsidP="00445E81">
            <w:pPr>
              <w:rPr>
                <w:sz w:val="20"/>
                <w:szCs w:val="20"/>
                <w:lang w:val="fr-FR" w:eastAsia="zh-CN"/>
              </w:rPr>
            </w:pPr>
            <w:r w:rsidRPr="00A557BB">
              <w:rPr>
                <w:sz w:val="20"/>
                <w:szCs w:val="20"/>
                <w:lang w:val="fr-FR" w:eastAsia="zh-CN"/>
              </w:rPr>
              <w:t>PNUE</w:t>
            </w:r>
          </w:p>
        </w:tc>
        <w:tc>
          <w:tcPr>
            <w:tcW w:w="3310" w:type="dxa"/>
            <w:shd w:val="clear" w:color="auto" w:fill="auto"/>
            <w:tcMar>
              <w:top w:w="0" w:type="dxa"/>
              <w:left w:w="108" w:type="dxa"/>
              <w:bottom w:w="0" w:type="dxa"/>
              <w:right w:w="108" w:type="dxa"/>
            </w:tcMar>
          </w:tcPr>
          <w:p w14:paraId="36455E73"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700AD57B" w14:textId="77777777" w:rsidTr="001416F8">
        <w:tc>
          <w:tcPr>
            <w:tcW w:w="3006" w:type="dxa"/>
            <w:shd w:val="clear" w:color="auto" w:fill="auto"/>
            <w:tcMar>
              <w:top w:w="0" w:type="dxa"/>
              <w:left w:w="108" w:type="dxa"/>
              <w:bottom w:w="0" w:type="dxa"/>
              <w:right w:w="108" w:type="dxa"/>
            </w:tcMar>
            <w:hideMark/>
          </w:tcPr>
          <w:p w14:paraId="600A39B5"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Éthiopie</w:t>
            </w:r>
          </w:p>
        </w:tc>
        <w:tc>
          <w:tcPr>
            <w:tcW w:w="2927" w:type="dxa"/>
            <w:shd w:val="clear" w:color="auto" w:fill="auto"/>
            <w:tcMar>
              <w:top w:w="0" w:type="dxa"/>
              <w:left w:w="108" w:type="dxa"/>
              <w:bottom w:w="0" w:type="dxa"/>
              <w:right w:w="108" w:type="dxa"/>
            </w:tcMar>
          </w:tcPr>
          <w:p w14:paraId="0354C7C6"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6680A36F"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0FF26122" w14:textId="77777777" w:rsidTr="001416F8">
        <w:tc>
          <w:tcPr>
            <w:tcW w:w="3006" w:type="dxa"/>
            <w:shd w:val="clear" w:color="auto" w:fill="auto"/>
            <w:tcMar>
              <w:top w:w="0" w:type="dxa"/>
              <w:left w:w="108" w:type="dxa"/>
              <w:bottom w:w="0" w:type="dxa"/>
              <w:right w:w="108" w:type="dxa"/>
            </w:tcMar>
            <w:hideMark/>
          </w:tcPr>
          <w:p w14:paraId="6AACBFB3"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Géorgie</w:t>
            </w:r>
          </w:p>
        </w:tc>
        <w:tc>
          <w:tcPr>
            <w:tcW w:w="2927" w:type="dxa"/>
            <w:shd w:val="clear" w:color="auto" w:fill="auto"/>
            <w:tcMar>
              <w:top w:w="0" w:type="dxa"/>
              <w:left w:w="108" w:type="dxa"/>
              <w:bottom w:w="0" w:type="dxa"/>
              <w:right w:w="108" w:type="dxa"/>
            </w:tcMar>
          </w:tcPr>
          <w:p w14:paraId="00432526"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2AF4E498"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59DB47B9" w14:textId="77777777" w:rsidTr="001416F8">
        <w:tc>
          <w:tcPr>
            <w:tcW w:w="3006" w:type="dxa"/>
            <w:shd w:val="clear" w:color="auto" w:fill="auto"/>
            <w:tcMar>
              <w:top w:w="0" w:type="dxa"/>
              <w:left w:w="108" w:type="dxa"/>
              <w:bottom w:w="0" w:type="dxa"/>
              <w:right w:w="108" w:type="dxa"/>
            </w:tcMar>
            <w:hideMark/>
          </w:tcPr>
          <w:p w14:paraId="608502E8"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Guinée-Bissau</w:t>
            </w:r>
          </w:p>
        </w:tc>
        <w:tc>
          <w:tcPr>
            <w:tcW w:w="2927" w:type="dxa"/>
            <w:shd w:val="clear" w:color="auto" w:fill="auto"/>
            <w:tcMar>
              <w:top w:w="0" w:type="dxa"/>
              <w:left w:w="108" w:type="dxa"/>
              <w:bottom w:w="0" w:type="dxa"/>
              <w:right w:w="108" w:type="dxa"/>
            </w:tcMar>
          </w:tcPr>
          <w:p w14:paraId="69CD68E7"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083E51F8"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06BCF5E0" w14:textId="77777777" w:rsidTr="001416F8">
        <w:tc>
          <w:tcPr>
            <w:tcW w:w="3006" w:type="dxa"/>
            <w:shd w:val="clear" w:color="auto" w:fill="auto"/>
            <w:tcMar>
              <w:top w:w="0" w:type="dxa"/>
              <w:left w:w="108" w:type="dxa"/>
              <w:bottom w:w="0" w:type="dxa"/>
              <w:right w:w="108" w:type="dxa"/>
            </w:tcMar>
            <w:hideMark/>
          </w:tcPr>
          <w:p w14:paraId="4C5B59A0"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Guyana</w:t>
            </w:r>
          </w:p>
        </w:tc>
        <w:tc>
          <w:tcPr>
            <w:tcW w:w="2927" w:type="dxa"/>
            <w:shd w:val="clear" w:color="auto" w:fill="auto"/>
            <w:tcMar>
              <w:top w:w="0" w:type="dxa"/>
              <w:left w:w="108" w:type="dxa"/>
              <w:bottom w:w="0" w:type="dxa"/>
              <w:right w:w="108" w:type="dxa"/>
            </w:tcMar>
          </w:tcPr>
          <w:p w14:paraId="678A2BA9"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3AB9D8BF"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74D7BE13" w14:textId="77777777" w:rsidTr="001416F8">
        <w:tc>
          <w:tcPr>
            <w:tcW w:w="3006" w:type="dxa"/>
            <w:shd w:val="clear" w:color="auto" w:fill="auto"/>
            <w:tcMar>
              <w:top w:w="0" w:type="dxa"/>
              <w:left w:w="108" w:type="dxa"/>
              <w:bottom w:w="0" w:type="dxa"/>
              <w:right w:w="108" w:type="dxa"/>
            </w:tcMar>
            <w:hideMark/>
          </w:tcPr>
          <w:p w14:paraId="1A3147BA"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Honduras</w:t>
            </w:r>
          </w:p>
        </w:tc>
        <w:tc>
          <w:tcPr>
            <w:tcW w:w="2927" w:type="dxa"/>
            <w:shd w:val="clear" w:color="auto" w:fill="auto"/>
            <w:tcMar>
              <w:top w:w="0" w:type="dxa"/>
              <w:left w:w="108" w:type="dxa"/>
              <w:bottom w:w="0" w:type="dxa"/>
              <w:right w:w="108" w:type="dxa"/>
            </w:tcMar>
          </w:tcPr>
          <w:p w14:paraId="6F996AA2"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6B9CAE4D"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5EE57A32" w14:textId="77777777" w:rsidTr="001416F8">
        <w:tc>
          <w:tcPr>
            <w:tcW w:w="3006" w:type="dxa"/>
            <w:shd w:val="clear" w:color="auto" w:fill="auto"/>
            <w:tcMar>
              <w:top w:w="0" w:type="dxa"/>
              <w:left w:w="108" w:type="dxa"/>
              <w:bottom w:w="0" w:type="dxa"/>
              <w:right w:w="108" w:type="dxa"/>
            </w:tcMar>
          </w:tcPr>
          <w:p w14:paraId="13A3D3B8" w14:textId="77777777" w:rsidR="00683B86" w:rsidRPr="00A557BB" w:rsidRDefault="00683B86" w:rsidP="00445E81">
            <w:pPr>
              <w:rPr>
                <w:sz w:val="20"/>
                <w:szCs w:val="20"/>
                <w:lang w:val="fr-FR" w:eastAsia="zh-CN"/>
              </w:rPr>
            </w:pPr>
            <w:r w:rsidRPr="00A557BB">
              <w:rPr>
                <w:sz w:val="20"/>
                <w:szCs w:val="20"/>
                <w:lang w:val="fr-FR" w:eastAsia="zh-CN"/>
              </w:rPr>
              <w:t>Indonésie</w:t>
            </w:r>
          </w:p>
        </w:tc>
        <w:tc>
          <w:tcPr>
            <w:tcW w:w="2927" w:type="dxa"/>
            <w:shd w:val="clear" w:color="auto" w:fill="auto"/>
            <w:tcMar>
              <w:top w:w="0" w:type="dxa"/>
              <w:left w:w="108" w:type="dxa"/>
              <w:bottom w:w="0" w:type="dxa"/>
              <w:right w:w="108" w:type="dxa"/>
            </w:tcMar>
          </w:tcPr>
          <w:p w14:paraId="0EFDF437" w14:textId="77777777" w:rsidR="00683B86" w:rsidRPr="00A557BB" w:rsidRDefault="00683B86" w:rsidP="00445E81">
            <w:pPr>
              <w:rPr>
                <w:sz w:val="20"/>
                <w:szCs w:val="20"/>
                <w:lang w:val="fr-FR" w:eastAsia="zh-CN"/>
              </w:rPr>
            </w:pPr>
            <w:r w:rsidRPr="00A557BB">
              <w:rPr>
                <w:sz w:val="20"/>
                <w:szCs w:val="20"/>
                <w:lang w:val="fr-FR" w:eastAsia="zh-CN"/>
              </w:rPr>
              <w:t>Banque mondiale</w:t>
            </w:r>
          </w:p>
        </w:tc>
        <w:tc>
          <w:tcPr>
            <w:tcW w:w="3310" w:type="dxa"/>
            <w:shd w:val="clear" w:color="auto" w:fill="auto"/>
            <w:tcMar>
              <w:top w:w="0" w:type="dxa"/>
              <w:left w:w="108" w:type="dxa"/>
              <w:bottom w:w="0" w:type="dxa"/>
              <w:right w:w="108" w:type="dxa"/>
            </w:tcMar>
          </w:tcPr>
          <w:p w14:paraId="3F8EA890"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5280E39D" w14:textId="77777777" w:rsidTr="001416F8">
        <w:tc>
          <w:tcPr>
            <w:tcW w:w="3006" w:type="dxa"/>
            <w:shd w:val="clear" w:color="auto" w:fill="auto"/>
            <w:tcMar>
              <w:top w:w="0" w:type="dxa"/>
              <w:left w:w="108" w:type="dxa"/>
              <w:bottom w:w="0" w:type="dxa"/>
              <w:right w:w="108" w:type="dxa"/>
            </w:tcMar>
          </w:tcPr>
          <w:p w14:paraId="248DC0DC" w14:textId="77777777" w:rsidR="00683B86" w:rsidRPr="00A557BB" w:rsidRDefault="00683B86" w:rsidP="00445E81">
            <w:pPr>
              <w:rPr>
                <w:sz w:val="20"/>
                <w:szCs w:val="20"/>
                <w:lang w:val="fr-FR" w:eastAsia="zh-CN"/>
              </w:rPr>
            </w:pPr>
            <w:r w:rsidRPr="00A557BB">
              <w:rPr>
                <w:sz w:val="20"/>
                <w:szCs w:val="20"/>
                <w:lang w:val="fr-FR" w:eastAsia="zh-CN"/>
              </w:rPr>
              <w:t>Iran (République islamique d')</w:t>
            </w:r>
          </w:p>
        </w:tc>
        <w:tc>
          <w:tcPr>
            <w:tcW w:w="2927" w:type="dxa"/>
            <w:shd w:val="clear" w:color="auto" w:fill="auto"/>
            <w:tcMar>
              <w:top w:w="0" w:type="dxa"/>
              <w:left w:w="108" w:type="dxa"/>
              <w:bottom w:w="0" w:type="dxa"/>
              <w:right w:w="108" w:type="dxa"/>
            </w:tcMar>
          </w:tcPr>
          <w:p w14:paraId="6D2C7297" w14:textId="77777777" w:rsidR="00683B86" w:rsidRPr="00A557BB" w:rsidRDefault="00683B86" w:rsidP="00445E81">
            <w:pPr>
              <w:rPr>
                <w:sz w:val="20"/>
                <w:szCs w:val="20"/>
                <w:lang w:val="fr-FR" w:eastAsia="zh-CN"/>
              </w:rPr>
            </w:pPr>
            <w:r w:rsidRPr="00A557BB">
              <w:rPr>
                <w:sz w:val="20"/>
                <w:szCs w:val="20"/>
                <w:lang w:val="fr-FR" w:eastAsia="zh-CN"/>
              </w:rPr>
              <w:t>PNUD****</w:t>
            </w:r>
          </w:p>
        </w:tc>
        <w:tc>
          <w:tcPr>
            <w:tcW w:w="3310" w:type="dxa"/>
            <w:shd w:val="clear" w:color="auto" w:fill="auto"/>
            <w:tcMar>
              <w:top w:w="0" w:type="dxa"/>
              <w:left w:w="108" w:type="dxa"/>
              <w:bottom w:w="0" w:type="dxa"/>
              <w:right w:w="108" w:type="dxa"/>
            </w:tcMar>
          </w:tcPr>
          <w:p w14:paraId="5D34ED4F" w14:textId="77777777" w:rsidR="00683B86" w:rsidRPr="00A557BB" w:rsidRDefault="00683B86" w:rsidP="00445E81">
            <w:pPr>
              <w:jc w:val="center"/>
              <w:rPr>
                <w:sz w:val="20"/>
                <w:szCs w:val="20"/>
                <w:lang w:val="fr-FR" w:eastAsia="zh-CN"/>
              </w:rPr>
            </w:pPr>
            <w:r w:rsidRPr="00A557BB">
              <w:rPr>
                <w:sz w:val="20"/>
                <w:szCs w:val="20"/>
                <w:lang w:val="fr-FR" w:eastAsia="zh-CN"/>
              </w:rPr>
              <w:t>6 mois</w:t>
            </w:r>
          </w:p>
        </w:tc>
      </w:tr>
      <w:tr w:rsidR="00683B86" w:rsidRPr="00A557BB" w14:paraId="357422C6" w14:textId="77777777" w:rsidTr="001416F8">
        <w:tc>
          <w:tcPr>
            <w:tcW w:w="3006" w:type="dxa"/>
            <w:shd w:val="clear" w:color="auto" w:fill="auto"/>
            <w:tcMar>
              <w:top w:w="0" w:type="dxa"/>
              <w:left w:w="108" w:type="dxa"/>
              <w:bottom w:w="0" w:type="dxa"/>
              <w:right w:w="108" w:type="dxa"/>
            </w:tcMar>
          </w:tcPr>
          <w:p w14:paraId="35A8D7CD" w14:textId="77777777" w:rsidR="00683B86" w:rsidRPr="00A557BB" w:rsidRDefault="00683B86" w:rsidP="00445E81">
            <w:pPr>
              <w:rPr>
                <w:sz w:val="20"/>
                <w:szCs w:val="20"/>
                <w:lang w:val="fr-FR" w:eastAsia="zh-CN"/>
              </w:rPr>
            </w:pPr>
            <w:r w:rsidRPr="00A557BB">
              <w:rPr>
                <w:sz w:val="20"/>
                <w:szCs w:val="20"/>
                <w:lang w:val="fr-FR" w:eastAsia="zh-CN"/>
              </w:rPr>
              <w:t>Iraq</w:t>
            </w:r>
          </w:p>
        </w:tc>
        <w:tc>
          <w:tcPr>
            <w:tcW w:w="2927" w:type="dxa"/>
            <w:shd w:val="clear" w:color="auto" w:fill="auto"/>
            <w:tcMar>
              <w:top w:w="0" w:type="dxa"/>
              <w:left w:w="108" w:type="dxa"/>
              <w:bottom w:w="0" w:type="dxa"/>
              <w:right w:w="108" w:type="dxa"/>
            </w:tcMar>
          </w:tcPr>
          <w:p w14:paraId="296B9E2E" w14:textId="77777777" w:rsidR="00683B86" w:rsidRPr="00A557BB" w:rsidRDefault="00683B86" w:rsidP="00445E81">
            <w:pPr>
              <w:rPr>
                <w:sz w:val="20"/>
                <w:szCs w:val="20"/>
                <w:lang w:val="fr-FR" w:eastAsia="zh-CN"/>
              </w:rPr>
            </w:pPr>
            <w:r w:rsidRPr="00A557BB">
              <w:rPr>
                <w:sz w:val="20"/>
                <w:szCs w:val="20"/>
                <w:lang w:val="fr-FR" w:eastAsia="zh-CN"/>
              </w:rPr>
              <w:t>PNUE</w:t>
            </w:r>
          </w:p>
        </w:tc>
        <w:tc>
          <w:tcPr>
            <w:tcW w:w="3310" w:type="dxa"/>
            <w:shd w:val="clear" w:color="auto" w:fill="auto"/>
            <w:tcMar>
              <w:top w:w="0" w:type="dxa"/>
              <w:left w:w="108" w:type="dxa"/>
              <w:bottom w:w="0" w:type="dxa"/>
              <w:right w:w="108" w:type="dxa"/>
            </w:tcMar>
          </w:tcPr>
          <w:p w14:paraId="20A001DC"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605855DB" w14:textId="77777777" w:rsidTr="001416F8">
        <w:tc>
          <w:tcPr>
            <w:tcW w:w="3006" w:type="dxa"/>
            <w:shd w:val="clear" w:color="auto" w:fill="auto"/>
            <w:tcMar>
              <w:top w:w="0" w:type="dxa"/>
              <w:left w:w="108" w:type="dxa"/>
              <w:bottom w:w="0" w:type="dxa"/>
              <w:right w:w="108" w:type="dxa"/>
            </w:tcMar>
            <w:hideMark/>
          </w:tcPr>
          <w:p w14:paraId="4366D534" w14:textId="77777777" w:rsidR="00683B86" w:rsidRPr="00A557BB" w:rsidRDefault="00683B86" w:rsidP="00445E81">
            <w:pPr>
              <w:rPr>
                <w:sz w:val="20"/>
                <w:szCs w:val="20"/>
                <w:lang w:val="fr-FR" w:eastAsia="zh-CN"/>
              </w:rPr>
            </w:pPr>
            <w:r w:rsidRPr="00A557BB">
              <w:rPr>
                <w:sz w:val="20"/>
                <w:szCs w:val="20"/>
                <w:lang w:val="fr-FR" w:eastAsia="zh-CN"/>
              </w:rPr>
              <w:t>Kenya</w:t>
            </w:r>
          </w:p>
        </w:tc>
        <w:tc>
          <w:tcPr>
            <w:tcW w:w="2927" w:type="dxa"/>
            <w:shd w:val="clear" w:color="auto" w:fill="auto"/>
            <w:tcMar>
              <w:top w:w="0" w:type="dxa"/>
              <w:left w:w="108" w:type="dxa"/>
              <w:bottom w:w="0" w:type="dxa"/>
              <w:right w:w="108" w:type="dxa"/>
            </w:tcMar>
          </w:tcPr>
          <w:p w14:paraId="5B0E0C79"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45015CF7"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384C1569" w14:textId="77777777" w:rsidTr="001416F8">
        <w:tc>
          <w:tcPr>
            <w:tcW w:w="3006" w:type="dxa"/>
            <w:shd w:val="clear" w:color="auto" w:fill="auto"/>
            <w:tcMar>
              <w:top w:w="0" w:type="dxa"/>
              <w:left w:w="108" w:type="dxa"/>
              <w:bottom w:w="0" w:type="dxa"/>
              <w:right w:w="108" w:type="dxa"/>
            </w:tcMar>
            <w:hideMark/>
          </w:tcPr>
          <w:p w14:paraId="37E2A281" w14:textId="77777777" w:rsidR="00683B86" w:rsidRPr="00A557BB" w:rsidRDefault="00683B86" w:rsidP="00445E81">
            <w:pPr>
              <w:rPr>
                <w:sz w:val="20"/>
                <w:szCs w:val="20"/>
                <w:lang w:val="fr-FR" w:eastAsia="zh-CN"/>
              </w:rPr>
            </w:pPr>
            <w:r w:rsidRPr="00A557BB">
              <w:rPr>
                <w:sz w:val="20"/>
                <w:szCs w:val="20"/>
                <w:lang w:val="fr-FR" w:eastAsia="zh-CN"/>
              </w:rPr>
              <w:t>Kiribati</w:t>
            </w:r>
          </w:p>
        </w:tc>
        <w:tc>
          <w:tcPr>
            <w:tcW w:w="2927" w:type="dxa"/>
            <w:shd w:val="clear" w:color="auto" w:fill="auto"/>
            <w:tcMar>
              <w:top w:w="0" w:type="dxa"/>
              <w:left w:w="108" w:type="dxa"/>
              <w:bottom w:w="0" w:type="dxa"/>
              <w:right w:w="108" w:type="dxa"/>
            </w:tcMar>
          </w:tcPr>
          <w:p w14:paraId="0C80F094"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499A1CB5"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60E97016" w14:textId="77777777" w:rsidTr="001416F8">
        <w:trPr>
          <w:trHeight w:val="186"/>
        </w:trPr>
        <w:tc>
          <w:tcPr>
            <w:tcW w:w="3006" w:type="dxa"/>
            <w:shd w:val="clear" w:color="auto" w:fill="auto"/>
            <w:tcMar>
              <w:top w:w="0" w:type="dxa"/>
              <w:left w:w="108" w:type="dxa"/>
              <w:bottom w:w="0" w:type="dxa"/>
              <w:right w:w="108" w:type="dxa"/>
            </w:tcMar>
            <w:hideMark/>
          </w:tcPr>
          <w:p w14:paraId="59DE25D3" w14:textId="77777777" w:rsidR="00683B86" w:rsidRPr="00A557BB" w:rsidRDefault="00683B86" w:rsidP="00445E81">
            <w:pPr>
              <w:rPr>
                <w:sz w:val="20"/>
                <w:szCs w:val="20"/>
                <w:lang w:val="fr-FR" w:eastAsia="zh-CN"/>
              </w:rPr>
            </w:pPr>
            <w:r w:rsidRPr="00A557BB">
              <w:rPr>
                <w:sz w:val="20"/>
                <w:szCs w:val="20"/>
                <w:lang w:val="fr-FR" w:eastAsia="zh-CN"/>
              </w:rPr>
              <w:t>Koweït</w:t>
            </w:r>
          </w:p>
        </w:tc>
        <w:tc>
          <w:tcPr>
            <w:tcW w:w="2927" w:type="dxa"/>
            <w:shd w:val="clear" w:color="auto" w:fill="auto"/>
            <w:tcMar>
              <w:top w:w="0" w:type="dxa"/>
              <w:left w:w="108" w:type="dxa"/>
              <w:bottom w:w="0" w:type="dxa"/>
              <w:right w:w="108" w:type="dxa"/>
            </w:tcMar>
          </w:tcPr>
          <w:p w14:paraId="3A5DF0D6"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40ED0BC6"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011FA490" w14:textId="77777777" w:rsidTr="001416F8">
        <w:tc>
          <w:tcPr>
            <w:tcW w:w="3006" w:type="dxa"/>
            <w:shd w:val="clear" w:color="auto" w:fill="auto"/>
            <w:tcMar>
              <w:top w:w="0" w:type="dxa"/>
              <w:left w:w="108" w:type="dxa"/>
              <w:bottom w:w="0" w:type="dxa"/>
              <w:right w:w="108" w:type="dxa"/>
            </w:tcMar>
            <w:hideMark/>
          </w:tcPr>
          <w:p w14:paraId="767DEEEE" w14:textId="77777777" w:rsidR="00683B86" w:rsidRPr="00A557BB" w:rsidRDefault="00683B86" w:rsidP="00445E81">
            <w:pPr>
              <w:rPr>
                <w:sz w:val="20"/>
                <w:szCs w:val="20"/>
                <w:lang w:val="fr-FR" w:eastAsia="zh-CN"/>
              </w:rPr>
            </w:pPr>
            <w:r w:rsidRPr="00A557BB">
              <w:rPr>
                <w:sz w:val="20"/>
                <w:szCs w:val="20"/>
                <w:lang w:val="fr-FR" w:eastAsia="zh-CN"/>
              </w:rPr>
              <w:t>République démocratique populaire lao</w:t>
            </w:r>
          </w:p>
        </w:tc>
        <w:tc>
          <w:tcPr>
            <w:tcW w:w="2927" w:type="dxa"/>
            <w:shd w:val="clear" w:color="auto" w:fill="auto"/>
            <w:tcMar>
              <w:top w:w="0" w:type="dxa"/>
              <w:left w:w="108" w:type="dxa"/>
              <w:bottom w:w="0" w:type="dxa"/>
              <w:right w:w="108" w:type="dxa"/>
            </w:tcMar>
          </w:tcPr>
          <w:p w14:paraId="584412BA"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468F438F"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7260CB3C" w14:textId="77777777" w:rsidTr="001416F8">
        <w:tc>
          <w:tcPr>
            <w:tcW w:w="3006" w:type="dxa"/>
            <w:shd w:val="clear" w:color="auto" w:fill="auto"/>
            <w:tcMar>
              <w:top w:w="0" w:type="dxa"/>
              <w:left w:w="108" w:type="dxa"/>
              <w:bottom w:w="0" w:type="dxa"/>
              <w:right w:w="108" w:type="dxa"/>
            </w:tcMar>
          </w:tcPr>
          <w:p w14:paraId="35F8D319" w14:textId="77777777" w:rsidR="00683B86" w:rsidRPr="00A557BB" w:rsidRDefault="00683B86" w:rsidP="00445E81">
            <w:pPr>
              <w:rPr>
                <w:sz w:val="20"/>
                <w:szCs w:val="20"/>
                <w:lang w:val="fr-FR" w:eastAsia="zh-CN"/>
              </w:rPr>
            </w:pPr>
            <w:r w:rsidRPr="00A557BB">
              <w:rPr>
                <w:sz w:val="20"/>
                <w:szCs w:val="20"/>
                <w:lang w:val="fr-FR" w:eastAsia="zh-CN"/>
              </w:rPr>
              <w:t>Libéria</w:t>
            </w:r>
          </w:p>
        </w:tc>
        <w:tc>
          <w:tcPr>
            <w:tcW w:w="2927" w:type="dxa"/>
            <w:shd w:val="clear" w:color="auto" w:fill="auto"/>
            <w:tcMar>
              <w:top w:w="0" w:type="dxa"/>
              <w:left w:w="108" w:type="dxa"/>
              <w:bottom w:w="0" w:type="dxa"/>
              <w:right w:w="108" w:type="dxa"/>
            </w:tcMar>
          </w:tcPr>
          <w:p w14:paraId="25C7350F" w14:textId="77777777" w:rsidR="00683B86" w:rsidRPr="00A557BB" w:rsidRDefault="00683B86" w:rsidP="00445E81">
            <w:pPr>
              <w:rPr>
                <w:sz w:val="20"/>
                <w:szCs w:val="20"/>
                <w:lang w:val="fr-FR" w:eastAsia="zh-CN"/>
              </w:rPr>
            </w:pPr>
            <w:r w:rsidRPr="00A557BB">
              <w:rPr>
                <w:sz w:val="20"/>
                <w:szCs w:val="20"/>
                <w:lang w:val="fr-FR" w:eastAsia="zh-CN"/>
              </w:rPr>
              <w:t>Allemagne</w:t>
            </w:r>
          </w:p>
        </w:tc>
        <w:tc>
          <w:tcPr>
            <w:tcW w:w="3310" w:type="dxa"/>
            <w:shd w:val="clear" w:color="auto" w:fill="auto"/>
            <w:tcMar>
              <w:top w:w="0" w:type="dxa"/>
              <w:left w:w="108" w:type="dxa"/>
              <w:bottom w:w="0" w:type="dxa"/>
              <w:right w:w="108" w:type="dxa"/>
            </w:tcMar>
          </w:tcPr>
          <w:p w14:paraId="664B509F" w14:textId="77777777" w:rsidR="00683B86" w:rsidRPr="00A557BB" w:rsidRDefault="00683B86" w:rsidP="00445E81">
            <w:pPr>
              <w:jc w:val="center"/>
              <w:rPr>
                <w:sz w:val="20"/>
                <w:szCs w:val="20"/>
                <w:lang w:val="fr-FR" w:eastAsia="zh-CN"/>
              </w:rPr>
            </w:pPr>
            <w:r w:rsidRPr="00A557BB">
              <w:rPr>
                <w:sz w:val="20"/>
                <w:szCs w:val="20"/>
                <w:lang w:val="fr-FR" w:eastAsia="zh-CN"/>
              </w:rPr>
              <w:t>6 mois</w:t>
            </w:r>
          </w:p>
        </w:tc>
      </w:tr>
      <w:tr w:rsidR="00683B86" w:rsidRPr="00A557BB" w14:paraId="14312CBC" w14:textId="77777777" w:rsidTr="001416F8">
        <w:tc>
          <w:tcPr>
            <w:tcW w:w="3006" w:type="dxa"/>
            <w:shd w:val="clear" w:color="auto" w:fill="auto"/>
            <w:tcMar>
              <w:top w:w="0" w:type="dxa"/>
              <w:left w:w="108" w:type="dxa"/>
              <w:bottom w:w="0" w:type="dxa"/>
              <w:right w:w="108" w:type="dxa"/>
            </w:tcMar>
          </w:tcPr>
          <w:p w14:paraId="0661B715" w14:textId="77777777" w:rsidR="00683B86" w:rsidRPr="00A557BB" w:rsidRDefault="00683B86" w:rsidP="00445E81">
            <w:pPr>
              <w:rPr>
                <w:sz w:val="20"/>
                <w:szCs w:val="20"/>
                <w:lang w:val="fr-FR" w:eastAsia="zh-CN"/>
              </w:rPr>
            </w:pPr>
            <w:r w:rsidRPr="00A557BB">
              <w:rPr>
                <w:sz w:val="20"/>
                <w:szCs w:val="20"/>
                <w:lang w:val="fr-FR" w:eastAsia="zh-CN"/>
              </w:rPr>
              <w:t>Libye</w:t>
            </w:r>
          </w:p>
        </w:tc>
        <w:tc>
          <w:tcPr>
            <w:tcW w:w="2927" w:type="dxa"/>
            <w:shd w:val="clear" w:color="auto" w:fill="auto"/>
            <w:tcMar>
              <w:top w:w="0" w:type="dxa"/>
              <w:left w:w="108" w:type="dxa"/>
              <w:bottom w:w="0" w:type="dxa"/>
              <w:right w:w="108" w:type="dxa"/>
            </w:tcMar>
          </w:tcPr>
          <w:p w14:paraId="6DB964E3" w14:textId="77777777" w:rsidR="00683B86" w:rsidRPr="00A557BB" w:rsidRDefault="00683B86" w:rsidP="00445E81">
            <w:pPr>
              <w:rPr>
                <w:sz w:val="20"/>
                <w:szCs w:val="20"/>
                <w:lang w:val="fr-FR" w:eastAsia="zh-CN"/>
              </w:rPr>
            </w:pPr>
            <w:r w:rsidRPr="00A557BB">
              <w:rPr>
                <w:sz w:val="20"/>
                <w:szCs w:val="20"/>
                <w:lang w:val="fr-FR" w:eastAsia="zh-CN"/>
              </w:rPr>
              <w:t>ONUDI</w:t>
            </w:r>
          </w:p>
        </w:tc>
        <w:tc>
          <w:tcPr>
            <w:tcW w:w="3310" w:type="dxa"/>
            <w:shd w:val="clear" w:color="auto" w:fill="auto"/>
            <w:tcMar>
              <w:top w:w="0" w:type="dxa"/>
              <w:left w:w="108" w:type="dxa"/>
              <w:bottom w:w="0" w:type="dxa"/>
              <w:right w:w="108" w:type="dxa"/>
            </w:tcMar>
          </w:tcPr>
          <w:p w14:paraId="7C604482"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6FFF506B" w14:textId="77777777" w:rsidTr="001416F8">
        <w:tc>
          <w:tcPr>
            <w:tcW w:w="3006" w:type="dxa"/>
            <w:shd w:val="clear" w:color="auto" w:fill="auto"/>
            <w:tcMar>
              <w:top w:w="0" w:type="dxa"/>
              <w:left w:w="108" w:type="dxa"/>
              <w:bottom w:w="0" w:type="dxa"/>
              <w:right w:w="108" w:type="dxa"/>
            </w:tcMar>
            <w:hideMark/>
          </w:tcPr>
          <w:p w14:paraId="3D8DE55D" w14:textId="77777777" w:rsidR="00683B86" w:rsidRPr="00A557BB" w:rsidRDefault="00683B86" w:rsidP="00445E81">
            <w:pPr>
              <w:rPr>
                <w:sz w:val="20"/>
                <w:szCs w:val="20"/>
                <w:lang w:val="fr-FR" w:eastAsia="zh-CN"/>
              </w:rPr>
            </w:pPr>
            <w:r w:rsidRPr="00A557BB">
              <w:rPr>
                <w:sz w:val="20"/>
                <w:szCs w:val="20"/>
                <w:lang w:val="fr-FR" w:eastAsia="zh-CN"/>
              </w:rPr>
              <w:t>Madagascar</w:t>
            </w:r>
          </w:p>
        </w:tc>
        <w:tc>
          <w:tcPr>
            <w:tcW w:w="2927" w:type="dxa"/>
            <w:shd w:val="clear" w:color="auto" w:fill="auto"/>
            <w:tcMar>
              <w:top w:w="0" w:type="dxa"/>
              <w:left w:w="108" w:type="dxa"/>
              <w:bottom w:w="0" w:type="dxa"/>
              <w:right w:w="108" w:type="dxa"/>
            </w:tcMar>
          </w:tcPr>
          <w:p w14:paraId="07A4FC0D"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5F663B57"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3C822EB2" w14:textId="77777777" w:rsidTr="001416F8">
        <w:tc>
          <w:tcPr>
            <w:tcW w:w="3006" w:type="dxa"/>
            <w:shd w:val="clear" w:color="auto" w:fill="auto"/>
            <w:tcMar>
              <w:top w:w="0" w:type="dxa"/>
              <w:left w:w="108" w:type="dxa"/>
              <w:bottom w:w="0" w:type="dxa"/>
              <w:right w:w="108" w:type="dxa"/>
            </w:tcMar>
            <w:hideMark/>
          </w:tcPr>
          <w:p w14:paraId="30BD1494" w14:textId="77777777" w:rsidR="00683B86" w:rsidRPr="00A557BB" w:rsidRDefault="00683B86" w:rsidP="00445E81">
            <w:pPr>
              <w:rPr>
                <w:sz w:val="20"/>
                <w:szCs w:val="20"/>
                <w:lang w:val="fr-FR" w:eastAsia="zh-CN"/>
              </w:rPr>
            </w:pPr>
            <w:r w:rsidRPr="00A557BB">
              <w:rPr>
                <w:sz w:val="20"/>
                <w:szCs w:val="20"/>
                <w:lang w:val="fr-FR" w:eastAsia="zh-CN"/>
              </w:rPr>
              <w:t>Malawi</w:t>
            </w:r>
          </w:p>
        </w:tc>
        <w:tc>
          <w:tcPr>
            <w:tcW w:w="2927" w:type="dxa"/>
            <w:shd w:val="clear" w:color="auto" w:fill="auto"/>
            <w:tcMar>
              <w:top w:w="0" w:type="dxa"/>
              <w:left w:w="108" w:type="dxa"/>
              <w:bottom w:w="0" w:type="dxa"/>
              <w:right w:w="108" w:type="dxa"/>
            </w:tcMar>
          </w:tcPr>
          <w:p w14:paraId="60CB4768"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717F5238"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2F64A1F0" w14:textId="77777777" w:rsidTr="001416F8">
        <w:tc>
          <w:tcPr>
            <w:tcW w:w="3006" w:type="dxa"/>
            <w:shd w:val="clear" w:color="auto" w:fill="auto"/>
            <w:tcMar>
              <w:top w:w="0" w:type="dxa"/>
              <w:left w:w="108" w:type="dxa"/>
              <w:bottom w:w="0" w:type="dxa"/>
              <w:right w:w="108" w:type="dxa"/>
            </w:tcMar>
            <w:hideMark/>
          </w:tcPr>
          <w:p w14:paraId="69464258" w14:textId="77777777" w:rsidR="00683B86" w:rsidRPr="00A557BB" w:rsidRDefault="00683B86" w:rsidP="00445E81">
            <w:pPr>
              <w:rPr>
                <w:sz w:val="20"/>
                <w:szCs w:val="20"/>
                <w:lang w:val="fr-FR" w:eastAsia="zh-CN"/>
              </w:rPr>
            </w:pPr>
            <w:r w:rsidRPr="00A557BB">
              <w:rPr>
                <w:sz w:val="20"/>
                <w:szCs w:val="20"/>
                <w:lang w:val="fr-FR" w:eastAsia="zh-CN"/>
              </w:rPr>
              <w:t>Mali</w:t>
            </w:r>
          </w:p>
        </w:tc>
        <w:tc>
          <w:tcPr>
            <w:tcW w:w="2927" w:type="dxa"/>
            <w:shd w:val="clear" w:color="auto" w:fill="auto"/>
            <w:tcMar>
              <w:top w:w="0" w:type="dxa"/>
              <w:left w:w="108" w:type="dxa"/>
              <w:bottom w:w="0" w:type="dxa"/>
              <w:right w:w="108" w:type="dxa"/>
            </w:tcMar>
          </w:tcPr>
          <w:p w14:paraId="476C2873"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1B588EA2"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71A5A2FD" w14:textId="77777777" w:rsidTr="001416F8">
        <w:tc>
          <w:tcPr>
            <w:tcW w:w="3006" w:type="dxa"/>
            <w:shd w:val="clear" w:color="auto" w:fill="auto"/>
            <w:tcMar>
              <w:top w:w="0" w:type="dxa"/>
              <w:left w:w="108" w:type="dxa"/>
              <w:bottom w:w="0" w:type="dxa"/>
              <w:right w:w="108" w:type="dxa"/>
            </w:tcMar>
            <w:hideMark/>
          </w:tcPr>
          <w:p w14:paraId="42A539CC" w14:textId="77777777" w:rsidR="00683B86" w:rsidRPr="00A557BB" w:rsidRDefault="00683B86" w:rsidP="00445E81">
            <w:pPr>
              <w:rPr>
                <w:sz w:val="20"/>
                <w:szCs w:val="20"/>
                <w:lang w:val="fr-FR" w:eastAsia="zh-CN"/>
              </w:rPr>
            </w:pPr>
            <w:r w:rsidRPr="00A557BB">
              <w:rPr>
                <w:sz w:val="20"/>
                <w:szCs w:val="20"/>
                <w:lang w:val="fr-FR" w:eastAsia="zh-CN"/>
              </w:rPr>
              <w:t>Iles Marshall</w:t>
            </w:r>
          </w:p>
        </w:tc>
        <w:tc>
          <w:tcPr>
            <w:tcW w:w="2927" w:type="dxa"/>
            <w:shd w:val="clear" w:color="auto" w:fill="auto"/>
            <w:tcMar>
              <w:top w:w="0" w:type="dxa"/>
              <w:left w:w="108" w:type="dxa"/>
              <w:bottom w:w="0" w:type="dxa"/>
              <w:right w:w="108" w:type="dxa"/>
            </w:tcMar>
          </w:tcPr>
          <w:p w14:paraId="57A71722"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402F4CE4"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3AD4A581" w14:textId="77777777" w:rsidTr="001416F8">
        <w:tc>
          <w:tcPr>
            <w:tcW w:w="3006" w:type="dxa"/>
            <w:shd w:val="clear" w:color="auto" w:fill="auto"/>
            <w:tcMar>
              <w:top w:w="0" w:type="dxa"/>
              <w:left w:w="108" w:type="dxa"/>
              <w:bottom w:w="0" w:type="dxa"/>
              <w:right w:w="108" w:type="dxa"/>
            </w:tcMar>
            <w:hideMark/>
          </w:tcPr>
          <w:p w14:paraId="7A6AADC8" w14:textId="77777777" w:rsidR="00683B86" w:rsidRPr="00A557BB" w:rsidRDefault="00683B86" w:rsidP="00445E81">
            <w:pPr>
              <w:rPr>
                <w:sz w:val="20"/>
                <w:szCs w:val="20"/>
                <w:lang w:val="fr-FR" w:eastAsia="zh-CN"/>
              </w:rPr>
            </w:pPr>
            <w:r w:rsidRPr="00A557BB">
              <w:rPr>
                <w:sz w:val="20"/>
                <w:szCs w:val="20"/>
                <w:lang w:val="fr-FR" w:eastAsia="zh-CN"/>
              </w:rPr>
              <w:t>Mauritanie</w:t>
            </w:r>
          </w:p>
        </w:tc>
        <w:tc>
          <w:tcPr>
            <w:tcW w:w="2927" w:type="dxa"/>
            <w:shd w:val="clear" w:color="auto" w:fill="auto"/>
            <w:tcMar>
              <w:top w:w="0" w:type="dxa"/>
              <w:left w:w="108" w:type="dxa"/>
              <w:bottom w:w="0" w:type="dxa"/>
              <w:right w:w="108" w:type="dxa"/>
            </w:tcMar>
          </w:tcPr>
          <w:p w14:paraId="6999C4D2"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4B208D2C"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6DF2EEC2" w14:textId="77777777" w:rsidTr="001416F8">
        <w:tc>
          <w:tcPr>
            <w:tcW w:w="3006" w:type="dxa"/>
            <w:shd w:val="clear" w:color="auto" w:fill="auto"/>
            <w:tcMar>
              <w:top w:w="0" w:type="dxa"/>
              <w:left w:w="108" w:type="dxa"/>
              <w:bottom w:w="0" w:type="dxa"/>
              <w:right w:w="108" w:type="dxa"/>
            </w:tcMar>
            <w:hideMark/>
          </w:tcPr>
          <w:p w14:paraId="0ADE1B83" w14:textId="77777777" w:rsidR="00683B86" w:rsidRPr="00A557BB" w:rsidRDefault="00683B86" w:rsidP="00445E81">
            <w:pPr>
              <w:rPr>
                <w:sz w:val="20"/>
                <w:szCs w:val="20"/>
                <w:lang w:val="fr-FR" w:eastAsia="zh-CN"/>
              </w:rPr>
            </w:pPr>
            <w:r w:rsidRPr="00A557BB">
              <w:rPr>
                <w:sz w:val="20"/>
                <w:szCs w:val="20"/>
                <w:lang w:val="fr-FR" w:eastAsia="zh-CN"/>
              </w:rPr>
              <w:t>Micronésie (États fédérés de)</w:t>
            </w:r>
          </w:p>
        </w:tc>
        <w:tc>
          <w:tcPr>
            <w:tcW w:w="2927" w:type="dxa"/>
            <w:shd w:val="clear" w:color="auto" w:fill="auto"/>
            <w:tcMar>
              <w:top w:w="0" w:type="dxa"/>
              <w:left w:w="108" w:type="dxa"/>
              <w:bottom w:w="0" w:type="dxa"/>
              <w:right w:w="108" w:type="dxa"/>
            </w:tcMar>
          </w:tcPr>
          <w:p w14:paraId="05D2154F"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67882B53"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7AC9E984" w14:textId="77777777" w:rsidTr="001416F8">
        <w:tc>
          <w:tcPr>
            <w:tcW w:w="3006" w:type="dxa"/>
            <w:shd w:val="clear" w:color="auto" w:fill="auto"/>
            <w:tcMar>
              <w:top w:w="0" w:type="dxa"/>
              <w:left w:w="108" w:type="dxa"/>
              <w:bottom w:w="0" w:type="dxa"/>
              <w:right w:w="108" w:type="dxa"/>
            </w:tcMar>
          </w:tcPr>
          <w:p w14:paraId="1BBE7FFD" w14:textId="77777777" w:rsidR="00683B86" w:rsidRPr="00A557BB" w:rsidRDefault="00683B86" w:rsidP="00445E81">
            <w:pPr>
              <w:rPr>
                <w:sz w:val="20"/>
                <w:szCs w:val="20"/>
                <w:lang w:val="fr-FR" w:eastAsia="zh-CN"/>
              </w:rPr>
            </w:pPr>
            <w:r w:rsidRPr="00A557BB">
              <w:rPr>
                <w:sz w:val="20"/>
                <w:szCs w:val="20"/>
                <w:lang w:val="fr-FR" w:eastAsia="zh-CN"/>
              </w:rPr>
              <w:t>Maroc</w:t>
            </w:r>
          </w:p>
        </w:tc>
        <w:tc>
          <w:tcPr>
            <w:tcW w:w="2927" w:type="dxa"/>
            <w:shd w:val="clear" w:color="auto" w:fill="auto"/>
            <w:tcMar>
              <w:top w:w="0" w:type="dxa"/>
              <w:left w:w="108" w:type="dxa"/>
              <w:bottom w:w="0" w:type="dxa"/>
              <w:right w:w="108" w:type="dxa"/>
            </w:tcMar>
          </w:tcPr>
          <w:p w14:paraId="7640DBF5" w14:textId="77777777" w:rsidR="00683B86" w:rsidRPr="00A557BB" w:rsidRDefault="00683B86" w:rsidP="00445E81">
            <w:pPr>
              <w:rPr>
                <w:sz w:val="20"/>
                <w:szCs w:val="20"/>
                <w:lang w:val="fr-FR" w:eastAsia="zh-CN"/>
              </w:rPr>
            </w:pPr>
            <w:r w:rsidRPr="00A557BB">
              <w:rPr>
                <w:sz w:val="20"/>
                <w:szCs w:val="20"/>
                <w:lang w:val="fr-FR" w:eastAsia="zh-CN"/>
              </w:rPr>
              <w:t>ONUDI</w:t>
            </w:r>
          </w:p>
        </w:tc>
        <w:tc>
          <w:tcPr>
            <w:tcW w:w="3310" w:type="dxa"/>
            <w:shd w:val="clear" w:color="auto" w:fill="auto"/>
            <w:tcMar>
              <w:top w:w="0" w:type="dxa"/>
              <w:left w:w="108" w:type="dxa"/>
              <w:bottom w:w="0" w:type="dxa"/>
              <w:right w:w="108" w:type="dxa"/>
            </w:tcMar>
          </w:tcPr>
          <w:p w14:paraId="3143380C"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0387FD47" w14:textId="77777777" w:rsidTr="001416F8">
        <w:tc>
          <w:tcPr>
            <w:tcW w:w="3006" w:type="dxa"/>
            <w:shd w:val="clear" w:color="auto" w:fill="auto"/>
            <w:tcMar>
              <w:top w:w="0" w:type="dxa"/>
              <w:left w:w="108" w:type="dxa"/>
              <w:bottom w:w="0" w:type="dxa"/>
              <w:right w:w="108" w:type="dxa"/>
            </w:tcMar>
            <w:hideMark/>
          </w:tcPr>
          <w:p w14:paraId="2F105FE5" w14:textId="77777777" w:rsidR="00683B86" w:rsidRPr="00A557BB" w:rsidRDefault="00683B86" w:rsidP="00445E81">
            <w:pPr>
              <w:rPr>
                <w:sz w:val="20"/>
                <w:szCs w:val="20"/>
                <w:lang w:val="fr-FR" w:eastAsia="zh-CN"/>
              </w:rPr>
            </w:pPr>
            <w:r w:rsidRPr="00A557BB">
              <w:rPr>
                <w:sz w:val="20"/>
                <w:szCs w:val="20"/>
                <w:lang w:val="fr-FR" w:eastAsia="zh-CN"/>
              </w:rPr>
              <w:t>Mozambique</w:t>
            </w:r>
          </w:p>
        </w:tc>
        <w:tc>
          <w:tcPr>
            <w:tcW w:w="2927" w:type="dxa"/>
            <w:shd w:val="clear" w:color="auto" w:fill="auto"/>
            <w:tcMar>
              <w:top w:w="0" w:type="dxa"/>
              <w:left w:w="108" w:type="dxa"/>
              <w:bottom w:w="0" w:type="dxa"/>
              <w:right w:w="108" w:type="dxa"/>
            </w:tcMar>
          </w:tcPr>
          <w:p w14:paraId="223BA03F"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647F525F"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544B6A9B" w14:textId="77777777" w:rsidTr="001416F8">
        <w:tc>
          <w:tcPr>
            <w:tcW w:w="3006" w:type="dxa"/>
            <w:shd w:val="clear" w:color="auto" w:fill="auto"/>
            <w:tcMar>
              <w:top w:w="0" w:type="dxa"/>
              <w:left w:w="108" w:type="dxa"/>
              <w:bottom w:w="0" w:type="dxa"/>
              <w:right w:w="108" w:type="dxa"/>
            </w:tcMar>
            <w:hideMark/>
          </w:tcPr>
          <w:p w14:paraId="130C3C73" w14:textId="77777777" w:rsidR="00683B86" w:rsidRPr="00A557BB" w:rsidRDefault="00683B86" w:rsidP="00445E81">
            <w:pPr>
              <w:rPr>
                <w:sz w:val="20"/>
                <w:szCs w:val="20"/>
                <w:lang w:val="fr-FR" w:eastAsia="zh-CN"/>
              </w:rPr>
            </w:pPr>
            <w:r w:rsidRPr="00A557BB">
              <w:rPr>
                <w:sz w:val="20"/>
                <w:szCs w:val="20"/>
                <w:lang w:val="fr-FR" w:eastAsia="zh-CN"/>
              </w:rPr>
              <w:t>Myanmar</w:t>
            </w:r>
          </w:p>
        </w:tc>
        <w:tc>
          <w:tcPr>
            <w:tcW w:w="2927" w:type="dxa"/>
            <w:shd w:val="clear" w:color="auto" w:fill="auto"/>
            <w:tcMar>
              <w:top w:w="0" w:type="dxa"/>
              <w:left w:w="108" w:type="dxa"/>
              <w:bottom w:w="0" w:type="dxa"/>
              <w:right w:w="108" w:type="dxa"/>
            </w:tcMar>
          </w:tcPr>
          <w:p w14:paraId="5777CF55"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2A59DBA1"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6D2A2ADB" w14:textId="77777777" w:rsidTr="001416F8">
        <w:tc>
          <w:tcPr>
            <w:tcW w:w="3006" w:type="dxa"/>
            <w:shd w:val="clear" w:color="auto" w:fill="auto"/>
            <w:tcMar>
              <w:top w:w="0" w:type="dxa"/>
              <w:left w:w="108" w:type="dxa"/>
              <w:bottom w:w="0" w:type="dxa"/>
              <w:right w:w="108" w:type="dxa"/>
            </w:tcMar>
            <w:hideMark/>
          </w:tcPr>
          <w:p w14:paraId="6C45A235" w14:textId="77777777" w:rsidR="00683B86" w:rsidRPr="00A557BB" w:rsidRDefault="00683B86" w:rsidP="00445E81">
            <w:pPr>
              <w:rPr>
                <w:sz w:val="20"/>
                <w:szCs w:val="20"/>
                <w:lang w:val="fr-FR" w:eastAsia="zh-CN"/>
              </w:rPr>
            </w:pPr>
            <w:r w:rsidRPr="00A557BB">
              <w:rPr>
                <w:sz w:val="20"/>
                <w:szCs w:val="20"/>
                <w:lang w:val="fr-FR" w:eastAsia="zh-CN"/>
              </w:rPr>
              <w:t>Nauru</w:t>
            </w:r>
          </w:p>
        </w:tc>
        <w:tc>
          <w:tcPr>
            <w:tcW w:w="2927" w:type="dxa"/>
            <w:shd w:val="clear" w:color="auto" w:fill="auto"/>
            <w:tcMar>
              <w:top w:w="0" w:type="dxa"/>
              <w:left w:w="108" w:type="dxa"/>
              <w:bottom w:w="0" w:type="dxa"/>
              <w:right w:w="108" w:type="dxa"/>
            </w:tcMar>
          </w:tcPr>
          <w:p w14:paraId="466CCCA8"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56F4172E"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4983A5F1" w14:textId="77777777" w:rsidTr="001416F8">
        <w:tc>
          <w:tcPr>
            <w:tcW w:w="3006" w:type="dxa"/>
            <w:shd w:val="clear" w:color="auto" w:fill="auto"/>
            <w:tcMar>
              <w:top w:w="0" w:type="dxa"/>
              <w:left w:w="108" w:type="dxa"/>
              <w:bottom w:w="0" w:type="dxa"/>
              <w:right w:w="108" w:type="dxa"/>
            </w:tcMar>
            <w:hideMark/>
          </w:tcPr>
          <w:p w14:paraId="05BB0A06" w14:textId="77777777" w:rsidR="00683B86" w:rsidRPr="00A557BB" w:rsidRDefault="00683B86" w:rsidP="00445E81">
            <w:pPr>
              <w:rPr>
                <w:sz w:val="20"/>
                <w:szCs w:val="20"/>
                <w:lang w:val="fr-FR" w:eastAsia="zh-CN"/>
              </w:rPr>
            </w:pPr>
            <w:r w:rsidRPr="00A557BB">
              <w:rPr>
                <w:sz w:val="20"/>
                <w:szCs w:val="20"/>
                <w:lang w:val="fr-FR" w:eastAsia="zh-CN"/>
              </w:rPr>
              <w:t>Népal</w:t>
            </w:r>
          </w:p>
        </w:tc>
        <w:tc>
          <w:tcPr>
            <w:tcW w:w="2927" w:type="dxa"/>
            <w:shd w:val="clear" w:color="auto" w:fill="auto"/>
            <w:tcMar>
              <w:top w:w="0" w:type="dxa"/>
              <w:left w:w="108" w:type="dxa"/>
              <w:bottom w:w="0" w:type="dxa"/>
              <w:right w:w="108" w:type="dxa"/>
            </w:tcMar>
          </w:tcPr>
          <w:p w14:paraId="737C4265"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010C2211"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6F1632D2" w14:textId="77777777" w:rsidTr="001416F8">
        <w:tc>
          <w:tcPr>
            <w:tcW w:w="3006" w:type="dxa"/>
            <w:shd w:val="clear" w:color="auto" w:fill="auto"/>
            <w:tcMar>
              <w:top w:w="0" w:type="dxa"/>
              <w:left w:w="108" w:type="dxa"/>
              <w:bottom w:w="0" w:type="dxa"/>
              <w:right w:w="108" w:type="dxa"/>
            </w:tcMar>
          </w:tcPr>
          <w:p w14:paraId="5A81D821" w14:textId="77777777" w:rsidR="00683B86" w:rsidRPr="00A557BB" w:rsidRDefault="00683B86" w:rsidP="00445E81">
            <w:pPr>
              <w:rPr>
                <w:sz w:val="20"/>
                <w:szCs w:val="20"/>
                <w:lang w:val="fr-FR" w:eastAsia="zh-CN"/>
              </w:rPr>
            </w:pPr>
            <w:r w:rsidRPr="00A557BB">
              <w:rPr>
                <w:sz w:val="20"/>
                <w:szCs w:val="20"/>
                <w:lang w:val="fr-FR" w:eastAsia="zh-CN"/>
              </w:rPr>
              <w:t>Nicaragua</w:t>
            </w:r>
          </w:p>
        </w:tc>
        <w:tc>
          <w:tcPr>
            <w:tcW w:w="2927" w:type="dxa"/>
            <w:shd w:val="clear" w:color="auto" w:fill="auto"/>
            <w:tcMar>
              <w:top w:w="0" w:type="dxa"/>
              <w:left w:w="108" w:type="dxa"/>
              <w:bottom w:w="0" w:type="dxa"/>
              <w:right w:w="108" w:type="dxa"/>
            </w:tcMar>
          </w:tcPr>
          <w:p w14:paraId="424D5D87" w14:textId="77777777" w:rsidR="00683B86" w:rsidRPr="00A557BB" w:rsidRDefault="00683B86" w:rsidP="00445E81">
            <w:pPr>
              <w:rPr>
                <w:sz w:val="20"/>
                <w:szCs w:val="20"/>
                <w:lang w:val="fr-FR" w:eastAsia="zh-CN"/>
              </w:rPr>
            </w:pPr>
            <w:r w:rsidRPr="00A557BB">
              <w:rPr>
                <w:sz w:val="20"/>
                <w:szCs w:val="20"/>
                <w:lang w:val="fr-FR" w:eastAsia="zh-CN"/>
              </w:rPr>
              <w:t>ONUDI</w:t>
            </w:r>
          </w:p>
        </w:tc>
        <w:tc>
          <w:tcPr>
            <w:tcW w:w="3310" w:type="dxa"/>
            <w:shd w:val="clear" w:color="auto" w:fill="auto"/>
            <w:tcMar>
              <w:top w:w="0" w:type="dxa"/>
              <w:left w:w="108" w:type="dxa"/>
              <w:bottom w:w="0" w:type="dxa"/>
              <w:right w:w="108" w:type="dxa"/>
            </w:tcMar>
          </w:tcPr>
          <w:p w14:paraId="2D09E155"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70B2C6F7" w14:textId="77777777" w:rsidTr="001416F8">
        <w:tc>
          <w:tcPr>
            <w:tcW w:w="3006" w:type="dxa"/>
            <w:shd w:val="clear" w:color="auto" w:fill="auto"/>
            <w:tcMar>
              <w:top w:w="0" w:type="dxa"/>
              <w:left w:w="108" w:type="dxa"/>
              <w:bottom w:w="0" w:type="dxa"/>
              <w:right w:w="108" w:type="dxa"/>
            </w:tcMar>
          </w:tcPr>
          <w:p w14:paraId="41A8A44A" w14:textId="77777777" w:rsidR="00683B86" w:rsidRPr="00A557BB" w:rsidRDefault="00683B86" w:rsidP="00445E81">
            <w:pPr>
              <w:rPr>
                <w:sz w:val="20"/>
                <w:szCs w:val="20"/>
                <w:lang w:val="fr-FR" w:eastAsia="zh-CN"/>
              </w:rPr>
            </w:pPr>
            <w:r w:rsidRPr="00A557BB">
              <w:rPr>
                <w:sz w:val="20"/>
                <w:szCs w:val="20"/>
                <w:lang w:val="fr-FR" w:eastAsia="zh-CN"/>
              </w:rPr>
              <w:t xml:space="preserve">Niger </w:t>
            </w:r>
          </w:p>
        </w:tc>
        <w:tc>
          <w:tcPr>
            <w:tcW w:w="2927" w:type="dxa"/>
            <w:shd w:val="clear" w:color="auto" w:fill="auto"/>
            <w:tcMar>
              <w:top w:w="0" w:type="dxa"/>
              <w:left w:w="108" w:type="dxa"/>
              <w:bottom w:w="0" w:type="dxa"/>
              <w:right w:w="108" w:type="dxa"/>
            </w:tcMar>
          </w:tcPr>
          <w:p w14:paraId="7DB38A6A" w14:textId="77777777" w:rsidR="00683B86" w:rsidRPr="00A557BB" w:rsidRDefault="00683B86" w:rsidP="00445E81">
            <w:pPr>
              <w:rPr>
                <w:sz w:val="20"/>
                <w:szCs w:val="20"/>
                <w:lang w:val="fr-FR" w:eastAsia="zh-CN"/>
              </w:rPr>
            </w:pPr>
            <w:r w:rsidRPr="00A557BB">
              <w:rPr>
                <w:sz w:val="20"/>
                <w:szCs w:val="20"/>
                <w:lang w:val="fr-FR" w:eastAsia="zh-CN"/>
              </w:rPr>
              <w:t>ONUDI</w:t>
            </w:r>
          </w:p>
        </w:tc>
        <w:tc>
          <w:tcPr>
            <w:tcW w:w="3310" w:type="dxa"/>
            <w:shd w:val="clear" w:color="auto" w:fill="auto"/>
            <w:tcMar>
              <w:top w:w="0" w:type="dxa"/>
              <w:left w:w="108" w:type="dxa"/>
              <w:bottom w:w="0" w:type="dxa"/>
              <w:right w:w="108" w:type="dxa"/>
            </w:tcMar>
          </w:tcPr>
          <w:p w14:paraId="6BD1F50C"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374BC2E2" w14:textId="77777777" w:rsidTr="001416F8">
        <w:tc>
          <w:tcPr>
            <w:tcW w:w="3006" w:type="dxa"/>
            <w:shd w:val="clear" w:color="auto" w:fill="auto"/>
            <w:tcMar>
              <w:top w:w="0" w:type="dxa"/>
              <w:left w:w="108" w:type="dxa"/>
              <w:bottom w:w="0" w:type="dxa"/>
              <w:right w:w="108" w:type="dxa"/>
            </w:tcMar>
            <w:hideMark/>
          </w:tcPr>
          <w:p w14:paraId="1587EA71" w14:textId="77777777" w:rsidR="00683B86" w:rsidRPr="00A557BB" w:rsidRDefault="00683B86" w:rsidP="00445E81">
            <w:pPr>
              <w:rPr>
                <w:sz w:val="20"/>
                <w:szCs w:val="20"/>
                <w:lang w:val="fr-FR" w:eastAsia="zh-CN"/>
              </w:rPr>
            </w:pPr>
            <w:r w:rsidRPr="00A557BB">
              <w:rPr>
                <w:sz w:val="20"/>
                <w:szCs w:val="20"/>
                <w:lang w:val="fr-FR" w:eastAsia="zh-CN"/>
              </w:rPr>
              <w:t>Nioué</w:t>
            </w:r>
          </w:p>
        </w:tc>
        <w:tc>
          <w:tcPr>
            <w:tcW w:w="2927" w:type="dxa"/>
            <w:shd w:val="clear" w:color="auto" w:fill="auto"/>
            <w:tcMar>
              <w:top w:w="0" w:type="dxa"/>
              <w:left w:w="108" w:type="dxa"/>
              <w:bottom w:w="0" w:type="dxa"/>
              <w:right w:w="108" w:type="dxa"/>
            </w:tcMar>
          </w:tcPr>
          <w:p w14:paraId="1A39BC82"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34017755"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7937DAB9" w14:textId="77777777" w:rsidTr="001416F8">
        <w:tc>
          <w:tcPr>
            <w:tcW w:w="3006" w:type="dxa"/>
            <w:shd w:val="clear" w:color="auto" w:fill="auto"/>
            <w:tcMar>
              <w:top w:w="0" w:type="dxa"/>
              <w:left w:w="108" w:type="dxa"/>
              <w:bottom w:w="0" w:type="dxa"/>
              <w:right w:w="108" w:type="dxa"/>
            </w:tcMar>
            <w:hideMark/>
          </w:tcPr>
          <w:p w14:paraId="70802B1F" w14:textId="77777777" w:rsidR="00683B86" w:rsidRPr="00A557BB" w:rsidRDefault="00683B86" w:rsidP="00445E81">
            <w:pPr>
              <w:rPr>
                <w:sz w:val="20"/>
                <w:szCs w:val="20"/>
                <w:lang w:val="fr-FR" w:eastAsia="zh-CN"/>
              </w:rPr>
            </w:pPr>
            <w:r w:rsidRPr="00A557BB">
              <w:rPr>
                <w:sz w:val="20"/>
                <w:szCs w:val="20"/>
                <w:lang w:val="fr-FR" w:eastAsia="zh-CN"/>
              </w:rPr>
              <w:t>Oman</w:t>
            </w:r>
          </w:p>
        </w:tc>
        <w:tc>
          <w:tcPr>
            <w:tcW w:w="2927" w:type="dxa"/>
            <w:shd w:val="clear" w:color="auto" w:fill="auto"/>
            <w:tcMar>
              <w:top w:w="0" w:type="dxa"/>
              <w:left w:w="108" w:type="dxa"/>
              <w:bottom w:w="0" w:type="dxa"/>
              <w:right w:w="108" w:type="dxa"/>
            </w:tcMar>
          </w:tcPr>
          <w:p w14:paraId="000327FF"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14220C20"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26D7524F" w14:textId="77777777" w:rsidTr="001416F8">
        <w:tc>
          <w:tcPr>
            <w:tcW w:w="3006" w:type="dxa"/>
            <w:shd w:val="clear" w:color="auto" w:fill="auto"/>
            <w:tcMar>
              <w:top w:w="0" w:type="dxa"/>
              <w:left w:w="108" w:type="dxa"/>
              <w:bottom w:w="0" w:type="dxa"/>
              <w:right w:w="108" w:type="dxa"/>
            </w:tcMar>
            <w:hideMark/>
          </w:tcPr>
          <w:p w14:paraId="6ECEF496" w14:textId="77777777" w:rsidR="00683B86" w:rsidRPr="00A557BB" w:rsidRDefault="00683B86" w:rsidP="00445E81">
            <w:pPr>
              <w:rPr>
                <w:sz w:val="20"/>
                <w:szCs w:val="20"/>
                <w:lang w:val="fr-FR" w:eastAsia="zh-CN"/>
              </w:rPr>
            </w:pPr>
            <w:r w:rsidRPr="00A557BB">
              <w:rPr>
                <w:sz w:val="20"/>
                <w:szCs w:val="20"/>
                <w:lang w:val="fr-FR" w:eastAsia="zh-CN"/>
              </w:rPr>
              <w:t>Pakistan</w:t>
            </w:r>
          </w:p>
        </w:tc>
        <w:tc>
          <w:tcPr>
            <w:tcW w:w="2927" w:type="dxa"/>
            <w:shd w:val="clear" w:color="auto" w:fill="auto"/>
            <w:tcMar>
              <w:top w:w="0" w:type="dxa"/>
              <w:left w:w="108" w:type="dxa"/>
              <w:bottom w:w="0" w:type="dxa"/>
              <w:right w:w="108" w:type="dxa"/>
            </w:tcMar>
          </w:tcPr>
          <w:p w14:paraId="148A0D04"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0F2202EF"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01FFC616" w14:textId="77777777" w:rsidTr="001416F8">
        <w:tc>
          <w:tcPr>
            <w:tcW w:w="3006" w:type="dxa"/>
            <w:shd w:val="clear" w:color="auto" w:fill="auto"/>
            <w:tcMar>
              <w:top w:w="0" w:type="dxa"/>
              <w:left w:w="108" w:type="dxa"/>
              <w:bottom w:w="0" w:type="dxa"/>
              <w:right w:w="108" w:type="dxa"/>
            </w:tcMar>
          </w:tcPr>
          <w:p w14:paraId="2D7D5F1E" w14:textId="77777777" w:rsidR="00683B86" w:rsidRPr="00A557BB" w:rsidRDefault="00683B86" w:rsidP="00445E81">
            <w:pPr>
              <w:rPr>
                <w:sz w:val="20"/>
                <w:szCs w:val="20"/>
                <w:lang w:val="fr-FR" w:eastAsia="zh-CN"/>
              </w:rPr>
            </w:pPr>
            <w:r w:rsidRPr="00A557BB">
              <w:rPr>
                <w:sz w:val="20"/>
                <w:szCs w:val="20"/>
                <w:lang w:val="fr-FR" w:eastAsia="zh-CN"/>
              </w:rPr>
              <w:t>Panama</w:t>
            </w:r>
          </w:p>
        </w:tc>
        <w:tc>
          <w:tcPr>
            <w:tcW w:w="2927" w:type="dxa"/>
            <w:shd w:val="clear" w:color="auto" w:fill="auto"/>
            <w:tcMar>
              <w:top w:w="0" w:type="dxa"/>
              <w:left w:w="108" w:type="dxa"/>
              <w:bottom w:w="0" w:type="dxa"/>
              <w:right w:w="108" w:type="dxa"/>
            </w:tcMar>
          </w:tcPr>
          <w:p w14:paraId="3DB6C123" w14:textId="77777777" w:rsidR="00683B86" w:rsidRPr="00A557BB" w:rsidRDefault="00683B86" w:rsidP="00445E81">
            <w:pPr>
              <w:rPr>
                <w:sz w:val="20"/>
                <w:szCs w:val="20"/>
                <w:lang w:val="fr-FR" w:eastAsia="zh-CN"/>
              </w:rPr>
            </w:pPr>
            <w:r w:rsidRPr="00A557BB">
              <w:rPr>
                <w:sz w:val="20"/>
                <w:szCs w:val="20"/>
                <w:lang w:val="fr-FR" w:eastAsia="zh-CN"/>
              </w:rPr>
              <w:t>PNUD**</w:t>
            </w:r>
          </w:p>
        </w:tc>
        <w:tc>
          <w:tcPr>
            <w:tcW w:w="3310" w:type="dxa"/>
            <w:shd w:val="clear" w:color="auto" w:fill="auto"/>
            <w:tcMar>
              <w:top w:w="0" w:type="dxa"/>
              <w:left w:w="108" w:type="dxa"/>
              <w:bottom w:w="0" w:type="dxa"/>
              <w:right w:w="108" w:type="dxa"/>
            </w:tcMar>
          </w:tcPr>
          <w:p w14:paraId="271C413F"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60150F51" w14:textId="77777777" w:rsidTr="001416F8">
        <w:tc>
          <w:tcPr>
            <w:tcW w:w="3006" w:type="dxa"/>
            <w:shd w:val="clear" w:color="auto" w:fill="auto"/>
            <w:tcMar>
              <w:top w:w="0" w:type="dxa"/>
              <w:left w:w="108" w:type="dxa"/>
              <w:bottom w:w="0" w:type="dxa"/>
              <w:right w:w="108" w:type="dxa"/>
            </w:tcMar>
          </w:tcPr>
          <w:p w14:paraId="4C5EF64F" w14:textId="77777777" w:rsidR="00683B86" w:rsidRPr="00A557BB" w:rsidRDefault="00683B86" w:rsidP="00445E81">
            <w:pPr>
              <w:rPr>
                <w:sz w:val="20"/>
                <w:szCs w:val="20"/>
                <w:lang w:val="fr-FR" w:eastAsia="zh-CN"/>
              </w:rPr>
            </w:pPr>
            <w:r w:rsidRPr="00A557BB">
              <w:rPr>
                <w:sz w:val="20"/>
                <w:szCs w:val="20"/>
                <w:lang w:val="fr-FR" w:eastAsia="zh-CN"/>
              </w:rPr>
              <w:t>Papouasie-Nouvelle-Guinée</w:t>
            </w:r>
          </w:p>
        </w:tc>
        <w:tc>
          <w:tcPr>
            <w:tcW w:w="2927" w:type="dxa"/>
            <w:shd w:val="clear" w:color="auto" w:fill="auto"/>
            <w:tcMar>
              <w:top w:w="0" w:type="dxa"/>
              <w:left w:w="108" w:type="dxa"/>
              <w:bottom w:w="0" w:type="dxa"/>
              <w:right w:w="108" w:type="dxa"/>
            </w:tcMar>
          </w:tcPr>
          <w:p w14:paraId="721C1701" w14:textId="77777777" w:rsidR="00683B86" w:rsidRPr="00A557BB" w:rsidRDefault="00683B86" w:rsidP="00445E81">
            <w:pPr>
              <w:rPr>
                <w:sz w:val="20"/>
                <w:szCs w:val="20"/>
                <w:lang w:val="fr-FR" w:eastAsia="zh-CN"/>
              </w:rPr>
            </w:pPr>
            <w:r w:rsidRPr="00A557BB">
              <w:rPr>
                <w:sz w:val="20"/>
                <w:szCs w:val="20"/>
                <w:lang w:val="fr-FR" w:eastAsia="zh-CN"/>
              </w:rPr>
              <w:t>Allemagne</w:t>
            </w:r>
          </w:p>
        </w:tc>
        <w:tc>
          <w:tcPr>
            <w:tcW w:w="3310" w:type="dxa"/>
            <w:shd w:val="clear" w:color="auto" w:fill="auto"/>
            <w:tcMar>
              <w:top w:w="0" w:type="dxa"/>
              <w:left w:w="108" w:type="dxa"/>
              <w:bottom w:w="0" w:type="dxa"/>
              <w:right w:w="108" w:type="dxa"/>
            </w:tcMar>
          </w:tcPr>
          <w:p w14:paraId="3AAB7E32" w14:textId="77777777" w:rsidR="00683B86" w:rsidRPr="00A557BB" w:rsidRDefault="00683B86" w:rsidP="00445E81">
            <w:pPr>
              <w:jc w:val="center"/>
              <w:rPr>
                <w:sz w:val="20"/>
                <w:szCs w:val="20"/>
                <w:lang w:val="fr-FR" w:eastAsia="zh-CN"/>
              </w:rPr>
            </w:pPr>
            <w:r w:rsidRPr="00A557BB">
              <w:rPr>
                <w:sz w:val="20"/>
                <w:szCs w:val="20"/>
                <w:lang w:val="fr-FR" w:eastAsia="zh-CN"/>
              </w:rPr>
              <w:t>6 mois</w:t>
            </w:r>
          </w:p>
        </w:tc>
      </w:tr>
      <w:tr w:rsidR="00683B86" w:rsidRPr="00A557BB" w14:paraId="561F5031" w14:textId="77777777" w:rsidTr="001416F8">
        <w:tc>
          <w:tcPr>
            <w:tcW w:w="3006" w:type="dxa"/>
            <w:shd w:val="clear" w:color="auto" w:fill="auto"/>
            <w:tcMar>
              <w:top w:w="0" w:type="dxa"/>
              <w:left w:w="108" w:type="dxa"/>
              <w:bottom w:w="0" w:type="dxa"/>
              <w:right w:w="108" w:type="dxa"/>
            </w:tcMar>
          </w:tcPr>
          <w:p w14:paraId="22F97763" w14:textId="77777777" w:rsidR="00683B86" w:rsidRPr="00A557BB" w:rsidRDefault="00683B86" w:rsidP="00445E81">
            <w:pPr>
              <w:rPr>
                <w:sz w:val="20"/>
                <w:szCs w:val="20"/>
                <w:lang w:val="fr-FR" w:eastAsia="zh-CN"/>
              </w:rPr>
            </w:pPr>
            <w:r w:rsidRPr="00A557BB">
              <w:rPr>
                <w:sz w:val="20"/>
                <w:szCs w:val="20"/>
                <w:lang w:val="fr-FR" w:eastAsia="zh-CN"/>
              </w:rPr>
              <w:t>Paraguay</w:t>
            </w:r>
          </w:p>
        </w:tc>
        <w:tc>
          <w:tcPr>
            <w:tcW w:w="2927" w:type="dxa"/>
            <w:shd w:val="clear" w:color="auto" w:fill="auto"/>
            <w:tcMar>
              <w:top w:w="0" w:type="dxa"/>
              <w:left w:w="108" w:type="dxa"/>
              <w:bottom w:w="0" w:type="dxa"/>
              <w:right w:w="108" w:type="dxa"/>
            </w:tcMar>
          </w:tcPr>
          <w:p w14:paraId="5765C617" w14:textId="77777777" w:rsidR="00683B86" w:rsidRPr="00A557BB" w:rsidRDefault="00683B86" w:rsidP="00445E81">
            <w:pPr>
              <w:rPr>
                <w:sz w:val="20"/>
                <w:szCs w:val="20"/>
                <w:lang w:val="fr-FR" w:eastAsia="zh-CN"/>
              </w:rPr>
            </w:pPr>
            <w:r w:rsidRPr="00A557BB">
              <w:rPr>
                <w:sz w:val="20"/>
                <w:szCs w:val="20"/>
                <w:lang w:val="fr-FR" w:eastAsia="zh-CN"/>
              </w:rPr>
              <w:t>PNUE*****</w:t>
            </w:r>
          </w:p>
        </w:tc>
        <w:tc>
          <w:tcPr>
            <w:tcW w:w="3310" w:type="dxa"/>
            <w:shd w:val="clear" w:color="auto" w:fill="auto"/>
            <w:tcMar>
              <w:top w:w="0" w:type="dxa"/>
              <w:left w:w="108" w:type="dxa"/>
              <w:bottom w:w="0" w:type="dxa"/>
              <w:right w:w="108" w:type="dxa"/>
            </w:tcMar>
          </w:tcPr>
          <w:p w14:paraId="766D31E0"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r w:rsidR="00683B86" w:rsidRPr="00A557BB" w14:paraId="1628DAE2" w14:textId="77777777" w:rsidTr="001416F8">
        <w:tc>
          <w:tcPr>
            <w:tcW w:w="3006" w:type="dxa"/>
            <w:shd w:val="clear" w:color="auto" w:fill="auto"/>
            <w:tcMar>
              <w:top w:w="0" w:type="dxa"/>
              <w:left w:w="108" w:type="dxa"/>
              <w:bottom w:w="0" w:type="dxa"/>
              <w:right w:w="108" w:type="dxa"/>
            </w:tcMar>
            <w:hideMark/>
          </w:tcPr>
          <w:p w14:paraId="0A543E59" w14:textId="77777777" w:rsidR="00683B86" w:rsidRPr="00A557BB" w:rsidRDefault="00683B86" w:rsidP="00445E81">
            <w:pPr>
              <w:rPr>
                <w:sz w:val="20"/>
                <w:szCs w:val="20"/>
                <w:lang w:val="fr-FR" w:eastAsia="zh-CN"/>
              </w:rPr>
            </w:pPr>
            <w:r w:rsidRPr="00A557BB">
              <w:rPr>
                <w:sz w:val="20"/>
                <w:szCs w:val="20"/>
                <w:lang w:val="fr-FR" w:eastAsia="zh-CN"/>
              </w:rPr>
              <w:t>Saint-Kitts-et-Nevis</w:t>
            </w:r>
          </w:p>
        </w:tc>
        <w:tc>
          <w:tcPr>
            <w:tcW w:w="2927" w:type="dxa"/>
            <w:shd w:val="clear" w:color="auto" w:fill="auto"/>
            <w:tcMar>
              <w:top w:w="0" w:type="dxa"/>
              <w:left w:w="108" w:type="dxa"/>
              <w:bottom w:w="0" w:type="dxa"/>
              <w:right w:w="108" w:type="dxa"/>
            </w:tcMar>
          </w:tcPr>
          <w:p w14:paraId="5CE887F0"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5FB3F773"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6269733E" w14:textId="77777777" w:rsidTr="001416F8">
        <w:tc>
          <w:tcPr>
            <w:tcW w:w="3006" w:type="dxa"/>
            <w:shd w:val="clear" w:color="auto" w:fill="auto"/>
            <w:tcMar>
              <w:top w:w="0" w:type="dxa"/>
              <w:left w:w="108" w:type="dxa"/>
              <w:bottom w:w="0" w:type="dxa"/>
              <w:right w:w="108" w:type="dxa"/>
            </w:tcMar>
            <w:hideMark/>
          </w:tcPr>
          <w:p w14:paraId="3861DD5A" w14:textId="77777777" w:rsidR="00683B86" w:rsidRPr="00A557BB" w:rsidRDefault="00683B86" w:rsidP="00445E81">
            <w:pPr>
              <w:rPr>
                <w:sz w:val="20"/>
                <w:szCs w:val="20"/>
                <w:lang w:val="fr-FR" w:eastAsia="zh-CN"/>
              </w:rPr>
            </w:pPr>
            <w:r w:rsidRPr="00A557BB">
              <w:rPr>
                <w:sz w:val="20"/>
                <w:szCs w:val="20"/>
                <w:lang w:val="fr-FR" w:eastAsia="zh-CN"/>
              </w:rPr>
              <w:lastRenderedPageBreak/>
              <w:t>Samoa</w:t>
            </w:r>
          </w:p>
        </w:tc>
        <w:tc>
          <w:tcPr>
            <w:tcW w:w="2927" w:type="dxa"/>
            <w:shd w:val="clear" w:color="auto" w:fill="auto"/>
            <w:tcMar>
              <w:top w:w="0" w:type="dxa"/>
              <w:left w:w="108" w:type="dxa"/>
              <w:bottom w:w="0" w:type="dxa"/>
              <w:right w:w="108" w:type="dxa"/>
            </w:tcMar>
          </w:tcPr>
          <w:p w14:paraId="1D75A9F4"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4605AA77"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0060591A" w14:textId="77777777" w:rsidTr="001416F8">
        <w:tc>
          <w:tcPr>
            <w:tcW w:w="3006" w:type="dxa"/>
            <w:shd w:val="clear" w:color="auto" w:fill="auto"/>
            <w:tcMar>
              <w:top w:w="0" w:type="dxa"/>
              <w:left w:w="108" w:type="dxa"/>
              <w:bottom w:w="0" w:type="dxa"/>
              <w:right w:w="108" w:type="dxa"/>
            </w:tcMar>
            <w:hideMark/>
          </w:tcPr>
          <w:p w14:paraId="0276ED77" w14:textId="77777777" w:rsidR="00683B86" w:rsidRPr="00A557BB" w:rsidRDefault="00683B86" w:rsidP="00445E81">
            <w:pPr>
              <w:rPr>
                <w:sz w:val="20"/>
                <w:szCs w:val="20"/>
                <w:lang w:val="fr-FR" w:eastAsia="zh-CN"/>
              </w:rPr>
            </w:pPr>
            <w:r w:rsidRPr="00A557BB">
              <w:rPr>
                <w:sz w:val="20"/>
                <w:szCs w:val="20"/>
                <w:lang w:val="fr-FR" w:eastAsia="zh-CN"/>
              </w:rPr>
              <w:t>Sao Tomé-et-Principe</w:t>
            </w:r>
          </w:p>
        </w:tc>
        <w:tc>
          <w:tcPr>
            <w:tcW w:w="2927" w:type="dxa"/>
            <w:shd w:val="clear" w:color="auto" w:fill="auto"/>
            <w:tcMar>
              <w:top w:w="0" w:type="dxa"/>
              <w:left w:w="108" w:type="dxa"/>
              <w:bottom w:w="0" w:type="dxa"/>
              <w:right w:w="108" w:type="dxa"/>
            </w:tcMar>
          </w:tcPr>
          <w:p w14:paraId="27809CD6"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0C0D96D6"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7E93EA51" w14:textId="77777777" w:rsidTr="001416F8">
        <w:tc>
          <w:tcPr>
            <w:tcW w:w="3006" w:type="dxa"/>
            <w:shd w:val="clear" w:color="auto" w:fill="auto"/>
            <w:tcMar>
              <w:top w:w="0" w:type="dxa"/>
              <w:left w:w="108" w:type="dxa"/>
              <w:bottom w:w="0" w:type="dxa"/>
              <w:right w:w="108" w:type="dxa"/>
            </w:tcMar>
            <w:hideMark/>
          </w:tcPr>
          <w:p w14:paraId="0B46E742" w14:textId="77777777" w:rsidR="00683B86" w:rsidRPr="00A557BB" w:rsidRDefault="00683B86" w:rsidP="00445E81">
            <w:pPr>
              <w:rPr>
                <w:sz w:val="20"/>
                <w:szCs w:val="20"/>
                <w:lang w:val="fr-FR" w:eastAsia="zh-CN"/>
              </w:rPr>
            </w:pPr>
            <w:r w:rsidRPr="00A557BB">
              <w:rPr>
                <w:sz w:val="20"/>
                <w:szCs w:val="20"/>
                <w:lang w:val="fr-FR" w:eastAsia="zh-CN"/>
              </w:rPr>
              <w:t>Arabie saoudite</w:t>
            </w:r>
          </w:p>
        </w:tc>
        <w:tc>
          <w:tcPr>
            <w:tcW w:w="2927" w:type="dxa"/>
            <w:shd w:val="clear" w:color="auto" w:fill="auto"/>
            <w:tcMar>
              <w:top w:w="0" w:type="dxa"/>
              <w:left w:w="108" w:type="dxa"/>
              <w:bottom w:w="0" w:type="dxa"/>
              <w:right w:w="108" w:type="dxa"/>
            </w:tcMar>
          </w:tcPr>
          <w:p w14:paraId="3A2273EB"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56C5D547"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3170504D" w14:textId="77777777" w:rsidTr="001416F8">
        <w:tc>
          <w:tcPr>
            <w:tcW w:w="3006" w:type="dxa"/>
            <w:shd w:val="clear" w:color="auto" w:fill="auto"/>
            <w:tcMar>
              <w:top w:w="0" w:type="dxa"/>
              <w:left w:w="108" w:type="dxa"/>
              <w:bottom w:w="0" w:type="dxa"/>
              <w:right w:w="108" w:type="dxa"/>
            </w:tcMar>
          </w:tcPr>
          <w:p w14:paraId="0B912A5A" w14:textId="77777777" w:rsidR="00683B86" w:rsidRPr="00A557BB" w:rsidRDefault="00683B86" w:rsidP="00445E81">
            <w:pPr>
              <w:rPr>
                <w:sz w:val="20"/>
                <w:szCs w:val="20"/>
                <w:lang w:val="fr-FR" w:eastAsia="zh-CN"/>
              </w:rPr>
            </w:pPr>
            <w:r w:rsidRPr="00A557BB">
              <w:rPr>
                <w:sz w:val="20"/>
                <w:szCs w:val="20"/>
                <w:lang w:val="fr-FR" w:eastAsia="zh-CN"/>
              </w:rPr>
              <w:t>Seychelles</w:t>
            </w:r>
          </w:p>
        </w:tc>
        <w:tc>
          <w:tcPr>
            <w:tcW w:w="2927" w:type="dxa"/>
            <w:shd w:val="clear" w:color="auto" w:fill="auto"/>
            <w:tcMar>
              <w:top w:w="0" w:type="dxa"/>
              <w:left w:w="108" w:type="dxa"/>
              <w:bottom w:w="0" w:type="dxa"/>
              <w:right w:w="108" w:type="dxa"/>
            </w:tcMar>
          </w:tcPr>
          <w:p w14:paraId="5B127B29" w14:textId="77777777" w:rsidR="00683B86" w:rsidRPr="00A557BB" w:rsidRDefault="00683B86" w:rsidP="00445E81">
            <w:pPr>
              <w:rPr>
                <w:sz w:val="20"/>
                <w:szCs w:val="20"/>
                <w:lang w:val="fr-FR" w:eastAsia="zh-CN"/>
              </w:rPr>
            </w:pPr>
            <w:r w:rsidRPr="00A557BB">
              <w:rPr>
                <w:sz w:val="20"/>
                <w:szCs w:val="20"/>
                <w:lang w:val="fr-FR" w:eastAsia="zh-CN"/>
              </w:rPr>
              <w:t>Allemagne</w:t>
            </w:r>
          </w:p>
        </w:tc>
        <w:tc>
          <w:tcPr>
            <w:tcW w:w="3310" w:type="dxa"/>
            <w:shd w:val="clear" w:color="auto" w:fill="auto"/>
            <w:tcMar>
              <w:top w:w="0" w:type="dxa"/>
              <w:left w:w="108" w:type="dxa"/>
              <w:bottom w:w="0" w:type="dxa"/>
              <w:right w:w="108" w:type="dxa"/>
            </w:tcMar>
          </w:tcPr>
          <w:p w14:paraId="6F0BC422" w14:textId="77777777" w:rsidR="00683B86" w:rsidRPr="00A557BB" w:rsidRDefault="00683B86" w:rsidP="00445E81">
            <w:pPr>
              <w:jc w:val="center"/>
              <w:rPr>
                <w:sz w:val="20"/>
                <w:szCs w:val="20"/>
                <w:lang w:val="fr-FR" w:eastAsia="zh-CN"/>
              </w:rPr>
            </w:pPr>
            <w:r w:rsidRPr="00A557BB">
              <w:rPr>
                <w:sz w:val="20"/>
                <w:szCs w:val="20"/>
                <w:lang w:val="fr-FR" w:eastAsia="zh-CN"/>
              </w:rPr>
              <w:t>6 mois</w:t>
            </w:r>
          </w:p>
        </w:tc>
      </w:tr>
      <w:tr w:rsidR="00683B86" w:rsidRPr="00A557BB" w14:paraId="2346515B" w14:textId="77777777" w:rsidTr="001416F8">
        <w:tc>
          <w:tcPr>
            <w:tcW w:w="3006" w:type="dxa"/>
            <w:shd w:val="clear" w:color="auto" w:fill="auto"/>
            <w:tcMar>
              <w:top w:w="0" w:type="dxa"/>
              <w:left w:w="108" w:type="dxa"/>
              <w:bottom w:w="0" w:type="dxa"/>
              <w:right w:w="108" w:type="dxa"/>
            </w:tcMar>
            <w:hideMark/>
          </w:tcPr>
          <w:p w14:paraId="3CC56EDE" w14:textId="77777777" w:rsidR="00683B86" w:rsidRPr="00A557BB" w:rsidRDefault="00683B86" w:rsidP="00445E81">
            <w:pPr>
              <w:rPr>
                <w:sz w:val="20"/>
                <w:szCs w:val="20"/>
                <w:lang w:val="fr-FR" w:eastAsia="zh-CN"/>
              </w:rPr>
            </w:pPr>
            <w:r w:rsidRPr="00A557BB">
              <w:rPr>
                <w:sz w:val="20"/>
                <w:szCs w:val="20"/>
                <w:lang w:val="fr-FR" w:eastAsia="zh-CN"/>
              </w:rPr>
              <w:t>Sierra Leone</w:t>
            </w:r>
          </w:p>
        </w:tc>
        <w:tc>
          <w:tcPr>
            <w:tcW w:w="2927" w:type="dxa"/>
            <w:shd w:val="clear" w:color="auto" w:fill="auto"/>
            <w:tcMar>
              <w:top w:w="0" w:type="dxa"/>
              <w:left w:w="108" w:type="dxa"/>
              <w:bottom w:w="0" w:type="dxa"/>
              <w:right w:w="108" w:type="dxa"/>
            </w:tcMar>
          </w:tcPr>
          <w:p w14:paraId="7D3B0CC4"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5D65BE67"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29761FEA" w14:textId="77777777" w:rsidTr="001416F8">
        <w:tc>
          <w:tcPr>
            <w:tcW w:w="3006" w:type="dxa"/>
            <w:shd w:val="clear" w:color="auto" w:fill="auto"/>
            <w:tcMar>
              <w:top w:w="0" w:type="dxa"/>
              <w:left w:w="108" w:type="dxa"/>
              <w:bottom w:w="0" w:type="dxa"/>
              <w:right w:w="108" w:type="dxa"/>
            </w:tcMar>
            <w:hideMark/>
          </w:tcPr>
          <w:p w14:paraId="5BABE507" w14:textId="77777777" w:rsidR="00683B86" w:rsidRPr="00A557BB" w:rsidRDefault="00683B86" w:rsidP="00445E81">
            <w:pPr>
              <w:rPr>
                <w:sz w:val="20"/>
                <w:szCs w:val="20"/>
                <w:lang w:val="fr-FR" w:eastAsia="zh-CN"/>
              </w:rPr>
            </w:pPr>
            <w:r w:rsidRPr="00A557BB">
              <w:rPr>
                <w:sz w:val="20"/>
                <w:szCs w:val="20"/>
                <w:lang w:val="fr-FR" w:eastAsia="zh-CN"/>
              </w:rPr>
              <w:t>îles Salomon</w:t>
            </w:r>
          </w:p>
        </w:tc>
        <w:tc>
          <w:tcPr>
            <w:tcW w:w="2927" w:type="dxa"/>
            <w:shd w:val="clear" w:color="auto" w:fill="auto"/>
            <w:tcMar>
              <w:top w:w="0" w:type="dxa"/>
              <w:left w:w="108" w:type="dxa"/>
              <w:bottom w:w="0" w:type="dxa"/>
              <w:right w:w="108" w:type="dxa"/>
            </w:tcMar>
          </w:tcPr>
          <w:p w14:paraId="6C7E16A1"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3C371D91"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263D6F46" w14:textId="77777777" w:rsidTr="001416F8">
        <w:tc>
          <w:tcPr>
            <w:tcW w:w="3006" w:type="dxa"/>
            <w:shd w:val="clear" w:color="auto" w:fill="auto"/>
            <w:tcMar>
              <w:top w:w="0" w:type="dxa"/>
              <w:left w:w="108" w:type="dxa"/>
              <w:bottom w:w="0" w:type="dxa"/>
              <w:right w:w="108" w:type="dxa"/>
            </w:tcMar>
            <w:hideMark/>
          </w:tcPr>
          <w:p w14:paraId="33B31E7D" w14:textId="77777777" w:rsidR="00683B86" w:rsidRPr="00A557BB" w:rsidRDefault="00683B86" w:rsidP="00445E81">
            <w:pPr>
              <w:rPr>
                <w:sz w:val="20"/>
                <w:szCs w:val="20"/>
                <w:lang w:val="fr-FR" w:eastAsia="zh-CN"/>
              </w:rPr>
            </w:pPr>
            <w:r w:rsidRPr="00A557BB">
              <w:rPr>
                <w:sz w:val="20"/>
                <w:szCs w:val="20"/>
                <w:lang w:val="fr-FR" w:eastAsia="zh-CN"/>
              </w:rPr>
              <w:t>Soudan du Sud</w:t>
            </w:r>
          </w:p>
        </w:tc>
        <w:tc>
          <w:tcPr>
            <w:tcW w:w="2927" w:type="dxa"/>
            <w:shd w:val="clear" w:color="auto" w:fill="auto"/>
            <w:tcMar>
              <w:top w:w="0" w:type="dxa"/>
              <w:left w:w="108" w:type="dxa"/>
              <w:bottom w:w="0" w:type="dxa"/>
              <w:right w:w="108" w:type="dxa"/>
            </w:tcMar>
          </w:tcPr>
          <w:p w14:paraId="79A56A03"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59E0F5AA"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74BB6DF8" w14:textId="77777777" w:rsidTr="001416F8">
        <w:tc>
          <w:tcPr>
            <w:tcW w:w="3006" w:type="dxa"/>
            <w:shd w:val="clear" w:color="auto" w:fill="auto"/>
            <w:tcMar>
              <w:top w:w="0" w:type="dxa"/>
              <w:left w:w="108" w:type="dxa"/>
              <w:bottom w:w="0" w:type="dxa"/>
              <w:right w:w="108" w:type="dxa"/>
            </w:tcMar>
            <w:hideMark/>
          </w:tcPr>
          <w:p w14:paraId="1DE29537"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Sri Lanka</w:t>
            </w:r>
          </w:p>
        </w:tc>
        <w:tc>
          <w:tcPr>
            <w:tcW w:w="2927" w:type="dxa"/>
            <w:shd w:val="clear" w:color="auto" w:fill="auto"/>
            <w:tcMar>
              <w:top w:w="0" w:type="dxa"/>
              <w:left w:w="108" w:type="dxa"/>
              <w:bottom w:w="0" w:type="dxa"/>
              <w:right w:w="108" w:type="dxa"/>
            </w:tcMar>
          </w:tcPr>
          <w:p w14:paraId="18832F15"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7BB1F2C5"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7CF15AC4" w14:textId="77777777" w:rsidTr="001416F8">
        <w:tc>
          <w:tcPr>
            <w:tcW w:w="3006" w:type="dxa"/>
            <w:shd w:val="clear" w:color="auto" w:fill="auto"/>
            <w:tcMar>
              <w:top w:w="0" w:type="dxa"/>
              <w:left w:w="108" w:type="dxa"/>
              <w:bottom w:w="0" w:type="dxa"/>
              <w:right w:w="108" w:type="dxa"/>
            </w:tcMar>
            <w:hideMark/>
          </w:tcPr>
          <w:p w14:paraId="5576AD6B"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Tuvalu</w:t>
            </w:r>
          </w:p>
        </w:tc>
        <w:tc>
          <w:tcPr>
            <w:tcW w:w="2927" w:type="dxa"/>
            <w:shd w:val="clear" w:color="auto" w:fill="auto"/>
            <w:tcMar>
              <w:top w:w="0" w:type="dxa"/>
              <w:left w:w="108" w:type="dxa"/>
              <w:bottom w:w="0" w:type="dxa"/>
              <w:right w:w="108" w:type="dxa"/>
            </w:tcMar>
          </w:tcPr>
          <w:p w14:paraId="44E7B21F"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07A91759"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32262940" w14:textId="77777777" w:rsidTr="001416F8">
        <w:tc>
          <w:tcPr>
            <w:tcW w:w="3006" w:type="dxa"/>
            <w:shd w:val="clear" w:color="auto" w:fill="auto"/>
            <w:tcMar>
              <w:top w:w="0" w:type="dxa"/>
              <w:left w:w="108" w:type="dxa"/>
              <w:bottom w:w="0" w:type="dxa"/>
              <w:right w:w="108" w:type="dxa"/>
            </w:tcMar>
            <w:hideMark/>
          </w:tcPr>
          <w:p w14:paraId="5233FC33"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Ouganda</w:t>
            </w:r>
          </w:p>
        </w:tc>
        <w:tc>
          <w:tcPr>
            <w:tcW w:w="2927" w:type="dxa"/>
            <w:shd w:val="clear" w:color="auto" w:fill="auto"/>
            <w:tcMar>
              <w:top w:w="0" w:type="dxa"/>
              <w:left w:w="108" w:type="dxa"/>
              <w:bottom w:w="0" w:type="dxa"/>
              <w:right w:w="108" w:type="dxa"/>
            </w:tcMar>
          </w:tcPr>
          <w:p w14:paraId="2F5F190E"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6E50F078"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0E8CD9E8" w14:textId="77777777" w:rsidTr="001416F8">
        <w:tc>
          <w:tcPr>
            <w:tcW w:w="3006" w:type="dxa"/>
            <w:shd w:val="clear" w:color="auto" w:fill="auto"/>
            <w:tcMar>
              <w:top w:w="0" w:type="dxa"/>
              <w:left w:w="108" w:type="dxa"/>
              <w:bottom w:w="0" w:type="dxa"/>
              <w:right w:w="108" w:type="dxa"/>
            </w:tcMar>
          </w:tcPr>
          <w:p w14:paraId="7D094740" w14:textId="77777777" w:rsidR="00683B86" w:rsidRPr="00A557BB" w:rsidRDefault="00683B86" w:rsidP="00445E81">
            <w:pPr>
              <w:rPr>
                <w:sz w:val="20"/>
                <w:szCs w:val="20"/>
                <w:lang w:val="fr-FR" w:eastAsia="zh-CN"/>
              </w:rPr>
            </w:pPr>
            <w:r w:rsidRPr="00A557BB">
              <w:rPr>
                <w:sz w:val="20"/>
                <w:szCs w:val="20"/>
                <w:lang w:val="fr-FR" w:eastAsia="zh-CN"/>
              </w:rPr>
              <w:t>République-Unie de Tanzanie</w:t>
            </w:r>
          </w:p>
        </w:tc>
        <w:tc>
          <w:tcPr>
            <w:tcW w:w="2927" w:type="dxa"/>
            <w:shd w:val="clear" w:color="auto" w:fill="auto"/>
            <w:tcMar>
              <w:top w:w="0" w:type="dxa"/>
              <w:left w:w="108" w:type="dxa"/>
              <w:bottom w:w="0" w:type="dxa"/>
              <w:right w:w="108" w:type="dxa"/>
            </w:tcMar>
          </w:tcPr>
          <w:p w14:paraId="67FF5BA2" w14:textId="77777777" w:rsidR="00683B86" w:rsidRPr="00A557BB" w:rsidRDefault="00683B86" w:rsidP="00445E81">
            <w:pPr>
              <w:rPr>
                <w:sz w:val="20"/>
                <w:szCs w:val="20"/>
                <w:lang w:val="fr-FR" w:eastAsia="zh-CN"/>
              </w:rPr>
            </w:pPr>
            <w:r w:rsidRPr="00A557BB">
              <w:rPr>
                <w:sz w:val="20"/>
                <w:szCs w:val="20"/>
                <w:lang w:val="fr-FR" w:eastAsia="zh-CN"/>
              </w:rPr>
              <w:t>PNUE</w:t>
            </w:r>
          </w:p>
        </w:tc>
        <w:tc>
          <w:tcPr>
            <w:tcW w:w="3310" w:type="dxa"/>
            <w:shd w:val="clear" w:color="auto" w:fill="auto"/>
            <w:tcMar>
              <w:top w:w="0" w:type="dxa"/>
              <w:left w:w="108" w:type="dxa"/>
              <w:bottom w:w="0" w:type="dxa"/>
              <w:right w:w="108" w:type="dxa"/>
            </w:tcMar>
          </w:tcPr>
          <w:p w14:paraId="4A6B3995" w14:textId="77777777" w:rsidR="00683B86" w:rsidRPr="00A557BB" w:rsidRDefault="00683B86" w:rsidP="00445E81">
            <w:pPr>
              <w:jc w:val="center"/>
              <w:rPr>
                <w:sz w:val="20"/>
                <w:szCs w:val="20"/>
                <w:lang w:val="fr-FR" w:eastAsia="zh-CN"/>
              </w:rPr>
            </w:pPr>
            <w:r w:rsidRPr="00A557BB">
              <w:rPr>
                <w:sz w:val="20"/>
                <w:szCs w:val="20"/>
                <w:lang w:val="fr-FR"/>
              </w:rPr>
              <w:t>12 mois</w:t>
            </w:r>
          </w:p>
        </w:tc>
      </w:tr>
      <w:tr w:rsidR="00683B86" w:rsidRPr="00A557BB" w14:paraId="29A59785" w14:textId="77777777" w:rsidTr="001416F8">
        <w:tc>
          <w:tcPr>
            <w:tcW w:w="3006" w:type="dxa"/>
            <w:shd w:val="clear" w:color="auto" w:fill="auto"/>
            <w:tcMar>
              <w:top w:w="0" w:type="dxa"/>
              <w:left w:w="108" w:type="dxa"/>
              <w:bottom w:w="0" w:type="dxa"/>
              <w:right w:w="108" w:type="dxa"/>
            </w:tcMar>
            <w:hideMark/>
          </w:tcPr>
          <w:p w14:paraId="4C90456A" w14:textId="77777777" w:rsidR="00683B86" w:rsidRPr="00A557BB" w:rsidRDefault="00683B86" w:rsidP="00445E81">
            <w:pPr>
              <w:rPr>
                <w:rFonts w:ascii="Calibri" w:hAnsi="Calibri" w:cs="Calibri"/>
                <w:sz w:val="20"/>
                <w:szCs w:val="20"/>
                <w:lang w:val="fr-FR" w:eastAsia="zh-CN"/>
              </w:rPr>
            </w:pPr>
            <w:r w:rsidRPr="00A557BB">
              <w:rPr>
                <w:sz w:val="20"/>
                <w:szCs w:val="20"/>
                <w:lang w:val="fr-FR" w:eastAsia="zh-CN"/>
              </w:rPr>
              <w:t>Vanuatu</w:t>
            </w:r>
          </w:p>
        </w:tc>
        <w:tc>
          <w:tcPr>
            <w:tcW w:w="2927" w:type="dxa"/>
            <w:shd w:val="clear" w:color="auto" w:fill="auto"/>
            <w:tcMar>
              <w:top w:w="0" w:type="dxa"/>
              <w:left w:w="108" w:type="dxa"/>
              <w:bottom w:w="0" w:type="dxa"/>
              <w:right w:w="108" w:type="dxa"/>
            </w:tcMar>
          </w:tcPr>
          <w:p w14:paraId="55C3CCD2" w14:textId="77777777" w:rsidR="00683B86" w:rsidRPr="00A557BB" w:rsidRDefault="00683B86" w:rsidP="00445E81">
            <w:pPr>
              <w:rPr>
                <w:lang w:val="fr-FR"/>
              </w:rPr>
            </w:pPr>
            <w:r w:rsidRPr="00A557BB">
              <w:rPr>
                <w:sz w:val="20"/>
                <w:szCs w:val="20"/>
                <w:lang w:val="fr-FR" w:eastAsia="zh-CN"/>
              </w:rPr>
              <w:t>PNUE</w:t>
            </w:r>
          </w:p>
        </w:tc>
        <w:tc>
          <w:tcPr>
            <w:tcW w:w="3310" w:type="dxa"/>
            <w:shd w:val="clear" w:color="auto" w:fill="auto"/>
            <w:tcMar>
              <w:top w:w="0" w:type="dxa"/>
              <w:left w:w="108" w:type="dxa"/>
              <w:bottom w:w="0" w:type="dxa"/>
              <w:right w:w="108" w:type="dxa"/>
            </w:tcMar>
            <w:hideMark/>
          </w:tcPr>
          <w:p w14:paraId="539581E9" w14:textId="77777777" w:rsidR="00683B86" w:rsidRPr="00A557BB" w:rsidRDefault="00683B86" w:rsidP="00445E81">
            <w:pPr>
              <w:jc w:val="center"/>
              <w:rPr>
                <w:lang w:val="fr-FR"/>
              </w:rPr>
            </w:pPr>
            <w:r w:rsidRPr="00A557BB">
              <w:rPr>
                <w:sz w:val="20"/>
                <w:szCs w:val="20"/>
                <w:lang w:val="fr-FR" w:eastAsia="zh-CN"/>
              </w:rPr>
              <w:t>12 mois</w:t>
            </w:r>
          </w:p>
        </w:tc>
      </w:tr>
      <w:tr w:rsidR="00683B86" w:rsidRPr="00A557BB" w14:paraId="607624EE" w14:textId="77777777" w:rsidTr="001416F8">
        <w:tc>
          <w:tcPr>
            <w:tcW w:w="3006" w:type="dxa"/>
            <w:shd w:val="clear" w:color="auto" w:fill="auto"/>
            <w:tcMar>
              <w:top w:w="0" w:type="dxa"/>
              <w:left w:w="108" w:type="dxa"/>
              <w:bottom w:w="0" w:type="dxa"/>
              <w:right w:w="108" w:type="dxa"/>
            </w:tcMar>
          </w:tcPr>
          <w:p w14:paraId="50B294EB" w14:textId="77777777" w:rsidR="00683B86" w:rsidRPr="00A557BB" w:rsidRDefault="00911DC5" w:rsidP="00EC1F23">
            <w:pPr>
              <w:jc w:val="left"/>
              <w:rPr>
                <w:sz w:val="20"/>
                <w:szCs w:val="20"/>
                <w:lang w:val="fr-FR" w:eastAsia="zh-CN"/>
              </w:rPr>
            </w:pPr>
            <w:r w:rsidRPr="00A557BB">
              <w:rPr>
                <w:sz w:val="20"/>
                <w:szCs w:val="20"/>
                <w:lang w:val="fr-FR" w:eastAsia="zh-CN"/>
              </w:rPr>
              <w:t>Venezuela (République bolivarienne du)</w:t>
            </w:r>
          </w:p>
        </w:tc>
        <w:tc>
          <w:tcPr>
            <w:tcW w:w="2927" w:type="dxa"/>
            <w:shd w:val="clear" w:color="auto" w:fill="auto"/>
            <w:tcMar>
              <w:top w:w="0" w:type="dxa"/>
              <w:left w:w="108" w:type="dxa"/>
              <w:bottom w:w="0" w:type="dxa"/>
              <w:right w:w="108" w:type="dxa"/>
            </w:tcMar>
          </w:tcPr>
          <w:p w14:paraId="6E07DFC6" w14:textId="77777777" w:rsidR="00683B86" w:rsidRPr="00A557BB" w:rsidRDefault="00683B86" w:rsidP="00445E81">
            <w:pPr>
              <w:rPr>
                <w:sz w:val="20"/>
                <w:szCs w:val="20"/>
                <w:lang w:val="fr-FR" w:eastAsia="zh-CN"/>
              </w:rPr>
            </w:pPr>
            <w:r w:rsidRPr="00A557BB">
              <w:rPr>
                <w:sz w:val="20"/>
                <w:szCs w:val="20"/>
                <w:lang w:val="fr-FR" w:eastAsia="zh-CN"/>
              </w:rPr>
              <w:t>ONUDI</w:t>
            </w:r>
          </w:p>
        </w:tc>
        <w:tc>
          <w:tcPr>
            <w:tcW w:w="3310" w:type="dxa"/>
            <w:shd w:val="clear" w:color="auto" w:fill="auto"/>
            <w:tcMar>
              <w:top w:w="0" w:type="dxa"/>
              <w:left w:w="108" w:type="dxa"/>
              <w:bottom w:w="0" w:type="dxa"/>
              <w:right w:w="108" w:type="dxa"/>
            </w:tcMar>
          </w:tcPr>
          <w:p w14:paraId="3F20980E" w14:textId="77777777" w:rsidR="00683B86" w:rsidRPr="00A557BB" w:rsidRDefault="00683B86" w:rsidP="00445E81">
            <w:pPr>
              <w:jc w:val="center"/>
              <w:rPr>
                <w:sz w:val="20"/>
                <w:szCs w:val="20"/>
                <w:lang w:val="fr-FR" w:eastAsia="zh-CN"/>
              </w:rPr>
            </w:pPr>
            <w:r w:rsidRPr="00A557BB">
              <w:rPr>
                <w:sz w:val="20"/>
                <w:szCs w:val="20"/>
                <w:lang w:val="fr-FR" w:eastAsia="zh-CN"/>
              </w:rPr>
              <w:t>12 mois</w:t>
            </w:r>
          </w:p>
        </w:tc>
      </w:tr>
    </w:tbl>
    <w:p w14:paraId="2F73A21E" w14:textId="77777777" w:rsidR="00683B86" w:rsidRPr="00A557BB" w:rsidRDefault="00683B86" w:rsidP="00683B86">
      <w:pPr>
        <w:rPr>
          <w:sz w:val="18"/>
          <w:lang w:val="fr-FR"/>
        </w:rPr>
      </w:pPr>
      <w:r w:rsidRPr="00A557BB">
        <w:rPr>
          <w:sz w:val="18"/>
          <w:lang w:val="fr-FR"/>
        </w:rPr>
        <w:t>* Le Canada et le PNUD agissant en qualité d'agences d'exécution coopérantes</w:t>
      </w:r>
    </w:p>
    <w:p w14:paraId="021F22B5" w14:textId="77777777" w:rsidR="00683B86" w:rsidRPr="00A557BB" w:rsidRDefault="00683B86" w:rsidP="00683B86">
      <w:pPr>
        <w:rPr>
          <w:sz w:val="18"/>
          <w:lang w:val="fr-FR"/>
        </w:rPr>
      </w:pPr>
      <w:r w:rsidRPr="00A557BB">
        <w:rPr>
          <w:sz w:val="18"/>
          <w:lang w:val="fr-FR"/>
        </w:rPr>
        <w:t>** Le Canada agissant en qualité d'agence d'exécution coopérante</w:t>
      </w:r>
    </w:p>
    <w:p w14:paraId="7F832A01" w14:textId="77777777" w:rsidR="00683B86" w:rsidRPr="00A557BB" w:rsidRDefault="00683B86" w:rsidP="00683B86">
      <w:pPr>
        <w:rPr>
          <w:sz w:val="18"/>
          <w:lang w:val="fr-FR"/>
        </w:rPr>
      </w:pPr>
      <w:r w:rsidRPr="00A557BB">
        <w:rPr>
          <w:sz w:val="18"/>
          <w:lang w:val="fr-FR"/>
        </w:rPr>
        <w:t>** L'ONUDI agissant en qualité d'agence d'exécution coopérante</w:t>
      </w:r>
    </w:p>
    <w:p w14:paraId="65EF67AB" w14:textId="77777777" w:rsidR="00683B86" w:rsidRPr="00A557BB" w:rsidRDefault="00683B86" w:rsidP="00683B86">
      <w:pPr>
        <w:rPr>
          <w:sz w:val="18"/>
          <w:lang w:val="fr-FR"/>
        </w:rPr>
      </w:pPr>
      <w:r w:rsidRPr="00A557BB">
        <w:rPr>
          <w:sz w:val="18"/>
          <w:lang w:val="fr-FR"/>
        </w:rPr>
        <w:t>**** Le PNUE agissant en qualité d'agence d'exécution coopérante</w:t>
      </w:r>
    </w:p>
    <w:p w14:paraId="2C68ECE7" w14:textId="77777777" w:rsidR="00683B86" w:rsidRPr="00A557BB" w:rsidRDefault="00683B86" w:rsidP="00683B86">
      <w:pPr>
        <w:rPr>
          <w:sz w:val="18"/>
          <w:lang w:val="fr-FR"/>
        </w:rPr>
      </w:pPr>
      <w:r w:rsidRPr="00A557BB">
        <w:rPr>
          <w:sz w:val="18"/>
          <w:lang w:val="fr-FR"/>
        </w:rPr>
        <w:t>***** Le PNUD agissant en qualité d'agence d'exécution coopérante</w:t>
      </w:r>
    </w:p>
    <w:p w14:paraId="50553554" w14:textId="77777777" w:rsidR="00683B86" w:rsidRPr="00A557BB" w:rsidRDefault="00683B86" w:rsidP="00683B86">
      <w:pPr>
        <w:rPr>
          <w:lang w:val="fr-FR"/>
        </w:rPr>
      </w:pPr>
    </w:p>
    <w:p w14:paraId="6FEBC86E" w14:textId="77777777" w:rsidR="00683B86" w:rsidRPr="00A557BB" w:rsidRDefault="00683B86" w:rsidP="00683B86">
      <w:pPr>
        <w:spacing w:after="240"/>
        <w:rPr>
          <w:b/>
          <w:lang w:val="fr-FR"/>
        </w:rPr>
      </w:pPr>
      <w:r w:rsidRPr="00A557BB">
        <w:rPr>
          <w:b/>
          <w:lang w:val="fr-FR"/>
        </w:rPr>
        <w:t>Observations du Secrétariat</w:t>
      </w:r>
    </w:p>
    <w:p w14:paraId="437519E6" w14:textId="77777777" w:rsidR="00683B86" w:rsidRPr="00A557BB" w:rsidRDefault="00683B86" w:rsidP="00683B86">
      <w:pPr>
        <w:pStyle w:val="Heading1"/>
        <w:tabs>
          <w:tab w:val="num" w:pos="710"/>
        </w:tabs>
        <w:rPr>
          <w:lang w:val="fr-FR"/>
        </w:rPr>
      </w:pPr>
      <w:r w:rsidRPr="00A557BB">
        <w:rPr>
          <w:lang w:val="fr-FR"/>
        </w:rPr>
        <w:t>Les principales raisons de cette prolongation sont la nécessité de mener à bien les activités planifiées, le démarrage tardif de la mise en œuvre et des difficultés de coordination entre les Bureaux nationaux de l'ozone et les agences d'exécution. Le Secrétariat a noté que les problèmes qui avaient retardé le démarrage de la mise en œuvre des activités habilitantes avaient été réglés et que des progrès avaient été accomplis. Les gouvernements des pays concernés sont conscients que les activités habilitantes doivent être terminées au plus tard à la période demandée et que les soldes doivent être restitués une fois les activités terminées.</w:t>
      </w:r>
    </w:p>
    <w:p w14:paraId="7E6F62CB" w14:textId="77777777" w:rsidR="00683B86" w:rsidRPr="00A557BB" w:rsidRDefault="002A59A2" w:rsidP="00683B86">
      <w:pPr>
        <w:pStyle w:val="Heading1"/>
        <w:numPr>
          <w:ilvl w:val="0"/>
          <w:numId w:val="0"/>
        </w:numPr>
        <w:rPr>
          <w:b/>
          <w:lang w:val="fr-FR"/>
        </w:rPr>
      </w:pPr>
      <w:r w:rsidRPr="00A557BB">
        <w:rPr>
          <w:b/>
          <w:lang w:val="fr-FR"/>
        </w:rPr>
        <w:t>Recommandation</w:t>
      </w:r>
    </w:p>
    <w:p w14:paraId="122E0893" w14:textId="77777777" w:rsidR="00683B86" w:rsidRPr="00A557BB" w:rsidRDefault="00683B86" w:rsidP="00683B86">
      <w:pPr>
        <w:pStyle w:val="Heading1"/>
        <w:tabs>
          <w:tab w:val="num" w:pos="710"/>
        </w:tabs>
        <w:rPr>
          <w:lang w:val="fr-FR"/>
        </w:rPr>
      </w:pPr>
      <w:r w:rsidRPr="00A557BB">
        <w:rPr>
          <w:lang w:val="fr-FR"/>
        </w:rPr>
        <w:t>Le Comité exécutif pourrait souhaiter :</w:t>
      </w:r>
    </w:p>
    <w:p w14:paraId="0B0BA894" w14:textId="10918737" w:rsidR="00683B86" w:rsidRPr="00A557BB" w:rsidRDefault="00683B86" w:rsidP="00683B86">
      <w:pPr>
        <w:pStyle w:val="Heading2"/>
        <w:numPr>
          <w:ilvl w:val="1"/>
          <w:numId w:val="1"/>
        </w:numPr>
        <w:rPr>
          <w:lang w:val="fr-FR"/>
        </w:rPr>
      </w:pPr>
      <w:r w:rsidRPr="00A557BB">
        <w:rPr>
          <w:lang w:val="fr-FR"/>
        </w:rPr>
        <w:t>prendre note des demandes de prolongation d’activités de facilitation rel</w:t>
      </w:r>
      <w:r w:rsidR="00BE0480" w:rsidRPr="00A557BB">
        <w:rPr>
          <w:lang w:val="fr-FR"/>
        </w:rPr>
        <w:t xml:space="preserve">atives à l'élimination des </w:t>
      </w:r>
      <w:r w:rsidRPr="00A557BB">
        <w:rPr>
          <w:lang w:val="fr-FR"/>
        </w:rPr>
        <w:t>HFC présentées par les agences d’exécution concernées pour les 63 pays visés à l’article 5 dont la liste figure dans le tableau 11 du document paru sous la cote UNEP/OzL.Pro/ExCom/84/22</w:t>
      </w:r>
      <w:r w:rsidR="00BE0480" w:rsidRPr="00A557BB">
        <w:rPr>
          <w:lang w:val="fr-FR"/>
        </w:rPr>
        <w:t xml:space="preserve"> ; </w:t>
      </w:r>
    </w:p>
    <w:p w14:paraId="594ED995" w14:textId="1A7547C9" w:rsidR="00683B86" w:rsidRPr="00A557BB" w:rsidRDefault="00683B86" w:rsidP="00683B86">
      <w:pPr>
        <w:pStyle w:val="Heading2"/>
        <w:numPr>
          <w:ilvl w:val="1"/>
          <w:numId w:val="1"/>
        </w:numPr>
        <w:rPr>
          <w:lang w:val="fr-FR"/>
        </w:rPr>
      </w:pPr>
      <w:r w:rsidRPr="00A557BB">
        <w:rPr>
          <w:lang w:val="fr-FR"/>
        </w:rPr>
        <w:t>repousser la date d'achèvement des activités habilitantes relatives</w:t>
      </w:r>
      <w:r w:rsidR="00BE0480" w:rsidRPr="00A557BB">
        <w:rPr>
          <w:lang w:val="fr-FR"/>
        </w:rPr>
        <w:t xml:space="preserve"> aux HFC jusqu'au 30 juin 2020 </w:t>
      </w:r>
      <w:r w:rsidRPr="00A557BB">
        <w:rPr>
          <w:lang w:val="fr-FR"/>
        </w:rPr>
        <w:t>pour le Libéria, la Papouasie-Nouvelle-Guinée et les Seychelles et jusqu'au 31 décembre 2020 pour l'Afghanistan, l'Arabie saoudite, l'Argentine, Bahreïn, le Bangladesh, le Bénin, le Botswana, les Comores et la Côte d'Ivoire, Cuba, la République démocratique du Congo, Djibouti, l'Égypte, El Salvador, la Guinée équatoriale, l'Eswatini, l'Éthiopie, la Géorgie, la Guinée-Bissau, le Guyana, le Honduras, l'Indoné</w:t>
      </w:r>
      <w:r w:rsidR="00BE0480" w:rsidRPr="00A557BB">
        <w:rPr>
          <w:lang w:val="fr-FR"/>
        </w:rPr>
        <w:t>sie, la République islamique d’</w:t>
      </w:r>
      <w:r w:rsidRPr="00A557BB">
        <w:rPr>
          <w:lang w:val="fr-FR"/>
        </w:rPr>
        <w:t xml:space="preserve">Iran, l'Iraq, le Kenya, Kiribati, le Koweït, la République démocratique populaire lao, la Libye, Madagascar, le Malawi, le Mali, les Îles Marshall, la Mauritanie, les États fédérés de Micronésie, le Maroc, le Mozambique, le Myanmar, Nauru, le Népal, le Nicaragua, le Niger, Nioué, Oman, le Pakistan, le Panama, le Paraguay, Saint-Kitts-et-Nevis, le Samoa, Sao Tomé-et-Principe, le Tchad, la Sierra Leone, les Îles Salomon, le Soudan du Sud, Sri Lanka, les Tuvalu, l'Ouganda, la République-Unie de Tanzanie, le Vanuatu et la République bolivarienne du Venezuela, étant entendu que aucune autre prolongation ne serait demandée et que les agences </w:t>
      </w:r>
      <w:r w:rsidRPr="00A557BB">
        <w:rPr>
          <w:lang w:val="fr-FR"/>
        </w:rPr>
        <w:lastRenderedPageBreak/>
        <w:t>bilatérales et les agences d'exécution soumettraient, dans les six mois suivant la date d'achèvement du projet, un rapport final sur les activités habilitantes menées à bien, conformément à la décision 81/32 (b).</w:t>
      </w:r>
    </w:p>
    <w:p w14:paraId="40FDFC3A" w14:textId="77777777" w:rsidR="005D1532" w:rsidRPr="00A557BB" w:rsidRDefault="005D1532" w:rsidP="0057313B">
      <w:pPr>
        <w:ind w:left="1440" w:hanging="1440"/>
        <w:rPr>
          <w:b/>
          <w:lang w:val="fr-FR"/>
        </w:rPr>
      </w:pPr>
      <w:r w:rsidRPr="00A557BB">
        <w:rPr>
          <w:b/>
          <w:lang w:val="fr-FR"/>
        </w:rPr>
        <w:t>SECTION II :</w:t>
      </w:r>
      <w:r w:rsidRPr="00A557BB">
        <w:rPr>
          <w:b/>
          <w:lang w:val="fr-FR"/>
        </w:rPr>
        <w:tab/>
        <w:t>RAPPORT SUR LES PROJETS COMPORTANT DES EXIGENCES PARTICULIÈRES POUR LA REMISE DES RAPPORTS</w:t>
      </w:r>
    </w:p>
    <w:p w14:paraId="6AC20167" w14:textId="77777777" w:rsidR="005D1532" w:rsidRPr="00A557BB" w:rsidRDefault="005D1532" w:rsidP="005D1532">
      <w:pPr>
        <w:rPr>
          <w:sz w:val="20"/>
          <w:szCs w:val="20"/>
          <w:highlight w:val="yellow"/>
          <w:lang w:val="fr-FR"/>
        </w:rPr>
      </w:pPr>
    </w:p>
    <w:p w14:paraId="2FBCBF6F" w14:textId="77777777" w:rsidR="00B86FE2" w:rsidRPr="00A557BB" w:rsidRDefault="00B86FE2" w:rsidP="005D1532">
      <w:pPr>
        <w:rPr>
          <w:u w:val="single"/>
          <w:lang w:val="fr-FR"/>
        </w:rPr>
      </w:pPr>
      <w:r w:rsidRPr="00A557BB">
        <w:rPr>
          <w:b/>
          <w:u w:val="single"/>
          <w:lang w:val="fr-FR"/>
        </w:rPr>
        <w:t>Utilisation temporaire d’une technologie à fort potentiel de réchauffement de la planète dans des projets approuvés</w:t>
      </w:r>
    </w:p>
    <w:p w14:paraId="7708D831" w14:textId="77777777" w:rsidR="00B86FE2" w:rsidRPr="00A557BB" w:rsidRDefault="00B86FE2" w:rsidP="005D1532">
      <w:pPr>
        <w:rPr>
          <w:u w:val="single"/>
          <w:lang w:val="fr-FR"/>
        </w:rPr>
      </w:pPr>
    </w:p>
    <w:p w14:paraId="295ACBF5" w14:textId="6076D5B2" w:rsidR="00C42CC5" w:rsidRPr="00A557BB" w:rsidRDefault="00BE0480" w:rsidP="006D6E99">
      <w:pPr>
        <w:keepNext/>
        <w:tabs>
          <w:tab w:val="num" w:pos="710"/>
        </w:tabs>
        <w:spacing w:after="240"/>
        <w:outlineLvl w:val="0"/>
        <w:rPr>
          <w:rFonts w:eastAsiaTheme="minorEastAsia"/>
          <w:lang w:val="fr-FR" w:eastAsia="zh-CN"/>
        </w:rPr>
      </w:pPr>
      <w:r w:rsidRPr="00A557BB">
        <w:rPr>
          <w:rFonts w:eastAsiaTheme="minorEastAsia"/>
          <w:u w:val="single"/>
          <w:lang w:val="fr-FR" w:eastAsia="zh-CN"/>
        </w:rPr>
        <w:t xml:space="preserve">Trinité-et-Tobago : </w:t>
      </w:r>
      <w:r w:rsidR="00C42CC5" w:rsidRPr="00A557BB">
        <w:rPr>
          <w:rFonts w:eastAsiaTheme="minorEastAsia"/>
          <w:u w:val="single"/>
          <w:lang w:val="fr-FR" w:eastAsia="zh-CN"/>
        </w:rPr>
        <w:t xml:space="preserve">Plan de gestion de l'élimination des HCFC (phase I - Rapport sur l'utilisation temporaire d'une technologie à fort PRP) </w:t>
      </w:r>
      <w:r w:rsidR="00C42CC5" w:rsidRPr="00A557BB">
        <w:rPr>
          <w:rFonts w:eastAsiaTheme="minorEastAsia"/>
          <w:lang w:val="fr-FR" w:eastAsia="zh-CN"/>
        </w:rPr>
        <w:t xml:space="preserve"> (PNUD)</w:t>
      </w:r>
    </w:p>
    <w:p w14:paraId="1B4F4F19" w14:textId="77777777" w:rsidR="00C42CC5" w:rsidRPr="00A557BB" w:rsidRDefault="00C42CC5" w:rsidP="00C42CC5">
      <w:pPr>
        <w:spacing w:after="240"/>
        <w:outlineLvl w:val="0"/>
        <w:rPr>
          <w:b/>
          <w:lang w:val="fr-FR"/>
        </w:rPr>
      </w:pPr>
      <w:r w:rsidRPr="00A557BB">
        <w:rPr>
          <w:b/>
          <w:lang w:val="fr-FR"/>
        </w:rPr>
        <w:t>Historique</w:t>
      </w:r>
    </w:p>
    <w:p w14:paraId="4C9A246F" w14:textId="77777777" w:rsidR="00C42CC5" w:rsidRPr="00A557BB" w:rsidRDefault="00C42CC5" w:rsidP="00C42CC5">
      <w:pPr>
        <w:pStyle w:val="Heading1"/>
        <w:rPr>
          <w:lang w:val="fr-FR"/>
        </w:rPr>
      </w:pPr>
      <w:r w:rsidRPr="00A557BB">
        <w:rPr>
          <w:lang w:val="fr-FR"/>
        </w:rPr>
        <w:t>À la 81</w:t>
      </w:r>
      <w:r w:rsidRPr="00A557BB">
        <w:rPr>
          <w:vertAlign w:val="superscript"/>
          <w:lang w:val="fr-FR"/>
        </w:rPr>
        <w:t>e</w:t>
      </w:r>
      <w:r w:rsidRPr="00A557BB">
        <w:rPr>
          <w:lang w:val="fr-FR"/>
        </w:rPr>
        <w:t xml:space="preserve"> réunion, le PNUD a informé le Comité exécutif que l’une des entreprises de mousses bénéficiant d’un soutien financier lui permettant d'utiliser du formiate de méthyle au lieu du HCFC-141b en tant qu’agent gonflant, au titre de la phase I du PGEH à la Trinité-et-Tobago, utilisait un agent gonflant différent de celui qui avait été approuvé. Par la suite, le PNUD a été prié de fournir un rapport de situation sur l’utilisation du formiate de méthyle et de l’agent gonflant de remplacement utilisé, conformément à la phase I du PGEH, dans l’entreprise bénéficiant de l’aide du Fonds multilatéral (décisions 81/52 (b) et 82/26). </w:t>
      </w:r>
    </w:p>
    <w:p w14:paraId="5074928F" w14:textId="5FD26B10" w:rsidR="00C42CC5" w:rsidRPr="00A557BB" w:rsidRDefault="00C42CC5" w:rsidP="00C42CC5">
      <w:pPr>
        <w:pStyle w:val="Heading1"/>
        <w:rPr>
          <w:lang w:val="fr-FR"/>
        </w:rPr>
      </w:pPr>
      <w:r w:rsidRPr="00A557BB">
        <w:rPr>
          <w:lang w:val="fr-FR"/>
        </w:rPr>
        <w:t>À la 83</w:t>
      </w:r>
      <w:r w:rsidRPr="00A557BB">
        <w:rPr>
          <w:vertAlign w:val="superscript"/>
          <w:lang w:val="fr-FR"/>
        </w:rPr>
        <w:t>e</w:t>
      </w:r>
      <w:r w:rsidRPr="00A557BB">
        <w:rPr>
          <w:lang w:val="fr-FR"/>
        </w:rPr>
        <w:t xml:space="preserve"> réunion, le PNUD a indiqué que </w:t>
      </w:r>
      <w:r w:rsidR="00A557BB" w:rsidRPr="00A557BB">
        <w:rPr>
          <w:lang w:val="fr-FR"/>
        </w:rPr>
        <w:t>l’une</w:t>
      </w:r>
      <w:r w:rsidRPr="00A557BB">
        <w:rPr>
          <w:lang w:val="fr-FR"/>
        </w:rPr>
        <w:t xml:space="preserve"> des entreprises de mouss</w:t>
      </w:r>
      <w:r w:rsidR="00BE0480" w:rsidRPr="00A557BB">
        <w:rPr>
          <w:lang w:val="fr-FR"/>
        </w:rPr>
        <w:t>e, Seal Sprayed Solutions (Seal)</w:t>
      </w:r>
      <w:r w:rsidRPr="00A557BB">
        <w:rPr>
          <w:lang w:val="fr-FR"/>
        </w:rPr>
        <w:t xml:space="preserve"> utilise des agents de gonflage à base de HFC dans les applications de mousse de pulvérisation, à la demande spécifique des clients. À la lumière de cela</w:t>
      </w:r>
      <w:r w:rsidR="00BE0480" w:rsidRPr="00A557BB">
        <w:rPr>
          <w:lang w:val="fr-FR"/>
        </w:rPr>
        <w:t>, le Comité exécutif a demandé</w:t>
      </w:r>
      <w:r w:rsidRPr="00A557BB">
        <w:rPr>
          <w:lang w:val="fr-FR"/>
        </w:rPr>
        <w:t xml:space="preserve"> </w:t>
      </w:r>
      <w:r w:rsidR="00BE0480" w:rsidRPr="00A557BB">
        <w:rPr>
          <w:lang w:val="fr-FR"/>
        </w:rPr>
        <w:t>a</w:t>
      </w:r>
      <w:r w:rsidRPr="00A557BB">
        <w:rPr>
          <w:lang w:val="fr-FR"/>
        </w:rPr>
        <w:t xml:space="preserve">u </w:t>
      </w:r>
      <w:r w:rsidR="00BE0480" w:rsidRPr="00A557BB">
        <w:rPr>
          <w:lang w:val="fr-FR"/>
        </w:rPr>
        <w:t>G</w:t>
      </w:r>
      <w:r w:rsidRPr="00A557BB">
        <w:rPr>
          <w:lang w:val="fr-FR"/>
        </w:rPr>
        <w:t xml:space="preserve">ouvernement de la Trinité-et-Tobago, par l’intermédiaire du PNUD, d'informer l’entreprise qu’elle devrait fournir des systèmes reposant uniquement sur la </w:t>
      </w:r>
      <w:r w:rsidR="00614272" w:rsidRPr="00A557BB">
        <w:rPr>
          <w:lang w:val="fr-FR"/>
        </w:rPr>
        <w:t>technologie</w:t>
      </w:r>
      <w:r w:rsidRPr="00A557BB">
        <w:rPr>
          <w:lang w:val="fr-FR"/>
        </w:rPr>
        <w:t xml:space="preserve"> choisie ou sur d’autres technologies d'agents de soufflage à faible PRP ; et au PNUD de continuer d’aider le Gouvernement et à présenter, à la 84</w:t>
      </w:r>
      <w:r w:rsidRPr="00A557BB">
        <w:rPr>
          <w:vertAlign w:val="superscript"/>
          <w:lang w:val="fr-FR"/>
        </w:rPr>
        <w:t>e</w:t>
      </w:r>
      <w:r w:rsidRPr="00A557BB">
        <w:rPr>
          <w:lang w:val="fr-FR"/>
        </w:rPr>
        <w:t xml:space="preserve"> réunion, un rapport sur l’introduction de la technologie proposée dans les applications relevant du secteur des mousses (décision 83/15 c) et d)).</w:t>
      </w:r>
    </w:p>
    <w:p w14:paraId="232768CB" w14:textId="0FD8236D" w:rsidR="00C42CC5" w:rsidRPr="00A557BB" w:rsidRDefault="00C42CC5" w:rsidP="00C42CC5">
      <w:pPr>
        <w:pStyle w:val="Heading1"/>
        <w:rPr>
          <w:lang w:val="fr-FR"/>
        </w:rPr>
      </w:pPr>
      <w:r w:rsidRPr="00A557BB">
        <w:rPr>
          <w:lang w:val="fr-FR"/>
        </w:rPr>
        <w:t>Conformément à la décision 83/15 c), le PNUD, au nom du Gouvernement de la Trinité-et-Tobago, a présenté à la 84</w:t>
      </w:r>
      <w:r w:rsidRPr="00A557BB">
        <w:rPr>
          <w:vertAlign w:val="superscript"/>
          <w:lang w:val="fr-FR"/>
        </w:rPr>
        <w:t>e</w:t>
      </w:r>
      <w:r w:rsidRPr="00A557BB">
        <w:rPr>
          <w:lang w:val="fr-FR"/>
        </w:rPr>
        <w:t xml:space="preserve"> réunion un rapport sur l'état de la mise en œuvre dans quatre entreprises,</w:t>
      </w:r>
      <w:r w:rsidRPr="00A557BB">
        <w:rPr>
          <w:rStyle w:val="FootnoteReference"/>
          <w:lang w:val="fr-FR"/>
        </w:rPr>
        <w:footnoteReference w:id="32"/>
      </w:r>
      <w:r w:rsidRPr="00A557BB">
        <w:rPr>
          <w:lang w:val="fr-FR"/>
        </w:rPr>
        <w:t xml:space="preserve"> à savoir Seal, Ice Fab, Tropical Marine et Vetter. Le rapport indique que Seal, après avoir été informé de la décision, a décidé de ne pas demander de surcoûts d'exploitation et de mettre fin à sa participation au projet. Bien que l'entreprise ait investi ses propres ressources pour mettre en place des mélanges de polyols basés sur des agents gonflants à faible PRP et vende ces systèmes à ses clients, elle vend également des systèmes à base de HFC à certains clients de pays non visés à l'article 5, car ils exigent l'utilisation de systèmes à base de HFC. Tenant compte des facteurs de marché et commerciaux liés à tous les types d'agents de gonflage, l'entreprise a décidé de fournir des systèmes à base de HFC comme solution alternative, à la demande de certains de ses gros clients. </w:t>
      </w:r>
    </w:p>
    <w:p w14:paraId="39EBFC5A" w14:textId="77777777" w:rsidR="00C42CC5" w:rsidRPr="00A557BB" w:rsidRDefault="00C42CC5" w:rsidP="00C42CC5">
      <w:pPr>
        <w:keepNext/>
        <w:rPr>
          <w:b/>
          <w:lang w:val="fr-FR"/>
        </w:rPr>
      </w:pPr>
      <w:r w:rsidRPr="00A557BB">
        <w:rPr>
          <w:b/>
          <w:lang w:val="fr-FR"/>
        </w:rPr>
        <w:t>Observations du Secrétariat</w:t>
      </w:r>
    </w:p>
    <w:p w14:paraId="2D3CE2E9" w14:textId="77777777" w:rsidR="00C42CC5" w:rsidRPr="00A557BB" w:rsidRDefault="00C42CC5" w:rsidP="00C42CC5">
      <w:pPr>
        <w:keepNext/>
        <w:rPr>
          <w:b/>
          <w:lang w:val="fr-FR"/>
        </w:rPr>
      </w:pPr>
    </w:p>
    <w:p w14:paraId="13D9D2CC" w14:textId="77777777" w:rsidR="00C42CC5" w:rsidRPr="00A557BB" w:rsidRDefault="00C42CC5" w:rsidP="00C42CC5">
      <w:pPr>
        <w:pStyle w:val="Heading1"/>
        <w:rPr>
          <w:lang w:val="fr-FR"/>
        </w:rPr>
      </w:pPr>
      <w:r w:rsidRPr="00A557BB">
        <w:rPr>
          <w:lang w:val="fr-FR"/>
        </w:rPr>
        <w:t xml:space="preserve">Au cours de discussions ultérieures, le PNUD a expliqué que Seal avait mis au point et testé, et vendait, des formulations utilisant du formiate de méthyle pour des applications de mousse à pulvériser </w:t>
      </w:r>
      <w:r w:rsidRPr="00A557BB">
        <w:rPr>
          <w:lang w:val="fr-FR"/>
        </w:rPr>
        <w:lastRenderedPageBreak/>
        <w:t xml:space="preserve">sur le marché local ; dans les cas où les clients exigent expressément que des agents de gonflage à base de HFC soient utilisés, principalement en raison de choix technologiques faits par la direction desdits clients, l'entreprise utilise des formulations à base de HFC. En outre, alors que Seal pourrait vendre des formulations à base de formiate de méthyle, dans le contexte actuel, il ne serait pas possible d’interrompre complètement l’utilisation de formulations à base de HFC ; en conséquence, l'entreprise a souhaité mettre fin à sa participation au projet et ne pas demander le paiement des surcoûts d'investissement d'un montant d'environ 5 000 $US. </w:t>
      </w:r>
    </w:p>
    <w:p w14:paraId="2678A0E5" w14:textId="185EB828" w:rsidR="00C42CC5" w:rsidRPr="00A557BB" w:rsidRDefault="00C42CC5" w:rsidP="00C42CC5">
      <w:pPr>
        <w:pStyle w:val="Heading1"/>
        <w:rPr>
          <w:lang w:val="fr-FR"/>
        </w:rPr>
      </w:pPr>
      <w:r w:rsidRPr="00A557BB">
        <w:rPr>
          <w:lang w:val="fr-FR"/>
        </w:rPr>
        <w:t>Le Secrétariat s'est enquis de la possibilité pour l'entreprise d'utiliser les c</w:t>
      </w:r>
      <w:r w:rsidR="00BE0480" w:rsidRPr="00A557BB">
        <w:rPr>
          <w:lang w:val="fr-FR"/>
        </w:rPr>
        <w:t xml:space="preserve">onclusions de la démonstration </w:t>
      </w:r>
      <w:r w:rsidRPr="00A557BB">
        <w:rPr>
          <w:lang w:val="fr-FR"/>
        </w:rPr>
        <w:t>de formulations à base d'agents moussants à faible PRP (par exemple, des formulations à base de HFO) dans les applications de mousse de pulvérisation, notamment des projets de démonstration approuvés à la 76</w:t>
      </w:r>
      <w:r w:rsidRPr="00A557BB">
        <w:rPr>
          <w:vertAlign w:val="superscript"/>
          <w:lang w:val="fr-FR"/>
        </w:rPr>
        <w:t>e</w:t>
      </w:r>
      <w:r w:rsidRPr="00A557BB">
        <w:rPr>
          <w:lang w:val="fr-FR"/>
        </w:rPr>
        <w:t xml:space="preserve"> réunion ; Le PNUD a indiqué que l'entreprise ne s'y intéressait pas, les problèmes d'approvisionnement et le coût rendant les formulations à base de HFO peu attrayantes.  </w:t>
      </w:r>
    </w:p>
    <w:p w14:paraId="7CC14149" w14:textId="77777777" w:rsidR="00C42CC5" w:rsidRPr="00A557BB" w:rsidRDefault="00C42CC5" w:rsidP="00C42CC5">
      <w:pPr>
        <w:spacing w:after="240"/>
        <w:outlineLvl w:val="0"/>
        <w:rPr>
          <w:b/>
          <w:lang w:val="fr-FR"/>
        </w:rPr>
      </w:pPr>
      <w:r w:rsidRPr="00A557BB">
        <w:rPr>
          <w:b/>
          <w:lang w:val="fr-FR"/>
        </w:rPr>
        <w:t xml:space="preserve">Recommandation </w:t>
      </w:r>
    </w:p>
    <w:p w14:paraId="1CF29465" w14:textId="77777777" w:rsidR="00C42CC5" w:rsidRPr="00A557BB" w:rsidRDefault="00C42CC5" w:rsidP="00C42CC5">
      <w:pPr>
        <w:pStyle w:val="Heading1"/>
        <w:rPr>
          <w:lang w:val="fr-FR"/>
        </w:rPr>
      </w:pPr>
      <w:r w:rsidRPr="00A557BB">
        <w:rPr>
          <w:lang w:val="fr-FR"/>
        </w:rPr>
        <w:t>Le Comité exécutif pourrait souhaiter :</w:t>
      </w:r>
    </w:p>
    <w:p w14:paraId="2133985F" w14:textId="77777777" w:rsidR="00C42CC5" w:rsidRPr="00A557BB" w:rsidRDefault="00C42CC5" w:rsidP="00C42CC5">
      <w:pPr>
        <w:pStyle w:val="Heading2"/>
        <w:numPr>
          <w:ilvl w:val="1"/>
          <w:numId w:val="1"/>
        </w:numPr>
        <w:rPr>
          <w:lang w:val="fr-FR"/>
        </w:rPr>
      </w:pPr>
      <w:r w:rsidRPr="00A557BB">
        <w:rPr>
          <w:lang w:val="fr-FR"/>
        </w:rPr>
        <w:t>prendre note du rapport soumis par le PNUD sur l'état de l'utilisation de différentes technologies et les difficultés rencontrées lors de l'adoption d'agents de gonflement de la mousse à faible potentiel de réchauffement de la planète (PRP) par les entreprises ayant bénéficié d'une assistance dans le cadre de la phase I de la phase du plan de gestion de l'élimination des HCFC (PGEGH) pour la Trinité-et-Tobago, contenu dans le document paru sous la cote UNEP/OzL.Pro/ExCom/84/22 ;</w:t>
      </w:r>
    </w:p>
    <w:p w14:paraId="53693865" w14:textId="77777777" w:rsidR="00C42CC5" w:rsidRPr="00A557BB" w:rsidRDefault="00C42CC5" w:rsidP="00C42CC5">
      <w:pPr>
        <w:pStyle w:val="Heading2"/>
        <w:numPr>
          <w:ilvl w:val="1"/>
          <w:numId w:val="1"/>
        </w:numPr>
        <w:rPr>
          <w:lang w:val="fr-FR"/>
        </w:rPr>
      </w:pPr>
      <w:r w:rsidRPr="00A557BB">
        <w:rPr>
          <w:lang w:val="fr-FR"/>
        </w:rPr>
        <w:t>demander au PNUD de surveiller la disponibilité et l'utilisation des agents de gonflage de mousse à faible PRP à la Trinité-et-Tobago et de fournir une mise à jour sur l'adoption de la technologie par les entreprises aidées dans le secteur des mousses, y compris Seal et Ice Fab, à la 86</w:t>
      </w:r>
      <w:r w:rsidRPr="00A557BB">
        <w:rPr>
          <w:vertAlign w:val="superscript"/>
          <w:lang w:val="fr-FR"/>
        </w:rPr>
        <w:t>e</w:t>
      </w:r>
      <w:r w:rsidRPr="00A557BB">
        <w:rPr>
          <w:lang w:val="fr-FR"/>
        </w:rPr>
        <w:t xml:space="preserve"> réunion, en même temps qu'il soumettra la demande de la cinquième tranche de la phase I du PGEH pour la Trinité-et-Tobago.</w:t>
      </w:r>
    </w:p>
    <w:p w14:paraId="06A56A43" w14:textId="77777777" w:rsidR="005D1532" w:rsidRPr="00A557BB" w:rsidRDefault="00B86FE2" w:rsidP="005D1532">
      <w:pPr>
        <w:spacing w:after="240"/>
        <w:rPr>
          <w:b/>
          <w:u w:val="single"/>
          <w:lang w:val="fr-FR"/>
        </w:rPr>
      </w:pPr>
      <w:r w:rsidRPr="00A557BB">
        <w:rPr>
          <w:b/>
          <w:u w:val="single"/>
          <w:lang w:val="fr-FR"/>
        </w:rPr>
        <w:t>Rapports concernant les PGEH</w:t>
      </w:r>
    </w:p>
    <w:p w14:paraId="12EA5194" w14:textId="77777777" w:rsidR="000C38A4" w:rsidRPr="00A557BB" w:rsidRDefault="000C38A4" w:rsidP="000C38A4">
      <w:pPr>
        <w:spacing w:after="240"/>
        <w:rPr>
          <w:lang w:val="fr-FR"/>
        </w:rPr>
      </w:pPr>
      <w:r w:rsidRPr="00A557BB">
        <w:rPr>
          <w:u w:val="single"/>
          <w:lang w:val="fr-FR"/>
        </w:rPr>
        <w:t>Indonésie: Plan de gestion de l'élimination des HCFC (phase I - Rapport périodique et rapport sur l'état de la reconversion des entreprises du secteur de la réfrigération et de la climatisation et de la reconversion en mousses de polyuréthane)</w:t>
      </w:r>
      <w:r w:rsidR="006D6E99" w:rsidRPr="00A557BB">
        <w:rPr>
          <w:lang w:val="fr-FR"/>
        </w:rPr>
        <w:t xml:space="preserve"> (PNUD, ONUDI, Banque mondiale et Gouvernement de l'Australie)</w:t>
      </w:r>
    </w:p>
    <w:p w14:paraId="424847F3" w14:textId="77777777" w:rsidR="000C38A4" w:rsidRPr="00A557BB" w:rsidRDefault="000C38A4" w:rsidP="000C38A4">
      <w:pPr>
        <w:spacing w:after="240"/>
        <w:rPr>
          <w:b/>
          <w:u w:val="single"/>
          <w:lang w:val="fr-FR"/>
        </w:rPr>
      </w:pPr>
      <w:r w:rsidRPr="00A557BB">
        <w:rPr>
          <w:b/>
          <w:lang w:val="fr-FR"/>
        </w:rPr>
        <w:t>Historique</w:t>
      </w:r>
    </w:p>
    <w:p w14:paraId="69FCFD0E" w14:textId="77777777" w:rsidR="000C38A4" w:rsidRPr="00A557BB" w:rsidRDefault="000C38A4" w:rsidP="00D11B6F">
      <w:pPr>
        <w:numPr>
          <w:ilvl w:val="0"/>
          <w:numId w:val="1"/>
        </w:numPr>
        <w:spacing w:after="240"/>
        <w:outlineLvl w:val="0"/>
        <w:rPr>
          <w:lang w:val="fr-FR"/>
        </w:rPr>
      </w:pPr>
      <w:r w:rsidRPr="00A557BB">
        <w:rPr>
          <w:lang w:val="fr-FR"/>
        </w:rPr>
        <w:t>Au nom du gouvernement indonésien, le PNUD, agissant en qualité d'agence d'exécution principale, a soumis à la 84</w:t>
      </w:r>
      <w:r w:rsidRPr="00A557BB">
        <w:rPr>
          <w:vertAlign w:val="superscript"/>
          <w:lang w:val="fr-FR"/>
        </w:rPr>
        <w:t>e</w:t>
      </w:r>
      <w:r w:rsidRPr="00A557BB">
        <w:rPr>
          <w:lang w:val="fr-FR"/>
        </w:rPr>
        <w:t xml:space="preserve"> réunion son rapport périodique annuel portant sur la mise en œuvre du programme de travail associé à la troisième et dernière tranche du PGEH,</w:t>
      </w:r>
      <w:r w:rsidRPr="00A557BB">
        <w:rPr>
          <w:vertAlign w:val="superscript"/>
          <w:lang w:val="fr-FR"/>
        </w:rPr>
        <w:footnoteReference w:id="33"/>
      </w:r>
      <w:r w:rsidRPr="00A557BB">
        <w:rPr>
          <w:lang w:val="fr-FR"/>
        </w:rPr>
        <w:t xml:space="preserve"> conformément à la décision 76/47 d), ainsi qu'un rapport sur le statut des entreprises qui fabriquent temporairement des équipements de réfrigération et de climatisation à fort PRP, au sein des entreprises qui ont reçu un financement pour la </w:t>
      </w:r>
      <w:r w:rsidR="002F5396" w:rsidRPr="00A557BB">
        <w:rPr>
          <w:lang w:val="fr-FR"/>
        </w:rPr>
        <w:t>reconversion</w:t>
      </w:r>
      <w:r w:rsidRPr="00A557BB">
        <w:rPr>
          <w:lang w:val="fr-FR"/>
        </w:rPr>
        <w:t xml:space="preserve"> à des solutions de remplacement à faible PRP, conformément aux décisions 77/35 81/11 (c), 82/30 (e) et 83/22 (c).</w:t>
      </w:r>
    </w:p>
    <w:p w14:paraId="298502BD" w14:textId="77777777" w:rsidR="000C38A4" w:rsidRPr="00A557BB" w:rsidRDefault="000C38A4" w:rsidP="00D11B6F">
      <w:pPr>
        <w:keepNext/>
        <w:keepLines/>
        <w:spacing w:after="240"/>
        <w:rPr>
          <w:i/>
          <w:lang w:val="fr-FR"/>
        </w:rPr>
      </w:pPr>
      <w:r w:rsidRPr="00A557BB">
        <w:rPr>
          <w:i/>
          <w:lang w:val="fr-FR"/>
        </w:rPr>
        <w:lastRenderedPageBreak/>
        <w:t>Consommation de HCFC</w:t>
      </w:r>
    </w:p>
    <w:p w14:paraId="6EC6E1C7" w14:textId="77777777" w:rsidR="000C38A4" w:rsidRPr="00A557BB" w:rsidRDefault="000C38A4" w:rsidP="00D11B6F">
      <w:pPr>
        <w:keepNext/>
        <w:keepLines/>
        <w:numPr>
          <w:ilvl w:val="0"/>
          <w:numId w:val="1"/>
        </w:numPr>
        <w:spacing w:after="240"/>
        <w:outlineLvl w:val="0"/>
        <w:rPr>
          <w:lang w:val="fr-FR"/>
        </w:rPr>
      </w:pPr>
      <w:r w:rsidRPr="00A557BB">
        <w:rPr>
          <w:lang w:val="fr-FR"/>
        </w:rPr>
        <w:t xml:space="preserve">Le Gouvernement indonésien a indiqué une consommation de 235,56 tonnes PAO de HCFC en 2018, soit 27% de moins que l'objectif du PGEH fixé à 323,12 tonnes PAO pour 2018 et 42% de moins que le niveau de référence fixé à 403,9 tonnes PAO. </w:t>
      </w:r>
    </w:p>
    <w:p w14:paraId="5ED07651" w14:textId="77777777" w:rsidR="000C38A4" w:rsidRPr="00A557BB" w:rsidRDefault="000C38A4" w:rsidP="000C38A4">
      <w:pPr>
        <w:numPr>
          <w:ilvl w:val="0"/>
          <w:numId w:val="1"/>
        </w:numPr>
        <w:spacing w:after="240"/>
        <w:outlineLvl w:val="0"/>
        <w:rPr>
          <w:lang w:val="fr-FR"/>
        </w:rPr>
      </w:pPr>
      <w:r w:rsidRPr="00A557BB">
        <w:rPr>
          <w:lang w:val="fr-FR"/>
        </w:rPr>
        <w:t>Le gouvernement a communiqué des données sur la consommation sectorielle dans le rapport de mise en œuvre du programme de pays de 2018. Ces données sont conformes aux données communiquées au titre de l'article 7 du Protocole de Montréal.</w:t>
      </w:r>
    </w:p>
    <w:p w14:paraId="7E57F855" w14:textId="77777777" w:rsidR="000C38A4" w:rsidRPr="00A557BB" w:rsidRDefault="000C38A4" w:rsidP="000C38A4">
      <w:pPr>
        <w:spacing w:after="240"/>
        <w:rPr>
          <w:b/>
          <w:lang w:val="fr-FR"/>
        </w:rPr>
      </w:pPr>
      <w:r w:rsidRPr="00A557BB">
        <w:rPr>
          <w:b/>
          <w:lang w:val="fr-FR"/>
        </w:rPr>
        <w:t>Rapport périodique sur la mise en œuvre de la troisième et dernière tranche du PGEH</w:t>
      </w:r>
    </w:p>
    <w:p w14:paraId="0FDEDF33" w14:textId="77777777" w:rsidR="000C38A4" w:rsidRPr="00A557BB" w:rsidRDefault="00D73ABE" w:rsidP="000C38A4">
      <w:pPr>
        <w:spacing w:after="240"/>
        <w:rPr>
          <w:i/>
          <w:u w:val="single"/>
          <w:lang w:val="fr-FR"/>
        </w:rPr>
      </w:pPr>
      <w:r w:rsidRPr="00A557BB">
        <w:rPr>
          <w:i/>
          <w:lang w:val="fr-FR"/>
        </w:rPr>
        <w:t>Secteur de la mousse de polyuréthane</w:t>
      </w:r>
    </w:p>
    <w:p w14:paraId="742566FD" w14:textId="4DCBFF22" w:rsidR="000C38A4" w:rsidRPr="00A557BB" w:rsidRDefault="000C38A4" w:rsidP="000C38A4">
      <w:pPr>
        <w:numPr>
          <w:ilvl w:val="0"/>
          <w:numId w:val="1"/>
        </w:numPr>
        <w:spacing w:after="240"/>
        <w:outlineLvl w:val="0"/>
        <w:rPr>
          <w:lang w:val="fr-FR"/>
        </w:rPr>
      </w:pPr>
      <w:r w:rsidRPr="00A557BB">
        <w:rPr>
          <w:lang w:val="fr-FR"/>
        </w:rPr>
        <w:t>Le plan du secteur de la mousse de polyuréthane est terminé. L’entreprise Aneka Cool, qui fabrique des panneaux en mousse de polyuréthane discontinus (en sandwich) pour les chambres froides et qui a bénéficié de l’aide du Fonds multilatéral pour la reconversion de sa ligne discontinue, a décidé d’externaliser les panneaux en sandwich et, de ce fait, les 60 500 $US partiellement versés à l’entreprise seront récupérés et restitués au Fonds multilatéral à la 85</w:t>
      </w:r>
      <w:r w:rsidRPr="00A557BB">
        <w:rPr>
          <w:vertAlign w:val="superscript"/>
          <w:lang w:val="fr-FR"/>
        </w:rPr>
        <w:t>e</w:t>
      </w:r>
      <w:r w:rsidRPr="00A557BB">
        <w:rPr>
          <w:lang w:val="fr-FR"/>
        </w:rPr>
        <w:t xml:space="preserve"> réunion. Cela étant fait, les activités liées au secteur de la mousse de polyuréthane sont terminées. Les soldes restants seront restitués au Fonds multilatéral d’ici à la 85</w:t>
      </w:r>
      <w:r w:rsidRPr="00A557BB">
        <w:rPr>
          <w:vertAlign w:val="superscript"/>
          <w:lang w:val="fr-FR"/>
        </w:rPr>
        <w:t>e</w:t>
      </w:r>
      <w:r w:rsidRPr="00A557BB">
        <w:rPr>
          <w:lang w:val="fr-FR"/>
        </w:rPr>
        <w:t xml:space="preserve"> réunion. L'interdiction d'importer du HCFC-141b en vrac et dans des polyols prémélangés importés devrait être appliquée d'ici le 1er janvier 2021, c</w:t>
      </w:r>
      <w:r w:rsidR="00ED2AEA">
        <w:rPr>
          <w:lang w:val="fr-FR"/>
        </w:rPr>
        <w:t>onformément à la décision </w:t>
      </w:r>
      <w:r w:rsidR="00BE0480" w:rsidRPr="00A557BB">
        <w:rPr>
          <w:lang w:val="fr-FR"/>
        </w:rPr>
        <w:t>76/38 </w:t>
      </w:r>
      <w:r w:rsidRPr="00A557BB">
        <w:rPr>
          <w:lang w:val="fr-FR"/>
        </w:rPr>
        <w:t xml:space="preserve">c). </w:t>
      </w:r>
    </w:p>
    <w:p w14:paraId="59ECF257" w14:textId="77777777" w:rsidR="000C38A4" w:rsidRPr="00A557BB" w:rsidRDefault="000C38A4" w:rsidP="000C38A4">
      <w:pPr>
        <w:rPr>
          <w:i/>
          <w:lang w:val="fr-FR"/>
        </w:rPr>
      </w:pPr>
      <w:r w:rsidRPr="00A557BB">
        <w:rPr>
          <w:i/>
          <w:lang w:val="fr-FR"/>
        </w:rPr>
        <w:t>Secteur de la fabrication des appareils de réfrigération et de climatisation</w:t>
      </w:r>
    </w:p>
    <w:p w14:paraId="7219EC50" w14:textId="77777777" w:rsidR="000C38A4" w:rsidRPr="00A557BB" w:rsidRDefault="000C38A4" w:rsidP="000C38A4">
      <w:pPr>
        <w:rPr>
          <w:i/>
          <w:lang w:val="fr-FR"/>
        </w:rPr>
      </w:pPr>
    </w:p>
    <w:p w14:paraId="678BAACD" w14:textId="7B76ED18" w:rsidR="000C38A4" w:rsidRPr="00A557BB" w:rsidRDefault="000C38A4" w:rsidP="000C38A4">
      <w:pPr>
        <w:numPr>
          <w:ilvl w:val="0"/>
          <w:numId w:val="1"/>
        </w:numPr>
        <w:spacing w:after="240"/>
        <w:outlineLvl w:val="0"/>
        <w:rPr>
          <w:lang w:val="fr-FR"/>
        </w:rPr>
      </w:pPr>
      <w:r w:rsidRPr="00A557BB">
        <w:rPr>
          <w:lang w:val="fr-FR"/>
        </w:rPr>
        <w:t xml:space="preserve">La phase I du PGEH incluait la </w:t>
      </w:r>
      <w:r w:rsidR="002F5396" w:rsidRPr="00A557BB">
        <w:rPr>
          <w:lang w:val="fr-FR"/>
        </w:rPr>
        <w:t>reconversion</w:t>
      </w:r>
      <w:r w:rsidRPr="00A557BB">
        <w:rPr>
          <w:lang w:val="fr-FR"/>
        </w:rPr>
        <w:t xml:space="preserve"> de 48 entreprises dans le secteur de la fabrication des appareils de réfrigération et de climatisation vers les technologies </w:t>
      </w:r>
      <w:r w:rsidR="00BE0480" w:rsidRPr="00A557BB">
        <w:rPr>
          <w:lang w:val="fr-FR"/>
        </w:rPr>
        <w:t>à faible PRP</w:t>
      </w:r>
      <w:r w:rsidRPr="00A557BB">
        <w:rPr>
          <w:lang w:val="fr-FR"/>
        </w:rPr>
        <w:t>. Cependant, lors de la mise en œuvre, 28 entreprises (16 dans le secteur de la climatisation et 12 dans le secteur de la réfrigération commerciale) ont décidé de se convert</w:t>
      </w:r>
      <w:r w:rsidR="00BE0480" w:rsidRPr="00A557BB">
        <w:rPr>
          <w:lang w:val="fr-FR"/>
        </w:rPr>
        <w:t>ir à des technologies à fort PRP</w:t>
      </w:r>
      <w:r w:rsidRPr="00A557BB">
        <w:rPr>
          <w:lang w:val="fr-FR"/>
        </w:rPr>
        <w:t xml:space="preserve"> avec leurs propres ressources et ont remboursé 3 134 216 $ US, plus les coûts d’appui d’agence, au Fonds multilatéral. </w:t>
      </w:r>
    </w:p>
    <w:p w14:paraId="7424707B" w14:textId="783A2FCE" w:rsidR="000C38A4" w:rsidRPr="00A557BB" w:rsidRDefault="000C38A4" w:rsidP="000C38A4">
      <w:pPr>
        <w:rPr>
          <w:b/>
          <w:lang w:val="fr-FR"/>
        </w:rPr>
      </w:pPr>
      <w:r w:rsidRPr="00A557BB">
        <w:rPr>
          <w:b/>
          <w:lang w:val="fr-FR"/>
        </w:rPr>
        <w:t>Progrès enregistrés à la 83</w:t>
      </w:r>
      <w:r w:rsidRPr="00A557BB">
        <w:rPr>
          <w:b/>
          <w:vertAlign w:val="superscript"/>
          <w:lang w:val="fr-FR"/>
        </w:rPr>
        <w:t>e</w:t>
      </w:r>
      <w:r w:rsidR="00BE0480" w:rsidRPr="00A557BB">
        <w:rPr>
          <w:b/>
          <w:lang w:val="fr-FR"/>
        </w:rPr>
        <w:t xml:space="preserve"> réunion</w:t>
      </w:r>
    </w:p>
    <w:p w14:paraId="34FC221C" w14:textId="77777777" w:rsidR="000C38A4" w:rsidRPr="00A557BB" w:rsidRDefault="000C38A4" w:rsidP="000C38A4">
      <w:pPr>
        <w:rPr>
          <w:u w:val="single"/>
          <w:lang w:val="fr-FR"/>
        </w:rPr>
      </w:pPr>
    </w:p>
    <w:p w14:paraId="47B556BA" w14:textId="77777777" w:rsidR="000C38A4" w:rsidRPr="00A557BB" w:rsidRDefault="000C38A4" w:rsidP="000C38A4">
      <w:pPr>
        <w:numPr>
          <w:ilvl w:val="0"/>
          <w:numId w:val="1"/>
        </w:numPr>
        <w:spacing w:after="240"/>
        <w:outlineLvl w:val="0"/>
        <w:rPr>
          <w:lang w:val="fr-FR"/>
        </w:rPr>
      </w:pPr>
      <w:r w:rsidRPr="00A557BB">
        <w:rPr>
          <w:lang w:val="fr-FR"/>
        </w:rPr>
        <w:t>À la 83</w:t>
      </w:r>
      <w:r w:rsidRPr="00A557BB">
        <w:rPr>
          <w:vertAlign w:val="superscript"/>
          <w:lang w:val="fr-FR"/>
        </w:rPr>
        <w:t>e</w:t>
      </w:r>
      <w:r w:rsidRPr="00A557BB">
        <w:rPr>
          <w:lang w:val="fr-FR"/>
        </w:rPr>
        <w:t xml:space="preserve"> réunion, il a été signalé que des 20 entreprises restantes, une seule (Panasonic) </w:t>
      </w:r>
      <w:r w:rsidR="00614272" w:rsidRPr="00A557BB">
        <w:rPr>
          <w:lang w:val="fr-FR"/>
        </w:rPr>
        <w:t>fabriquait</w:t>
      </w:r>
      <w:r w:rsidRPr="00A557BB">
        <w:rPr>
          <w:lang w:val="fr-FR"/>
        </w:rPr>
        <w:t xml:space="preserve"> des climatiseurs basés sur la technologie HFC-32. Huit moyennes et grandes entreprises ont fabriqué des équipements prototypiques fonctionnant au HFC-32, tandis que huit petites entreprises font du travail d’assemblage à partir de commandes personnalisées; jusqu’ici, aucune commande pour des équipements fonctionnant au HFC-32 n’a été passée. Trois entreprises de fabrication supplémentaires attendent toujours l’amélioration du marché des équipements fonctionnant au HFC-32 avant d’entreprendre leur reconversion. Actuellement, les 19 entreprises fabriquent des équipements fonctionnant avec des frigorigènes à fort PRP (principalement le R-410A, le R-404A et le HFC-134a).</w:t>
      </w:r>
    </w:p>
    <w:p w14:paraId="12CCED26" w14:textId="330520E2" w:rsidR="000C38A4" w:rsidRPr="00A557BB" w:rsidRDefault="000C38A4" w:rsidP="000C38A4">
      <w:pPr>
        <w:numPr>
          <w:ilvl w:val="0"/>
          <w:numId w:val="1"/>
        </w:numPr>
        <w:spacing w:after="240"/>
        <w:outlineLvl w:val="0"/>
        <w:rPr>
          <w:lang w:val="fr-FR"/>
        </w:rPr>
      </w:pPr>
      <w:r w:rsidRPr="00A557BB">
        <w:rPr>
          <w:lang w:val="fr-FR"/>
        </w:rPr>
        <w:t xml:space="preserve">Il a également été signalé que les raisons expliquant le retard pris dans la </w:t>
      </w:r>
      <w:r w:rsidR="00A95893" w:rsidRPr="00A557BB">
        <w:rPr>
          <w:lang w:val="fr-FR"/>
        </w:rPr>
        <w:t xml:space="preserve">reconversion et la fabrication </w:t>
      </w:r>
      <w:r w:rsidRPr="00A557BB">
        <w:rPr>
          <w:lang w:val="fr-FR"/>
        </w:rPr>
        <w:t>d'équipements de réfrigération et de climatisation dotés de la technologie convenue par les entreprises sont les suivantes : une dispon</w:t>
      </w:r>
      <w:r w:rsidR="00A95893" w:rsidRPr="00A557BB">
        <w:rPr>
          <w:lang w:val="fr-FR"/>
        </w:rPr>
        <w:t xml:space="preserve">ibilité commerciale </w:t>
      </w:r>
      <w:r w:rsidRPr="00A557BB">
        <w:rPr>
          <w:lang w:val="fr-FR"/>
        </w:rPr>
        <w:t>limitée des compresseurs et composants à base de HFC</w:t>
      </w:r>
      <w:r w:rsidR="00614272" w:rsidRPr="00A557BB">
        <w:rPr>
          <w:lang w:val="fr-FR"/>
        </w:rPr>
        <w:t>-</w:t>
      </w:r>
      <w:r w:rsidRPr="00A557BB">
        <w:rPr>
          <w:lang w:val="fr-FR"/>
        </w:rPr>
        <w:t>32 à des prix abordables, le manque de</w:t>
      </w:r>
      <w:r w:rsidR="00A95893" w:rsidRPr="00A557BB">
        <w:rPr>
          <w:lang w:val="fr-FR"/>
        </w:rPr>
        <w:t xml:space="preserve"> demande sur le marché local d'équipements à base de HFC-32 et le fait que ces </w:t>
      </w:r>
      <w:r w:rsidRPr="00A557BB">
        <w:rPr>
          <w:lang w:val="fr-FR"/>
        </w:rPr>
        <w:t>derniers coûtent plus cher que les autres équipements disponibles dans le pays.</w:t>
      </w:r>
    </w:p>
    <w:p w14:paraId="5AB27A88" w14:textId="66CB5265" w:rsidR="000C38A4" w:rsidRPr="00A557BB" w:rsidRDefault="000C38A4" w:rsidP="00D11B6F">
      <w:pPr>
        <w:keepNext/>
        <w:keepLines/>
        <w:rPr>
          <w:b/>
          <w:lang w:val="fr-FR"/>
        </w:rPr>
      </w:pPr>
      <w:r w:rsidRPr="00A557BB">
        <w:rPr>
          <w:b/>
          <w:lang w:val="fr-FR"/>
        </w:rPr>
        <w:lastRenderedPageBreak/>
        <w:t>Rapport à la 84</w:t>
      </w:r>
      <w:r w:rsidRPr="00A557BB">
        <w:rPr>
          <w:b/>
          <w:vertAlign w:val="superscript"/>
          <w:lang w:val="fr-FR"/>
        </w:rPr>
        <w:t>e</w:t>
      </w:r>
      <w:r w:rsidR="00A95893" w:rsidRPr="00A557BB">
        <w:rPr>
          <w:b/>
          <w:vertAlign w:val="superscript"/>
          <w:lang w:val="fr-FR"/>
        </w:rPr>
        <w:t xml:space="preserve"> </w:t>
      </w:r>
      <w:r w:rsidRPr="00A557BB">
        <w:rPr>
          <w:b/>
          <w:lang w:val="fr-FR"/>
        </w:rPr>
        <w:t>réunion</w:t>
      </w:r>
    </w:p>
    <w:p w14:paraId="0C13A84C" w14:textId="77777777" w:rsidR="000C38A4" w:rsidRPr="00A557BB" w:rsidRDefault="000C38A4" w:rsidP="00D11B6F">
      <w:pPr>
        <w:keepNext/>
        <w:keepLines/>
        <w:rPr>
          <w:u w:val="single"/>
          <w:lang w:val="fr-FR"/>
        </w:rPr>
      </w:pPr>
    </w:p>
    <w:p w14:paraId="692C2CDF" w14:textId="77777777" w:rsidR="000C38A4" w:rsidRPr="00A557BB" w:rsidRDefault="000C38A4" w:rsidP="00D11B6F">
      <w:pPr>
        <w:keepNext/>
        <w:keepLines/>
        <w:numPr>
          <w:ilvl w:val="0"/>
          <w:numId w:val="1"/>
        </w:numPr>
        <w:spacing w:after="240"/>
        <w:outlineLvl w:val="0"/>
        <w:rPr>
          <w:lang w:val="fr-FR"/>
        </w:rPr>
      </w:pPr>
      <w:r w:rsidRPr="00A557BB">
        <w:rPr>
          <w:lang w:val="fr-FR"/>
        </w:rPr>
        <w:t xml:space="preserve">Le PNUD a assisté à l'exposition China Refrigeration Expo en avril 2019. Il a organisé des réunions bilatérales avec des fabricants de compresseurs et des fabricants de climatiseurs commerciaux ainsi </w:t>
      </w:r>
      <w:r w:rsidR="00614272" w:rsidRPr="00A557BB">
        <w:rPr>
          <w:lang w:val="fr-FR"/>
        </w:rPr>
        <w:t>que des</w:t>
      </w:r>
      <w:r w:rsidRPr="00A557BB">
        <w:rPr>
          <w:lang w:val="fr-FR"/>
        </w:rPr>
        <w:t xml:space="preserve"> visites sur site pour analyser le marché et évaluer les défis liés à l'introduction du HFC-32, ce qui a conduit à l'évaluation suivante :</w:t>
      </w:r>
    </w:p>
    <w:p w14:paraId="5EC248DE" w14:textId="77777777" w:rsidR="000C38A4" w:rsidRPr="00A557BB" w:rsidRDefault="000C38A4" w:rsidP="000C38A4">
      <w:pPr>
        <w:widowControl w:val="0"/>
        <w:numPr>
          <w:ilvl w:val="1"/>
          <w:numId w:val="1"/>
        </w:numPr>
        <w:spacing w:after="240"/>
        <w:outlineLvl w:val="1"/>
        <w:rPr>
          <w:lang w:val="fr-FR"/>
        </w:rPr>
      </w:pPr>
      <w:r w:rsidRPr="00A557BB">
        <w:rPr>
          <w:lang w:val="fr-FR"/>
        </w:rPr>
        <w:t>La chaîne d'approvisionnement des compresseurs a changé depuis la révision des normes de sécurité en Chine. Un certain nombre de fabricants basés en Chine commercialisent des produits et des catalogues détaillés sont disponibles pour une consultation en ligne. En Indonésie, Emerson a déjà formé des centres de distribution locaux. En outre, Siam Compressor (Thaïlande) a également développé une gamme de compresseurs HFC-32 ;</w:t>
      </w:r>
    </w:p>
    <w:p w14:paraId="5E724F07" w14:textId="77777777" w:rsidR="000C38A4" w:rsidRPr="00A557BB" w:rsidRDefault="000C38A4" w:rsidP="00B45D48">
      <w:pPr>
        <w:keepNext/>
        <w:numPr>
          <w:ilvl w:val="1"/>
          <w:numId w:val="1"/>
        </w:numPr>
        <w:spacing w:after="240"/>
        <w:outlineLvl w:val="1"/>
        <w:rPr>
          <w:lang w:val="fr-FR"/>
        </w:rPr>
      </w:pPr>
      <w:r w:rsidRPr="00A557BB">
        <w:rPr>
          <w:lang w:val="fr-FR"/>
        </w:rPr>
        <w:t>La disponibilité en petits compresseurs (moins de 6 chevaux) est établie et stable, de nombreux modèles étant commercialisés. Toutefois, pour les tailles moyennes et grandes (8 à 60 CV), les compresseurs de la région sont principalement commercialisés par trois fournisseurs (Emerson, Hitachi et Siam-Mitsubishi). Dans la pratique, bien que la disponibilité s'améliore, les compresseurs HFC-32 destinés aux grandes unités ont tendance à être plus coûteux (jusqu'à 30%) que les compresseurs fonctionnant au R-410A et au R-407C ;</w:t>
      </w:r>
    </w:p>
    <w:p w14:paraId="624EAC56" w14:textId="2C068BCD" w:rsidR="000C38A4" w:rsidRPr="00A557BB" w:rsidRDefault="00A95893" w:rsidP="000C38A4">
      <w:pPr>
        <w:widowControl w:val="0"/>
        <w:numPr>
          <w:ilvl w:val="1"/>
          <w:numId w:val="1"/>
        </w:numPr>
        <w:spacing w:after="240"/>
        <w:outlineLvl w:val="1"/>
        <w:rPr>
          <w:lang w:val="fr-FR"/>
        </w:rPr>
      </w:pPr>
      <w:r w:rsidRPr="00A557BB">
        <w:rPr>
          <w:lang w:val="fr-FR"/>
        </w:rPr>
        <w:t>L</w:t>
      </w:r>
      <w:r w:rsidR="000C38A4" w:rsidRPr="00A557BB">
        <w:rPr>
          <w:lang w:val="fr-FR"/>
        </w:rPr>
        <w:t>’amélioration de l’installation, de la maintenance et de l'entretien, ainsi que la disponibilité de pièces de rechange sur le marché, sont essentielles pour assurer l’acceptation par les consommateurs d</w:t>
      </w:r>
      <w:r w:rsidRPr="00A557BB">
        <w:rPr>
          <w:lang w:val="fr-FR"/>
        </w:rPr>
        <w:t xml:space="preserve">es équipements fonctionnant au </w:t>
      </w:r>
      <w:r w:rsidR="000C38A4" w:rsidRPr="00A557BB">
        <w:rPr>
          <w:lang w:val="fr-FR"/>
        </w:rPr>
        <w:t>HFC-32 et pour réduire les coûts de maintenance et d’entretien.</w:t>
      </w:r>
    </w:p>
    <w:p w14:paraId="7F36558D" w14:textId="6CFE92D9" w:rsidR="000C38A4" w:rsidRPr="00A557BB" w:rsidRDefault="000C38A4" w:rsidP="000C38A4">
      <w:pPr>
        <w:numPr>
          <w:ilvl w:val="0"/>
          <w:numId w:val="1"/>
        </w:numPr>
        <w:spacing w:after="240"/>
        <w:outlineLvl w:val="0"/>
        <w:rPr>
          <w:lang w:val="fr-FR"/>
        </w:rPr>
      </w:pPr>
      <w:r w:rsidRPr="00A557BB">
        <w:rPr>
          <w:lang w:val="fr-FR"/>
        </w:rPr>
        <w:t>Afin de déterminer la voie à suivre, chaque entreprise a tenu compte de l'évaluation du PNUD e</w:t>
      </w:r>
      <w:r w:rsidR="00A95893" w:rsidRPr="00A557BB">
        <w:rPr>
          <w:lang w:val="fr-FR"/>
        </w:rPr>
        <w:t>t des considérations suivantes :</w:t>
      </w:r>
    </w:p>
    <w:p w14:paraId="627CFB28" w14:textId="77777777" w:rsidR="000C38A4" w:rsidRPr="00A557BB" w:rsidRDefault="000C38A4" w:rsidP="000C38A4">
      <w:pPr>
        <w:widowControl w:val="0"/>
        <w:numPr>
          <w:ilvl w:val="1"/>
          <w:numId w:val="1"/>
        </w:numPr>
        <w:spacing w:after="240"/>
        <w:outlineLvl w:val="1"/>
        <w:rPr>
          <w:lang w:val="fr-FR"/>
        </w:rPr>
      </w:pPr>
      <w:r w:rsidRPr="00A557BB">
        <w:rPr>
          <w:lang w:val="fr-FR"/>
        </w:rPr>
        <w:t xml:space="preserve">Les entreprises qui fabriquent sous la marque du fabricant d’origine (OEM) et sur commande de celui-ci n’ont aucune influence sur les choix technologiques de leur fournisseur. Les commandes proviennent d'un réseau complexe (sièges, bureaux régionaux et distributeurs appartenant à des entreprises multinationales), pour des modèles spécifiques avec un </w:t>
      </w:r>
      <w:r w:rsidR="002F5396" w:rsidRPr="00A557BB">
        <w:rPr>
          <w:lang w:val="fr-FR"/>
        </w:rPr>
        <w:t>frigorigène</w:t>
      </w:r>
      <w:r w:rsidRPr="00A557BB">
        <w:rPr>
          <w:lang w:val="fr-FR"/>
        </w:rPr>
        <w:t xml:space="preserve"> donné (généralement le R-410A et le R</w:t>
      </w:r>
      <w:r w:rsidR="00614272" w:rsidRPr="00A557BB">
        <w:rPr>
          <w:lang w:val="fr-FR"/>
        </w:rPr>
        <w:t>-</w:t>
      </w:r>
      <w:r w:rsidRPr="00A557BB">
        <w:rPr>
          <w:lang w:val="fr-FR"/>
        </w:rPr>
        <w:t>407C) ;</w:t>
      </w:r>
    </w:p>
    <w:p w14:paraId="6FBC0DF6" w14:textId="1CBC2B01" w:rsidR="000C38A4" w:rsidRPr="00A557BB" w:rsidRDefault="00A95893" w:rsidP="000C38A4">
      <w:pPr>
        <w:widowControl w:val="0"/>
        <w:numPr>
          <w:ilvl w:val="1"/>
          <w:numId w:val="1"/>
        </w:numPr>
        <w:spacing w:after="240"/>
        <w:outlineLvl w:val="1"/>
        <w:rPr>
          <w:lang w:val="fr-FR"/>
        </w:rPr>
      </w:pPr>
      <w:r w:rsidRPr="00A557BB">
        <w:rPr>
          <w:lang w:val="fr-FR"/>
        </w:rPr>
        <w:t>L</w:t>
      </w:r>
      <w:r w:rsidR="000C38A4" w:rsidRPr="00A557BB">
        <w:rPr>
          <w:lang w:val="fr-FR"/>
        </w:rPr>
        <w:t xml:space="preserve">a décision de l'utilisateur final est influencée par les perceptions relatives à la sécurité, qui conduit à l'adoption d'équipements qui n'utilisent pas de </w:t>
      </w:r>
      <w:r w:rsidR="002F5396" w:rsidRPr="00A557BB">
        <w:rPr>
          <w:lang w:val="fr-FR"/>
        </w:rPr>
        <w:t>frigorigènes</w:t>
      </w:r>
      <w:r w:rsidR="000C38A4" w:rsidRPr="00A557BB">
        <w:rPr>
          <w:lang w:val="fr-FR"/>
        </w:rPr>
        <w:t xml:space="preserve"> inflammables, ainsi qu'à la facilité d'installation, d'utilisation, de maintenance et d'entretien. Actuellement, les unités fonctionnant au R-410A et au R-407C répondent à tous les critères pour les nouveaux bâtiments et la modernisation des installations actuelles. En ce qui concerne les premiers, les grands clients peuvent avoir une influence disproportionnée sur le m</w:t>
      </w:r>
      <w:r w:rsidRPr="00A557BB">
        <w:rPr>
          <w:lang w:val="fr-FR"/>
        </w:rPr>
        <w:t xml:space="preserve">arché car ils peuvent préférer </w:t>
      </w:r>
      <w:r w:rsidR="000C38A4" w:rsidRPr="00A557BB">
        <w:rPr>
          <w:lang w:val="fr-FR"/>
        </w:rPr>
        <w:t>les technologies au R-410A et R-407C bien établies, afin qu'elles s'intègrent de manière harmonieuse avec leur parc d’équipements actuellement installé (par exemple, une entreprise publique qui a déjà des pièces de rechange et a formé du personnel aux climatiseurs du commerce tournant au R407C, pourrait se montrer réticente à acheter des a</w:t>
      </w:r>
      <w:r w:rsidRPr="00A557BB">
        <w:rPr>
          <w:lang w:val="fr-FR"/>
        </w:rPr>
        <w:t>ppareils tournant au HFC-32) ;</w:t>
      </w:r>
    </w:p>
    <w:p w14:paraId="1C708DCE" w14:textId="77D65A48" w:rsidR="000C38A4" w:rsidRPr="00A557BB" w:rsidRDefault="000C38A4" w:rsidP="000C38A4">
      <w:pPr>
        <w:widowControl w:val="0"/>
        <w:numPr>
          <w:ilvl w:val="1"/>
          <w:numId w:val="1"/>
        </w:numPr>
        <w:spacing w:after="240"/>
        <w:outlineLvl w:val="1"/>
        <w:rPr>
          <w:lang w:val="fr-FR"/>
        </w:rPr>
      </w:pPr>
      <w:r w:rsidRPr="00A557BB">
        <w:rPr>
          <w:lang w:val="fr-FR"/>
        </w:rPr>
        <w:t xml:space="preserve">Bien que les compresseurs </w:t>
      </w:r>
      <w:r w:rsidR="00A95893" w:rsidRPr="00A557BB">
        <w:rPr>
          <w:lang w:val="fr-FR"/>
        </w:rPr>
        <w:t xml:space="preserve">à </w:t>
      </w:r>
      <w:r w:rsidRPr="00A557BB">
        <w:rPr>
          <w:lang w:val="fr-FR"/>
        </w:rPr>
        <w:t xml:space="preserve">HFC-32 et </w:t>
      </w:r>
      <w:r w:rsidR="00A95893" w:rsidRPr="00A557BB">
        <w:rPr>
          <w:lang w:val="fr-FR"/>
        </w:rPr>
        <w:t>les</w:t>
      </w:r>
      <w:r w:rsidRPr="00A557BB">
        <w:rPr>
          <w:lang w:val="fr-FR"/>
        </w:rPr>
        <w:t xml:space="preserve"> pièces</w:t>
      </w:r>
      <w:r w:rsidR="00A95893" w:rsidRPr="00A557BB">
        <w:rPr>
          <w:lang w:val="fr-FR"/>
        </w:rPr>
        <w:t xml:space="preserve"> détachées correspondantes</w:t>
      </w:r>
      <w:r w:rsidRPr="00A557BB">
        <w:rPr>
          <w:lang w:val="fr-FR"/>
        </w:rPr>
        <w:t xml:space="preserve"> soient disponibles (ou sur le point de l'être), leur p</w:t>
      </w:r>
      <w:r w:rsidR="00A95893" w:rsidRPr="00A557BB">
        <w:rPr>
          <w:lang w:val="fr-FR"/>
        </w:rPr>
        <w:t xml:space="preserve">rix a toujours tendance à être de </w:t>
      </w:r>
      <w:r w:rsidRPr="00A557BB">
        <w:rPr>
          <w:lang w:val="fr-FR"/>
        </w:rPr>
        <w:t>5</w:t>
      </w:r>
      <w:r w:rsidR="00A95893" w:rsidRPr="00A557BB">
        <w:rPr>
          <w:lang w:val="fr-FR"/>
        </w:rPr>
        <w:t>%</w:t>
      </w:r>
      <w:r w:rsidRPr="00A557BB">
        <w:rPr>
          <w:lang w:val="fr-FR"/>
        </w:rPr>
        <w:t xml:space="preserve"> à 30% plus élevé que celui des compresseurs HFC à fort PRP. Des mesures visant à encourager l'utilisation d'équipements contenant du HFC-32 pourraient être envisagées, telles que la sensibilisation aux gains d'efficacité énergétique ou la promotion d'incitations ; toutefois, de nouvelles politiques visant à restreindre l'adoption de solutions de remplacement à fort </w:t>
      </w:r>
      <w:r w:rsidRPr="00A557BB">
        <w:rPr>
          <w:lang w:val="fr-FR"/>
        </w:rPr>
        <w:lastRenderedPageBreak/>
        <w:t xml:space="preserve">PRP ne pourraient être adoptées que lorsque l'Indonésie aura ratifié l'amendement de Kigali et que le calendrier d'élimination du pays aura commencé à être appliqué. </w:t>
      </w:r>
    </w:p>
    <w:p w14:paraId="24FCDFFE" w14:textId="5BE51939" w:rsidR="000C38A4" w:rsidRPr="00A557BB" w:rsidRDefault="000C38A4" w:rsidP="000C38A4">
      <w:pPr>
        <w:numPr>
          <w:ilvl w:val="0"/>
          <w:numId w:val="1"/>
        </w:numPr>
        <w:spacing w:after="240"/>
        <w:outlineLvl w:val="0"/>
        <w:rPr>
          <w:lang w:val="fr-FR"/>
        </w:rPr>
      </w:pPr>
      <w:r w:rsidRPr="00A557BB">
        <w:rPr>
          <w:lang w:val="fr-FR"/>
        </w:rPr>
        <w:t>Sur la base de ce qui précède, les ent</w:t>
      </w:r>
      <w:r w:rsidR="00A95893" w:rsidRPr="00A557BB">
        <w:rPr>
          <w:lang w:val="fr-FR"/>
        </w:rPr>
        <w:t>reprises suivantes</w:t>
      </w:r>
      <w:r w:rsidRPr="00A557BB">
        <w:rPr>
          <w:vertAlign w:val="superscript"/>
          <w:lang w:val="fr-FR"/>
        </w:rPr>
        <w:footnoteReference w:id="34"/>
      </w:r>
      <w:r w:rsidRPr="00A557BB">
        <w:rPr>
          <w:lang w:val="fr-FR"/>
        </w:rPr>
        <w:t xml:space="preserve"> </w:t>
      </w:r>
      <w:r w:rsidR="00A95893" w:rsidRPr="00A557BB">
        <w:rPr>
          <w:lang w:val="fr-FR"/>
        </w:rPr>
        <w:t xml:space="preserve">ont </w:t>
      </w:r>
      <w:r w:rsidRPr="00A557BB">
        <w:rPr>
          <w:lang w:val="fr-FR"/>
        </w:rPr>
        <w:t>décidé de rester dans le projet et de</w:t>
      </w:r>
      <w:r w:rsidR="00A95893" w:rsidRPr="00A557BB">
        <w:rPr>
          <w:lang w:val="fr-FR"/>
        </w:rPr>
        <w:t xml:space="preserve"> convertir leur fabrication non-</w:t>
      </w:r>
      <w:r w:rsidRPr="00A557BB">
        <w:rPr>
          <w:lang w:val="fr-FR"/>
        </w:rPr>
        <w:t xml:space="preserve">OEM en HFC-32 : dans le sous-secteur de la fabrication de climatiseurs commerciaux, Gita Mandiri Teknik, Fata Sarana Makmur et Industri Tata Udari ; et dans le sous-secteur de la fabrication de matériel de réfrigération commerciale, Sumo Elco Mandiri, Alpine Cool Utama et Anekacool Citratama. Le PNUD a proposé que la part des surcoûts d'exploitation approuvés associés à la fabrication sous la marque de l'entreprise soit versée dès confirmation de la fabrication à base de HFC-32, tandis que la part liée à la fabrication d'origine serait restituée au Fonds </w:t>
      </w:r>
      <w:r w:rsidR="00614272" w:rsidRPr="00A557BB">
        <w:rPr>
          <w:lang w:val="fr-FR"/>
        </w:rPr>
        <w:t>multilatéral</w:t>
      </w:r>
      <w:r w:rsidRPr="00A557BB">
        <w:rPr>
          <w:lang w:val="fr-FR"/>
        </w:rPr>
        <w:t xml:space="preserve"> à la 85</w:t>
      </w:r>
      <w:r w:rsidRPr="00A557BB">
        <w:rPr>
          <w:vertAlign w:val="superscript"/>
          <w:lang w:val="fr-FR"/>
        </w:rPr>
        <w:t>e</w:t>
      </w:r>
      <w:r w:rsidRPr="00A557BB">
        <w:rPr>
          <w:lang w:val="fr-FR"/>
        </w:rPr>
        <w:t xml:space="preserve"> réunion. </w:t>
      </w:r>
    </w:p>
    <w:p w14:paraId="1429EA0B" w14:textId="7BB18850" w:rsidR="000C38A4" w:rsidRPr="00A557BB" w:rsidRDefault="000C38A4" w:rsidP="000C38A4">
      <w:pPr>
        <w:numPr>
          <w:ilvl w:val="0"/>
          <w:numId w:val="1"/>
        </w:numPr>
        <w:spacing w:after="240"/>
        <w:outlineLvl w:val="0"/>
        <w:rPr>
          <w:lang w:val="fr-FR"/>
        </w:rPr>
      </w:pPr>
      <w:r w:rsidRPr="00A557BB">
        <w:rPr>
          <w:lang w:val="fr-FR"/>
        </w:rPr>
        <w:t xml:space="preserve">En outre, les deux entreprises suivantes ont </w:t>
      </w:r>
      <w:r w:rsidR="00A95893" w:rsidRPr="00A557BB">
        <w:rPr>
          <w:lang w:val="fr-FR"/>
        </w:rPr>
        <w:t>décidé de rester dans le projet :</w:t>
      </w:r>
    </w:p>
    <w:p w14:paraId="27046883" w14:textId="77777777" w:rsidR="000C38A4" w:rsidRPr="00A557BB" w:rsidRDefault="000C38A4" w:rsidP="00B45D48">
      <w:pPr>
        <w:keepNext/>
        <w:numPr>
          <w:ilvl w:val="1"/>
          <w:numId w:val="1"/>
        </w:numPr>
        <w:spacing w:after="240"/>
        <w:outlineLvl w:val="1"/>
        <w:rPr>
          <w:lang w:val="fr-FR"/>
        </w:rPr>
      </w:pPr>
      <w:r w:rsidRPr="00A557BB">
        <w:rPr>
          <w:lang w:val="fr-FR"/>
        </w:rPr>
        <w:t xml:space="preserve">Metropolitan Bayu </w:t>
      </w:r>
      <w:r w:rsidRPr="00A557BB">
        <w:rPr>
          <w:iCs/>
          <w:lang w:val="fr-FR"/>
        </w:rPr>
        <w:t xml:space="preserve">Industri, </w:t>
      </w:r>
      <w:r w:rsidRPr="00A557BB">
        <w:rPr>
          <w:lang w:val="fr-FR"/>
        </w:rPr>
        <w:t xml:space="preserve">un fabricant de niche de climatisation commerciale pour des clients spécialisés (secteur de la santé, salles blanches, hôtels historiques, musées, par exemple). La </w:t>
      </w:r>
      <w:r w:rsidR="002F5396" w:rsidRPr="00A557BB">
        <w:rPr>
          <w:lang w:val="fr-FR"/>
        </w:rPr>
        <w:t>reconversion</w:t>
      </w:r>
      <w:r w:rsidRPr="00A557BB">
        <w:rPr>
          <w:lang w:val="fr-FR"/>
        </w:rPr>
        <w:t xml:space="preserve"> de la chaîne de fabrication de climatiseurs en HFC-32 est terminée et l'entreprise a construit un prototype. Cependant, la conception doit encore être améliorée. Le PNUD a donc proposé de continuer à fournir une assistance technique afin d’améliorer la conception et la fabrication d’un ou plusieurs prototypes, et de décaisser le montant correspondant aux surcoûts d'exploitation lors de l’installation de la fabrication faisant appel au HFC-32 ; </w:t>
      </w:r>
    </w:p>
    <w:p w14:paraId="6F2A2C20" w14:textId="51E9236A" w:rsidR="000C38A4" w:rsidRPr="00A557BB" w:rsidRDefault="000C38A4" w:rsidP="000C38A4">
      <w:pPr>
        <w:widowControl w:val="0"/>
        <w:numPr>
          <w:ilvl w:val="1"/>
          <w:numId w:val="1"/>
        </w:numPr>
        <w:spacing w:after="240"/>
        <w:outlineLvl w:val="1"/>
        <w:rPr>
          <w:lang w:val="fr-FR"/>
        </w:rPr>
      </w:pPr>
      <w:r w:rsidRPr="00A557BB">
        <w:rPr>
          <w:lang w:val="fr-FR"/>
        </w:rPr>
        <w:t xml:space="preserve">Rotaryana Prima, fabricant de réfrigérateurs et de congélateurs d'une charge comprise entre 450 et 900 g pour les cuisines commerciales et industrielles. La </w:t>
      </w:r>
      <w:r w:rsidR="002F5396" w:rsidRPr="00A557BB">
        <w:rPr>
          <w:lang w:val="fr-FR"/>
        </w:rPr>
        <w:t>reconversion</w:t>
      </w:r>
      <w:r w:rsidRPr="00A557BB">
        <w:rPr>
          <w:lang w:val="fr-FR"/>
        </w:rPr>
        <w:t xml:space="preserve"> de la chaîne de fabrication en HFC-32 a été menée à terme, mais les prototypes ne fonctionnaient pas bien. Sur la base des récentes mises à jour de la norme 60335-2-89 de la Commission électrotechnique internationale, qui autoris</w:t>
      </w:r>
      <w:r w:rsidR="00A95893" w:rsidRPr="00A557BB">
        <w:rPr>
          <w:lang w:val="fr-FR"/>
        </w:rPr>
        <w:t>e une charge allant jusqu’à 500</w:t>
      </w:r>
      <w:r w:rsidRPr="00A557BB">
        <w:rPr>
          <w:lang w:val="fr-FR"/>
        </w:rPr>
        <w:t xml:space="preserve">g de </w:t>
      </w:r>
      <w:r w:rsidR="002F5396" w:rsidRPr="00A557BB">
        <w:rPr>
          <w:lang w:val="fr-FR"/>
        </w:rPr>
        <w:t>frigorigènes</w:t>
      </w:r>
      <w:r w:rsidRPr="00A557BB">
        <w:rPr>
          <w:lang w:val="fr-FR"/>
        </w:rPr>
        <w:t xml:space="preserve"> A3 dans des armoires frigorifiques commerciales autonomes, l’entreprise a décidé de se convertir aux HC. </w:t>
      </w:r>
    </w:p>
    <w:p w14:paraId="3FEBACDA" w14:textId="77777777" w:rsidR="000C38A4" w:rsidRPr="00A557BB" w:rsidRDefault="00EF54D3" w:rsidP="000C38A4">
      <w:pPr>
        <w:numPr>
          <w:ilvl w:val="0"/>
          <w:numId w:val="1"/>
        </w:numPr>
        <w:spacing w:after="240"/>
        <w:outlineLvl w:val="0"/>
        <w:rPr>
          <w:lang w:val="fr-FR"/>
        </w:rPr>
      </w:pPr>
      <w:r w:rsidRPr="00A557BB">
        <w:rPr>
          <w:lang w:val="fr-FR"/>
        </w:rPr>
        <w:t>Le tableau 12 récapitule les surcoûts d'exploitation à décaisser et à retourner pour les entreprises fabriquant des équipements utilisant des solutions de remplacement à faible PRP.</w:t>
      </w:r>
    </w:p>
    <w:p w14:paraId="4F531052" w14:textId="437898F6" w:rsidR="000C38A4" w:rsidRPr="00A557BB" w:rsidRDefault="00EF54D3" w:rsidP="000C38A4">
      <w:pPr>
        <w:rPr>
          <w:b/>
          <w:lang w:val="fr-FR"/>
        </w:rPr>
      </w:pPr>
      <w:r w:rsidRPr="00A557BB">
        <w:rPr>
          <w:b/>
          <w:lang w:val="fr-FR"/>
        </w:rPr>
        <w:t>Tableau 12: surcoûts d'exploitation à décaisser et à retourner pour les entreprises fabriquant</w:t>
      </w:r>
      <w:r w:rsidR="00A95893" w:rsidRPr="00A557BB">
        <w:rPr>
          <w:b/>
          <w:lang w:val="fr-FR"/>
        </w:rPr>
        <w:t xml:space="preserve"> des équipements utilisant des </w:t>
      </w:r>
      <w:r w:rsidRPr="00A557BB">
        <w:rPr>
          <w:b/>
          <w:lang w:val="fr-FR"/>
        </w:rPr>
        <w:t>solutions de remplacement à faible PRP</w:t>
      </w:r>
    </w:p>
    <w:tbl>
      <w:tblPr>
        <w:tblW w:w="4946" w:type="pct"/>
        <w:tblInd w:w="108" w:type="dxa"/>
        <w:tblLook w:val="04A0" w:firstRow="1" w:lastRow="0" w:firstColumn="1" w:lastColumn="0" w:noHBand="0" w:noVBand="1"/>
      </w:tblPr>
      <w:tblGrid>
        <w:gridCol w:w="1893"/>
        <w:gridCol w:w="1496"/>
        <w:gridCol w:w="1496"/>
        <w:gridCol w:w="1496"/>
        <w:gridCol w:w="1496"/>
        <w:gridCol w:w="1494"/>
      </w:tblGrid>
      <w:tr w:rsidR="000C38A4" w:rsidRPr="00A557BB" w14:paraId="3F0ED688" w14:textId="77777777" w:rsidTr="00087080">
        <w:trPr>
          <w:trHeight w:val="251"/>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A5ED8F" w14:textId="77777777" w:rsidR="000C38A4" w:rsidRPr="00A557BB" w:rsidRDefault="000C38A4" w:rsidP="000C38A4">
            <w:pPr>
              <w:jc w:val="center"/>
              <w:rPr>
                <w:b/>
                <w:bCs/>
                <w:color w:val="000000"/>
                <w:sz w:val="20"/>
                <w:szCs w:val="20"/>
                <w:lang w:val="fr-FR" w:eastAsia="en-CA"/>
              </w:rPr>
            </w:pPr>
            <w:r w:rsidRPr="00A557BB">
              <w:rPr>
                <w:b/>
                <w:bCs/>
                <w:color w:val="000000"/>
                <w:sz w:val="20"/>
                <w:szCs w:val="20"/>
                <w:lang w:val="fr-FR" w:eastAsia="fr"/>
              </w:rPr>
              <w:t>Entreprise</w:t>
            </w:r>
          </w:p>
        </w:tc>
        <w:tc>
          <w:tcPr>
            <w:tcW w:w="79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89763A3" w14:textId="77777777" w:rsidR="000C38A4" w:rsidRPr="00A557BB" w:rsidRDefault="000C38A4" w:rsidP="000C38A4">
            <w:pPr>
              <w:jc w:val="center"/>
              <w:rPr>
                <w:b/>
                <w:bCs/>
                <w:color w:val="000000"/>
                <w:sz w:val="20"/>
                <w:szCs w:val="20"/>
                <w:lang w:val="fr-FR" w:eastAsia="en-CA"/>
              </w:rPr>
            </w:pPr>
            <w:r w:rsidRPr="00A557BB">
              <w:rPr>
                <w:b/>
                <w:bCs/>
                <w:color w:val="000000"/>
                <w:sz w:val="20"/>
                <w:szCs w:val="20"/>
                <w:lang w:val="fr-FR" w:eastAsia="fr"/>
              </w:rPr>
              <w:t>Consommation (tm)</w:t>
            </w:r>
          </w:p>
        </w:tc>
        <w:tc>
          <w:tcPr>
            <w:tcW w:w="79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2D63224" w14:textId="77777777" w:rsidR="000C38A4" w:rsidRPr="00A557BB" w:rsidRDefault="000C38A4" w:rsidP="000C38A4">
            <w:pPr>
              <w:jc w:val="center"/>
              <w:rPr>
                <w:b/>
                <w:bCs/>
                <w:color w:val="000000"/>
                <w:sz w:val="20"/>
                <w:szCs w:val="20"/>
                <w:lang w:val="fr-FR" w:eastAsia="en-CA"/>
              </w:rPr>
            </w:pPr>
            <w:r w:rsidRPr="00A557BB">
              <w:rPr>
                <w:b/>
                <w:bCs/>
                <w:color w:val="000000"/>
                <w:sz w:val="20"/>
                <w:szCs w:val="20"/>
                <w:lang w:val="fr-FR" w:eastAsia="fr"/>
              </w:rPr>
              <w:t>Surcoûts d’exploitation ($US)</w:t>
            </w:r>
          </w:p>
        </w:tc>
        <w:tc>
          <w:tcPr>
            <w:tcW w:w="79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E4E6553" w14:textId="77777777" w:rsidR="000C38A4" w:rsidRPr="00A557BB" w:rsidRDefault="000C38A4" w:rsidP="000C38A4">
            <w:pPr>
              <w:jc w:val="center"/>
              <w:rPr>
                <w:b/>
                <w:bCs/>
                <w:color w:val="000000"/>
                <w:sz w:val="20"/>
                <w:szCs w:val="20"/>
                <w:lang w:val="fr-FR" w:eastAsia="en-CA"/>
              </w:rPr>
            </w:pPr>
            <w:r w:rsidRPr="00A557BB">
              <w:rPr>
                <w:b/>
                <w:bCs/>
                <w:color w:val="000000"/>
                <w:sz w:val="20"/>
                <w:szCs w:val="20"/>
                <w:lang w:val="fr-FR" w:eastAsia="fr"/>
              </w:rPr>
              <w:t>Fabrication par OEM</w:t>
            </w:r>
            <w:r w:rsidRPr="00A557BB">
              <w:rPr>
                <w:b/>
                <w:bCs/>
                <w:color w:val="000000"/>
                <w:sz w:val="20"/>
                <w:szCs w:val="20"/>
                <w:vertAlign w:val="superscript"/>
                <w:lang w:val="fr-FR" w:eastAsia="fr"/>
              </w:rPr>
              <w:t>*</w:t>
            </w:r>
          </w:p>
        </w:tc>
        <w:tc>
          <w:tcPr>
            <w:tcW w:w="79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091D73F" w14:textId="77777777" w:rsidR="000C38A4" w:rsidRPr="00A557BB" w:rsidRDefault="000C38A4" w:rsidP="000C38A4">
            <w:pPr>
              <w:jc w:val="center"/>
              <w:rPr>
                <w:b/>
                <w:bCs/>
                <w:color w:val="000000"/>
                <w:sz w:val="20"/>
                <w:szCs w:val="20"/>
                <w:lang w:val="fr-FR" w:eastAsia="en-CA"/>
              </w:rPr>
            </w:pPr>
            <w:r w:rsidRPr="00A557BB">
              <w:rPr>
                <w:b/>
                <w:bCs/>
                <w:color w:val="000000"/>
                <w:sz w:val="20"/>
                <w:szCs w:val="20"/>
                <w:lang w:val="fr-FR" w:eastAsia="fr"/>
              </w:rPr>
              <w:t>A décaisser ($US)</w:t>
            </w:r>
          </w:p>
        </w:tc>
        <w:tc>
          <w:tcPr>
            <w:tcW w:w="797"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5FB91A3" w14:textId="77777777" w:rsidR="000C38A4" w:rsidRPr="00A557BB" w:rsidRDefault="000C38A4" w:rsidP="000C38A4">
            <w:pPr>
              <w:jc w:val="center"/>
              <w:rPr>
                <w:b/>
                <w:bCs/>
                <w:color w:val="000000"/>
                <w:sz w:val="20"/>
                <w:szCs w:val="20"/>
                <w:lang w:val="fr-FR" w:eastAsia="en-CA"/>
              </w:rPr>
            </w:pPr>
            <w:r w:rsidRPr="00A557BB">
              <w:rPr>
                <w:b/>
                <w:bCs/>
                <w:color w:val="000000"/>
                <w:sz w:val="20"/>
                <w:szCs w:val="20"/>
                <w:lang w:val="fr-FR" w:eastAsia="fr"/>
              </w:rPr>
              <w:t>À retourner ($US)</w:t>
            </w:r>
          </w:p>
        </w:tc>
      </w:tr>
      <w:tr w:rsidR="000C38A4" w:rsidRPr="00A557BB" w14:paraId="50A0CABE" w14:textId="77777777" w:rsidTr="00087080">
        <w:trPr>
          <w:trHeight w:val="98"/>
        </w:trPr>
        <w:tc>
          <w:tcPr>
            <w:tcW w:w="1010" w:type="pct"/>
            <w:tcBorders>
              <w:top w:val="nil"/>
              <w:left w:val="single" w:sz="4" w:space="0" w:color="auto"/>
              <w:bottom w:val="single" w:sz="4" w:space="0" w:color="auto"/>
              <w:right w:val="single" w:sz="4" w:space="0" w:color="auto"/>
            </w:tcBorders>
            <w:shd w:val="clear" w:color="auto" w:fill="auto"/>
            <w:vAlign w:val="center"/>
            <w:hideMark/>
          </w:tcPr>
          <w:p w14:paraId="374901B7" w14:textId="77777777" w:rsidR="000C38A4" w:rsidRPr="00A557BB" w:rsidRDefault="000C38A4" w:rsidP="000C38A4">
            <w:pPr>
              <w:jc w:val="left"/>
              <w:rPr>
                <w:color w:val="000000"/>
                <w:sz w:val="20"/>
                <w:szCs w:val="20"/>
                <w:lang w:val="fr-FR" w:eastAsia="en-CA"/>
              </w:rPr>
            </w:pPr>
            <w:r w:rsidRPr="00A557BB">
              <w:rPr>
                <w:color w:val="000000"/>
                <w:sz w:val="20"/>
                <w:szCs w:val="20"/>
                <w:lang w:val="fr-FR" w:eastAsia="fr"/>
              </w:rPr>
              <w:t>Gita Mandiri Teknik</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06D388F3"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98,98</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7C397FFB"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130 032</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44EFB8BE"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30</w:t>
            </w:r>
          </w:p>
        </w:tc>
        <w:tc>
          <w:tcPr>
            <w:tcW w:w="798" w:type="pct"/>
            <w:tcBorders>
              <w:top w:val="nil"/>
              <w:left w:val="nil"/>
              <w:bottom w:val="single" w:sz="4" w:space="0" w:color="auto"/>
              <w:right w:val="single" w:sz="4" w:space="0" w:color="auto"/>
            </w:tcBorders>
            <w:shd w:val="clear" w:color="auto" w:fill="auto"/>
            <w:noWrap/>
            <w:tcMar>
              <w:left w:w="115" w:type="dxa"/>
              <w:right w:w="173" w:type="dxa"/>
            </w:tcMar>
            <w:hideMark/>
          </w:tcPr>
          <w:p w14:paraId="3B8F34E7"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91 330</w:t>
            </w:r>
          </w:p>
        </w:tc>
        <w:tc>
          <w:tcPr>
            <w:tcW w:w="797" w:type="pct"/>
            <w:tcBorders>
              <w:top w:val="nil"/>
              <w:left w:val="nil"/>
              <w:bottom w:val="single" w:sz="4" w:space="0" w:color="auto"/>
              <w:right w:val="single" w:sz="4" w:space="0" w:color="auto"/>
            </w:tcBorders>
            <w:shd w:val="clear" w:color="auto" w:fill="auto"/>
            <w:noWrap/>
            <w:tcMar>
              <w:left w:w="115" w:type="dxa"/>
              <w:right w:w="173" w:type="dxa"/>
            </w:tcMar>
            <w:hideMark/>
          </w:tcPr>
          <w:p w14:paraId="7FED60A0"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38 702</w:t>
            </w:r>
          </w:p>
        </w:tc>
      </w:tr>
      <w:tr w:rsidR="000C38A4" w:rsidRPr="00A557BB" w14:paraId="36DA4272" w14:textId="77777777" w:rsidTr="00087080">
        <w:trPr>
          <w:trHeight w:val="152"/>
        </w:trPr>
        <w:tc>
          <w:tcPr>
            <w:tcW w:w="1010" w:type="pct"/>
            <w:tcBorders>
              <w:top w:val="nil"/>
              <w:left w:val="single" w:sz="4" w:space="0" w:color="auto"/>
              <w:bottom w:val="single" w:sz="4" w:space="0" w:color="auto"/>
              <w:right w:val="single" w:sz="4" w:space="0" w:color="auto"/>
            </w:tcBorders>
            <w:shd w:val="clear" w:color="auto" w:fill="auto"/>
            <w:vAlign w:val="center"/>
            <w:hideMark/>
          </w:tcPr>
          <w:p w14:paraId="438EB52A" w14:textId="77777777" w:rsidR="000C38A4" w:rsidRPr="00A557BB" w:rsidRDefault="000C38A4" w:rsidP="000C38A4">
            <w:pPr>
              <w:jc w:val="left"/>
              <w:rPr>
                <w:color w:val="000000"/>
                <w:sz w:val="20"/>
                <w:szCs w:val="20"/>
                <w:lang w:val="fr-FR" w:eastAsia="en-CA"/>
              </w:rPr>
            </w:pPr>
            <w:r w:rsidRPr="00A557BB">
              <w:rPr>
                <w:color w:val="000000"/>
                <w:sz w:val="20"/>
                <w:szCs w:val="20"/>
                <w:lang w:val="fr-FR" w:eastAsia="fr"/>
              </w:rPr>
              <w:t>Fata Sarana Makmur</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54C8D370"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48,48</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37645EF5"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63 686</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209BACBB"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34</w:t>
            </w:r>
          </w:p>
        </w:tc>
        <w:tc>
          <w:tcPr>
            <w:tcW w:w="798" w:type="pct"/>
            <w:tcBorders>
              <w:top w:val="nil"/>
              <w:left w:val="nil"/>
              <w:bottom w:val="single" w:sz="4" w:space="0" w:color="auto"/>
              <w:right w:val="single" w:sz="4" w:space="0" w:color="auto"/>
            </w:tcBorders>
            <w:shd w:val="clear" w:color="auto" w:fill="auto"/>
            <w:noWrap/>
            <w:tcMar>
              <w:left w:w="115" w:type="dxa"/>
              <w:right w:w="173" w:type="dxa"/>
            </w:tcMar>
            <w:hideMark/>
          </w:tcPr>
          <w:p w14:paraId="0F3E3F9A"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42 150</w:t>
            </w:r>
          </w:p>
        </w:tc>
        <w:tc>
          <w:tcPr>
            <w:tcW w:w="797" w:type="pct"/>
            <w:tcBorders>
              <w:top w:val="nil"/>
              <w:left w:val="nil"/>
              <w:bottom w:val="single" w:sz="4" w:space="0" w:color="auto"/>
              <w:right w:val="single" w:sz="4" w:space="0" w:color="auto"/>
            </w:tcBorders>
            <w:shd w:val="clear" w:color="auto" w:fill="auto"/>
            <w:noWrap/>
            <w:tcMar>
              <w:left w:w="115" w:type="dxa"/>
              <w:right w:w="173" w:type="dxa"/>
            </w:tcMar>
            <w:hideMark/>
          </w:tcPr>
          <w:p w14:paraId="621ABD3A"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21 536</w:t>
            </w:r>
          </w:p>
        </w:tc>
      </w:tr>
      <w:tr w:rsidR="000C38A4" w:rsidRPr="00A557BB" w14:paraId="5DDD4FF9" w14:textId="77777777" w:rsidTr="00087080">
        <w:trPr>
          <w:trHeight w:val="197"/>
        </w:trPr>
        <w:tc>
          <w:tcPr>
            <w:tcW w:w="1010" w:type="pct"/>
            <w:tcBorders>
              <w:top w:val="nil"/>
              <w:left w:val="single" w:sz="4" w:space="0" w:color="auto"/>
              <w:bottom w:val="single" w:sz="4" w:space="0" w:color="auto"/>
              <w:right w:val="single" w:sz="4" w:space="0" w:color="auto"/>
            </w:tcBorders>
            <w:shd w:val="clear" w:color="auto" w:fill="auto"/>
            <w:vAlign w:val="center"/>
            <w:hideMark/>
          </w:tcPr>
          <w:p w14:paraId="6E33EA3A" w14:textId="77777777" w:rsidR="000C38A4" w:rsidRPr="00A557BB" w:rsidRDefault="000C38A4" w:rsidP="000C38A4">
            <w:pPr>
              <w:jc w:val="left"/>
              <w:rPr>
                <w:color w:val="000000"/>
                <w:sz w:val="20"/>
                <w:szCs w:val="20"/>
                <w:lang w:val="fr-FR" w:eastAsia="en-CA"/>
              </w:rPr>
            </w:pPr>
            <w:r w:rsidRPr="00A557BB">
              <w:rPr>
                <w:color w:val="000000"/>
                <w:sz w:val="20"/>
                <w:szCs w:val="20"/>
                <w:lang w:val="fr-FR" w:eastAsia="fr"/>
              </w:rPr>
              <w:t>Industri Tata Udara</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58AD929A"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10,78</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15DE0E91"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14 161</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02E18461"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0</w:t>
            </w:r>
          </w:p>
        </w:tc>
        <w:tc>
          <w:tcPr>
            <w:tcW w:w="798" w:type="pct"/>
            <w:tcBorders>
              <w:top w:val="nil"/>
              <w:left w:val="nil"/>
              <w:bottom w:val="single" w:sz="4" w:space="0" w:color="auto"/>
              <w:right w:val="single" w:sz="4" w:space="0" w:color="auto"/>
            </w:tcBorders>
            <w:shd w:val="clear" w:color="auto" w:fill="auto"/>
            <w:noWrap/>
            <w:tcMar>
              <w:left w:w="115" w:type="dxa"/>
              <w:right w:w="173" w:type="dxa"/>
            </w:tcMar>
            <w:hideMark/>
          </w:tcPr>
          <w:p w14:paraId="20A03D74"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14 161</w:t>
            </w:r>
          </w:p>
        </w:tc>
        <w:tc>
          <w:tcPr>
            <w:tcW w:w="797" w:type="pct"/>
            <w:tcBorders>
              <w:top w:val="nil"/>
              <w:left w:val="nil"/>
              <w:bottom w:val="single" w:sz="4" w:space="0" w:color="auto"/>
              <w:right w:val="single" w:sz="4" w:space="0" w:color="auto"/>
            </w:tcBorders>
            <w:shd w:val="clear" w:color="auto" w:fill="auto"/>
            <w:noWrap/>
            <w:tcMar>
              <w:left w:w="115" w:type="dxa"/>
              <w:right w:w="173" w:type="dxa"/>
            </w:tcMar>
            <w:hideMark/>
          </w:tcPr>
          <w:p w14:paraId="3E62582B"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0</w:t>
            </w:r>
          </w:p>
        </w:tc>
      </w:tr>
      <w:tr w:rsidR="000C38A4" w:rsidRPr="00A557BB" w14:paraId="706E3E72" w14:textId="77777777" w:rsidTr="00087080">
        <w:trPr>
          <w:trHeight w:val="80"/>
        </w:trPr>
        <w:tc>
          <w:tcPr>
            <w:tcW w:w="1010" w:type="pct"/>
            <w:tcBorders>
              <w:top w:val="nil"/>
              <w:left w:val="single" w:sz="4" w:space="0" w:color="auto"/>
              <w:bottom w:val="single" w:sz="4" w:space="0" w:color="auto"/>
              <w:right w:val="single" w:sz="4" w:space="0" w:color="auto"/>
            </w:tcBorders>
            <w:shd w:val="clear" w:color="auto" w:fill="auto"/>
            <w:vAlign w:val="center"/>
            <w:hideMark/>
          </w:tcPr>
          <w:p w14:paraId="0E51E1F2" w14:textId="77777777" w:rsidR="000C38A4" w:rsidRPr="00A557BB" w:rsidRDefault="000C38A4" w:rsidP="000C38A4">
            <w:pPr>
              <w:jc w:val="left"/>
              <w:rPr>
                <w:color w:val="000000"/>
                <w:sz w:val="20"/>
                <w:szCs w:val="20"/>
                <w:lang w:val="fr-FR" w:eastAsia="en-CA"/>
              </w:rPr>
            </w:pPr>
            <w:r w:rsidRPr="00A557BB">
              <w:rPr>
                <w:color w:val="000000"/>
                <w:sz w:val="20"/>
                <w:szCs w:val="20"/>
                <w:lang w:val="fr-FR" w:eastAsia="fr"/>
              </w:rPr>
              <w:t xml:space="preserve">Sumo Elco Mandiri </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7655B643"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28,6</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513E0EC4"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56 020</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54C95ABB"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35</w:t>
            </w:r>
          </w:p>
        </w:tc>
        <w:tc>
          <w:tcPr>
            <w:tcW w:w="798" w:type="pct"/>
            <w:tcBorders>
              <w:top w:val="nil"/>
              <w:left w:val="nil"/>
              <w:bottom w:val="single" w:sz="4" w:space="0" w:color="auto"/>
              <w:right w:val="single" w:sz="4" w:space="0" w:color="auto"/>
            </w:tcBorders>
            <w:shd w:val="clear" w:color="auto" w:fill="auto"/>
            <w:noWrap/>
            <w:tcMar>
              <w:left w:w="115" w:type="dxa"/>
              <w:right w:w="173" w:type="dxa"/>
            </w:tcMar>
            <w:hideMark/>
          </w:tcPr>
          <w:p w14:paraId="4BAA967E"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36 520</w:t>
            </w:r>
          </w:p>
        </w:tc>
        <w:tc>
          <w:tcPr>
            <w:tcW w:w="797" w:type="pct"/>
            <w:tcBorders>
              <w:top w:val="nil"/>
              <w:left w:val="nil"/>
              <w:bottom w:val="single" w:sz="4" w:space="0" w:color="auto"/>
              <w:right w:val="single" w:sz="4" w:space="0" w:color="auto"/>
            </w:tcBorders>
            <w:shd w:val="clear" w:color="auto" w:fill="auto"/>
            <w:noWrap/>
            <w:tcMar>
              <w:left w:w="115" w:type="dxa"/>
              <w:right w:w="173" w:type="dxa"/>
            </w:tcMar>
            <w:hideMark/>
          </w:tcPr>
          <w:p w14:paraId="6A5C4274"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19 500</w:t>
            </w:r>
          </w:p>
        </w:tc>
      </w:tr>
      <w:tr w:rsidR="000C38A4" w:rsidRPr="00A557BB" w14:paraId="3074A737" w14:textId="77777777" w:rsidTr="00087080">
        <w:trPr>
          <w:trHeight w:val="50"/>
        </w:trPr>
        <w:tc>
          <w:tcPr>
            <w:tcW w:w="1010" w:type="pct"/>
            <w:tcBorders>
              <w:top w:val="nil"/>
              <w:left w:val="single" w:sz="4" w:space="0" w:color="auto"/>
              <w:bottom w:val="single" w:sz="4" w:space="0" w:color="auto"/>
              <w:right w:val="single" w:sz="4" w:space="0" w:color="auto"/>
            </w:tcBorders>
            <w:shd w:val="clear" w:color="auto" w:fill="auto"/>
            <w:vAlign w:val="center"/>
            <w:hideMark/>
          </w:tcPr>
          <w:p w14:paraId="505E813E" w14:textId="77777777" w:rsidR="000C38A4" w:rsidRPr="00A557BB" w:rsidRDefault="000C38A4" w:rsidP="000C38A4">
            <w:pPr>
              <w:jc w:val="left"/>
              <w:rPr>
                <w:color w:val="000000"/>
                <w:sz w:val="20"/>
                <w:szCs w:val="20"/>
                <w:lang w:val="fr-FR" w:eastAsia="en-CA"/>
              </w:rPr>
            </w:pPr>
            <w:r w:rsidRPr="00A557BB">
              <w:rPr>
                <w:color w:val="000000"/>
                <w:sz w:val="20"/>
                <w:szCs w:val="20"/>
                <w:lang w:val="fr-FR" w:eastAsia="fr"/>
              </w:rPr>
              <w:t>Alpine Cool Utama</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5490FBAB"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28,8</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5913A849"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40 160</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622BD834"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0</w:t>
            </w:r>
          </w:p>
        </w:tc>
        <w:tc>
          <w:tcPr>
            <w:tcW w:w="798" w:type="pct"/>
            <w:tcBorders>
              <w:top w:val="nil"/>
              <w:left w:val="nil"/>
              <w:bottom w:val="single" w:sz="4" w:space="0" w:color="auto"/>
              <w:right w:val="single" w:sz="4" w:space="0" w:color="auto"/>
            </w:tcBorders>
            <w:shd w:val="clear" w:color="auto" w:fill="auto"/>
            <w:noWrap/>
            <w:tcMar>
              <w:left w:w="115" w:type="dxa"/>
              <w:right w:w="173" w:type="dxa"/>
            </w:tcMar>
            <w:hideMark/>
          </w:tcPr>
          <w:p w14:paraId="47121B02"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40 610</w:t>
            </w:r>
          </w:p>
        </w:tc>
        <w:tc>
          <w:tcPr>
            <w:tcW w:w="797" w:type="pct"/>
            <w:tcBorders>
              <w:top w:val="nil"/>
              <w:left w:val="nil"/>
              <w:bottom w:val="single" w:sz="4" w:space="0" w:color="auto"/>
              <w:right w:val="single" w:sz="4" w:space="0" w:color="auto"/>
            </w:tcBorders>
            <w:shd w:val="clear" w:color="auto" w:fill="auto"/>
            <w:noWrap/>
            <w:tcMar>
              <w:left w:w="115" w:type="dxa"/>
              <w:right w:w="173" w:type="dxa"/>
            </w:tcMar>
            <w:hideMark/>
          </w:tcPr>
          <w:p w14:paraId="1CA2E695"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0</w:t>
            </w:r>
          </w:p>
        </w:tc>
      </w:tr>
      <w:tr w:rsidR="000C38A4" w:rsidRPr="00A557BB" w14:paraId="321BD8D5" w14:textId="77777777" w:rsidTr="00087080">
        <w:trPr>
          <w:trHeight w:val="89"/>
        </w:trPr>
        <w:tc>
          <w:tcPr>
            <w:tcW w:w="1010" w:type="pct"/>
            <w:tcBorders>
              <w:top w:val="nil"/>
              <w:left w:val="single" w:sz="4" w:space="0" w:color="auto"/>
              <w:bottom w:val="single" w:sz="4" w:space="0" w:color="auto"/>
              <w:right w:val="single" w:sz="4" w:space="0" w:color="auto"/>
            </w:tcBorders>
            <w:shd w:val="clear" w:color="auto" w:fill="auto"/>
            <w:vAlign w:val="center"/>
            <w:hideMark/>
          </w:tcPr>
          <w:p w14:paraId="063FAE98" w14:textId="77777777" w:rsidR="000C38A4" w:rsidRPr="00A557BB" w:rsidRDefault="000C38A4" w:rsidP="000C38A4">
            <w:pPr>
              <w:jc w:val="left"/>
              <w:rPr>
                <w:color w:val="000000"/>
                <w:sz w:val="20"/>
                <w:szCs w:val="20"/>
                <w:lang w:val="fr-FR" w:eastAsia="en-CA"/>
              </w:rPr>
            </w:pPr>
            <w:r w:rsidRPr="00A557BB">
              <w:rPr>
                <w:color w:val="000000"/>
                <w:sz w:val="20"/>
                <w:szCs w:val="20"/>
                <w:lang w:val="fr-FR" w:eastAsia="fr"/>
              </w:rPr>
              <w:t>Anekacool Citratama</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5419A6E1"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4,2</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7723DF46"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17 510</w:t>
            </w:r>
          </w:p>
        </w:tc>
        <w:tc>
          <w:tcPr>
            <w:tcW w:w="798" w:type="pct"/>
            <w:tcBorders>
              <w:top w:val="nil"/>
              <w:left w:val="nil"/>
              <w:bottom w:val="single" w:sz="4" w:space="0" w:color="auto"/>
              <w:right w:val="single" w:sz="4" w:space="0" w:color="auto"/>
            </w:tcBorders>
            <w:shd w:val="clear" w:color="auto" w:fill="auto"/>
            <w:tcMar>
              <w:left w:w="115" w:type="dxa"/>
              <w:right w:w="173" w:type="dxa"/>
            </w:tcMar>
            <w:hideMark/>
          </w:tcPr>
          <w:p w14:paraId="363982F5"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0</w:t>
            </w:r>
          </w:p>
        </w:tc>
        <w:tc>
          <w:tcPr>
            <w:tcW w:w="798" w:type="pct"/>
            <w:tcBorders>
              <w:top w:val="nil"/>
              <w:left w:val="nil"/>
              <w:bottom w:val="single" w:sz="4" w:space="0" w:color="auto"/>
              <w:right w:val="single" w:sz="4" w:space="0" w:color="auto"/>
            </w:tcBorders>
            <w:shd w:val="clear" w:color="auto" w:fill="auto"/>
            <w:noWrap/>
            <w:tcMar>
              <w:left w:w="115" w:type="dxa"/>
              <w:right w:w="173" w:type="dxa"/>
            </w:tcMar>
            <w:hideMark/>
          </w:tcPr>
          <w:p w14:paraId="5761B4AA"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17 510</w:t>
            </w:r>
          </w:p>
        </w:tc>
        <w:tc>
          <w:tcPr>
            <w:tcW w:w="797" w:type="pct"/>
            <w:tcBorders>
              <w:top w:val="nil"/>
              <w:left w:val="nil"/>
              <w:bottom w:val="single" w:sz="4" w:space="0" w:color="auto"/>
              <w:right w:val="single" w:sz="4" w:space="0" w:color="auto"/>
            </w:tcBorders>
            <w:shd w:val="clear" w:color="auto" w:fill="auto"/>
            <w:noWrap/>
            <w:tcMar>
              <w:left w:w="115" w:type="dxa"/>
              <w:right w:w="173" w:type="dxa"/>
            </w:tcMar>
            <w:hideMark/>
          </w:tcPr>
          <w:p w14:paraId="5A5CB86B" w14:textId="77777777" w:rsidR="000C38A4" w:rsidRPr="00A557BB" w:rsidRDefault="000C38A4" w:rsidP="000C38A4">
            <w:pPr>
              <w:jc w:val="right"/>
              <w:rPr>
                <w:color w:val="000000"/>
                <w:sz w:val="20"/>
                <w:szCs w:val="20"/>
                <w:lang w:val="fr-FR" w:eastAsia="en-CA"/>
              </w:rPr>
            </w:pPr>
            <w:r w:rsidRPr="00A557BB">
              <w:rPr>
                <w:color w:val="000000"/>
                <w:sz w:val="20"/>
                <w:szCs w:val="20"/>
                <w:lang w:val="fr-FR" w:eastAsia="fr"/>
              </w:rPr>
              <w:t>0</w:t>
            </w:r>
          </w:p>
        </w:tc>
      </w:tr>
      <w:tr w:rsidR="000C38A4" w:rsidRPr="00A557BB" w14:paraId="6B130ACA" w14:textId="77777777" w:rsidTr="00087080">
        <w:trPr>
          <w:trHeight w:val="233"/>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14:paraId="715A35CC" w14:textId="77777777" w:rsidR="000C38A4" w:rsidRPr="00A557BB" w:rsidRDefault="000C38A4" w:rsidP="000C38A4">
            <w:pPr>
              <w:jc w:val="left"/>
              <w:rPr>
                <w:color w:val="000000"/>
                <w:sz w:val="20"/>
                <w:szCs w:val="20"/>
                <w:lang w:val="fr-FR"/>
              </w:rPr>
            </w:pPr>
            <w:r w:rsidRPr="00A557BB">
              <w:rPr>
                <w:color w:val="000000"/>
                <w:sz w:val="20"/>
                <w:szCs w:val="20"/>
                <w:lang w:val="fr-FR"/>
              </w:rPr>
              <w:t>Metropolitan Bayu</w:t>
            </w:r>
          </w:p>
        </w:tc>
        <w:tc>
          <w:tcPr>
            <w:tcW w:w="798"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2CCECBD2" w14:textId="77777777" w:rsidR="000C38A4" w:rsidRPr="00A557BB" w:rsidRDefault="000C38A4" w:rsidP="000C38A4">
            <w:pPr>
              <w:jc w:val="right"/>
              <w:rPr>
                <w:color w:val="000000"/>
                <w:sz w:val="20"/>
                <w:szCs w:val="20"/>
                <w:lang w:val="fr-FR"/>
              </w:rPr>
            </w:pPr>
            <w:r w:rsidRPr="00A557BB">
              <w:rPr>
                <w:color w:val="000000"/>
                <w:sz w:val="20"/>
                <w:szCs w:val="20"/>
                <w:lang w:val="fr-FR"/>
              </w:rPr>
              <w:t>10,88</w:t>
            </w:r>
          </w:p>
        </w:tc>
        <w:tc>
          <w:tcPr>
            <w:tcW w:w="798"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146E02BF" w14:textId="77777777" w:rsidR="000C38A4" w:rsidRPr="00A557BB" w:rsidRDefault="000C38A4" w:rsidP="000C38A4">
            <w:pPr>
              <w:jc w:val="right"/>
              <w:rPr>
                <w:color w:val="000000"/>
                <w:sz w:val="20"/>
                <w:szCs w:val="20"/>
                <w:lang w:val="fr-FR"/>
              </w:rPr>
            </w:pPr>
            <w:r w:rsidRPr="00A557BB">
              <w:rPr>
                <w:color w:val="000000"/>
                <w:sz w:val="20"/>
                <w:szCs w:val="20"/>
                <w:lang w:val="fr-FR"/>
              </w:rPr>
              <w:t>14 287</w:t>
            </w:r>
          </w:p>
        </w:tc>
        <w:tc>
          <w:tcPr>
            <w:tcW w:w="798"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5B6C097D" w14:textId="77777777" w:rsidR="000C38A4" w:rsidRPr="00A557BB" w:rsidRDefault="000C38A4" w:rsidP="000C38A4">
            <w:pPr>
              <w:jc w:val="right"/>
              <w:rPr>
                <w:color w:val="000000"/>
                <w:sz w:val="20"/>
                <w:szCs w:val="20"/>
                <w:lang w:val="fr-FR"/>
              </w:rPr>
            </w:pPr>
            <w:r w:rsidRPr="00A557BB">
              <w:rPr>
                <w:color w:val="000000"/>
                <w:sz w:val="20"/>
                <w:szCs w:val="20"/>
                <w:lang w:val="fr-FR"/>
              </w:rPr>
              <w:t>0</w:t>
            </w:r>
          </w:p>
        </w:tc>
        <w:tc>
          <w:tcPr>
            <w:tcW w:w="798"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5AB4F1C6" w14:textId="77777777" w:rsidR="000C38A4" w:rsidRPr="00A557BB" w:rsidRDefault="000C38A4" w:rsidP="000C38A4">
            <w:pPr>
              <w:jc w:val="right"/>
              <w:rPr>
                <w:color w:val="000000"/>
                <w:sz w:val="20"/>
                <w:szCs w:val="20"/>
                <w:lang w:val="fr-FR"/>
              </w:rPr>
            </w:pPr>
            <w:r w:rsidRPr="00A557BB">
              <w:rPr>
                <w:color w:val="000000"/>
                <w:sz w:val="20"/>
                <w:szCs w:val="20"/>
                <w:lang w:val="fr-FR"/>
              </w:rPr>
              <w:t>14 287</w:t>
            </w:r>
          </w:p>
        </w:tc>
        <w:tc>
          <w:tcPr>
            <w:tcW w:w="797"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6AAC3250" w14:textId="77777777" w:rsidR="000C38A4" w:rsidRPr="00A557BB" w:rsidRDefault="000C38A4" w:rsidP="000C38A4">
            <w:pPr>
              <w:jc w:val="right"/>
              <w:rPr>
                <w:color w:val="000000"/>
                <w:sz w:val="20"/>
                <w:szCs w:val="20"/>
                <w:lang w:val="fr-FR"/>
              </w:rPr>
            </w:pPr>
            <w:r w:rsidRPr="00A557BB">
              <w:rPr>
                <w:color w:val="000000"/>
                <w:sz w:val="20"/>
                <w:szCs w:val="20"/>
                <w:lang w:val="fr-FR"/>
              </w:rPr>
              <w:t>0</w:t>
            </w:r>
          </w:p>
        </w:tc>
      </w:tr>
      <w:tr w:rsidR="000C38A4" w:rsidRPr="00A557BB" w14:paraId="3DC0D96C" w14:textId="77777777" w:rsidTr="00087080">
        <w:trPr>
          <w:trHeight w:val="107"/>
        </w:trPr>
        <w:tc>
          <w:tcPr>
            <w:tcW w:w="1010" w:type="pct"/>
            <w:tcBorders>
              <w:top w:val="nil"/>
              <w:left w:val="single" w:sz="4" w:space="0" w:color="auto"/>
              <w:bottom w:val="single" w:sz="4" w:space="0" w:color="auto"/>
              <w:right w:val="single" w:sz="4" w:space="0" w:color="auto"/>
            </w:tcBorders>
            <w:shd w:val="clear" w:color="auto" w:fill="auto"/>
            <w:vAlign w:val="center"/>
          </w:tcPr>
          <w:p w14:paraId="5491DE85" w14:textId="77777777" w:rsidR="000C38A4" w:rsidRPr="00A557BB" w:rsidRDefault="000C38A4" w:rsidP="000C38A4">
            <w:pPr>
              <w:jc w:val="left"/>
              <w:rPr>
                <w:color w:val="000000"/>
                <w:sz w:val="20"/>
                <w:szCs w:val="20"/>
                <w:lang w:val="fr-FR"/>
              </w:rPr>
            </w:pPr>
            <w:r w:rsidRPr="00A557BB">
              <w:rPr>
                <w:color w:val="000000"/>
                <w:sz w:val="20"/>
                <w:szCs w:val="20"/>
                <w:lang w:val="fr-FR"/>
              </w:rPr>
              <w:t>Rotaryana Prima</w:t>
            </w:r>
          </w:p>
        </w:tc>
        <w:tc>
          <w:tcPr>
            <w:tcW w:w="798" w:type="pct"/>
            <w:tcBorders>
              <w:top w:val="nil"/>
              <w:left w:val="nil"/>
              <w:bottom w:val="single" w:sz="4" w:space="0" w:color="auto"/>
              <w:right w:val="single" w:sz="4" w:space="0" w:color="auto"/>
            </w:tcBorders>
            <w:shd w:val="clear" w:color="auto" w:fill="auto"/>
            <w:tcMar>
              <w:left w:w="115" w:type="dxa"/>
              <w:right w:w="173" w:type="dxa"/>
            </w:tcMar>
          </w:tcPr>
          <w:p w14:paraId="7B1266F6" w14:textId="77777777" w:rsidR="000C38A4" w:rsidRPr="00A557BB" w:rsidRDefault="000C38A4" w:rsidP="000C38A4">
            <w:pPr>
              <w:jc w:val="right"/>
              <w:rPr>
                <w:color w:val="000000"/>
                <w:sz w:val="20"/>
                <w:szCs w:val="20"/>
                <w:lang w:val="fr-FR"/>
              </w:rPr>
            </w:pPr>
            <w:r w:rsidRPr="00A557BB">
              <w:rPr>
                <w:color w:val="000000"/>
                <w:sz w:val="20"/>
                <w:szCs w:val="20"/>
                <w:lang w:val="fr-FR"/>
              </w:rPr>
              <w:t>19,12</w:t>
            </w:r>
          </w:p>
        </w:tc>
        <w:tc>
          <w:tcPr>
            <w:tcW w:w="798" w:type="pct"/>
            <w:tcBorders>
              <w:top w:val="nil"/>
              <w:left w:val="nil"/>
              <w:bottom w:val="single" w:sz="4" w:space="0" w:color="auto"/>
              <w:right w:val="single" w:sz="4" w:space="0" w:color="auto"/>
            </w:tcBorders>
            <w:shd w:val="clear" w:color="auto" w:fill="auto"/>
            <w:tcMar>
              <w:left w:w="115" w:type="dxa"/>
              <w:right w:w="173" w:type="dxa"/>
            </w:tcMar>
          </w:tcPr>
          <w:p w14:paraId="0C04D29F" w14:textId="77777777" w:rsidR="000C38A4" w:rsidRPr="00A557BB" w:rsidRDefault="000C38A4" w:rsidP="000C38A4">
            <w:pPr>
              <w:jc w:val="right"/>
              <w:rPr>
                <w:color w:val="000000"/>
                <w:sz w:val="20"/>
                <w:szCs w:val="20"/>
                <w:lang w:val="fr-FR"/>
              </w:rPr>
            </w:pPr>
            <w:r w:rsidRPr="00A557BB">
              <w:rPr>
                <w:color w:val="000000"/>
                <w:sz w:val="20"/>
                <w:szCs w:val="20"/>
                <w:lang w:val="fr-FR"/>
              </w:rPr>
              <w:t>25 296</w:t>
            </w:r>
          </w:p>
        </w:tc>
        <w:tc>
          <w:tcPr>
            <w:tcW w:w="798" w:type="pct"/>
            <w:tcBorders>
              <w:top w:val="nil"/>
              <w:left w:val="nil"/>
              <w:bottom w:val="single" w:sz="4" w:space="0" w:color="auto"/>
              <w:right w:val="single" w:sz="4" w:space="0" w:color="auto"/>
            </w:tcBorders>
            <w:shd w:val="clear" w:color="auto" w:fill="auto"/>
            <w:tcMar>
              <w:left w:w="115" w:type="dxa"/>
              <w:right w:w="173" w:type="dxa"/>
            </w:tcMar>
          </w:tcPr>
          <w:p w14:paraId="3010DCED" w14:textId="77777777" w:rsidR="000C38A4" w:rsidRPr="00A557BB" w:rsidRDefault="000C38A4" w:rsidP="000C38A4">
            <w:pPr>
              <w:jc w:val="right"/>
              <w:rPr>
                <w:color w:val="000000"/>
                <w:sz w:val="20"/>
                <w:szCs w:val="20"/>
                <w:lang w:val="fr-FR"/>
              </w:rPr>
            </w:pPr>
            <w:r w:rsidRPr="00A557BB">
              <w:rPr>
                <w:color w:val="000000"/>
                <w:sz w:val="20"/>
                <w:szCs w:val="20"/>
                <w:lang w:val="fr-FR"/>
              </w:rPr>
              <w:t>0</w:t>
            </w:r>
          </w:p>
        </w:tc>
        <w:tc>
          <w:tcPr>
            <w:tcW w:w="798" w:type="pct"/>
            <w:tcBorders>
              <w:top w:val="nil"/>
              <w:left w:val="nil"/>
              <w:bottom w:val="single" w:sz="4" w:space="0" w:color="auto"/>
              <w:right w:val="single" w:sz="4" w:space="0" w:color="auto"/>
            </w:tcBorders>
            <w:shd w:val="clear" w:color="auto" w:fill="auto"/>
            <w:noWrap/>
            <w:tcMar>
              <w:left w:w="115" w:type="dxa"/>
              <w:right w:w="173" w:type="dxa"/>
            </w:tcMar>
          </w:tcPr>
          <w:p w14:paraId="11F84EA9" w14:textId="77777777" w:rsidR="000C38A4" w:rsidRPr="00A557BB" w:rsidRDefault="000C38A4" w:rsidP="000C38A4">
            <w:pPr>
              <w:jc w:val="right"/>
              <w:rPr>
                <w:color w:val="000000"/>
                <w:sz w:val="20"/>
                <w:szCs w:val="20"/>
                <w:lang w:val="fr-FR"/>
              </w:rPr>
            </w:pPr>
            <w:r w:rsidRPr="00A557BB">
              <w:rPr>
                <w:color w:val="000000"/>
                <w:sz w:val="20"/>
                <w:szCs w:val="20"/>
                <w:lang w:val="fr-FR"/>
              </w:rPr>
              <w:t>25 296</w:t>
            </w:r>
          </w:p>
        </w:tc>
        <w:tc>
          <w:tcPr>
            <w:tcW w:w="797" w:type="pct"/>
            <w:tcBorders>
              <w:top w:val="nil"/>
              <w:left w:val="nil"/>
              <w:bottom w:val="single" w:sz="4" w:space="0" w:color="auto"/>
              <w:right w:val="single" w:sz="4" w:space="0" w:color="auto"/>
            </w:tcBorders>
            <w:shd w:val="clear" w:color="auto" w:fill="auto"/>
            <w:noWrap/>
            <w:tcMar>
              <w:left w:w="115" w:type="dxa"/>
              <w:right w:w="173" w:type="dxa"/>
            </w:tcMar>
          </w:tcPr>
          <w:p w14:paraId="7DEE65B5" w14:textId="77777777" w:rsidR="000C38A4" w:rsidRPr="00A557BB" w:rsidRDefault="000C38A4" w:rsidP="000C38A4">
            <w:pPr>
              <w:jc w:val="right"/>
              <w:rPr>
                <w:color w:val="000000"/>
                <w:sz w:val="20"/>
                <w:szCs w:val="20"/>
                <w:lang w:val="fr-FR"/>
              </w:rPr>
            </w:pPr>
            <w:r w:rsidRPr="00A557BB">
              <w:rPr>
                <w:color w:val="000000"/>
                <w:sz w:val="20"/>
                <w:szCs w:val="20"/>
                <w:lang w:val="fr-FR"/>
              </w:rPr>
              <w:t>0</w:t>
            </w:r>
          </w:p>
        </w:tc>
      </w:tr>
      <w:tr w:rsidR="000C38A4" w:rsidRPr="00A557BB" w14:paraId="44A840D0" w14:textId="77777777" w:rsidTr="00087080">
        <w:trPr>
          <w:trHeight w:val="50"/>
        </w:trPr>
        <w:tc>
          <w:tcPr>
            <w:tcW w:w="1010" w:type="pct"/>
            <w:tcBorders>
              <w:top w:val="nil"/>
              <w:left w:val="single" w:sz="4" w:space="0" w:color="auto"/>
              <w:bottom w:val="single" w:sz="4" w:space="0" w:color="auto"/>
              <w:right w:val="single" w:sz="4" w:space="0" w:color="auto"/>
            </w:tcBorders>
            <w:shd w:val="clear" w:color="auto" w:fill="auto"/>
            <w:vAlign w:val="center"/>
            <w:hideMark/>
          </w:tcPr>
          <w:p w14:paraId="2A61EA10" w14:textId="77777777" w:rsidR="000C38A4" w:rsidRPr="00A557BB" w:rsidRDefault="000C38A4" w:rsidP="000C38A4">
            <w:pPr>
              <w:jc w:val="left"/>
              <w:rPr>
                <w:b/>
                <w:bCs/>
                <w:color w:val="000000"/>
                <w:sz w:val="20"/>
                <w:szCs w:val="20"/>
                <w:lang w:val="fr-FR"/>
              </w:rPr>
            </w:pPr>
            <w:r w:rsidRPr="00A557BB">
              <w:rPr>
                <w:b/>
                <w:bCs/>
                <w:color w:val="000000"/>
                <w:sz w:val="20"/>
                <w:szCs w:val="20"/>
                <w:lang w:val="fr-FR"/>
              </w:rPr>
              <w:t>Total</w:t>
            </w:r>
          </w:p>
        </w:tc>
        <w:tc>
          <w:tcPr>
            <w:tcW w:w="798" w:type="pct"/>
            <w:tcBorders>
              <w:top w:val="nil"/>
              <w:left w:val="nil"/>
              <w:bottom w:val="single" w:sz="4" w:space="0" w:color="auto"/>
              <w:right w:val="single" w:sz="4" w:space="0" w:color="auto"/>
            </w:tcBorders>
            <w:shd w:val="clear" w:color="auto" w:fill="auto"/>
            <w:noWrap/>
            <w:tcMar>
              <w:left w:w="115" w:type="dxa"/>
              <w:right w:w="173" w:type="dxa"/>
            </w:tcMar>
            <w:hideMark/>
          </w:tcPr>
          <w:p w14:paraId="095D3BE3" w14:textId="77777777" w:rsidR="000C38A4" w:rsidRPr="00A557BB" w:rsidRDefault="000C38A4" w:rsidP="000C38A4">
            <w:pPr>
              <w:jc w:val="right"/>
              <w:rPr>
                <w:b/>
                <w:bCs/>
                <w:color w:val="000000"/>
                <w:sz w:val="20"/>
                <w:szCs w:val="20"/>
                <w:lang w:val="fr-FR"/>
              </w:rPr>
            </w:pPr>
            <w:r w:rsidRPr="00A557BB">
              <w:rPr>
                <w:b/>
                <w:bCs/>
                <w:color w:val="000000"/>
                <w:sz w:val="20"/>
                <w:szCs w:val="20"/>
                <w:lang w:val="fr-FR"/>
              </w:rPr>
              <w:t>250</w:t>
            </w:r>
          </w:p>
        </w:tc>
        <w:tc>
          <w:tcPr>
            <w:tcW w:w="798" w:type="pct"/>
            <w:tcBorders>
              <w:top w:val="nil"/>
              <w:left w:val="nil"/>
              <w:bottom w:val="single" w:sz="4" w:space="0" w:color="auto"/>
              <w:right w:val="single" w:sz="4" w:space="0" w:color="auto"/>
            </w:tcBorders>
            <w:shd w:val="clear" w:color="auto" w:fill="auto"/>
            <w:noWrap/>
            <w:tcMar>
              <w:left w:w="115" w:type="dxa"/>
              <w:right w:w="173" w:type="dxa"/>
            </w:tcMar>
            <w:hideMark/>
          </w:tcPr>
          <w:p w14:paraId="58CF1F4C" w14:textId="77777777" w:rsidR="000C38A4" w:rsidRPr="00A557BB" w:rsidRDefault="000C38A4" w:rsidP="000C38A4">
            <w:pPr>
              <w:jc w:val="right"/>
              <w:rPr>
                <w:b/>
                <w:bCs/>
                <w:color w:val="000000"/>
                <w:sz w:val="20"/>
                <w:szCs w:val="20"/>
                <w:lang w:val="fr-FR"/>
              </w:rPr>
            </w:pPr>
            <w:r w:rsidRPr="00A557BB">
              <w:rPr>
                <w:b/>
                <w:bCs/>
                <w:color w:val="000000"/>
                <w:sz w:val="20"/>
                <w:szCs w:val="20"/>
                <w:lang w:val="fr-FR"/>
              </w:rPr>
              <w:t>361 152</w:t>
            </w:r>
          </w:p>
        </w:tc>
        <w:tc>
          <w:tcPr>
            <w:tcW w:w="798" w:type="pct"/>
            <w:tcBorders>
              <w:top w:val="nil"/>
              <w:left w:val="nil"/>
              <w:bottom w:val="single" w:sz="4" w:space="0" w:color="auto"/>
              <w:right w:val="single" w:sz="4" w:space="0" w:color="auto"/>
            </w:tcBorders>
            <w:shd w:val="clear" w:color="auto" w:fill="auto"/>
            <w:noWrap/>
            <w:tcMar>
              <w:left w:w="115" w:type="dxa"/>
              <w:right w:w="173" w:type="dxa"/>
            </w:tcMar>
            <w:hideMark/>
          </w:tcPr>
          <w:p w14:paraId="1CF08A6B" w14:textId="77777777" w:rsidR="000C38A4" w:rsidRPr="00A557BB" w:rsidRDefault="000C38A4" w:rsidP="000C38A4">
            <w:pPr>
              <w:jc w:val="right"/>
              <w:rPr>
                <w:b/>
                <w:color w:val="000000"/>
                <w:sz w:val="20"/>
                <w:szCs w:val="20"/>
                <w:lang w:val="fr-FR"/>
              </w:rPr>
            </w:pPr>
            <w:r w:rsidRPr="00A557BB">
              <w:rPr>
                <w:b/>
                <w:color w:val="000000"/>
                <w:sz w:val="20"/>
                <w:szCs w:val="20"/>
                <w:lang w:val="fr-FR"/>
              </w:rPr>
              <w:t>22</w:t>
            </w:r>
          </w:p>
        </w:tc>
        <w:tc>
          <w:tcPr>
            <w:tcW w:w="798" w:type="pct"/>
            <w:tcBorders>
              <w:top w:val="nil"/>
              <w:left w:val="nil"/>
              <w:bottom w:val="single" w:sz="4" w:space="0" w:color="auto"/>
              <w:right w:val="single" w:sz="4" w:space="0" w:color="auto"/>
            </w:tcBorders>
            <w:shd w:val="clear" w:color="auto" w:fill="auto"/>
            <w:noWrap/>
            <w:tcMar>
              <w:left w:w="115" w:type="dxa"/>
              <w:right w:w="173" w:type="dxa"/>
            </w:tcMar>
            <w:hideMark/>
          </w:tcPr>
          <w:p w14:paraId="52FADC3F" w14:textId="77777777" w:rsidR="000C38A4" w:rsidRPr="00A557BB" w:rsidRDefault="000C38A4" w:rsidP="000C38A4">
            <w:pPr>
              <w:jc w:val="right"/>
              <w:rPr>
                <w:b/>
                <w:bCs/>
                <w:color w:val="000000"/>
                <w:sz w:val="20"/>
                <w:szCs w:val="20"/>
                <w:lang w:val="fr-FR"/>
              </w:rPr>
            </w:pPr>
            <w:r w:rsidRPr="00A557BB">
              <w:rPr>
                <w:b/>
                <w:bCs/>
                <w:color w:val="000000"/>
                <w:sz w:val="20"/>
                <w:szCs w:val="20"/>
                <w:lang w:val="fr-FR"/>
              </w:rPr>
              <w:t>281 864</w:t>
            </w:r>
          </w:p>
        </w:tc>
        <w:tc>
          <w:tcPr>
            <w:tcW w:w="797" w:type="pct"/>
            <w:tcBorders>
              <w:top w:val="nil"/>
              <w:left w:val="nil"/>
              <w:bottom w:val="single" w:sz="4" w:space="0" w:color="auto"/>
              <w:right w:val="single" w:sz="4" w:space="0" w:color="auto"/>
            </w:tcBorders>
            <w:shd w:val="clear" w:color="auto" w:fill="auto"/>
            <w:noWrap/>
            <w:tcMar>
              <w:left w:w="115" w:type="dxa"/>
              <w:right w:w="173" w:type="dxa"/>
            </w:tcMar>
            <w:hideMark/>
          </w:tcPr>
          <w:p w14:paraId="7CE0519F" w14:textId="77777777" w:rsidR="000C38A4" w:rsidRPr="00A557BB" w:rsidRDefault="000C38A4" w:rsidP="000C38A4">
            <w:pPr>
              <w:jc w:val="right"/>
              <w:rPr>
                <w:b/>
                <w:bCs/>
                <w:color w:val="000000"/>
                <w:sz w:val="20"/>
                <w:szCs w:val="20"/>
                <w:lang w:val="fr-FR"/>
              </w:rPr>
            </w:pPr>
            <w:r w:rsidRPr="00A557BB">
              <w:rPr>
                <w:b/>
                <w:bCs/>
                <w:color w:val="000000"/>
                <w:sz w:val="20"/>
                <w:szCs w:val="20"/>
                <w:lang w:val="fr-FR"/>
              </w:rPr>
              <w:t>79 738</w:t>
            </w:r>
          </w:p>
        </w:tc>
      </w:tr>
    </w:tbl>
    <w:p w14:paraId="05CB55BD" w14:textId="77777777" w:rsidR="000C38A4" w:rsidRPr="00A557BB" w:rsidRDefault="000C38A4" w:rsidP="000C38A4">
      <w:pPr>
        <w:rPr>
          <w:sz w:val="16"/>
          <w:szCs w:val="16"/>
          <w:lang w:val="fr-FR"/>
        </w:rPr>
      </w:pPr>
      <w:r w:rsidRPr="00A557BB">
        <w:rPr>
          <w:sz w:val="16"/>
          <w:szCs w:val="16"/>
          <w:lang w:val="fr-FR"/>
        </w:rPr>
        <w:t>* Pourcentage de fabrication en 2018 dans l'entreprise pour un OEM.</w:t>
      </w:r>
    </w:p>
    <w:p w14:paraId="64A4F5E5" w14:textId="77777777" w:rsidR="000C38A4" w:rsidRPr="00A557BB" w:rsidRDefault="000C38A4" w:rsidP="000C38A4">
      <w:pPr>
        <w:rPr>
          <w:lang w:val="fr-FR"/>
        </w:rPr>
      </w:pPr>
    </w:p>
    <w:p w14:paraId="277A41E9" w14:textId="48B6C499" w:rsidR="000C38A4" w:rsidRPr="00A557BB" w:rsidRDefault="000C38A4" w:rsidP="000C38A4">
      <w:pPr>
        <w:numPr>
          <w:ilvl w:val="0"/>
          <w:numId w:val="1"/>
        </w:numPr>
        <w:spacing w:after="240"/>
        <w:outlineLvl w:val="0"/>
        <w:rPr>
          <w:lang w:val="fr-FR"/>
        </w:rPr>
      </w:pPr>
      <w:r w:rsidRPr="00A557BB">
        <w:rPr>
          <w:lang w:val="fr-FR"/>
        </w:rPr>
        <w:lastRenderedPageBreak/>
        <w:t>En revanche, les onze entreprises suivantes ont décidé</w:t>
      </w:r>
      <w:r w:rsidR="00A95893" w:rsidRPr="00A557BB">
        <w:rPr>
          <w:lang w:val="fr-FR"/>
        </w:rPr>
        <w:t xml:space="preserve"> de se retirer du projet et de </w:t>
      </w:r>
      <w:r w:rsidRPr="00A557BB">
        <w:rPr>
          <w:lang w:val="fr-FR"/>
        </w:rPr>
        <w:t xml:space="preserve">fabriquer du matériel à fort PRP, pour un financement total de 764 842 $US qui serait restitué au Fonds multilatéral à la 85 </w:t>
      </w:r>
      <w:r w:rsidRPr="00A557BB">
        <w:rPr>
          <w:vertAlign w:val="superscript"/>
          <w:lang w:val="fr-FR"/>
        </w:rPr>
        <w:t>e</w:t>
      </w:r>
      <w:r w:rsidRPr="00A557BB">
        <w:rPr>
          <w:lang w:val="fr-FR"/>
        </w:rPr>
        <w:t xml:space="preserve"> réunion: </w:t>
      </w:r>
    </w:p>
    <w:p w14:paraId="183F5AD1" w14:textId="77C15A88" w:rsidR="000C38A4" w:rsidRPr="00A557BB" w:rsidRDefault="00A95893" w:rsidP="000C38A4">
      <w:pPr>
        <w:widowControl w:val="0"/>
        <w:numPr>
          <w:ilvl w:val="1"/>
          <w:numId w:val="1"/>
        </w:numPr>
        <w:spacing w:after="240"/>
        <w:outlineLvl w:val="1"/>
        <w:rPr>
          <w:lang w:val="fr-FR"/>
        </w:rPr>
      </w:pPr>
      <w:r w:rsidRPr="00A557BB">
        <w:rPr>
          <w:lang w:val="fr-FR"/>
        </w:rPr>
        <w:t>d</w:t>
      </w:r>
      <w:r w:rsidR="000C38A4" w:rsidRPr="00A557BB">
        <w:rPr>
          <w:lang w:val="fr-FR"/>
        </w:rPr>
        <w:t>ans le sous-secteur de la réfrigération commerciale, Mentari Metal Pratama, Polysari Citratama et Inti Tunggal, avec un financement total de 375 930 $</w:t>
      </w:r>
      <w:r w:rsidRPr="00A557BB">
        <w:rPr>
          <w:lang w:val="fr-FR"/>
        </w:rPr>
        <w:t>US qui n’a pas été décaissé et</w:t>
      </w:r>
    </w:p>
    <w:p w14:paraId="518BCF3A" w14:textId="6EB2CCC3" w:rsidR="000C38A4" w:rsidRPr="00A557BB" w:rsidRDefault="000C38A4" w:rsidP="000C38A4">
      <w:pPr>
        <w:widowControl w:val="0"/>
        <w:numPr>
          <w:ilvl w:val="1"/>
          <w:numId w:val="1"/>
        </w:numPr>
        <w:spacing w:after="240"/>
        <w:outlineLvl w:val="1"/>
        <w:rPr>
          <w:lang w:val="fr-FR"/>
        </w:rPr>
      </w:pPr>
      <w:r w:rsidRPr="00A557BB">
        <w:rPr>
          <w:lang w:val="fr-FR"/>
        </w:rPr>
        <w:t>Sabindo Refrigeration, Global Technic, AVIS Alpin Servis Tr, Aneka Froze Triutama, Graha Cool Technic, United Refrigeration, Gaya Technic Supply et Ilthabi Mandiri Tech, avec un financement total de 417 872 $US, dont 28 960 $US ont été décaissés pour la mise au point d’un prototype (soit 3 620 $US pour chaq</w:t>
      </w:r>
      <w:r w:rsidR="00A95893" w:rsidRPr="00A557BB">
        <w:rPr>
          <w:lang w:val="fr-FR"/>
        </w:rPr>
        <w:t>ue entreprise). Le solde de 388 </w:t>
      </w:r>
      <w:r w:rsidRPr="00A557BB">
        <w:rPr>
          <w:lang w:val="fr-FR"/>
        </w:rPr>
        <w:t xml:space="preserve">912 $US sera récupéré et </w:t>
      </w:r>
      <w:r w:rsidR="00A95893" w:rsidRPr="00A557BB">
        <w:rPr>
          <w:lang w:val="fr-FR"/>
        </w:rPr>
        <w:t>retourné</w:t>
      </w:r>
      <w:r w:rsidRPr="00A557BB">
        <w:rPr>
          <w:lang w:val="fr-FR"/>
        </w:rPr>
        <w:t xml:space="preserve"> au Fonds</w:t>
      </w:r>
      <w:r w:rsidR="00A95893" w:rsidRPr="00A557BB">
        <w:rPr>
          <w:lang w:val="fr-FR"/>
        </w:rPr>
        <w:t xml:space="preserve"> multilatéral</w:t>
      </w:r>
      <w:r w:rsidRPr="00A557BB">
        <w:rPr>
          <w:lang w:val="fr-FR"/>
        </w:rPr>
        <w:t>.</w:t>
      </w:r>
    </w:p>
    <w:p w14:paraId="7B99D2F6" w14:textId="77777777" w:rsidR="000C38A4" w:rsidRPr="00A557BB" w:rsidRDefault="000C38A4" w:rsidP="000C38A4">
      <w:pPr>
        <w:rPr>
          <w:i/>
          <w:lang w:val="fr-FR"/>
        </w:rPr>
      </w:pPr>
      <w:r w:rsidRPr="00A557BB">
        <w:rPr>
          <w:i/>
          <w:lang w:val="fr-FR"/>
        </w:rPr>
        <w:t>Secteur de l'entretien</w:t>
      </w:r>
    </w:p>
    <w:p w14:paraId="573F20FA" w14:textId="77777777" w:rsidR="000C38A4" w:rsidRPr="00A557BB" w:rsidRDefault="000C38A4" w:rsidP="000C38A4">
      <w:pPr>
        <w:rPr>
          <w:lang w:val="fr-FR"/>
        </w:rPr>
      </w:pPr>
    </w:p>
    <w:p w14:paraId="2BE0E92B" w14:textId="77777777" w:rsidR="000C38A4" w:rsidRPr="00A557BB" w:rsidRDefault="000C38A4" w:rsidP="000C38A4">
      <w:pPr>
        <w:numPr>
          <w:ilvl w:val="0"/>
          <w:numId w:val="1"/>
        </w:numPr>
        <w:spacing w:after="240"/>
        <w:outlineLvl w:val="0"/>
        <w:rPr>
          <w:lang w:val="fr-FR"/>
        </w:rPr>
      </w:pPr>
      <w:r w:rsidRPr="00A557BB">
        <w:rPr>
          <w:lang w:val="fr-FR"/>
        </w:rPr>
        <w:t>La composante du gouvernement de l'Australie dans le secteur de l'entretien des climatiseurs a été achevée, comme indiqué dans le rapport de suivi de 2018. Il n'y avait pas de solde restant.</w:t>
      </w:r>
    </w:p>
    <w:p w14:paraId="6E5DE1FF" w14:textId="77777777" w:rsidR="000C38A4" w:rsidRPr="00A557BB" w:rsidRDefault="000C38A4" w:rsidP="000C38A4">
      <w:pPr>
        <w:rPr>
          <w:i/>
          <w:lang w:val="fr-FR"/>
        </w:rPr>
      </w:pPr>
      <w:r w:rsidRPr="00A557BB">
        <w:rPr>
          <w:i/>
          <w:lang w:val="fr-FR"/>
        </w:rPr>
        <w:t>Unité de gestion de projet (UGP)</w:t>
      </w:r>
    </w:p>
    <w:p w14:paraId="22B3E980" w14:textId="77777777" w:rsidR="000C38A4" w:rsidRPr="00A557BB" w:rsidRDefault="000C38A4" w:rsidP="000C38A4">
      <w:pPr>
        <w:rPr>
          <w:highlight w:val="lightGray"/>
          <w:lang w:val="fr-FR"/>
        </w:rPr>
      </w:pPr>
    </w:p>
    <w:p w14:paraId="6B11A2B2" w14:textId="77777777" w:rsidR="000C38A4" w:rsidRPr="00A557BB" w:rsidRDefault="000C38A4" w:rsidP="000C38A4">
      <w:pPr>
        <w:numPr>
          <w:ilvl w:val="0"/>
          <w:numId w:val="1"/>
        </w:numPr>
        <w:spacing w:after="240"/>
        <w:outlineLvl w:val="0"/>
        <w:rPr>
          <w:lang w:val="fr-FR"/>
        </w:rPr>
      </w:pPr>
      <w:r w:rsidRPr="00A557BB">
        <w:rPr>
          <w:lang w:val="fr-FR"/>
        </w:rPr>
        <w:t>Un montant total de 450 000 $US a été alloué à l'UGP, dont 434 200 $US ont été décaissés. Les 15 800 $US restants seront décaissés d'ici au 31 décembre 2020 pour mener à bien les activités suivantes:</w:t>
      </w:r>
    </w:p>
    <w:p w14:paraId="1E9B86A5" w14:textId="77777777" w:rsidR="000C38A4" w:rsidRPr="00A557BB" w:rsidRDefault="000C38A4" w:rsidP="00B45D48">
      <w:pPr>
        <w:keepNext/>
        <w:numPr>
          <w:ilvl w:val="1"/>
          <w:numId w:val="1"/>
        </w:numPr>
        <w:spacing w:after="240"/>
        <w:outlineLvl w:val="1"/>
        <w:rPr>
          <w:lang w:val="fr-FR"/>
        </w:rPr>
      </w:pPr>
      <w:r w:rsidRPr="00A557BB">
        <w:rPr>
          <w:lang w:val="fr-FR"/>
        </w:rPr>
        <w:t>Soutien administratif et opérationnel aux activités d'assistance technique ;</w:t>
      </w:r>
    </w:p>
    <w:p w14:paraId="4F8924B5" w14:textId="77777777" w:rsidR="000C38A4" w:rsidRPr="00A557BB" w:rsidRDefault="000C38A4" w:rsidP="00B45D48">
      <w:pPr>
        <w:keepNext/>
        <w:numPr>
          <w:ilvl w:val="1"/>
          <w:numId w:val="1"/>
        </w:numPr>
        <w:spacing w:after="240"/>
        <w:outlineLvl w:val="1"/>
        <w:rPr>
          <w:lang w:val="fr-FR"/>
        </w:rPr>
      </w:pPr>
      <w:r w:rsidRPr="00A557BB">
        <w:rPr>
          <w:lang w:val="fr-FR"/>
        </w:rPr>
        <w:t>Gestion globale de la mise en œuvre des projets d'investissement ;</w:t>
      </w:r>
    </w:p>
    <w:p w14:paraId="5B521981" w14:textId="77777777" w:rsidR="000C38A4" w:rsidRPr="00A557BB" w:rsidRDefault="000C38A4" w:rsidP="000C38A4">
      <w:pPr>
        <w:widowControl w:val="0"/>
        <w:numPr>
          <w:ilvl w:val="1"/>
          <w:numId w:val="1"/>
        </w:numPr>
        <w:spacing w:after="240"/>
        <w:outlineLvl w:val="1"/>
        <w:rPr>
          <w:lang w:val="fr-FR"/>
        </w:rPr>
      </w:pPr>
      <w:r w:rsidRPr="00A557BB">
        <w:rPr>
          <w:lang w:val="fr-FR"/>
        </w:rPr>
        <w:t xml:space="preserve">Organisation de missions, réunions et visites techniques dans les entreprises ; </w:t>
      </w:r>
    </w:p>
    <w:p w14:paraId="77A95D53" w14:textId="1F5F7201" w:rsidR="000C38A4" w:rsidRPr="00A557BB" w:rsidRDefault="000C38A4" w:rsidP="000C38A4">
      <w:pPr>
        <w:widowControl w:val="0"/>
        <w:numPr>
          <w:ilvl w:val="1"/>
          <w:numId w:val="1"/>
        </w:numPr>
        <w:spacing w:after="240"/>
        <w:outlineLvl w:val="1"/>
        <w:rPr>
          <w:lang w:val="fr-FR"/>
        </w:rPr>
      </w:pPr>
      <w:r w:rsidRPr="00A557BB">
        <w:rPr>
          <w:lang w:val="fr-FR"/>
        </w:rPr>
        <w:t>Élaboration de rapports périodiques et rapport au Comité directeur du projet, au Gouvernement indo</w:t>
      </w:r>
      <w:r w:rsidR="00A95893" w:rsidRPr="00A557BB">
        <w:rPr>
          <w:lang w:val="fr-FR"/>
        </w:rPr>
        <w:t>nésien et au Fonds multilatéral ;</w:t>
      </w:r>
    </w:p>
    <w:p w14:paraId="376E35D5" w14:textId="30EFE1C8" w:rsidR="000C38A4" w:rsidRPr="00A557BB" w:rsidRDefault="000C38A4" w:rsidP="000C38A4">
      <w:pPr>
        <w:widowControl w:val="0"/>
        <w:numPr>
          <w:ilvl w:val="1"/>
          <w:numId w:val="1"/>
        </w:numPr>
        <w:spacing w:after="240"/>
        <w:outlineLvl w:val="1"/>
        <w:rPr>
          <w:lang w:val="fr-FR"/>
        </w:rPr>
      </w:pPr>
      <w:r w:rsidRPr="00A557BB">
        <w:rPr>
          <w:lang w:val="fr-FR"/>
        </w:rPr>
        <w:t>Vérification de la performance d'exécution du projet, réalisation des jalons, vérification sur le terrain d</w:t>
      </w:r>
      <w:r w:rsidR="00A95893" w:rsidRPr="00A557BB">
        <w:rPr>
          <w:lang w:val="fr-FR"/>
        </w:rPr>
        <w:t>es entreprises ;</w:t>
      </w:r>
    </w:p>
    <w:p w14:paraId="1A140FD0" w14:textId="0A282E0A" w:rsidR="000C38A4" w:rsidRPr="00A557BB" w:rsidRDefault="000C38A4" w:rsidP="000C38A4">
      <w:pPr>
        <w:widowControl w:val="0"/>
        <w:numPr>
          <w:ilvl w:val="1"/>
          <w:numId w:val="1"/>
        </w:numPr>
        <w:spacing w:after="240"/>
        <w:outlineLvl w:val="1"/>
        <w:rPr>
          <w:lang w:val="fr-FR"/>
        </w:rPr>
      </w:pPr>
      <w:r w:rsidRPr="00A557BB">
        <w:rPr>
          <w:lang w:val="fr-FR"/>
        </w:rPr>
        <w:t>Administration quotidienne des activités de la pha</w:t>
      </w:r>
      <w:r w:rsidR="00A95893" w:rsidRPr="00A557BB">
        <w:rPr>
          <w:lang w:val="fr-FR"/>
        </w:rPr>
        <w:t>se I (gestion et exploitation) ;</w:t>
      </w:r>
    </w:p>
    <w:p w14:paraId="0EAF5377" w14:textId="77777777" w:rsidR="000C38A4" w:rsidRPr="00A557BB" w:rsidRDefault="000C38A4" w:rsidP="000C38A4">
      <w:pPr>
        <w:widowControl w:val="0"/>
        <w:numPr>
          <w:ilvl w:val="1"/>
          <w:numId w:val="1"/>
        </w:numPr>
        <w:spacing w:after="240"/>
        <w:outlineLvl w:val="1"/>
        <w:rPr>
          <w:lang w:val="fr-FR"/>
        </w:rPr>
      </w:pPr>
      <w:r w:rsidRPr="00A557BB">
        <w:rPr>
          <w:lang w:val="fr-FR"/>
        </w:rPr>
        <w:t>Contrôle budgétaire et financier des fonds approuvés.</w:t>
      </w:r>
    </w:p>
    <w:p w14:paraId="7721B8D8" w14:textId="77777777" w:rsidR="000C38A4" w:rsidRPr="00A557BB" w:rsidRDefault="000C38A4" w:rsidP="000C38A4">
      <w:pPr>
        <w:spacing w:after="240"/>
        <w:rPr>
          <w:i/>
          <w:lang w:val="fr-FR"/>
        </w:rPr>
      </w:pPr>
      <w:r w:rsidRPr="00A557BB">
        <w:rPr>
          <w:i/>
          <w:lang w:val="fr-FR"/>
        </w:rPr>
        <w:t>Niveau de décaissement</w:t>
      </w:r>
    </w:p>
    <w:p w14:paraId="63BD34A5" w14:textId="77777777" w:rsidR="000C38A4" w:rsidRPr="00A557BB" w:rsidRDefault="000C38A4" w:rsidP="000C38A4">
      <w:pPr>
        <w:numPr>
          <w:ilvl w:val="0"/>
          <w:numId w:val="1"/>
        </w:numPr>
        <w:spacing w:after="240"/>
        <w:outlineLvl w:val="0"/>
        <w:rPr>
          <w:u w:val="single"/>
          <w:lang w:val="fr-FR"/>
        </w:rPr>
      </w:pPr>
      <w:r w:rsidRPr="00A557BB">
        <w:rPr>
          <w:lang w:val="fr-FR"/>
        </w:rPr>
        <w:t>En novembre 2019, sur les 12 692 684 $US approuvés, 11 791 079 $US (93%) avaient été décaissés (8 048 258 $US pour le PNUD, 777 208 $US pour l'ONUDI, 2 665 613 $US pour la Banque mondiale et 300 000 $US pour le Gouvernement australien) comme indiqué dans le tableau 13.</w:t>
      </w:r>
    </w:p>
    <w:p w14:paraId="6C9999A5" w14:textId="77777777" w:rsidR="000C38A4" w:rsidRPr="00A557BB" w:rsidRDefault="00EF54D3" w:rsidP="00D11B6F">
      <w:pPr>
        <w:keepNext/>
        <w:keepLines/>
        <w:rPr>
          <w:lang w:val="fr-FR"/>
        </w:rPr>
      </w:pPr>
      <w:r w:rsidRPr="00A557BB">
        <w:rPr>
          <w:b/>
          <w:lang w:val="fr-FR"/>
        </w:rPr>
        <w:lastRenderedPageBreak/>
        <w:t>Tableau 13 - Rapport financier de la phase I du PGEH pour l’Indonésie ($US)</w:t>
      </w:r>
    </w:p>
    <w:tbl>
      <w:tblPr>
        <w:tblW w:w="4944" w:type="pct"/>
        <w:tblInd w:w="108" w:type="dxa"/>
        <w:tblLook w:val="04A0" w:firstRow="1" w:lastRow="0" w:firstColumn="1" w:lastColumn="0" w:noHBand="0" w:noVBand="1"/>
      </w:tblPr>
      <w:tblGrid>
        <w:gridCol w:w="2549"/>
        <w:gridCol w:w="2304"/>
        <w:gridCol w:w="2307"/>
        <w:gridCol w:w="2309"/>
      </w:tblGrid>
      <w:tr w:rsidR="000C38A4" w:rsidRPr="00A557BB" w14:paraId="287D7B48" w14:textId="77777777" w:rsidTr="00E42806">
        <w:trPr>
          <w:tblHeader/>
        </w:trPr>
        <w:tc>
          <w:tcPr>
            <w:tcW w:w="1334"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BA84ADF" w14:textId="77777777" w:rsidR="000C38A4" w:rsidRPr="00A557BB" w:rsidRDefault="000C38A4" w:rsidP="00D11B6F">
            <w:pPr>
              <w:keepNext/>
              <w:keepLines/>
              <w:jc w:val="left"/>
              <w:rPr>
                <w:b/>
                <w:bCs/>
                <w:color w:val="000000"/>
                <w:sz w:val="20"/>
                <w:szCs w:val="20"/>
                <w:lang w:val="fr-FR" w:eastAsia="en-CA"/>
              </w:rPr>
            </w:pPr>
            <w:r w:rsidRPr="00A557BB">
              <w:rPr>
                <w:b/>
                <w:bCs/>
                <w:color w:val="000000"/>
                <w:sz w:val="20"/>
                <w:szCs w:val="20"/>
                <w:lang w:val="fr-FR" w:eastAsia="fr"/>
              </w:rPr>
              <w:t>Agence</w:t>
            </w:r>
          </w:p>
        </w:tc>
        <w:tc>
          <w:tcPr>
            <w:tcW w:w="1221" w:type="pct"/>
            <w:tcBorders>
              <w:top w:val="single" w:sz="4" w:space="0" w:color="auto"/>
              <w:left w:val="single" w:sz="4" w:space="0" w:color="auto"/>
              <w:right w:val="single" w:sz="4" w:space="0" w:color="auto"/>
            </w:tcBorders>
            <w:shd w:val="clear" w:color="auto" w:fill="auto"/>
            <w:noWrap/>
            <w:vAlign w:val="center"/>
            <w:hideMark/>
          </w:tcPr>
          <w:p w14:paraId="624D37A2" w14:textId="77777777" w:rsidR="000C38A4" w:rsidRPr="00A557BB" w:rsidRDefault="000C38A4" w:rsidP="00D11B6F">
            <w:pPr>
              <w:keepNext/>
              <w:keepLines/>
              <w:jc w:val="center"/>
              <w:rPr>
                <w:b/>
                <w:color w:val="000000"/>
                <w:sz w:val="20"/>
                <w:szCs w:val="20"/>
                <w:lang w:val="fr-FR" w:eastAsia="en-CA"/>
              </w:rPr>
            </w:pPr>
            <w:r w:rsidRPr="00A557BB">
              <w:rPr>
                <w:b/>
                <w:color w:val="000000"/>
                <w:sz w:val="20"/>
                <w:szCs w:val="20"/>
                <w:lang w:val="fr-FR" w:eastAsia="fr"/>
              </w:rPr>
              <w:t>Approuvés ($US)</w:t>
            </w:r>
          </w:p>
        </w:tc>
        <w:tc>
          <w:tcPr>
            <w:tcW w:w="1222" w:type="pct"/>
            <w:tcBorders>
              <w:top w:val="single" w:sz="4" w:space="0" w:color="auto"/>
              <w:left w:val="single" w:sz="4" w:space="0" w:color="auto"/>
              <w:bottom w:val="single" w:sz="4" w:space="0" w:color="auto"/>
              <w:right w:val="single" w:sz="4" w:space="0" w:color="auto"/>
            </w:tcBorders>
            <w:shd w:val="clear" w:color="auto" w:fill="auto"/>
            <w:vAlign w:val="center"/>
          </w:tcPr>
          <w:p w14:paraId="475C2DE6" w14:textId="77777777" w:rsidR="000C38A4" w:rsidRPr="00A557BB" w:rsidRDefault="000C38A4" w:rsidP="00D11B6F">
            <w:pPr>
              <w:keepNext/>
              <w:keepLines/>
              <w:jc w:val="center"/>
              <w:rPr>
                <w:b/>
                <w:color w:val="000000"/>
                <w:sz w:val="20"/>
                <w:szCs w:val="20"/>
                <w:lang w:val="fr-FR" w:eastAsia="en-CA"/>
              </w:rPr>
            </w:pPr>
            <w:r w:rsidRPr="00A557BB">
              <w:rPr>
                <w:b/>
                <w:color w:val="000000"/>
                <w:sz w:val="20"/>
                <w:szCs w:val="20"/>
                <w:lang w:val="fr-FR" w:eastAsia="fr"/>
              </w:rPr>
              <w:t>Décaissé ($ US)</w:t>
            </w:r>
          </w:p>
        </w:tc>
        <w:tc>
          <w:tcPr>
            <w:tcW w:w="1223" w:type="pct"/>
            <w:tcBorders>
              <w:top w:val="single" w:sz="4" w:space="0" w:color="auto"/>
              <w:left w:val="single" w:sz="4" w:space="0" w:color="auto"/>
              <w:bottom w:val="single" w:sz="4" w:space="0" w:color="auto"/>
              <w:right w:val="single" w:sz="4" w:space="0" w:color="auto"/>
            </w:tcBorders>
          </w:tcPr>
          <w:p w14:paraId="3659A78C" w14:textId="77777777" w:rsidR="000C38A4" w:rsidRPr="00A557BB" w:rsidRDefault="000C38A4" w:rsidP="00D11B6F">
            <w:pPr>
              <w:keepNext/>
              <w:keepLines/>
              <w:jc w:val="center"/>
              <w:rPr>
                <w:b/>
                <w:color w:val="000000"/>
                <w:sz w:val="20"/>
                <w:szCs w:val="20"/>
                <w:lang w:val="fr-FR" w:eastAsia="en-CA"/>
              </w:rPr>
            </w:pPr>
            <w:r w:rsidRPr="00A557BB">
              <w:rPr>
                <w:b/>
                <w:color w:val="000000"/>
                <w:sz w:val="20"/>
                <w:szCs w:val="20"/>
                <w:lang w:val="fr-FR" w:eastAsia="fr"/>
              </w:rPr>
              <w:t>Taux de décaissement (%)</w:t>
            </w:r>
          </w:p>
        </w:tc>
      </w:tr>
      <w:tr w:rsidR="000C38A4" w:rsidRPr="00A557BB" w14:paraId="6EF80A05" w14:textId="77777777" w:rsidTr="00E42806">
        <w:tc>
          <w:tcPr>
            <w:tcW w:w="1334" w:type="pct"/>
            <w:tcBorders>
              <w:top w:val="nil"/>
              <w:left w:val="single" w:sz="4" w:space="0" w:color="auto"/>
              <w:bottom w:val="single" w:sz="4" w:space="0" w:color="auto"/>
              <w:right w:val="single" w:sz="4" w:space="0" w:color="auto"/>
            </w:tcBorders>
            <w:shd w:val="clear" w:color="auto" w:fill="auto"/>
            <w:noWrap/>
            <w:vAlign w:val="center"/>
            <w:hideMark/>
          </w:tcPr>
          <w:p w14:paraId="70EF2F54" w14:textId="77777777" w:rsidR="000C38A4" w:rsidRPr="00A557BB" w:rsidRDefault="000C38A4" w:rsidP="00D11B6F">
            <w:pPr>
              <w:keepNext/>
              <w:keepLines/>
              <w:jc w:val="left"/>
              <w:rPr>
                <w:bCs/>
                <w:color w:val="000000"/>
                <w:sz w:val="20"/>
                <w:szCs w:val="20"/>
                <w:lang w:val="fr-FR" w:eastAsia="en-CA"/>
              </w:rPr>
            </w:pPr>
            <w:r w:rsidRPr="00A557BB">
              <w:rPr>
                <w:bCs/>
                <w:color w:val="000000"/>
                <w:sz w:val="20"/>
                <w:szCs w:val="20"/>
                <w:lang w:val="fr-FR" w:eastAsia="fr"/>
              </w:rPr>
              <w:t>PNUD</w:t>
            </w:r>
          </w:p>
        </w:tc>
        <w:tc>
          <w:tcPr>
            <w:tcW w:w="1221"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14:paraId="22F78FDF" w14:textId="77777777" w:rsidR="000C38A4" w:rsidRPr="00A557BB" w:rsidRDefault="000C38A4" w:rsidP="00D11B6F">
            <w:pPr>
              <w:keepNext/>
              <w:keepLines/>
              <w:jc w:val="right"/>
              <w:rPr>
                <w:color w:val="000000"/>
                <w:sz w:val="20"/>
                <w:szCs w:val="20"/>
                <w:lang w:val="fr-FR"/>
              </w:rPr>
            </w:pPr>
            <w:r w:rsidRPr="00A557BB">
              <w:rPr>
                <w:color w:val="000000"/>
                <w:sz w:val="20"/>
                <w:szCs w:val="20"/>
                <w:lang w:val="fr-FR"/>
              </w:rPr>
              <w:t>8 901 102</w:t>
            </w:r>
            <w:r w:rsidRPr="00A557BB">
              <w:rPr>
                <w:color w:val="000000"/>
                <w:sz w:val="20"/>
                <w:szCs w:val="20"/>
                <w:vertAlign w:val="superscript"/>
                <w:lang w:val="fr-FR"/>
              </w:rPr>
              <w:t>*</w:t>
            </w:r>
          </w:p>
        </w:tc>
        <w:tc>
          <w:tcPr>
            <w:tcW w:w="122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0E571649" w14:textId="77777777" w:rsidR="000C38A4" w:rsidRPr="00A557BB" w:rsidRDefault="000C38A4" w:rsidP="00D11B6F">
            <w:pPr>
              <w:keepNext/>
              <w:keepLines/>
              <w:jc w:val="right"/>
              <w:rPr>
                <w:sz w:val="20"/>
                <w:szCs w:val="20"/>
                <w:lang w:val="fr-FR" w:eastAsia="en-CA"/>
              </w:rPr>
            </w:pPr>
            <w:r w:rsidRPr="00A557BB">
              <w:rPr>
                <w:sz w:val="20"/>
                <w:szCs w:val="20"/>
                <w:lang w:val="fr-FR"/>
              </w:rPr>
              <w:t>8 048 258</w:t>
            </w:r>
            <w:r w:rsidRPr="00A557BB">
              <w:rPr>
                <w:sz w:val="20"/>
                <w:szCs w:val="20"/>
                <w:vertAlign w:val="superscript"/>
                <w:lang w:val="fr-FR"/>
              </w:rPr>
              <w:t>*,**</w:t>
            </w:r>
          </w:p>
        </w:tc>
        <w:tc>
          <w:tcPr>
            <w:tcW w:w="1223" w:type="pct"/>
            <w:tcBorders>
              <w:top w:val="single" w:sz="4" w:space="0" w:color="auto"/>
              <w:left w:val="single" w:sz="4" w:space="0" w:color="auto"/>
              <w:bottom w:val="single" w:sz="4" w:space="0" w:color="auto"/>
              <w:right w:val="single" w:sz="4" w:space="0" w:color="auto"/>
            </w:tcBorders>
            <w:tcMar>
              <w:left w:w="115" w:type="dxa"/>
              <w:right w:w="288" w:type="dxa"/>
            </w:tcMar>
          </w:tcPr>
          <w:p w14:paraId="3DFEB1CE" w14:textId="77777777" w:rsidR="000C38A4" w:rsidRPr="00A557BB" w:rsidRDefault="000C38A4" w:rsidP="00D11B6F">
            <w:pPr>
              <w:keepNext/>
              <w:keepLines/>
              <w:jc w:val="right"/>
              <w:rPr>
                <w:sz w:val="20"/>
                <w:szCs w:val="20"/>
                <w:lang w:val="fr-FR"/>
              </w:rPr>
            </w:pPr>
            <w:r w:rsidRPr="00A557BB">
              <w:rPr>
                <w:sz w:val="20"/>
                <w:szCs w:val="20"/>
                <w:lang w:val="fr-FR"/>
              </w:rPr>
              <w:t>90</w:t>
            </w:r>
          </w:p>
        </w:tc>
      </w:tr>
      <w:tr w:rsidR="000C38A4" w:rsidRPr="00A557BB" w14:paraId="6CE56ABC" w14:textId="77777777" w:rsidTr="00E42806">
        <w:tc>
          <w:tcPr>
            <w:tcW w:w="1334" w:type="pct"/>
            <w:tcBorders>
              <w:top w:val="nil"/>
              <w:left w:val="single" w:sz="4" w:space="0" w:color="auto"/>
              <w:bottom w:val="single" w:sz="4" w:space="0" w:color="auto"/>
              <w:right w:val="single" w:sz="4" w:space="0" w:color="auto"/>
            </w:tcBorders>
            <w:shd w:val="clear" w:color="auto" w:fill="auto"/>
            <w:noWrap/>
            <w:vAlign w:val="center"/>
            <w:hideMark/>
          </w:tcPr>
          <w:p w14:paraId="3CA54805" w14:textId="77777777" w:rsidR="000C38A4" w:rsidRPr="00A557BB" w:rsidRDefault="000C38A4" w:rsidP="00D11B6F">
            <w:pPr>
              <w:keepNext/>
              <w:keepLines/>
              <w:jc w:val="left"/>
              <w:rPr>
                <w:bCs/>
                <w:color w:val="000000"/>
                <w:sz w:val="20"/>
                <w:szCs w:val="20"/>
                <w:lang w:val="fr-FR" w:eastAsia="en-CA"/>
              </w:rPr>
            </w:pPr>
            <w:r w:rsidRPr="00A557BB">
              <w:rPr>
                <w:bCs/>
                <w:color w:val="000000"/>
                <w:sz w:val="20"/>
                <w:szCs w:val="20"/>
                <w:lang w:val="fr-FR" w:eastAsia="fr"/>
              </w:rPr>
              <w:t>ONUDI</w:t>
            </w:r>
          </w:p>
        </w:tc>
        <w:tc>
          <w:tcPr>
            <w:tcW w:w="1221"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14:paraId="2BC8B85E" w14:textId="77777777" w:rsidR="000C38A4" w:rsidRPr="00A557BB" w:rsidRDefault="000C38A4" w:rsidP="00D11B6F">
            <w:pPr>
              <w:keepNext/>
              <w:keepLines/>
              <w:jc w:val="right"/>
              <w:rPr>
                <w:color w:val="000000"/>
                <w:sz w:val="20"/>
                <w:szCs w:val="20"/>
                <w:lang w:val="fr-FR"/>
              </w:rPr>
            </w:pPr>
            <w:r w:rsidRPr="00A557BB">
              <w:rPr>
                <w:color w:val="000000"/>
                <w:sz w:val="20"/>
                <w:szCs w:val="20"/>
                <w:lang w:val="fr-FR"/>
              </w:rPr>
              <w:t>777 395</w:t>
            </w:r>
          </w:p>
        </w:tc>
        <w:tc>
          <w:tcPr>
            <w:tcW w:w="1222"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4E55ABBD" w14:textId="77777777" w:rsidR="000C38A4" w:rsidRPr="00A557BB" w:rsidRDefault="000C38A4" w:rsidP="00D11B6F">
            <w:pPr>
              <w:keepNext/>
              <w:keepLines/>
              <w:jc w:val="right"/>
              <w:rPr>
                <w:sz w:val="20"/>
                <w:szCs w:val="20"/>
                <w:lang w:val="fr-FR" w:eastAsia="en-CA"/>
              </w:rPr>
            </w:pPr>
            <w:r w:rsidRPr="00A557BB">
              <w:rPr>
                <w:sz w:val="20"/>
                <w:szCs w:val="20"/>
                <w:lang w:val="fr-FR"/>
              </w:rPr>
              <w:t xml:space="preserve">777 208 </w:t>
            </w:r>
          </w:p>
        </w:tc>
        <w:tc>
          <w:tcPr>
            <w:tcW w:w="1223" w:type="pct"/>
            <w:tcBorders>
              <w:top w:val="nil"/>
              <w:left w:val="single" w:sz="4" w:space="0" w:color="auto"/>
              <w:bottom w:val="single" w:sz="4" w:space="0" w:color="auto"/>
              <w:right w:val="single" w:sz="4" w:space="0" w:color="auto"/>
            </w:tcBorders>
            <w:tcMar>
              <w:left w:w="115" w:type="dxa"/>
              <w:right w:w="288" w:type="dxa"/>
            </w:tcMar>
          </w:tcPr>
          <w:p w14:paraId="47AA5756" w14:textId="77777777" w:rsidR="000C38A4" w:rsidRPr="00A557BB" w:rsidRDefault="000C38A4" w:rsidP="00D11B6F">
            <w:pPr>
              <w:keepNext/>
              <w:keepLines/>
              <w:jc w:val="right"/>
              <w:rPr>
                <w:sz w:val="20"/>
                <w:szCs w:val="20"/>
                <w:lang w:val="fr-FR"/>
              </w:rPr>
            </w:pPr>
            <w:r w:rsidRPr="00A557BB">
              <w:rPr>
                <w:sz w:val="20"/>
                <w:szCs w:val="20"/>
                <w:lang w:val="fr-FR"/>
              </w:rPr>
              <w:t>100</w:t>
            </w:r>
          </w:p>
        </w:tc>
      </w:tr>
      <w:tr w:rsidR="000C38A4" w:rsidRPr="00A557BB" w14:paraId="3C67506E" w14:textId="77777777" w:rsidTr="00E42806">
        <w:tc>
          <w:tcPr>
            <w:tcW w:w="1334" w:type="pct"/>
            <w:tcBorders>
              <w:top w:val="nil"/>
              <w:left w:val="single" w:sz="4" w:space="0" w:color="auto"/>
              <w:bottom w:val="single" w:sz="4" w:space="0" w:color="auto"/>
              <w:right w:val="single" w:sz="4" w:space="0" w:color="auto"/>
            </w:tcBorders>
            <w:shd w:val="clear" w:color="auto" w:fill="auto"/>
            <w:noWrap/>
            <w:vAlign w:val="center"/>
            <w:hideMark/>
          </w:tcPr>
          <w:p w14:paraId="383CAF19" w14:textId="77777777" w:rsidR="000C38A4" w:rsidRPr="00A557BB" w:rsidRDefault="000C38A4" w:rsidP="00D11B6F">
            <w:pPr>
              <w:keepNext/>
              <w:keepLines/>
              <w:jc w:val="left"/>
              <w:rPr>
                <w:bCs/>
                <w:color w:val="000000"/>
                <w:sz w:val="20"/>
                <w:szCs w:val="20"/>
                <w:lang w:val="fr-FR" w:eastAsia="en-CA"/>
              </w:rPr>
            </w:pPr>
            <w:r w:rsidRPr="00A557BB">
              <w:rPr>
                <w:bCs/>
                <w:color w:val="000000"/>
                <w:sz w:val="20"/>
                <w:szCs w:val="20"/>
                <w:lang w:val="fr-FR" w:eastAsia="fr"/>
              </w:rPr>
              <w:t>Banque mondiale</w:t>
            </w:r>
          </w:p>
        </w:tc>
        <w:tc>
          <w:tcPr>
            <w:tcW w:w="1221"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14:paraId="0B163537" w14:textId="77777777" w:rsidR="000C38A4" w:rsidRPr="00A557BB" w:rsidRDefault="000C38A4" w:rsidP="00D11B6F">
            <w:pPr>
              <w:keepNext/>
              <w:keepLines/>
              <w:jc w:val="right"/>
              <w:rPr>
                <w:color w:val="000000"/>
                <w:sz w:val="20"/>
                <w:szCs w:val="20"/>
                <w:lang w:val="fr-FR"/>
              </w:rPr>
            </w:pPr>
            <w:r w:rsidRPr="00A557BB">
              <w:rPr>
                <w:color w:val="000000"/>
                <w:sz w:val="20"/>
                <w:szCs w:val="20"/>
                <w:lang w:val="fr-FR"/>
              </w:rPr>
              <w:t>2 714 187</w:t>
            </w:r>
            <w:r w:rsidRPr="00A557BB">
              <w:rPr>
                <w:color w:val="000000"/>
                <w:sz w:val="20"/>
                <w:szCs w:val="20"/>
                <w:vertAlign w:val="superscript"/>
                <w:lang w:val="fr-FR"/>
              </w:rPr>
              <w:t>***</w:t>
            </w:r>
          </w:p>
        </w:tc>
        <w:tc>
          <w:tcPr>
            <w:tcW w:w="1222"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6E043E5E" w14:textId="77777777" w:rsidR="000C38A4" w:rsidRPr="00A557BB" w:rsidRDefault="000C38A4" w:rsidP="00D11B6F">
            <w:pPr>
              <w:keepNext/>
              <w:keepLines/>
              <w:jc w:val="right"/>
              <w:rPr>
                <w:sz w:val="20"/>
                <w:szCs w:val="20"/>
                <w:lang w:val="fr-FR" w:eastAsia="en-CA"/>
              </w:rPr>
            </w:pPr>
            <w:r w:rsidRPr="00A557BB">
              <w:rPr>
                <w:sz w:val="20"/>
                <w:szCs w:val="20"/>
                <w:lang w:val="fr-FR"/>
              </w:rPr>
              <w:t>2 665 613</w:t>
            </w:r>
            <w:r w:rsidRPr="00A557BB">
              <w:rPr>
                <w:sz w:val="20"/>
                <w:szCs w:val="20"/>
                <w:vertAlign w:val="superscript"/>
                <w:lang w:val="fr-FR"/>
              </w:rPr>
              <w:t>***</w:t>
            </w:r>
            <w:r w:rsidRPr="00A557BB">
              <w:rPr>
                <w:sz w:val="20"/>
                <w:szCs w:val="20"/>
                <w:lang w:val="fr-FR"/>
              </w:rPr>
              <w:t xml:space="preserve"> </w:t>
            </w:r>
          </w:p>
        </w:tc>
        <w:tc>
          <w:tcPr>
            <w:tcW w:w="1223" w:type="pct"/>
            <w:tcBorders>
              <w:top w:val="nil"/>
              <w:left w:val="single" w:sz="4" w:space="0" w:color="auto"/>
              <w:bottom w:val="single" w:sz="4" w:space="0" w:color="auto"/>
              <w:right w:val="single" w:sz="4" w:space="0" w:color="auto"/>
            </w:tcBorders>
            <w:tcMar>
              <w:left w:w="115" w:type="dxa"/>
              <w:right w:w="288" w:type="dxa"/>
            </w:tcMar>
          </w:tcPr>
          <w:p w14:paraId="33D98F9D" w14:textId="77777777" w:rsidR="000C38A4" w:rsidRPr="00A557BB" w:rsidRDefault="000C38A4" w:rsidP="00D11B6F">
            <w:pPr>
              <w:keepNext/>
              <w:keepLines/>
              <w:jc w:val="right"/>
              <w:rPr>
                <w:sz w:val="20"/>
                <w:szCs w:val="20"/>
                <w:lang w:val="fr-FR"/>
              </w:rPr>
            </w:pPr>
            <w:r w:rsidRPr="00A557BB">
              <w:rPr>
                <w:sz w:val="20"/>
                <w:szCs w:val="20"/>
                <w:lang w:val="fr-FR"/>
              </w:rPr>
              <w:t>98</w:t>
            </w:r>
          </w:p>
        </w:tc>
      </w:tr>
      <w:tr w:rsidR="000C38A4" w:rsidRPr="00A557BB" w14:paraId="0A7D15B0" w14:textId="77777777" w:rsidTr="00E42806">
        <w:tc>
          <w:tcPr>
            <w:tcW w:w="1334" w:type="pct"/>
            <w:tcBorders>
              <w:top w:val="nil"/>
              <w:left w:val="single" w:sz="4" w:space="0" w:color="auto"/>
              <w:bottom w:val="single" w:sz="4" w:space="0" w:color="auto"/>
              <w:right w:val="single" w:sz="4" w:space="0" w:color="auto"/>
            </w:tcBorders>
            <w:shd w:val="clear" w:color="auto" w:fill="auto"/>
            <w:noWrap/>
            <w:vAlign w:val="center"/>
          </w:tcPr>
          <w:p w14:paraId="62854FFE" w14:textId="77777777" w:rsidR="000C38A4" w:rsidRPr="00A557BB" w:rsidRDefault="000C38A4" w:rsidP="00D11B6F">
            <w:pPr>
              <w:keepNext/>
              <w:keepLines/>
              <w:jc w:val="left"/>
              <w:rPr>
                <w:bCs/>
                <w:color w:val="000000"/>
                <w:sz w:val="20"/>
                <w:szCs w:val="20"/>
                <w:lang w:val="fr-FR" w:eastAsia="en-CA"/>
              </w:rPr>
            </w:pPr>
            <w:r w:rsidRPr="00A557BB">
              <w:rPr>
                <w:bCs/>
                <w:color w:val="000000"/>
                <w:sz w:val="20"/>
                <w:szCs w:val="20"/>
                <w:lang w:val="fr-FR" w:eastAsia="fr"/>
              </w:rPr>
              <w:t>Gouvernement de l’Australie</w:t>
            </w:r>
          </w:p>
        </w:tc>
        <w:tc>
          <w:tcPr>
            <w:tcW w:w="1221"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14:paraId="2F5AC0C8" w14:textId="77777777" w:rsidR="000C38A4" w:rsidRPr="00A557BB" w:rsidRDefault="000C38A4" w:rsidP="00D11B6F">
            <w:pPr>
              <w:keepNext/>
              <w:keepLines/>
              <w:jc w:val="right"/>
              <w:rPr>
                <w:color w:val="000000"/>
                <w:sz w:val="20"/>
                <w:szCs w:val="20"/>
                <w:lang w:val="fr-FR"/>
              </w:rPr>
            </w:pPr>
            <w:r w:rsidRPr="00A557BB">
              <w:rPr>
                <w:color w:val="000000"/>
                <w:sz w:val="20"/>
                <w:szCs w:val="20"/>
                <w:lang w:val="fr-FR"/>
              </w:rPr>
              <w:t>300 000</w:t>
            </w:r>
          </w:p>
        </w:tc>
        <w:tc>
          <w:tcPr>
            <w:tcW w:w="1222"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47A275A6" w14:textId="77777777" w:rsidR="000C38A4" w:rsidRPr="00A557BB" w:rsidRDefault="000C38A4" w:rsidP="00D11B6F">
            <w:pPr>
              <w:keepNext/>
              <w:keepLines/>
              <w:jc w:val="right"/>
              <w:rPr>
                <w:sz w:val="20"/>
                <w:szCs w:val="20"/>
                <w:lang w:val="fr-FR" w:eastAsia="en-CA"/>
              </w:rPr>
            </w:pPr>
            <w:r w:rsidRPr="00A557BB">
              <w:rPr>
                <w:sz w:val="20"/>
                <w:szCs w:val="20"/>
                <w:lang w:val="fr-FR"/>
              </w:rPr>
              <w:t>300 000</w:t>
            </w:r>
          </w:p>
        </w:tc>
        <w:tc>
          <w:tcPr>
            <w:tcW w:w="1223" w:type="pct"/>
            <w:tcBorders>
              <w:top w:val="nil"/>
              <w:left w:val="single" w:sz="4" w:space="0" w:color="auto"/>
              <w:bottom w:val="single" w:sz="4" w:space="0" w:color="auto"/>
              <w:right w:val="single" w:sz="4" w:space="0" w:color="auto"/>
            </w:tcBorders>
            <w:tcMar>
              <w:left w:w="115" w:type="dxa"/>
              <w:right w:w="288" w:type="dxa"/>
            </w:tcMar>
          </w:tcPr>
          <w:p w14:paraId="3E883599" w14:textId="77777777" w:rsidR="000C38A4" w:rsidRPr="00A557BB" w:rsidRDefault="000C38A4" w:rsidP="00D11B6F">
            <w:pPr>
              <w:keepNext/>
              <w:keepLines/>
              <w:jc w:val="right"/>
              <w:rPr>
                <w:sz w:val="20"/>
                <w:szCs w:val="20"/>
                <w:lang w:val="fr-FR"/>
              </w:rPr>
            </w:pPr>
            <w:r w:rsidRPr="00A557BB">
              <w:rPr>
                <w:sz w:val="20"/>
                <w:szCs w:val="20"/>
                <w:lang w:val="fr-FR"/>
              </w:rPr>
              <w:t>100</w:t>
            </w:r>
          </w:p>
        </w:tc>
      </w:tr>
      <w:tr w:rsidR="000C38A4" w:rsidRPr="00A557BB" w14:paraId="75F52736" w14:textId="77777777" w:rsidTr="00E42806">
        <w:tc>
          <w:tcPr>
            <w:tcW w:w="1334" w:type="pct"/>
            <w:tcBorders>
              <w:top w:val="nil"/>
              <w:left w:val="single" w:sz="4" w:space="0" w:color="auto"/>
              <w:bottom w:val="single" w:sz="4" w:space="0" w:color="auto"/>
              <w:right w:val="single" w:sz="4" w:space="0" w:color="auto"/>
            </w:tcBorders>
            <w:shd w:val="clear" w:color="auto" w:fill="auto"/>
            <w:noWrap/>
            <w:vAlign w:val="center"/>
            <w:hideMark/>
          </w:tcPr>
          <w:p w14:paraId="7BB5B203" w14:textId="77777777" w:rsidR="000C38A4" w:rsidRPr="00A557BB" w:rsidRDefault="000C38A4" w:rsidP="00D11B6F">
            <w:pPr>
              <w:keepNext/>
              <w:keepLines/>
              <w:jc w:val="left"/>
              <w:rPr>
                <w:b/>
                <w:bCs/>
                <w:color w:val="000000"/>
                <w:sz w:val="20"/>
                <w:szCs w:val="20"/>
                <w:lang w:val="fr-FR" w:eastAsia="en-CA"/>
              </w:rPr>
            </w:pPr>
            <w:r w:rsidRPr="00A557BB">
              <w:rPr>
                <w:b/>
                <w:bCs/>
                <w:color w:val="000000"/>
                <w:sz w:val="20"/>
                <w:szCs w:val="20"/>
                <w:lang w:val="fr-FR" w:eastAsia="fr"/>
              </w:rPr>
              <w:t>Total</w:t>
            </w:r>
          </w:p>
        </w:tc>
        <w:tc>
          <w:tcPr>
            <w:tcW w:w="1221"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14:paraId="047B1C52" w14:textId="77777777" w:rsidR="000C38A4" w:rsidRPr="00A557BB" w:rsidRDefault="000C38A4" w:rsidP="00D11B6F">
            <w:pPr>
              <w:keepNext/>
              <w:keepLines/>
              <w:jc w:val="right"/>
              <w:rPr>
                <w:b/>
                <w:bCs/>
                <w:color w:val="000000"/>
                <w:sz w:val="20"/>
                <w:szCs w:val="20"/>
                <w:lang w:val="fr-FR"/>
              </w:rPr>
            </w:pPr>
            <w:r w:rsidRPr="00A557BB">
              <w:rPr>
                <w:b/>
                <w:bCs/>
                <w:color w:val="000000"/>
                <w:sz w:val="20"/>
                <w:szCs w:val="20"/>
                <w:lang w:val="fr-FR"/>
              </w:rPr>
              <w:t>12 692 684</w:t>
            </w:r>
          </w:p>
        </w:tc>
        <w:tc>
          <w:tcPr>
            <w:tcW w:w="1222"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01FA39C1" w14:textId="77777777" w:rsidR="000C38A4" w:rsidRPr="00A557BB" w:rsidRDefault="000C38A4" w:rsidP="00D11B6F">
            <w:pPr>
              <w:keepNext/>
              <w:keepLines/>
              <w:jc w:val="right"/>
              <w:rPr>
                <w:b/>
                <w:bCs/>
                <w:sz w:val="20"/>
                <w:szCs w:val="20"/>
                <w:lang w:val="fr-FR" w:eastAsia="en-CA"/>
              </w:rPr>
            </w:pPr>
            <w:r w:rsidRPr="00A557BB">
              <w:rPr>
                <w:b/>
                <w:bCs/>
                <w:sz w:val="20"/>
                <w:szCs w:val="20"/>
                <w:lang w:val="fr-FR"/>
              </w:rPr>
              <w:t>11 791 079</w:t>
            </w:r>
          </w:p>
        </w:tc>
        <w:tc>
          <w:tcPr>
            <w:tcW w:w="1223" w:type="pct"/>
            <w:tcBorders>
              <w:top w:val="nil"/>
              <w:left w:val="single" w:sz="4" w:space="0" w:color="auto"/>
              <w:bottom w:val="single" w:sz="4" w:space="0" w:color="auto"/>
              <w:right w:val="single" w:sz="4" w:space="0" w:color="auto"/>
            </w:tcBorders>
            <w:tcMar>
              <w:left w:w="115" w:type="dxa"/>
              <w:right w:w="288" w:type="dxa"/>
            </w:tcMar>
          </w:tcPr>
          <w:p w14:paraId="77864AEC" w14:textId="77777777" w:rsidR="000C38A4" w:rsidRPr="00A557BB" w:rsidRDefault="000C38A4" w:rsidP="00D11B6F">
            <w:pPr>
              <w:keepNext/>
              <w:keepLines/>
              <w:jc w:val="right"/>
              <w:rPr>
                <w:b/>
                <w:bCs/>
                <w:sz w:val="20"/>
                <w:szCs w:val="20"/>
                <w:lang w:val="fr-FR"/>
              </w:rPr>
            </w:pPr>
            <w:r w:rsidRPr="00A557BB">
              <w:rPr>
                <w:b/>
                <w:bCs/>
                <w:sz w:val="20"/>
                <w:szCs w:val="20"/>
                <w:lang w:val="fr-FR"/>
              </w:rPr>
              <w:t>93</w:t>
            </w:r>
          </w:p>
        </w:tc>
      </w:tr>
    </w:tbl>
    <w:p w14:paraId="58EE2D8A" w14:textId="77777777" w:rsidR="000C38A4" w:rsidRPr="00A557BB" w:rsidRDefault="000C38A4" w:rsidP="00D11B6F">
      <w:pPr>
        <w:keepNext/>
        <w:keepLines/>
        <w:rPr>
          <w:sz w:val="16"/>
          <w:szCs w:val="16"/>
          <w:lang w:val="fr-FR"/>
        </w:rPr>
      </w:pPr>
      <w:r w:rsidRPr="00A557BB">
        <w:rPr>
          <w:sz w:val="16"/>
          <w:szCs w:val="16"/>
          <w:lang w:val="fr-FR"/>
        </w:rPr>
        <w:t>* Comprenant un montant de 3 134 216 $US restitué à la 76</w:t>
      </w:r>
      <w:r w:rsidRPr="00A557BB">
        <w:rPr>
          <w:sz w:val="16"/>
          <w:szCs w:val="16"/>
          <w:vertAlign w:val="superscript"/>
          <w:lang w:val="fr-FR"/>
        </w:rPr>
        <w:t>e</w:t>
      </w:r>
      <w:r w:rsidRPr="00A557BB">
        <w:rPr>
          <w:sz w:val="16"/>
          <w:szCs w:val="16"/>
          <w:lang w:val="fr-FR"/>
        </w:rPr>
        <w:t xml:space="preserve"> réunion.</w:t>
      </w:r>
    </w:p>
    <w:p w14:paraId="4455E8C4" w14:textId="016A3C0B" w:rsidR="000C38A4" w:rsidRPr="00A557BB" w:rsidRDefault="000C38A4" w:rsidP="00D11B6F">
      <w:pPr>
        <w:keepNext/>
        <w:keepLines/>
        <w:rPr>
          <w:sz w:val="16"/>
          <w:szCs w:val="16"/>
          <w:lang w:val="fr-FR"/>
        </w:rPr>
      </w:pPr>
      <w:r w:rsidRPr="00A557BB">
        <w:rPr>
          <w:sz w:val="16"/>
          <w:szCs w:val="16"/>
          <w:lang w:val="fr-FR"/>
        </w:rPr>
        <w:t>** Dont 349 900 $US décaissés en faveur d'Aneka Cool et à huit entreprises du sous-secteur de l’assemblage de la réfrigération commerciale qui seraient renvoyés à la 85</w:t>
      </w:r>
      <w:r w:rsidRPr="00A557BB">
        <w:rPr>
          <w:sz w:val="16"/>
          <w:szCs w:val="16"/>
          <w:vertAlign w:val="superscript"/>
          <w:lang w:val="fr-FR"/>
        </w:rPr>
        <w:t>e</w:t>
      </w:r>
      <w:r w:rsidR="00A95893" w:rsidRPr="00A557BB">
        <w:rPr>
          <w:sz w:val="16"/>
          <w:szCs w:val="16"/>
          <w:vertAlign w:val="superscript"/>
          <w:lang w:val="fr-FR"/>
        </w:rPr>
        <w:t xml:space="preserve"> </w:t>
      </w:r>
      <w:r w:rsidRPr="00A557BB">
        <w:rPr>
          <w:sz w:val="16"/>
          <w:szCs w:val="16"/>
          <w:lang w:val="fr-FR"/>
        </w:rPr>
        <w:t>réunion.</w:t>
      </w:r>
    </w:p>
    <w:p w14:paraId="2ECF74AE" w14:textId="427AF087" w:rsidR="000C38A4" w:rsidRPr="00A557BB" w:rsidRDefault="000C38A4" w:rsidP="00D11B6F">
      <w:pPr>
        <w:keepNext/>
        <w:keepLines/>
        <w:rPr>
          <w:sz w:val="16"/>
          <w:szCs w:val="16"/>
          <w:lang w:val="fr-FR"/>
        </w:rPr>
      </w:pPr>
      <w:r w:rsidRPr="00A557BB">
        <w:rPr>
          <w:sz w:val="16"/>
          <w:szCs w:val="16"/>
          <w:lang w:val="fr-FR"/>
        </w:rPr>
        <w:t>*** Y compris 35 000 $US retournés à la 81</w:t>
      </w:r>
      <w:r w:rsidRPr="00A557BB">
        <w:rPr>
          <w:sz w:val="16"/>
          <w:szCs w:val="16"/>
          <w:vertAlign w:val="superscript"/>
          <w:lang w:val="fr-FR"/>
        </w:rPr>
        <w:t>e</w:t>
      </w:r>
      <w:r w:rsidR="00A95893" w:rsidRPr="00A557BB">
        <w:rPr>
          <w:sz w:val="16"/>
          <w:szCs w:val="16"/>
          <w:vertAlign w:val="superscript"/>
          <w:lang w:val="fr-FR"/>
        </w:rPr>
        <w:t xml:space="preserve"> </w:t>
      </w:r>
      <w:r w:rsidRPr="00A557BB">
        <w:rPr>
          <w:sz w:val="16"/>
          <w:szCs w:val="16"/>
          <w:lang w:val="fr-FR"/>
        </w:rPr>
        <w:t>réunion et 301 539 $US retournés à la 83</w:t>
      </w:r>
      <w:r w:rsidRPr="00A557BB">
        <w:rPr>
          <w:sz w:val="16"/>
          <w:szCs w:val="16"/>
          <w:vertAlign w:val="superscript"/>
          <w:lang w:val="fr-FR"/>
        </w:rPr>
        <w:t>e</w:t>
      </w:r>
      <w:r w:rsidRPr="00A557BB">
        <w:rPr>
          <w:sz w:val="16"/>
          <w:szCs w:val="16"/>
          <w:lang w:val="fr-FR"/>
        </w:rPr>
        <w:t xml:space="preserve"> réunion.</w:t>
      </w:r>
    </w:p>
    <w:p w14:paraId="67BC0A01" w14:textId="77777777" w:rsidR="000C38A4" w:rsidRPr="00A557BB" w:rsidRDefault="000C38A4" w:rsidP="000C38A4">
      <w:pPr>
        <w:rPr>
          <w:i/>
          <w:lang w:val="fr-FR"/>
        </w:rPr>
      </w:pPr>
    </w:p>
    <w:p w14:paraId="33D8BD8D" w14:textId="77777777" w:rsidR="000C38A4" w:rsidRPr="00A557BB" w:rsidRDefault="000C38A4" w:rsidP="000C38A4">
      <w:pPr>
        <w:rPr>
          <w:i/>
          <w:lang w:val="fr-FR"/>
        </w:rPr>
      </w:pPr>
      <w:r w:rsidRPr="00A557BB">
        <w:rPr>
          <w:i/>
          <w:lang w:val="fr-FR"/>
        </w:rPr>
        <w:t xml:space="preserve">Prolongation de la phase I </w:t>
      </w:r>
    </w:p>
    <w:p w14:paraId="1CECA75C" w14:textId="77777777" w:rsidR="000C38A4" w:rsidRPr="00A557BB" w:rsidRDefault="000C38A4" w:rsidP="000C38A4">
      <w:pPr>
        <w:rPr>
          <w:lang w:val="fr-FR"/>
        </w:rPr>
      </w:pPr>
    </w:p>
    <w:p w14:paraId="3DDD45CB" w14:textId="77777777" w:rsidR="000C38A4" w:rsidRPr="00A557BB" w:rsidRDefault="000C38A4" w:rsidP="000C38A4">
      <w:pPr>
        <w:numPr>
          <w:ilvl w:val="0"/>
          <w:numId w:val="1"/>
        </w:numPr>
        <w:spacing w:after="240"/>
        <w:outlineLvl w:val="0"/>
        <w:rPr>
          <w:lang w:val="fr-FR"/>
        </w:rPr>
      </w:pPr>
      <w:r w:rsidRPr="00A557BB">
        <w:rPr>
          <w:lang w:val="fr-FR"/>
        </w:rPr>
        <w:t>Conformément à la décision 82/30 g) i), et afin de permettre aux entreprises restantes qui avaient décidé de rester dans le projet de fabriquer des équipements à faible PRP, le Gouvernement indonésien a proposé de prolonger la mise en œuvre I du PGEH jusqu'au 31 décembre 2020.</w:t>
      </w:r>
    </w:p>
    <w:p w14:paraId="6CCB60A0" w14:textId="77777777" w:rsidR="000C38A4" w:rsidRPr="00A557BB" w:rsidRDefault="000C38A4" w:rsidP="000C38A4">
      <w:pPr>
        <w:rPr>
          <w:b/>
          <w:lang w:val="fr-FR"/>
        </w:rPr>
      </w:pPr>
      <w:r w:rsidRPr="00A557BB">
        <w:rPr>
          <w:b/>
          <w:lang w:val="fr-FR"/>
        </w:rPr>
        <w:t>Observations du Secrétariat</w:t>
      </w:r>
    </w:p>
    <w:p w14:paraId="5146B8D5" w14:textId="77777777" w:rsidR="000C38A4" w:rsidRPr="00A557BB" w:rsidRDefault="000C38A4" w:rsidP="000C38A4">
      <w:pPr>
        <w:rPr>
          <w:lang w:val="fr-FR"/>
        </w:rPr>
      </w:pPr>
    </w:p>
    <w:p w14:paraId="212DB400" w14:textId="6148AD38" w:rsidR="000C38A4" w:rsidRPr="00A557BB" w:rsidRDefault="000C38A4" w:rsidP="000C38A4">
      <w:pPr>
        <w:numPr>
          <w:ilvl w:val="0"/>
          <w:numId w:val="1"/>
        </w:numPr>
        <w:spacing w:after="240"/>
        <w:outlineLvl w:val="0"/>
        <w:rPr>
          <w:lang w:val="fr-FR"/>
        </w:rPr>
      </w:pPr>
      <w:r w:rsidRPr="00A557BB">
        <w:rPr>
          <w:lang w:val="fr-FR"/>
        </w:rPr>
        <w:t>Le Secrétariat prend note avec satisfaction des efforts déployés par le gouvernement, l'industrie et le PNUD pour relever les défis posés à la mise sur le marché d'équipements à faible PRP. Le Secrétariat considère que la proposition du PNUD est une bonne solution et qu'elle permet aux entreprises qui peuvent continuer à participer au projet de le faire. Le Secrétariat estime que le changement de t</w:t>
      </w:r>
      <w:r w:rsidR="00A95893" w:rsidRPr="00A557BB">
        <w:rPr>
          <w:lang w:val="fr-FR"/>
        </w:rPr>
        <w:t xml:space="preserve">echnologie de Rotaryana Prima, </w:t>
      </w:r>
      <w:r w:rsidRPr="00A557BB">
        <w:rPr>
          <w:lang w:val="fr-FR"/>
        </w:rPr>
        <w:t>du HFC-32 aux HC, sans coût supplémentaire pour le Fonds multilatéral, est conforme à la décision 83/22 (c).</w:t>
      </w:r>
      <w:r w:rsidRPr="00A557BB">
        <w:rPr>
          <w:vertAlign w:val="superscript"/>
          <w:lang w:val="fr-FR"/>
        </w:rPr>
        <w:footnoteReference w:id="35"/>
      </w:r>
      <w:r w:rsidRPr="00A557BB">
        <w:rPr>
          <w:lang w:val="fr-FR"/>
        </w:rPr>
        <w:t xml:space="preserve"> </w:t>
      </w:r>
    </w:p>
    <w:p w14:paraId="715F17B3" w14:textId="7A4E86BF" w:rsidR="000C38A4" w:rsidRPr="00A557BB" w:rsidRDefault="000C38A4" w:rsidP="000C38A4">
      <w:pPr>
        <w:numPr>
          <w:ilvl w:val="0"/>
          <w:numId w:val="1"/>
        </w:numPr>
        <w:spacing w:after="240"/>
        <w:outlineLvl w:val="0"/>
        <w:rPr>
          <w:lang w:val="fr-FR"/>
        </w:rPr>
      </w:pPr>
      <w:r w:rsidRPr="00A557BB">
        <w:rPr>
          <w:lang w:val="fr-FR"/>
        </w:rPr>
        <w:t>Sur cette base, le Secrétariat appuie la proposition de prolonger la phase I du PGEH jusqu'au 31 décembre 2020. Le Secrétariat a suggéré que le décaisseme</w:t>
      </w:r>
      <w:r w:rsidR="00B948C2">
        <w:rPr>
          <w:lang w:val="fr-FR"/>
        </w:rPr>
        <w:t xml:space="preserve">nt des surcoûts d'exploitation </w:t>
      </w:r>
      <w:r w:rsidRPr="00A557BB">
        <w:rPr>
          <w:lang w:val="fr-FR"/>
        </w:rPr>
        <w:t xml:space="preserve">pourrait être basé sur les ventes effectives d'équipement à faible PRP ou l'achat de compresseurs à faible PRP en 2021, pour autant que le décaissement associé ait lieu au plus tard le 31 décembre 2021. </w:t>
      </w:r>
    </w:p>
    <w:p w14:paraId="681D149A" w14:textId="3AA1FFE1" w:rsidR="000C38A4" w:rsidRPr="00A557BB" w:rsidRDefault="000C38A4" w:rsidP="000C38A4">
      <w:pPr>
        <w:numPr>
          <w:ilvl w:val="0"/>
          <w:numId w:val="1"/>
        </w:numPr>
        <w:spacing w:after="240"/>
        <w:outlineLvl w:val="0"/>
        <w:rPr>
          <w:lang w:val="fr-FR"/>
        </w:rPr>
      </w:pPr>
      <w:r w:rsidRPr="00A557BB">
        <w:rPr>
          <w:lang w:val="fr-FR"/>
        </w:rPr>
        <w:t xml:space="preserve">Malgré tous les efforts déployés par le Gouvernement et le PNUD, les entreprises qui fabriqueront à la fois des équipements à base de HFC-32 sous leur marque et des équipements à </w:t>
      </w:r>
      <w:r w:rsidR="002F5396" w:rsidRPr="00A557BB">
        <w:rPr>
          <w:lang w:val="fr-FR"/>
        </w:rPr>
        <w:t>fort PRP</w:t>
      </w:r>
      <w:r w:rsidRPr="00A557BB">
        <w:rPr>
          <w:lang w:val="fr-FR"/>
        </w:rPr>
        <w:t>, à partir de commandes émanant de constructeurs OEM, seront probablement confrontées à des défis particuliers lors de</w:t>
      </w:r>
      <w:r w:rsidR="00A95893" w:rsidRPr="00A557BB">
        <w:rPr>
          <w:lang w:val="fr-FR"/>
        </w:rPr>
        <w:t xml:space="preserve"> la fabrication (et de la mise </w:t>
      </w:r>
      <w:r w:rsidRPr="00A557BB">
        <w:rPr>
          <w:lang w:val="fr-FR"/>
        </w:rPr>
        <w:t xml:space="preserve">sur le marché) de leurs équipements à base de HFC-32. Afin de suivre les progrès réalisés dans la mise sur le marché d’équipements à faible PRP, il a été convenu que le PNUD fournirait des données agrégées sur les ventes d’équipements à base de HFC-32, à HC et à fort PRP fabriqués par les entreprises dans le cadre des rapports d'activité annuels. </w:t>
      </w:r>
    </w:p>
    <w:p w14:paraId="3EAC4B69" w14:textId="45A0BF1D" w:rsidR="000C38A4" w:rsidRPr="00A557BB" w:rsidRDefault="000C38A4" w:rsidP="000C38A4">
      <w:pPr>
        <w:numPr>
          <w:ilvl w:val="0"/>
          <w:numId w:val="1"/>
        </w:numPr>
        <w:spacing w:after="240"/>
        <w:outlineLvl w:val="0"/>
        <w:rPr>
          <w:lang w:val="fr-FR"/>
        </w:rPr>
      </w:pPr>
      <w:r w:rsidRPr="00A557BB">
        <w:rPr>
          <w:lang w:val="fr-FR"/>
        </w:rPr>
        <w:t xml:space="preserve">Étant donné que les activités liées aux secteurs de la mousse et de l'entretien ont désormais été menées à terme, le Secrétariat a </w:t>
      </w:r>
      <w:r w:rsidR="00A95893" w:rsidRPr="00A557BB">
        <w:rPr>
          <w:lang w:val="fr-FR"/>
        </w:rPr>
        <w:t>proposé</w:t>
      </w:r>
      <w:r w:rsidRPr="00A557BB">
        <w:rPr>
          <w:lang w:val="fr-FR"/>
        </w:rPr>
        <w:t xml:space="preserve"> que les futurs rapports annuels sur l'état d'avancement de la mise en œuvre de la phase I du PGEH, qui seraient soumis au terme du projet, n'incluent que le rapport du PNUD sur les progrès dans la mise en œuvre du secteur manufacturier de la réfrigération et de la climatisation, y compris le décaissement des surcoûts d'exploitation en faveur des entreprises bénéficiaires, et les activités qui seront entreprises par l'UGP.</w:t>
      </w:r>
    </w:p>
    <w:p w14:paraId="72D5D176" w14:textId="77777777" w:rsidR="000C38A4" w:rsidRPr="00A557BB" w:rsidRDefault="000C38A4" w:rsidP="000C38A4">
      <w:pPr>
        <w:numPr>
          <w:ilvl w:val="0"/>
          <w:numId w:val="1"/>
        </w:numPr>
        <w:spacing w:after="240"/>
        <w:outlineLvl w:val="0"/>
        <w:rPr>
          <w:lang w:val="fr-FR"/>
        </w:rPr>
      </w:pPr>
      <w:r w:rsidRPr="00A557BB">
        <w:rPr>
          <w:lang w:val="fr-FR"/>
        </w:rPr>
        <w:t>La décision 82/30 (g) (ii) note que le Comité exécutif pourrait examiner la demande de prolongation de la phase I du PGEH lors de la dernière réunion de 2019 et que, si cela devait être accepté, des ajustements seraient apportés à la phase de démarrage. comme indiqué dans le document paru sous la cote UNEP/OzL.Pro/ExCom/82/20, il convient d'indiquer des réductions globales durables de la consommation de HFC dans le pays. À ce propos, le Secrétariat a noté :</w:t>
      </w:r>
    </w:p>
    <w:p w14:paraId="0FD17F4D" w14:textId="77777777" w:rsidR="000C38A4" w:rsidRPr="00A557BB" w:rsidRDefault="000C38A4" w:rsidP="00F51DC8">
      <w:pPr>
        <w:pStyle w:val="Heading2"/>
        <w:numPr>
          <w:ilvl w:val="1"/>
          <w:numId w:val="1"/>
        </w:numPr>
        <w:rPr>
          <w:lang w:val="fr-FR"/>
        </w:rPr>
      </w:pPr>
      <w:r w:rsidRPr="00A557BB">
        <w:rPr>
          <w:lang w:val="fr-FR"/>
        </w:rPr>
        <w:lastRenderedPageBreak/>
        <w:t xml:space="preserve">Pour les entreprises manufacturières du secteur de la réfrigération et de la climatisation qui ont restitué les fonds associés à leur reconversion, leur consommation associée de HFC serait éligible à un financement au titre de l'élimination des HFC, conformément au paragraphe 18 d) de la décision XXVIII/2 ; </w:t>
      </w:r>
    </w:p>
    <w:p w14:paraId="730D61F2" w14:textId="77777777" w:rsidR="000C38A4" w:rsidRPr="00A557BB" w:rsidRDefault="000C38A4" w:rsidP="000C38A4">
      <w:pPr>
        <w:widowControl w:val="0"/>
        <w:numPr>
          <w:ilvl w:val="1"/>
          <w:numId w:val="1"/>
        </w:numPr>
        <w:spacing w:after="240"/>
        <w:outlineLvl w:val="1"/>
        <w:rPr>
          <w:lang w:val="fr-FR"/>
        </w:rPr>
      </w:pPr>
      <w:r w:rsidRPr="00A557BB">
        <w:rPr>
          <w:lang w:val="fr-FR"/>
        </w:rPr>
        <w:t>Pour les entreprises de fabrication de systèmes de climatisation reconverties au HFC-32, leur consommation associée de HFC-32 serait éligible à un financement au titre de l'élimination des HFC, conformément au paragraphe 18 c) de la décision XXVIII/2 ;</w:t>
      </w:r>
    </w:p>
    <w:p w14:paraId="63736ADC" w14:textId="56DCD719" w:rsidR="000C38A4" w:rsidRPr="00A557BB" w:rsidRDefault="000C38A4" w:rsidP="000C38A4">
      <w:pPr>
        <w:widowControl w:val="0"/>
        <w:numPr>
          <w:ilvl w:val="1"/>
          <w:numId w:val="1"/>
        </w:numPr>
        <w:spacing w:after="240"/>
        <w:outlineLvl w:val="1"/>
        <w:rPr>
          <w:lang w:val="fr-FR"/>
        </w:rPr>
      </w:pPr>
      <w:r w:rsidRPr="00A557BB">
        <w:rPr>
          <w:lang w:val="fr-FR"/>
        </w:rPr>
        <w:t xml:space="preserve">Certaines entreprises de fabrication de systèmes de climatisation qui se sont reconverties au HFC-32 fabriqueraient à la fois du matériel à base de HFC-32, sous la marque de leur entreprise, et du matériel à </w:t>
      </w:r>
      <w:r w:rsidR="002F5396" w:rsidRPr="00A557BB">
        <w:rPr>
          <w:lang w:val="fr-FR"/>
        </w:rPr>
        <w:t>fort PRP</w:t>
      </w:r>
      <w:r w:rsidRPr="00A557BB">
        <w:rPr>
          <w:lang w:val="fr-FR"/>
        </w:rPr>
        <w:t>, à partir des commandes d’OEM, sur leur seule ligne de production. Les surcoûts d'exploitation associés à la fabrication pour OEM seraient retournés au Fonds multilatéral. Le Secrétariat ne voit pas clairement comment établir l’</w:t>
      </w:r>
      <w:r w:rsidR="0091191B" w:rsidRPr="00A557BB">
        <w:rPr>
          <w:lang w:val="fr-FR"/>
        </w:rPr>
        <w:t>admissibilité</w:t>
      </w:r>
      <w:r w:rsidRPr="00A557BB">
        <w:rPr>
          <w:lang w:val="fr-FR"/>
        </w:rPr>
        <w:t xml:space="preserve"> de la consommation, et donc l’inclusion da</w:t>
      </w:r>
      <w:r w:rsidR="00A95893" w:rsidRPr="00A557BB">
        <w:rPr>
          <w:lang w:val="fr-FR"/>
        </w:rPr>
        <w:t xml:space="preserve">ns le point de départ des HFC, </w:t>
      </w:r>
      <w:r w:rsidRPr="00A557BB">
        <w:rPr>
          <w:lang w:val="fr-FR"/>
        </w:rPr>
        <w:t>des HFC à fort PRP associés à l'activité que ces entreprises, ayant reçu un financement au titre du projet, déploient pour OEM.</w:t>
      </w:r>
    </w:p>
    <w:p w14:paraId="5DD77421" w14:textId="77777777" w:rsidR="000C38A4" w:rsidRPr="00A557BB" w:rsidRDefault="000C38A4" w:rsidP="000C38A4">
      <w:pPr>
        <w:numPr>
          <w:ilvl w:val="0"/>
          <w:numId w:val="1"/>
        </w:numPr>
        <w:spacing w:after="240"/>
        <w:outlineLvl w:val="0"/>
        <w:rPr>
          <w:lang w:val="fr-FR"/>
        </w:rPr>
      </w:pPr>
      <w:r w:rsidRPr="00A557BB">
        <w:rPr>
          <w:lang w:val="fr-FR"/>
        </w:rPr>
        <w:t xml:space="preserve">À cet égard, le Gouvernement indonésien estime qu’aucune réduction de la consommation de HFC éligible au financement ne devrait s’appliquer car ces entreprises n’ont aucune influence sur les décisions et les stratégies de marché des équipementiers, qui sont des sociétés multinationales non visées à l’article 5. De plus, les contrats d'OEM avec les fabricants locaux ne stipulent pas que l'équipement doit être fabriqué chaque année, mais varient en fonction de la demande des équipementiers; en réduisant la consommation </w:t>
      </w:r>
      <w:r w:rsidRPr="00A557BB">
        <w:rPr>
          <w:i/>
          <w:lang w:val="fr-FR"/>
        </w:rPr>
        <w:t>a priori</w:t>
      </w:r>
      <w:r w:rsidRPr="00A557BB">
        <w:rPr>
          <w:lang w:val="fr-FR"/>
        </w:rPr>
        <w:t xml:space="preserve">, on ne tiendrait pas compte de la dynamique du marché. En outre, aucune méthode n’ayant encore été définie pour établir le point de départ des HFC, il n’était pas juste d’imposer de telles réductions pour des raisons indépendantes de la volonté du gouvernement et des fabricants. </w:t>
      </w:r>
    </w:p>
    <w:p w14:paraId="2D8EF9A5" w14:textId="77777777" w:rsidR="000C38A4" w:rsidRPr="00A557BB" w:rsidRDefault="000C38A4" w:rsidP="000C38A4">
      <w:pPr>
        <w:rPr>
          <w:b/>
          <w:lang w:val="fr-FR"/>
        </w:rPr>
      </w:pPr>
      <w:r w:rsidRPr="00A557BB">
        <w:rPr>
          <w:b/>
          <w:lang w:val="fr-FR"/>
        </w:rPr>
        <w:t>Recommandation</w:t>
      </w:r>
    </w:p>
    <w:p w14:paraId="610BF8BE" w14:textId="77777777" w:rsidR="000C38A4" w:rsidRPr="00A557BB" w:rsidRDefault="000C38A4" w:rsidP="000C38A4">
      <w:pPr>
        <w:rPr>
          <w:lang w:val="fr-FR"/>
        </w:rPr>
      </w:pPr>
    </w:p>
    <w:p w14:paraId="23528E02" w14:textId="77777777" w:rsidR="000C38A4" w:rsidRPr="00A557BB" w:rsidRDefault="000C38A4" w:rsidP="000C38A4">
      <w:pPr>
        <w:numPr>
          <w:ilvl w:val="0"/>
          <w:numId w:val="1"/>
        </w:numPr>
        <w:spacing w:after="240"/>
        <w:outlineLvl w:val="0"/>
        <w:rPr>
          <w:lang w:val="fr-FR"/>
        </w:rPr>
      </w:pPr>
      <w:r w:rsidRPr="00A557BB">
        <w:rPr>
          <w:lang w:val="fr-FR"/>
        </w:rPr>
        <w:t>Le Comité exécutif pourrait souhaiter :</w:t>
      </w:r>
    </w:p>
    <w:p w14:paraId="311E954E" w14:textId="77777777" w:rsidR="000C38A4" w:rsidRPr="00A557BB" w:rsidRDefault="000C38A4" w:rsidP="000C38A4">
      <w:pPr>
        <w:widowControl w:val="0"/>
        <w:numPr>
          <w:ilvl w:val="1"/>
          <w:numId w:val="1"/>
        </w:numPr>
        <w:spacing w:after="240"/>
        <w:outlineLvl w:val="1"/>
        <w:rPr>
          <w:lang w:val="fr-FR"/>
        </w:rPr>
      </w:pPr>
      <w:r w:rsidRPr="00A557BB">
        <w:rPr>
          <w:lang w:val="fr-FR"/>
        </w:rPr>
        <w:t>prendre note de la mise à jour sur la reconversion des entreprises sur le plan technologique et du rapport sur l'état d'avancement de la mise en œuvre de la phase I du plan de gestion de l'élimination des HCFC (PGEH) pour l'Indonésie, présentés par le PNUD, l'ONUDI, la Banque mondiale et le Gouvernement australien, contenus dans le document paru sous la cote UNEP/OzL.Pro/ExCom/84/22 ;</w:t>
      </w:r>
    </w:p>
    <w:p w14:paraId="7D529C1C" w14:textId="77777777" w:rsidR="000C38A4" w:rsidRPr="00A557BB" w:rsidRDefault="000C38A4" w:rsidP="000C38A4">
      <w:pPr>
        <w:widowControl w:val="0"/>
        <w:numPr>
          <w:ilvl w:val="1"/>
          <w:numId w:val="1"/>
        </w:numPr>
        <w:spacing w:after="240"/>
        <w:outlineLvl w:val="1"/>
        <w:rPr>
          <w:lang w:val="fr-FR"/>
        </w:rPr>
      </w:pPr>
      <w:r w:rsidRPr="00A557BB">
        <w:rPr>
          <w:lang w:val="fr-FR"/>
        </w:rPr>
        <w:t>noter que les entreprises suivantes ont décidé de se retirer de la phase I du PGEH pour l'Indonésie et que les fonds associés aux entreprises seront restitués à la 85</w:t>
      </w:r>
      <w:r w:rsidRPr="00A557BB">
        <w:rPr>
          <w:vertAlign w:val="superscript"/>
          <w:lang w:val="fr-FR"/>
        </w:rPr>
        <w:t>e</w:t>
      </w:r>
      <w:r w:rsidRPr="00A557BB">
        <w:rPr>
          <w:lang w:val="fr-FR"/>
        </w:rPr>
        <w:t xml:space="preserve"> réunion :</w:t>
      </w:r>
    </w:p>
    <w:p w14:paraId="653BE903" w14:textId="77777777" w:rsidR="000C38A4" w:rsidRPr="00A557BB" w:rsidRDefault="000C38A4" w:rsidP="006B0A38">
      <w:pPr>
        <w:keepNext/>
        <w:numPr>
          <w:ilvl w:val="2"/>
          <w:numId w:val="1"/>
        </w:numPr>
        <w:spacing w:after="240"/>
        <w:outlineLvl w:val="2"/>
        <w:rPr>
          <w:lang w:val="fr-FR"/>
        </w:rPr>
      </w:pPr>
      <w:r w:rsidRPr="00A557BB">
        <w:rPr>
          <w:lang w:val="fr-FR"/>
        </w:rPr>
        <w:t xml:space="preserve">dans le secteur de la réfrigération commerciale, Mentari Metal Pratama, Polysari Citratama et Inti Tunggal, avec un retour de 375 930 $US, auxquels s'ajoutent des coûts d'appui d'agence de 28 195 $US pour le PNUD ; </w:t>
      </w:r>
    </w:p>
    <w:p w14:paraId="46670842" w14:textId="77777777" w:rsidR="000C38A4" w:rsidRPr="00A557BB" w:rsidRDefault="000C38A4" w:rsidP="000C38A4">
      <w:pPr>
        <w:widowControl w:val="0"/>
        <w:numPr>
          <w:ilvl w:val="2"/>
          <w:numId w:val="1"/>
        </w:numPr>
        <w:spacing w:after="240"/>
        <w:outlineLvl w:val="2"/>
        <w:rPr>
          <w:lang w:val="fr-FR"/>
        </w:rPr>
      </w:pPr>
      <w:r w:rsidRPr="00A557BB">
        <w:rPr>
          <w:lang w:val="fr-FR"/>
        </w:rPr>
        <w:t xml:space="preserve">dans le sous-secteur de l’assemblage de la réfrigération commerciale, Sabindo Refrigeration, Global Technic, AVIS Alpin Servis Tr, Aneka Froze Triutama, Graha Cool Technic, United Refrigeration, Gaya Technic Supply et Ilthabi Mandiri Tech, avec un retour de 388 912 $US, plus les coûts d'appui d'agences à hauteur de 29 168 $US pour le PNUD ; </w:t>
      </w:r>
    </w:p>
    <w:p w14:paraId="79B4A297" w14:textId="599B6CE7" w:rsidR="000C38A4" w:rsidRPr="00A557BB" w:rsidRDefault="000C38A4" w:rsidP="000C38A4">
      <w:pPr>
        <w:widowControl w:val="0"/>
        <w:numPr>
          <w:ilvl w:val="1"/>
          <w:numId w:val="1"/>
        </w:numPr>
        <w:spacing w:after="240"/>
        <w:outlineLvl w:val="1"/>
        <w:rPr>
          <w:lang w:val="fr-FR"/>
        </w:rPr>
      </w:pPr>
      <w:r w:rsidRPr="00A557BB">
        <w:rPr>
          <w:lang w:val="fr-FR"/>
        </w:rPr>
        <w:t>noter que l'entreprise Aneka Cool a décidé d'externaliser sa fabrication de mousse de polyuréthane (PU) et que, par conséquent, 60 500 $US associés à l'entreprise seront retournés à la 85</w:t>
      </w:r>
      <w:r w:rsidRPr="00A557BB">
        <w:rPr>
          <w:vertAlign w:val="superscript"/>
          <w:lang w:val="fr-FR"/>
        </w:rPr>
        <w:t>e</w:t>
      </w:r>
      <w:r w:rsidR="00BE0480" w:rsidRPr="00A557BB">
        <w:rPr>
          <w:lang w:val="fr-FR"/>
        </w:rPr>
        <w:t xml:space="preserve"> réunion ;</w:t>
      </w:r>
    </w:p>
    <w:p w14:paraId="21CE7A29" w14:textId="7FBF1C36" w:rsidR="000C38A4" w:rsidRPr="00A557BB" w:rsidRDefault="000C38A4" w:rsidP="000C38A4">
      <w:pPr>
        <w:widowControl w:val="0"/>
        <w:numPr>
          <w:ilvl w:val="1"/>
          <w:numId w:val="1"/>
        </w:numPr>
        <w:spacing w:after="240"/>
        <w:outlineLvl w:val="1"/>
        <w:rPr>
          <w:lang w:val="fr-FR"/>
        </w:rPr>
      </w:pPr>
      <w:r w:rsidRPr="00A557BB">
        <w:rPr>
          <w:lang w:val="fr-FR"/>
        </w:rPr>
        <w:lastRenderedPageBreak/>
        <w:t>noter que Gita Mandrin Teknik, Fata Sarana Makmur et Sumo Elco Mandiri ont décidé de convertir leurs chaînes de production à la technologie HFC-32 et fabriqueront des équipements à base de HFC</w:t>
      </w:r>
      <w:r w:rsidR="00614272" w:rsidRPr="00A557BB">
        <w:rPr>
          <w:lang w:val="fr-FR"/>
        </w:rPr>
        <w:t>-</w:t>
      </w:r>
      <w:r w:rsidRPr="00A557BB">
        <w:rPr>
          <w:lang w:val="fr-FR"/>
        </w:rPr>
        <w:t xml:space="preserve">32 </w:t>
      </w:r>
      <w:r w:rsidRPr="00A557BB">
        <w:rPr>
          <w:lang w:val="fr-FR"/>
        </w:rPr>
        <w:noBreakHyphen/>
        <w:t xml:space="preserve">sous les marques de leurs entreprises et des équipements à </w:t>
      </w:r>
      <w:r w:rsidR="002F5396" w:rsidRPr="00A557BB">
        <w:rPr>
          <w:lang w:val="fr-FR"/>
        </w:rPr>
        <w:t>fort PRP</w:t>
      </w:r>
      <w:r w:rsidRPr="00A557BB">
        <w:rPr>
          <w:lang w:val="fr-FR"/>
        </w:rPr>
        <w:t xml:space="preserve"> sur commandes de l'équipementier d'origine, p</w:t>
      </w:r>
      <w:r w:rsidR="00BE0480" w:rsidRPr="00A557BB">
        <w:rPr>
          <w:lang w:val="fr-FR"/>
        </w:rPr>
        <w:t>our lesquelles un montant de 79 </w:t>
      </w:r>
      <w:r w:rsidRPr="00A557BB">
        <w:rPr>
          <w:lang w:val="fr-FR"/>
        </w:rPr>
        <w:t>738 $US, plus des coûts d'appui d'agence à hauteur de 5 980 $US pour le PNUD, ont été déduits des coûts du projet et seront restitués à la 85</w:t>
      </w:r>
      <w:r w:rsidRPr="00A557BB">
        <w:rPr>
          <w:vertAlign w:val="superscript"/>
          <w:lang w:val="fr-FR"/>
        </w:rPr>
        <w:t>e</w:t>
      </w:r>
      <w:r w:rsidRPr="00A557BB">
        <w:rPr>
          <w:lang w:val="fr-FR"/>
        </w:rPr>
        <w:t xml:space="preserve"> réunion; </w:t>
      </w:r>
    </w:p>
    <w:p w14:paraId="093141C0" w14:textId="77777777" w:rsidR="000C38A4" w:rsidRPr="00A557BB" w:rsidRDefault="000C38A4" w:rsidP="000C38A4">
      <w:pPr>
        <w:widowControl w:val="0"/>
        <w:numPr>
          <w:ilvl w:val="1"/>
          <w:numId w:val="1"/>
        </w:numPr>
        <w:spacing w:after="240"/>
        <w:outlineLvl w:val="1"/>
        <w:rPr>
          <w:lang w:val="fr-FR"/>
        </w:rPr>
      </w:pPr>
      <w:r w:rsidRPr="00A557BB">
        <w:rPr>
          <w:lang w:val="fr-FR"/>
        </w:rPr>
        <w:t>approuver le changement de technologie de Rotaryana Prima, fabricant de réfrigérateurs et de congélateurs, passant du HFC-32 aux hydrocarbures, sans frais supplémentaires pour le Fonds multilatéral;</w:t>
      </w:r>
    </w:p>
    <w:p w14:paraId="41B427D6" w14:textId="3150F57C" w:rsidR="000C38A4" w:rsidRPr="00A557BB" w:rsidRDefault="000C38A4" w:rsidP="000C38A4">
      <w:pPr>
        <w:widowControl w:val="0"/>
        <w:numPr>
          <w:ilvl w:val="1"/>
          <w:numId w:val="1"/>
        </w:numPr>
        <w:spacing w:after="240"/>
        <w:outlineLvl w:val="1"/>
        <w:rPr>
          <w:lang w:val="fr-FR"/>
        </w:rPr>
      </w:pPr>
      <w:r w:rsidRPr="00A557BB">
        <w:rPr>
          <w:lang w:val="fr-FR"/>
        </w:rPr>
        <w:t>accepter de repousser la date d'achèvement de la phase I du PGEH pour l'Indonésie jusqu'au 31 décembre 2020, étant entendu</w:t>
      </w:r>
      <w:r w:rsidR="00BE0480" w:rsidRPr="00A557BB">
        <w:rPr>
          <w:lang w:val="fr-FR"/>
        </w:rPr>
        <w:t> :</w:t>
      </w:r>
    </w:p>
    <w:p w14:paraId="3769025A" w14:textId="10A1DC97" w:rsidR="000C38A4" w:rsidRPr="00A557BB" w:rsidRDefault="00BE0480" w:rsidP="000C38A4">
      <w:pPr>
        <w:widowControl w:val="0"/>
        <w:numPr>
          <w:ilvl w:val="2"/>
          <w:numId w:val="1"/>
        </w:numPr>
        <w:spacing w:after="240"/>
        <w:outlineLvl w:val="2"/>
        <w:rPr>
          <w:lang w:val="fr-FR"/>
        </w:rPr>
      </w:pPr>
      <w:r w:rsidRPr="00A557BB">
        <w:rPr>
          <w:lang w:val="fr-FR"/>
        </w:rPr>
        <w:t xml:space="preserve">que </w:t>
      </w:r>
      <w:r w:rsidR="000C38A4" w:rsidRPr="00A557BB">
        <w:rPr>
          <w:lang w:val="fr-FR"/>
        </w:rPr>
        <w:t>tous les soldes restants du secteur des mousses de polyuréthane seront retournés à la 85</w:t>
      </w:r>
      <w:r w:rsidR="000C38A4" w:rsidRPr="00A557BB">
        <w:rPr>
          <w:vertAlign w:val="superscript"/>
          <w:lang w:val="fr-FR"/>
        </w:rPr>
        <w:t>e</w:t>
      </w:r>
      <w:r w:rsidR="000C38A4" w:rsidRPr="00A557BB">
        <w:rPr>
          <w:lang w:val="fr-FR"/>
        </w:rPr>
        <w:t xml:space="preserve"> ré</w:t>
      </w:r>
      <w:r w:rsidRPr="00A557BB">
        <w:rPr>
          <w:lang w:val="fr-FR"/>
        </w:rPr>
        <w:t xml:space="preserve">union et </w:t>
      </w:r>
    </w:p>
    <w:p w14:paraId="528C06B8" w14:textId="5FEC46CF" w:rsidR="000C38A4" w:rsidRPr="00A557BB" w:rsidRDefault="00BE0480" w:rsidP="000C38A4">
      <w:pPr>
        <w:widowControl w:val="0"/>
        <w:numPr>
          <w:ilvl w:val="2"/>
          <w:numId w:val="1"/>
        </w:numPr>
        <w:spacing w:after="240"/>
        <w:outlineLvl w:val="2"/>
        <w:rPr>
          <w:lang w:val="fr-FR"/>
        </w:rPr>
      </w:pPr>
      <w:r w:rsidRPr="00A557BB">
        <w:rPr>
          <w:lang w:val="fr-FR"/>
        </w:rPr>
        <w:t xml:space="preserve">que </w:t>
      </w:r>
      <w:r w:rsidR="000C38A4" w:rsidRPr="00A557BB">
        <w:rPr>
          <w:lang w:val="fr-FR"/>
        </w:rPr>
        <w:t>le Gouvernement indonésien et le PNUD continueraient de présenter chaque année, jusqu'à l’achèvement du projet, des rapports sur l’état d’avancement de la mise en œuvre de la phase I du PGEH, qui incluraient des informations agrégées sur les ventes d'équipements à faible et fort PRP fabriqués par les entreprises participant au projet et soumettraient le rapport d'achèvement du projet avant le 30 juin 2021 ;</w:t>
      </w:r>
    </w:p>
    <w:p w14:paraId="60EA9A62" w14:textId="77777777" w:rsidR="000C38A4" w:rsidRPr="00A557BB" w:rsidRDefault="000C38A4" w:rsidP="000C38A4">
      <w:pPr>
        <w:widowControl w:val="0"/>
        <w:numPr>
          <w:ilvl w:val="1"/>
          <w:numId w:val="1"/>
        </w:numPr>
        <w:spacing w:after="240"/>
        <w:outlineLvl w:val="1"/>
        <w:rPr>
          <w:lang w:val="fr-FR"/>
        </w:rPr>
      </w:pPr>
      <w:r w:rsidRPr="00A557BB">
        <w:rPr>
          <w:lang w:val="fr-FR"/>
        </w:rPr>
        <w:t>examiner l'impact potentiel sur le point de départ de réductions globales durables de la consommation de HFC pour le pays à la lumière des informations fournies aux paragraphes 239 et 240 du document paru sous la cote UNEP/OzL.Pro/ExCom/84/22.</w:t>
      </w:r>
    </w:p>
    <w:p w14:paraId="23317DC4" w14:textId="77777777" w:rsidR="000C38A4" w:rsidRPr="00A557BB" w:rsidRDefault="000C38A4" w:rsidP="000C38A4">
      <w:pPr>
        <w:rPr>
          <w:lang w:val="fr-FR"/>
        </w:rPr>
      </w:pPr>
    </w:p>
    <w:p w14:paraId="3CB28BB7" w14:textId="77777777" w:rsidR="005532AE" w:rsidRPr="00A557BB" w:rsidRDefault="005532AE" w:rsidP="005532AE">
      <w:pPr>
        <w:rPr>
          <w:lang w:val="fr-FR"/>
        </w:rPr>
      </w:pPr>
    </w:p>
    <w:p w14:paraId="28A6B835" w14:textId="77777777" w:rsidR="005532AE" w:rsidRPr="00A557BB" w:rsidRDefault="005532AE" w:rsidP="005532AE">
      <w:pPr>
        <w:rPr>
          <w:lang w:val="fr-FR"/>
        </w:rPr>
      </w:pPr>
    </w:p>
    <w:p w14:paraId="156AF661" w14:textId="77777777" w:rsidR="000C38A4" w:rsidRPr="00A557BB" w:rsidRDefault="000C38A4" w:rsidP="000C38A4">
      <w:pPr>
        <w:rPr>
          <w:lang w:val="fr-FR"/>
        </w:rPr>
      </w:pPr>
      <w:bookmarkStart w:id="2" w:name="_GoBack"/>
      <w:bookmarkEnd w:id="2"/>
    </w:p>
    <w:p w14:paraId="437A9685" w14:textId="77777777" w:rsidR="005D1532" w:rsidRPr="00A557BB" w:rsidRDefault="005D1532" w:rsidP="005532AE">
      <w:pPr>
        <w:jc w:val="center"/>
        <w:rPr>
          <w:highlight w:val="yellow"/>
          <w:lang w:val="fr-FR"/>
        </w:rPr>
      </w:pPr>
    </w:p>
    <w:sectPr w:rsidR="005D1532" w:rsidRPr="00A557BB"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96DE4" w14:textId="77777777" w:rsidR="00D11B6F" w:rsidRDefault="00D11B6F" w:rsidP="004A504B">
      <w:r>
        <w:separator/>
      </w:r>
    </w:p>
  </w:endnote>
  <w:endnote w:type="continuationSeparator" w:id="0">
    <w:p w14:paraId="5BDC7ABC" w14:textId="77777777" w:rsidR="00D11B6F" w:rsidRDefault="00D11B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A9707" w14:textId="243CDA88" w:rsidR="00D11B6F" w:rsidRPr="0033525D" w:rsidRDefault="00D11B6F">
    <w:pPr>
      <w:jc w:val="center"/>
    </w:pPr>
    <w:r>
      <w:fldChar w:fldCharType="begin"/>
    </w:r>
    <w:r>
      <w:instrText xml:space="preserve"> PAGE </w:instrText>
    </w:r>
    <w:r>
      <w:fldChar w:fldCharType="separate"/>
    </w:r>
    <w:r w:rsidR="00613E57">
      <w:rPr>
        <w:noProof/>
      </w:rPr>
      <w:t>58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62F49" w14:textId="5B0F1D8B" w:rsidR="00D11B6F" w:rsidRPr="0033525D" w:rsidRDefault="00D11B6F">
    <w:pPr>
      <w:jc w:val="center"/>
    </w:pPr>
    <w:r>
      <w:fldChar w:fldCharType="begin"/>
    </w:r>
    <w:r>
      <w:instrText xml:space="preserve"> PAGE </w:instrText>
    </w:r>
    <w:r>
      <w:fldChar w:fldCharType="separate"/>
    </w:r>
    <w:r w:rsidR="00613E57">
      <w:rPr>
        <w:noProof/>
      </w:rPr>
      <w:t>57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6BAFA" w14:textId="77777777" w:rsidR="00D11B6F" w:rsidRPr="005017D1" w:rsidRDefault="00D11B6F" w:rsidP="008C01DD">
    <w:pPr>
      <w:pBdr>
        <w:top w:val="single" w:sz="4" w:space="1" w:color="auto"/>
        <w:left w:val="single" w:sz="4" w:space="4" w:color="auto"/>
        <w:bottom w:val="single" w:sz="4" w:space="1" w:color="auto"/>
        <w:right w:val="single" w:sz="4" w:space="4" w:color="auto"/>
      </w:pBdr>
      <w:jc w:val="center"/>
      <w:rPr>
        <w:sz w:val="18"/>
        <w:szCs w:val="18"/>
        <w:lang w:val="fr-FR"/>
      </w:rPr>
    </w:pPr>
    <w:r w:rsidRPr="005017D1">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5C1FB0AE" w14:textId="77777777" w:rsidR="00D11B6F" w:rsidRPr="005017D1" w:rsidRDefault="00D11B6F">
    <w:pPr>
      <w:pStyle w:val="Footer"/>
      <w:rPr>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EF1AA" w14:textId="77777777" w:rsidR="00D11B6F" w:rsidRDefault="00D11B6F" w:rsidP="004A504B">
      <w:r>
        <w:separator/>
      </w:r>
    </w:p>
  </w:footnote>
  <w:footnote w:type="continuationSeparator" w:id="0">
    <w:p w14:paraId="77D54376" w14:textId="77777777" w:rsidR="00D11B6F" w:rsidRDefault="00D11B6F" w:rsidP="004A504B">
      <w:r>
        <w:continuationSeparator/>
      </w:r>
    </w:p>
  </w:footnote>
  <w:footnote w:id="1">
    <w:p w14:paraId="3156B9A8" w14:textId="77777777" w:rsidR="00D11B6F" w:rsidRPr="005017D1" w:rsidRDefault="00D11B6F">
      <w:pPr>
        <w:pStyle w:val="FootnoteText"/>
        <w:rPr>
          <w:lang w:val="en-CA"/>
        </w:rPr>
      </w:pPr>
      <w:r w:rsidRPr="00614272">
        <w:rPr>
          <w:rStyle w:val="FootnoteReference"/>
          <w:lang w:val="fr-FR"/>
        </w:rPr>
        <w:footnoteRef/>
      </w:r>
      <w:r w:rsidRPr="005017D1">
        <w:rPr>
          <w:lang w:val="en-CA"/>
        </w:rPr>
        <w:t xml:space="preserve"> UNEP/OzL.Pro/ExCom/84/22/Add.1.</w:t>
      </w:r>
    </w:p>
  </w:footnote>
  <w:footnote w:id="2">
    <w:p w14:paraId="671D368C" w14:textId="77777777" w:rsidR="00D11B6F" w:rsidRPr="005017D1" w:rsidRDefault="00D11B6F" w:rsidP="00AA5AEF">
      <w:pPr>
        <w:pStyle w:val="FootnoteText"/>
        <w:rPr>
          <w:lang w:val="en-CA"/>
        </w:rPr>
      </w:pPr>
      <w:r w:rsidRPr="00614272">
        <w:rPr>
          <w:rStyle w:val="FootnoteReference"/>
          <w:lang w:val="fr-FR"/>
        </w:rPr>
        <w:footnoteRef/>
      </w:r>
      <w:r w:rsidRPr="005017D1">
        <w:rPr>
          <w:lang w:val="en-CA"/>
        </w:rPr>
        <w:t xml:space="preserve"> UNEP/OzL.Pro/ExCom/84/22/Add.2.</w:t>
      </w:r>
    </w:p>
  </w:footnote>
  <w:footnote w:id="3">
    <w:p w14:paraId="66C294DD" w14:textId="77777777" w:rsidR="00D11B6F" w:rsidRPr="005017D1" w:rsidRDefault="00D11B6F" w:rsidP="0009027B">
      <w:pPr>
        <w:pStyle w:val="FootnoteText"/>
        <w:rPr>
          <w:lang w:val="fr-FR"/>
        </w:rPr>
      </w:pPr>
      <w:r w:rsidRPr="00614272">
        <w:rPr>
          <w:rStyle w:val="FootnoteReference"/>
          <w:lang w:val="fr-FR"/>
        </w:rPr>
        <w:footnoteRef/>
      </w:r>
      <w:r>
        <w:rPr>
          <w:lang w:val="fr-FR"/>
        </w:rPr>
        <w:t xml:space="preserve"> Par laquelle le Comité exécutif avait décidé de demander au PNUD « </w:t>
      </w:r>
      <w:r w:rsidRPr="005017D1">
        <w:rPr>
          <w:lang w:val="fr-FR"/>
        </w:rPr>
        <w:t>de remettre des rapports périodiques annuels sur les projets pilotes d’élimination définitive des SAO du Brésil et de la Colombie en tant que « projets comportant des exigences particulières pour la remise de rapports » jusqu’à l’achèvement des projets </w:t>
      </w:r>
      <w:r>
        <w:rPr>
          <w:lang w:val="fr-FR"/>
        </w:rPr>
        <w:t>».</w:t>
      </w:r>
    </w:p>
  </w:footnote>
  <w:footnote w:id="4">
    <w:p w14:paraId="51D5D3BA" w14:textId="77777777" w:rsidR="00D11B6F" w:rsidRPr="00614272" w:rsidRDefault="00D11B6F" w:rsidP="00E3143A">
      <w:pPr>
        <w:pStyle w:val="FootnoteText"/>
        <w:rPr>
          <w:lang w:val="fr-FR"/>
        </w:rPr>
      </w:pPr>
      <w:r w:rsidRPr="00614272">
        <w:rPr>
          <w:rStyle w:val="FootnoteReference"/>
          <w:lang w:val="fr-FR"/>
        </w:rPr>
        <w:footnoteRef/>
      </w:r>
      <w:r w:rsidRPr="00614272">
        <w:rPr>
          <w:lang w:val="fr-FR"/>
        </w:rPr>
        <w:t xml:space="preserve"> Companhia Ambiental, dans l'État de São Paulo, une institution </w:t>
      </w:r>
      <w:r>
        <w:rPr>
          <w:lang w:val="fr-FR"/>
        </w:rPr>
        <w:t>de protection de l’environnement</w:t>
      </w:r>
      <w:r w:rsidRPr="00614272">
        <w:rPr>
          <w:lang w:val="fr-FR"/>
        </w:rPr>
        <w:t xml:space="preserve"> chargée de surveiller et de délivrer des permis aux projets ayant lieu dans l'Etat, a envisagé des activités potentiellement polluantes ; c'est l'UNO du Brésil.</w:t>
      </w:r>
    </w:p>
  </w:footnote>
  <w:footnote w:id="5">
    <w:p w14:paraId="13286090" w14:textId="77777777" w:rsidR="00D11B6F" w:rsidRPr="00614272" w:rsidRDefault="00D11B6F" w:rsidP="00205D0C">
      <w:pPr>
        <w:pStyle w:val="FootnoteText"/>
        <w:rPr>
          <w:lang w:val="fr-FR"/>
        </w:rPr>
      </w:pPr>
      <w:r w:rsidRPr="00614272">
        <w:rPr>
          <w:rStyle w:val="FootnoteReference"/>
          <w:lang w:val="fr-FR"/>
        </w:rPr>
        <w:footnoteRef/>
      </w:r>
      <w:r w:rsidRPr="00614272">
        <w:rPr>
          <w:lang w:val="fr-FR"/>
        </w:rPr>
        <w:t xml:space="preserve"> UNEP/OzL.Pro/ExCom/77/39</w:t>
      </w:r>
    </w:p>
  </w:footnote>
  <w:footnote w:id="6">
    <w:p w14:paraId="0F0D2D90" w14:textId="77777777" w:rsidR="00D11B6F" w:rsidRPr="005017D1" w:rsidRDefault="00D11B6F" w:rsidP="0009027B">
      <w:pPr>
        <w:pStyle w:val="FootnoteText"/>
        <w:rPr>
          <w:lang w:val="fr-FR"/>
        </w:rPr>
      </w:pPr>
      <w:r w:rsidRPr="00614272">
        <w:rPr>
          <w:rStyle w:val="FootnoteReference"/>
          <w:lang w:val="fr-FR"/>
        </w:rPr>
        <w:footnoteRef/>
      </w:r>
      <w:r w:rsidRPr="00614272">
        <w:rPr>
          <w:lang w:val="fr-FR"/>
        </w:rPr>
        <w:t xml:space="preserve"> </w:t>
      </w:r>
      <w:r w:rsidRPr="005017D1">
        <w:rPr>
          <w:lang w:val="fr-FR"/>
        </w:rPr>
        <w:t>par laquelle le Comité exécutif avait décidé “de demander au PNUD de continuer à aider le gouvernement du Liban à assurer l’apport de technologies de remplacement à faible PRG et à rendre compte à la 84e réunion de l’avancement de la reconversion des entreprises bénéficiaires restantes dans les secteurs de la fabrication de mousses et de climatiseurs, notamment les petites entreprises de mousse, et à chaque réunion par la suite, jusqu’à ce que la technologie initialement retenue ou une autre technologie à faible PRG ait été totalement acceptée, ainsi qu’une mise à jour par les fournisseurs sur les progrès réalisés pour assurer que les technologies retenues, incluant les éléments connexes, soient disponibles commercialement dans le pays.”</w:t>
      </w:r>
    </w:p>
  </w:footnote>
  <w:footnote w:id="7">
    <w:p w14:paraId="0799981A" w14:textId="77777777" w:rsidR="00D11B6F" w:rsidRPr="00614272" w:rsidRDefault="00D11B6F" w:rsidP="00F041B1">
      <w:pPr>
        <w:pStyle w:val="Heading1"/>
        <w:keepNext/>
        <w:numPr>
          <w:ilvl w:val="0"/>
          <w:numId w:val="0"/>
        </w:numPr>
        <w:tabs>
          <w:tab w:val="num" w:pos="710"/>
        </w:tabs>
        <w:spacing w:after="0"/>
        <w:rPr>
          <w:lang w:val="fr-FR"/>
        </w:rPr>
      </w:pPr>
      <w:r w:rsidRPr="00614272">
        <w:rPr>
          <w:rStyle w:val="FootnoteReference"/>
          <w:sz w:val="20"/>
          <w:szCs w:val="20"/>
          <w:lang w:val="fr-FR"/>
        </w:rPr>
        <w:footnoteRef/>
      </w:r>
      <w:r w:rsidRPr="00614272">
        <w:rPr>
          <w:sz w:val="20"/>
          <w:szCs w:val="20"/>
          <w:lang w:val="fr-FR"/>
        </w:rPr>
        <w:t xml:space="preserve"> Les rapports relatifs aux PGEH des pays qui ont soumis une proposition de projet à cette réunion figurent dans les documents de proposition de projet connexes (UNEP/OzL.Pro/ExCom/84/42, UNEP/OzL.Pro/ExCom/84/49, UNEP/OzL.Pro/ExCom/84/51 et UNEP/OzL.Pro/ExCom/84/53).</w:t>
      </w:r>
    </w:p>
  </w:footnote>
  <w:footnote w:id="8">
    <w:p w14:paraId="2A6CC60F" w14:textId="77777777" w:rsidR="00D11B6F" w:rsidRPr="00614272" w:rsidRDefault="00D11B6F" w:rsidP="00016278">
      <w:pPr>
        <w:pStyle w:val="FootnoteText"/>
        <w:rPr>
          <w:lang w:val="fr-FR"/>
        </w:rPr>
      </w:pPr>
      <w:r w:rsidRPr="00614272">
        <w:rPr>
          <w:rStyle w:val="FootnoteReference"/>
          <w:lang w:val="fr-FR"/>
        </w:rPr>
        <w:footnoteRef/>
      </w:r>
      <w:r w:rsidRPr="00614272">
        <w:rPr>
          <w:lang w:val="fr-FR"/>
        </w:rPr>
        <w:t xml:space="preserve"> Le rapport n'a été soumis ni à la 82</w:t>
      </w:r>
      <w:r w:rsidRPr="00614272">
        <w:rPr>
          <w:vertAlign w:val="superscript"/>
          <w:lang w:val="fr-FR"/>
        </w:rPr>
        <w:t>e</w:t>
      </w:r>
      <w:r w:rsidRPr="00614272">
        <w:rPr>
          <w:lang w:val="fr-FR"/>
        </w:rPr>
        <w:t xml:space="preserve"> ni à la 83</w:t>
      </w:r>
      <w:r w:rsidRPr="00614272">
        <w:rPr>
          <w:vertAlign w:val="superscript"/>
          <w:lang w:val="fr-FR"/>
        </w:rPr>
        <w:t>e</w:t>
      </w:r>
      <w:r w:rsidRPr="00614272">
        <w:rPr>
          <w:lang w:val="fr-FR"/>
        </w:rPr>
        <w:t xml:space="preserve"> réunion.</w:t>
      </w:r>
    </w:p>
  </w:footnote>
  <w:footnote w:id="9">
    <w:p w14:paraId="29F6F229" w14:textId="77777777" w:rsidR="00D11B6F" w:rsidRPr="00614272" w:rsidRDefault="00D11B6F" w:rsidP="002C17BF">
      <w:pPr>
        <w:pStyle w:val="FootnoteText"/>
        <w:rPr>
          <w:lang w:val="fr-FR"/>
        </w:rPr>
      </w:pPr>
      <w:r w:rsidRPr="00614272">
        <w:rPr>
          <w:rStyle w:val="FootnoteReference"/>
          <w:lang w:val="fr-FR"/>
        </w:rPr>
        <w:footnoteRef/>
      </w:r>
      <w:r w:rsidRPr="00614272">
        <w:rPr>
          <w:lang w:val="fr-FR"/>
        </w:rPr>
        <w:t xml:space="preserve">  La cinquième et dernière tranche de la phase I du PGEH a été approuvée à la 75</w:t>
      </w:r>
      <w:r w:rsidRPr="00614272">
        <w:rPr>
          <w:vertAlign w:val="superscript"/>
          <w:lang w:val="fr-FR"/>
        </w:rPr>
        <w:t>e</w:t>
      </w:r>
      <w:r w:rsidRPr="00614272">
        <w:rPr>
          <w:lang w:val="fr-FR"/>
        </w:rPr>
        <w:t xml:space="preserve"> réunion, pour un montant total de 2 035 094 $US, soit 1 470 700 $US plus des coûts d’appui d’agence de 110 303 $US pour le PNUD et 409 091 $US plus des coûts d’appui d’agence de 45 000 $US pour l’Allemagne.</w:t>
      </w:r>
    </w:p>
  </w:footnote>
  <w:footnote w:id="10">
    <w:p w14:paraId="01B4D807" w14:textId="77777777" w:rsidR="00D11B6F" w:rsidRPr="00614272" w:rsidRDefault="00D11B6F" w:rsidP="002C17BF">
      <w:pPr>
        <w:pStyle w:val="FootnoteText"/>
        <w:rPr>
          <w:lang w:val="fr-FR"/>
        </w:rPr>
      </w:pPr>
      <w:r w:rsidRPr="00614272">
        <w:rPr>
          <w:rStyle w:val="FootnoteReference"/>
          <w:lang w:val="fr-FR"/>
        </w:rPr>
        <w:footnoteRef/>
      </w:r>
      <w:r w:rsidRPr="00614272">
        <w:rPr>
          <w:lang w:val="fr-FR"/>
        </w:rPr>
        <w:t xml:space="preserve">  Conformément à la lettre adressée au PNUD par le Ministère de l’environnement du Brésil en date du 2 octobre 2019.</w:t>
      </w:r>
    </w:p>
  </w:footnote>
  <w:footnote w:id="11">
    <w:p w14:paraId="11D042D0" w14:textId="77777777" w:rsidR="00D11B6F" w:rsidRPr="005017D1" w:rsidRDefault="00D11B6F" w:rsidP="00E20DA7">
      <w:pPr>
        <w:pStyle w:val="FootnoteText"/>
        <w:rPr>
          <w:lang w:val="fr-FR"/>
        </w:rPr>
      </w:pPr>
      <w:r w:rsidRPr="00614272">
        <w:rPr>
          <w:rStyle w:val="FootnoteReference"/>
          <w:lang w:val="fr-FR"/>
        </w:rPr>
        <w:footnoteRef/>
      </w:r>
      <w:r w:rsidRPr="00614272">
        <w:rPr>
          <w:lang w:val="fr-FR"/>
        </w:rPr>
        <w:t xml:space="preserve">  </w:t>
      </w:r>
      <w:r>
        <w:rPr>
          <w:lang w:val="fr-FR"/>
        </w:rPr>
        <w:t>Par laquelle le Comité exécutif avait décidé « </w:t>
      </w:r>
      <w:r w:rsidRPr="005017D1">
        <w:rPr>
          <w:lang w:val="fr-FR"/>
        </w:rPr>
        <w:t>de prier le gouvernement du Brésil, le PNUD et le gouvernement de l’Allemagne de remettre des rapports périodiques sur la mise en oeuvre du programme de travail associé à la cinquième et dernière tranche, sur une base annuelle, jusqu’à l’achèvement du projet, des rapports de vérification jusqu’à l’approbation de la phase II du PGEH et le rapport d’achèvement de projet à la dernière réunion du Comité exécutif en 2018</w:t>
      </w:r>
      <w:r w:rsidRPr="00614272">
        <w:rPr>
          <w:lang w:val="fr-FR"/>
        </w:rPr>
        <w:t>.</w:t>
      </w:r>
      <w:r>
        <w:rPr>
          <w:lang w:val="fr-FR"/>
        </w:rPr>
        <w:t xml:space="preserve"> » </w:t>
      </w:r>
    </w:p>
  </w:footnote>
  <w:footnote w:id="12">
    <w:p w14:paraId="7D9FD6DD" w14:textId="77777777" w:rsidR="00D11B6F" w:rsidRPr="00614272" w:rsidRDefault="00D11B6F" w:rsidP="002C17BF">
      <w:pPr>
        <w:pStyle w:val="FootnoteText"/>
        <w:rPr>
          <w:lang w:val="fr-FR"/>
        </w:rPr>
      </w:pPr>
      <w:r w:rsidRPr="00614272">
        <w:rPr>
          <w:rStyle w:val="FootnoteReference"/>
          <w:lang w:val="fr-FR"/>
        </w:rPr>
        <w:footnoteRef/>
      </w:r>
      <w:r w:rsidRPr="00614272">
        <w:rPr>
          <w:lang w:val="fr-FR"/>
        </w:rPr>
        <w:t xml:space="preserve">  Sauf 179 300 $US (plus des coûts d’appui d’agence de 13 448 $US) retournés au Fon</w:t>
      </w:r>
      <w:r>
        <w:rPr>
          <w:lang w:val="fr-FR"/>
        </w:rPr>
        <w:t xml:space="preserve">ds car associés à une entreprise </w:t>
      </w:r>
      <w:r w:rsidRPr="00614272">
        <w:rPr>
          <w:lang w:val="fr-FR"/>
        </w:rPr>
        <w:t>non admissible.</w:t>
      </w:r>
    </w:p>
  </w:footnote>
  <w:footnote w:id="13">
    <w:p w14:paraId="7802E10E" w14:textId="77777777" w:rsidR="00D11B6F" w:rsidRPr="00614272" w:rsidRDefault="00D11B6F" w:rsidP="005A3C39">
      <w:pPr>
        <w:pStyle w:val="FootnoteText"/>
        <w:rPr>
          <w:lang w:val="fr-FR"/>
        </w:rPr>
      </w:pPr>
      <w:r w:rsidRPr="00614272">
        <w:rPr>
          <w:rStyle w:val="FootnoteReference"/>
          <w:lang w:val="fr-FR"/>
        </w:rPr>
        <w:footnoteRef/>
      </w:r>
      <w:r w:rsidRPr="00614272">
        <w:rPr>
          <w:lang w:val="fr-FR"/>
        </w:rPr>
        <w:t xml:space="preserve"> Le progiciel de gestion intégrée utilisé par le PNUE.</w:t>
      </w:r>
    </w:p>
  </w:footnote>
  <w:footnote w:id="14">
    <w:p w14:paraId="2180D132" w14:textId="77777777" w:rsidR="00D11B6F" w:rsidRPr="00614272" w:rsidRDefault="00D11B6F" w:rsidP="00F041B1">
      <w:pPr>
        <w:pStyle w:val="FootnoteText"/>
        <w:rPr>
          <w:lang w:val="fr-FR"/>
        </w:rPr>
      </w:pPr>
      <w:r w:rsidRPr="00614272">
        <w:rPr>
          <w:rStyle w:val="FootnoteReference"/>
          <w:lang w:val="fr-FR"/>
        </w:rPr>
        <w:footnoteRef/>
      </w:r>
      <w:r w:rsidRPr="00614272">
        <w:rPr>
          <w:lang w:val="fr-FR"/>
        </w:rPr>
        <w:t xml:space="preserve"> Décision 77/43(d).</w:t>
      </w:r>
    </w:p>
  </w:footnote>
  <w:footnote w:id="15">
    <w:p w14:paraId="65E62F6C" w14:textId="77777777" w:rsidR="00D11B6F" w:rsidRPr="00614272" w:rsidRDefault="00D11B6F" w:rsidP="00F041B1">
      <w:pPr>
        <w:pStyle w:val="FootnoteText"/>
        <w:rPr>
          <w:lang w:val="fr-FR"/>
        </w:rPr>
      </w:pPr>
      <w:r w:rsidRPr="00614272">
        <w:rPr>
          <w:rStyle w:val="FootnoteReference"/>
          <w:lang w:val="fr-FR"/>
        </w:rPr>
        <w:footnoteRef/>
      </w:r>
      <w:r>
        <w:rPr>
          <w:lang w:val="fr-FR"/>
        </w:rPr>
        <w:t xml:space="preserve"> </w:t>
      </w:r>
      <w:r w:rsidRPr="00614272">
        <w:rPr>
          <w:lang w:val="fr-FR"/>
        </w:rPr>
        <w:t>Décision 82/74 b) ii).</w:t>
      </w:r>
    </w:p>
  </w:footnote>
  <w:footnote w:id="16">
    <w:p w14:paraId="4AB62E48" w14:textId="77777777" w:rsidR="00D11B6F" w:rsidRPr="00614272" w:rsidRDefault="00D11B6F" w:rsidP="00F041B1">
      <w:pPr>
        <w:pStyle w:val="FootnoteText"/>
        <w:rPr>
          <w:lang w:val="fr-FR"/>
        </w:rPr>
      </w:pPr>
      <w:r w:rsidRPr="00614272">
        <w:rPr>
          <w:rStyle w:val="FootnoteReference"/>
          <w:lang w:val="fr-FR"/>
        </w:rPr>
        <w:footnoteRef/>
      </w:r>
      <w:r>
        <w:rPr>
          <w:lang w:val="fr-FR"/>
        </w:rPr>
        <w:t xml:space="preserve"> </w:t>
      </w:r>
      <w:r w:rsidRPr="00614272">
        <w:rPr>
          <w:lang w:val="fr-FR"/>
        </w:rPr>
        <w:t>Décision 82/74 b) i).</w:t>
      </w:r>
    </w:p>
  </w:footnote>
  <w:footnote w:id="17">
    <w:p w14:paraId="4A1A5726" w14:textId="77777777" w:rsidR="00D11B6F" w:rsidRPr="00614272" w:rsidRDefault="00D11B6F" w:rsidP="00F041B1">
      <w:pPr>
        <w:pStyle w:val="FootnoteText"/>
        <w:rPr>
          <w:lang w:val="fr-FR"/>
        </w:rPr>
      </w:pPr>
      <w:r w:rsidRPr="00614272">
        <w:rPr>
          <w:rStyle w:val="FootnoteReference"/>
          <w:lang w:val="fr-FR"/>
        </w:rPr>
        <w:footnoteRef/>
      </w:r>
      <w:r w:rsidRPr="00614272">
        <w:rPr>
          <w:lang w:val="fr-FR"/>
        </w:rPr>
        <w:t xml:space="preserve"> Décision 82/74 c).</w:t>
      </w:r>
    </w:p>
  </w:footnote>
  <w:footnote w:id="18">
    <w:p w14:paraId="6F8E2238" w14:textId="77777777" w:rsidR="00D11B6F" w:rsidRPr="00614272" w:rsidRDefault="00D11B6F" w:rsidP="00F041B1">
      <w:pPr>
        <w:pStyle w:val="FootnoteText"/>
        <w:rPr>
          <w:lang w:val="fr-FR"/>
        </w:rPr>
      </w:pPr>
      <w:r w:rsidRPr="00614272">
        <w:rPr>
          <w:rStyle w:val="FootnoteReference"/>
          <w:lang w:val="fr-FR"/>
        </w:rPr>
        <w:footnoteRef/>
      </w:r>
      <w:r w:rsidRPr="00614272">
        <w:rPr>
          <w:lang w:val="fr-FR"/>
        </w:rPr>
        <w:t xml:space="preserve"> Décision 83/21</w:t>
      </w:r>
      <w:r>
        <w:rPr>
          <w:lang w:val="fr-FR"/>
        </w:rPr>
        <w:t>.</w:t>
      </w:r>
    </w:p>
  </w:footnote>
  <w:footnote w:id="19">
    <w:p w14:paraId="3AC3C13E" w14:textId="77777777" w:rsidR="00D11B6F" w:rsidRPr="00614272" w:rsidRDefault="00D11B6F" w:rsidP="004A1603">
      <w:pPr>
        <w:pStyle w:val="FootnoteText"/>
        <w:rPr>
          <w:lang w:val="fr-FR"/>
        </w:rPr>
      </w:pPr>
      <w:r w:rsidRPr="00614272">
        <w:rPr>
          <w:rStyle w:val="FootnoteReference"/>
          <w:lang w:val="fr-FR"/>
        </w:rPr>
        <w:footnoteRef/>
      </w:r>
      <w:r w:rsidRPr="00614272">
        <w:rPr>
          <w:lang w:val="fr-FR"/>
        </w:rPr>
        <w:t xml:space="preserve"> La tranche de financement a été ajustée après déduction de 747 533 $US liés à l’annulation de la reconversion d’Alyem</w:t>
      </w:r>
      <w:r>
        <w:rPr>
          <w:lang w:val="fr-FR"/>
        </w:rPr>
        <w:t> ;</w:t>
      </w:r>
      <w:r w:rsidRPr="00614272">
        <w:rPr>
          <w:lang w:val="fr-FR"/>
        </w:rPr>
        <w:t xml:space="preserve"> ces fonds ont été </w:t>
      </w:r>
      <w:r>
        <w:rPr>
          <w:lang w:val="fr-FR"/>
        </w:rPr>
        <w:t>retournés</w:t>
      </w:r>
      <w:r w:rsidRPr="00614272">
        <w:rPr>
          <w:lang w:val="fr-FR"/>
        </w:rPr>
        <w:t xml:space="preserve"> au Fonds multilatéral.</w:t>
      </w:r>
    </w:p>
  </w:footnote>
  <w:footnote w:id="20">
    <w:p w14:paraId="02D94DF4" w14:textId="77777777" w:rsidR="00D11B6F" w:rsidRPr="00614272" w:rsidRDefault="00D11B6F" w:rsidP="00712F7B">
      <w:pPr>
        <w:pStyle w:val="FootnoteText"/>
        <w:rPr>
          <w:lang w:val="fr-FR"/>
        </w:rPr>
      </w:pPr>
      <w:r w:rsidRPr="00614272">
        <w:rPr>
          <w:rStyle w:val="FootnoteReference"/>
          <w:lang w:val="fr-FR"/>
        </w:rPr>
        <w:footnoteRef/>
      </w:r>
      <w:r w:rsidRPr="00614272">
        <w:rPr>
          <w:lang w:val="fr-FR"/>
        </w:rPr>
        <w:t xml:space="preserve"> UNEP/OzL.Pro/ExCom/76/40.</w:t>
      </w:r>
    </w:p>
  </w:footnote>
  <w:footnote w:id="21">
    <w:p w14:paraId="659048BA" w14:textId="77777777" w:rsidR="00D11B6F" w:rsidRPr="00614272" w:rsidRDefault="00D11B6F" w:rsidP="00205D0C">
      <w:pPr>
        <w:pStyle w:val="FootnoteText"/>
        <w:rPr>
          <w:lang w:val="fr-FR"/>
        </w:rPr>
      </w:pPr>
      <w:r w:rsidRPr="00614272">
        <w:rPr>
          <w:rStyle w:val="FootnoteReference"/>
          <w:lang w:val="fr-FR"/>
        </w:rPr>
        <w:footnoteRef/>
      </w:r>
      <w:r w:rsidRPr="00614272">
        <w:rPr>
          <w:lang w:val="fr-FR"/>
        </w:rPr>
        <w:t xml:space="preserve"> La cinquième et dernière tranche de la phase I du PGEH a été approuvée lors de la 75</w:t>
      </w:r>
      <w:r w:rsidRPr="00614272">
        <w:rPr>
          <w:vertAlign w:val="superscript"/>
          <w:lang w:val="fr-FR"/>
        </w:rPr>
        <w:t>e</w:t>
      </w:r>
      <w:r w:rsidRPr="00614272">
        <w:rPr>
          <w:lang w:val="fr-FR"/>
        </w:rPr>
        <w:t xml:space="preserve"> réunion pour un montant total de 1 449 982 $ US, soit 226 317 $ US, plus les coûts d’appui d’agence de 16 974 $ US pour l’ONUDI, et 1 122 503 $ US, plus les coûts d’appui d’agence de 84 188 $ US pour le PNUD.</w:t>
      </w:r>
    </w:p>
  </w:footnote>
  <w:footnote w:id="22">
    <w:p w14:paraId="6B430586" w14:textId="77777777" w:rsidR="00D11B6F" w:rsidRPr="00614272" w:rsidRDefault="00D11B6F" w:rsidP="00205D0C">
      <w:pPr>
        <w:pStyle w:val="FootnoteText"/>
        <w:rPr>
          <w:sz w:val="16"/>
          <w:szCs w:val="16"/>
          <w:lang w:val="fr-FR"/>
        </w:rPr>
      </w:pPr>
      <w:r w:rsidRPr="00614272">
        <w:rPr>
          <w:rStyle w:val="FootnoteReference"/>
          <w:lang w:val="fr-FR"/>
        </w:rPr>
        <w:footnoteRef/>
      </w:r>
      <w:r w:rsidRPr="00614272">
        <w:rPr>
          <w:lang w:val="fr-FR"/>
        </w:rPr>
        <w:t xml:space="preserve"> Disposition figurant à l’annexe XII du document UNEP/OzL.Pro/ExCom/75/85.</w:t>
      </w:r>
    </w:p>
  </w:footnote>
  <w:footnote w:id="23">
    <w:p w14:paraId="0537E37D" w14:textId="249A40EA" w:rsidR="00D11B6F" w:rsidRPr="00614272" w:rsidRDefault="00D11B6F" w:rsidP="003D777B">
      <w:pPr>
        <w:pStyle w:val="FootnoteText"/>
        <w:rPr>
          <w:lang w:val="fr-FR"/>
        </w:rPr>
      </w:pPr>
      <w:r w:rsidRPr="00614272">
        <w:rPr>
          <w:rStyle w:val="FootnoteReference"/>
          <w:lang w:val="fr-FR"/>
        </w:rPr>
        <w:footnoteRef/>
      </w:r>
      <w:r w:rsidRPr="00614272">
        <w:rPr>
          <w:lang w:val="fr-FR"/>
        </w:rPr>
        <w:t xml:space="preserve"> UNEP/OzL.Pro/ExCom/82/61</w:t>
      </w:r>
      <w:r>
        <w:rPr>
          <w:lang w:val="fr-FR"/>
        </w:rPr>
        <w:t>.</w:t>
      </w:r>
    </w:p>
  </w:footnote>
  <w:footnote w:id="24">
    <w:p w14:paraId="4BE5ABE3" w14:textId="77777777" w:rsidR="00D11B6F" w:rsidRPr="00614272" w:rsidRDefault="00D11B6F" w:rsidP="000051AE">
      <w:pPr>
        <w:pStyle w:val="FootnoteText"/>
        <w:rPr>
          <w:lang w:val="fr-FR"/>
        </w:rPr>
      </w:pPr>
      <w:r w:rsidRPr="00614272">
        <w:rPr>
          <w:rStyle w:val="FootnoteReference"/>
          <w:lang w:val="fr-FR"/>
        </w:rPr>
        <w:footnoteRef/>
      </w:r>
      <w:r w:rsidRPr="00614272">
        <w:rPr>
          <w:lang w:val="fr-FR"/>
        </w:rPr>
        <w:t xml:space="preserve"> UNEP/OzL.Pro/ExCom/76</w:t>
      </w:r>
    </w:p>
  </w:footnote>
  <w:footnote w:id="25">
    <w:p w14:paraId="1DD24299" w14:textId="5782B5BB" w:rsidR="00D11B6F" w:rsidRPr="002221F7" w:rsidRDefault="00D11B6F" w:rsidP="002221F7">
      <w:pPr>
        <w:pStyle w:val="FootnoteText"/>
        <w:rPr>
          <w:lang w:val="fr-FR"/>
        </w:rPr>
      </w:pPr>
      <w:r>
        <w:rPr>
          <w:rStyle w:val="FootnoteReference"/>
        </w:rPr>
        <w:footnoteRef/>
      </w:r>
      <w:r w:rsidRPr="008D6B42">
        <w:rPr>
          <w:lang w:val="fr-FR"/>
        </w:rPr>
        <w:t xml:space="preserve"> </w:t>
      </w:r>
      <w:r w:rsidR="002221F7" w:rsidRPr="002221F7">
        <w:rPr>
          <w:lang w:val="fr-FR"/>
        </w:rPr>
        <w:t>La flèche est un système de contrôle des mouvements de la tête mélangeuse fabriqué sur place et qui rend plus commodes les activités liées à la production.</w:t>
      </w:r>
    </w:p>
  </w:footnote>
  <w:footnote w:id="26">
    <w:p w14:paraId="31DFAC6B" w14:textId="64D492B5" w:rsidR="00D11B6F" w:rsidRPr="00614272" w:rsidRDefault="00D11B6F" w:rsidP="00E2565B">
      <w:pPr>
        <w:pStyle w:val="FootnoteText"/>
        <w:rPr>
          <w:lang w:val="fr-FR"/>
        </w:rPr>
      </w:pPr>
      <w:r w:rsidRPr="00614272">
        <w:rPr>
          <w:rStyle w:val="FootnoteReference"/>
          <w:lang w:val="fr-FR"/>
        </w:rPr>
        <w:footnoteRef/>
      </w:r>
      <w:r>
        <w:rPr>
          <w:lang w:val="fr-FR"/>
        </w:rPr>
        <w:t xml:space="preserve"> À la 80</w:t>
      </w:r>
      <w:r w:rsidRPr="00614272">
        <w:rPr>
          <w:vertAlign w:val="superscript"/>
          <w:lang w:val="fr-FR"/>
        </w:rPr>
        <w:t>e</w:t>
      </w:r>
      <w:r w:rsidRPr="00614272">
        <w:rPr>
          <w:lang w:val="fr-FR"/>
        </w:rPr>
        <w:t xml:space="preserve"> réunion, la date d'achèvement du projet a été reportée au 31 décembre 2018 (décision 80/26 i)).</w:t>
      </w:r>
    </w:p>
  </w:footnote>
  <w:footnote w:id="27">
    <w:p w14:paraId="54A3E211" w14:textId="51CC112C" w:rsidR="00D11B6F" w:rsidRPr="00614272" w:rsidRDefault="00D11B6F" w:rsidP="00870F31">
      <w:pPr>
        <w:pStyle w:val="FootnoteText"/>
        <w:rPr>
          <w:lang w:val="fr-FR"/>
        </w:rPr>
      </w:pPr>
      <w:r w:rsidRPr="00614272">
        <w:rPr>
          <w:rStyle w:val="FootnoteReference"/>
          <w:lang w:val="fr-FR"/>
        </w:rPr>
        <w:footnoteRef/>
      </w:r>
      <w:r w:rsidRPr="00614272">
        <w:rPr>
          <w:lang w:val="fr-FR"/>
        </w:rPr>
        <w:t xml:space="preserve"> Arabie saoudite, Bahreïn, Égypte, Koweït, Qatar, Oman et Émirats arabes unis. Aucun financement n’a été al</w:t>
      </w:r>
      <w:r>
        <w:rPr>
          <w:lang w:val="fr-FR"/>
        </w:rPr>
        <w:t>loué aux Émirats arabes unis, où</w:t>
      </w:r>
      <w:r w:rsidRPr="00614272">
        <w:rPr>
          <w:lang w:val="fr-FR"/>
        </w:rPr>
        <w:t xml:space="preserve"> l’industrie locale a construit les prototypes et a assisté aux sessions du PRAHA à ses frais.</w:t>
      </w:r>
    </w:p>
  </w:footnote>
  <w:footnote w:id="28">
    <w:p w14:paraId="5A623998" w14:textId="6E840280" w:rsidR="00D11B6F" w:rsidRPr="00614272" w:rsidRDefault="00D11B6F" w:rsidP="005A3C39">
      <w:pPr>
        <w:pStyle w:val="FootnoteText"/>
        <w:rPr>
          <w:lang w:val="fr-FR"/>
        </w:rPr>
      </w:pPr>
      <w:r w:rsidRPr="00614272">
        <w:rPr>
          <w:rStyle w:val="FootnoteReference"/>
          <w:lang w:val="fr-FR"/>
        </w:rPr>
        <w:footnoteRef/>
      </w:r>
      <w:r w:rsidRPr="00614272">
        <w:rPr>
          <w:lang w:val="fr-FR"/>
        </w:rPr>
        <w:t xml:space="preserve"> Lettre envoyée par l'UNO du Sénégal en date du 2 octobre 2019</w:t>
      </w:r>
      <w:r>
        <w:rPr>
          <w:lang w:val="fr-FR"/>
        </w:rPr>
        <w:t>.</w:t>
      </w:r>
    </w:p>
  </w:footnote>
  <w:footnote w:id="29">
    <w:p w14:paraId="0548595C" w14:textId="77777777" w:rsidR="00D11B6F" w:rsidRPr="00614272" w:rsidRDefault="00D11B6F" w:rsidP="005A3C39">
      <w:pPr>
        <w:pStyle w:val="FootnoteText"/>
        <w:rPr>
          <w:lang w:val="fr-FR"/>
        </w:rPr>
      </w:pPr>
      <w:r w:rsidRPr="00614272">
        <w:rPr>
          <w:rStyle w:val="FootnoteReference"/>
          <w:lang w:val="fr-FR"/>
        </w:rPr>
        <w:footnoteRef/>
      </w:r>
      <w:r w:rsidRPr="00614272">
        <w:rPr>
          <w:lang w:val="fr-FR"/>
        </w:rPr>
        <w:t xml:space="preserve"> Le PGEH pour le Sénégal a été approuvé en principe à la 65</w:t>
      </w:r>
      <w:r w:rsidRPr="00614272">
        <w:rPr>
          <w:vertAlign w:val="superscript"/>
          <w:lang w:val="fr-FR"/>
        </w:rPr>
        <w:t>e</w:t>
      </w:r>
      <w:r w:rsidRPr="00614272">
        <w:rPr>
          <w:lang w:val="fr-FR"/>
        </w:rPr>
        <w:t xml:space="preserve"> réunion (décision 65/46). À la 77</w:t>
      </w:r>
      <w:r w:rsidRPr="00614272">
        <w:rPr>
          <w:vertAlign w:val="superscript"/>
          <w:lang w:val="fr-FR"/>
        </w:rPr>
        <w:t>e</w:t>
      </w:r>
      <w:r w:rsidRPr="00614272">
        <w:rPr>
          <w:lang w:val="fr-FR"/>
        </w:rPr>
        <w:t xml:space="preserve"> réunion, le point de départ des réductions totales de la consommation de HCFC a été ramené à 20,96 tonnes PAO et le niveau de financement à 630 000 $US, coûts d'appui d'agences en sus (décision 77/55).</w:t>
      </w:r>
    </w:p>
  </w:footnote>
  <w:footnote w:id="30">
    <w:p w14:paraId="4398C96E" w14:textId="77777777" w:rsidR="00D11B6F" w:rsidRPr="00614272" w:rsidRDefault="00D11B6F" w:rsidP="00683B86">
      <w:pPr>
        <w:pStyle w:val="Heading1"/>
        <w:numPr>
          <w:ilvl w:val="0"/>
          <w:numId w:val="0"/>
        </w:numPr>
        <w:spacing w:after="0"/>
        <w:rPr>
          <w:lang w:val="fr-FR"/>
        </w:rPr>
      </w:pPr>
      <w:r w:rsidRPr="00614272">
        <w:rPr>
          <w:rStyle w:val="FootnoteReference"/>
          <w:sz w:val="20"/>
          <w:szCs w:val="20"/>
          <w:lang w:val="fr-FR"/>
        </w:rPr>
        <w:footnoteRef/>
      </w:r>
      <w:r w:rsidRPr="00614272">
        <w:rPr>
          <w:sz w:val="20"/>
          <w:szCs w:val="20"/>
          <w:lang w:val="fr-FR"/>
        </w:rPr>
        <w:t xml:space="preserve"> Le Comité a décidé de maintenir la période de mise en œuvre de 18 mois pour les activités habilitantes et, le cas échéant, de prolonger cette période pour 12 mois au plus (30 mois au plus à compter de l'approbation du projet), date à laquelle une demande officielle de prolongation aura été reçue par le Secrétariat.</w:t>
      </w:r>
    </w:p>
  </w:footnote>
  <w:footnote w:id="31">
    <w:p w14:paraId="577464D7" w14:textId="77777777" w:rsidR="00D11B6F" w:rsidRPr="00614272" w:rsidRDefault="00D11B6F" w:rsidP="00683B86">
      <w:pPr>
        <w:pStyle w:val="FootnoteText"/>
        <w:rPr>
          <w:lang w:val="fr-FR"/>
        </w:rPr>
      </w:pPr>
      <w:r w:rsidRPr="00614272">
        <w:rPr>
          <w:rStyle w:val="FootnoteReference"/>
          <w:lang w:val="fr-FR"/>
        </w:rPr>
        <w:footnoteRef/>
      </w:r>
      <w:r w:rsidRPr="00614272">
        <w:rPr>
          <w:lang w:val="fr-FR"/>
        </w:rPr>
        <w:t xml:space="preserve"> Trois pays (le Libéria, la Papouasie-Nouvelle-Guinée et les Seychelles) ont été approuvés à la 80</w:t>
      </w:r>
      <w:r w:rsidRPr="00614272">
        <w:rPr>
          <w:vertAlign w:val="superscript"/>
          <w:lang w:val="fr-FR"/>
        </w:rPr>
        <w:t>e</w:t>
      </w:r>
      <w:r w:rsidRPr="00614272">
        <w:rPr>
          <w:lang w:val="fr-FR"/>
        </w:rPr>
        <w:t xml:space="preserve"> réunion et la République islamique d'Iran à la 82</w:t>
      </w:r>
      <w:r w:rsidRPr="00614272">
        <w:rPr>
          <w:vertAlign w:val="superscript"/>
          <w:lang w:val="fr-FR"/>
        </w:rPr>
        <w:t>e</w:t>
      </w:r>
      <w:r w:rsidRPr="00614272">
        <w:rPr>
          <w:lang w:val="fr-FR"/>
        </w:rPr>
        <w:t xml:space="preserve"> réunion.</w:t>
      </w:r>
    </w:p>
  </w:footnote>
  <w:footnote w:id="32">
    <w:p w14:paraId="274D6AD1" w14:textId="4085B004" w:rsidR="00D11B6F" w:rsidRPr="00614272" w:rsidRDefault="00D11B6F" w:rsidP="00C42CC5">
      <w:pPr>
        <w:pStyle w:val="FootnoteText"/>
        <w:rPr>
          <w:lang w:val="fr-FR"/>
        </w:rPr>
      </w:pPr>
      <w:r w:rsidRPr="00614272">
        <w:rPr>
          <w:rStyle w:val="FootnoteReference"/>
          <w:lang w:val="fr-FR"/>
        </w:rPr>
        <w:footnoteRef/>
      </w:r>
      <w:r w:rsidRPr="00614272">
        <w:rPr>
          <w:lang w:val="fr-FR"/>
        </w:rPr>
        <w:t xml:space="preserve"> Comme indiqué à la 83</w:t>
      </w:r>
      <w:r w:rsidRPr="00614272">
        <w:rPr>
          <w:vertAlign w:val="superscript"/>
          <w:lang w:val="fr-FR"/>
        </w:rPr>
        <w:t>e</w:t>
      </w:r>
      <w:r w:rsidRPr="00614272">
        <w:rPr>
          <w:lang w:val="fr-FR"/>
        </w:rPr>
        <w:t xml:space="preserve"> réunion, l'entreprise Ice Con a décidé d'arrêter ses appli</w:t>
      </w:r>
      <w:r>
        <w:rPr>
          <w:lang w:val="fr-FR"/>
        </w:rPr>
        <w:t xml:space="preserve">cations d'opérations de mousse. </w:t>
      </w:r>
      <w:r w:rsidRPr="00614272">
        <w:rPr>
          <w:lang w:val="fr-FR"/>
        </w:rPr>
        <w:t xml:space="preserve">Le PNUD retournera les soldes non dépensés lors de la présentation de la demande de la cinquième tranche de financement (décision 83/15 b)). La reconversion de Ice Fab au formiate de méthyle est en cours ; l'approvisionnement en équipement est en cours ; les essais doivent être entrepris d'ici mai 2020 ; l'achèvement est prévu pour septembre 2020. En ce qui concerne les deux entreprises restantes, Tropical Marine et Vetter ont été converties aux technologies sélectionnées (à savoir, l’eau et le formiate de méthyle, respectivement). </w:t>
      </w:r>
    </w:p>
  </w:footnote>
  <w:footnote w:id="33">
    <w:p w14:paraId="60079E2E" w14:textId="4D750A16" w:rsidR="00D11B6F" w:rsidRPr="00614272" w:rsidRDefault="00D11B6F" w:rsidP="000C38A4">
      <w:pPr>
        <w:pStyle w:val="FootnoteText"/>
        <w:rPr>
          <w:lang w:val="fr-FR"/>
        </w:rPr>
      </w:pPr>
      <w:r w:rsidRPr="00614272">
        <w:rPr>
          <w:rStyle w:val="FootnoteReference"/>
          <w:lang w:val="fr-FR"/>
        </w:rPr>
        <w:footnoteRef/>
      </w:r>
      <w:r w:rsidRPr="00614272">
        <w:rPr>
          <w:lang w:val="fr-FR"/>
        </w:rPr>
        <w:t xml:space="preserve"> La troisième et dernière étape de la phase I du PGEH a été approuvée à la 76</w:t>
      </w:r>
      <w:r w:rsidRPr="00614272">
        <w:rPr>
          <w:vertAlign w:val="superscript"/>
          <w:lang w:val="fr-FR"/>
        </w:rPr>
        <w:t>e</w:t>
      </w:r>
      <w:r w:rsidRPr="00614272">
        <w:rPr>
          <w:lang w:val="fr-FR"/>
        </w:rPr>
        <w:t xml:space="preserve"> réunion pour un coût total de 1 260 461 $US, soit 901 </w:t>
      </w:r>
      <w:r>
        <w:rPr>
          <w:lang w:val="fr-FR"/>
        </w:rPr>
        <w:t>102 $US, coûts d'appui d'agence</w:t>
      </w:r>
      <w:r w:rsidRPr="00614272">
        <w:rPr>
          <w:lang w:val="fr-FR"/>
        </w:rPr>
        <w:t xml:space="preserve"> en sus à hauteur de 67 583 $US pour le PNUD et 271 420 $US, coûts d'appui d'agence en sus à hauteur de 20 356 $US pour la Banque mondiale.</w:t>
      </w:r>
    </w:p>
  </w:footnote>
  <w:footnote w:id="34">
    <w:p w14:paraId="1F4C24C7" w14:textId="77777777" w:rsidR="00D11B6F" w:rsidRPr="00614272" w:rsidRDefault="00D11B6F" w:rsidP="000C38A4">
      <w:pPr>
        <w:pStyle w:val="FootnoteText"/>
        <w:rPr>
          <w:lang w:val="fr-FR"/>
        </w:rPr>
      </w:pPr>
      <w:r w:rsidRPr="00614272">
        <w:rPr>
          <w:rStyle w:val="FootnoteReference"/>
          <w:lang w:val="fr-FR"/>
        </w:rPr>
        <w:footnoteRef/>
      </w:r>
      <w:r w:rsidRPr="00614272">
        <w:rPr>
          <w:lang w:val="fr-FR"/>
        </w:rPr>
        <w:t xml:space="preserve"> À l’exclusion de Panasonic, qui s’était déjà converti au HFC-32 et qui fabriquait déjà des systèmes d’alimentation de remplacement basés sur cette technologie.</w:t>
      </w:r>
    </w:p>
  </w:footnote>
  <w:footnote w:id="35">
    <w:p w14:paraId="472BA682" w14:textId="77777777" w:rsidR="00D11B6F" w:rsidRPr="00614272" w:rsidRDefault="00D11B6F" w:rsidP="000C38A4">
      <w:pPr>
        <w:pStyle w:val="FootnoteText"/>
        <w:rPr>
          <w:lang w:val="fr-FR"/>
        </w:rPr>
      </w:pPr>
      <w:r w:rsidRPr="00614272">
        <w:rPr>
          <w:rStyle w:val="FootnoteReference"/>
          <w:lang w:val="fr-FR"/>
        </w:rPr>
        <w:footnoteRef/>
      </w:r>
      <w:r w:rsidRPr="00614272">
        <w:rPr>
          <w:lang w:val="fr-FR"/>
        </w:rPr>
        <w:t xml:space="preserve"> Jusqu’à l’introduction de la technologie choisie initialement ou d'une autre technologie à faible PRP.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A85DA" w14:textId="77777777" w:rsidR="00D11B6F" w:rsidRPr="0033525D" w:rsidRDefault="00C41225">
    <w:fldSimple w:instr=" DOCPROPERTY &quot;Document number&quot;  \* MERGEFORMAT ">
      <w:r w:rsidR="00D11B6F">
        <w:t>UNEP/OzL.Pro/ExCom/84/22</w:t>
      </w:r>
    </w:fldSimple>
  </w:p>
  <w:p w14:paraId="51BE0829" w14:textId="77777777" w:rsidR="00D11B6F" w:rsidRPr="0033525D" w:rsidRDefault="00D11B6F"/>
  <w:p w14:paraId="024BF26D" w14:textId="77777777" w:rsidR="00D11B6F" w:rsidRPr="0033525D" w:rsidRDefault="00D11B6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2096E" w14:textId="77777777" w:rsidR="00D11B6F" w:rsidRDefault="00C41225" w:rsidP="005532AE">
    <w:pPr>
      <w:jc w:val="right"/>
    </w:pPr>
    <w:fldSimple w:instr=" DOCPROPERTY &quot;Document number&quot;  \* MERGEFORMAT ">
      <w:r w:rsidR="00D11B6F">
        <w:t>UNEP/OzL.Pro/ExCom/84/22</w:t>
      </w:r>
    </w:fldSimple>
  </w:p>
  <w:p w14:paraId="2D6093E8" w14:textId="77777777" w:rsidR="00D11B6F" w:rsidRPr="0033525D" w:rsidRDefault="00D11B6F" w:rsidP="005532AE"/>
  <w:p w14:paraId="6D17080A" w14:textId="77777777" w:rsidR="00D11B6F" w:rsidRPr="0033525D" w:rsidRDefault="00D11B6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0D5D1" w14:textId="77777777" w:rsidR="00D11B6F" w:rsidRDefault="00D11B6F" w:rsidP="00EE7B0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69AB3EE"/>
    <w:lvl w:ilvl="0">
      <w:start w:val="1"/>
      <w:numFmt w:val="decimal"/>
      <w:pStyle w:val="Heading1"/>
      <w:lvlText w:val="%1."/>
      <w:lvlJc w:val="left"/>
      <w:pPr>
        <w:tabs>
          <w:tab w:val="num" w:pos="0"/>
        </w:tabs>
        <w:ind w:left="0" w:firstLine="0"/>
      </w:pPr>
      <w:rPr>
        <w:rFonts w:hint="default"/>
        <w:b w:val="0"/>
        <w:i w:val="0"/>
      </w:rPr>
    </w:lvl>
    <w:lvl w:ilvl="1">
      <w:start w:val="1"/>
      <w:numFmt w:val="lowerLetter"/>
      <w:pStyle w:val="Heading2"/>
      <w:lvlText w:val="(%2)"/>
      <w:lvlJc w:val="left"/>
      <w:pPr>
        <w:tabs>
          <w:tab w:val="num" w:pos="0"/>
        </w:tabs>
        <w:ind w:left="1440" w:hanging="720"/>
      </w:pPr>
      <w:rPr>
        <w:rFonts w:hint="default"/>
        <w:b w:val="0"/>
        <w:cap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1"/>
  </w:num>
  <w:num w:numId="4">
    <w:abstractNumId w:val="3"/>
  </w:num>
  <w:num w:numId="5">
    <w:abstractNumId w:val="4"/>
  </w:num>
  <w:num w:numId="6">
    <w:abstractNumId w:val="5"/>
  </w:num>
  <w:num w:numId="7">
    <w:abstractNumId w:val="2"/>
  </w:num>
  <w:num w:numId="8">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4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5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72F5C"/>
    <w:rsid w:val="00000FED"/>
    <w:rsid w:val="0000434E"/>
    <w:rsid w:val="000051AE"/>
    <w:rsid w:val="00016278"/>
    <w:rsid w:val="000211A9"/>
    <w:rsid w:val="00031260"/>
    <w:rsid w:val="0003681A"/>
    <w:rsid w:val="000418C1"/>
    <w:rsid w:val="00053143"/>
    <w:rsid w:val="000537BA"/>
    <w:rsid w:val="00061EC2"/>
    <w:rsid w:val="00063FA4"/>
    <w:rsid w:val="00080ED0"/>
    <w:rsid w:val="000841CE"/>
    <w:rsid w:val="00085B8F"/>
    <w:rsid w:val="00087080"/>
    <w:rsid w:val="0009027B"/>
    <w:rsid w:val="00090481"/>
    <w:rsid w:val="000A01D8"/>
    <w:rsid w:val="000A3204"/>
    <w:rsid w:val="000A6C26"/>
    <w:rsid w:val="000B2458"/>
    <w:rsid w:val="000B2E8B"/>
    <w:rsid w:val="000C38A4"/>
    <w:rsid w:val="000C6852"/>
    <w:rsid w:val="000D52A4"/>
    <w:rsid w:val="000E07BC"/>
    <w:rsid w:val="000E0FB5"/>
    <w:rsid w:val="000F0023"/>
    <w:rsid w:val="000F1CD4"/>
    <w:rsid w:val="000F3ADF"/>
    <w:rsid w:val="000F4103"/>
    <w:rsid w:val="000F70A7"/>
    <w:rsid w:val="00113CCA"/>
    <w:rsid w:val="00122F25"/>
    <w:rsid w:val="00132ACF"/>
    <w:rsid w:val="00135980"/>
    <w:rsid w:val="001416F8"/>
    <w:rsid w:val="00164719"/>
    <w:rsid w:val="00166FC4"/>
    <w:rsid w:val="001677AC"/>
    <w:rsid w:val="001804EA"/>
    <w:rsid w:val="0018562F"/>
    <w:rsid w:val="00190A61"/>
    <w:rsid w:val="00193338"/>
    <w:rsid w:val="00193450"/>
    <w:rsid w:val="001A3342"/>
    <w:rsid w:val="001A3E3D"/>
    <w:rsid w:val="001A55B0"/>
    <w:rsid w:val="001A7049"/>
    <w:rsid w:val="001B1E40"/>
    <w:rsid w:val="001C4F37"/>
    <w:rsid w:val="001C610E"/>
    <w:rsid w:val="001C764E"/>
    <w:rsid w:val="001D226E"/>
    <w:rsid w:val="001E1052"/>
    <w:rsid w:val="001E21B1"/>
    <w:rsid w:val="001E2F93"/>
    <w:rsid w:val="001E61E5"/>
    <w:rsid w:val="001F2159"/>
    <w:rsid w:val="001F5768"/>
    <w:rsid w:val="00201C93"/>
    <w:rsid w:val="00205581"/>
    <w:rsid w:val="00205D0C"/>
    <w:rsid w:val="00214863"/>
    <w:rsid w:val="002156B4"/>
    <w:rsid w:val="002169B2"/>
    <w:rsid w:val="002221F7"/>
    <w:rsid w:val="00234883"/>
    <w:rsid w:val="00234F44"/>
    <w:rsid w:val="002402B0"/>
    <w:rsid w:val="00245F2A"/>
    <w:rsid w:val="002509B0"/>
    <w:rsid w:val="00253222"/>
    <w:rsid w:val="00254E14"/>
    <w:rsid w:val="00262847"/>
    <w:rsid w:val="00281BB2"/>
    <w:rsid w:val="00287859"/>
    <w:rsid w:val="002A59A2"/>
    <w:rsid w:val="002B0AF2"/>
    <w:rsid w:val="002B3E51"/>
    <w:rsid w:val="002B72E9"/>
    <w:rsid w:val="002C17BF"/>
    <w:rsid w:val="002C7998"/>
    <w:rsid w:val="002F1E53"/>
    <w:rsid w:val="002F2CAA"/>
    <w:rsid w:val="002F5396"/>
    <w:rsid w:val="0030052C"/>
    <w:rsid w:val="0032014A"/>
    <w:rsid w:val="0032104A"/>
    <w:rsid w:val="003306E1"/>
    <w:rsid w:val="00330F7F"/>
    <w:rsid w:val="003320E4"/>
    <w:rsid w:val="0033525D"/>
    <w:rsid w:val="00335905"/>
    <w:rsid w:val="003414F3"/>
    <w:rsid w:val="0035613E"/>
    <w:rsid w:val="00363EE9"/>
    <w:rsid w:val="00373362"/>
    <w:rsid w:val="00376128"/>
    <w:rsid w:val="0037742E"/>
    <w:rsid w:val="00377D56"/>
    <w:rsid w:val="00380844"/>
    <w:rsid w:val="0038245A"/>
    <w:rsid w:val="003840E6"/>
    <w:rsid w:val="00385CFC"/>
    <w:rsid w:val="00392678"/>
    <w:rsid w:val="0039337A"/>
    <w:rsid w:val="003A3189"/>
    <w:rsid w:val="003A3CA7"/>
    <w:rsid w:val="003B33BD"/>
    <w:rsid w:val="003B569D"/>
    <w:rsid w:val="003C3064"/>
    <w:rsid w:val="003C3C0E"/>
    <w:rsid w:val="003D3071"/>
    <w:rsid w:val="003D32F6"/>
    <w:rsid w:val="003D42A6"/>
    <w:rsid w:val="003D4FAC"/>
    <w:rsid w:val="003D777B"/>
    <w:rsid w:val="003E62C3"/>
    <w:rsid w:val="003E7906"/>
    <w:rsid w:val="003F3C50"/>
    <w:rsid w:val="00406A6A"/>
    <w:rsid w:val="00406B22"/>
    <w:rsid w:val="00414B0A"/>
    <w:rsid w:val="00415D8F"/>
    <w:rsid w:val="00431A56"/>
    <w:rsid w:val="004328A7"/>
    <w:rsid w:val="00433D1D"/>
    <w:rsid w:val="004340C4"/>
    <w:rsid w:val="00434C74"/>
    <w:rsid w:val="00435611"/>
    <w:rsid w:val="00445E81"/>
    <w:rsid w:val="00456EB4"/>
    <w:rsid w:val="00461B21"/>
    <w:rsid w:val="004663AE"/>
    <w:rsid w:val="004718F3"/>
    <w:rsid w:val="00475040"/>
    <w:rsid w:val="00493D40"/>
    <w:rsid w:val="004943D2"/>
    <w:rsid w:val="004967B6"/>
    <w:rsid w:val="004A1603"/>
    <w:rsid w:val="004A504B"/>
    <w:rsid w:val="004A6911"/>
    <w:rsid w:val="004B54E0"/>
    <w:rsid w:val="004B7384"/>
    <w:rsid w:val="004C3CBD"/>
    <w:rsid w:val="004C4269"/>
    <w:rsid w:val="004D6236"/>
    <w:rsid w:val="004D7F90"/>
    <w:rsid w:val="004E23BC"/>
    <w:rsid w:val="004E40D7"/>
    <w:rsid w:val="004E4BD8"/>
    <w:rsid w:val="004E4DBB"/>
    <w:rsid w:val="004E4E41"/>
    <w:rsid w:val="004E7F9C"/>
    <w:rsid w:val="004F257E"/>
    <w:rsid w:val="004F3493"/>
    <w:rsid w:val="004F5143"/>
    <w:rsid w:val="005017D1"/>
    <w:rsid w:val="00510E1C"/>
    <w:rsid w:val="00512B09"/>
    <w:rsid w:val="00514465"/>
    <w:rsid w:val="00533796"/>
    <w:rsid w:val="00535644"/>
    <w:rsid w:val="00537343"/>
    <w:rsid w:val="00541ED5"/>
    <w:rsid w:val="00545417"/>
    <w:rsid w:val="005532AE"/>
    <w:rsid w:val="00555D75"/>
    <w:rsid w:val="00560AD3"/>
    <w:rsid w:val="00560DF0"/>
    <w:rsid w:val="005644A7"/>
    <w:rsid w:val="0056759C"/>
    <w:rsid w:val="0057313B"/>
    <w:rsid w:val="0057637D"/>
    <w:rsid w:val="00587E5F"/>
    <w:rsid w:val="0059513E"/>
    <w:rsid w:val="005A3C39"/>
    <w:rsid w:val="005B48FF"/>
    <w:rsid w:val="005D1532"/>
    <w:rsid w:val="005E2454"/>
    <w:rsid w:val="00604C15"/>
    <w:rsid w:val="00613E57"/>
    <w:rsid w:val="00614272"/>
    <w:rsid w:val="006158D5"/>
    <w:rsid w:val="00625D83"/>
    <w:rsid w:val="006378CA"/>
    <w:rsid w:val="0064138D"/>
    <w:rsid w:val="0064628C"/>
    <w:rsid w:val="00651184"/>
    <w:rsid w:val="00660EB4"/>
    <w:rsid w:val="006623E7"/>
    <w:rsid w:val="00662B80"/>
    <w:rsid w:val="00663ABA"/>
    <w:rsid w:val="00667B8F"/>
    <w:rsid w:val="00670F6C"/>
    <w:rsid w:val="0067552B"/>
    <w:rsid w:val="00683B86"/>
    <w:rsid w:val="006852C7"/>
    <w:rsid w:val="006852CE"/>
    <w:rsid w:val="006A6F6F"/>
    <w:rsid w:val="006B0A38"/>
    <w:rsid w:val="006B12BB"/>
    <w:rsid w:val="006B452C"/>
    <w:rsid w:val="006C1727"/>
    <w:rsid w:val="006C32FD"/>
    <w:rsid w:val="006C39CE"/>
    <w:rsid w:val="006C5798"/>
    <w:rsid w:val="006D0FCC"/>
    <w:rsid w:val="006D6E99"/>
    <w:rsid w:val="006E1FC3"/>
    <w:rsid w:val="00704793"/>
    <w:rsid w:val="0070616B"/>
    <w:rsid w:val="00706FDA"/>
    <w:rsid w:val="00711F9A"/>
    <w:rsid w:val="00712F7B"/>
    <w:rsid w:val="00713810"/>
    <w:rsid w:val="00716798"/>
    <w:rsid w:val="0071741B"/>
    <w:rsid w:val="007259E0"/>
    <w:rsid w:val="00725B75"/>
    <w:rsid w:val="007303A5"/>
    <w:rsid w:val="00730B3E"/>
    <w:rsid w:val="007328D6"/>
    <w:rsid w:val="00734133"/>
    <w:rsid w:val="0073420B"/>
    <w:rsid w:val="00734978"/>
    <w:rsid w:val="0074760E"/>
    <w:rsid w:val="00754ABA"/>
    <w:rsid w:val="00765652"/>
    <w:rsid w:val="00772F5C"/>
    <w:rsid w:val="0077500D"/>
    <w:rsid w:val="00777426"/>
    <w:rsid w:val="007866C7"/>
    <w:rsid w:val="007A1546"/>
    <w:rsid w:val="007A228C"/>
    <w:rsid w:val="007A23AC"/>
    <w:rsid w:val="007A368E"/>
    <w:rsid w:val="007A5868"/>
    <w:rsid w:val="007B04CE"/>
    <w:rsid w:val="007B6871"/>
    <w:rsid w:val="007B7A2F"/>
    <w:rsid w:val="007C014C"/>
    <w:rsid w:val="007C24E0"/>
    <w:rsid w:val="007C3D33"/>
    <w:rsid w:val="007C67BD"/>
    <w:rsid w:val="007D294A"/>
    <w:rsid w:val="007D47D2"/>
    <w:rsid w:val="007D6EC0"/>
    <w:rsid w:val="007D7E1D"/>
    <w:rsid w:val="007F3A99"/>
    <w:rsid w:val="007F500B"/>
    <w:rsid w:val="007F6839"/>
    <w:rsid w:val="00806789"/>
    <w:rsid w:val="00815C31"/>
    <w:rsid w:val="00831979"/>
    <w:rsid w:val="00851352"/>
    <w:rsid w:val="0085173D"/>
    <w:rsid w:val="00857077"/>
    <w:rsid w:val="00863230"/>
    <w:rsid w:val="00864E2D"/>
    <w:rsid w:val="00870F31"/>
    <w:rsid w:val="008717D8"/>
    <w:rsid w:val="0087215C"/>
    <w:rsid w:val="00880E35"/>
    <w:rsid w:val="008875FE"/>
    <w:rsid w:val="00887F8E"/>
    <w:rsid w:val="00896234"/>
    <w:rsid w:val="00896655"/>
    <w:rsid w:val="00897E43"/>
    <w:rsid w:val="008A09F8"/>
    <w:rsid w:val="008B5935"/>
    <w:rsid w:val="008C01DD"/>
    <w:rsid w:val="008C5738"/>
    <w:rsid w:val="008C7EAD"/>
    <w:rsid w:val="008D0CFE"/>
    <w:rsid w:val="008D5E79"/>
    <w:rsid w:val="008D6152"/>
    <w:rsid w:val="008D6B42"/>
    <w:rsid w:val="008D6D9B"/>
    <w:rsid w:val="008E08BB"/>
    <w:rsid w:val="008E0DC3"/>
    <w:rsid w:val="008F0F81"/>
    <w:rsid w:val="008F27BF"/>
    <w:rsid w:val="008F3F8C"/>
    <w:rsid w:val="00900C38"/>
    <w:rsid w:val="009036A6"/>
    <w:rsid w:val="0091191B"/>
    <w:rsid w:val="00911DC5"/>
    <w:rsid w:val="009142EC"/>
    <w:rsid w:val="009154C3"/>
    <w:rsid w:val="00923540"/>
    <w:rsid w:val="00926767"/>
    <w:rsid w:val="009361D5"/>
    <w:rsid w:val="009428A4"/>
    <w:rsid w:val="00946678"/>
    <w:rsid w:val="00965246"/>
    <w:rsid w:val="009659F4"/>
    <w:rsid w:val="00966A87"/>
    <w:rsid w:val="00970D60"/>
    <w:rsid w:val="009960E5"/>
    <w:rsid w:val="009A3DA8"/>
    <w:rsid w:val="009A6BDA"/>
    <w:rsid w:val="009A7ADC"/>
    <w:rsid w:val="009B1ECE"/>
    <w:rsid w:val="009C19B7"/>
    <w:rsid w:val="009C4F9E"/>
    <w:rsid w:val="009D7C51"/>
    <w:rsid w:val="009E196C"/>
    <w:rsid w:val="009F36BF"/>
    <w:rsid w:val="00A00230"/>
    <w:rsid w:val="00A01264"/>
    <w:rsid w:val="00A01B7A"/>
    <w:rsid w:val="00A111B6"/>
    <w:rsid w:val="00A17947"/>
    <w:rsid w:val="00A23C24"/>
    <w:rsid w:val="00A25648"/>
    <w:rsid w:val="00A26D27"/>
    <w:rsid w:val="00A307E0"/>
    <w:rsid w:val="00A31CFA"/>
    <w:rsid w:val="00A376EE"/>
    <w:rsid w:val="00A42A99"/>
    <w:rsid w:val="00A5151A"/>
    <w:rsid w:val="00A557BB"/>
    <w:rsid w:val="00A57E0A"/>
    <w:rsid w:val="00A645DD"/>
    <w:rsid w:val="00A713C4"/>
    <w:rsid w:val="00A823F6"/>
    <w:rsid w:val="00A85FDC"/>
    <w:rsid w:val="00A86B1F"/>
    <w:rsid w:val="00A93E70"/>
    <w:rsid w:val="00A95893"/>
    <w:rsid w:val="00A96DA4"/>
    <w:rsid w:val="00AA0A89"/>
    <w:rsid w:val="00AA116A"/>
    <w:rsid w:val="00AA5AEF"/>
    <w:rsid w:val="00AA6429"/>
    <w:rsid w:val="00AB1D18"/>
    <w:rsid w:val="00AB442B"/>
    <w:rsid w:val="00AC01AA"/>
    <w:rsid w:val="00AC0424"/>
    <w:rsid w:val="00AC4F72"/>
    <w:rsid w:val="00AF741A"/>
    <w:rsid w:val="00B01ADB"/>
    <w:rsid w:val="00B04161"/>
    <w:rsid w:val="00B056F9"/>
    <w:rsid w:val="00B060B4"/>
    <w:rsid w:val="00B11E3D"/>
    <w:rsid w:val="00B17472"/>
    <w:rsid w:val="00B17E82"/>
    <w:rsid w:val="00B2527D"/>
    <w:rsid w:val="00B3138E"/>
    <w:rsid w:val="00B455FE"/>
    <w:rsid w:val="00B4575A"/>
    <w:rsid w:val="00B45D48"/>
    <w:rsid w:val="00B55472"/>
    <w:rsid w:val="00B575BA"/>
    <w:rsid w:val="00B642D3"/>
    <w:rsid w:val="00B65EF6"/>
    <w:rsid w:val="00B7325B"/>
    <w:rsid w:val="00B76429"/>
    <w:rsid w:val="00B86FE2"/>
    <w:rsid w:val="00B948C2"/>
    <w:rsid w:val="00B956D4"/>
    <w:rsid w:val="00B97446"/>
    <w:rsid w:val="00BA7432"/>
    <w:rsid w:val="00BB4DF2"/>
    <w:rsid w:val="00BB56A5"/>
    <w:rsid w:val="00BC1AA0"/>
    <w:rsid w:val="00BC2495"/>
    <w:rsid w:val="00BC7631"/>
    <w:rsid w:val="00BC7EB9"/>
    <w:rsid w:val="00BD069C"/>
    <w:rsid w:val="00BD1BB3"/>
    <w:rsid w:val="00BD2643"/>
    <w:rsid w:val="00BD56B1"/>
    <w:rsid w:val="00BD6558"/>
    <w:rsid w:val="00BE0480"/>
    <w:rsid w:val="00BF3022"/>
    <w:rsid w:val="00BF3214"/>
    <w:rsid w:val="00BF5573"/>
    <w:rsid w:val="00C15867"/>
    <w:rsid w:val="00C2296D"/>
    <w:rsid w:val="00C23155"/>
    <w:rsid w:val="00C33D95"/>
    <w:rsid w:val="00C40C41"/>
    <w:rsid w:val="00C41225"/>
    <w:rsid w:val="00C41573"/>
    <w:rsid w:val="00C42CC5"/>
    <w:rsid w:val="00C45885"/>
    <w:rsid w:val="00C5046C"/>
    <w:rsid w:val="00C50F22"/>
    <w:rsid w:val="00C561A6"/>
    <w:rsid w:val="00C57971"/>
    <w:rsid w:val="00C65BD7"/>
    <w:rsid w:val="00C728F0"/>
    <w:rsid w:val="00C76BA4"/>
    <w:rsid w:val="00C812F8"/>
    <w:rsid w:val="00C83A48"/>
    <w:rsid w:val="00C85865"/>
    <w:rsid w:val="00C85E85"/>
    <w:rsid w:val="00CA2EAE"/>
    <w:rsid w:val="00CA4AC1"/>
    <w:rsid w:val="00CB0316"/>
    <w:rsid w:val="00CB0B11"/>
    <w:rsid w:val="00CB5354"/>
    <w:rsid w:val="00CC4F36"/>
    <w:rsid w:val="00CC6A14"/>
    <w:rsid w:val="00CC70A3"/>
    <w:rsid w:val="00CD4442"/>
    <w:rsid w:val="00CD53C3"/>
    <w:rsid w:val="00CD574E"/>
    <w:rsid w:val="00CE4C22"/>
    <w:rsid w:val="00CF257D"/>
    <w:rsid w:val="00CF37F3"/>
    <w:rsid w:val="00CF3BE9"/>
    <w:rsid w:val="00CF41EC"/>
    <w:rsid w:val="00CF5D04"/>
    <w:rsid w:val="00D04A9D"/>
    <w:rsid w:val="00D04DE4"/>
    <w:rsid w:val="00D0637C"/>
    <w:rsid w:val="00D063F1"/>
    <w:rsid w:val="00D10CB7"/>
    <w:rsid w:val="00D11B6F"/>
    <w:rsid w:val="00D14F22"/>
    <w:rsid w:val="00D25B3C"/>
    <w:rsid w:val="00D25FB3"/>
    <w:rsid w:val="00D4741C"/>
    <w:rsid w:val="00D5236A"/>
    <w:rsid w:val="00D57918"/>
    <w:rsid w:val="00D61D56"/>
    <w:rsid w:val="00D64585"/>
    <w:rsid w:val="00D73ABE"/>
    <w:rsid w:val="00D73DC6"/>
    <w:rsid w:val="00D74C1A"/>
    <w:rsid w:val="00D754C1"/>
    <w:rsid w:val="00D77393"/>
    <w:rsid w:val="00D77A35"/>
    <w:rsid w:val="00D81B3E"/>
    <w:rsid w:val="00D87FF0"/>
    <w:rsid w:val="00D90C70"/>
    <w:rsid w:val="00D90E49"/>
    <w:rsid w:val="00D925BE"/>
    <w:rsid w:val="00D96ADE"/>
    <w:rsid w:val="00D97011"/>
    <w:rsid w:val="00DA0A94"/>
    <w:rsid w:val="00DA0CE2"/>
    <w:rsid w:val="00DC6A10"/>
    <w:rsid w:val="00DD0A10"/>
    <w:rsid w:val="00DD2A73"/>
    <w:rsid w:val="00DD6364"/>
    <w:rsid w:val="00DE657E"/>
    <w:rsid w:val="00DE6F31"/>
    <w:rsid w:val="00DF4704"/>
    <w:rsid w:val="00DF48F3"/>
    <w:rsid w:val="00E024AA"/>
    <w:rsid w:val="00E049F9"/>
    <w:rsid w:val="00E07D7C"/>
    <w:rsid w:val="00E11F19"/>
    <w:rsid w:val="00E20DA7"/>
    <w:rsid w:val="00E250F1"/>
    <w:rsid w:val="00E2565B"/>
    <w:rsid w:val="00E3143A"/>
    <w:rsid w:val="00E3550D"/>
    <w:rsid w:val="00E402E0"/>
    <w:rsid w:val="00E42806"/>
    <w:rsid w:val="00E614E0"/>
    <w:rsid w:val="00E631D6"/>
    <w:rsid w:val="00E71C0B"/>
    <w:rsid w:val="00E72221"/>
    <w:rsid w:val="00E73F7F"/>
    <w:rsid w:val="00E748BB"/>
    <w:rsid w:val="00E85409"/>
    <w:rsid w:val="00E916A0"/>
    <w:rsid w:val="00E97521"/>
    <w:rsid w:val="00EA429F"/>
    <w:rsid w:val="00EA4F9E"/>
    <w:rsid w:val="00EA63CA"/>
    <w:rsid w:val="00EA6D3B"/>
    <w:rsid w:val="00EB00AD"/>
    <w:rsid w:val="00EB136C"/>
    <w:rsid w:val="00EB3EB5"/>
    <w:rsid w:val="00EB480E"/>
    <w:rsid w:val="00EB5EC6"/>
    <w:rsid w:val="00EB7FC9"/>
    <w:rsid w:val="00EC1F23"/>
    <w:rsid w:val="00ED27E8"/>
    <w:rsid w:val="00ED2AEA"/>
    <w:rsid w:val="00ED7137"/>
    <w:rsid w:val="00EE7B0E"/>
    <w:rsid w:val="00EF2AC7"/>
    <w:rsid w:val="00EF54D3"/>
    <w:rsid w:val="00F041B1"/>
    <w:rsid w:val="00F07147"/>
    <w:rsid w:val="00F21088"/>
    <w:rsid w:val="00F21208"/>
    <w:rsid w:val="00F258E2"/>
    <w:rsid w:val="00F27002"/>
    <w:rsid w:val="00F3157C"/>
    <w:rsid w:val="00F327E7"/>
    <w:rsid w:val="00F35746"/>
    <w:rsid w:val="00F43CE2"/>
    <w:rsid w:val="00F447C7"/>
    <w:rsid w:val="00F51DC8"/>
    <w:rsid w:val="00F5211B"/>
    <w:rsid w:val="00F554A9"/>
    <w:rsid w:val="00F60B0A"/>
    <w:rsid w:val="00F62284"/>
    <w:rsid w:val="00F6520F"/>
    <w:rsid w:val="00F716FD"/>
    <w:rsid w:val="00F720AB"/>
    <w:rsid w:val="00F77603"/>
    <w:rsid w:val="00F77FF6"/>
    <w:rsid w:val="00F80355"/>
    <w:rsid w:val="00F875B9"/>
    <w:rsid w:val="00F87C43"/>
    <w:rsid w:val="00FA135A"/>
    <w:rsid w:val="00FB0C81"/>
    <w:rsid w:val="00FC2200"/>
    <w:rsid w:val="00FC2540"/>
    <w:rsid w:val="00FC4903"/>
    <w:rsid w:val="00FC6258"/>
    <w:rsid w:val="00FF0204"/>
    <w:rsid w:val="00FF1977"/>
    <w:rsid w:val="00FF23A5"/>
    <w:rsid w:val="00FF2C7E"/>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743566FD"/>
  <w15:docId w15:val="{07820A34-58AF-4B78-A723-9E150B0E0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1,heading 4,标题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3"/>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4"/>
      </w:numPr>
    </w:pPr>
  </w:style>
  <w:style w:type="numbering" w:styleId="ArticleSection">
    <w:name w:val="Outline List 3"/>
    <w:basedOn w:val="NoList"/>
    <w:uiPriority w:val="99"/>
    <w:semiHidden/>
    <w:rsid w:val="00493D40"/>
    <w:pPr>
      <w:numPr>
        <w:numId w:val="5"/>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B642D3"/>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B642D3"/>
    <w:rPr>
      <w:sz w:val="22"/>
      <w:szCs w:val="22"/>
      <w:lang w:val="en-GB"/>
    </w:rPr>
  </w:style>
  <w:style w:type="character" w:customStyle="1" w:styleId="Heading4Char">
    <w:name w:val="Heading 4 Char"/>
    <w:aliases w:val="Heading 11 Char,para 4 Char,Título 41 Char,Heading 41 Char,heading 4 Char,标题 41 Char"/>
    <w:basedOn w:val="DefaultParagraphFont"/>
    <w:link w:val="Heading4"/>
    <w:locked/>
    <w:rsid w:val="00B642D3"/>
    <w:rPr>
      <w:sz w:val="22"/>
      <w:szCs w:val="22"/>
      <w:lang w:val="en-GB"/>
    </w:rPr>
  </w:style>
  <w:style w:type="character" w:customStyle="1" w:styleId="Heading5Char">
    <w:name w:val="Heading 5 Char"/>
    <w:basedOn w:val="DefaultParagraphFont"/>
    <w:link w:val="Heading5"/>
    <w:locked/>
    <w:rsid w:val="00B642D3"/>
    <w:rPr>
      <w:sz w:val="22"/>
      <w:szCs w:val="22"/>
      <w:lang w:val="en-GB"/>
    </w:rPr>
  </w:style>
  <w:style w:type="character" w:customStyle="1" w:styleId="Heading6Char">
    <w:name w:val="Heading 6 Char"/>
    <w:basedOn w:val="DefaultParagraphFont"/>
    <w:link w:val="Heading6"/>
    <w:locked/>
    <w:rsid w:val="00B642D3"/>
    <w:rPr>
      <w:rFonts w:ascii="Arial" w:hAnsi="Arial"/>
      <w:i/>
      <w:sz w:val="22"/>
      <w:szCs w:val="22"/>
      <w:lang w:val="en-GB"/>
    </w:rPr>
  </w:style>
  <w:style w:type="character" w:customStyle="1" w:styleId="Heading7Char">
    <w:name w:val="Heading 7 Char"/>
    <w:basedOn w:val="DefaultParagraphFont"/>
    <w:link w:val="Heading7"/>
    <w:locked/>
    <w:rsid w:val="00B642D3"/>
    <w:rPr>
      <w:rFonts w:ascii="Arial" w:hAnsi="Arial"/>
      <w:sz w:val="22"/>
      <w:szCs w:val="22"/>
      <w:lang w:val="en-GB"/>
    </w:rPr>
  </w:style>
  <w:style w:type="character" w:customStyle="1" w:styleId="Heading8Char">
    <w:name w:val="Heading 8 Char"/>
    <w:basedOn w:val="DefaultParagraphFont"/>
    <w:link w:val="Heading8"/>
    <w:uiPriority w:val="9"/>
    <w:locked/>
    <w:rsid w:val="00B642D3"/>
    <w:rPr>
      <w:b/>
      <w:sz w:val="22"/>
      <w:szCs w:val="22"/>
      <w:lang w:val="en-GB"/>
    </w:rPr>
  </w:style>
  <w:style w:type="character" w:customStyle="1" w:styleId="Heading9Char">
    <w:name w:val="Heading 9 Char"/>
    <w:basedOn w:val="DefaultParagraphFont"/>
    <w:link w:val="Heading9"/>
    <w:locked/>
    <w:rsid w:val="00B642D3"/>
    <w:rPr>
      <w:rFonts w:ascii="Arial" w:hAnsi="Arial"/>
      <w:i/>
      <w:sz w:val="18"/>
      <w:szCs w:val="22"/>
      <w:lang w:val="en-GB"/>
    </w:rPr>
  </w:style>
  <w:style w:type="character" w:customStyle="1" w:styleId="ListParagraphChar">
    <w:name w:val="List Paragraph Char"/>
    <w:aliases w:val="列出段落YUAN Char"/>
    <w:link w:val="ListParagraph"/>
    <w:uiPriority w:val="34"/>
    <w:locked/>
    <w:rsid w:val="00B642D3"/>
    <w:rPr>
      <w:sz w:val="22"/>
      <w:lang w:val="en-GB" w:eastAsia="x-none"/>
    </w:rPr>
  </w:style>
  <w:style w:type="character" w:customStyle="1" w:styleId="HeaderChar">
    <w:name w:val="Header Char"/>
    <w:basedOn w:val="DefaultParagraphFont"/>
    <w:link w:val="Header"/>
    <w:uiPriority w:val="99"/>
    <w:locked/>
    <w:rsid w:val="00B642D3"/>
    <w:rPr>
      <w:sz w:val="22"/>
      <w:szCs w:val="22"/>
      <w:lang w:val="en-GB"/>
    </w:rPr>
  </w:style>
  <w:style w:type="character" w:customStyle="1" w:styleId="FooterChar">
    <w:name w:val="Footer Char"/>
    <w:basedOn w:val="DefaultParagraphFont"/>
    <w:link w:val="Footer"/>
    <w:uiPriority w:val="99"/>
    <w:locked/>
    <w:rsid w:val="00B642D3"/>
    <w:rPr>
      <w:sz w:val="22"/>
      <w:szCs w:val="22"/>
      <w:lang w:val="en-GB"/>
    </w:rPr>
  </w:style>
  <w:style w:type="character" w:customStyle="1" w:styleId="BodyText3Char">
    <w:name w:val="Body Text 3 Char"/>
    <w:basedOn w:val="DefaultParagraphFont"/>
    <w:link w:val="BodyText3"/>
    <w:uiPriority w:val="99"/>
    <w:semiHidden/>
    <w:locked/>
    <w:rsid w:val="00B642D3"/>
    <w:rPr>
      <w:sz w:val="16"/>
      <w:szCs w:val="16"/>
      <w:lang w:val="en-GB"/>
    </w:rPr>
  </w:style>
  <w:style w:type="character" w:customStyle="1" w:styleId="BodyTextIndent3Char">
    <w:name w:val="Body Text Indent 3 Char"/>
    <w:basedOn w:val="DefaultParagraphFont"/>
    <w:link w:val="BodyTextIndent3"/>
    <w:uiPriority w:val="99"/>
    <w:semiHidden/>
    <w:locked/>
    <w:rsid w:val="00B642D3"/>
    <w:rPr>
      <w:sz w:val="16"/>
      <w:szCs w:val="16"/>
      <w:lang w:val="en-GB"/>
    </w:rPr>
  </w:style>
  <w:style w:type="character" w:customStyle="1" w:styleId="PlainTextChar">
    <w:name w:val="Plain Text Char"/>
    <w:basedOn w:val="DefaultParagraphFont"/>
    <w:link w:val="PlainText"/>
    <w:uiPriority w:val="99"/>
    <w:semiHidden/>
    <w:locked/>
    <w:rsid w:val="00B642D3"/>
    <w:rPr>
      <w:rFonts w:ascii="Courier New" w:hAnsi="Courier New" w:cs="Courier New"/>
      <w:szCs w:val="22"/>
      <w:lang w:val="en-GB"/>
    </w:rPr>
  </w:style>
  <w:style w:type="character" w:customStyle="1" w:styleId="SubtitleChar">
    <w:name w:val="Subtitle Char"/>
    <w:basedOn w:val="DefaultParagraphFont"/>
    <w:link w:val="Subtitle"/>
    <w:uiPriority w:val="11"/>
    <w:locked/>
    <w:rsid w:val="00B642D3"/>
    <w:rPr>
      <w:rFonts w:ascii="Arial" w:hAnsi="Arial" w:cs="Arial"/>
      <w:sz w:val="22"/>
      <w:szCs w:val="22"/>
      <w:lang w:val="en-GB"/>
    </w:rPr>
  </w:style>
  <w:style w:type="character" w:customStyle="1" w:styleId="TitleChar">
    <w:name w:val="Title Char"/>
    <w:basedOn w:val="DefaultParagraphFont"/>
    <w:link w:val="Title"/>
    <w:uiPriority w:val="10"/>
    <w:locked/>
    <w:rsid w:val="00B642D3"/>
    <w:rPr>
      <w:rFonts w:ascii="Arial" w:hAnsi="Arial" w:cs="Arial"/>
      <w:b/>
      <w:bCs/>
      <w:kern w:val="28"/>
      <w:sz w:val="22"/>
      <w:szCs w:val="22"/>
      <w:lang w:val="en-GB"/>
    </w:rPr>
  </w:style>
  <w:style w:type="character" w:customStyle="1" w:styleId="DateChar">
    <w:name w:val="Date Char"/>
    <w:basedOn w:val="DefaultParagraphFont"/>
    <w:link w:val="Date"/>
    <w:uiPriority w:val="99"/>
    <w:locked/>
    <w:rsid w:val="00B642D3"/>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B642D3"/>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B642D3"/>
    <w:rPr>
      <w:lang w:val="en-GB"/>
    </w:rPr>
  </w:style>
  <w:style w:type="character" w:styleId="FootnoteReference">
    <w:name w:val="footnote reference"/>
    <w:aliases w:val="Footnote Text1,Footnote Text2,Footnote text"/>
    <w:basedOn w:val="DefaultParagraphFont"/>
    <w:uiPriority w:val="99"/>
    <w:unhideWhenUsed/>
    <w:rsid w:val="00B642D3"/>
    <w:rPr>
      <w:rFonts w:cs="Times New Roman"/>
      <w:vertAlign w:val="superscript"/>
    </w:rPr>
  </w:style>
  <w:style w:type="paragraph" w:styleId="ListParagraph">
    <w:name w:val="List Paragraph"/>
    <w:aliases w:val="列出段落YUAN"/>
    <w:basedOn w:val="Normal"/>
    <w:link w:val="ListParagraphChar"/>
    <w:uiPriority w:val="34"/>
    <w:qFormat/>
    <w:rsid w:val="00B642D3"/>
    <w:pPr>
      <w:ind w:left="720"/>
      <w:contextualSpacing/>
    </w:pPr>
    <w:rPr>
      <w:szCs w:val="20"/>
      <w:lang w:eastAsia="x-none"/>
    </w:rPr>
  </w:style>
  <w:style w:type="paragraph" w:customStyle="1" w:styleId="CM18">
    <w:name w:val="CM18"/>
    <w:basedOn w:val="Normal"/>
    <w:next w:val="Normal"/>
    <w:rsid w:val="00B642D3"/>
    <w:pPr>
      <w:widowControl w:val="0"/>
      <w:autoSpaceDE w:val="0"/>
      <w:autoSpaceDN w:val="0"/>
      <w:adjustRightInd w:val="0"/>
      <w:spacing w:after="285"/>
      <w:jc w:val="left"/>
    </w:pPr>
    <w:rPr>
      <w:sz w:val="24"/>
      <w:szCs w:val="24"/>
      <w:lang w:val="en-US"/>
    </w:rPr>
  </w:style>
  <w:style w:type="character" w:customStyle="1" w:styleId="Char">
    <w:name w:val="列出段落 Char"/>
    <w:link w:val="ListParagraph1"/>
    <w:uiPriority w:val="99"/>
    <w:locked/>
    <w:rsid w:val="00B642D3"/>
    <w:rPr>
      <w:rFonts w:ascii="Calibri" w:eastAsia="SimSun" w:hAnsi="Calibri"/>
      <w:sz w:val="22"/>
    </w:rPr>
  </w:style>
  <w:style w:type="paragraph" w:customStyle="1" w:styleId="ListParagraph1">
    <w:name w:val="List Paragraph1"/>
    <w:basedOn w:val="Normal"/>
    <w:link w:val="Char"/>
    <w:uiPriority w:val="99"/>
    <w:qFormat/>
    <w:rsid w:val="00B642D3"/>
    <w:pPr>
      <w:spacing w:after="200" w:line="276" w:lineRule="auto"/>
      <w:ind w:left="720"/>
      <w:jc w:val="left"/>
    </w:pPr>
    <w:rPr>
      <w:rFonts w:ascii="Calibri" w:eastAsia="SimSun" w:hAnsi="Calibri"/>
      <w:szCs w:val="20"/>
      <w:lang w:val="en-US"/>
    </w:rPr>
  </w:style>
  <w:style w:type="paragraph" w:customStyle="1" w:styleId="a--">
    <w:name w:val="a-(-)"/>
    <w:basedOn w:val="Normal"/>
    <w:rsid w:val="00B642D3"/>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ColorfulList-Accent11">
    <w:name w:val="Colorful List - Accent 11"/>
    <w:basedOn w:val="Normal"/>
    <w:link w:val="ColorfulList-Accent1Char"/>
    <w:uiPriority w:val="34"/>
    <w:qFormat/>
    <w:rsid w:val="00B642D3"/>
    <w:pPr>
      <w:spacing w:after="200" w:line="276" w:lineRule="auto"/>
      <w:ind w:left="720"/>
      <w:contextualSpacing/>
      <w:jc w:val="left"/>
    </w:pPr>
    <w:rPr>
      <w:rFonts w:ascii="Calibri" w:hAnsi="Calibri"/>
      <w:lang w:val="en-US"/>
    </w:rPr>
  </w:style>
  <w:style w:type="character" w:customStyle="1" w:styleId="ColorfulList-Accent1Char">
    <w:name w:val="Colorful List - Accent 1 Char"/>
    <w:basedOn w:val="DefaultParagraphFont"/>
    <w:link w:val="ColorfulList-Accent11"/>
    <w:uiPriority w:val="34"/>
    <w:locked/>
    <w:rsid w:val="00B642D3"/>
    <w:rPr>
      <w:rFonts w:ascii="Calibri" w:hAnsi="Calibri"/>
      <w:sz w:val="22"/>
      <w:szCs w:val="22"/>
    </w:rPr>
  </w:style>
  <w:style w:type="paragraph" w:styleId="NoSpacing">
    <w:name w:val="No Spacing"/>
    <w:uiPriority w:val="1"/>
    <w:qFormat/>
    <w:rsid w:val="00B642D3"/>
    <w:pPr>
      <w:spacing w:before="60"/>
    </w:pPr>
    <w:rPr>
      <w:rFonts w:ascii="Garamond" w:eastAsia="MS Mincho" w:hAnsi="Garamond"/>
      <w:color w:val="4C483D"/>
      <w:lang w:eastAsia="ja-JP"/>
    </w:rPr>
  </w:style>
  <w:style w:type="paragraph" w:customStyle="1" w:styleId="MediumGrid1-Accent21">
    <w:name w:val="Medium Grid 1 - Accent 21"/>
    <w:basedOn w:val="Normal"/>
    <w:link w:val="MediumGrid1-Accent2Char"/>
    <w:uiPriority w:val="34"/>
    <w:qFormat/>
    <w:rsid w:val="00B642D3"/>
    <w:pPr>
      <w:ind w:left="720"/>
      <w:jc w:val="left"/>
    </w:pPr>
    <w:rPr>
      <w:sz w:val="24"/>
      <w:szCs w:val="24"/>
      <w:lang w:val="en-US"/>
    </w:rPr>
  </w:style>
  <w:style w:type="character" w:customStyle="1" w:styleId="MediumGrid1-Accent2Char">
    <w:name w:val="Medium Grid 1 - Accent 2 Char"/>
    <w:link w:val="MediumGrid1-Accent21"/>
    <w:uiPriority w:val="34"/>
    <w:locked/>
    <w:rsid w:val="00B642D3"/>
    <w:rPr>
      <w:sz w:val="24"/>
      <w:szCs w:val="24"/>
    </w:rPr>
  </w:style>
  <w:style w:type="character" w:styleId="Hyperlink">
    <w:name w:val="Hyperlink"/>
    <w:basedOn w:val="DefaultParagraphFont"/>
    <w:uiPriority w:val="99"/>
    <w:unhideWhenUsed/>
    <w:rsid w:val="00B642D3"/>
    <w:rPr>
      <w:rFonts w:cs="Times New Roman"/>
      <w:color w:val="0000FF"/>
      <w:u w:val="single"/>
    </w:rPr>
  </w:style>
  <w:style w:type="paragraph" w:customStyle="1" w:styleId="xmsonormal">
    <w:name w:val="x_msonormal"/>
    <w:basedOn w:val="Normal"/>
    <w:rsid w:val="00B642D3"/>
    <w:pPr>
      <w:spacing w:before="100" w:beforeAutospacing="1" w:after="100" w:afterAutospacing="1"/>
      <w:jc w:val="left"/>
    </w:pPr>
    <w:rPr>
      <w:sz w:val="24"/>
      <w:szCs w:val="24"/>
      <w:lang w:val="en-US"/>
    </w:rPr>
  </w:style>
  <w:style w:type="paragraph" w:customStyle="1" w:styleId="TableHeading">
    <w:name w:val="TableHeading"/>
    <w:basedOn w:val="Normal"/>
    <w:rsid w:val="00B642D3"/>
    <w:pPr>
      <w:keepNext/>
      <w:keepLines/>
      <w:widowControl w:val="0"/>
      <w:tabs>
        <w:tab w:val="left" w:pos="720"/>
      </w:tabs>
      <w:jc w:val="center"/>
    </w:pPr>
    <w:rPr>
      <w:b/>
      <w:noProof/>
      <w:sz w:val="20"/>
      <w:szCs w:val="20"/>
      <w:lang w:val="en-CA"/>
    </w:rPr>
  </w:style>
  <w:style w:type="paragraph" w:customStyle="1" w:styleId="AnswerInTable">
    <w:name w:val="AnswerInTable"/>
    <w:basedOn w:val="Normal"/>
    <w:rsid w:val="00B642D3"/>
    <w:pPr>
      <w:tabs>
        <w:tab w:val="left" w:pos="720"/>
      </w:tabs>
      <w:jc w:val="left"/>
    </w:pPr>
    <w:rPr>
      <w:sz w:val="20"/>
      <w:szCs w:val="20"/>
      <w:lang w:val="en-US"/>
    </w:rPr>
  </w:style>
  <w:style w:type="paragraph" w:customStyle="1" w:styleId="Body">
    <w:name w:val="Body"/>
    <w:basedOn w:val="Normal"/>
    <w:rsid w:val="00B642D3"/>
    <w:pPr>
      <w:suppressAutoHyphens/>
      <w:autoSpaceDE w:val="0"/>
      <w:autoSpaceDN w:val="0"/>
      <w:spacing w:before="120"/>
      <w:jc w:val="left"/>
    </w:pPr>
    <w:rPr>
      <w:sz w:val="24"/>
      <w:szCs w:val="24"/>
      <w:lang w:val="en-US"/>
    </w:rPr>
  </w:style>
  <w:style w:type="paragraph" w:customStyle="1" w:styleId="Style2">
    <w:name w:val="Style2"/>
    <w:basedOn w:val="Heading1"/>
    <w:link w:val="Style2Char"/>
    <w:qFormat/>
    <w:rsid w:val="00B642D3"/>
    <w:pPr>
      <w:numPr>
        <w:numId w:val="0"/>
      </w:numPr>
      <w:tabs>
        <w:tab w:val="num" w:pos="710"/>
      </w:tabs>
    </w:pPr>
    <w:rPr>
      <w:rFonts w:eastAsiaTheme="minorEastAsia"/>
      <w:b/>
      <w:lang w:eastAsia="zh-CN"/>
    </w:rPr>
  </w:style>
  <w:style w:type="character" w:customStyle="1" w:styleId="Style2Char">
    <w:name w:val="Style2 Char"/>
    <w:basedOn w:val="Heading1Char1"/>
    <w:link w:val="Style2"/>
    <w:locked/>
    <w:rsid w:val="00B642D3"/>
    <w:rPr>
      <w:rFonts w:eastAsiaTheme="minorEastAsia"/>
      <w:b/>
      <w:sz w:val="22"/>
      <w:szCs w:val="22"/>
      <w:lang w:val="en-GB" w:eastAsia="zh-CN"/>
    </w:rPr>
  </w:style>
  <w:style w:type="table" w:customStyle="1" w:styleId="TableGrid10">
    <w:name w:val="Table Grid1"/>
    <w:basedOn w:val="TableNormal"/>
    <w:next w:val="TableGrid"/>
    <w:rsid w:val="00B642D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B642D3"/>
  </w:style>
  <w:style w:type="paragraph" w:styleId="Caption">
    <w:name w:val="caption"/>
    <w:basedOn w:val="Normal"/>
    <w:next w:val="Normal"/>
    <w:uiPriority w:val="99"/>
    <w:unhideWhenUsed/>
    <w:qFormat/>
    <w:rsid w:val="00B642D3"/>
    <w:pPr>
      <w:spacing w:after="200"/>
      <w:jc w:val="left"/>
    </w:pPr>
    <w:rPr>
      <w:rFonts w:ascii="Calibri" w:eastAsia="Calibri" w:hAnsi="Calibri"/>
      <w:i/>
      <w:iCs/>
      <w:color w:val="1F497D" w:themeColor="text2"/>
      <w:sz w:val="18"/>
      <w:szCs w:val="18"/>
      <w:lang w:val="en-US"/>
    </w:rPr>
  </w:style>
  <w:style w:type="paragraph" w:styleId="TOCHeading">
    <w:name w:val="TOC Heading"/>
    <w:basedOn w:val="Heading1"/>
    <w:next w:val="Normal"/>
    <w:uiPriority w:val="39"/>
    <w:unhideWhenUsed/>
    <w:qFormat/>
    <w:rsid w:val="00B642D3"/>
    <w:pPr>
      <w:keepNext/>
      <w:keepLines/>
      <w:numPr>
        <w:numId w:val="0"/>
      </w:numPr>
      <w:tabs>
        <w:tab w:val="num" w:pos="710"/>
      </w:tabs>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B642D3"/>
    <w:pPr>
      <w:spacing w:after="100" w:line="276" w:lineRule="auto"/>
      <w:jc w:val="left"/>
    </w:pPr>
    <w:rPr>
      <w:rFonts w:ascii="Calibri" w:eastAsia="Calibri" w:hAnsi="Calibri"/>
      <w:lang w:val="en-US"/>
    </w:rPr>
  </w:style>
  <w:style w:type="paragraph" w:styleId="TOC2">
    <w:name w:val="toc 2"/>
    <w:basedOn w:val="Normal"/>
    <w:next w:val="Normal"/>
    <w:autoRedefine/>
    <w:uiPriority w:val="39"/>
    <w:unhideWhenUsed/>
    <w:rsid w:val="00B642D3"/>
    <w:pPr>
      <w:spacing w:after="100" w:line="276" w:lineRule="auto"/>
      <w:ind w:left="220"/>
      <w:jc w:val="left"/>
    </w:pPr>
    <w:rPr>
      <w:rFonts w:ascii="Calibri" w:eastAsia="Calibri" w:hAnsi="Calibri"/>
      <w:lang w:val="en-US"/>
    </w:rPr>
  </w:style>
  <w:style w:type="paragraph" w:styleId="TableofFigures">
    <w:name w:val="table of figures"/>
    <w:basedOn w:val="Normal"/>
    <w:next w:val="Normal"/>
    <w:uiPriority w:val="99"/>
    <w:unhideWhenUsed/>
    <w:rsid w:val="00B642D3"/>
    <w:pPr>
      <w:spacing w:line="276" w:lineRule="auto"/>
      <w:jc w:val="left"/>
    </w:pPr>
    <w:rPr>
      <w:rFonts w:ascii="Calibri" w:eastAsia="Calibri" w:hAnsi="Calibri"/>
      <w:lang w:val="en-US"/>
    </w:rPr>
  </w:style>
  <w:style w:type="paragraph" w:customStyle="1" w:styleId="Default">
    <w:name w:val="Default"/>
    <w:rsid w:val="00B642D3"/>
    <w:pPr>
      <w:autoSpaceDE w:val="0"/>
      <w:autoSpaceDN w:val="0"/>
      <w:adjustRightInd w:val="0"/>
    </w:pPr>
    <w:rPr>
      <w:rFonts w:eastAsiaTheme="minorHAnsi"/>
      <w:color w:val="000000"/>
      <w:sz w:val="24"/>
      <w:szCs w:val="24"/>
    </w:rPr>
  </w:style>
  <w:style w:type="table" w:styleId="LightGrid">
    <w:name w:val="Light Grid"/>
    <w:basedOn w:val="TableNormal"/>
    <w:uiPriority w:val="62"/>
    <w:rsid w:val="00B642D3"/>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TableParagraph">
    <w:name w:val="Table Paragraph"/>
    <w:basedOn w:val="Normal"/>
    <w:uiPriority w:val="1"/>
    <w:qFormat/>
    <w:rsid w:val="00B642D3"/>
    <w:pPr>
      <w:autoSpaceDE w:val="0"/>
      <w:autoSpaceDN w:val="0"/>
      <w:adjustRightInd w:val="0"/>
      <w:spacing w:before="74"/>
      <w:ind w:left="171"/>
      <w:jc w:val="center"/>
    </w:pPr>
    <w:rPr>
      <w:rFonts w:ascii="Arial" w:eastAsiaTheme="minorHAnsi" w:hAnsi="Arial" w:cs="Arial"/>
      <w:sz w:val="24"/>
      <w:szCs w:val="24"/>
      <w:lang w:val="en-US"/>
    </w:rPr>
  </w:style>
  <w:style w:type="paragraph" w:customStyle="1" w:styleId="TableParagraph1">
    <w:name w:val="Table Paragraph1"/>
    <w:basedOn w:val="Normal"/>
    <w:uiPriority w:val="1"/>
    <w:qFormat/>
    <w:rsid w:val="00B642D3"/>
    <w:pPr>
      <w:widowControl w:val="0"/>
      <w:autoSpaceDE w:val="0"/>
      <w:autoSpaceDN w:val="0"/>
      <w:spacing w:line="174" w:lineRule="exact"/>
      <w:jc w:val="center"/>
    </w:pPr>
    <w:rPr>
      <w:rFonts w:ascii="Calibri" w:eastAsia="Calibri" w:hAnsi="Calibri" w:cs="Calibri"/>
      <w:lang w:val="en-US"/>
    </w:rPr>
  </w:style>
  <w:style w:type="paragraph" w:styleId="BodyText">
    <w:name w:val="Body Text"/>
    <w:basedOn w:val="Normal"/>
    <w:link w:val="BodyTextChar"/>
    <w:uiPriority w:val="1"/>
    <w:qFormat/>
    <w:rsid w:val="00B642D3"/>
    <w:pPr>
      <w:widowControl w:val="0"/>
      <w:autoSpaceDE w:val="0"/>
      <w:autoSpaceDN w:val="0"/>
    </w:pPr>
    <w:rPr>
      <w:sz w:val="24"/>
      <w:szCs w:val="24"/>
      <w:lang w:val="en-US" w:bidi="en-US"/>
    </w:rPr>
  </w:style>
  <w:style w:type="character" w:customStyle="1" w:styleId="BodyTextChar">
    <w:name w:val="Body Text Char"/>
    <w:basedOn w:val="DefaultParagraphFont"/>
    <w:link w:val="BodyText"/>
    <w:uiPriority w:val="1"/>
    <w:rsid w:val="00B642D3"/>
    <w:rPr>
      <w:sz w:val="24"/>
      <w:szCs w:val="24"/>
      <w:lang w:bidi="en-US"/>
    </w:rPr>
  </w:style>
  <w:style w:type="table" w:styleId="LightList-Accent1">
    <w:name w:val="Light List Accent 1"/>
    <w:basedOn w:val="TableNormal"/>
    <w:uiPriority w:val="61"/>
    <w:rsid w:val="00B642D3"/>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rsid w:val="00B642D3"/>
    <w:rPr>
      <w:rFonts w:asciiTheme="minorHAnsi" w:eastAsiaTheme="minorHAnsi"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B642D3"/>
    <w:rPr>
      <w:rFonts w:asciiTheme="minorHAnsi" w:eastAsiaTheme="minorHAnsi" w:hAnsiTheme="minorHAnsi" w:cstheme="minorBidi"/>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
    <w:name w:val="Light List"/>
    <w:basedOn w:val="TableNormal"/>
    <w:uiPriority w:val="61"/>
    <w:rsid w:val="00B642D3"/>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llowedHyperlink">
    <w:name w:val="FollowedHyperlink"/>
    <w:basedOn w:val="DefaultParagraphFont"/>
    <w:uiPriority w:val="99"/>
    <w:semiHidden/>
    <w:unhideWhenUsed/>
    <w:rsid w:val="00B642D3"/>
    <w:rPr>
      <w:color w:val="800080" w:themeColor="followedHyperlink"/>
      <w:u w:val="single"/>
    </w:rPr>
  </w:style>
  <w:style w:type="paragraph" w:customStyle="1" w:styleId="TableParagraph2">
    <w:name w:val="Table Paragraph2"/>
    <w:basedOn w:val="Normal"/>
    <w:uiPriority w:val="1"/>
    <w:qFormat/>
    <w:rsid w:val="00B642D3"/>
    <w:pPr>
      <w:widowControl w:val="0"/>
      <w:autoSpaceDE w:val="0"/>
      <w:autoSpaceDN w:val="0"/>
      <w:spacing w:line="174" w:lineRule="exact"/>
      <w:jc w:val="center"/>
    </w:pPr>
    <w:rPr>
      <w:rFonts w:ascii="Calibri" w:eastAsia="Calibri" w:hAnsi="Calibri" w:cs="Calibri"/>
      <w:lang w:val="en-US"/>
    </w:rPr>
  </w:style>
  <w:style w:type="paragraph" w:customStyle="1" w:styleId="CM1">
    <w:name w:val="CM1"/>
    <w:basedOn w:val="Default"/>
    <w:next w:val="Default"/>
    <w:uiPriority w:val="99"/>
    <w:rsid w:val="00B642D3"/>
    <w:rPr>
      <w:rFonts w:ascii="EUAlbertina" w:hAnsi="EUAlbertina" w:cstheme="minorBidi"/>
      <w:color w:val="auto"/>
    </w:rPr>
  </w:style>
  <w:style w:type="paragraph" w:customStyle="1" w:styleId="CM3">
    <w:name w:val="CM3"/>
    <w:basedOn w:val="Default"/>
    <w:next w:val="Default"/>
    <w:uiPriority w:val="99"/>
    <w:rsid w:val="00B642D3"/>
    <w:rPr>
      <w:rFonts w:ascii="EUAlbertina" w:hAnsi="EUAlbertina" w:cstheme="minorBidi"/>
      <w:color w:val="auto"/>
    </w:rPr>
  </w:style>
  <w:style w:type="character" w:styleId="Strong">
    <w:name w:val="Strong"/>
    <w:basedOn w:val="DefaultParagraphFont"/>
    <w:uiPriority w:val="22"/>
    <w:qFormat/>
    <w:rsid w:val="00B642D3"/>
    <w:rPr>
      <w:b/>
      <w:bCs/>
    </w:rPr>
  </w:style>
  <w:style w:type="paragraph" w:styleId="TOC3">
    <w:name w:val="toc 3"/>
    <w:basedOn w:val="Normal"/>
    <w:next w:val="Normal"/>
    <w:autoRedefine/>
    <w:uiPriority w:val="39"/>
    <w:unhideWhenUsed/>
    <w:rsid w:val="00B642D3"/>
    <w:pPr>
      <w:tabs>
        <w:tab w:val="right" w:leader="dot" w:pos="9350"/>
      </w:tabs>
      <w:spacing w:after="100" w:line="276" w:lineRule="auto"/>
      <w:ind w:left="440"/>
    </w:pPr>
    <w:rPr>
      <w:rFonts w:eastAsiaTheme="minorHAnsi"/>
      <w:noProof/>
      <w:lang w:val="en-US"/>
    </w:rPr>
  </w:style>
  <w:style w:type="paragraph" w:styleId="EndnoteText">
    <w:name w:val="endnote text"/>
    <w:basedOn w:val="Normal"/>
    <w:link w:val="EndnoteTextChar"/>
    <w:uiPriority w:val="99"/>
    <w:semiHidden/>
    <w:unhideWhenUsed/>
    <w:rsid w:val="00B642D3"/>
    <w:rPr>
      <w:rFonts w:asciiTheme="minorHAnsi" w:eastAsiaTheme="minorHAnsi" w:hAnsiTheme="minorHAnsi" w:cstheme="minorBidi"/>
      <w:sz w:val="20"/>
      <w:szCs w:val="20"/>
      <w:lang w:val="en-US"/>
    </w:rPr>
  </w:style>
  <w:style w:type="character" w:customStyle="1" w:styleId="EndnoteTextChar">
    <w:name w:val="Endnote Text Char"/>
    <w:basedOn w:val="DefaultParagraphFont"/>
    <w:link w:val="EndnoteText"/>
    <w:uiPriority w:val="99"/>
    <w:semiHidden/>
    <w:rsid w:val="00B642D3"/>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B642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7523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Dominika\84th%20ExCom\08%20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UNEP/OzL.Pro/ExCom/84/22</Document_x0020_Number>
  </documentManagement>
</p:properties>
</file>

<file path=customXml/itemProps1.xml><?xml version="1.0" encoding="utf-8"?>
<ds:datastoreItem xmlns:ds="http://schemas.openxmlformats.org/officeDocument/2006/customXml" ds:itemID="{2512A66A-17AB-4E10-8276-24749C0ACD47}"/>
</file>

<file path=customXml/itemProps2.xml><?xml version="1.0" encoding="utf-8"?>
<ds:datastoreItem xmlns:ds="http://schemas.openxmlformats.org/officeDocument/2006/customXml" ds:itemID="{F7782748-9F54-4530-B470-DE94F7FCE478}"/>
</file>

<file path=customXml/itemProps3.xml><?xml version="1.0" encoding="utf-8"?>
<ds:datastoreItem xmlns:ds="http://schemas.openxmlformats.org/officeDocument/2006/customXml" ds:itemID="{65520BC5-DEE3-4BFD-95BC-2ED214CF6B89}"/>
</file>

<file path=customXml/itemProps4.xml><?xml version="1.0" encoding="utf-8"?>
<ds:datastoreItem xmlns:ds="http://schemas.openxmlformats.org/officeDocument/2006/customXml" ds:itemID="{6AF8E337-8B57-4BE4-A22B-13EA79D4538A}"/>
</file>

<file path=docProps/app.xml><?xml version="1.0" encoding="utf-8"?>
<Properties xmlns="http://schemas.openxmlformats.org/officeDocument/2006/extended-properties" xmlns:vt="http://schemas.openxmlformats.org/officeDocument/2006/docPropsVTypes">
  <Template>Eec84G</Template>
  <TotalTime>109</TotalTime>
  <Pages>58</Pages>
  <Words>26860</Words>
  <Characters>153108</Characters>
  <Application>Microsoft Office Word</Application>
  <DocSecurity>0</DocSecurity>
  <Lines>1275</Lines>
  <Paragraphs>359</Paragraphs>
  <ScaleCrop>false</ScaleCrop>
  <HeadingPairs>
    <vt:vector size="2" baseType="variant">
      <vt:variant>
        <vt:lpstr>Title</vt:lpstr>
      </vt:variant>
      <vt:variant>
        <vt:i4>1</vt:i4>
      </vt:variant>
    </vt:vector>
  </HeadingPairs>
  <TitlesOfParts>
    <vt:vector size="1" baseType="lpstr">
      <vt:lpstr>Rapport sur les projets comportant des exigences particulières de remise de rapports</vt:lpstr>
    </vt:vector>
  </TitlesOfParts>
  <Company>UNMFS</Company>
  <LinksUpToDate>false</LinksUpToDate>
  <CharactersWithSpaces>179609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projets comportant des exigences particulières de remise de rapports</dc:title>
  <dc:creator>Dominika Anna Suwik</dc:creator>
  <cp:lastModifiedBy>HBE</cp:lastModifiedBy>
  <cp:revision>46</cp:revision>
  <cp:lastPrinted>2019-11-29T02:47:00Z</cp:lastPrinted>
  <dcterms:created xsi:type="dcterms:W3CDTF">2019-12-03T23:28:00Z</dcterms:created>
  <dcterms:modified xsi:type="dcterms:W3CDTF">2019-12-04T21:03:00Z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vt:lpwstr>
  </property>
  <property fmtid="{D5CDD505-2E9C-101B-9397-08002B2CF9AE}" pid="3" name="Revision date">
    <vt:lpwstr>28/11/2019</vt:lpwstr>
  </property>
  <property fmtid="{D5CDD505-2E9C-101B-9397-08002B2CF9AE}" pid="4" name="ContentTypeId">
    <vt:lpwstr>0x010100109683CADC4F284EA5F0B82357B5BF3A</vt:lpwstr>
  </property>
</Properties>
</file>