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rels" ContentType="application/vnd.openxmlformats-package.relationships+xml"/>
  <Override PartName="/word/footer7.xml" ContentType="application/vnd.openxmlformats-officedocument.wordprocessingml.footer+xml"/>
  <Override PartName="/word/header14.xml" ContentType="application/vnd.openxmlformats-officedocument.wordprocessingml.header+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5.xml" ContentType="application/vnd.openxmlformats-officedocument.wordprocessingml.footer+xml"/>
  <Override PartName="/word/header8.xml" ContentType="application/vnd.openxmlformats-officedocument.wordprocessingml.header+xml"/>
  <Override PartName="/word/header12.xml" ContentType="application/vnd.openxmlformats-officedocument.wordprocessingml.header+xml"/>
  <Override PartName="/word/footer17.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5.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footer1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Override PartName="/word/header17.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footer18.xml" ContentType="application/vnd.openxmlformats-officedocument.wordprocessingml.footer+xml"/>
  <Override PartName="/word/numbering.xml" ContentType="application/vnd.openxmlformats-officedocument.wordprocessingml.numbering+xml"/>
  <Override PartName="/word/endnotes.xml" ContentType="application/vnd.openxmlformats-officedocument.wordprocessingml.endnotes+xml"/>
  <Override PartName="/word/footer4.xml" ContentType="application/vnd.openxmlformats-officedocument.wordprocessingml.footer+xml"/>
  <Override PartName="/word/header9.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header7.xml" ContentType="application/vnd.openxmlformats-officedocument.wordprocessingml.header+xml"/>
  <Override PartName="/word/header11.xml" ContentType="application/vnd.openxmlformats-officedocument.wordprocessingml.header+xml"/>
  <Override PartName="/word/footer14.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theme/theme1.xml" ContentType="application/vnd.openxmlformats-officedocument.them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rsidTr="005B04FB">
        <w:trPr>
          <w:trHeight w:val="720"/>
        </w:trPr>
        <w:tc>
          <w:tcPr>
            <w:tcW w:w="5490" w:type="dxa"/>
            <w:gridSpan w:val="2"/>
            <w:tcBorders>
              <w:bottom w:val="single" w:sz="18" w:space="0" w:color="auto"/>
            </w:tcBorders>
          </w:tcPr>
          <w:p w:rsidR="00C15867" w:rsidRPr="009B0D30" w:rsidRDefault="00C15867"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rsidR="00C15867" w:rsidRPr="009B0D30" w:rsidRDefault="00C15867" w:rsidP="005B04FB">
            <w:pPr>
              <w:jc w:val="right"/>
              <w:rPr>
                <w:sz w:val="52"/>
                <w:szCs w:val="52"/>
              </w:rPr>
            </w:pPr>
            <w:r w:rsidRPr="009B0D30">
              <w:rPr>
                <w:rFonts w:ascii="Univers Bold" w:hAnsi="Univers Bold"/>
                <w:b/>
                <w:sz w:val="72"/>
              </w:rPr>
              <w:t>EP</w:t>
            </w:r>
          </w:p>
        </w:tc>
      </w:tr>
      <w:tr w:rsidR="00C15867" w:rsidRPr="009B0D30" w:rsidTr="005B0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C15867" w:rsidRPr="009B0D30" w:rsidRDefault="00E52838" w:rsidP="005B04FB">
            <w:pPr>
              <w:spacing w:before="120"/>
            </w:pPr>
            <w:r w:rsidRPr="009B0D30">
              <w:rPr>
                <w:noProof/>
                <w:lang w:eastAsia="en-CA"/>
              </w:rPr>
              <mc:AlternateContent>
                <mc:Choice Requires="wpg">
                  <w:drawing>
                    <wp:anchor distT="0" distB="0" distL="114300" distR="114300" simplePos="0" relativeHeight="251660288" behindDoc="0" locked="0" layoutInCell="1" allowOverlap="1">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B8149E3"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rsidR="00C15867" w:rsidRPr="009B0D30" w:rsidRDefault="00C15867"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C15867" w:rsidRPr="009B0D30" w:rsidRDefault="00C15867"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C15867" w:rsidRPr="009B0D30" w:rsidRDefault="00C15867"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C15867" w:rsidRPr="009B0D30" w:rsidRDefault="00C15867" w:rsidP="005B04FB">
            <w:pPr>
              <w:spacing w:before="720"/>
              <w:ind w:left="158"/>
            </w:pPr>
          </w:p>
        </w:tc>
        <w:tc>
          <w:tcPr>
            <w:tcW w:w="4590" w:type="dxa"/>
            <w:tcBorders>
              <w:top w:val="nil"/>
              <w:left w:val="nil"/>
              <w:bottom w:val="single" w:sz="36" w:space="0" w:color="auto"/>
              <w:right w:val="nil"/>
            </w:tcBorders>
          </w:tcPr>
          <w:p w:rsidR="00C15867" w:rsidRPr="009B0D30" w:rsidRDefault="00C15867" w:rsidP="005B04FB">
            <w:r w:rsidRPr="009B0D30">
              <w:t>Distr.</w:t>
            </w:r>
          </w:p>
          <w:p w:rsidR="00923540" w:rsidRPr="009B0D30" w:rsidRDefault="00923540" w:rsidP="00923540">
            <w:r w:rsidRPr="009B0D30">
              <w:t>GENERAL</w:t>
            </w:r>
          </w:p>
          <w:p w:rsidR="00C15867" w:rsidRPr="009B0D30" w:rsidRDefault="00C15867" w:rsidP="005B04FB"/>
          <w:p w:rsidR="00C15867" w:rsidRPr="009B0D30" w:rsidRDefault="00C15867" w:rsidP="005B04FB"/>
          <w:p w:rsidR="00C15867" w:rsidRPr="009B0D30" w:rsidRDefault="00450D40" w:rsidP="005B04FB">
            <w:r>
              <w:fldChar w:fldCharType="begin"/>
            </w:r>
            <w:r>
              <w:instrText xml:space="preserve"> DOCPROPERTY "Document number"  \* MERGEFORMAT </w:instrText>
            </w:r>
            <w:r>
              <w:fldChar w:fldCharType="separate"/>
            </w:r>
            <w:r w:rsidR="00FF6C2E">
              <w:t>UNEP/</w:t>
            </w:r>
            <w:proofErr w:type="spellStart"/>
            <w:r w:rsidR="00FF6C2E">
              <w:t>OzL.Pro</w:t>
            </w:r>
            <w:proofErr w:type="spellEnd"/>
            <w:r w:rsidR="00FF6C2E">
              <w:t>/</w:t>
            </w:r>
            <w:proofErr w:type="spellStart"/>
            <w:r w:rsidR="00FF6C2E">
              <w:t>ExCom</w:t>
            </w:r>
            <w:proofErr w:type="spellEnd"/>
            <w:r w:rsidR="00FF6C2E">
              <w:t>/89/7</w:t>
            </w:r>
            <w:r>
              <w:fldChar w:fldCharType="end"/>
            </w:r>
          </w:p>
          <w:p w:rsidR="00C15867" w:rsidRPr="009B0D30" w:rsidRDefault="00BC2495" w:rsidP="005B04FB">
            <w:r w:rsidRPr="009B0D30">
              <w:fldChar w:fldCharType="begin"/>
            </w:r>
            <w:r w:rsidR="00851352" w:rsidRPr="009B0D30">
              <w:instrText xml:space="preserve"> DOCPROPERTY "Revision date" \@ "d MMMM YYYY"  \* MERGEFORMAT </w:instrText>
            </w:r>
            <w:r w:rsidRPr="009B0D30">
              <w:fldChar w:fldCharType="separate"/>
            </w:r>
            <w:r w:rsidR="00E314E4">
              <w:t>14 February 2022</w:t>
            </w:r>
            <w:r w:rsidRPr="009B0D30">
              <w:fldChar w:fldCharType="end"/>
            </w:r>
          </w:p>
          <w:p w:rsidR="00C15867" w:rsidRPr="009B0D30" w:rsidRDefault="00C15867" w:rsidP="005B04FB">
            <w:pPr>
              <w:rPr>
                <w:caps/>
              </w:rPr>
            </w:pPr>
          </w:p>
          <w:p w:rsidR="00C15867" w:rsidRPr="009B0D30" w:rsidRDefault="00C15867" w:rsidP="005B04FB">
            <w:r w:rsidRPr="009B0D30">
              <w:t>ORIGINAL: ENGLISH</w:t>
            </w:r>
          </w:p>
        </w:tc>
      </w:tr>
    </w:tbl>
    <w:p w:rsidR="001F53FD" w:rsidRPr="00CC6E10" w:rsidRDefault="00C15867" w:rsidP="001F53FD">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1F53FD" w:rsidRPr="00CC6E10">
        <w:t>Eighty-</w:t>
      </w:r>
      <w:r w:rsidR="001F53FD">
        <w:t xml:space="preserve">ninth </w:t>
      </w:r>
      <w:r w:rsidR="001F53FD" w:rsidRPr="00CC6E10">
        <w:t>Meeting</w:t>
      </w:r>
    </w:p>
    <w:p w:rsidR="001F53FD" w:rsidRPr="00C07B3E" w:rsidRDefault="001F53FD" w:rsidP="001F53FD">
      <w:pPr>
        <w:jc w:val="left"/>
      </w:pPr>
      <w:r w:rsidRPr="00CC6E10">
        <w:t xml:space="preserve">Montreal, </w:t>
      </w:r>
      <w:r w:rsidRPr="00C07B3E">
        <w:t>7-11 March 2022</w:t>
      </w:r>
    </w:p>
    <w:p w:rsidR="001F53FD" w:rsidRPr="00C07B3E" w:rsidRDefault="001F53FD" w:rsidP="001F53FD">
      <w:pPr>
        <w:jc w:val="left"/>
      </w:pPr>
      <w:r w:rsidRPr="00C07B3E">
        <w:t>Postponed to 16, 18 and 20 May 2022 (part I) and</w:t>
      </w:r>
    </w:p>
    <w:p w:rsidR="001F53FD" w:rsidRPr="009B0D30" w:rsidRDefault="001F53FD" w:rsidP="001F53FD">
      <w:pPr>
        <w:jc w:val="left"/>
      </w:pPr>
      <w:r w:rsidRPr="00C07B3E">
        <w:t xml:space="preserve">  16-18 June 2022 (part II)</w:t>
      </w:r>
      <w:r w:rsidRPr="00C07B3E">
        <w:rPr>
          <w:rStyle w:val="FootnoteReference"/>
        </w:rPr>
        <w:footnoteReference w:id="1"/>
      </w:r>
    </w:p>
    <w:p w:rsidR="00AA5368" w:rsidRDefault="00AA5368" w:rsidP="001F53FD">
      <w:pPr>
        <w:jc w:val="left"/>
        <w:rPr>
          <w:sz w:val="24"/>
          <w:szCs w:val="24"/>
          <w:lang w:val="en-US" w:eastAsia="zh-CN"/>
        </w:rPr>
      </w:pPr>
    </w:p>
    <w:p w:rsidR="00FF6C2E" w:rsidRPr="009B0D30" w:rsidRDefault="00FF6C2E" w:rsidP="00857077">
      <w:pPr>
        <w:jc w:val="left"/>
      </w:pPr>
    </w:p>
    <w:p w:rsidR="00FF6C2E" w:rsidRDefault="00FF6C2E" w:rsidP="00857077">
      <w:pPr>
        <w:jc w:val="left"/>
      </w:pPr>
    </w:p>
    <w:p w:rsidR="00FF6C2E" w:rsidRDefault="00FF6C2E" w:rsidP="005B04FB">
      <w:pPr>
        <w:jc w:val="center"/>
        <w:rPr>
          <w:b/>
          <w:caps/>
        </w:rPr>
      </w:pPr>
      <w:r w:rsidRPr="00DA55FD">
        <w:rPr>
          <w:b/>
          <w:caps/>
        </w:rPr>
        <w:t xml:space="preserve">Potential strategies, policy measures and commitments </w:t>
      </w:r>
    </w:p>
    <w:p w:rsidR="00FF6C2E" w:rsidRDefault="00FF6C2E" w:rsidP="005B04FB">
      <w:pPr>
        <w:jc w:val="center"/>
        <w:rPr>
          <w:b/>
          <w:caps/>
        </w:rPr>
      </w:pPr>
      <w:r w:rsidRPr="00DA55FD">
        <w:rPr>
          <w:b/>
          <w:caps/>
        </w:rPr>
        <w:t xml:space="preserve">as well as projects and activities that could be integrated </w:t>
      </w:r>
    </w:p>
    <w:p w:rsidR="00FF6C2E" w:rsidRDefault="00FF6C2E" w:rsidP="005B04FB">
      <w:pPr>
        <w:jc w:val="center"/>
        <w:rPr>
          <w:b/>
          <w:caps/>
        </w:rPr>
      </w:pPr>
      <w:r w:rsidRPr="00DA55FD">
        <w:rPr>
          <w:b/>
          <w:caps/>
        </w:rPr>
        <w:t>within stage I of HFC</w:t>
      </w:r>
      <w:r>
        <w:rPr>
          <w:b/>
          <w:caps/>
        </w:rPr>
        <w:t xml:space="preserve"> </w:t>
      </w:r>
      <w:r w:rsidRPr="00DA55FD">
        <w:rPr>
          <w:b/>
          <w:caps/>
        </w:rPr>
        <w:t>phase</w:t>
      </w:r>
      <w:r>
        <w:rPr>
          <w:b/>
          <w:caps/>
        </w:rPr>
        <w:noBreakHyphen/>
      </w:r>
      <w:r w:rsidRPr="00DA55FD">
        <w:rPr>
          <w:b/>
          <w:caps/>
        </w:rPr>
        <w:t xml:space="preserve">down plans for </w:t>
      </w:r>
      <w:r>
        <w:rPr>
          <w:b/>
          <w:caps/>
        </w:rPr>
        <w:t>Article 5</w:t>
      </w:r>
      <w:r w:rsidRPr="00DA55FD">
        <w:rPr>
          <w:b/>
          <w:caps/>
        </w:rPr>
        <w:t xml:space="preserve"> countries</w:t>
      </w:r>
    </w:p>
    <w:p w:rsidR="00FF6C2E" w:rsidRPr="00DA55FD" w:rsidRDefault="00FF6C2E" w:rsidP="005B04FB">
      <w:pPr>
        <w:jc w:val="center"/>
        <w:rPr>
          <w:b/>
          <w:caps/>
        </w:rPr>
      </w:pPr>
      <w:r>
        <w:rPr>
          <w:b/>
          <w:caps/>
        </w:rPr>
        <w:t>(</w:t>
      </w:r>
      <w:r w:rsidRPr="00385007">
        <w:rPr>
          <w:b/>
          <w:caps/>
        </w:rPr>
        <w:t xml:space="preserve">decision </w:t>
      </w:r>
      <w:r>
        <w:rPr>
          <w:b/>
          <w:caps/>
        </w:rPr>
        <w:t>88/75)</w:t>
      </w:r>
    </w:p>
    <w:p w:rsidR="00FF6C2E" w:rsidRDefault="00FF6C2E" w:rsidP="005B04FB">
      <w:pPr>
        <w:jc w:val="center"/>
        <w:rPr>
          <w:b/>
        </w:rPr>
      </w:pPr>
    </w:p>
    <w:p w:rsidR="00FF6C2E" w:rsidRDefault="00FF6C2E" w:rsidP="005B04FB">
      <w:pPr>
        <w:jc w:val="center"/>
        <w:rPr>
          <w:b/>
        </w:rPr>
      </w:pPr>
    </w:p>
    <w:p w:rsidR="00FF6C2E" w:rsidRDefault="00FF6C2E" w:rsidP="005B04FB">
      <w:pPr>
        <w:jc w:val="center"/>
        <w:rPr>
          <w:b/>
        </w:rPr>
      </w:pPr>
    </w:p>
    <w:p w:rsidR="00FF6C2E" w:rsidRPr="00DC787A" w:rsidRDefault="00FF6C2E" w:rsidP="005B04FB">
      <w:pPr>
        <w:pStyle w:val="Heading1"/>
        <w:numPr>
          <w:ilvl w:val="0"/>
          <w:numId w:val="0"/>
        </w:numPr>
      </w:pPr>
      <w:r w:rsidRPr="00DC787A">
        <w:t>This document consists of:</w:t>
      </w:r>
    </w:p>
    <w:p w:rsidR="00FF6C2E" w:rsidRPr="00DC787A" w:rsidRDefault="00FF6C2E" w:rsidP="005B04FB">
      <w:pPr>
        <w:pStyle w:val="ListParagraph"/>
        <w:numPr>
          <w:ilvl w:val="0"/>
          <w:numId w:val="44"/>
        </w:numPr>
      </w:pPr>
      <w:r w:rsidRPr="00DC787A">
        <w:t>A note by the Secretariat, referring to the discussions at the 88</w:t>
      </w:r>
      <w:r w:rsidRPr="00DC787A">
        <w:rPr>
          <w:vertAlign w:val="superscript"/>
        </w:rPr>
        <w:t>th</w:t>
      </w:r>
      <w:r w:rsidRPr="00DC787A">
        <w:t xml:space="preserve"> meeting </w:t>
      </w:r>
    </w:p>
    <w:p w:rsidR="00FF6C2E" w:rsidRPr="00DC787A" w:rsidRDefault="00FF6C2E" w:rsidP="005B04FB">
      <w:pPr>
        <w:pStyle w:val="ListParagraph"/>
      </w:pPr>
    </w:p>
    <w:p w:rsidR="00FF6C2E" w:rsidRPr="00DC787A" w:rsidRDefault="00FF6C2E" w:rsidP="005B04FB">
      <w:pPr>
        <w:pStyle w:val="ListParagraph"/>
        <w:numPr>
          <w:ilvl w:val="0"/>
          <w:numId w:val="44"/>
        </w:numPr>
      </w:pPr>
      <w:r w:rsidRPr="00DC787A">
        <w:t>Potential strategies, policy measures and commitments, as well as projects and activities that could be integrated within stage I of HFC phase-down plans, for Article 5 countries; prepared by the Secretariat for discussion at the 88</w:t>
      </w:r>
      <w:r w:rsidRPr="00DC787A">
        <w:rPr>
          <w:vertAlign w:val="superscript"/>
        </w:rPr>
        <w:t>th</w:t>
      </w:r>
      <w:r w:rsidRPr="00DC787A">
        <w:t xml:space="preserve"> meeting (document UNEP/OzL.Pro/ExCom/88/71).</w:t>
      </w:r>
    </w:p>
    <w:p w:rsidR="00FF6C2E" w:rsidRDefault="00FF6C2E">
      <w:pPr>
        <w:jc w:val="left"/>
      </w:pPr>
      <w:r>
        <w:br w:type="page"/>
      </w:r>
    </w:p>
    <w:p w:rsidR="00FF6C2E" w:rsidRPr="003A2654" w:rsidRDefault="00FF6C2E" w:rsidP="005B04FB">
      <w:pPr>
        <w:pStyle w:val="Heading1"/>
        <w:numPr>
          <w:ilvl w:val="0"/>
          <w:numId w:val="0"/>
        </w:numPr>
        <w:jc w:val="center"/>
        <w:rPr>
          <w:b/>
        </w:rPr>
      </w:pPr>
      <w:r w:rsidRPr="003A2654">
        <w:rPr>
          <w:b/>
        </w:rPr>
        <w:lastRenderedPageBreak/>
        <w:t>Note by the Secretariat</w:t>
      </w:r>
    </w:p>
    <w:p w:rsidR="00FF6C2E" w:rsidRPr="00DC787A" w:rsidRDefault="00FF6C2E" w:rsidP="005B04FB">
      <w:pPr>
        <w:pStyle w:val="Heading1"/>
      </w:pPr>
      <w:r w:rsidRPr="00DC787A">
        <w:t>In response to decision</w:t>
      </w:r>
      <w:r>
        <w:t> </w:t>
      </w:r>
      <w:r w:rsidRPr="00DC787A">
        <w:t xml:space="preserve">84/54(b), the Secretariat </w:t>
      </w:r>
      <w:r>
        <w:t xml:space="preserve">submitted to </w:t>
      </w:r>
      <w:r w:rsidRPr="00DC787A">
        <w:t>the 87</w:t>
      </w:r>
      <w:r w:rsidRPr="00DC787A">
        <w:rPr>
          <w:vertAlign w:val="superscript"/>
        </w:rPr>
        <w:t>th</w:t>
      </w:r>
      <w:r>
        <w:t> </w:t>
      </w:r>
      <w:r w:rsidRPr="00DC787A">
        <w:t>meeting document</w:t>
      </w:r>
      <w:r>
        <w:t> </w:t>
      </w:r>
      <w:r w:rsidRPr="00DC787A">
        <w:t>UNEP/OzL.Pro/ExCom/87/45</w:t>
      </w:r>
      <w:r>
        <w:t xml:space="preserve"> </w:t>
      </w:r>
      <w:r w:rsidRPr="00DC787A">
        <w:t>on potential strategies, policy measures and commitments, as well as projects and activities that could be integrated within stage I of the HFC phase-down plans for Article</w:t>
      </w:r>
      <w:r>
        <w:t> </w:t>
      </w:r>
      <w:r w:rsidRPr="00DC787A">
        <w:t>5 countries, to ensure limits on growth as well as reductions in HFC consumption that were sustained over time, taking into account the parallel or integrated implementation of HCFC phase-out and HFC phase</w:t>
      </w:r>
      <w:r>
        <w:noBreakHyphen/>
      </w:r>
      <w:r w:rsidRPr="00DC787A">
        <w:t>down activities where appropriate.</w:t>
      </w:r>
      <w:r w:rsidRPr="00DC787A">
        <w:rPr>
          <w:rStyle w:val="FootnoteReference"/>
        </w:rPr>
        <w:footnoteReference w:id="2"/>
      </w:r>
      <w:r w:rsidRPr="00DC787A">
        <w:t xml:space="preserve"> </w:t>
      </w:r>
    </w:p>
    <w:p w:rsidR="00FF6C2E" w:rsidRDefault="00FF6C2E" w:rsidP="005B04FB">
      <w:pPr>
        <w:pStyle w:val="Heading1"/>
      </w:pPr>
      <w:r>
        <w:t xml:space="preserve">Further to a presentation by the Secretariat </w:t>
      </w:r>
      <w:r w:rsidRPr="00BA11CC">
        <w:t>at the formal online 87</w:t>
      </w:r>
      <w:r w:rsidRPr="00BA11CC">
        <w:rPr>
          <w:vertAlign w:val="superscript"/>
        </w:rPr>
        <w:t>th</w:t>
      </w:r>
      <w:r w:rsidRPr="00BA11CC">
        <w:t xml:space="preserve"> meeting, there was g</w:t>
      </w:r>
      <w:r>
        <w:t xml:space="preserve">eneral appreciation of the document, which raised a number of important issues and showed opportunities for Article 5 countries to integrate or synchronize HFC phase-down and HCFC phase-out activities. </w:t>
      </w:r>
      <w:r w:rsidR="00111931">
        <w:t xml:space="preserve">Some of the </w:t>
      </w:r>
      <w:r>
        <w:t>elements highlighted as interesting or worthy of further consideration</w:t>
      </w:r>
      <w:r w:rsidR="00111931">
        <w:t xml:space="preserve"> included</w:t>
      </w:r>
      <w:r>
        <w:t>: possibilities for an integrated approach to HCFC and HFC</w:t>
      </w:r>
      <w:r w:rsidRPr="00AD0925">
        <w:t xml:space="preserve"> </w:t>
      </w:r>
      <w:r>
        <w:t xml:space="preserve">projects; </w:t>
      </w:r>
      <w:r w:rsidR="00111931">
        <w:t xml:space="preserve">the use of </w:t>
      </w:r>
      <w:r>
        <w:t>lessons learned during the phase-out of CFCs and HCFCs; alignment of the licensing and importing systems; opportunities for early action to limit growth in HFC consumption; the eligibility of sectors or sub-sectors to submit plans</w:t>
      </w:r>
      <w:r w:rsidRPr="00DE2315">
        <w:t xml:space="preserve"> </w:t>
      </w:r>
      <w:r>
        <w:t>early; the provision of funding on a case</w:t>
      </w:r>
      <w:r>
        <w:noBreakHyphen/>
        <w:t>by</w:t>
      </w:r>
      <w:r>
        <w:noBreakHyphen/>
        <w:t>case basis; the different treatment of Article 5 group 1 and group 2 countries; and the eligibility of countries that did not ratify the Kigali Amendment but submitted a letter of intent. A number of members from Article 5 Parties expressed concern that the proposed measures might either contradict, be more stringent than, or reduce the flexibility offered to Article 5 countries by decision XXVIII/2.</w:t>
      </w:r>
    </w:p>
    <w:p w:rsidR="00FF6C2E" w:rsidRPr="00DC787A" w:rsidRDefault="00FF6C2E" w:rsidP="005B04FB">
      <w:pPr>
        <w:pStyle w:val="Heading1"/>
      </w:pPr>
      <w:r>
        <w:t>G</w:t>
      </w:r>
      <w:r w:rsidRPr="00DC787A">
        <w:t>iven the complexity of the issues under discussion, it was agreed that more time, more information, and a deeper analysis of certain ideas was required. Acknowledging that the subject matter could be considered properly only at an in</w:t>
      </w:r>
      <w:r w:rsidRPr="00DC787A">
        <w:noBreakHyphen/>
        <w:t>person meeting, the Executive Committee deferred to its 88</w:t>
      </w:r>
      <w:r w:rsidRPr="00DC787A">
        <w:rPr>
          <w:vertAlign w:val="superscript"/>
        </w:rPr>
        <w:t>th</w:t>
      </w:r>
      <w:r w:rsidRPr="00DC787A">
        <w:t xml:space="preserve"> meeting consideration of </w:t>
      </w:r>
      <w:r>
        <w:t xml:space="preserve">the </w:t>
      </w:r>
      <w:r w:rsidRPr="00DC787A">
        <w:t>document (decision 87/49).</w:t>
      </w:r>
    </w:p>
    <w:p w:rsidR="00FF6C2E" w:rsidRPr="00DC787A" w:rsidRDefault="00FF6C2E" w:rsidP="005B04FB">
      <w:pPr>
        <w:pStyle w:val="Heading1"/>
        <w:rPr>
          <w:b/>
        </w:rPr>
      </w:pPr>
      <w:r>
        <w:t>In line with decision 87/49, a</w:t>
      </w:r>
      <w:r w:rsidRPr="00DC787A">
        <w:t>t the 88</w:t>
      </w:r>
      <w:r w:rsidRPr="00DC787A">
        <w:rPr>
          <w:vertAlign w:val="superscript"/>
        </w:rPr>
        <w:t>th</w:t>
      </w:r>
      <w:r w:rsidRPr="00DC787A">
        <w:t xml:space="preserve"> meeting, the Secretariat presented document UNEP/OzL.Pro/ExCom/88/71, which was largely the same as document UNEP/OzL.Pro/ExCom/87/45. Given, however, that the guidelines for the preparation of the Kigali HFC implementation plans (KIPs) approved at the 87</w:t>
      </w:r>
      <w:r w:rsidRPr="00DC787A">
        <w:rPr>
          <w:vertAlign w:val="superscript"/>
        </w:rPr>
        <w:t>th</w:t>
      </w:r>
      <w:r w:rsidRPr="00DC787A">
        <w:t xml:space="preserve"> meeting had already covered certain elements discussed in the document, the Secretariat </w:t>
      </w:r>
      <w:r>
        <w:t xml:space="preserve">made </w:t>
      </w:r>
      <w:r w:rsidRPr="00DC787A">
        <w:t xml:space="preserve">several observations </w:t>
      </w:r>
      <w:r>
        <w:t>on the recommendation contained in the document submitted to the 87</w:t>
      </w:r>
      <w:r w:rsidRPr="00355A73">
        <w:rPr>
          <w:vertAlign w:val="superscript"/>
        </w:rPr>
        <w:t>th</w:t>
      </w:r>
      <w:r>
        <w:t xml:space="preserve"> meeting, </w:t>
      </w:r>
      <w:r w:rsidRPr="00DC787A">
        <w:t xml:space="preserve">for further consideration by the Executive Committee. </w:t>
      </w:r>
    </w:p>
    <w:p w:rsidR="00FF6C2E" w:rsidRPr="00DC787A" w:rsidRDefault="00FF6C2E" w:rsidP="005B04FB">
      <w:pPr>
        <w:pStyle w:val="Heading1"/>
        <w:widowControl w:val="0"/>
        <w:rPr>
          <w:b/>
        </w:rPr>
      </w:pPr>
      <w:r w:rsidRPr="00DC787A">
        <w:t xml:space="preserve">The Executive Committee discussed </w:t>
      </w:r>
      <w:r>
        <w:t xml:space="preserve">the </w:t>
      </w:r>
      <w:r w:rsidRPr="00DC787A">
        <w:t>document at its formal online meeting</w:t>
      </w:r>
      <w:r>
        <w:t>, followed by discussions among t</w:t>
      </w:r>
      <w:r w:rsidRPr="00DC787A">
        <w:t>he contact group established to discuss the matter</w:t>
      </w:r>
      <w:r>
        <w:t>. Members</w:t>
      </w:r>
      <w:r w:rsidRPr="00DC787A">
        <w:t xml:space="preserve"> held general discussions on several elements contained in the document, but </w:t>
      </w:r>
      <w:r>
        <w:t xml:space="preserve">were </w:t>
      </w:r>
      <w:r w:rsidRPr="00DC787A">
        <w:t>unable to enter into more substantive discussions on some other ideas. Certain members felt that additional time was needed to gain a better understanding of those ideas, and preferred not to address the recommendations or adopt a decision at th</w:t>
      </w:r>
      <w:r>
        <w:t>at time</w:t>
      </w:r>
      <w:r w:rsidRPr="00DC787A">
        <w:t xml:space="preserve">. Concerns </w:t>
      </w:r>
      <w:r>
        <w:t>were</w:t>
      </w:r>
      <w:r w:rsidRPr="00DC787A">
        <w:t xml:space="preserve"> </w:t>
      </w:r>
      <w:r>
        <w:t xml:space="preserve">also </w:t>
      </w:r>
      <w:r w:rsidRPr="00DC787A">
        <w:t>raised about the concept of limiting growth in HFC c</w:t>
      </w:r>
      <w:r>
        <w:t xml:space="preserve">onsumption, as some members </w:t>
      </w:r>
      <w:r w:rsidRPr="00DC787A">
        <w:t>considered that it would constitute an obligation beyond the terms of decision XXVIII/2</w:t>
      </w:r>
      <w:r>
        <w:t>,</w:t>
      </w:r>
      <w:r w:rsidRPr="00DC787A">
        <w:t xml:space="preserve"> or remove the flexibility that th</w:t>
      </w:r>
      <w:r>
        <w:t>e</w:t>
      </w:r>
      <w:r w:rsidRPr="00DC787A">
        <w:t xml:space="preserve"> decision offered to Article</w:t>
      </w:r>
      <w:r>
        <w:t> </w:t>
      </w:r>
      <w:r w:rsidRPr="00DC787A">
        <w:t>5</w:t>
      </w:r>
      <w:r>
        <w:t xml:space="preserve"> countries; several members </w:t>
      </w:r>
      <w:r w:rsidRPr="00DC787A">
        <w:t xml:space="preserve">also considered it important </w:t>
      </w:r>
      <w:r>
        <w:t xml:space="preserve">that a decision was </w:t>
      </w:r>
      <w:r w:rsidRPr="00DC787A">
        <w:t xml:space="preserve">first </w:t>
      </w:r>
      <w:r>
        <w:t>made</w:t>
      </w:r>
      <w:r w:rsidRPr="00DC787A">
        <w:t xml:space="preserve"> on the HFC cost guidelines. Other members, however, </w:t>
      </w:r>
      <w:r>
        <w:t>were</w:t>
      </w:r>
      <w:r w:rsidRPr="00DC787A">
        <w:t xml:space="preserve"> in favour of adopting a decision indicating that the document could be used as a reference by Article 5 countries and bilateral and implementing agencies when designing strateg</w:t>
      </w:r>
      <w:r>
        <w:t xml:space="preserve">ies to phase down HFCs and in preparing KIPs, on </w:t>
      </w:r>
      <w:r w:rsidRPr="00DC787A">
        <w:t>the understanding that the ideas and suggestions therein were not</w:t>
      </w:r>
      <w:r>
        <w:t xml:space="preserve"> to be seen as</w:t>
      </w:r>
      <w:r w:rsidRPr="00DC787A">
        <w:t xml:space="preserve"> prescriptive or</w:t>
      </w:r>
      <w:r>
        <w:t xml:space="preserve"> binding, but rather to be </w:t>
      </w:r>
      <w:r w:rsidRPr="00DC787A">
        <w:t>taken into consideration, as relevant, depending on the national circumstances of each country</w:t>
      </w:r>
      <w:r>
        <w:t>, while</w:t>
      </w:r>
      <w:r w:rsidRPr="00DC787A">
        <w:t xml:space="preserve"> bearing in mind that the fundamental purpose of such projects was HFC phase-down and sustained compliance. One membe</w:t>
      </w:r>
      <w:r>
        <w:t>r</w:t>
      </w:r>
      <w:r w:rsidRPr="00DC787A">
        <w:t xml:space="preserve"> proposed </w:t>
      </w:r>
      <w:r>
        <w:t xml:space="preserve">a </w:t>
      </w:r>
      <w:r w:rsidRPr="00DC787A">
        <w:t xml:space="preserve">text </w:t>
      </w:r>
      <w:r>
        <w:t xml:space="preserve">of a </w:t>
      </w:r>
      <w:r w:rsidRPr="00DC787A">
        <w:t>draft decision acco</w:t>
      </w:r>
      <w:r>
        <w:t xml:space="preserve">rdingly. Although </w:t>
      </w:r>
      <w:r w:rsidRPr="00DC787A">
        <w:t xml:space="preserve">no consensus </w:t>
      </w:r>
      <w:r>
        <w:t>was reached</w:t>
      </w:r>
      <w:r w:rsidRPr="00DC787A">
        <w:t xml:space="preserve"> with regard to the adoption of a decision on the proposal, </w:t>
      </w:r>
      <w:r>
        <w:t>the group expressed</w:t>
      </w:r>
      <w:r w:rsidRPr="00DC787A">
        <w:t xml:space="preserve"> interest in continuing </w:t>
      </w:r>
      <w:r w:rsidRPr="00DC787A">
        <w:lastRenderedPageBreak/>
        <w:t xml:space="preserve">discussions on the idea and on document UNEP/OzL.Pro/ExCom/88/71 at the following meeting. </w:t>
      </w:r>
    </w:p>
    <w:p w:rsidR="00FF6C2E" w:rsidRDefault="00FF6C2E" w:rsidP="005B04FB">
      <w:pPr>
        <w:pStyle w:val="Heading1"/>
      </w:pPr>
      <w:r w:rsidRPr="00DC787A">
        <w:t xml:space="preserve">Accordingly, the Executive Committee decided </w:t>
      </w:r>
      <w:r>
        <w:t>to continue, at its</w:t>
      </w:r>
      <w:r w:rsidRPr="00DC787A">
        <w:t xml:space="preserve"> 89</w:t>
      </w:r>
      <w:r w:rsidRPr="00DC787A">
        <w:rPr>
          <w:vertAlign w:val="superscript"/>
        </w:rPr>
        <w:t>th</w:t>
      </w:r>
      <w:r>
        <w:t xml:space="preserve"> meeting,</w:t>
      </w:r>
      <w:r w:rsidRPr="00DC787A">
        <w:t xml:space="preserve"> discussions on document UNEP/OzL.Pro/ExCom/88/71 and on the text </w:t>
      </w:r>
      <w:r>
        <w:t>of a draft decision seeking</w:t>
      </w:r>
      <w:r w:rsidRPr="00DC787A">
        <w:t xml:space="preserve"> to encourage bilateral and implementing agencies and Article 5 countries, in accordance with their national circumstances, to take into account, when appropriate, the ideas and suggestions contained within that document when designing strategies to phase down HFC</w:t>
      </w:r>
      <w:r>
        <w:t>s</w:t>
      </w:r>
      <w:r w:rsidRPr="00DC787A">
        <w:t xml:space="preserve"> and developing KIPs (decision 88/75). </w:t>
      </w:r>
    </w:p>
    <w:p w:rsidR="00FF6C2E" w:rsidRPr="00DC787A" w:rsidRDefault="00FF6C2E" w:rsidP="005B04FB">
      <w:pPr>
        <w:pStyle w:val="Heading1"/>
      </w:pPr>
      <w:r w:rsidRPr="00DC787A">
        <w:t>Pursuant to decision 88/75, document</w:t>
      </w:r>
      <w:r>
        <w:t> </w:t>
      </w:r>
      <w:r w:rsidRPr="00DC787A">
        <w:t>UNEP/OzL.Pro/ExCom/88/71 is attached to this note for further discussion.</w:t>
      </w:r>
    </w:p>
    <w:p w:rsidR="00FF6C2E" w:rsidRPr="00DC787A" w:rsidRDefault="00FF6C2E" w:rsidP="005B04FB">
      <w:pPr>
        <w:jc w:val="center"/>
        <w:sectPr w:rsidR="00FF6C2E" w:rsidRPr="00DC787A"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rsidRPr="00DC787A">
        <w:t>---</w:t>
      </w:r>
    </w:p>
    <w:tbl>
      <w:tblPr>
        <w:tblW w:w="0" w:type="auto"/>
        <w:tblInd w:w="-432" w:type="dxa"/>
        <w:tblLayout w:type="fixed"/>
        <w:tblLook w:val="0000" w:firstRow="0" w:lastRow="0" w:firstColumn="0" w:lastColumn="0" w:noHBand="0" w:noVBand="0"/>
      </w:tblPr>
      <w:tblGrid>
        <w:gridCol w:w="2070"/>
        <w:gridCol w:w="3420"/>
        <w:gridCol w:w="4590"/>
      </w:tblGrid>
      <w:tr w:rsidR="00FF6C2E" w:rsidRPr="009B0D30" w:rsidTr="005B04FB">
        <w:trPr>
          <w:trHeight w:val="720"/>
        </w:trPr>
        <w:tc>
          <w:tcPr>
            <w:tcW w:w="5490" w:type="dxa"/>
            <w:gridSpan w:val="2"/>
            <w:tcBorders>
              <w:bottom w:val="single" w:sz="18" w:space="0" w:color="auto"/>
            </w:tcBorders>
          </w:tcPr>
          <w:p w:rsidR="00FF6C2E" w:rsidRPr="009B0D30" w:rsidRDefault="00FF6C2E"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lastRenderedPageBreak/>
              <w:t>UNITED</w:t>
            </w:r>
            <w:r w:rsidRPr="009B0D30">
              <w:rPr>
                <w:rFonts w:ascii="Univers" w:hAnsi="Univers"/>
                <w:b/>
                <w:sz w:val="28"/>
                <w:szCs w:val="28"/>
              </w:rPr>
              <w:br/>
              <w:t>NATIONS</w:t>
            </w:r>
          </w:p>
        </w:tc>
        <w:tc>
          <w:tcPr>
            <w:tcW w:w="4590" w:type="dxa"/>
            <w:tcBorders>
              <w:bottom w:val="single" w:sz="18" w:space="0" w:color="auto"/>
            </w:tcBorders>
          </w:tcPr>
          <w:p w:rsidR="00FF6C2E" w:rsidRPr="009B0D30" w:rsidRDefault="00FF6C2E" w:rsidP="005B04FB">
            <w:pPr>
              <w:jc w:val="right"/>
              <w:rPr>
                <w:sz w:val="52"/>
                <w:szCs w:val="52"/>
              </w:rPr>
            </w:pPr>
            <w:r w:rsidRPr="009B0D30">
              <w:rPr>
                <w:rFonts w:ascii="Univers Bold" w:hAnsi="Univers Bold"/>
                <w:b/>
                <w:sz w:val="72"/>
              </w:rPr>
              <w:t>EP</w:t>
            </w:r>
          </w:p>
        </w:tc>
      </w:tr>
      <w:tr w:rsidR="00FF6C2E" w:rsidRPr="009B0D30" w:rsidTr="005B04F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FF6C2E" w:rsidRPr="009B0D30" w:rsidRDefault="00FF6C2E" w:rsidP="005B04FB">
            <w:pPr>
              <w:spacing w:before="120"/>
            </w:pPr>
            <w:r w:rsidRPr="009B0D30">
              <w:rPr>
                <w:noProof/>
                <w:lang w:eastAsia="en-CA"/>
              </w:rPr>
              <mc:AlternateContent>
                <mc:Choice Requires="wpg">
                  <w:drawing>
                    <wp:anchor distT="0" distB="0" distL="114300" distR="114300" simplePos="0" relativeHeight="251663360" behindDoc="0" locked="0" layoutInCell="1" allowOverlap="1" wp14:anchorId="1D1F0D9F" wp14:editId="4B5A47F4">
                      <wp:simplePos x="0" y="0"/>
                      <wp:positionH relativeFrom="column">
                        <wp:posOffset>2540</wp:posOffset>
                      </wp:positionH>
                      <wp:positionV relativeFrom="paragraph">
                        <wp:posOffset>36195</wp:posOffset>
                      </wp:positionV>
                      <wp:extent cx="844550" cy="1616075"/>
                      <wp:effectExtent l="0" t="0" r="0" b="3175"/>
                      <wp:wrapNone/>
                      <wp:docPr id="7" name="Group 7"/>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8" name="Picture 8"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9" name="Picture 9"/>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0D83DD04" id="Group 7" o:spid="_x0000_s1026" style="position:absolute;margin-left:.2pt;margin-top:2.85pt;width:66.5pt;height:127.25pt;z-index:25166336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">
                        <v:imagedata r:id="rId17" o:title="UNEP"/>
                        <v:path arrowok="t"/>
                      </v:shape>
                      <v:shape id="Picture 9"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">
                        <v:imagedata r:id="rId18" o:title=""/>
                        <v:path arrowok="t"/>
                      </v:shape>
                    </v:group>
                  </w:pict>
                </mc:Fallback>
              </mc:AlternateContent>
            </w:r>
          </w:p>
        </w:tc>
        <w:tc>
          <w:tcPr>
            <w:tcW w:w="3420" w:type="dxa"/>
            <w:tcBorders>
              <w:top w:val="nil"/>
              <w:left w:val="nil"/>
              <w:bottom w:val="single" w:sz="36" w:space="0" w:color="auto"/>
              <w:right w:val="nil"/>
            </w:tcBorders>
          </w:tcPr>
          <w:p w:rsidR="00FF6C2E" w:rsidRPr="009B0D30" w:rsidRDefault="00FF6C2E"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rsidR="00FF6C2E" w:rsidRPr="009B0D30" w:rsidRDefault="00FF6C2E"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rsidR="00FF6C2E" w:rsidRPr="009B0D30" w:rsidRDefault="00FF6C2E" w:rsidP="005B04F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rsidR="00FF6C2E" w:rsidRPr="009B0D30" w:rsidRDefault="00FF6C2E" w:rsidP="005B04FB">
            <w:pPr>
              <w:spacing w:before="720"/>
              <w:ind w:left="158"/>
            </w:pPr>
          </w:p>
        </w:tc>
        <w:tc>
          <w:tcPr>
            <w:tcW w:w="4590" w:type="dxa"/>
            <w:tcBorders>
              <w:top w:val="nil"/>
              <w:left w:val="nil"/>
              <w:bottom w:val="single" w:sz="36" w:space="0" w:color="auto"/>
              <w:right w:val="nil"/>
            </w:tcBorders>
          </w:tcPr>
          <w:p w:rsidR="00FF6C2E" w:rsidRPr="009B0D30" w:rsidRDefault="00FF6C2E" w:rsidP="005B04FB">
            <w:r w:rsidRPr="009B0D30">
              <w:t>Distr.</w:t>
            </w:r>
          </w:p>
          <w:p w:rsidR="00FF6C2E" w:rsidRPr="009B0D30" w:rsidRDefault="00FF6C2E" w:rsidP="00923540">
            <w:r w:rsidRPr="009B0D30">
              <w:t>GENERAL</w:t>
            </w:r>
          </w:p>
          <w:p w:rsidR="00FF6C2E" w:rsidRDefault="00FF6C2E" w:rsidP="005B04FB"/>
          <w:p w:rsidR="005B04FB" w:rsidRPr="009B0D30" w:rsidRDefault="005B04FB" w:rsidP="005B04FB"/>
          <w:p w:rsidR="00FF6C2E" w:rsidRDefault="005B04FB" w:rsidP="005B04FB">
            <w:r>
              <w:t>UNEP/</w:t>
            </w:r>
            <w:proofErr w:type="spellStart"/>
            <w:r>
              <w:t>OzL.Pro</w:t>
            </w:r>
            <w:proofErr w:type="spellEnd"/>
            <w:r>
              <w:t>/</w:t>
            </w:r>
            <w:proofErr w:type="spellStart"/>
            <w:r>
              <w:t>ExCom</w:t>
            </w:r>
            <w:proofErr w:type="spellEnd"/>
            <w:r>
              <w:t>/88/71</w:t>
            </w:r>
          </w:p>
          <w:p w:rsidR="005B04FB" w:rsidRPr="009B0D30" w:rsidRDefault="005B04FB" w:rsidP="005B04FB">
            <w:r>
              <w:t>1 November 2021</w:t>
            </w:r>
          </w:p>
          <w:p w:rsidR="00FF6C2E" w:rsidRPr="009B0D30" w:rsidRDefault="00FF6C2E" w:rsidP="005B04FB">
            <w:r w:rsidRPr="009B0D30">
              <w:fldChar w:fldCharType="begin"/>
            </w:r>
            <w:r w:rsidRPr="009B0D30">
              <w:instrText xml:space="preserve"> DOCPROPERTY "Revision date" \@ "d MMMM YYYY"  \* MERGEFORMAT </w:instrText>
            </w:r>
            <w:r w:rsidRPr="009B0D30">
              <w:fldChar w:fldCharType="end"/>
            </w:r>
          </w:p>
          <w:p w:rsidR="00FF6C2E" w:rsidRPr="009B0D30" w:rsidRDefault="00FF6C2E" w:rsidP="005B04FB">
            <w:r w:rsidRPr="009B0D30">
              <w:t>ORIGINAL: ENGLISH</w:t>
            </w:r>
          </w:p>
        </w:tc>
      </w:tr>
    </w:tbl>
    <w:p w:rsidR="00FF6C2E" w:rsidRPr="00CC6E10" w:rsidRDefault="00FF6C2E" w:rsidP="00B86471">
      <w:pPr>
        <w:jc w:val="left"/>
      </w:pPr>
      <w:r w:rsidRPr="009B0D30">
        <w:t>EXECUTIVE COMMITTEE OF</w:t>
      </w:r>
      <w:r w:rsidRPr="009B0D30">
        <w:br/>
        <w:t xml:space="preserve">  THE MULTILATERAL FUND FOR THE</w:t>
      </w:r>
      <w:r w:rsidRPr="009B0D30">
        <w:br/>
        <w:t xml:space="preserve">  IMPLEMENTATION OF THE MONTREAL PROTOCOL</w:t>
      </w:r>
      <w:r w:rsidRPr="009B0D30">
        <w:br/>
      </w:r>
      <w:r w:rsidRPr="00CC6E10">
        <w:t>Eighty-</w:t>
      </w:r>
      <w:r>
        <w:t xml:space="preserve">eighth </w:t>
      </w:r>
      <w:r w:rsidRPr="00CC6E10">
        <w:t>Meeting</w:t>
      </w:r>
    </w:p>
    <w:p w:rsidR="00FF6C2E" w:rsidRPr="009B0D30" w:rsidRDefault="00FF6C2E" w:rsidP="00B86471">
      <w:pPr>
        <w:jc w:val="left"/>
      </w:pPr>
      <w:r w:rsidRPr="00CC6E10">
        <w:t xml:space="preserve">Montreal, </w:t>
      </w:r>
      <w:r>
        <w:t>15</w:t>
      </w:r>
      <w:r w:rsidRPr="00CC6E10">
        <w:t>-</w:t>
      </w:r>
      <w:r>
        <w:t>19</w:t>
      </w:r>
      <w:r w:rsidRPr="00CC6E10">
        <w:t xml:space="preserve"> </w:t>
      </w:r>
      <w:r>
        <w:t>November</w:t>
      </w:r>
      <w:r w:rsidRPr="00CC6E10">
        <w:t xml:space="preserve"> 2021</w:t>
      </w:r>
      <w:r>
        <w:rPr>
          <w:rStyle w:val="FootnoteReference"/>
        </w:rPr>
        <w:footnoteReference w:id="3"/>
      </w:r>
    </w:p>
    <w:p w:rsidR="00FF6C2E" w:rsidRPr="009B0D30" w:rsidRDefault="00FF6C2E" w:rsidP="00857077">
      <w:pPr>
        <w:jc w:val="left"/>
      </w:pPr>
    </w:p>
    <w:p w:rsidR="00FF6C2E" w:rsidRDefault="00FF6C2E" w:rsidP="00857077">
      <w:pPr>
        <w:jc w:val="left"/>
      </w:pPr>
    </w:p>
    <w:p w:rsidR="00FF6C2E" w:rsidRDefault="00FF6C2E" w:rsidP="005B04FB">
      <w:pPr>
        <w:jc w:val="center"/>
        <w:rPr>
          <w:b/>
          <w:caps/>
        </w:rPr>
      </w:pPr>
      <w:r w:rsidRPr="00DA55FD">
        <w:rPr>
          <w:b/>
          <w:caps/>
        </w:rPr>
        <w:t xml:space="preserve">Potential strategies, policy measures and commitments, </w:t>
      </w:r>
    </w:p>
    <w:p w:rsidR="00FF6C2E" w:rsidRDefault="00FF6C2E" w:rsidP="005B04FB">
      <w:pPr>
        <w:jc w:val="center"/>
        <w:rPr>
          <w:b/>
          <w:caps/>
        </w:rPr>
      </w:pPr>
      <w:r w:rsidRPr="00DA55FD">
        <w:rPr>
          <w:b/>
          <w:caps/>
        </w:rPr>
        <w:t xml:space="preserve">as well as projects and activities that could be integrated </w:t>
      </w:r>
    </w:p>
    <w:p w:rsidR="00FF6C2E" w:rsidRPr="00DA55FD" w:rsidRDefault="00FF6C2E" w:rsidP="005B04FB">
      <w:pPr>
        <w:jc w:val="center"/>
        <w:rPr>
          <w:b/>
          <w:caps/>
        </w:rPr>
      </w:pPr>
      <w:r w:rsidRPr="00DA55FD">
        <w:rPr>
          <w:b/>
          <w:caps/>
        </w:rPr>
        <w:t>within stage I of HFC</w:t>
      </w:r>
      <w:r>
        <w:rPr>
          <w:b/>
          <w:caps/>
        </w:rPr>
        <w:t xml:space="preserve"> </w:t>
      </w:r>
      <w:r w:rsidRPr="00DA55FD">
        <w:rPr>
          <w:b/>
          <w:caps/>
        </w:rPr>
        <w:t>phase</w:t>
      </w:r>
      <w:r>
        <w:rPr>
          <w:b/>
          <w:caps/>
        </w:rPr>
        <w:noBreakHyphen/>
      </w:r>
      <w:r w:rsidRPr="00DA55FD">
        <w:rPr>
          <w:b/>
          <w:caps/>
        </w:rPr>
        <w:t xml:space="preserve">down plans for </w:t>
      </w:r>
      <w:r>
        <w:rPr>
          <w:b/>
          <w:caps/>
        </w:rPr>
        <w:t>Article 5</w:t>
      </w:r>
      <w:r w:rsidRPr="00DA55FD">
        <w:rPr>
          <w:b/>
          <w:caps/>
        </w:rPr>
        <w:t xml:space="preserve"> countries</w:t>
      </w:r>
      <w:r>
        <w:rPr>
          <w:b/>
          <w:caps/>
        </w:rPr>
        <w:t xml:space="preserve"> (DECISION 84/54(</w:t>
      </w:r>
      <w:r w:rsidRPr="00E23E9A">
        <w:rPr>
          <w:b/>
        </w:rPr>
        <w:t>b</w:t>
      </w:r>
      <w:r>
        <w:rPr>
          <w:b/>
          <w:caps/>
        </w:rPr>
        <w:t>))</w:t>
      </w:r>
    </w:p>
    <w:p w:rsidR="00FF6C2E" w:rsidRPr="00090F58" w:rsidRDefault="00FF6C2E" w:rsidP="005B04FB">
      <w:pPr>
        <w:jc w:val="center"/>
        <w:rPr>
          <w:b/>
        </w:rPr>
      </w:pPr>
    </w:p>
    <w:p w:rsidR="00FF6C2E" w:rsidRDefault="00FF6C2E" w:rsidP="005B04FB">
      <w:pPr>
        <w:pStyle w:val="Heading1"/>
        <w:numPr>
          <w:ilvl w:val="0"/>
          <w:numId w:val="0"/>
        </w:numPr>
        <w:rPr>
          <w:b/>
        </w:rPr>
      </w:pPr>
      <w:r w:rsidRPr="00DE2E38">
        <w:rPr>
          <w:b/>
        </w:rPr>
        <w:t>Background</w:t>
      </w:r>
    </w:p>
    <w:p w:rsidR="00FF6C2E" w:rsidRPr="00CE477B" w:rsidRDefault="00FF6C2E" w:rsidP="005B04FB">
      <w:pPr>
        <w:pStyle w:val="Heading1"/>
        <w:numPr>
          <w:ilvl w:val="0"/>
          <w:numId w:val="45"/>
        </w:numPr>
      </w:pPr>
      <w:r>
        <w:t>At its 84</w:t>
      </w:r>
      <w:r w:rsidRPr="00A3621F">
        <w:rPr>
          <w:vertAlign w:val="superscript"/>
        </w:rPr>
        <w:t>th</w:t>
      </w:r>
      <w:r>
        <w:t xml:space="preserve"> meeting, the Executive Committee considered r</w:t>
      </w:r>
      <w:r w:rsidRPr="00A513E6">
        <w:t>equests for preparatory funding for HFC phase</w:t>
      </w:r>
      <w:r>
        <w:noBreakHyphen/>
      </w:r>
      <w:r w:rsidRPr="00A513E6">
        <w:t>down plans and demonstration pilot projects included in the work programme amendments of one implementing agency</w:t>
      </w:r>
      <w:r>
        <w:t>.</w:t>
      </w:r>
      <w:r>
        <w:rPr>
          <w:rStyle w:val="FootnoteReference"/>
        </w:rPr>
        <w:footnoteReference w:id="4"/>
      </w:r>
      <w:r>
        <w:t xml:space="preserve"> During the discussion, m</w:t>
      </w:r>
      <w:r w:rsidRPr="00656CBB">
        <w:t xml:space="preserve">embers underscored that the phase-down plans would result in a sustained reduction of HFC consumption, limit growth in HFC consumption, and provide guidance on the type of commitment required from Governments in order to give the Executive Committee confidence that the HFC consumption phased out would remain phased out. </w:t>
      </w:r>
      <w:r>
        <w:t xml:space="preserve">It was also proposed </w:t>
      </w:r>
      <w:r w:rsidRPr="00656CBB">
        <w:t xml:space="preserve">that the Secretariat be requested to prepare a document providing analysis and options for potential strategies, project activities and policy measures for inclusion in phase-down plans to ensure that they led to sustained reductions or limits on consumption. It was </w:t>
      </w:r>
      <w:r>
        <w:t xml:space="preserve">further </w:t>
      </w:r>
      <w:r w:rsidRPr="00656CBB">
        <w:t>suggested that the document also reflect the Secretariat's analysis of the implications of parallel or integrated implementation of HCFC phase-out and HFC phase</w:t>
      </w:r>
      <w:r>
        <w:noBreakHyphen/>
      </w:r>
      <w:r w:rsidRPr="00656CBB">
        <w:t>down activities,</w:t>
      </w:r>
      <w:r>
        <w:rPr>
          <w:rStyle w:val="FootnoteReference"/>
        </w:rPr>
        <w:footnoteReference w:id="5"/>
      </w:r>
      <w:r w:rsidRPr="00656CBB">
        <w:t xml:space="preserve"> </w:t>
      </w:r>
      <w:r>
        <w:t xml:space="preserve">which would </w:t>
      </w:r>
      <w:r w:rsidRPr="00656CBB">
        <w:t>be discussed under agenda item 12.</w:t>
      </w:r>
      <w:r>
        <w:t xml:space="preserve"> </w:t>
      </w:r>
      <w:r w:rsidRPr="00656CBB">
        <w:t xml:space="preserve">Subsequently, the </w:t>
      </w:r>
      <w:r>
        <w:t xml:space="preserve">Executive </w:t>
      </w:r>
      <w:r w:rsidRPr="00656CBB">
        <w:t>Committee considered a draft decision on the matter and, following a brief discussion, referred the matter to a contact group.</w:t>
      </w:r>
    </w:p>
    <w:p w:rsidR="00FF6C2E" w:rsidRPr="007B00C6" w:rsidRDefault="00FF6C2E" w:rsidP="005B04FB">
      <w:pPr>
        <w:pStyle w:val="Heading1"/>
      </w:pPr>
      <w:r w:rsidRPr="004A085B">
        <w:rPr>
          <w:iCs/>
        </w:rPr>
        <w:t xml:space="preserve">Based on the report submitted by the convener of the contact group, </w:t>
      </w:r>
      <w:r w:rsidRPr="004A085B">
        <w:t>the Executive Committee requested the Secretariat to</w:t>
      </w:r>
      <w:r>
        <w:t xml:space="preserve"> prepare for the 85</w:t>
      </w:r>
      <w:r w:rsidRPr="002D04FB">
        <w:rPr>
          <w:vertAlign w:val="superscript"/>
        </w:rPr>
        <w:t>th</w:t>
      </w:r>
      <w:r>
        <w:t> meeting:</w:t>
      </w:r>
    </w:p>
    <w:p w:rsidR="00FF6C2E" w:rsidRPr="007B00C6" w:rsidRDefault="00FF6C2E" w:rsidP="00BA11CC">
      <w:pPr>
        <w:pStyle w:val="Heading2"/>
        <w:numPr>
          <w:ilvl w:val="1"/>
          <w:numId w:val="1"/>
        </w:numPr>
        <w:spacing w:after="0"/>
      </w:pPr>
      <w:r w:rsidRPr="007B00C6">
        <w:t>Draft guidelines for the preparation of HFC phase-down plans for Article 5 countries that would include an overarching strategy and a stage I to meet the freeze in consumption and the 10 per cent reduction</w:t>
      </w:r>
      <w:r>
        <w:t xml:space="preserve"> (decision 84/54(a)); and </w:t>
      </w:r>
    </w:p>
    <w:p w:rsidR="00FF6C2E" w:rsidRDefault="00FF6C2E" w:rsidP="00FF6C2E">
      <w:pPr>
        <w:pStyle w:val="Heading2"/>
        <w:numPr>
          <w:ilvl w:val="1"/>
          <w:numId w:val="1"/>
        </w:numPr>
      </w:pPr>
      <w:r>
        <w:lastRenderedPageBreak/>
        <w:t>A</w:t>
      </w:r>
      <w:r w:rsidRPr="008459BC">
        <w:t xml:space="preserve"> document discussing potential strategies, policy measures and commitments, as well as project</w:t>
      </w:r>
      <w:r>
        <w:t>s</w:t>
      </w:r>
      <w:r w:rsidRPr="008459BC">
        <w:t xml:space="preserve"> and activities that could be integrated within stage I of the HFC phase</w:t>
      </w:r>
      <w:r>
        <w:noBreakHyphen/>
      </w:r>
      <w:r w:rsidRPr="008459BC">
        <w:t xml:space="preserve">down plans for </w:t>
      </w:r>
      <w:r>
        <w:t>Article 5</w:t>
      </w:r>
      <w:r w:rsidRPr="008459BC">
        <w:t xml:space="preserve"> countries</w:t>
      </w:r>
      <w:r>
        <w:t>,</w:t>
      </w:r>
      <w:r w:rsidRPr="008459BC">
        <w:t xml:space="preserve"> to ensure limits on growth</w:t>
      </w:r>
      <w:r>
        <w:t>, as well as</w:t>
      </w:r>
      <w:r w:rsidRPr="008459BC">
        <w:t xml:space="preserve"> reductions in HFC consumption </w:t>
      </w:r>
      <w:r>
        <w:t>that were</w:t>
      </w:r>
      <w:r w:rsidRPr="008459BC">
        <w:t xml:space="preserve"> sustained over time, taking into account the parallel or integrated implementation of HCFC phase</w:t>
      </w:r>
      <w:r>
        <w:noBreakHyphen/>
      </w:r>
      <w:r w:rsidRPr="008459BC">
        <w:t>out and HFC phase-down activities, where appropriate (</w:t>
      </w:r>
      <w:r>
        <w:t>decision </w:t>
      </w:r>
      <w:r w:rsidRPr="008459BC">
        <w:t>84/54</w:t>
      </w:r>
      <w:r>
        <w:t>(b)</w:t>
      </w:r>
      <w:r w:rsidRPr="008459BC">
        <w:t>).</w:t>
      </w:r>
    </w:p>
    <w:p w:rsidR="00FF6C2E" w:rsidRPr="00633C68" w:rsidRDefault="00FF6C2E" w:rsidP="005B04FB">
      <w:pPr>
        <w:pStyle w:val="Heading1"/>
      </w:pPr>
      <w:r>
        <w:t>At its 84</w:t>
      </w:r>
      <w:r w:rsidRPr="00633C68">
        <w:rPr>
          <w:vertAlign w:val="superscript"/>
        </w:rPr>
        <w:t>th</w:t>
      </w:r>
      <w:r>
        <w:t xml:space="preserve"> meeting, the Executive Committee also discussed document </w:t>
      </w:r>
      <w:r w:rsidRPr="00633C68">
        <w:t>UNEP/OzL.Pro/ExCom/84/65</w:t>
      </w:r>
      <w:r>
        <w:t>, presenting an</w:t>
      </w:r>
      <w:r w:rsidRPr="00633C68">
        <w:t xml:space="preserve"> analysis of the implications of parallel or integrated implementation of HCFC phase-out and HFC phase-down activities</w:t>
      </w:r>
      <w:r>
        <w:t xml:space="preserve">. During its discussions, members </w:t>
      </w:r>
      <w:r w:rsidRPr="00633C68">
        <w:t>expressed appreciation for the analysis, which would support cost-effectiveness in the Committee's future work and prove particularly useful in the development of plans for the phase-down of HFCs</w:t>
      </w:r>
      <w:r>
        <w:t xml:space="preserve">; and </w:t>
      </w:r>
      <w:r w:rsidRPr="00633C68">
        <w:t>also expressed an interest in further discussion of ways to support a cost-effective approach to HCFC phase</w:t>
      </w:r>
      <w:r>
        <w:noBreakHyphen/>
      </w:r>
      <w:r w:rsidRPr="00633C68">
        <w:t xml:space="preserve">out and HFC phase-down activities. </w:t>
      </w:r>
    </w:p>
    <w:p w:rsidR="00FF6C2E" w:rsidRPr="00925003" w:rsidRDefault="00FF6C2E" w:rsidP="005B04FB">
      <w:pPr>
        <w:spacing w:after="240"/>
        <w:outlineLvl w:val="0"/>
        <w:rPr>
          <w:u w:val="single"/>
        </w:rPr>
      </w:pPr>
      <w:r>
        <w:rPr>
          <w:u w:val="single"/>
        </w:rPr>
        <w:t>Structure</w:t>
      </w:r>
      <w:r w:rsidRPr="00925003">
        <w:rPr>
          <w:u w:val="single"/>
        </w:rPr>
        <w:t xml:space="preserve"> of the document</w:t>
      </w:r>
    </w:p>
    <w:p w:rsidR="00FF6C2E" w:rsidRDefault="00FF6C2E" w:rsidP="005B04FB">
      <w:pPr>
        <w:pStyle w:val="Heading1"/>
      </w:pPr>
      <w:r>
        <w:t xml:space="preserve">In response to decision 84/54(b), the Secretariat prepared document </w:t>
      </w:r>
      <w:r w:rsidRPr="00B93CF0">
        <w:t>UNEP/OzL.Pro/ExCom/87/45</w:t>
      </w:r>
      <w:r>
        <w:t xml:space="preserve"> and submitted it to the 87</w:t>
      </w:r>
      <w:r w:rsidRPr="00B409E4">
        <w:rPr>
          <w:vertAlign w:val="superscript"/>
        </w:rPr>
        <w:t>th</w:t>
      </w:r>
      <w:r>
        <w:t xml:space="preserve"> meeting.</w:t>
      </w:r>
      <w:r>
        <w:rPr>
          <w:rStyle w:val="FootnoteReference"/>
        </w:rPr>
        <w:footnoteReference w:id="6"/>
      </w:r>
      <w:r>
        <w:t xml:space="preserve"> </w:t>
      </w:r>
    </w:p>
    <w:p w:rsidR="00FF6C2E" w:rsidRDefault="00FF6C2E" w:rsidP="005B04FB">
      <w:pPr>
        <w:pStyle w:val="Heading1"/>
      </w:pPr>
      <w:r>
        <w:t>In preparing the above-mentioned document, the Secretariat extracted relevant information from the following documents that have been or will be considered by the Executive Committee:</w:t>
      </w:r>
    </w:p>
    <w:p w:rsidR="00FF6C2E" w:rsidRPr="00F615A6" w:rsidRDefault="00FF6C2E" w:rsidP="00FF6C2E">
      <w:pPr>
        <w:pStyle w:val="Heading2"/>
        <w:numPr>
          <w:ilvl w:val="1"/>
          <w:numId w:val="1"/>
        </w:numPr>
      </w:pPr>
      <w:r>
        <w:t>The document presenting an a</w:t>
      </w:r>
      <w:r w:rsidRPr="00F615A6">
        <w:t>nalysis of the implications of parallel or integrated implementation of HCFC phase-out and HFC phase-down activities</w:t>
      </w:r>
      <w:r>
        <w:t>,</w:t>
      </w:r>
      <w:r>
        <w:rPr>
          <w:rStyle w:val="FootnoteReference"/>
        </w:rPr>
        <w:footnoteReference w:id="7"/>
      </w:r>
      <w:r>
        <w:t xml:space="preserve"> as the information, analysis, and discussion contained therein supplements</w:t>
      </w:r>
      <w:r>
        <w:rPr>
          <w:rStyle w:val="FootnoteReference"/>
        </w:rPr>
        <w:footnoteReference w:id="8"/>
      </w:r>
      <w:r>
        <w:t xml:space="preserve"> the present document; </w:t>
      </w:r>
    </w:p>
    <w:p w:rsidR="00FF6C2E" w:rsidRPr="00F615A6" w:rsidRDefault="00FF6C2E" w:rsidP="00FF6C2E">
      <w:pPr>
        <w:pStyle w:val="Heading2"/>
        <w:numPr>
          <w:ilvl w:val="1"/>
          <w:numId w:val="1"/>
        </w:numPr>
      </w:pPr>
      <w:r>
        <w:t>T</w:t>
      </w:r>
      <w:r w:rsidRPr="00F615A6">
        <w:t>he draft guidelines f</w:t>
      </w:r>
      <w:r>
        <w:t>or the preparation of HFC phase-</w:t>
      </w:r>
      <w:r w:rsidRPr="00F615A6">
        <w:t>down plans for Article 5 countries</w:t>
      </w:r>
      <w:r>
        <w:t>,</w:t>
      </w:r>
      <w:r>
        <w:rPr>
          <w:rStyle w:val="FootnoteReference"/>
        </w:rPr>
        <w:footnoteReference w:id="9"/>
      </w:r>
      <w:r>
        <w:t xml:space="preserve"> submitted to the 86</w:t>
      </w:r>
      <w:r w:rsidRPr="00F615A6">
        <w:rPr>
          <w:vertAlign w:val="superscript"/>
        </w:rPr>
        <w:t>th</w:t>
      </w:r>
      <w:r>
        <w:t xml:space="preserve"> meeting in response to decision 84/54(a),</w:t>
      </w:r>
      <w:r>
        <w:rPr>
          <w:rStyle w:val="FootnoteReference"/>
        </w:rPr>
        <w:footnoteReference w:id="10"/>
      </w:r>
      <w:r>
        <w:t xml:space="preserve"> noting that the resulting </w:t>
      </w:r>
      <w:r w:rsidRPr="00F76232">
        <w:t xml:space="preserve">phase-down plans will include </w:t>
      </w:r>
      <w:r>
        <w:t xml:space="preserve">an overarching strategy, an action plan and a </w:t>
      </w:r>
      <w:r w:rsidRPr="00F76232">
        <w:t>set of activities to meet initial reduction obligations for the phase-down of HFCs</w:t>
      </w:r>
      <w:r>
        <w:t xml:space="preserve">, several of which are discussed in the present document; </w:t>
      </w:r>
    </w:p>
    <w:p w:rsidR="00FF6C2E" w:rsidRDefault="00FF6C2E" w:rsidP="00FF6C2E">
      <w:pPr>
        <w:pStyle w:val="Heading2"/>
        <w:widowControl/>
        <w:numPr>
          <w:ilvl w:val="1"/>
          <w:numId w:val="1"/>
        </w:numPr>
      </w:pPr>
      <w:r>
        <w:t xml:space="preserve">The document on </w:t>
      </w:r>
      <w:r w:rsidRPr="00DC71E4">
        <w:t xml:space="preserve">information relevant to the development of the cost guidelines for the phase-down of </w:t>
      </w:r>
      <w:r>
        <w:t xml:space="preserve">HFCs </w:t>
      </w:r>
      <w:r w:rsidRPr="00DC71E4">
        <w:t xml:space="preserve">in </w:t>
      </w:r>
      <w:r>
        <w:t>A</w:t>
      </w:r>
      <w:r w:rsidRPr="00DC71E4">
        <w:t>rticle 5 countries: enabling activities</w:t>
      </w:r>
      <w:r>
        <w:t>,</w:t>
      </w:r>
      <w:r>
        <w:rPr>
          <w:rStyle w:val="FootnoteReference"/>
        </w:rPr>
        <w:footnoteReference w:id="11"/>
      </w:r>
      <w:r>
        <w:t xml:space="preserve"> which </w:t>
      </w:r>
      <w:r>
        <w:rPr>
          <w:i/>
        </w:rPr>
        <w:t xml:space="preserve">inter alia </w:t>
      </w:r>
      <w:r>
        <w:t xml:space="preserve">reviewed all the policies and guidelines that have been adopted by the Executive Committee related </w:t>
      </w:r>
      <w:r>
        <w:lastRenderedPageBreak/>
        <w:t xml:space="preserve">to enabling </w:t>
      </w:r>
      <w:r w:rsidRPr="00DC71E4">
        <w:t xml:space="preserve">activities </w:t>
      </w:r>
      <w:r>
        <w:t>(</w:t>
      </w:r>
      <w:r w:rsidRPr="00DC71E4">
        <w:t>listed under paragraph 20 of decision XXVIII/2</w:t>
      </w:r>
      <w:r>
        <w:t>)</w:t>
      </w:r>
      <w:r w:rsidRPr="00DC71E4">
        <w:t xml:space="preserve"> to support the phase</w:t>
      </w:r>
      <w:r>
        <w:noBreakHyphen/>
      </w:r>
      <w:r w:rsidRPr="00DC71E4">
        <w:t>out of controlled substances in Article 5 countries</w:t>
      </w:r>
      <w:r>
        <w:t>;</w:t>
      </w:r>
    </w:p>
    <w:p w:rsidR="00FF6C2E" w:rsidRDefault="00FF6C2E" w:rsidP="00FF6C2E">
      <w:pPr>
        <w:pStyle w:val="Heading2"/>
        <w:numPr>
          <w:ilvl w:val="1"/>
          <w:numId w:val="1"/>
        </w:numPr>
      </w:pPr>
      <w:r>
        <w:t>A preliminary document on a</w:t>
      </w:r>
      <w:r w:rsidRPr="00F27953">
        <w:t>ll aspects related to the refrigeration servicing se</w:t>
      </w:r>
      <w:r>
        <w:t>ctor that support the HFC phase-</w:t>
      </w:r>
      <w:r w:rsidRPr="00F27953">
        <w:t>down (decision 80/76(c))</w:t>
      </w:r>
      <w:r>
        <w:t>,</w:t>
      </w:r>
      <w:r>
        <w:rPr>
          <w:rStyle w:val="FootnoteReference"/>
        </w:rPr>
        <w:footnoteReference w:id="12"/>
      </w:r>
      <w:r w:rsidRPr="00BF6DBC">
        <w:t xml:space="preserve"> </w:t>
      </w:r>
      <w:r>
        <w:t>a</w:t>
      </w:r>
      <w:r w:rsidRPr="00BF6DBC">
        <w:t>s it contains an overview of the refrigeration servicing sector under the Multilateral Fund, including an analysis of the current characteristics of the sector; an analysis of existing capacity created with the funding approved for</w:t>
      </w:r>
      <w:r>
        <w:t xml:space="preserve"> the</w:t>
      </w:r>
      <w:r w:rsidRPr="00BF6DBC">
        <w:t xml:space="preserve"> sector that could be used when phasing down HFCs; an analysis of the information needed for the development of training and certification programmes for service technicians and customs officers; and</w:t>
      </w:r>
      <w:r>
        <w:t xml:space="preserve"> a discussion of</w:t>
      </w:r>
      <w:r w:rsidRPr="00BF6DBC">
        <w:t xml:space="preserve"> the joint implementation of the HCFC phase-out and HFC phase-down in the sector;</w:t>
      </w:r>
    </w:p>
    <w:p w:rsidR="00FF6C2E" w:rsidRPr="009B5A0D" w:rsidRDefault="00FF6C2E" w:rsidP="00FF6C2E">
      <w:pPr>
        <w:pStyle w:val="Heading2"/>
        <w:numPr>
          <w:ilvl w:val="1"/>
          <w:numId w:val="1"/>
        </w:numPr>
      </w:pPr>
      <w:r>
        <w:t>The a</w:t>
      </w:r>
      <w:r w:rsidRPr="009B5A0D">
        <w:t>nalysis of the level and moda</w:t>
      </w:r>
      <w:r>
        <w:t>lities of funding for HFC phase-</w:t>
      </w:r>
      <w:r w:rsidRPr="009B5A0D">
        <w:t>down in the refrigeration servicing sector</w:t>
      </w:r>
      <w:r>
        <w:rPr>
          <w:rStyle w:val="FootnoteReference"/>
        </w:rPr>
        <w:footnoteReference w:id="13"/>
      </w:r>
      <w:r>
        <w:t xml:space="preserve"> submitted to the 86</w:t>
      </w:r>
      <w:r w:rsidRPr="00F615A6">
        <w:rPr>
          <w:vertAlign w:val="superscript"/>
        </w:rPr>
        <w:t>th</w:t>
      </w:r>
      <w:r>
        <w:t xml:space="preserve"> meeting in response to </w:t>
      </w:r>
      <w:r w:rsidRPr="009B5A0D">
        <w:t>decisions 83/65(b) and</w:t>
      </w:r>
      <w:r>
        <w:t> </w:t>
      </w:r>
      <w:r w:rsidRPr="009B5A0D">
        <w:t>84/86(b)(ii)</w:t>
      </w:r>
      <w:r>
        <w:t>, as it d</w:t>
      </w:r>
      <w:r w:rsidRPr="009B5A0D">
        <w:t>iscusses the level and modality of funding in the servicing sector for HFC phase</w:t>
      </w:r>
      <w:r>
        <w:noBreakHyphen/>
      </w:r>
      <w:r w:rsidRPr="009B5A0D">
        <w:t>down, taking into consideration the need to integrate HCFC phase</w:t>
      </w:r>
      <w:r>
        <w:noBreakHyphen/>
      </w:r>
      <w:r w:rsidRPr="009B5A0D">
        <w:t>out and HFC phase</w:t>
      </w:r>
      <w:r>
        <w:noBreakHyphen/>
      </w:r>
      <w:r w:rsidRPr="009B5A0D">
        <w:t xml:space="preserve">down in a single strategy that </w:t>
      </w:r>
      <w:r>
        <w:t xml:space="preserve">will </w:t>
      </w:r>
      <w:r w:rsidRPr="009B5A0D">
        <w:t>assist Article</w:t>
      </w:r>
      <w:r>
        <w:t xml:space="preserve"> </w:t>
      </w:r>
      <w:r w:rsidRPr="009B5A0D">
        <w:t>5 countries to build the infrastructure fo</w:t>
      </w:r>
      <w:r>
        <w:t xml:space="preserve">r the sustained adoption of </w:t>
      </w:r>
      <w:r w:rsidRPr="00935856">
        <w:t>low</w:t>
      </w:r>
      <w:r>
        <w:noBreakHyphen/>
      </w:r>
      <w:r w:rsidRPr="00935856">
        <w:t>global</w:t>
      </w:r>
      <w:r>
        <w:noBreakHyphen/>
      </w:r>
      <w:r w:rsidRPr="00935856">
        <w:t>warming</w:t>
      </w:r>
      <w:r>
        <w:noBreakHyphen/>
      </w:r>
      <w:r w:rsidRPr="00935856">
        <w:t xml:space="preserve">potential </w:t>
      </w:r>
      <w:r>
        <w:t>(</w:t>
      </w:r>
      <w:r w:rsidRPr="009B5A0D">
        <w:t>GWP</w:t>
      </w:r>
      <w:r>
        <w:t>)</w:t>
      </w:r>
      <w:r w:rsidRPr="009B5A0D">
        <w:t xml:space="preserve"> alternatives</w:t>
      </w:r>
      <w:r>
        <w:t>;</w:t>
      </w:r>
      <w:r w:rsidRPr="009B5A0D">
        <w:t xml:space="preserve"> </w:t>
      </w:r>
    </w:p>
    <w:p w:rsidR="00FF6C2E" w:rsidRPr="00DF232E" w:rsidRDefault="00FF6C2E" w:rsidP="00FF6C2E">
      <w:pPr>
        <w:pStyle w:val="Heading2"/>
        <w:numPr>
          <w:ilvl w:val="1"/>
          <w:numId w:val="1"/>
        </w:numPr>
      </w:pPr>
      <w:r>
        <w:t>The document on k</w:t>
      </w:r>
      <w:r w:rsidRPr="00DF232E">
        <w:t>ey considerations for developing a methodology for establishing the starting point for sustained aggregate reductions for the consumption and production sectors under the Kigali Amendment (decision 81/67(e)),</w:t>
      </w:r>
      <w:r>
        <w:rPr>
          <w:rStyle w:val="FootnoteReference"/>
        </w:rPr>
        <w:footnoteReference w:id="14"/>
      </w:r>
      <w:r w:rsidRPr="00DF232E">
        <w:t xml:space="preserve"> in particular the discussion related to the role of the starting point in the servicing sector, </w:t>
      </w:r>
      <w:r>
        <w:t xml:space="preserve">considering </w:t>
      </w:r>
      <w:r>
        <w:rPr>
          <w:i/>
        </w:rPr>
        <w:t xml:space="preserve">inter alia </w:t>
      </w:r>
      <w:r>
        <w:t>that t</w:t>
      </w:r>
      <w:r w:rsidRPr="00DF232E">
        <w:t>he initial years of the phase-down of HFCs will overlap with the phase-out of HCFCs, which for the majority of Article 5 countries would be mainly used in the refrigeration servicing sector</w:t>
      </w:r>
      <w:r>
        <w:t>;</w:t>
      </w:r>
    </w:p>
    <w:p w:rsidR="00FF6C2E" w:rsidRPr="004C6F9C" w:rsidRDefault="00FF6C2E" w:rsidP="00FF6C2E">
      <w:pPr>
        <w:pStyle w:val="Heading2"/>
        <w:numPr>
          <w:ilvl w:val="1"/>
          <w:numId w:val="1"/>
        </w:numPr>
      </w:pPr>
      <w:r>
        <w:t>The document on c</w:t>
      </w:r>
      <w:r w:rsidRPr="004C6F9C">
        <w:t>ountry programme data and prospects for compliance</w:t>
      </w:r>
      <w:r>
        <w:rPr>
          <w:rStyle w:val="FootnoteReference"/>
        </w:rPr>
        <w:footnoteReference w:id="15"/>
      </w:r>
      <w:r>
        <w:t xml:space="preserve"> submitted to the 86</w:t>
      </w:r>
      <w:r w:rsidRPr="004F3B70">
        <w:rPr>
          <w:vertAlign w:val="superscript"/>
        </w:rPr>
        <w:t>th</w:t>
      </w:r>
      <w:r>
        <w:t xml:space="preserve"> meeting, as it contains, </w:t>
      </w:r>
      <w:r>
        <w:rPr>
          <w:i/>
        </w:rPr>
        <w:t xml:space="preserve">inter alia, </w:t>
      </w:r>
      <w:r>
        <w:t xml:space="preserve">a comprehensive </w:t>
      </w:r>
      <w:r w:rsidRPr="004C6F9C">
        <w:t xml:space="preserve">analysis on the </w:t>
      </w:r>
      <w:r>
        <w:t xml:space="preserve">HCFC and HFC </w:t>
      </w:r>
      <w:r w:rsidRPr="004C6F9C">
        <w:t xml:space="preserve">data </w:t>
      </w:r>
      <w:r>
        <w:t xml:space="preserve">reported under country programme implementation </w:t>
      </w:r>
      <w:r w:rsidRPr="004C6F9C">
        <w:t>reports</w:t>
      </w:r>
      <w:r>
        <w:t xml:space="preserve"> submitted by Article 5 countries;</w:t>
      </w:r>
    </w:p>
    <w:p w:rsidR="00FF6C2E" w:rsidRDefault="00FF6C2E" w:rsidP="00FF6C2E">
      <w:pPr>
        <w:pStyle w:val="Heading2"/>
        <w:numPr>
          <w:ilvl w:val="1"/>
          <w:numId w:val="1"/>
        </w:numPr>
      </w:pPr>
      <w:r>
        <w:t>The results achieved</w:t>
      </w:r>
      <w:r w:rsidRPr="004806E2">
        <w:t xml:space="preserve"> </w:t>
      </w:r>
      <w:r>
        <w:t xml:space="preserve">from the </w:t>
      </w:r>
      <w:r w:rsidRPr="004806E2">
        <w:t>national surveys of alternatives to ODS</w:t>
      </w:r>
      <w:r>
        <w:rPr>
          <w:rStyle w:val="FootnoteReference"/>
        </w:rPr>
        <w:footnoteReference w:id="16"/>
      </w:r>
      <w:r>
        <w:t xml:space="preserve"> undertaken </w:t>
      </w:r>
      <w:r w:rsidRPr="004806E2">
        <w:t xml:space="preserve">by </w:t>
      </w:r>
      <w:r>
        <w:t>119 </w:t>
      </w:r>
      <w:r w:rsidRPr="004806E2">
        <w:t>Article 5 countries</w:t>
      </w:r>
      <w:r>
        <w:t>, summarized in the document on the o</w:t>
      </w:r>
      <w:r w:rsidRPr="00845FB3">
        <w:t>verall analysis of the results of the surveys of ODS</w:t>
      </w:r>
      <w:r>
        <w:t xml:space="preserve"> alternatives,</w:t>
      </w:r>
      <w:r>
        <w:rPr>
          <w:rStyle w:val="FootnoteReference"/>
        </w:rPr>
        <w:footnoteReference w:id="17"/>
      </w:r>
      <w:r>
        <w:t xml:space="preserve"> noting that the scope of the surveys was </w:t>
      </w:r>
      <w:r w:rsidRPr="00933A24">
        <w:t>to assist Article 5 countr</w:t>
      </w:r>
      <w:r>
        <w:t>ies</w:t>
      </w:r>
      <w:r w:rsidRPr="00933A24">
        <w:t xml:space="preserve"> to better understand </w:t>
      </w:r>
      <w:r>
        <w:t>their</w:t>
      </w:r>
      <w:r w:rsidRPr="00933A24">
        <w:t xml:space="preserve"> historical and predicted consumption trends for non</w:t>
      </w:r>
      <w:r>
        <w:noBreakHyphen/>
      </w:r>
      <w:r w:rsidRPr="00933A24">
        <w:t>ODS alternatives, and their distribution by sector and sub</w:t>
      </w:r>
      <w:r>
        <w:t>-</w:t>
      </w:r>
      <w:r w:rsidRPr="00933A24">
        <w:t>sector</w:t>
      </w:r>
      <w:r>
        <w:t>; and</w:t>
      </w:r>
    </w:p>
    <w:p w:rsidR="00FF6C2E" w:rsidRPr="00B442E1" w:rsidRDefault="00FF6C2E" w:rsidP="00FF6C2E">
      <w:pPr>
        <w:pStyle w:val="Heading2"/>
        <w:numPr>
          <w:ilvl w:val="1"/>
          <w:numId w:val="1"/>
        </w:numPr>
      </w:pPr>
      <w:r w:rsidRPr="00B442E1">
        <w:t>The guidelines for enabling activities for the phase</w:t>
      </w:r>
      <w:r>
        <w:t>-</w:t>
      </w:r>
      <w:r w:rsidRPr="00B442E1">
        <w:t>down of HFCs</w:t>
      </w:r>
      <w:r>
        <w:rPr>
          <w:rStyle w:val="FootnoteReference"/>
        </w:rPr>
        <w:footnoteReference w:id="18"/>
      </w:r>
      <w:r w:rsidRPr="00B442E1">
        <w:t xml:space="preserve"> approved at the 79</w:t>
      </w:r>
      <w:r w:rsidRPr="00B442E1">
        <w:rPr>
          <w:vertAlign w:val="superscript"/>
        </w:rPr>
        <w:t>th</w:t>
      </w:r>
      <w:r>
        <w:t> </w:t>
      </w:r>
      <w:r w:rsidRPr="00B442E1">
        <w:t xml:space="preserve">meeting (decision 79/46), noting </w:t>
      </w:r>
      <w:r w:rsidRPr="00B442E1">
        <w:rPr>
          <w:i/>
        </w:rPr>
        <w:t>inter alia</w:t>
      </w:r>
      <w:r w:rsidRPr="00B442E1">
        <w:t xml:space="preserve"> that </w:t>
      </w:r>
      <w:r>
        <w:t xml:space="preserve">Article 5 </w:t>
      </w:r>
      <w:r w:rsidRPr="00B442E1">
        <w:t xml:space="preserve">countries have the flexibility to undertake a range of enabling activities to help their national ozone units (NOUs) to </w:t>
      </w:r>
      <w:r w:rsidRPr="00B442E1">
        <w:lastRenderedPageBreak/>
        <w:t>fulfil their initial obligations under the Kigali Amendment.</w:t>
      </w:r>
      <w:r w:rsidRPr="009E3C06">
        <w:rPr>
          <w:rStyle w:val="FootnoteReference"/>
        </w:rPr>
        <w:footnoteReference w:id="19"/>
      </w:r>
    </w:p>
    <w:p w:rsidR="00FF6C2E" w:rsidRDefault="00FF6C2E" w:rsidP="005B04FB">
      <w:pPr>
        <w:pStyle w:val="Heading1"/>
      </w:pPr>
      <w:r w:rsidRPr="007D6760">
        <w:t>The Secretariat also considered the aggregated levels of consumption for all Article 5 countries reported under the TEAP Task Force under decisions XXV/5 and XXVI/9,</w:t>
      </w:r>
      <w:r w:rsidRPr="007D6760">
        <w:rPr>
          <w:rStyle w:val="FootnoteReference"/>
        </w:rPr>
        <w:footnoteReference w:id="20"/>
      </w:r>
      <w:r w:rsidRPr="007D6760">
        <w:t xml:space="preserve"> noting that as at 5 March 2021, only 91 Article 5 countries (50 of which have ratified the Kigali Amendment), had reported consumption of HFCs under Article 7 of the Montreal Protocol and/or under their 2019 country programme </w:t>
      </w:r>
      <w:r>
        <w:t xml:space="preserve">implementation </w:t>
      </w:r>
      <w:r w:rsidRPr="007D6760">
        <w:t>reports.</w:t>
      </w:r>
      <w:r>
        <w:rPr>
          <w:rStyle w:val="FootnoteReference"/>
        </w:rPr>
        <w:footnoteReference w:id="21"/>
      </w:r>
      <w:r w:rsidRPr="007D6760">
        <w:t xml:space="preserve"> </w:t>
      </w:r>
    </w:p>
    <w:p w:rsidR="00FF6C2E" w:rsidRPr="00857768" w:rsidRDefault="00FF6C2E" w:rsidP="005B04FB">
      <w:pPr>
        <w:rPr>
          <w:b/>
          <w:i/>
        </w:rPr>
      </w:pPr>
      <w:r w:rsidRPr="00857768">
        <w:rPr>
          <w:b/>
          <w:i/>
        </w:rPr>
        <w:t>Discussion at the 87</w:t>
      </w:r>
      <w:r w:rsidRPr="00857768">
        <w:rPr>
          <w:b/>
          <w:i/>
          <w:vertAlign w:val="superscript"/>
        </w:rPr>
        <w:t>th</w:t>
      </w:r>
      <w:r w:rsidRPr="00857768">
        <w:rPr>
          <w:b/>
          <w:i/>
        </w:rPr>
        <w:t xml:space="preserve"> meeting</w:t>
      </w:r>
      <w:r>
        <w:rPr>
          <w:b/>
          <w:i/>
        </w:rPr>
        <w:t xml:space="preserve"> (new text in bold)</w:t>
      </w:r>
    </w:p>
    <w:p w:rsidR="00FF6C2E" w:rsidRPr="00857768" w:rsidRDefault="00FF6C2E" w:rsidP="005B04FB">
      <w:pPr>
        <w:rPr>
          <w:b/>
        </w:rPr>
      </w:pPr>
    </w:p>
    <w:p w:rsidR="00FF6C2E" w:rsidRPr="00857768" w:rsidRDefault="00FF6C2E" w:rsidP="005B04FB">
      <w:pPr>
        <w:pStyle w:val="Heading1"/>
        <w:rPr>
          <w:b/>
        </w:rPr>
      </w:pPr>
      <w:r w:rsidRPr="00857768">
        <w:rPr>
          <w:b/>
        </w:rPr>
        <w:t>At the 87</w:t>
      </w:r>
      <w:r w:rsidRPr="00857768">
        <w:rPr>
          <w:b/>
          <w:vertAlign w:val="superscript"/>
        </w:rPr>
        <w:t>th</w:t>
      </w:r>
      <w:r w:rsidRPr="00857768">
        <w:rPr>
          <w:b/>
        </w:rPr>
        <w:t xml:space="preserve"> meeting, the Executive Committee considered document UNEP/OzL.Pro/ExCom/87/45. In the ensuing discussion, there was general appreciation of the document, which was considered to raise a number of important issues and show opportunities for Article 5 countries to integrate or synchronize HFC phase-down and HCFC phase-out activities. Among the elements that were highlighted were: possibilities for an integrated approach to HCFCs and HFCs; the use of lessons learned during the phase-out of CFCs and HCFCs; alignment of licensing and importing systems; opportunities for early action to limit growth in HFC consumption; the eligibility of sectors or sub-sectors to submit early plans; the provision of funding on a case</w:t>
      </w:r>
      <w:r>
        <w:rPr>
          <w:b/>
        </w:rPr>
        <w:noBreakHyphen/>
      </w:r>
      <w:r w:rsidRPr="00857768">
        <w:rPr>
          <w:b/>
        </w:rPr>
        <w:t>by</w:t>
      </w:r>
      <w:r>
        <w:rPr>
          <w:b/>
        </w:rPr>
        <w:noBreakHyphen/>
      </w:r>
      <w:r w:rsidRPr="00857768">
        <w:rPr>
          <w:b/>
        </w:rPr>
        <w:t xml:space="preserve">case basis; differentiated treatment of Article 5 group 1 and group 2 countries; and whether ratification of the Kigali Amendment was a requirement or whether a letter of intent should suffice. </w:t>
      </w:r>
    </w:p>
    <w:p w:rsidR="00FF6C2E" w:rsidRPr="00857768" w:rsidRDefault="00FF6C2E" w:rsidP="005B04FB">
      <w:pPr>
        <w:pStyle w:val="Heading1"/>
        <w:rPr>
          <w:b/>
          <w:bCs/>
        </w:rPr>
      </w:pPr>
      <w:r w:rsidRPr="00857768">
        <w:rPr>
          <w:b/>
        </w:rPr>
        <w:t>A number of observations were made by members as summarized below:</w:t>
      </w:r>
    </w:p>
    <w:p w:rsidR="00FF6C2E" w:rsidRPr="00857768" w:rsidRDefault="00FF6C2E" w:rsidP="00FF6C2E">
      <w:pPr>
        <w:pStyle w:val="Heading2"/>
        <w:numPr>
          <w:ilvl w:val="1"/>
          <w:numId w:val="1"/>
        </w:numPr>
        <w:rPr>
          <w:b/>
        </w:rPr>
      </w:pPr>
      <w:r w:rsidRPr="00857768">
        <w:rPr>
          <w:b/>
        </w:rPr>
        <w:t>A number of members from Article 5 Parties expressed concern that the proposed measures might contradict, be more stringent than or reduce the flexibility offered to Article 5 countries by decision XXVIII/2; in response, the representative of the Secretariat explained that the potential actions identified were optional, leaving countries to choose the approach that was most advantageous to them according to their national circumstances;</w:t>
      </w:r>
    </w:p>
    <w:p w:rsidR="00FF6C2E" w:rsidRPr="00857768" w:rsidRDefault="00FF6C2E" w:rsidP="00FF6C2E">
      <w:pPr>
        <w:pStyle w:val="Heading2"/>
        <w:numPr>
          <w:ilvl w:val="1"/>
          <w:numId w:val="1"/>
        </w:numPr>
        <w:rPr>
          <w:b/>
          <w:bCs/>
        </w:rPr>
      </w:pPr>
      <w:r w:rsidRPr="00857768">
        <w:rPr>
          <w:b/>
        </w:rPr>
        <w:t>Although the integrated compliance strategy appeared on paper to be an excellent suggestion, it could be very hard to implement; experience had shown that implementation plans were constantly updated and refined over time and, therefore, the synchronization of various tranches of different plans for different substances would be difficult;</w:t>
      </w:r>
    </w:p>
    <w:p w:rsidR="00FF6C2E" w:rsidRPr="00857768" w:rsidRDefault="00FF6C2E" w:rsidP="00BA11CC">
      <w:pPr>
        <w:pStyle w:val="Heading2"/>
        <w:numPr>
          <w:ilvl w:val="1"/>
          <w:numId w:val="1"/>
        </w:numPr>
        <w:spacing w:after="120"/>
        <w:rPr>
          <w:b/>
          <w:bCs/>
        </w:rPr>
      </w:pPr>
      <w:r w:rsidRPr="00857768">
        <w:rPr>
          <w:b/>
        </w:rPr>
        <w:t>The integration of compliance plans could reduce the burden on the national ozone units, the implementing agencies and the Secretariat in terms of tranche preparation and review;</w:t>
      </w:r>
    </w:p>
    <w:p w:rsidR="00FF6C2E" w:rsidRPr="00857768" w:rsidRDefault="00FF6C2E" w:rsidP="00FF6C2E">
      <w:pPr>
        <w:pStyle w:val="Heading2"/>
        <w:numPr>
          <w:ilvl w:val="1"/>
          <w:numId w:val="1"/>
        </w:numPr>
        <w:rPr>
          <w:b/>
          <w:bCs/>
        </w:rPr>
      </w:pPr>
      <w:r w:rsidRPr="00857768">
        <w:rPr>
          <w:b/>
        </w:rPr>
        <w:t>T</w:t>
      </w:r>
      <w:r w:rsidRPr="00857768">
        <w:rPr>
          <w:b/>
          <w:bCs/>
        </w:rPr>
        <w:t>he difficulty of the task of integrating HFC and HCFC activities and plans would vary from country to country and would not be problematic everywhere; and</w:t>
      </w:r>
    </w:p>
    <w:p w:rsidR="00FF6C2E" w:rsidRPr="00857768" w:rsidRDefault="00FF6C2E" w:rsidP="00BA11CC">
      <w:pPr>
        <w:pStyle w:val="Heading2"/>
        <w:keepNext/>
        <w:widowControl/>
        <w:numPr>
          <w:ilvl w:val="1"/>
          <w:numId w:val="1"/>
        </w:numPr>
        <w:rPr>
          <w:b/>
        </w:rPr>
      </w:pPr>
      <w:r w:rsidRPr="00857768">
        <w:rPr>
          <w:b/>
        </w:rPr>
        <w:lastRenderedPageBreak/>
        <w:t>The issue of the impact of the COVID-19 pandemic on the calculation of the baseline of the Article 5 group 1 countries owing to the economic downturn; it was too soon to consider limiting growth in HFC consumption without a better understanding of the dynamics of recovery.</w:t>
      </w:r>
    </w:p>
    <w:p w:rsidR="00FF6C2E" w:rsidRPr="00857768" w:rsidRDefault="00FF6C2E" w:rsidP="005B04FB">
      <w:pPr>
        <w:pStyle w:val="Heading1"/>
        <w:rPr>
          <w:b/>
        </w:rPr>
      </w:pPr>
      <w:r w:rsidRPr="00857768">
        <w:rPr>
          <w:b/>
        </w:rPr>
        <w:t>Given the numerous complex issues dealt with in the document, more time was required to consider them fully and, in certain cases, more information on and analysis of the ideas raised; the subject matter could be considered properly only at an in-person meeting and proposed that the matter be deferred. Subsequently, the Executive Committee deferred to its 88</w:t>
      </w:r>
      <w:r w:rsidRPr="00857768">
        <w:rPr>
          <w:b/>
          <w:vertAlign w:val="superscript"/>
        </w:rPr>
        <w:t>th</w:t>
      </w:r>
      <w:r w:rsidRPr="00857768">
        <w:rPr>
          <w:b/>
        </w:rPr>
        <w:t xml:space="preserve"> meeting consideration of document UNEP/OzL.Pro/ExCom/87/45 (d</w:t>
      </w:r>
      <w:r w:rsidRPr="00857768">
        <w:rPr>
          <w:b/>
          <w:bCs/>
          <w:color w:val="000000" w:themeColor="text1"/>
        </w:rPr>
        <w:t>ecision 87/49).</w:t>
      </w:r>
    </w:p>
    <w:p w:rsidR="00FF6C2E" w:rsidRPr="00857768" w:rsidRDefault="00FF6C2E" w:rsidP="005B04FB">
      <w:pPr>
        <w:rPr>
          <w:b/>
          <w:i/>
        </w:rPr>
      </w:pPr>
      <w:r w:rsidRPr="00857768">
        <w:rPr>
          <w:b/>
          <w:i/>
        </w:rPr>
        <w:t>Resubmission to the 88</w:t>
      </w:r>
      <w:r w:rsidRPr="00857768">
        <w:rPr>
          <w:b/>
          <w:i/>
          <w:vertAlign w:val="superscript"/>
        </w:rPr>
        <w:t>th</w:t>
      </w:r>
      <w:r w:rsidRPr="00857768">
        <w:rPr>
          <w:b/>
          <w:i/>
        </w:rPr>
        <w:t xml:space="preserve"> meeting</w:t>
      </w:r>
    </w:p>
    <w:p w:rsidR="00FF6C2E" w:rsidRPr="00857768" w:rsidRDefault="00FF6C2E" w:rsidP="005B04FB">
      <w:pPr>
        <w:rPr>
          <w:b/>
        </w:rPr>
      </w:pPr>
    </w:p>
    <w:p w:rsidR="00FF6C2E" w:rsidRPr="004D2D83" w:rsidRDefault="00FF6C2E" w:rsidP="005B04FB">
      <w:pPr>
        <w:pStyle w:val="Heading1"/>
        <w:rPr>
          <w:b/>
        </w:rPr>
      </w:pPr>
      <w:r w:rsidRPr="004D2D83">
        <w:rPr>
          <w:b/>
        </w:rPr>
        <w:t xml:space="preserve">In response to decision 87/49, </w:t>
      </w:r>
      <w:r w:rsidRPr="00E06FA1">
        <w:rPr>
          <w:b/>
        </w:rPr>
        <w:t>the Secretariat has submitted the present document to the 88</w:t>
      </w:r>
      <w:r w:rsidRPr="004D2D83">
        <w:rPr>
          <w:b/>
          <w:vertAlign w:val="superscript"/>
        </w:rPr>
        <w:t>th</w:t>
      </w:r>
      <w:r w:rsidRPr="004D2D83">
        <w:rPr>
          <w:b/>
        </w:rPr>
        <w:t> meeting, without introducing any changes to the information contained in the two sections of the document and the recommendation. However, as a result of the discussions held at the 87</w:t>
      </w:r>
      <w:r w:rsidRPr="004D2D83">
        <w:rPr>
          <w:b/>
          <w:vertAlign w:val="superscript"/>
        </w:rPr>
        <w:t>th</w:t>
      </w:r>
      <w:r w:rsidRPr="004D2D83">
        <w:rPr>
          <w:b/>
        </w:rPr>
        <w:t xml:space="preserve"> meeting and the approval of the guidelines for preparation of Kigali HFC implementation plans (KIPs) (decision 87/50), </w:t>
      </w:r>
      <w:r>
        <w:rPr>
          <w:b/>
        </w:rPr>
        <w:t xml:space="preserve">noting that </w:t>
      </w:r>
      <w:r w:rsidRPr="004D2D83">
        <w:rPr>
          <w:b/>
        </w:rPr>
        <w:t>the guidelines for the preparation of KIPs had already tak</w:t>
      </w:r>
      <w:r>
        <w:rPr>
          <w:b/>
        </w:rPr>
        <w:t>en</w:t>
      </w:r>
      <w:r w:rsidRPr="004D2D83">
        <w:rPr>
          <w:b/>
        </w:rPr>
        <w:t xml:space="preserve"> into consideration some of the elements</w:t>
      </w:r>
      <w:r w:rsidRPr="00E06FA1">
        <w:rPr>
          <w:b/>
        </w:rPr>
        <w:t xml:space="preserve"> </w:t>
      </w:r>
      <w:r>
        <w:rPr>
          <w:b/>
        </w:rPr>
        <w:t xml:space="preserve">being </w:t>
      </w:r>
      <w:r w:rsidRPr="00E06FA1">
        <w:rPr>
          <w:b/>
        </w:rPr>
        <w:t>discussed in the present document</w:t>
      </w:r>
      <w:r>
        <w:rPr>
          <w:b/>
        </w:rPr>
        <w:t>,</w:t>
      </w:r>
      <w:r w:rsidRPr="004D2D83">
        <w:rPr>
          <w:b/>
        </w:rPr>
        <w:t xml:space="preserve"> the Secretariat ha</w:t>
      </w:r>
      <w:r w:rsidRPr="001430E7">
        <w:rPr>
          <w:b/>
        </w:rPr>
        <w:t>s included</w:t>
      </w:r>
      <w:r w:rsidRPr="00E06FA1" w:rsidDel="004D2D83">
        <w:rPr>
          <w:b/>
        </w:rPr>
        <w:t xml:space="preserve"> </w:t>
      </w:r>
      <w:r w:rsidRPr="004D2D83">
        <w:rPr>
          <w:b/>
        </w:rPr>
        <w:t xml:space="preserve">under the section “Recommendation”, observations for further consideration by the Committee. </w:t>
      </w:r>
    </w:p>
    <w:p w:rsidR="00FF6C2E" w:rsidRPr="007D6760" w:rsidRDefault="00FF6C2E" w:rsidP="005B04FB">
      <w:pPr>
        <w:pStyle w:val="Heading1"/>
      </w:pPr>
      <w:r w:rsidRPr="007D6760">
        <w:t>The present document consists of the following sections:</w:t>
      </w:r>
    </w:p>
    <w:p w:rsidR="00FF6C2E" w:rsidRPr="007D6760" w:rsidRDefault="00FF6C2E" w:rsidP="005B04FB">
      <w:pPr>
        <w:pStyle w:val="Heading2"/>
        <w:numPr>
          <w:ilvl w:val="0"/>
          <w:numId w:val="0"/>
        </w:numPr>
        <w:ind w:left="1440" w:hanging="720"/>
      </w:pPr>
      <w:r w:rsidRPr="007D6760">
        <w:t>I</w:t>
      </w:r>
      <w:r w:rsidRPr="007D6760">
        <w:tab/>
        <w:t>Potential strategies, policy measures, activities and commitments to limit the growth of HFC consumption, that could be integrated within stage I of the HFC phase</w:t>
      </w:r>
      <w:r w:rsidRPr="007D6760">
        <w:noBreakHyphen/>
        <w:t>down plans</w:t>
      </w:r>
    </w:p>
    <w:p w:rsidR="00FF6C2E" w:rsidRDefault="00FF6C2E" w:rsidP="005B04FB">
      <w:pPr>
        <w:pStyle w:val="Heading2"/>
        <w:numPr>
          <w:ilvl w:val="0"/>
          <w:numId w:val="0"/>
        </w:numPr>
        <w:ind w:left="1440" w:hanging="720"/>
      </w:pPr>
      <w:r w:rsidRPr="007D6760">
        <w:t>II</w:t>
      </w:r>
      <w:r w:rsidRPr="007D6760">
        <w:tab/>
        <w:t>Overview of activities under HCFC phase-out and HFC phase-down</w:t>
      </w:r>
    </w:p>
    <w:p w:rsidR="00FF6C2E" w:rsidRDefault="00FF6C2E" w:rsidP="005B04FB">
      <w:pPr>
        <w:ind w:left="1440" w:hanging="1440"/>
      </w:pPr>
      <w:r>
        <w:tab/>
        <w:t>Recommendations. In various sections of the document, the Secretariat has provided a recommendation relevant to that section. To facilitate the discussions, the Secretariat has compiled all the recommendations in the various sections, under the “Recommendation” presented at the end of the document</w:t>
      </w:r>
    </w:p>
    <w:p w:rsidR="00FF6C2E" w:rsidRDefault="00FF6C2E" w:rsidP="005B04FB">
      <w:pPr>
        <w:ind w:left="1440" w:hanging="1440"/>
      </w:pPr>
    </w:p>
    <w:p w:rsidR="00FF6C2E" w:rsidRDefault="00FF6C2E" w:rsidP="005B04FB">
      <w:pPr>
        <w:pStyle w:val="Heading1"/>
      </w:pPr>
      <w:r>
        <w:t>The document also includes the following four annexes:</w:t>
      </w:r>
    </w:p>
    <w:p w:rsidR="00FF6C2E" w:rsidRDefault="00FF6C2E" w:rsidP="005B04FB">
      <w:pPr>
        <w:ind w:left="1440" w:hanging="720"/>
      </w:pPr>
      <w:r>
        <w:t>I</w:t>
      </w:r>
      <w:r>
        <w:tab/>
        <w:t>Model to forecast the potential risk of non-compliance with the HFC phase</w:t>
      </w:r>
      <w:r>
        <w:noBreakHyphen/>
        <w:t>down obligations of 91 Article 5 countries that reported HFC consumption in 2019 under Article 7 of the Protocol or country programme implementation reports</w:t>
      </w:r>
      <w:r>
        <w:rPr>
          <w:rStyle w:val="FootnoteReference"/>
        </w:rPr>
        <w:footnoteReference w:id="22"/>
      </w:r>
    </w:p>
    <w:p w:rsidR="00FF6C2E" w:rsidRPr="00F64D6C" w:rsidRDefault="00FF6C2E" w:rsidP="005B04FB">
      <w:pPr>
        <w:ind w:left="720"/>
      </w:pPr>
    </w:p>
    <w:p w:rsidR="00FF6C2E" w:rsidRDefault="00FF6C2E" w:rsidP="005B04FB">
      <w:pPr>
        <w:ind w:left="720"/>
      </w:pPr>
      <w:r>
        <w:t>II</w:t>
      </w:r>
      <w:r>
        <w:tab/>
        <w:t>Summary of modalities of implementation of investment projects</w:t>
      </w:r>
    </w:p>
    <w:p w:rsidR="00FF6C2E" w:rsidRDefault="00FF6C2E" w:rsidP="005B04FB">
      <w:pPr>
        <w:ind w:left="720"/>
      </w:pPr>
    </w:p>
    <w:p w:rsidR="00FF6C2E" w:rsidRDefault="00FF6C2E" w:rsidP="005B04FB">
      <w:pPr>
        <w:ind w:left="1440" w:hanging="720"/>
      </w:pPr>
      <w:r>
        <w:t>III</w:t>
      </w:r>
      <w:r>
        <w:tab/>
        <w:t>Proposed integrated compliance strategy document (to be submitted along with stage I of the HFC phase-down plan for information purposes)</w:t>
      </w:r>
    </w:p>
    <w:p w:rsidR="00FF6C2E" w:rsidRDefault="00FF6C2E" w:rsidP="005B04FB">
      <w:pPr>
        <w:ind w:left="1530" w:hanging="810"/>
      </w:pPr>
    </w:p>
    <w:p w:rsidR="00FF6C2E" w:rsidRPr="00857768" w:rsidRDefault="00FF6C2E" w:rsidP="005B04FB">
      <w:pPr>
        <w:ind w:left="1530" w:hanging="810"/>
        <w:rPr>
          <w:b/>
        </w:rPr>
      </w:pPr>
      <w:r w:rsidRPr="00857768">
        <w:rPr>
          <w:b/>
        </w:rPr>
        <w:t>IV</w:t>
      </w:r>
      <w:r w:rsidRPr="00857768">
        <w:rPr>
          <w:b/>
        </w:rPr>
        <w:tab/>
        <w:t>Decision 87/50 on guidelines for the preparation of KIPs for Article 5 countries</w:t>
      </w:r>
    </w:p>
    <w:p w:rsidR="00FF6C2E" w:rsidRPr="007D6760" w:rsidRDefault="00FF6C2E" w:rsidP="005B04FB">
      <w:pPr>
        <w:pStyle w:val="Heading2"/>
        <w:widowControl/>
        <w:numPr>
          <w:ilvl w:val="0"/>
          <w:numId w:val="38"/>
        </w:numPr>
        <w:ind w:left="720"/>
        <w:rPr>
          <w:b/>
        </w:rPr>
      </w:pPr>
      <w:r w:rsidRPr="007D6760">
        <w:rPr>
          <w:b/>
        </w:rPr>
        <w:lastRenderedPageBreak/>
        <w:t>POTENTIAL STRATEGIES, POLICY MEASURES, ACTIVITIES AND COMMITMENTS TO LIMIT THE GROWTH OF HFC CONSUMPTION</w:t>
      </w:r>
    </w:p>
    <w:p w:rsidR="00FF6C2E" w:rsidRPr="007D6760" w:rsidRDefault="00FF6C2E" w:rsidP="005B04FB">
      <w:pPr>
        <w:rPr>
          <w:b/>
        </w:rPr>
      </w:pPr>
      <w:r w:rsidRPr="007D6760">
        <w:rPr>
          <w:b/>
        </w:rPr>
        <w:t>An overview of HCFC and HFC consumption</w:t>
      </w:r>
    </w:p>
    <w:p w:rsidR="00FF6C2E" w:rsidRPr="007D6760" w:rsidRDefault="00FF6C2E" w:rsidP="005B04FB"/>
    <w:p w:rsidR="00FF6C2E" w:rsidRPr="007D6760" w:rsidRDefault="00FF6C2E" w:rsidP="005B04FB">
      <w:pPr>
        <w:pStyle w:val="Heading1"/>
        <w:widowControl w:val="0"/>
      </w:pPr>
      <w:r w:rsidRPr="007D6760">
        <w:t>In order to determine the magnitude of the additional challenge and implications of a parallel or integrated implementation of HCFC phase-out and HFC phase-down,</w:t>
      </w:r>
      <w:r w:rsidRPr="007D6760">
        <w:rPr>
          <w:rStyle w:val="FootnoteReference"/>
        </w:rPr>
        <w:footnoteReference w:id="23"/>
      </w:r>
      <w:r w:rsidRPr="007D6760">
        <w:t xml:space="preserve"> it is necessary to forecast the levels of consumption of these controlled substances and the amounts that will need to be reduced during the 2020</w:t>
      </w:r>
      <w:r>
        <w:noBreakHyphen/>
      </w:r>
      <w:r w:rsidRPr="007D6760">
        <w:t>2030 period, so that Article 5 countries remain in compliance with their obligations under the Montreal Protocol.</w:t>
      </w:r>
    </w:p>
    <w:p w:rsidR="00FF6C2E" w:rsidRPr="007D6760" w:rsidRDefault="00FF6C2E" w:rsidP="005B04FB">
      <w:pPr>
        <w:keepNext/>
        <w:rPr>
          <w:u w:val="single"/>
        </w:rPr>
      </w:pPr>
      <w:r w:rsidRPr="007D6760">
        <w:rPr>
          <w:u w:val="single"/>
        </w:rPr>
        <w:t>HCFC</w:t>
      </w:r>
    </w:p>
    <w:p w:rsidR="00FF6C2E" w:rsidRPr="007D6760" w:rsidRDefault="00FF6C2E" w:rsidP="005B04FB">
      <w:pPr>
        <w:keepNext/>
      </w:pPr>
    </w:p>
    <w:p w:rsidR="00FF6C2E" w:rsidRPr="007D6760" w:rsidRDefault="00FF6C2E" w:rsidP="005B04FB">
      <w:pPr>
        <w:pStyle w:val="Heading1"/>
        <w:keepNext/>
        <w:spacing w:after="120"/>
      </w:pPr>
      <w:r w:rsidRPr="007D6760">
        <w:t>Consumption and</w:t>
      </w:r>
      <w:r w:rsidRPr="00F41D79">
        <w:t xml:space="preserve"> production of HCFCs </w:t>
      </w:r>
      <w:r>
        <w:t xml:space="preserve">has </w:t>
      </w:r>
      <w:r w:rsidRPr="00F41D79">
        <w:t xml:space="preserve">been reported under Article 7 of the Montreal Protocol from the time countries ratified </w:t>
      </w:r>
      <w:r w:rsidRPr="007D6760">
        <w:t>the Montreal Protocol; therefore, the maximum allowable levels of consumption of HCFCs on any given year are known. During the period 2020 to 203</w:t>
      </w:r>
      <w:r>
        <w:t>0</w:t>
      </w:r>
      <w:r w:rsidRPr="007D6760">
        <w:t>, the aggregate consumption of HCFCs should decrease from a maximum of up to 348,219 metric tonnes (</w:t>
      </w:r>
      <w:proofErr w:type="spellStart"/>
      <w:r w:rsidRPr="007D6760">
        <w:t>mt</w:t>
      </w:r>
      <w:proofErr w:type="spellEnd"/>
      <w:r w:rsidRPr="007D6760">
        <w:t>) (23,225 </w:t>
      </w:r>
      <w:r>
        <w:t xml:space="preserve">ODP tonnes) in 2020 to 13,393 </w:t>
      </w:r>
      <w:proofErr w:type="spellStart"/>
      <w:r>
        <w:t>mt</w:t>
      </w:r>
      <w:proofErr w:type="spellEnd"/>
      <w:r>
        <w:t xml:space="preserve"> (893 ODP </w:t>
      </w:r>
      <w:r w:rsidRPr="007D6760">
        <w:t>tonnes) in 2030 (a</w:t>
      </w:r>
      <w:r>
        <w:t xml:space="preserve"> reduction of 334,826 </w:t>
      </w:r>
      <w:proofErr w:type="spellStart"/>
      <w:r w:rsidRPr="007D6760">
        <w:t>mt</w:t>
      </w:r>
      <w:proofErr w:type="spellEnd"/>
      <w:r w:rsidRPr="007D6760">
        <w:t xml:space="preserve">), as shown in Table 1. </w:t>
      </w:r>
    </w:p>
    <w:p w:rsidR="00FF6C2E" w:rsidRPr="00DE3F14" w:rsidRDefault="00FF6C2E" w:rsidP="005B04FB">
      <w:pPr>
        <w:rPr>
          <w:b/>
        </w:rPr>
      </w:pPr>
      <w:r w:rsidRPr="00DE3F14">
        <w:rPr>
          <w:b/>
        </w:rPr>
        <w:t>Table 1. Maximum allowable levels of consumption of HCFCs during the 2020-2030 period</w:t>
      </w:r>
    </w:p>
    <w:tbl>
      <w:tblPr>
        <w:tblW w:w="5000" w:type="pct"/>
        <w:tblLook w:val="04A0" w:firstRow="1" w:lastRow="0" w:firstColumn="1" w:lastColumn="0" w:noHBand="0" w:noVBand="1"/>
      </w:tblPr>
      <w:tblGrid>
        <w:gridCol w:w="1870"/>
        <w:gridCol w:w="1870"/>
        <w:gridCol w:w="1870"/>
        <w:gridCol w:w="1870"/>
        <w:gridCol w:w="1870"/>
      </w:tblGrid>
      <w:tr w:rsidR="00FF6C2E" w:rsidRPr="007D6760" w:rsidTr="005B04FB">
        <w:trPr>
          <w:trHeight w:val="228"/>
          <w:tblHeader/>
        </w:trPr>
        <w:tc>
          <w:tcPr>
            <w:tcW w:w="1000" w:type="pct"/>
            <w:tcBorders>
              <w:top w:val="single" w:sz="4" w:space="0" w:color="auto"/>
              <w:left w:val="single" w:sz="4" w:space="0" w:color="auto"/>
              <w:bottom w:val="single" w:sz="4" w:space="0" w:color="auto"/>
              <w:right w:val="single" w:sz="4" w:space="0" w:color="auto"/>
            </w:tcBorders>
            <w:noWrap/>
            <w:tcMar>
              <w:left w:w="108" w:type="dxa"/>
              <w:right w:w="108" w:type="dxa"/>
            </w:tcMar>
            <w:vAlign w:val="bottom"/>
            <w:hideMark/>
          </w:tcPr>
          <w:p w:rsidR="00FF6C2E" w:rsidRPr="00DE3F14" w:rsidRDefault="00FF6C2E" w:rsidP="005B04FB">
            <w:pPr>
              <w:jc w:val="center"/>
              <w:rPr>
                <w:b/>
                <w:bCs/>
                <w:color w:val="000000"/>
                <w:sz w:val="20"/>
                <w:szCs w:val="20"/>
                <w:lang w:eastAsia="en-CA"/>
              </w:rPr>
            </w:pPr>
            <w:r w:rsidRPr="00DE3F14">
              <w:rPr>
                <w:b/>
                <w:bCs/>
                <w:color w:val="000000"/>
                <w:sz w:val="20"/>
                <w:szCs w:val="20"/>
                <w:lang w:eastAsia="en-CA"/>
              </w:rPr>
              <w:t>HCFC (</w:t>
            </w:r>
            <w:proofErr w:type="spellStart"/>
            <w:r w:rsidRPr="00DE3F14">
              <w:rPr>
                <w:b/>
                <w:bCs/>
                <w:color w:val="000000"/>
                <w:sz w:val="20"/>
                <w:szCs w:val="20"/>
                <w:lang w:eastAsia="en-CA"/>
              </w:rPr>
              <w:t>mt</w:t>
            </w:r>
            <w:proofErr w:type="spellEnd"/>
            <w:r w:rsidRPr="00DE3F14">
              <w:rPr>
                <w:b/>
                <w:bCs/>
                <w:color w:val="000000"/>
                <w:sz w:val="20"/>
                <w:szCs w:val="20"/>
                <w:lang w:eastAsia="en-CA"/>
              </w:rPr>
              <w:t>)*</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rsidR="00FF6C2E" w:rsidRPr="00DE3F14" w:rsidRDefault="00FF6C2E" w:rsidP="005B04FB">
            <w:pPr>
              <w:jc w:val="center"/>
              <w:rPr>
                <w:b/>
                <w:bCs/>
                <w:color w:val="000000"/>
                <w:sz w:val="20"/>
                <w:szCs w:val="20"/>
                <w:lang w:eastAsia="en-CA"/>
              </w:rPr>
            </w:pPr>
            <w:r w:rsidRPr="00DE3F14">
              <w:rPr>
                <w:b/>
                <w:bCs/>
                <w:color w:val="000000"/>
                <w:sz w:val="20"/>
                <w:szCs w:val="20"/>
                <w:lang w:eastAsia="en-CA"/>
              </w:rPr>
              <w:t>Baseline</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rsidR="00FF6C2E" w:rsidRPr="00DE3F14" w:rsidRDefault="00FF6C2E" w:rsidP="005B04FB">
            <w:pPr>
              <w:jc w:val="center"/>
              <w:rPr>
                <w:b/>
                <w:bCs/>
                <w:color w:val="000000"/>
                <w:sz w:val="20"/>
                <w:szCs w:val="20"/>
                <w:lang w:eastAsia="en-CA"/>
              </w:rPr>
            </w:pPr>
            <w:r w:rsidRPr="00DE3F14">
              <w:rPr>
                <w:b/>
                <w:bCs/>
                <w:color w:val="000000"/>
                <w:sz w:val="20"/>
                <w:szCs w:val="20"/>
                <w:lang w:eastAsia="en-CA"/>
              </w:rPr>
              <w:t>2020</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rsidR="00FF6C2E" w:rsidRPr="00DE3F14" w:rsidRDefault="00FF6C2E" w:rsidP="005B04FB">
            <w:pPr>
              <w:jc w:val="center"/>
              <w:rPr>
                <w:b/>
                <w:bCs/>
                <w:color w:val="000000"/>
                <w:sz w:val="20"/>
                <w:szCs w:val="20"/>
                <w:lang w:eastAsia="en-CA"/>
              </w:rPr>
            </w:pPr>
            <w:r w:rsidRPr="00DE3F14">
              <w:rPr>
                <w:b/>
                <w:bCs/>
                <w:color w:val="000000"/>
                <w:sz w:val="20"/>
                <w:szCs w:val="20"/>
                <w:lang w:eastAsia="en-CA"/>
              </w:rPr>
              <w:t>2025</w:t>
            </w:r>
          </w:p>
        </w:tc>
        <w:tc>
          <w:tcPr>
            <w:tcW w:w="1000" w:type="pct"/>
            <w:tcBorders>
              <w:top w:val="single" w:sz="4" w:space="0" w:color="auto"/>
              <w:left w:val="nil"/>
              <w:bottom w:val="single" w:sz="4" w:space="0" w:color="auto"/>
              <w:right w:val="single" w:sz="4" w:space="0" w:color="auto"/>
            </w:tcBorders>
            <w:noWrap/>
            <w:tcMar>
              <w:left w:w="108" w:type="dxa"/>
              <w:right w:w="108" w:type="dxa"/>
            </w:tcMar>
            <w:vAlign w:val="center"/>
            <w:hideMark/>
          </w:tcPr>
          <w:p w:rsidR="00FF6C2E" w:rsidRPr="00DE3F14" w:rsidRDefault="00FF6C2E" w:rsidP="005B04FB">
            <w:pPr>
              <w:jc w:val="center"/>
              <w:rPr>
                <w:b/>
                <w:bCs/>
                <w:color w:val="000000"/>
                <w:sz w:val="20"/>
                <w:szCs w:val="20"/>
                <w:lang w:eastAsia="en-CA"/>
              </w:rPr>
            </w:pPr>
            <w:r w:rsidRPr="00DE3F14">
              <w:rPr>
                <w:b/>
                <w:bCs/>
                <w:color w:val="000000"/>
                <w:sz w:val="20"/>
                <w:szCs w:val="20"/>
                <w:lang w:eastAsia="en-CA"/>
              </w:rPr>
              <w:t>2030</w:t>
            </w:r>
          </w:p>
        </w:tc>
      </w:tr>
      <w:tr w:rsidR="00FF6C2E" w:rsidRPr="007D6760" w:rsidTr="005B04FB">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rsidR="00FF6C2E" w:rsidRPr="00DE3F14" w:rsidRDefault="00FF6C2E" w:rsidP="005B04FB">
            <w:pPr>
              <w:jc w:val="left"/>
              <w:rPr>
                <w:color w:val="000000"/>
                <w:sz w:val="20"/>
                <w:szCs w:val="20"/>
                <w:lang w:eastAsia="en-CA"/>
              </w:rPr>
            </w:pPr>
            <w:r w:rsidRPr="00DE3F14">
              <w:rPr>
                <w:color w:val="000000"/>
                <w:sz w:val="20"/>
                <w:szCs w:val="20"/>
                <w:lang w:eastAsia="en-CA"/>
              </w:rPr>
              <w:t>HCFC-22</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394,655</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256,525</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128,263</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9,866</w:t>
            </w:r>
          </w:p>
        </w:tc>
      </w:tr>
      <w:tr w:rsidR="00FF6C2E" w:rsidRPr="007D6760" w:rsidTr="005B04FB">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rsidR="00FF6C2E" w:rsidRPr="00DE3F14" w:rsidRDefault="00FF6C2E" w:rsidP="005B04FB">
            <w:pPr>
              <w:jc w:val="left"/>
              <w:rPr>
                <w:color w:val="000000"/>
                <w:sz w:val="20"/>
                <w:szCs w:val="20"/>
                <w:lang w:eastAsia="en-CA"/>
              </w:rPr>
            </w:pPr>
            <w:r w:rsidRPr="00DE3F14">
              <w:rPr>
                <w:color w:val="000000"/>
                <w:sz w:val="20"/>
                <w:szCs w:val="20"/>
                <w:lang w:eastAsia="en-CA"/>
              </w:rPr>
              <w:t>HCFC-141b</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107,872</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70,117</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35,058</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2,697</w:t>
            </w:r>
          </w:p>
        </w:tc>
      </w:tr>
      <w:tr w:rsidR="00FF6C2E" w:rsidRPr="007D6760" w:rsidTr="005B04FB">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rsidR="00FF6C2E" w:rsidRPr="00DE3F14" w:rsidRDefault="00FF6C2E" w:rsidP="005B04FB">
            <w:pPr>
              <w:jc w:val="left"/>
              <w:rPr>
                <w:color w:val="000000"/>
                <w:sz w:val="20"/>
                <w:szCs w:val="20"/>
                <w:lang w:eastAsia="en-CA"/>
              </w:rPr>
            </w:pPr>
            <w:r w:rsidRPr="00DE3F14">
              <w:rPr>
                <w:color w:val="000000"/>
                <w:sz w:val="20"/>
                <w:szCs w:val="20"/>
                <w:lang w:eastAsia="en-CA"/>
              </w:rPr>
              <w:t>HCFC-142b</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33,195</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21,577</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10,789</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830</w:t>
            </w:r>
          </w:p>
        </w:tc>
      </w:tr>
      <w:tr w:rsidR="00FF6C2E" w:rsidRPr="007D6760" w:rsidTr="005B04FB">
        <w:trPr>
          <w:trHeight w:val="252"/>
        </w:trPr>
        <w:tc>
          <w:tcPr>
            <w:tcW w:w="1000" w:type="pct"/>
            <w:tcBorders>
              <w:top w:val="nil"/>
              <w:left w:val="single" w:sz="4" w:space="0" w:color="auto"/>
              <w:bottom w:val="single" w:sz="4" w:space="0" w:color="auto"/>
              <w:right w:val="single" w:sz="4" w:space="0" w:color="auto"/>
            </w:tcBorders>
            <w:noWrap/>
            <w:tcMar>
              <w:left w:w="108" w:type="dxa"/>
              <w:right w:w="108" w:type="dxa"/>
            </w:tcMar>
            <w:vAlign w:val="bottom"/>
            <w:hideMark/>
          </w:tcPr>
          <w:p w:rsidR="00FF6C2E" w:rsidRPr="00DE3F14" w:rsidRDefault="00FF6C2E" w:rsidP="005B04FB">
            <w:pPr>
              <w:jc w:val="left"/>
              <w:rPr>
                <w:color w:val="000000"/>
                <w:sz w:val="20"/>
                <w:szCs w:val="20"/>
                <w:lang w:eastAsia="en-CA"/>
              </w:rPr>
            </w:pPr>
            <w:r w:rsidRPr="00DE3F14">
              <w:rPr>
                <w:color w:val="000000"/>
                <w:sz w:val="20"/>
                <w:szCs w:val="20"/>
                <w:lang w:eastAsia="en-CA"/>
              </w:rPr>
              <w:t>Total HCFC</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535,722</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348,219</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174,110</w:t>
            </w:r>
          </w:p>
        </w:tc>
        <w:tc>
          <w:tcPr>
            <w:tcW w:w="1000" w:type="pct"/>
            <w:tcBorders>
              <w:top w:val="nil"/>
              <w:left w:val="nil"/>
              <w:bottom w:val="single" w:sz="4" w:space="0" w:color="auto"/>
              <w:right w:val="single" w:sz="4" w:space="0" w:color="auto"/>
            </w:tcBorders>
            <w:noWrap/>
            <w:tcMar>
              <w:top w:w="0" w:type="dxa"/>
              <w:left w:w="108" w:type="dxa"/>
              <w:bottom w:w="0" w:type="dxa"/>
              <w:right w:w="108" w:type="dxa"/>
            </w:tcMar>
            <w:vAlign w:val="center"/>
            <w:hideMark/>
          </w:tcPr>
          <w:p w:rsidR="00FF6C2E" w:rsidRPr="00DE3F14" w:rsidRDefault="00FF6C2E" w:rsidP="005B04FB">
            <w:pPr>
              <w:jc w:val="right"/>
            </w:pPr>
            <w:r w:rsidRPr="00DE3F14">
              <w:t>13,393</w:t>
            </w:r>
          </w:p>
        </w:tc>
      </w:tr>
    </w:tbl>
    <w:p w:rsidR="00FF6C2E" w:rsidRPr="00DE3F14" w:rsidRDefault="00FF6C2E" w:rsidP="005B04FB">
      <w:pPr>
        <w:rPr>
          <w:sz w:val="18"/>
          <w:szCs w:val="18"/>
        </w:rPr>
      </w:pPr>
      <w:r w:rsidRPr="00DE3F14">
        <w:rPr>
          <w:sz w:val="18"/>
          <w:szCs w:val="18"/>
        </w:rPr>
        <w:t>* Main HCFCs consumed representing over 99.0 per cent of the aggregated baseline</w:t>
      </w:r>
    </w:p>
    <w:p w:rsidR="00FF6C2E" w:rsidRPr="007D6760" w:rsidRDefault="00FF6C2E" w:rsidP="005B04FB">
      <w:pPr>
        <w:pStyle w:val="Heading1"/>
        <w:numPr>
          <w:ilvl w:val="0"/>
          <w:numId w:val="0"/>
        </w:numPr>
        <w:spacing w:after="0"/>
      </w:pPr>
    </w:p>
    <w:p w:rsidR="00FF6C2E" w:rsidRPr="007D6760" w:rsidRDefault="00FF6C2E" w:rsidP="005B04FB">
      <w:pPr>
        <w:pStyle w:val="Heading1"/>
        <w:spacing w:after="120"/>
      </w:pPr>
      <w:r w:rsidRPr="007D6760">
        <w:t>The Executive Committee has approved funding for the phase-out of HCFCs in 14</w:t>
      </w:r>
      <w:r>
        <w:t>4</w:t>
      </w:r>
      <w:r w:rsidRPr="007D6760">
        <w:t xml:space="preserve"> Article 5 countries,</w:t>
      </w:r>
      <w:r>
        <w:rPr>
          <w:rStyle w:val="FootnoteReference"/>
        </w:rPr>
        <w:footnoteReference w:id="24"/>
      </w:r>
      <w:r w:rsidRPr="007D6760">
        <w:t xml:space="preserve"> mainly through HCFC phase-out management plans (HPMPs). So far, implementation of the approved HPMPs has resulted in the reduction of HCFC consumption well in advance of the allowable levels under the Protocol. For example, the aggregate consumption of HCFCs in 2019 (358,511 </w:t>
      </w:r>
      <w:proofErr w:type="spellStart"/>
      <w:r w:rsidRPr="007D6760">
        <w:t>mt</w:t>
      </w:r>
      <w:proofErr w:type="spellEnd"/>
      <w:r w:rsidRPr="007D6760">
        <w:t xml:space="preserve">) represented 67 per cent of the aggregate HCFC baseline and was 123,639 </w:t>
      </w:r>
      <w:proofErr w:type="spellStart"/>
      <w:r w:rsidRPr="007D6760">
        <w:t>mt</w:t>
      </w:r>
      <w:proofErr w:type="spellEnd"/>
      <w:r w:rsidRPr="007D6760">
        <w:t xml:space="preserve"> lower than the allowable level of consumption for that year (482,150 </w:t>
      </w:r>
      <w:proofErr w:type="spellStart"/>
      <w:r w:rsidRPr="007D6760">
        <w:t>mt</w:t>
      </w:r>
      <w:proofErr w:type="spellEnd"/>
      <w:r w:rsidRPr="007D6760">
        <w:t>), as shown in Table 2.</w:t>
      </w:r>
    </w:p>
    <w:p w:rsidR="00FF6C2E" w:rsidRPr="00DE3F14" w:rsidRDefault="00FF6C2E" w:rsidP="005B04FB">
      <w:pPr>
        <w:pStyle w:val="ListParagraph"/>
        <w:widowControl w:val="0"/>
        <w:ind w:left="0"/>
        <w:rPr>
          <w:b/>
          <w:bCs/>
          <w:lang w:val="en-CA"/>
        </w:rPr>
      </w:pPr>
      <w:r w:rsidRPr="00DE3F14">
        <w:rPr>
          <w:b/>
          <w:bCs/>
          <w:lang w:val="en-CA"/>
        </w:rPr>
        <w:t>Table 2. HCFC consumption of the three main HCFCs (</w:t>
      </w:r>
      <w:proofErr w:type="spellStart"/>
      <w:r w:rsidRPr="00DE3F14">
        <w:rPr>
          <w:b/>
          <w:bCs/>
          <w:lang w:val="en-CA"/>
        </w:rPr>
        <w:t>mt</w:t>
      </w:r>
      <w:proofErr w:type="spellEnd"/>
      <w:r w:rsidRPr="00DE3F14">
        <w:rPr>
          <w:b/>
          <w:bCs/>
          <w:lang w:val="en-CA"/>
        </w:rPr>
        <w:t>)</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1002"/>
        <w:gridCol w:w="1003"/>
        <w:gridCol w:w="1003"/>
        <w:gridCol w:w="1003"/>
        <w:gridCol w:w="1003"/>
        <w:gridCol w:w="1003"/>
        <w:gridCol w:w="1003"/>
        <w:gridCol w:w="978"/>
      </w:tblGrid>
      <w:tr w:rsidR="00FF6C2E" w:rsidRPr="007D6760" w:rsidTr="005B04FB">
        <w:trPr>
          <w:trHeight w:val="105"/>
          <w:tblHeader/>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FF6C2E" w:rsidRPr="00DE3F14" w:rsidRDefault="00FF6C2E" w:rsidP="005B04FB">
            <w:pPr>
              <w:jc w:val="left"/>
              <w:rPr>
                <w:b/>
                <w:bCs/>
                <w:sz w:val="20"/>
                <w:szCs w:val="20"/>
                <w:lang w:eastAsia="en-CA"/>
              </w:rPr>
            </w:pPr>
            <w:r w:rsidRPr="00DE3F14">
              <w:rPr>
                <w:b/>
                <w:bCs/>
                <w:sz w:val="20"/>
                <w:szCs w:val="20"/>
                <w:lang w:eastAsia="en-CA"/>
              </w:rPr>
              <w:t>Consumption</w:t>
            </w:r>
          </w:p>
        </w:tc>
        <w:tc>
          <w:tcPr>
            <w:tcW w:w="1002"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FF6C2E" w:rsidRPr="00DE3F14" w:rsidRDefault="00FF6C2E" w:rsidP="005B04FB">
            <w:pPr>
              <w:jc w:val="center"/>
              <w:rPr>
                <w:b/>
                <w:bCs/>
                <w:sz w:val="20"/>
                <w:szCs w:val="20"/>
                <w:lang w:eastAsia="en-CA"/>
              </w:rPr>
            </w:pPr>
            <w:r w:rsidRPr="00DE3F14">
              <w:rPr>
                <w:b/>
                <w:bCs/>
                <w:sz w:val="20"/>
                <w:szCs w:val="20"/>
                <w:lang w:eastAsia="en-CA"/>
              </w:rPr>
              <w:t>Baseline</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FF6C2E" w:rsidRPr="00DE3F14" w:rsidRDefault="00FF6C2E" w:rsidP="005B04FB">
            <w:pPr>
              <w:jc w:val="center"/>
              <w:rPr>
                <w:b/>
                <w:bCs/>
                <w:sz w:val="20"/>
                <w:szCs w:val="20"/>
                <w:lang w:eastAsia="en-CA"/>
              </w:rPr>
            </w:pPr>
            <w:r w:rsidRPr="00DE3F14">
              <w:rPr>
                <w:b/>
                <w:bCs/>
                <w:sz w:val="20"/>
                <w:szCs w:val="20"/>
                <w:lang w:eastAsia="en-CA"/>
              </w:rPr>
              <w:t>2014</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FF6C2E" w:rsidRPr="00DE3F14" w:rsidRDefault="00FF6C2E" w:rsidP="005B04FB">
            <w:pPr>
              <w:jc w:val="center"/>
              <w:rPr>
                <w:b/>
                <w:bCs/>
                <w:sz w:val="20"/>
                <w:szCs w:val="20"/>
                <w:lang w:eastAsia="en-CA"/>
              </w:rPr>
            </w:pPr>
            <w:r w:rsidRPr="00DE3F14">
              <w:rPr>
                <w:b/>
                <w:bCs/>
                <w:sz w:val="20"/>
                <w:szCs w:val="20"/>
                <w:lang w:eastAsia="en-CA"/>
              </w:rPr>
              <w:t>2015</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FF6C2E" w:rsidRPr="00DE3F14" w:rsidRDefault="00FF6C2E" w:rsidP="005B04FB">
            <w:pPr>
              <w:jc w:val="center"/>
              <w:rPr>
                <w:b/>
                <w:bCs/>
                <w:sz w:val="20"/>
                <w:szCs w:val="20"/>
                <w:lang w:eastAsia="en-CA"/>
              </w:rPr>
            </w:pPr>
            <w:r w:rsidRPr="00DE3F14">
              <w:rPr>
                <w:b/>
                <w:bCs/>
                <w:sz w:val="20"/>
                <w:szCs w:val="20"/>
                <w:lang w:eastAsia="en-CA"/>
              </w:rPr>
              <w:t>2016</w:t>
            </w:r>
          </w:p>
        </w:tc>
        <w:tc>
          <w:tcPr>
            <w:tcW w:w="1003" w:type="dxa"/>
            <w:tcBorders>
              <w:top w:val="single" w:sz="4" w:space="0" w:color="auto"/>
              <w:left w:val="single" w:sz="4" w:space="0" w:color="auto"/>
              <w:bottom w:val="single" w:sz="4" w:space="0" w:color="auto"/>
              <w:right w:val="single" w:sz="4" w:space="0" w:color="auto"/>
            </w:tcBorders>
            <w:noWrap/>
            <w:tcMar>
              <w:left w:w="29" w:type="dxa"/>
              <w:right w:w="29" w:type="dxa"/>
            </w:tcMar>
            <w:vAlign w:val="center"/>
            <w:hideMark/>
          </w:tcPr>
          <w:p w:rsidR="00FF6C2E" w:rsidRPr="00DE3F14" w:rsidRDefault="00FF6C2E" w:rsidP="005B04FB">
            <w:pPr>
              <w:jc w:val="center"/>
              <w:rPr>
                <w:b/>
                <w:bCs/>
                <w:sz w:val="20"/>
                <w:szCs w:val="20"/>
                <w:lang w:eastAsia="en-CA"/>
              </w:rPr>
            </w:pPr>
            <w:r w:rsidRPr="00DE3F14">
              <w:rPr>
                <w:b/>
                <w:bCs/>
                <w:sz w:val="20"/>
                <w:szCs w:val="20"/>
                <w:lang w:eastAsia="en-CA"/>
              </w:rPr>
              <w:t>2017</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hideMark/>
          </w:tcPr>
          <w:p w:rsidR="00FF6C2E" w:rsidRPr="00DE3F14" w:rsidRDefault="00FF6C2E" w:rsidP="005B04FB">
            <w:pPr>
              <w:jc w:val="center"/>
              <w:rPr>
                <w:b/>
                <w:bCs/>
                <w:sz w:val="20"/>
                <w:szCs w:val="20"/>
                <w:lang w:eastAsia="en-CA"/>
              </w:rPr>
            </w:pPr>
            <w:r w:rsidRPr="00DE3F14">
              <w:rPr>
                <w:b/>
                <w:bCs/>
                <w:sz w:val="20"/>
                <w:szCs w:val="20"/>
                <w:lang w:eastAsia="en-CA"/>
              </w:rPr>
              <w:t>2018</w:t>
            </w: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vAlign w:val="center"/>
          </w:tcPr>
          <w:p w:rsidR="00FF6C2E" w:rsidRPr="00DE3F14" w:rsidRDefault="00FF6C2E" w:rsidP="005B04FB">
            <w:pPr>
              <w:jc w:val="center"/>
              <w:rPr>
                <w:b/>
                <w:bCs/>
                <w:sz w:val="20"/>
                <w:szCs w:val="20"/>
                <w:lang w:eastAsia="en-CA"/>
              </w:rPr>
            </w:pPr>
            <w:r w:rsidRPr="00DE3F14">
              <w:rPr>
                <w:b/>
                <w:bCs/>
                <w:sz w:val="20"/>
                <w:szCs w:val="20"/>
                <w:lang w:eastAsia="en-CA"/>
              </w:rPr>
              <w:t>2019</w:t>
            </w:r>
          </w:p>
        </w:tc>
        <w:tc>
          <w:tcPr>
            <w:tcW w:w="978" w:type="dxa"/>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rsidR="00FF6C2E" w:rsidRPr="00DE3F14" w:rsidRDefault="00FF6C2E" w:rsidP="005B04FB">
            <w:pPr>
              <w:jc w:val="center"/>
              <w:rPr>
                <w:b/>
                <w:bCs/>
                <w:sz w:val="20"/>
                <w:szCs w:val="20"/>
                <w:lang w:eastAsia="en-CA"/>
              </w:rPr>
            </w:pPr>
            <w:r w:rsidRPr="00DE3F14">
              <w:rPr>
                <w:b/>
                <w:bCs/>
                <w:sz w:val="20"/>
                <w:szCs w:val="20"/>
                <w:lang w:eastAsia="en-CA"/>
              </w:rPr>
              <w:t>% 2019 to baseline</w:t>
            </w:r>
          </w:p>
        </w:tc>
      </w:tr>
      <w:tr w:rsidR="00FF6C2E" w:rsidRPr="007D6760" w:rsidTr="005B04FB">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FF6C2E" w:rsidRPr="00DE3F14" w:rsidRDefault="00FF6C2E" w:rsidP="005B04FB">
            <w:pPr>
              <w:jc w:val="left"/>
              <w:rPr>
                <w:b/>
                <w:sz w:val="20"/>
                <w:szCs w:val="20"/>
                <w:lang w:eastAsia="en-CA"/>
              </w:rPr>
            </w:pPr>
            <w:r w:rsidRPr="00DE3F14">
              <w:rPr>
                <w:b/>
                <w:sz w:val="20"/>
                <w:szCs w:val="20"/>
                <w:lang w:eastAsia="en-CA"/>
              </w:rPr>
              <w:t>Reported*</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rsidR="00FF6C2E" w:rsidRPr="00DE3F14" w:rsidRDefault="00FF6C2E" w:rsidP="005B04FB">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FF6C2E" w:rsidRPr="00DE3F14" w:rsidRDefault="00FF6C2E" w:rsidP="005B04FB">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FF6C2E" w:rsidRPr="00DE3F14" w:rsidRDefault="00FF6C2E" w:rsidP="005B04FB">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FF6C2E" w:rsidRPr="00DE3F14" w:rsidRDefault="00FF6C2E" w:rsidP="005B04FB">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29" w:type="dxa"/>
            </w:tcMar>
          </w:tcPr>
          <w:p w:rsidR="00FF6C2E" w:rsidRPr="00DE3F14" w:rsidRDefault="00FF6C2E" w:rsidP="005B04FB">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29" w:type="dxa"/>
            </w:tcMar>
          </w:tcPr>
          <w:p w:rsidR="00FF6C2E" w:rsidRPr="00DE3F14" w:rsidRDefault="00FF6C2E" w:rsidP="005B04FB">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tcMar>
              <w:left w:w="29" w:type="dxa"/>
              <w:right w:w="29" w:type="dxa"/>
            </w:tcMar>
          </w:tcPr>
          <w:p w:rsidR="00FF6C2E" w:rsidRPr="00DE3F14" w:rsidRDefault="00FF6C2E" w:rsidP="005B04FB">
            <w:pPr>
              <w:jc w:val="right"/>
              <w:rPr>
                <w:sz w:val="20"/>
                <w:szCs w:val="20"/>
                <w:lang w:eastAsia="en-CA"/>
              </w:rPr>
            </w:pP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73" w:type="dxa"/>
            </w:tcMar>
          </w:tcPr>
          <w:p w:rsidR="00FF6C2E" w:rsidRPr="00DE3F14" w:rsidRDefault="00FF6C2E" w:rsidP="005B04FB">
            <w:pPr>
              <w:jc w:val="right"/>
              <w:rPr>
                <w:sz w:val="20"/>
                <w:szCs w:val="20"/>
                <w:lang w:eastAsia="en-CA"/>
              </w:rPr>
            </w:pPr>
          </w:p>
        </w:tc>
      </w:tr>
      <w:tr w:rsidR="00FF6C2E" w:rsidRPr="007D6760" w:rsidTr="005B04FB">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FF6C2E" w:rsidRPr="00DE3F14" w:rsidRDefault="00FF6C2E" w:rsidP="005B04FB">
            <w:pPr>
              <w:jc w:val="left"/>
              <w:rPr>
                <w:color w:val="000000"/>
                <w:sz w:val="20"/>
                <w:szCs w:val="20"/>
              </w:rPr>
            </w:pPr>
            <w:r w:rsidRPr="00DE3F14">
              <w:rPr>
                <w:color w:val="000000"/>
                <w:sz w:val="20"/>
                <w:szCs w:val="20"/>
              </w:rPr>
              <w:t>HCFC-22</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394,655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341,207</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298,506</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301,003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296,258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297,000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rsidR="00FF6C2E" w:rsidRPr="00DE3F14" w:rsidRDefault="00FF6C2E" w:rsidP="005B04FB">
            <w:pPr>
              <w:jc w:val="right"/>
              <w:rPr>
                <w:sz w:val="20"/>
                <w:szCs w:val="20"/>
              </w:rPr>
            </w:pPr>
            <w:r w:rsidRPr="00DE3F14">
              <w:rPr>
                <w:sz w:val="20"/>
                <w:szCs w:val="20"/>
              </w:rPr>
              <w:t>291,787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73.9</w:t>
            </w:r>
          </w:p>
        </w:tc>
      </w:tr>
      <w:tr w:rsidR="00FF6C2E" w:rsidRPr="007D6760" w:rsidTr="005B04FB">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FF6C2E" w:rsidRPr="00DE3F14" w:rsidRDefault="00FF6C2E" w:rsidP="005B04FB">
            <w:pPr>
              <w:rPr>
                <w:color w:val="000000"/>
                <w:sz w:val="20"/>
                <w:szCs w:val="20"/>
              </w:rPr>
            </w:pPr>
            <w:r w:rsidRPr="00DE3F14">
              <w:rPr>
                <w:color w:val="000000"/>
                <w:sz w:val="20"/>
                <w:szCs w:val="20"/>
              </w:rPr>
              <w:t>HCFC-141b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107,872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89,452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69,091</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65,103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63,493</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56,990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rsidR="00FF6C2E" w:rsidRPr="00DE3F14" w:rsidRDefault="00FF6C2E" w:rsidP="005B04FB">
            <w:pPr>
              <w:jc w:val="right"/>
              <w:rPr>
                <w:sz w:val="20"/>
                <w:szCs w:val="20"/>
              </w:rPr>
            </w:pPr>
            <w:r w:rsidRPr="00DE3F14">
              <w:rPr>
                <w:sz w:val="20"/>
                <w:szCs w:val="20"/>
              </w:rPr>
              <w:t>54,777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50.8</w:t>
            </w:r>
          </w:p>
        </w:tc>
      </w:tr>
      <w:tr w:rsidR="00FF6C2E" w:rsidRPr="007D6760" w:rsidTr="005B04FB">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FF6C2E" w:rsidRPr="00DE3F14" w:rsidRDefault="00FF6C2E" w:rsidP="005B04FB">
            <w:pPr>
              <w:rPr>
                <w:color w:val="000000"/>
                <w:sz w:val="20"/>
                <w:szCs w:val="20"/>
              </w:rPr>
            </w:pPr>
            <w:r w:rsidRPr="00DE3F14">
              <w:rPr>
                <w:color w:val="000000"/>
                <w:sz w:val="20"/>
                <w:szCs w:val="20"/>
              </w:rPr>
              <w:t>HCFC-142b</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33,195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15,414</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18,243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15,899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16,628</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11,140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rsidR="00FF6C2E" w:rsidRPr="00DE3F14" w:rsidRDefault="00FF6C2E" w:rsidP="005B04FB">
            <w:pPr>
              <w:jc w:val="right"/>
              <w:rPr>
                <w:sz w:val="20"/>
                <w:szCs w:val="20"/>
              </w:rPr>
            </w:pPr>
            <w:r w:rsidRPr="00DE3F14">
              <w:rPr>
                <w:sz w:val="20"/>
                <w:szCs w:val="20"/>
              </w:rPr>
              <w:t>11,947</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36.0</w:t>
            </w:r>
          </w:p>
        </w:tc>
      </w:tr>
      <w:tr w:rsidR="00FF6C2E" w:rsidRPr="007D6760" w:rsidTr="005B04FB">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bottom"/>
            <w:hideMark/>
          </w:tcPr>
          <w:p w:rsidR="00FF6C2E" w:rsidRPr="00DE3F14" w:rsidRDefault="00FF6C2E" w:rsidP="005B04FB">
            <w:pPr>
              <w:rPr>
                <w:b/>
                <w:color w:val="000000"/>
                <w:sz w:val="20"/>
                <w:szCs w:val="20"/>
              </w:rPr>
            </w:pPr>
            <w:r w:rsidRPr="00DE3F14">
              <w:rPr>
                <w:b/>
                <w:color w:val="000000"/>
                <w:sz w:val="20"/>
                <w:szCs w:val="20"/>
              </w:rPr>
              <w:t>Actual</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446,073</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385,840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382,005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376,380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365,131</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rsidR="00FF6C2E" w:rsidRPr="00DE3F14" w:rsidRDefault="00FF6C2E" w:rsidP="005B04FB">
            <w:pPr>
              <w:jc w:val="right"/>
              <w:rPr>
                <w:sz w:val="20"/>
                <w:szCs w:val="20"/>
              </w:rPr>
            </w:pPr>
            <w:r w:rsidRPr="00DE3F14">
              <w:rPr>
                <w:sz w:val="20"/>
                <w:szCs w:val="20"/>
              </w:rPr>
              <w:t>358,511</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66.9</w:t>
            </w:r>
          </w:p>
        </w:tc>
      </w:tr>
      <w:tr w:rsidR="00FF6C2E" w:rsidRPr="007D6760" w:rsidTr="005B04FB">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FF6C2E" w:rsidRPr="00DE3F14" w:rsidRDefault="00FF6C2E" w:rsidP="005B04FB">
            <w:pPr>
              <w:jc w:val="left"/>
              <w:rPr>
                <w:b/>
                <w:sz w:val="20"/>
                <w:szCs w:val="20"/>
                <w:lang w:eastAsia="en-CA"/>
              </w:rPr>
            </w:pPr>
            <w:r w:rsidRPr="00DE3F14">
              <w:rPr>
                <w:b/>
                <w:sz w:val="20"/>
                <w:szCs w:val="20"/>
                <w:lang w:eastAsia="en-CA"/>
              </w:rPr>
              <w:t>Allowable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rsidR="00FF6C2E" w:rsidRPr="00DE3F14" w:rsidRDefault="00FF6C2E" w:rsidP="005B04FB">
            <w:pPr>
              <w:jc w:val="right"/>
              <w:rPr>
                <w:sz w:val="20"/>
                <w:szCs w:val="20"/>
                <w:lang w:eastAsia="en-CA"/>
              </w:rPr>
            </w:pPr>
            <w:r w:rsidRPr="00DE3F14">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535,722</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482,150</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rsidR="00FF6C2E" w:rsidRPr="00DE3F14" w:rsidRDefault="00FF6C2E" w:rsidP="005B04FB">
            <w:pPr>
              <w:jc w:val="right"/>
              <w:rPr>
                <w:sz w:val="20"/>
                <w:szCs w:val="20"/>
              </w:rPr>
            </w:pPr>
            <w:r w:rsidRPr="00DE3F14">
              <w:rPr>
                <w:sz w:val="20"/>
                <w:szCs w:val="20"/>
              </w:rPr>
              <w:t>482,150</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FF6C2E" w:rsidRPr="00DE3F14" w:rsidRDefault="00FF6C2E" w:rsidP="005B04FB">
            <w:pPr>
              <w:jc w:val="right"/>
              <w:rPr>
                <w:sz w:val="20"/>
                <w:szCs w:val="20"/>
                <w:lang w:eastAsia="en-CA"/>
              </w:rPr>
            </w:pPr>
          </w:p>
        </w:tc>
      </w:tr>
      <w:tr w:rsidR="00FF6C2E" w:rsidRPr="007D6760" w:rsidTr="005B04FB">
        <w:trPr>
          <w:trHeight w:val="58"/>
        </w:trPr>
        <w:tc>
          <w:tcPr>
            <w:tcW w:w="1350"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0" w:type="dxa"/>
            </w:tcMar>
            <w:vAlign w:val="center"/>
            <w:hideMark/>
          </w:tcPr>
          <w:p w:rsidR="00FF6C2E" w:rsidRPr="00DE3F14" w:rsidRDefault="00FF6C2E" w:rsidP="005B04FB">
            <w:pPr>
              <w:jc w:val="left"/>
              <w:rPr>
                <w:sz w:val="20"/>
                <w:szCs w:val="20"/>
                <w:lang w:eastAsia="en-CA"/>
              </w:rPr>
            </w:pPr>
            <w:r w:rsidRPr="00DE3F14">
              <w:rPr>
                <w:sz w:val="20"/>
                <w:szCs w:val="20"/>
                <w:lang w:eastAsia="en-CA"/>
              </w:rPr>
              <w:t>Difference</w:t>
            </w:r>
          </w:p>
        </w:tc>
        <w:tc>
          <w:tcPr>
            <w:tcW w:w="1002"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tcPr>
          <w:p w:rsidR="00FF6C2E" w:rsidRPr="00DE3F14" w:rsidRDefault="00FF6C2E" w:rsidP="005B04FB">
            <w:pPr>
              <w:jc w:val="right"/>
              <w:rPr>
                <w:sz w:val="20"/>
                <w:szCs w:val="20"/>
                <w:lang w:eastAsia="en-CA"/>
              </w:rPr>
            </w:pP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(89,649)</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(96,310)</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(100,145)</w:t>
            </w:r>
          </w:p>
        </w:tc>
        <w:tc>
          <w:tcPr>
            <w:tcW w:w="1003" w:type="dxa"/>
            <w:tcBorders>
              <w:top w:val="single" w:sz="4" w:space="0" w:color="auto"/>
              <w:left w:val="single" w:sz="4" w:space="0" w:color="auto"/>
              <w:bottom w:val="single" w:sz="4" w:space="0" w:color="auto"/>
              <w:right w:val="single" w:sz="4" w:space="0" w:color="auto"/>
            </w:tcBorders>
            <w:noWrap/>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(105,770)</w:t>
            </w:r>
          </w:p>
        </w:tc>
        <w:tc>
          <w:tcPr>
            <w:tcW w:w="1003" w:type="dxa"/>
            <w:tcBorders>
              <w:top w:val="single" w:sz="4" w:space="0" w:color="auto"/>
              <w:left w:val="single" w:sz="4" w:space="0" w:color="auto"/>
              <w:bottom w:val="single" w:sz="4" w:space="0" w:color="auto"/>
              <w:right w:val="single" w:sz="4" w:space="0" w:color="auto"/>
            </w:tcBorders>
            <w:tcMar>
              <w:top w:w="0" w:type="dxa"/>
              <w:left w:w="29" w:type="dxa"/>
              <w:bottom w:w="0" w:type="dxa"/>
              <w:right w:w="115" w:type="dxa"/>
            </w:tcMar>
            <w:hideMark/>
          </w:tcPr>
          <w:p w:rsidR="00FF6C2E" w:rsidRPr="00DE3F14" w:rsidRDefault="00FF6C2E" w:rsidP="005B04FB">
            <w:pPr>
              <w:jc w:val="right"/>
              <w:rPr>
                <w:color w:val="000000"/>
                <w:sz w:val="20"/>
                <w:szCs w:val="20"/>
              </w:rPr>
            </w:pPr>
            <w:r w:rsidRPr="00DE3F14">
              <w:rPr>
                <w:sz w:val="20"/>
                <w:szCs w:val="20"/>
              </w:rPr>
              <w:t>(117,019)</w:t>
            </w:r>
          </w:p>
        </w:tc>
        <w:tc>
          <w:tcPr>
            <w:tcW w:w="1003" w:type="dxa"/>
            <w:tcBorders>
              <w:top w:val="single" w:sz="4" w:space="0" w:color="auto"/>
              <w:left w:val="single" w:sz="4" w:space="0" w:color="auto"/>
              <w:bottom w:val="single" w:sz="4" w:space="0" w:color="auto"/>
              <w:right w:val="single" w:sz="4" w:space="0" w:color="auto"/>
            </w:tcBorders>
            <w:tcMar>
              <w:left w:w="29" w:type="dxa"/>
              <w:right w:w="115" w:type="dxa"/>
            </w:tcMar>
          </w:tcPr>
          <w:p w:rsidR="00FF6C2E" w:rsidRPr="00DE3F14" w:rsidRDefault="00FF6C2E" w:rsidP="005B04FB">
            <w:pPr>
              <w:jc w:val="right"/>
              <w:rPr>
                <w:sz w:val="20"/>
                <w:szCs w:val="20"/>
              </w:rPr>
            </w:pPr>
            <w:r w:rsidRPr="00DE3F14">
              <w:rPr>
                <w:sz w:val="20"/>
                <w:szCs w:val="20"/>
              </w:rPr>
              <w:t>(123,639)</w:t>
            </w:r>
          </w:p>
        </w:tc>
        <w:tc>
          <w:tcPr>
            <w:tcW w:w="978"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tcPr>
          <w:p w:rsidR="00FF6C2E" w:rsidRPr="00DE3F14" w:rsidRDefault="00FF6C2E" w:rsidP="005B04FB">
            <w:pPr>
              <w:jc w:val="right"/>
              <w:rPr>
                <w:sz w:val="20"/>
                <w:szCs w:val="20"/>
                <w:lang w:eastAsia="en-CA"/>
              </w:rPr>
            </w:pPr>
          </w:p>
        </w:tc>
      </w:tr>
    </w:tbl>
    <w:p w:rsidR="00FF6C2E" w:rsidRPr="00FC222A" w:rsidRDefault="00FF6C2E" w:rsidP="005B04FB">
      <w:pPr>
        <w:rPr>
          <w:bCs/>
          <w:sz w:val="18"/>
          <w:szCs w:val="18"/>
        </w:rPr>
      </w:pPr>
      <w:r w:rsidRPr="00FC222A">
        <w:rPr>
          <w:bCs/>
          <w:sz w:val="18"/>
          <w:szCs w:val="18"/>
        </w:rPr>
        <w:t>* Including the Republic of Korea (1,310.5 ODP tonnes), Singapore (58.0 ODP tonnes) and the United Arab Emirates (475.3 ODP</w:t>
      </w:r>
      <w:r>
        <w:rPr>
          <w:bCs/>
          <w:sz w:val="18"/>
          <w:szCs w:val="18"/>
        </w:rPr>
        <w:t> </w:t>
      </w:r>
      <w:r w:rsidRPr="00FC222A">
        <w:rPr>
          <w:bCs/>
          <w:sz w:val="18"/>
          <w:szCs w:val="18"/>
        </w:rPr>
        <w:t>tonnes).</w:t>
      </w:r>
    </w:p>
    <w:p w:rsidR="00FF6C2E" w:rsidRPr="00F824FF" w:rsidRDefault="00FF6C2E" w:rsidP="005B04FB"/>
    <w:p w:rsidR="00FF6C2E" w:rsidRPr="00F824FF" w:rsidRDefault="00FF6C2E" w:rsidP="005B04FB">
      <w:pPr>
        <w:pStyle w:val="Heading1"/>
      </w:pPr>
      <w:r w:rsidRPr="00F824FF">
        <w:lastRenderedPageBreak/>
        <w:t xml:space="preserve">Considering that the HPMPs approved so far will address the phase-out of approximately 71.3 per cent of the HCFC baseline once completed, and that additional stages of HPMPs will be approved possibly prior to 2025, it is expected that the 2020-2030 levels of consumption of HCFCs will likely be lower than those indicated in Table 1. While a faster reduction in HCFC consumption is encouraging, as HCFCs and HFCs are used in several common applications it is important to undertake efforts to ensure that these HCFC reductions do not result in increased HFC consumption. </w:t>
      </w:r>
    </w:p>
    <w:p w:rsidR="00FF6C2E" w:rsidRPr="00F824FF" w:rsidRDefault="00FF6C2E" w:rsidP="005B04FB">
      <w:pPr>
        <w:rPr>
          <w:u w:val="single"/>
        </w:rPr>
      </w:pPr>
      <w:r w:rsidRPr="00F824FF">
        <w:rPr>
          <w:u w:val="single"/>
        </w:rPr>
        <w:t>HFC</w:t>
      </w:r>
    </w:p>
    <w:p w:rsidR="00FF6C2E" w:rsidRPr="00F824FF" w:rsidRDefault="00FF6C2E" w:rsidP="005B04FB"/>
    <w:p w:rsidR="00FF6C2E" w:rsidRPr="00F824FF" w:rsidRDefault="00FF6C2E" w:rsidP="005B04FB">
      <w:pPr>
        <w:pStyle w:val="Heading1"/>
        <w:widowControl w:val="0"/>
      </w:pPr>
      <w:r w:rsidRPr="00F824FF">
        <w:t xml:space="preserve">The aggregate level of HFC consumption in Article 5 countries reported under the TEAP Task Force under decisions XXV/5 and XXVI/9, amounted to 284,325 </w:t>
      </w:r>
      <w:proofErr w:type="spellStart"/>
      <w:r w:rsidRPr="00F824FF">
        <w:t>mt</w:t>
      </w:r>
      <w:proofErr w:type="spellEnd"/>
      <w:r w:rsidRPr="00F824FF">
        <w:t xml:space="preserve"> in 2015 and, in the absence of the Kigali Amendment (i.e., business-as-usual scenario) consumption would be expected to increase to 1,021,216</w:t>
      </w:r>
      <w:r>
        <w:t> </w:t>
      </w:r>
      <w:proofErr w:type="spellStart"/>
      <w:r w:rsidRPr="00F824FF">
        <w:t>mt</w:t>
      </w:r>
      <w:proofErr w:type="spellEnd"/>
      <w:r w:rsidRPr="00F824FF">
        <w:t xml:space="preserve"> by 2030, as shown in Table 3.</w:t>
      </w:r>
      <w:r w:rsidRPr="00F824FF">
        <w:rPr>
          <w:rStyle w:val="FootnoteReference"/>
        </w:rPr>
        <w:footnoteReference w:id="25"/>
      </w:r>
      <w:r w:rsidRPr="00F824FF">
        <w:t xml:space="preserve"> Five HFCs (including HFC-blends), namely R</w:t>
      </w:r>
      <w:r w:rsidRPr="00F824FF">
        <w:noBreakHyphen/>
        <w:t>410A, HFC</w:t>
      </w:r>
      <w:r w:rsidRPr="00F824FF">
        <w:noBreakHyphen/>
        <w:t>134a, R-407C, R-404A, and R-507A represented over 97 per cent of the total consumption in 2025.</w:t>
      </w:r>
    </w:p>
    <w:p w:rsidR="00FF6C2E" w:rsidRPr="00FC222A" w:rsidRDefault="00FF6C2E" w:rsidP="005B04FB">
      <w:pPr>
        <w:keepNext/>
        <w:outlineLvl w:val="0"/>
        <w:rPr>
          <w:b/>
        </w:rPr>
      </w:pPr>
      <w:r w:rsidRPr="00FC222A">
        <w:rPr>
          <w:b/>
        </w:rPr>
        <w:t>Table 3. HFC consumption in Article 5 countries reported by the TEAP Task Force</w:t>
      </w:r>
    </w:p>
    <w:tbl>
      <w:tblPr>
        <w:tblW w:w="5000" w:type="pct"/>
        <w:tblLook w:val="04A0" w:firstRow="1" w:lastRow="0" w:firstColumn="1" w:lastColumn="0" w:noHBand="0" w:noVBand="1"/>
      </w:tblPr>
      <w:tblGrid>
        <w:gridCol w:w="2608"/>
        <w:gridCol w:w="1348"/>
        <w:gridCol w:w="1348"/>
        <w:gridCol w:w="1348"/>
        <w:gridCol w:w="1350"/>
        <w:gridCol w:w="1348"/>
      </w:tblGrid>
      <w:tr w:rsidR="00FF6C2E" w:rsidRPr="000E7FEA" w:rsidTr="005B04FB">
        <w:trPr>
          <w:tblHeader/>
        </w:trPr>
        <w:tc>
          <w:tcPr>
            <w:tcW w:w="1394" w:type="pct"/>
            <w:vMerge w:val="restart"/>
            <w:tcBorders>
              <w:top w:val="single" w:sz="4" w:space="0" w:color="auto"/>
              <w:left w:val="single" w:sz="4" w:space="0" w:color="auto"/>
              <w:bottom w:val="single" w:sz="4" w:space="0" w:color="auto"/>
              <w:right w:val="single" w:sz="4" w:space="0" w:color="auto"/>
            </w:tcBorders>
            <w:noWrap/>
            <w:vAlign w:val="center"/>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HFC</w:t>
            </w:r>
          </w:p>
        </w:tc>
        <w:tc>
          <w:tcPr>
            <w:tcW w:w="2885" w:type="pct"/>
            <w:gridSpan w:val="4"/>
            <w:tcBorders>
              <w:top w:val="single" w:sz="4" w:space="0" w:color="auto"/>
              <w:left w:val="nil"/>
              <w:bottom w:val="single" w:sz="4" w:space="0" w:color="auto"/>
              <w:right w:val="single" w:sz="4" w:space="0" w:color="auto"/>
            </w:tcBorders>
            <w:noWrap/>
            <w:vAlign w:val="bottom"/>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Consumption (</w:t>
            </w:r>
            <w:proofErr w:type="spellStart"/>
            <w:r w:rsidRPr="00FC222A">
              <w:rPr>
                <w:b/>
                <w:bCs/>
                <w:color w:val="000000"/>
                <w:sz w:val="20"/>
                <w:szCs w:val="20"/>
                <w:lang w:eastAsia="en-CA"/>
              </w:rPr>
              <w:t>mt</w:t>
            </w:r>
            <w:proofErr w:type="spellEnd"/>
            <w:r w:rsidRPr="00FC222A">
              <w:rPr>
                <w:b/>
                <w:bCs/>
                <w:color w:val="000000"/>
                <w:sz w:val="20"/>
                <w:szCs w:val="20"/>
                <w:lang w:eastAsia="en-CA"/>
              </w:rPr>
              <w:t>)</w:t>
            </w:r>
          </w:p>
        </w:tc>
        <w:tc>
          <w:tcPr>
            <w:tcW w:w="721" w:type="pct"/>
            <w:vMerge w:val="restart"/>
            <w:tcBorders>
              <w:top w:val="single" w:sz="4" w:space="0" w:color="auto"/>
              <w:left w:val="nil"/>
              <w:bottom w:val="single" w:sz="4" w:space="0" w:color="auto"/>
              <w:right w:val="single" w:sz="4" w:space="0" w:color="auto"/>
            </w:tcBorders>
            <w:noWrap/>
            <w:vAlign w:val="center"/>
            <w:hideMark/>
          </w:tcPr>
          <w:p w:rsidR="00FF6C2E" w:rsidRDefault="00FF6C2E" w:rsidP="005B04FB">
            <w:pPr>
              <w:jc w:val="center"/>
              <w:rPr>
                <w:b/>
                <w:color w:val="000000"/>
                <w:sz w:val="20"/>
                <w:szCs w:val="20"/>
                <w:lang w:eastAsia="en-CA"/>
              </w:rPr>
            </w:pPr>
            <w:r w:rsidRPr="00FC222A">
              <w:rPr>
                <w:b/>
                <w:color w:val="000000"/>
                <w:sz w:val="20"/>
                <w:szCs w:val="20"/>
                <w:lang w:eastAsia="en-CA"/>
              </w:rPr>
              <w:t xml:space="preserve">Growth rate </w:t>
            </w:r>
          </w:p>
          <w:p w:rsidR="00FF6C2E" w:rsidRPr="00FC222A" w:rsidRDefault="00FF6C2E" w:rsidP="005B04FB">
            <w:pPr>
              <w:jc w:val="center"/>
              <w:rPr>
                <w:b/>
                <w:color w:val="000000"/>
                <w:sz w:val="20"/>
                <w:szCs w:val="20"/>
                <w:lang w:eastAsia="en-CA"/>
              </w:rPr>
            </w:pPr>
            <w:r w:rsidRPr="00FC222A">
              <w:rPr>
                <w:b/>
                <w:color w:val="000000"/>
                <w:sz w:val="20"/>
                <w:szCs w:val="20"/>
                <w:lang w:eastAsia="en-CA"/>
              </w:rPr>
              <w:t>(%)*</w:t>
            </w:r>
          </w:p>
        </w:tc>
      </w:tr>
      <w:tr w:rsidR="00FF6C2E" w:rsidRPr="000E7FEA" w:rsidTr="005B04FB">
        <w:trPr>
          <w:tblHeader/>
        </w:trPr>
        <w:tc>
          <w:tcPr>
            <w:tcW w:w="1394" w:type="pct"/>
            <w:vMerge/>
            <w:tcBorders>
              <w:top w:val="single" w:sz="4" w:space="0" w:color="auto"/>
              <w:left w:val="single" w:sz="4" w:space="0" w:color="auto"/>
              <w:bottom w:val="single" w:sz="4" w:space="0" w:color="auto"/>
              <w:right w:val="single" w:sz="4" w:space="0" w:color="auto"/>
            </w:tcBorders>
            <w:vAlign w:val="center"/>
            <w:hideMark/>
          </w:tcPr>
          <w:p w:rsidR="00FF6C2E" w:rsidRPr="00FC222A" w:rsidRDefault="00FF6C2E" w:rsidP="005B04FB">
            <w:pPr>
              <w:jc w:val="left"/>
              <w:rPr>
                <w:b/>
                <w:bCs/>
                <w:color w:val="000000"/>
                <w:sz w:val="20"/>
                <w:szCs w:val="20"/>
                <w:lang w:eastAsia="en-CA"/>
              </w:rPr>
            </w:pPr>
          </w:p>
        </w:tc>
        <w:tc>
          <w:tcPr>
            <w:tcW w:w="721" w:type="pct"/>
            <w:tcBorders>
              <w:top w:val="single" w:sz="4" w:space="0" w:color="auto"/>
              <w:left w:val="nil"/>
              <w:bottom w:val="single" w:sz="4" w:space="0" w:color="auto"/>
              <w:right w:val="single" w:sz="4" w:space="0" w:color="auto"/>
            </w:tcBorders>
            <w:noWrap/>
            <w:vAlign w:val="bottom"/>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2015</w:t>
            </w:r>
          </w:p>
        </w:tc>
        <w:tc>
          <w:tcPr>
            <w:tcW w:w="721" w:type="pct"/>
            <w:tcBorders>
              <w:top w:val="single" w:sz="4" w:space="0" w:color="auto"/>
              <w:left w:val="nil"/>
              <w:bottom w:val="single" w:sz="4" w:space="0" w:color="auto"/>
              <w:right w:val="single" w:sz="4" w:space="0" w:color="auto"/>
            </w:tcBorders>
            <w:noWrap/>
            <w:vAlign w:val="bottom"/>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2020</w:t>
            </w:r>
          </w:p>
        </w:tc>
        <w:tc>
          <w:tcPr>
            <w:tcW w:w="721" w:type="pct"/>
            <w:tcBorders>
              <w:top w:val="single" w:sz="4" w:space="0" w:color="auto"/>
              <w:left w:val="nil"/>
              <w:bottom w:val="single" w:sz="4" w:space="0" w:color="auto"/>
              <w:right w:val="single" w:sz="4" w:space="0" w:color="auto"/>
            </w:tcBorders>
            <w:noWrap/>
            <w:vAlign w:val="bottom"/>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2025</w:t>
            </w:r>
          </w:p>
        </w:tc>
        <w:tc>
          <w:tcPr>
            <w:tcW w:w="721" w:type="pct"/>
            <w:tcBorders>
              <w:top w:val="single" w:sz="4" w:space="0" w:color="auto"/>
              <w:left w:val="nil"/>
              <w:bottom w:val="single" w:sz="4" w:space="0" w:color="auto"/>
              <w:right w:val="single" w:sz="4" w:space="0" w:color="auto"/>
            </w:tcBorders>
            <w:noWrap/>
            <w:vAlign w:val="bottom"/>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2030</w:t>
            </w:r>
          </w:p>
        </w:tc>
        <w:tc>
          <w:tcPr>
            <w:tcW w:w="721" w:type="pct"/>
            <w:vMerge/>
            <w:tcBorders>
              <w:top w:val="single" w:sz="4" w:space="0" w:color="auto"/>
              <w:left w:val="nil"/>
              <w:bottom w:val="single" w:sz="4" w:space="0" w:color="auto"/>
              <w:right w:val="single" w:sz="4" w:space="0" w:color="auto"/>
            </w:tcBorders>
            <w:vAlign w:val="center"/>
            <w:hideMark/>
          </w:tcPr>
          <w:p w:rsidR="00FF6C2E" w:rsidRPr="00FC222A" w:rsidRDefault="00FF6C2E" w:rsidP="005B04FB">
            <w:pPr>
              <w:jc w:val="left"/>
              <w:rPr>
                <w:b/>
                <w:color w:val="000000"/>
                <w:sz w:val="20"/>
                <w:szCs w:val="20"/>
                <w:lang w:eastAsia="en-CA"/>
              </w:rPr>
            </w:pP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R-410A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106,661</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192,770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284,682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364,845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8.5</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HFC-134a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78,688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106,731</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139,547</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177,432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5.6</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R-407C</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55,278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101,216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174,433</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285,500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11.6</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R-404A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18,202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31,982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55,964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83,845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10.7</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R-507A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18,202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31,982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55,964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83,845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10.7</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HFC-152a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3,364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5,669</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11,280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15,225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10.6</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HFC-245fa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2,172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3,840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4,986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5,504</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6.4</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HFC-365mfc/HFC-227ea</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1,758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3,428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4,546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5,020</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7.2</w:t>
            </w:r>
          </w:p>
        </w:tc>
      </w:tr>
      <w:tr w:rsidR="00FF6C2E" w:rsidRPr="000E7FEA" w:rsidTr="005B04FB">
        <w:tc>
          <w:tcPr>
            <w:tcW w:w="1394" w:type="pct"/>
            <w:tcBorders>
              <w:top w:val="nil"/>
              <w:left w:val="single" w:sz="4" w:space="0" w:color="auto"/>
              <w:bottom w:val="single" w:sz="4" w:space="0" w:color="auto"/>
              <w:right w:val="single" w:sz="4" w:space="0" w:color="auto"/>
            </w:tcBorders>
            <w:noWrap/>
            <w:vAlign w:val="bottom"/>
            <w:hideMark/>
          </w:tcPr>
          <w:p w:rsidR="00FF6C2E" w:rsidRPr="00FC222A" w:rsidRDefault="00FF6C2E" w:rsidP="005B04FB">
            <w:pPr>
              <w:jc w:val="left"/>
              <w:rPr>
                <w:b/>
                <w:color w:val="000000"/>
                <w:sz w:val="20"/>
                <w:szCs w:val="20"/>
                <w:lang w:eastAsia="en-CA"/>
              </w:rPr>
            </w:pPr>
            <w:r w:rsidRPr="00FC222A">
              <w:rPr>
                <w:b/>
                <w:color w:val="000000"/>
                <w:sz w:val="20"/>
                <w:szCs w:val="20"/>
                <w:lang w:eastAsia="en-CA"/>
              </w:rPr>
              <w:t>Total</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284,325</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477,618</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731,402</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1,021,216</w:t>
            </w:r>
          </w:p>
        </w:tc>
        <w:tc>
          <w:tcPr>
            <w:tcW w:w="721" w:type="pct"/>
            <w:tcBorders>
              <w:top w:val="nil"/>
              <w:left w:val="nil"/>
              <w:bottom w:val="single" w:sz="4" w:space="0" w:color="auto"/>
              <w:right w:val="single" w:sz="4" w:space="0" w:color="auto"/>
            </w:tcBorders>
            <w:noWrap/>
            <w:tcMar>
              <w:top w:w="0" w:type="dxa"/>
              <w:left w:w="115" w:type="dxa"/>
              <w:bottom w:w="0" w:type="dxa"/>
              <w:right w:w="288" w:type="dxa"/>
            </w:tcMar>
            <w:hideMark/>
          </w:tcPr>
          <w:p w:rsidR="00FF6C2E" w:rsidRPr="00FC222A" w:rsidRDefault="00FF6C2E" w:rsidP="005B04FB">
            <w:pPr>
              <w:jc w:val="right"/>
              <w:rPr>
                <w:sz w:val="20"/>
                <w:szCs w:val="20"/>
              </w:rPr>
            </w:pPr>
            <w:r w:rsidRPr="00FC222A">
              <w:rPr>
                <w:sz w:val="20"/>
                <w:szCs w:val="20"/>
              </w:rPr>
              <w:t>8.9</w:t>
            </w:r>
          </w:p>
        </w:tc>
      </w:tr>
    </w:tbl>
    <w:p w:rsidR="00FF6C2E" w:rsidRDefault="00FF6C2E" w:rsidP="005B04FB">
      <w:pPr>
        <w:ind w:left="1440" w:hanging="1440"/>
        <w:outlineLvl w:val="0"/>
        <w:rPr>
          <w:sz w:val="20"/>
          <w:szCs w:val="20"/>
        </w:rPr>
      </w:pPr>
      <w:r w:rsidRPr="00FC222A">
        <w:rPr>
          <w:sz w:val="18"/>
          <w:szCs w:val="20"/>
        </w:rPr>
        <w:t>* Average growth rate between 2015 and 2030.</w:t>
      </w:r>
    </w:p>
    <w:p w:rsidR="00FF6C2E" w:rsidRDefault="00FF6C2E" w:rsidP="005B04FB"/>
    <w:p w:rsidR="00FF6C2E" w:rsidRPr="00F824FF" w:rsidRDefault="00FF6C2E" w:rsidP="005B04FB">
      <w:pPr>
        <w:pStyle w:val="Heading1"/>
      </w:pPr>
      <w:r w:rsidRPr="00F824FF">
        <w:t xml:space="preserve">The actual levels of consumption of HCFCs and HFCs (Tables 1 and 3) will depend on, </w:t>
      </w:r>
      <w:r w:rsidRPr="00F824FF">
        <w:rPr>
          <w:i/>
        </w:rPr>
        <w:t xml:space="preserve">inter alia, </w:t>
      </w:r>
      <w:r w:rsidRPr="00F824FF">
        <w:t>the completion of approved projects to phase out HCFCs, the growth of refrigeration and air</w:t>
      </w:r>
      <w:r>
        <w:noBreakHyphen/>
      </w:r>
      <w:r w:rsidRPr="00F824FF">
        <w:t>conditioning (RAC) equipment in Article 5 countries, the introduction of alternative refrigerants that could be used as drop</w:t>
      </w:r>
      <w:r>
        <w:noBreakHyphen/>
      </w:r>
      <w:r w:rsidRPr="00F824FF">
        <w:t>ins for certain applications (e.g., R-407C has been used as an alternative to HCFC-22 in air</w:t>
      </w:r>
      <w:r w:rsidRPr="00F824FF">
        <w:noBreakHyphen/>
        <w:t>conditioning</w:t>
      </w:r>
      <w:r>
        <w:t xml:space="preserve"> (AC)</w:t>
      </w:r>
      <w:r w:rsidRPr="00F824FF">
        <w:t>;</w:t>
      </w:r>
      <w:r>
        <w:t xml:space="preserve"> </w:t>
      </w:r>
      <w:r w:rsidRPr="00F824FF">
        <w:t>R</w:t>
      </w:r>
      <w:r w:rsidRPr="00F824FF">
        <w:noBreakHyphen/>
        <w:t>407F or R</w:t>
      </w:r>
      <w:r w:rsidRPr="00F824FF">
        <w:noBreakHyphen/>
        <w:t xml:space="preserve">448A, among others, could be use as replacement for R-404A in refrigeration), and the introduction of available cost-effective alternative technologies in HCFC and HFC applications. </w:t>
      </w:r>
    </w:p>
    <w:p w:rsidR="00FF6C2E" w:rsidRPr="00F824FF" w:rsidRDefault="00FF6C2E" w:rsidP="005B04FB">
      <w:pPr>
        <w:pStyle w:val="Heading1"/>
      </w:pPr>
      <w:r w:rsidRPr="00F824FF">
        <w:t xml:space="preserve">With regard to the sectoral distribution of HFC, the TEAP Task Force report indicates that over 95 per cent of the total HFC consumption in Article 5 countries is in the RAC sector, as shown in Table 4. </w:t>
      </w:r>
    </w:p>
    <w:p w:rsidR="00FF6C2E" w:rsidRPr="00FC222A" w:rsidRDefault="00FF6C2E" w:rsidP="005B04FB">
      <w:pPr>
        <w:rPr>
          <w:b/>
        </w:rPr>
      </w:pPr>
      <w:r w:rsidRPr="00FC222A">
        <w:rPr>
          <w:b/>
        </w:rPr>
        <w:t xml:space="preserve">Table 4. Distribution of HFC consumption in Article 5 countries </w:t>
      </w:r>
    </w:p>
    <w:tbl>
      <w:tblPr>
        <w:tblW w:w="9379" w:type="dxa"/>
        <w:tblLayout w:type="fixed"/>
        <w:tblLook w:val="04A0" w:firstRow="1" w:lastRow="0" w:firstColumn="1" w:lastColumn="0" w:noHBand="0" w:noVBand="1"/>
      </w:tblPr>
      <w:tblGrid>
        <w:gridCol w:w="1795"/>
        <w:gridCol w:w="948"/>
        <w:gridCol w:w="948"/>
        <w:gridCol w:w="948"/>
        <w:gridCol w:w="948"/>
        <w:gridCol w:w="948"/>
        <w:gridCol w:w="948"/>
        <w:gridCol w:w="948"/>
        <w:gridCol w:w="948"/>
      </w:tblGrid>
      <w:tr w:rsidR="00FF6C2E" w:rsidRPr="00F824FF" w:rsidTr="005B04FB">
        <w:trPr>
          <w:tblHeader/>
        </w:trPr>
        <w:tc>
          <w:tcPr>
            <w:tcW w:w="1795"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rsidR="00FF6C2E" w:rsidRPr="00FC222A" w:rsidRDefault="00FF6C2E" w:rsidP="005B04FB">
            <w:pPr>
              <w:jc w:val="left"/>
              <w:rPr>
                <w:b/>
                <w:bCs/>
                <w:color w:val="000000"/>
                <w:sz w:val="20"/>
                <w:szCs w:val="20"/>
                <w:lang w:eastAsia="en-CA"/>
              </w:rPr>
            </w:pPr>
            <w:r w:rsidRPr="00FC222A">
              <w:rPr>
                <w:b/>
                <w:bCs/>
                <w:color w:val="000000"/>
                <w:sz w:val="20"/>
                <w:szCs w:val="20"/>
                <w:lang w:eastAsia="en-CA"/>
              </w:rPr>
              <w:t>Sector</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2015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2020</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2025</w:t>
            </w:r>
          </w:p>
        </w:tc>
        <w:tc>
          <w:tcPr>
            <w:tcW w:w="1896" w:type="dxa"/>
            <w:gridSpan w:val="2"/>
            <w:tcBorders>
              <w:top w:val="single" w:sz="4" w:space="0" w:color="auto"/>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bCs/>
                <w:color w:val="000000"/>
                <w:sz w:val="20"/>
                <w:szCs w:val="20"/>
                <w:lang w:eastAsia="en-CA"/>
              </w:rPr>
            </w:pPr>
            <w:r w:rsidRPr="00FC222A">
              <w:rPr>
                <w:b/>
                <w:bCs/>
                <w:color w:val="000000"/>
                <w:sz w:val="20"/>
                <w:szCs w:val="20"/>
                <w:lang w:eastAsia="en-CA"/>
              </w:rPr>
              <w:t>2030</w:t>
            </w:r>
          </w:p>
        </w:tc>
      </w:tr>
      <w:tr w:rsidR="00FF6C2E" w:rsidRPr="00F824FF" w:rsidTr="005B04FB">
        <w:trPr>
          <w:tblHeader/>
        </w:trPr>
        <w:tc>
          <w:tcPr>
            <w:tcW w:w="1795"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F6C2E" w:rsidRPr="00FC222A" w:rsidRDefault="00FF6C2E" w:rsidP="005B04FB">
            <w:pPr>
              <w:jc w:val="left"/>
              <w:rPr>
                <w:b/>
                <w:color w:val="000000"/>
                <w:sz w:val="20"/>
                <w:szCs w:val="20"/>
                <w:lang w:eastAsia="en-CA"/>
              </w:rPr>
            </w:pPr>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proofErr w:type="spellStart"/>
            <w:r>
              <w:rPr>
                <w:b/>
                <w:color w:val="000000"/>
                <w:sz w:val="20"/>
                <w:szCs w:val="20"/>
                <w:lang w:eastAsia="en-CA"/>
              </w:rPr>
              <w:t>mt</w:t>
            </w:r>
            <w:proofErr w:type="spellEnd"/>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r>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proofErr w:type="spellStart"/>
            <w:r>
              <w:rPr>
                <w:b/>
                <w:color w:val="000000"/>
                <w:sz w:val="20"/>
                <w:szCs w:val="20"/>
                <w:lang w:eastAsia="en-CA"/>
              </w:rPr>
              <w:t>mt</w:t>
            </w:r>
            <w:proofErr w:type="spellEnd"/>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r>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proofErr w:type="spellStart"/>
            <w:r>
              <w:rPr>
                <w:b/>
                <w:color w:val="000000"/>
                <w:sz w:val="20"/>
                <w:szCs w:val="20"/>
                <w:lang w:eastAsia="en-CA"/>
              </w:rPr>
              <w:t>mt</w:t>
            </w:r>
            <w:proofErr w:type="spellEnd"/>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r>
              <w:rPr>
                <w:b/>
                <w:color w:val="000000"/>
                <w:sz w:val="20"/>
                <w:szCs w:val="20"/>
                <w:lang w:eastAsia="en-CA"/>
              </w:rPr>
              <w:t>%</w:t>
            </w:r>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proofErr w:type="spellStart"/>
            <w:r>
              <w:rPr>
                <w:b/>
                <w:color w:val="000000"/>
                <w:sz w:val="20"/>
                <w:szCs w:val="20"/>
                <w:lang w:eastAsia="en-CA"/>
              </w:rPr>
              <w:t>mt</w:t>
            </w:r>
            <w:proofErr w:type="spellEnd"/>
          </w:p>
        </w:tc>
        <w:tc>
          <w:tcPr>
            <w:tcW w:w="948" w:type="dxa"/>
            <w:tcBorders>
              <w:top w:val="nil"/>
              <w:left w:val="nil"/>
              <w:bottom w:val="single" w:sz="4" w:space="0" w:color="auto"/>
              <w:right w:val="single" w:sz="4" w:space="0" w:color="auto"/>
            </w:tcBorders>
            <w:shd w:val="clear" w:color="auto" w:fill="auto"/>
            <w:noWrap/>
            <w:vAlign w:val="center"/>
            <w:hideMark/>
          </w:tcPr>
          <w:p w:rsidR="00FF6C2E" w:rsidRPr="00FC222A" w:rsidRDefault="00FF6C2E" w:rsidP="005B04FB">
            <w:pPr>
              <w:jc w:val="center"/>
              <w:rPr>
                <w:b/>
                <w:color w:val="000000"/>
                <w:sz w:val="20"/>
                <w:szCs w:val="20"/>
                <w:lang w:eastAsia="en-CA"/>
              </w:rPr>
            </w:pPr>
            <w:r>
              <w:rPr>
                <w:b/>
                <w:color w:val="000000"/>
                <w:sz w:val="20"/>
                <w:szCs w:val="20"/>
                <w:lang w:eastAsia="en-CA"/>
              </w:rPr>
              <w:t>%</w:t>
            </w:r>
          </w:p>
        </w:tc>
      </w:tr>
      <w:tr w:rsidR="00FF6C2E" w:rsidRPr="00F824FF" w:rsidTr="005B04FB">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RAC manufacturing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185,838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65.4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281,619</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392,390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53.6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510,596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50.0</w:t>
            </w:r>
          </w:p>
        </w:tc>
      </w:tr>
      <w:tr w:rsidR="00FF6C2E" w:rsidRPr="00F824FF" w:rsidTr="005B04FB">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RAC servicing</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87,033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176,493</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305,922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468,550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45.9</w:t>
            </w:r>
          </w:p>
        </w:tc>
      </w:tr>
      <w:tr w:rsidR="00FF6C2E" w:rsidRPr="00F824FF" w:rsidTr="005B04FB">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F6C2E" w:rsidRPr="00FC222A" w:rsidRDefault="00FF6C2E" w:rsidP="005B04FB">
            <w:pPr>
              <w:jc w:val="left"/>
              <w:rPr>
                <w:color w:val="000000"/>
                <w:sz w:val="20"/>
                <w:szCs w:val="20"/>
                <w:lang w:eastAsia="en-CA"/>
              </w:rPr>
            </w:pPr>
            <w:r w:rsidRPr="00FC222A">
              <w:rPr>
                <w:color w:val="000000"/>
                <w:sz w:val="20"/>
                <w:szCs w:val="20"/>
                <w:lang w:eastAsia="en-CA"/>
              </w:rPr>
              <w:t>Other sectors</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11,454</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19,506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4.1</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33,090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42,070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4.1</w:t>
            </w:r>
          </w:p>
        </w:tc>
      </w:tr>
      <w:tr w:rsidR="00FF6C2E" w:rsidRPr="00F824FF" w:rsidTr="005B04FB">
        <w:tc>
          <w:tcPr>
            <w:tcW w:w="1795"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F6C2E" w:rsidRPr="00FC222A" w:rsidRDefault="00FF6C2E" w:rsidP="005B04FB">
            <w:pPr>
              <w:jc w:val="left"/>
              <w:rPr>
                <w:b/>
                <w:color w:val="000000"/>
                <w:sz w:val="20"/>
                <w:szCs w:val="20"/>
                <w:lang w:eastAsia="en-CA"/>
              </w:rPr>
            </w:pPr>
            <w:r w:rsidRPr="00FC222A">
              <w:rPr>
                <w:b/>
                <w:color w:val="000000"/>
                <w:sz w:val="20"/>
                <w:szCs w:val="20"/>
                <w:lang w:eastAsia="en-CA"/>
              </w:rPr>
              <w:t>Total</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284,325</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477,618</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731,402</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100.0</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1,021,216</w:t>
            </w:r>
          </w:p>
        </w:tc>
        <w:tc>
          <w:tcPr>
            <w:tcW w:w="948" w:type="dxa"/>
            <w:tcBorders>
              <w:top w:val="nil"/>
              <w:left w:val="nil"/>
              <w:bottom w:val="single" w:sz="4" w:space="0" w:color="auto"/>
              <w:right w:val="single" w:sz="4" w:space="0" w:color="auto"/>
            </w:tcBorders>
            <w:shd w:val="clear" w:color="auto" w:fill="auto"/>
            <w:noWrap/>
            <w:tcMar>
              <w:left w:w="0" w:type="dxa"/>
              <w:right w:w="115" w:type="dxa"/>
            </w:tcMar>
            <w:vAlign w:val="bottom"/>
            <w:hideMark/>
          </w:tcPr>
          <w:p w:rsidR="00FF6C2E" w:rsidRPr="00FC222A" w:rsidRDefault="00FF6C2E" w:rsidP="005B04FB">
            <w:pPr>
              <w:jc w:val="right"/>
              <w:rPr>
                <w:color w:val="000000"/>
                <w:sz w:val="20"/>
                <w:szCs w:val="20"/>
                <w:lang w:eastAsia="en-CA"/>
              </w:rPr>
            </w:pPr>
            <w:r w:rsidRPr="00FC222A">
              <w:rPr>
                <w:color w:val="000000"/>
                <w:sz w:val="20"/>
                <w:szCs w:val="20"/>
                <w:lang w:eastAsia="en-CA"/>
              </w:rPr>
              <w:t>100.0</w:t>
            </w:r>
          </w:p>
        </w:tc>
      </w:tr>
    </w:tbl>
    <w:p w:rsidR="00FF6C2E" w:rsidRPr="00F824FF" w:rsidRDefault="00FF6C2E" w:rsidP="005B04FB"/>
    <w:p w:rsidR="00FF6C2E" w:rsidRPr="00F824FF" w:rsidRDefault="00FF6C2E" w:rsidP="00BA11CC">
      <w:pPr>
        <w:pStyle w:val="Heading1"/>
        <w:widowControl w:val="0"/>
      </w:pPr>
      <w:r w:rsidRPr="00F824FF">
        <w:t xml:space="preserve">Similar to the sectoral distribution of HCFCs, it is assumed that in approximately 100 Article 5 countries HFC is used solely in the refrigeration servicing sector. This assumption is supported by </w:t>
      </w:r>
      <w:r w:rsidRPr="00F824FF">
        <w:lastRenderedPageBreak/>
        <w:t>information available from surveys of ODS alternatives in 119 Article 5 countries,</w:t>
      </w:r>
      <w:r w:rsidRPr="00F824FF">
        <w:rPr>
          <w:rStyle w:val="FootnoteReference"/>
        </w:rPr>
        <w:footnoteReference w:id="26"/>
      </w:r>
      <w:r w:rsidRPr="00F824FF">
        <w:t xml:space="preserve"> which indicates that HFC consumption in the refrigeration servicing sector accounted for 97 per cent of total consumption for low</w:t>
      </w:r>
      <w:r>
        <w:noBreakHyphen/>
      </w:r>
      <w:r w:rsidRPr="00F824FF">
        <w:t>volume</w:t>
      </w:r>
      <w:r>
        <w:noBreakHyphen/>
      </w:r>
      <w:r w:rsidRPr="00F824FF">
        <w:t>consuming (LVC) countries and 76 per cent for non</w:t>
      </w:r>
      <w:r w:rsidRPr="00F824FF">
        <w:noBreakHyphen/>
        <w:t>LVC countries.</w:t>
      </w:r>
      <w:r w:rsidRPr="00F824FF">
        <w:rPr>
          <w:rStyle w:val="FootnoteReference"/>
        </w:rPr>
        <w:footnoteReference w:id="27"/>
      </w:r>
    </w:p>
    <w:p w:rsidR="00FF6C2E" w:rsidRPr="0070045A" w:rsidRDefault="00FF6C2E" w:rsidP="005B04FB">
      <w:pPr>
        <w:keepNext/>
        <w:rPr>
          <w:b/>
        </w:rPr>
      </w:pPr>
      <w:r w:rsidRPr="00F824FF">
        <w:rPr>
          <w:b/>
        </w:rPr>
        <w:t>Benefits of an early action on regulatory activities and comprehensive consumption surveys</w:t>
      </w:r>
    </w:p>
    <w:p w:rsidR="00FF6C2E" w:rsidRPr="009B1C44" w:rsidRDefault="00FF6C2E" w:rsidP="005B04FB">
      <w:pPr>
        <w:keepNext/>
      </w:pPr>
    </w:p>
    <w:p w:rsidR="00FF6C2E" w:rsidRPr="00173736" w:rsidRDefault="00FF6C2E" w:rsidP="005B04FB">
      <w:pPr>
        <w:pStyle w:val="Heading1"/>
        <w:keepNext/>
      </w:pPr>
      <w:r w:rsidRPr="008424A6">
        <w:t xml:space="preserve">The </w:t>
      </w:r>
      <w:r>
        <w:t xml:space="preserve">HFC </w:t>
      </w:r>
      <w:r w:rsidRPr="008424A6">
        <w:t xml:space="preserve">phase-down plans </w:t>
      </w:r>
      <w:r>
        <w:t xml:space="preserve">that will be </w:t>
      </w:r>
      <w:r w:rsidRPr="008424A6">
        <w:t>pr</w:t>
      </w:r>
      <w:r>
        <w:t xml:space="preserve">epared </w:t>
      </w:r>
      <w:r w:rsidRPr="008424A6">
        <w:t xml:space="preserve">will include </w:t>
      </w:r>
      <w:r>
        <w:t xml:space="preserve">an overarching strategy, an action plan and a </w:t>
      </w:r>
      <w:r w:rsidRPr="008424A6">
        <w:t xml:space="preserve">set of activities to meet </w:t>
      </w:r>
      <w:r>
        <w:t xml:space="preserve">the </w:t>
      </w:r>
      <w:r w:rsidRPr="008424A6">
        <w:t>initial</w:t>
      </w:r>
      <w:r>
        <w:t xml:space="preserve"> HFC</w:t>
      </w:r>
      <w:r w:rsidRPr="008424A6">
        <w:t xml:space="preserve"> reduction obligations </w:t>
      </w:r>
      <w:r>
        <w:t>under the Montreal Protocol</w:t>
      </w:r>
      <w:r w:rsidRPr="008424A6">
        <w:t xml:space="preserve">. </w:t>
      </w:r>
      <w:r>
        <w:t xml:space="preserve">Based on the experience of preparing and approving sectoral and national phase-out plans, on average </w:t>
      </w:r>
      <w:r w:rsidRPr="008424A6">
        <w:t>it will take up to two years for</w:t>
      </w:r>
      <w:r>
        <w:t xml:space="preserve"> </w:t>
      </w:r>
      <w:r w:rsidRPr="007F419E">
        <w:t>HFC phase-down plan</w:t>
      </w:r>
      <w:r>
        <w:t>s</w:t>
      </w:r>
      <w:r w:rsidRPr="007F419E">
        <w:t xml:space="preserve"> </w:t>
      </w:r>
      <w:r w:rsidRPr="008424A6">
        <w:t xml:space="preserve">to be formulated </w:t>
      </w:r>
      <w:r>
        <w:t xml:space="preserve">by Article 5 countries </w:t>
      </w:r>
      <w:r w:rsidRPr="008424A6">
        <w:t xml:space="preserve">and approved </w:t>
      </w:r>
      <w:r>
        <w:t xml:space="preserve">by the </w:t>
      </w:r>
      <w:r w:rsidRPr="00173736">
        <w:t>Executive Committee (i.e., 2022-2023), and up to three years (i.e., 2023-2025) for the first phase</w:t>
      </w:r>
      <w:r>
        <w:noBreakHyphen/>
      </w:r>
      <w:r w:rsidRPr="00173736">
        <w:t xml:space="preserve">down activities to be implemented. </w:t>
      </w:r>
    </w:p>
    <w:p w:rsidR="00FF6C2E" w:rsidRPr="00F824FF" w:rsidRDefault="00FF6C2E" w:rsidP="005B04FB">
      <w:pPr>
        <w:pStyle w:val="Heading1"/>
        <w:widowControl w:val="0"/>
      </w:pPr>
      <w:r w:rsidRPr="00173736">
        <w:t xml:space="preserve">During this period, Article 5 Parties could consider, on a voluntary basis and in line with national priorities and circumstances, completing comprehensive surveys on HFC consumption </w:t>
      </w:r>
      <w:r>
        <w:t>and their sectoral distribution and</w:t>
      </w:r>
      <w:r w:rsidRPr="00173736">
        <w:t xml:space="preserve"> developing and implementing policy measures including extending ODS-related policies </w:t>
      </w:r>
      <w:r w:rsidRPr="00F824FF">
        <w:t xml:space="preserve">and regulations to HFCs. </w:t>
      </w:r>
    </w:p>
    <w:p w:rsidR="00FF6C2E" w:rsidRPr="00F824FF" w:rsidRDefault="00FF6C2E" w:rsidP="005B04FB">
      <w:pPr>
        <w:pStyle w:val="Heading1"/>
      </w:pPr>
      <w:r w:rsidRPr="00F824FF">
        <w:t>Previous surveys on alternatives to ODS submitted by 119 Article 5 countries pursuant to decision 74/53</w:t>
      </w:r>
      <w:r>
        <w:t>,</w:t>
      </w:r>
      <w:r w:rsidRPr="00F824FF">
        <w:t xml:space="preserve"> provided the first set of HFC consumption data collected by the NOUs. However, to prepare their HFC phase-down plans, Article 5 countries will require more detailed, updated and comprehensive information on HFC consumption by substance/blend and by sector/sub</w:t>
      </w:r>
      <w:r>
        <w:t>-</w:t>
      </w:r>
      <w:r w:rsidRPr="00F824FF">
        <w:t>sector, identification of the HFC</w:t>
      </w:r>
      <w:r w:rsidRPr="00F824FF">
        <w:noBreakHyphen/>
        <w:t>based equipment users, and analysis of the market trends and impact of HCFC phase-out actions on HFC consumption trends. The surveys will also allow for a better estimation of the magnitude of the HFC phase</w:t>
      </w:r>
      <w:r>
        <w:noBreakHyphen/>
      </w:r>
      <w:r w:rsidRPr="00F824FF">
        <w:t>down to be addressed. In addition, if the detailed analysis undertaken by the consumption surveys cover one or more of the years used as reference to estimate the baseline, the surveys will contribute to a more accurate calculation of the countries’ HFC consumption baseline.</w:t>
      </w:r>
    </w:p>
    <w:p w:rsidR="00FF6C2E" w:rsidRPr="00F824FF" w:rsidRDefault="00FF6C2E" w:rsidP="005B04FB">
      <w:pPr>
        <w:pStyle w:val="Heading1"/>
        <w:widowControl w:val="0"/>
      </w:pPr>
      <w:r w:rsidRPr="00F824FF">
        <w:t>Regarding policies and regulations, Article 5 countries will need to implement as a matter of urgency</w:t>
      </w:r>
      <w:r>
        <w:t>,</w:t>
      </w:r>
      <w:r w:rsidRPr="00F824FF">
        <w:t xml:space="preserve"> a system for licensing the import and export of new, used, recycled and reclaimed HFCs in compliance with Article 4B of the Montreal Protocol.</w:t>
      </w:r>
      <w:r w:rsidRPr="00F824FF">
        <w:rPr>
          <w:vertAlign w:val="superscript"/>
        </w:rPr>
        <w:footnoteReference w:id="28"/>
      </w:r>
      <w:r w:rsidRPr="00F824FF">
        <w:rPr>
          <w:vertAlign w:val="superscript"/>
        </w:rPr>
        <w:t xml:space="preserve"> </w:t>
      </w:r>
      <w:r w:rsidRPr="00F824FF">
        <w:t>In addition to fulfilling a compliance obligation, the early establishment of these licensing systems will also help Article 5 countries strengthen their HFC data collection systems and enable a more accurate calculation of their HFC consumption baselines.</w:t>
      </w:r>
      <w:r w:rsidRPr="00F824FF">
        <w:rPr>
          <w:rStyle w:val="FootnoteReference"/>
        </w:rPr>
        <w:footnoteReference w:id="29"/>
      </w:r>
      <w:r w:rsidRPr="00F824FF">
        <w:t xml:space="preserve"> </w:t>
      </w:r>
    </w:p>
    <w:p w:rsidR="00FF6C2E" w:rsidRPr="00B15AC4" w:rsidRDefault="00FF6C2E" w:rsidP="005B04FB">
      <w:pPr>
        <w:pStyle w:val="Heading1"/>
        <w:widowControl w:val="0"/>
      </w:pPr>
      <w:r w:rsidRPr="00B15AC4">
        <w:t xml:space="preserve">Article 5 countries could also consider establishing other regulatory measures to help prevent the uncontrolled growth of HFC consumption, including HFC production/import/export quota systems, </w:t>
      </w:r>
      <w:r w:rsidRPr="00B15AC4">
        <w:lastRenderedPageBreak/>
        <w:t xml:space="preserve">mandatory reporting by HFC importers and exporters, measures to control HFC losses during servicing, or measures to record imports of equipment containing HFCs, which could help them determine future needs for servicing. </w:t>
      </w:r>
    </w:p>
    <w:p w:rsidR="00FF6C2E" w:rsidRPr="00BD0EEF" w:rsidRDefault="00FF6C2E" w:rsidP="005B04FB">
      <w:pPr>
        <w:pStyle w:val="Heading1"/>
        <w:widowControl w:val="0"/>
      </w:pPr>
      <w:r w:rsidRPr="00BD0EEF">
        <w:t xml:space="preserve">Regulatory activities and comprehensive consumption surveys were key components of the preparatory funding for </w:t>
      </w:r>
      <w:r>
        <w:t>HPMPs</w:t>
      </w:r>
      <w:r w:rsidRPr="00BD0EEF">
        <w:t xml:space="preserve"> and are now also included as part of the funding for preparation of HFC phase</w:t>
      </w:r>
      <w:r>
        <w:noBreakHyphen/>
      </w:r>
      <w:r w:rsidRPr="00BD0EEF">
        <w:t>down plans</w:t>
      </w:r>
      <w:r>
        <w:t xml:space="preserve">, as explained </w:t>
      </w:r>
      <w:r w:rsidRPr="00BD0EEF">
        <w:t>in document</w:t>
      </w:r>
      <w:r>
        <w:t> </w:t>
      </w:r>
      <w:r w:rsidRPr="00BD0EEF">
        <w:t xml:space="preserve">UNEP/OzL.Pro/ExCom/86/88. </w:t>
      </w:r>
      <w:r w:rsidRPr="00C2591D">
        <w:t>The early consideration and approval of preparatory funding for HFC phase-down plans will therefore help Article 5 countries to immediately start these key activities that will contribute to limiting HFC consumption growth and improve HFC recording and reporting.</w:t>
      </w:r>
    </w:p>
    <w:p w:rsidR="00FF6C2E" w:rsidRPr="0070045A" w:rsidRDefault="00FF6C2E" w:rsidP="005B04FB">
      <w:pPr>
        <w:pStyle w:val="Heading1"/>
        <w:widowControl w:val="0"/>
        <w:numPr>
          <w:ilvl w:val="0"/>
          <w:numId w:val="0"/>
        </w:numPr>
        <w:rPr>
          <w:b/>
        </w:rPr>
      </w:pPr>
      <w:r w:rsidRPr="0070045A">
        <w:rPr>
          <w:b/>
        </w:rPr>
        <w:t>Staged approach for HFC phase-down</w:t>
      </w:r>
    </w:p>
    <w:p w:rsidR="00FF6C2E" w:rsidRPr="000B2C5F" w:rsidRDefault="00FF6C2E" w:rsidP="005B04FB">
      <w:pPr>
        <w:pStyle w:val="Heading1"/>
      </w:pPr>
      <w:r w:rsidRPr="000B2C5F">
        <w:t>When the Parties adopted decision XIX/6 on the accelerat</w:t>
      </w:r>
      <w:r>
        <w:t>ed</w:t>
      </w:r>
      <w:r w:rsidRPr="000B2C5F">
        <w:t xml:space="preserve"> </w:t>
      </w:r>
      <w:r>
        <w:t xml:space="preserve">phase-out of </w:t>
      </w:r>
      <w:r w:rsidRPr="000B2C5F">
        <w:t>HCFC</w:t>
      </w:r>
      <w:r>
        <w:t>s</w:t>
      </w:r>
      <w:r w:rsidRPr="000B2C5F">
        <w:t xml:space="preserve">, the Executive Committee decided </w:t>
      </w:r>
      <w:r>
        <w:t xml:space="preserve">that a staged approach to phase </w:t>
      </w:r>
      <w:r w:rsidRPr="000B2C5F">
        <w:t xml:space="preserve">out HCFCs would allow Article 5 countries </w:t>
      </w:r>
      <w:r>
        <w:t xml:space="preserve">to </w:t>
      </w:r>
      <w:r w:rsidRPr="000B2C5F">
        <w:t xml:space="preserve">prioritize some uses where substitute technologies were readily available and economically viable, while giving more time to address uncertainties related to </w:t>
      </w:r>
      <w:r>
        <w:t>alternatives</w:t>
      </w:r>
      <w:r w:rsidRPr="000B2C5F">
        <w:t xml:space="preserve"> </w:t>
      </w:r>
      <w:r>
        <w:t xml:space="preserve">to </w:t>
      </w:r>
      <w:r w:rsidRPr="000B2C5F">
        <w:t>HCFC</w:t>
      </w:r>
      <w:r>
        <w:t>s</w:t>
      </w:r>
      <w:r w:rsidRPr="000B2C5F">
        <w:t xml:space="preserve"> in other applications (i.e.,</w:t>
      </w:r>
      <w:r>
        <w:t> </w:t>
      </w:r>
      <w:r w:rsidRPr="000B2C5F">
        <w:t>availability, maturity, cost-effectiveness and other environmental considerations).</w:t>
      </w:r>
    </w:p>
    <w:p w:rsidR="00FF6C2E" w:rsidRPr="00530607" w:rsidRDefault="00FF6C2E" w:rsidP="005B04FB">
      <w:pPr>
        <w:pStyle w:val="Heading1"/>
        <w:widowControl w:val="0"/>
      </w:pPr>
      <w:r w:rsidRPr="000B2C5F">
        <w:t xml:space="preserve">A staged approach </w:t>
      </w:r>
      <w:r>
        <w:t>continues to be</w:t>
      </w:r>
      <w:r w:rsidRPr="000B2C5F">
        <w:t xml:space="preserve"> the best approach to implement HFC phase-down plans given the </w:t>
      </w:r>
      <w:r>
        <w:t xml:space="preserve">long timeline (reduction of 80 per cent of the HFC baseline for compliance by </w:t>
      </w:r>
      <w:r w:rsidRPr="000B2C5F">
        <w:t xml:space="preserve">2045 for </w:t>
      </w:r>
      <w:r>
        <w:t xml:space="preserve">Article 5 </w:t>
      </w:r>
      <w:r w:rsidRPr="000B2C5F">
        <w:t>group </w:t>
      </w:r>
      <w:r>
        <w:t>1</w:t>
      </w:r>
      <w:r w:rsidRPr="000B2C5F">
        <w:t xml:space="preserve"> </w:t>
      </w:r>
      <w:r>
        <w:t xml:space="preserve">countries, </w:t>
      </w:r>
      <w:r w:rsidRPr="000B2C5F">
        <w:t xml:space="preserve">and </w:t>
      </w:r>
      <w:r>
        <w:t xml:space="preserve">85 per cent of the HFC baseline by </w:t>
      </w:r>
      <w:r w:rsidRPr="000B2C5F">
        <w:t xml:space="preserve">2047 for </w:t>
      </w:r>
      <w:r>
        <w:t xml:space="preserve">Article 5 </w:t>
      </w:r>
      <w:r w:rsidRPr="000B2C5F">
        <w:t>group 2</w:t>
      </w:r>
      <w:r>
        <w:t xml:space="preserve"> countries),</w:t>
      </w:r>
      <w:r w:rsidRPr="000B2C5F">
        <w:t xml:space="preserve"> and the evolving availability of </w:t>
      </w:r>
      <w:r>
        <w:t xml:space="preserve">cost-effective and sustainable </w:t>
      </w:r>
      <w:r w:rsidRPr="000B2C5F">
        <w:t xml:space="preserve">alternatives to HFCs in some applications. </w:t>
      </w:r>
      <w:r>
        <w:t xml:space="preserve">In addition, it </w:t>
      </w:r>
      <w:r w:rsidRPr="000B2C5F">
        <w:t xml:space="preserve">will allow Article 5 countries </w:t>
      </w:r>
      <w:r>
        <w:t xml:space="preserve">to </w:t>
      </w:r>
      <w:r w:rsidRPr="000B2C5F">
        <w:t xml:space="preserve">establish their priorities </w:t>
      </w:r>
      <w:r w:rsidRPr="00530607">
        <w:t>according to their specific national circumstances. Accordingly, at its 86</w:t>
      </w:r>
      <w:r w:rsidRPr="00530607">
        <w:rPr>
          <w:vertAlign w:val="superscript"/>
        </w:rPr>
        <w:t>th</w:t>
      </w:r>
      <w:r w:rsidRPr="00530607">
        <w:t xml:space="preserve"> meeting, the Executive Committee started consideration of the draft guidelines for funding the preparation of HFC phase</w:t>
      </w:r>
      <w:r w:rsidRPr="00530607">
        <w:noBreakHyphen/>
        <w:t>down plans for Article 5 countries that would include an overarching strategy and a stage I to meet the freeze in consumption and the 10 per cent reduction. Discussions will continue at the 87</w:t>
      </w:r>
      <w:r w:rsidRPr="00530607">
        <w:rPr>
          <w:vertAlign w:val="superscript"/>
        </w:rPr>
        <w:t>th</w:t>
      </w:r>
      <w:r w:rsidRPr="00530607">
        <w:t xml:space="preserve"> meeting.</w:t>
      </w:r>
    </w:p>
    <w:p w:rsidR="00FF6C2E" w:rsidRPr="004C44D0" w:rsidRDefault="00FF6C2E" w:rsidP="005B04FB">
      <w:pPr>
        <w:pStyle w:val="Heading1"/>
        <w:widowControl w:val="0"/>
        <w:numPr>
          <w:ilvl w:val="0"/>
          <w:numId w:val="0"/>
        </w:numPr>
        <w:rPr>
          <w:u w:val="single"/>
        </w:rPr>
      </w:pPr>
      <w:r>
        <w:rPr>
          <w:u w:val="single"/>
        </w:rPr>
        <w:t xml:space="preserve">Submission of </w:t>
      </w:r>
      <w:r w:rsidRPr="004C44D0">
        <w:rPr>
          <w:u w:val="single"/>
        </w:rPr>
        <w:t>HFC phase-dow</w:t>
      </w:r>
      <w:r>
        <w:rPr>
          <w:u w:val="single"/>
        </w:rPr>
        <w:t>n pla</w:t>
      </w:r>
      <w:r w:rsidRPr="004C44D0">
        <w:rPr>
          <w:u w:val="single"/>
        </w:rPr>
        <w:t>n</w:t>
      </w:r>
      <w:r>
        <w:rPr>
          <w:u w:val="single"/>
        </w:rPr>
        <w:t>s</w:t>
      </w:r>
    </w:p>
    <w:p w:rsidR="00FF6C2E" w:rsidRDefault="00FF6C2E" w:rsidP="005B04FB">
      <w:pPr>
        <w:pStyle w:val="Heading1"/>
        <w:widowControl w:val="0"/>
      </w:pPr>
      <w:r>
        <w:t xml:space="preserve">In order to decide when to start implementing HFC phase-down plans, Article 5 countries will need to determine the level of action required to achieve compliance with the first control measures (the freeze and the 10 per cent reduction on HFC consumption) under the Montreal Protocol. </w:t>
      </w:r>
    </w:p>
    <w:p w:rsidR="00FF6C2E" w:rsidRPr="00D463BB" w:rsidRDefault="00FF6C2E" w:rsidP="005B04FB">
      <w:pPr>
        <w:pStyle w:val="Heading1"/>
      </w:pPr>
      <w:r>
        <w:t>When the acceleration of HCFC phase-out was considered, there were two years between the years used as the basis for the HCFC consumption baseline (2009 and 2010) an</w:t>
      </w:r>
      <w:r w:rsidRPr="0086425C">
        <w:t xml:space="preserve">d the first control measure (freeze in 2013). The existing data indicated that HCFC consumption was </w:t>
      </w:r>
      <w:r>
        <w:t xml:space="preserve">expected </w:t>
      </w:r>
      <w:r w:rsidRPr="0086425C">
        <w:t xml:space="preserve">to grow in 2011 and 2012, </w:t>
      </w:r>
      <w:r>
        <w:t xml:space="preserve">making it difficult for Article </w:t>
      </w:r>
      <w:r w:rsidRPr="0086425C">
        <w:t xml:space="preserve">5 countries to achieve </w:t>
      </w:r>
      <w:r>
        <w:t>a sudden</w:t>
      </w:r>
      <w:r w:rsidRPr="0086425C">
        <w:t xml:space="preserve"> reduction and </w:t>
      </w:r>
      <w:r>
        <w:t xml:space="preserve">to </w:t>
      </w:r>
      <w:r w:rsidRPr="0086425C">
        <w:t>freeze</w:t>
      </w:r>
      <w:r>
        <w:t xml:space="preserve"> the 2013 consumption at the 2009-2010 average level. Extensive Article 7 and country programme implementation report data available at the time showed</w:t>
      </w:r>
      <w:r w:rsidRPr="0031696B">
        <w:t xml:space="preserve"> growth rates</w:t>
      </w:r>
      <w:r>
        <w:t xml:space="preserve"> of between 4 and 34 per cent</w:t>
      </w:r>
      <w:r w:rsidRPr="0031696B">
        <w:t xml:space="preserve"> over the </w:t>
      </w:r>
      <w:r>
        <w:t>previous</w:t>
      </w:r>
      <w:r w:rsidRPr="0031696B">
        <w:t xml:space="preserve"> five years, with an average annual growth rate of 18</w:t>
      </w:r>
      <w:r>
        <w:t> per cent</w:t>
      </w:r>
      <w:r w:rsidRPr="0031696B">
        <w:t xml:space="preserve"> during the period</w:t>
      </w:r>
      <w:r>
        <w:t xml:space="preserve">. The Secretariat notes that, based on the Article 7 data subsequently reported, the actual average annual growth rate in HCFC consumption between </w:t>
      </w:r>
      <w:r w:rsidRPr="00D463BB">
        <w:t xml:space="preserve">2010 and 2012 was </w:t>
      </w:r>
      <w:r>
        <w:t xml:space="preserve">only 2.82 per </w:t>
      </w:r>
      <w:r w:rsidRPr="00D463BB">
        <w:t xml:space="preserve">cent. </w:t>
      </w:r>
    </w:p>
    <w:p w:rsidR="00FF6C2E" w:rsidRPr="00D463BB" w:rsidRDefault="00FF6C2E" w:rsidP="005B04FB">
      <w:pPr>
        <w:pStyle w:val="Heading1"/>
      </w:pPr>
      <w:r w:rsidRPr="00D463BB">
        <w:t>The current situation regarding HFCs is different from that of HCFCs. As some countries have started to report HFC consumption data for 2019, there is no historical information supporting either a rapid or slow increase in HFC consumption. There seems to be an indication from limited information on the consumption of HFCs reported in a few HPMPs under implementation, th</w:t>
      </w:r>
      <w:r>
        <w:t>at in certain AC</w:t>
      </w:r>
      <w:r w:rsidRPr="00D463BB">
        <w:t xml:space="preserve"> applications, the demand for HFC is increasing (e.g., R-410A and more recently HFC-32 in residential AC manufacturing), while the use of other HFCs is decreasing in other </w:t>
      </w:r>
      <w:r>
        <w:t>RAC</w:t>
      </w:r>
      <w:r w:rsidRPr="00D463BB">
        <w:t xml:space="preserve"> applications. Moreover, because there is only one year between the years used to establish the baseline and the first control measure, growth of HFC consumption without control measures could only occur for one year, as compared to the two years for </w:t>
      </w:r>
      <w:r w:rsidRPr="00D463BB">
        <w:lastRenderedPageBreak/>
        <w:t>HCFCs. In addition, the HFC consumption baseline for Article 5 countries will also include 65 per cent of the HCFC baseline for consumption (in CO</w:t>
      </w:r>
      <w:r w:rsidRPr="00D463BB">
        <w:rPr>
          <w:vertAlign w:val="subscript"/>
        </w:rPr>
        <w:t>2</w:t>
      </w:r>
      <w:r w:rsidRPr="00D463BB">
        <w:t xml:space="preserve"> equivalent tonnes). This value effectively provides a buffer that would allow some Article 5 countries to temporarily remain in compliance notwithstanding continued HFC consumption growth.</w:t>
      </w:r>
    </w:p>
    <w:p w:rsidR="00FF6C2E" w:rsidRPr="00D463BB" w:rsidRDefault="00FF6C2E" w:rsidP="005B04FB">
      <w:pPr>
        <w:pStyle w:val="Heading1"/>
        <w:widowControl w:val="0"/>
      </w:pPr>
      <w:r w:rsidRPr="00D463BB">
        <w:t xml:space="preserve">To have a better understanding of the above, the Secretariat developed (a simple) model using the 2019 consumption of HFCs of 91 Article 5 countries as reported under Article 7 of the Protocol or under the country programme </w:t>
      </w:r>
      <w:r>
        <w:t xml:space="preserve">implementation </w:t>
      </w:r>
      <w:r w:rsidRPr="00D463BB">
        <w:t>reports, forecasted the consumption from 2019 to 2024 using annual growth rate</w:t>
      </w:r>
      <w:r>
        <w:t>s</w:t>
      </w:r>
      <w:r w:rsidRPr="00D463BB">
        <w:t xml:space="preserve"> of 3 per cent (based on the actual annual growth of 2.82 per cent in HCFC consumption between the baseline years and the first control measure)</w:t>
      </w:r>
      <w:r>
        <w:t xml:space="preserve"> and 10 per cent,</w:t>
      </w:r>
      <w:r w:rsidRPr="00D463BB">
        <w:t>, and calculated the estimated HFC baseline for compliance (including the HCFC component).</w:t>
      </w:r>
      <w:r w:rsidRPr="00D463BB">
        <w:rPr>
          <w:rStyle w:val="FootnoteReference"/>
        </w:rPr>
        <w:footnoteReference w:id="30"/>
      </w:r>
      <w:r w:rsidRPr="00D463BB">
        <w:t xml:space="preserve"> </w:t>
      </w:r>
    </w:p>
    <w:p w:rsidR="00FF6C2E" w:rsidRPr="00D463BB" w:rsidRDefault="00FF6C2E" w:rsidP="005B04FB">
      <w:pPr>
        <w:pStyle w:val="Heading1"/>
      </w:pPr>
      <w:r w:rsidRPr="00D463BB">
        <w:t>Based on this model, seven of the 91 Article 5 countries might be at risk of non-compliance with</w:t>
      </w:r>
      <w:r>
        <w:t xml:space="preserve"> their initial obligations in 2024 if no phase-down actions are immediately implemented; however, at a 10 per cent annual growth rate, the number of countries that might be at risk of non-compliance, will </w:t>
      </w:r>
      <w:r w:rsidRPr="00D463BB">
        <w:t>increase to 47 countries.</w:t>
      </w:r>
    </w:p>
    <w:p w:rsidR="00FF6C2E" w:rsidRPr="00D463BB" w:rsidRDefault="00FF6C2E" w:rsidP="005B04FB">
      <w:pPr>
        <w:pStyle w:val="Heading1"/>
      </w:pPr>
      <w:r w:rsidRPr="00D463BB">
        <w:t xml:space="preserve">The Secretariat also analyzed a scenario with variable annual growth rate in which growth is minor during the baseline years due to economic constraints caused by </w:t>
      </w:r>
      <w:r>
        <w:t xml:space="preserve">the </w:t>
      </w:r>
      <w:r w:rsidRPr="00D463BB">
        <w:t xml:space="preserve">COVID-19 </w:t>
      </w:r>
      <w:r>
        <w:t xml:space="preserve">pandemic </w:t>
      </w:r>
      <w:r w:rsidRPr="00D463BB">
        <w:t xml:space="preserve">(estimated </w:t>
      </w:r>
      <w:r>
        <w:t>2 </w:t>
      </w:r>
      <w:r w:rsidRPr="00D463BB">
        <w:t>per</w:t>
      </w:r>
      <w:r>
        <w:t> </w:t>
      </w:r>
      <w:r w:rsidRPr="00D463BB">
        <w:t>cent per year), followed by a larger annual growth rate in subsequent years due to economic recovery (10</w:t>
      </w:r>
      <w:r>
        <w:t> </w:t>
      </w:r>
      <w:r w:rsidRPr="00D463BB">
        <w:t>per</w:t>
      </w:r>
      <w:r>
        <w:t> </w:t>
      </w:r>
      <w:r w:rsidRPr="00D463BB">
        <w:t>cent). In such a scenario, a total of 23 countries would be at risk of non compliance in 2024. Annex</w:t>
      </w:r>
      <w:r>
        <w:t> </w:t>
      </w:r>
      <w:r w:rsidRPr="00D463BB">
        <w:t>I to the present document presents the results of the model (with annual growth rates of 3 </w:t>
      </w:r>
      <w:r>
        <w:t>per </w:t>
      </w:r>
      <w:r w:rsidRPr="00D463BB">
        <w:t>cent, 10</w:t>
      </w:r>
      <w:r>
        <w:t> </w:t>
      </w:r>
      <w:r w:rsidRPr="00D463BB">
        <w:t>per</w:t>
      </w:r>
      <w:r>
        <w:t> </w:t>
      </w:r>
      <w:r w:rsidRPr="00D463BB">
        <w:t>cent and variable growth).</w:t>
      </w:r>
    </w:p>
    <w:p w:rsidR="00FF6C2E" w:rsidRPr="00D463BB" w:rsidRDefault="00FF6C2E" w:rsidP="005B04FB">
      <w:pPr>
        <w:pStyle w:val="Heading1"/>
      </w:pPr>
      <w:r w:rsidRPr="00D463BB">
        <w:t>Further to the analysis, the Secretariat notes that independent of the assumptions and variables used by a country to forecast its HFC consumption and determine when assistance is needed to ensure compliance, it has been the experience of the Multilateral Fund that earlier action resulted in more cost</w:t>
      </w:r>
      <w:r w:rsidRPr="00D463BB">
        <w:noBreakHyphen/>
        <w:t xml:space="preserve">effective phase-out. Particularly in the </w:t>
      </w:r>
      <w:r>
        <w:t>R</w:t>
      </w:r>
      <w:r w:rsidRPr="00D463BB">
        <w:t>AC sector (where most of the HFCs are consumed) early action to control the influx of equipment operating with controlled substances and to</w:t>
      </w:r>
      <w:r w:rsidRPr="00EA5348">
        <w:t xml:space="preserve"> facilitate the introduction of equipment based on alternatives will reduce the growth in banks of controlled </w:t>
      </w:r>
      <w:r w:rsidRPr="00D463BB">
        <w:t xml:space="preserve">substances and the future consumption associated with servicing such equipment. </w:t>
      </w:r>
    </w:p>
    <w:p w:rsidR="00FF6C2E" w:rsidRPr="00D463BB" w:rsidRDefault="00FF6C2E" w:rsidP="005B04FB">
      <w:pPr>
        <w:pStyle w:val="Heading1"/>
      </w:pPr>
      <w:r w:rsidRPr="00D463BB">
        <w:t>Moreover, irrespective of the consumption growth rate assumed, Article 5 countries would need to start the preparatory process at least five years prior to the year the country will need to have implemented HFC mitigation measures to stay in compliance. This will allow for an estimated period of two years for project preparation and approval, and three years for implementation of the first approved activities of the phase</w:t>
      </w:r>
      <w:r>
        <w:noBreakHyphen/>
      </w:r>
      <w:r w:rsidRPr="00D463BB">
        <w:t xml:space="preserve">down plan. </w:t>
      </w:r>
    </w:p>
    <w:p w:rsidR="00FF6C2E" w:rsidRPr="00F23CE8" w:rsidRDefault="00FF6C2E" w:rsidP="00BA11CC">
      <w:pPr>
        <w:keepNext/>
        <w:spacing w:after="240"/>
        <w:rPr>
          <w:b/>
        </w:rPr>
      </w:pPr>
      <w:r w:rsidRPr="00D463BB">
        <w:rPr>
          <w:b/>
        </w:rPr>
        <w:t>Early action and opportunities for projects and activities that could be integrated within stage I of the HFC phase-down plans</w:t>
      </w:r>
      <w:r w:rsidRPr="00F23CE8">
        <w:rPr>
          <w:b/>
        </w:rPr>
        <w:t xml:space="preserve"> </w:t>
      </w:r>
    </w:p>
    <w:p w:rsidR="00FF6C2E" w:rsidRPr="005C220B" w:rsidRDefault="00FF6C2E" w:rsidP="00BA11CC">
      <w:pPr>
        <w:pStyle w:val="Heading1"/>
        <w:keepNext/>
      </w:pPr>
      <w:r>
        <w:t>As determined by decision XXVIII/2, Article 5</w:t>
      </w:r>
      <w:r w:rsidRPr="005C220B">
        <w:t xml:space="preserve"> countries will have</w:t>
      </w:r>
      <w:r>
        <w:t xml:space="preserve"> the</w:t>
      </w:r>
      <w:r w:rsidRPr="005C220B">
        <w:t xml:space="preserve"> flexibility to prioritize HFCs, define sectors, select technologies and alternatives</w:t>
      </w:r>
      <w:r>
        <w:t>,</w:t>
      </w:r>
      <w:r w:rsidRPr="005C220B">
        <w:t xml:space="preserve"> and elaborate and implement their strategies to meet </w:t>
      </w:r>
      <w:r>
        <w:t xml:space="preserve">the </w:t>
      </w:r>
      <w:r w:rsidRPr="005C220B">
        <w:t>agreed HFC obligations, based on their specific needs and national circumstances, following a country</w:t>
      </w:r>
      <w:r>
        <w:noBreakHyphen/>
      </w:r>
      <w:r w:rsidRPr="005C220B">
        <w:t>driven approach.</w:t>
      </w:r>
    </w:p>
    <w:p w:rsidR="00FF6C2E" w:rsidRDefault="00FF6C2E" w:rsidP="00BA11CC">
      <w:pPr>
        <w:pStyle w:val="Heading1"/>
        <w:widowControl w:val="0"/>
      </w:pPr>
      <w:r>
        <w:t xml:space="preserve">On that basis, this section is intended to identify potential opportunities for reducing the growth or even achieving sustained reductions of HFC consumption in the coming years, in some cases even before the HFC phase-down plans are fully formulated. It is not intended to set out a prescriptive set of elements </w:t>
      </w:r>
      <w:r>
        <w:lastRenderedPageBreak/>
        <w:t>to be included in stage I of the HFC phase-down plans.</w:t>
      </w:r>
    </w:p>
    <w:p w:rsidR="00FF6C2E" w:rsidRPr="00F23CE8" w:rsidRDefault="00FF6C2E" w:rsidP="005B04FB">
      <w:pPr>
        <w:rPr>
          <w:u w:val="single"/>
        </w:rPr>
      </w:pPr>
      <w:r w:rsidRPr="00F23CE8">
        <w:rPr>
          <w:u w:val="single"/>
        </w:rPr>
        <w:t>Opportunities for integrated HCFC phase-out and HFC phase-down activities in the manufacturing sector</w:t>
      </w:r>
    </w:p>
    <w:p w:rsidR="00FF6C2E" w:rsidRPr="00F23CE8" w:rsidRDefault="00FF6C2E" w:rsidP="005B04FB"/>
    <w:p w:rsidR="00FF6C2E" w:rsidRDefault="00FF6C2E" w:rsidP="005B04FB">
      <w:pPr>
        <w:pStyle w:val="Heading1"/>
      </w:pPr>
      <w:r w:rsidRPr="00362AD7">
        <w:t>As a large number of the HCFC phase</w:t>
      </w:r>
      <w:r w:rsidRPr="00362AD7">
        <w:noBreakHyphen/>
        <w:t xml:space="preserve">out investment projects are being completed </w:t>
      </w:r>
      <w:r>
        <w:t>with the completion of stage I and II of HPMPs</w:t>
      </w:r>
      <w:r w:rsidRPr="00362AD7">
        <w:t>, HFC phase</w:t>
      </w:r>
      <w:r w:rsidRPr="00362AD7">
        <w:noBreakHyphen/>
        <w:t>down investment projects could be initiated gradually</w:t>
      </w:r>
      <w:r>
        <w:t xml:space="preserve">, in particular </w:t>
      </w:r>
      <w:r w:rsidRPr="0031696B">
        <w:t xml:space="preserve">in </w:t>
      </w:r>
      <w:r>
        <w:t xml:space="preserve">some </w:t>
      </w:r>
      <w:r w:rsidRPr="0031696B">
        <w:t>manufacturing sector</w:t>
      </w:r>
      <w:r>
        <w:t xml:space="preserve">s where alternative technologies are commercially available and are cost-effective, such as </w:t>
      </w:r>
      <w:r w:rsidRPr="007B0F6B">
        <w:t>domestic refrigeration</w:t>
      </w:r>
      <w:r>
        <w:t xml:space="preserve">, and stand-alone </w:t>
      </w:r>
      <w:r w:rsidRPr="007B0F6B">
        <w:t>commercial refrigeration</w:t>
      </w:r>
      <w:r>
        <w:t>.</w:t>
      </w:r>
      <w:r>
        <w:rPr>
          <w:rStyle w:val="FootnoteReference"/>
        </w:rPr>
        <w:footnoteReference w:id="31"/>
      </w:r>
      <w:r>
        <w:t xml:space="preserve"> Some Article 5 countries could start converting these enterprises even before their HFC phase-down plans have been fully formulated.</w:t>
      </w:r>
    </w:p>
    <w:p w:rsidR="00FF6C2E" w:rsidRPr="006648B9" w:rsidRDefault="00FF6C2E" w:rsidP="005B04FB">
      <w:pPr>
        <w:pStyle w:val="Heading1"/>
      </w:pPr>
      <w:r>
        <w:t xml:space="preserve">According to the data reported by the </w:t>
      </w:r>
      <w:r w:rsidRPr="00BF43AE">
        <w:t xml:space="preserve">TEAP Task Force (Table 4 above), </w:t>
      </w:r>
      <w:r>
        <w:t xml:space="preserve">of the total HFC consumption </w:t>
      </w:r>
      <w:r w:rsidRPr="00BF43AE">
        <w:t xml:space="preserve">59.0 and 53.6 per cent in </w:t>
      </w:r>
      <w:r>
        <w:t xml:space="preserve">2020 and </w:t>
      </w:r>
      <w:r w:rsidRPr="00BF43AE">
        <w:t>2025</w:t>
      </w:r>
      <w:r>
        <w:t>, respectively</w:t>
      </w:r>
      <w:r w:rsidRPr="00BF43AE">
        <w:t xml:space="preserve">, is related to manufacturing of RAC equipment. The early conversion of this sector, </w:t>
      </w:r>
      <w:r w:rsidRPr="00910CF2">
        <w:t xml:space="preserve">particularly for applications where cost-effective and sustainable technologies are available, will have a major impact on the current and future levels of consumption, as the </w:t>
      </w:r>
      <w:r>
        <w:t>new</w:t>
      </w:r>
      <w:r w:rsidRPr="00910CF2">
        <w:t xml:space="preserve"> RAC equipment in these applications will not require HFC-</w:t>
      </w:r>
      <w:r>
        <w:t xml:space="preserve">based </w:t>
      </w:r>
      <w:r w:rsidRPr="00910CF2">
        <w:t>refrigerants for servicing and maintenance, and future HFC</w:t>
      </w:r>
      <w:r w:rsidRPr="00BF43AE">
        <w:t xml:space="preserve"> banks</w:t>
      </w:r>
      <w:r>
        <w:t xml:space="preserve"> will be reduced</w:t>
      </w:r>
      <w:r w:rsidRPr="00BF43AE">
        <w:t>.</w:t>
      </w:r>
    </w:p>
    <w:p w:rsidR="00FF6C2E" w:rsidRDefault="00FF6C2E" w:rsidP="005B04FB">
      <w:pPr>
        <w:widowControl w:val="0"/>
        <w:numPr>
          <w:ilvl w:val="0"/>
          <w:numId w:val="1"/>
        </w:numPr>
        <w:spacing w:after="240"/>
        <w:outlineLvl w:val="0"/>
      </w:pPr>
      <w:r>
        <w:t xml:space="preserve">In addition, there could be </w:t>
      </w:r>
      <w:r w:rsidRPr="0031696B">
        <w:t xml:space="preserve">opportunities </w:t>
      </w:r>
      <w:r>
        <w:t xml:space="preserve">for </w:t>
      </w:r>
      <w:r w:rsidRPr="0031696B">
        <w:t xml:space="preserve">integrated </w:t>
      </w:r>
      <w:r>
        <w:t>HCFC phase-out and HFC phase</w:t>
      </w:r>
      <w:r>
        <w:noBreakHyphen/>
        <w:t xml:space="preserve">down </w:t>
      </w:r>
      <w:r w:rsidRPr="0031696B">
        <w:t>implementation in enterprises that manufacture both HCFC</w:t>
      </w:r>
      <w:r w:rsidRPr="0031696B">
        <w:noBreakHyphen/>
        <w:t>based and HFC</w:t>
      </w:r>
      <w:r w:rsidRPr="0031696B">
        <w:noBreakHyphen/>
        <w:t>based equipment/products and wish to convert both te</w:t>
      </w:r>
      <w:r>
        <w:t>chnologies, as explained below. For each industrial application, a recommendation for a potential action by the Executive Committee is proposed.</w:t>
      </w:r>
    </w:p>
    <w:p w:rsidR="00FF6C2E" w:rsidRPr="006134FF" w:rsidRDefault="00FF6C2E" w:rsidP="005B04FB">
      <w:pPr>
        <w:keepNext/>
        <w:spacing w:after="240"/>
        <w:outlineLvl w:val="0"/>
        <w:rPr>
          <w:i/>
        </w:rPr>
      </w:pPr>
      <w:r>
        <w:rPr>
          <w:i/>
        </w:rPr>
        <w:t>Polyurethane (</w:t>
      </w:r>
      <w:r w:rsidRPr="006134FF">
        <w:rPr>
          <w:i/>
        </w:rPr>
        <w:t>PU</w:t>
      </w:r>
      <w:r>
        <w:rPr>
          <w:i/>
        </w:rPr>
        <w:t>)</w:t>
      </w:r>
      <w:r w:rsidRPr="006134FF">
        <w:rPr>
          <w:i/>
        </w:rPr>
        <w:t xml:space="preserve"> foam </w:t>
      </w:r>
    </w:p>
    <w:p w:rsidR="00FF6C2E" w:rsidRPr="00D463BB" w:rsidRDefault="00FF6C2E" w:rsidP="005B04FB">
      <w:pPr>
        <w:pStyle w:val="Heading1"/>
      </w:pPr>
      <w:r>
        <w:t xml:space="preserve">In a large number of Article 5 countries, </w:t>
      </w:r>
      <w:r w:rsidRPr="000C2994">
        <w:t>PU foam enterprises and local systems houses using HCFC-141b (including those contained in imported pre-blended polyols) have converted to low</w:t>
      </w:r>
      <w:r>
        <w:noBreakHyphen/>
        <w:t>GWP</w:t>
      </w:r>
      <w:r w:rsidRPr="000C2994">
        <w:t xml:space="preserve"> blowing-agent technology as part of their HPMPs</w:t>
      </w:r>
      <w:r>
        <w:t xml:space="preserve">. Article 5 countries are establishing regulations to ban the import and use of HCFCs in the PU foam sector once all their enterprises have been converted, with the objective of ensuring sustainability of the HCFC phase-out in the sector. Low-GWP foam blowing alternatives </w:t>
      </w:r>
      <w:r w:rsidRPr="0031696B">
        <w:t xml:space="preserve">are </w:t>
      </w:r>
      <w:r>
        <w:t xml:space="preserve">increasingly </w:t>
      </w:r>
      <w:r w:rsidRPr="0031696B">
        <w:t>availab</w:t>
      </w:r>
      <w:r>
        <w:t>le, a</w:t>
      </w:r>
      <w:r w:rsidRPr="0031696B">
        <w:t xml:space="preserve">lthough </w:t>
      </w:r>
      <w:r>
        <w:t xml:space="preserve">some have limitations due to flammability or performance </w:t>
      </w:r>
      <w:r w:rsidRPr="00D463BB">
        <w:t>issues, while others still have limited commercial availability in several markets.</w:t>
      </w:r>
    </w:p>
    <w:p w:rsidR="00FF6C2E" w:rsidRPr="00D463BB" w:rsidRDefault="00FF6C2E" w:rsidP="005B04FB">
      <w:pPr>
        <w:pStyle w:val="Heading1"/>
      </w:pPr>
      <w:r w:rsidRPr="00D463BB">
        <w:t>Despite the increasing availability and affordability of low-GWP alternatives in the PU foam sector, HFCs (mainly HFC-245fa and HFC-365mfc/HFC-227ea) are also readily available in several Article</w:t>
      </w:r>
      <w:r>
        <w:t> </w:t>
      </w:r>
      <w:r w:rsidRPr="00D463BB">
        <w:t>5 countries. These high-GWP HFCs are affordable, easily adopted, can be used as a drop-in for many foam applications, and have satisfactory performance and no flammability issues. In the absence of any control of HFCs, many already converted or newly established enterprises could easily start using them, thus undermining the results achieved in the HPMP, increasing HFC consumption (pure or contained in imported pre</w:t>
      </w:r>
      <w:r>
        <w:noBreakHyphen/>
      </w:r>
      <w:r w:rsidRPr="00D463BB">
        <w:t xml:space="preserve">blended polyols) ineligible for funding and making the future HFC phase-down more difficult for the country. </w:t>
      </w:r>
    </w:p>
    <w:p w:rsidR="00FF6C2E" w:rsidRPr="00D463BB" w:rsidRDefault="00FF6C2E" w:rsidP="005B04FB">
      <w:pPr>
        <w:pStyle w:val="Heading1"/>
        <w:widowControl w:val="0"/>
      </w:pPr>
      <w:r w:rsidRPr="00D463BB">
        <w:t xml:space="preserve">For example, out of the 84 Article 5 countries that reported HFC consumption data in 2019 under the country programme </w:t>
      </w:r>
      <w:r>
        <w:t xml:space="preserve">implementation </w:t>
      </w:r>
      <w:r w:rsidRPr="00D463BB">
        <w:t xml:space="preserve">report, 11 (eight non-LVC countries and three LVC countries) identified a total use of 1,151 </w:t>
      </w:r>
      <w:proofErr w:type="spellStart"/>
      <w:r w:rsidRPr="00D463BB">
        <w:t>mt</w:t>
      </w:r>
      <w:proofErr w:type="spellEnd"/>
      <w:r w:rsidRPr="00D463BB">
        <w:t xml:space="preserve"> of HFC</w:t>
      </w:r>
      <w:r w:rsidRPr="00D463BB">
        <w:noBreakHyphen/>
        <w:t>245fa and/or HFC</w:t>
      </w:r>
      <w:r w:rsidRPr="00D463BB">
        <w:noBreakHyphen/>
        <w:t>365mfc/HFC</w:t>
      </w:r>
      <w:r>
        <w:t>-</w:t>
      </w:r>
      <w:r w:rsidRPr="00D463BB">
        <w:t>227ea in the foam sector. In addition, one of these countries reported use of 2,865 </w:t>
      </w:r>
      <w:proofErr w:type="spellStart"/>
      <w:r w:rsidRPr="00D463BB">
        <w:t>mt</w:t>
      </w:r>
      <w:proofErr w:type="spellEnd"/>
      <w:r w:rsidRPr="00D463BB">
        <w:t xml:space="preserve"> of HFC</w:t>
      </w:r>
      <w:r w:rsidRPr="00D463BB">
        <w:noBreakHyphen/>
        <w:t>245fa in the refrigeration sector, possibly for the insulation of the equipment. It is expected that the actual amount of HFCs used in PU foam may be higher than the amounts above as some of the countries with manufacturing capacity have not yet reported their HFC consumption.</w:t>
      </w:r>
    </w:p>
    <w:p w:rsidR="00FF6C2E" w:rsidRPr="00D463BB" w:rsidRDefault="00FF6C2E" w:rsidP="005B04FB">
      <w:pPr>
        <w:pStyle w:val="Heading1"/>
      </w:pPr>
      <w:r w:rsidRPr="00D463BB">
        <w:lastRenderedPageBreak/>
        <w:t>Those Article 5 countries that have completed or are in the process of completing their phase</w:t>
      </w:r>
      <w:r w:rsidRPr="00D463BB">
        <w:noBreakHyphen/>
        <w:t>out of HCFC</w:t>
      </w:r>
      <w:r w:rsidRPr="00D463BB">
        <w:noBreakHyphen/>
        <w:t>141b in the PU foam sector could consider integrating into their plans the phase-out of HFC</w:t>
      </w:r>
      <w:r w:rsidRPr="00D463BB">
        <w:noBreakHyphen/>
        <w:t>245fa and HFC-365mfc/HFC-227ea pure or contained in imported pre-blended polyols. This approach would be cost-effective, as it would take advantage of the existing infrastructure within the HPMP and would help avoid potential HFC consumption growth that would be ineligible for funding under the Multilateral Fund.</w:t>
      </w:r>
      <w:r w:rsidRPr="00D463BB">
        <w:rPr>
          <w:rStyle w:val="FootnoteReference"/>
        </w:rPr>
        <w:footnoteReference w:id="32"/>
      </w:r>
      <w:r w:rsidRPr="00D463BB">
        <w:t xml:space="preserve"> In order to ensure a sustained phase-down of HFC, the plan should consider the entire sector including self</w:t>
      </w:r>
      <w:r w:rsidRPr="00D463BB">
        <w:noBreakHyphen/>
        <w:t xml:space="preserve">funded ineligible enterprises, and should feature regulatory measures to support the phase-out, including for controlled substances contained in imported pre-blended polyols. </w:t>
      </w:r>
    </w:p>
    <w:p w:rsidR="00FF6C2E" w:rsidRPr="00D463BB" w:rsidRDefault="00FF6C2E" w:rsidP="005B04FB">
      <w:pPr>
        <w:pStyle w:val="Heading1"/>
      </w:pPr>
      <w:r w:rsidRPr="00D463BB">
        <w:t>During the HCFC phase-out, noting the importance of the consumption of HCFC-141b contained in imported pre-blended polyols, and given the desire to ensure that all eligible enterprises using these pre</w:t>
      </w:r>
      <w:r w:rsidRPr="00D463BB">
        <w:noBreakHyphen/>
        <w:t>blended polyols could be converted with the support from the Multilateral Fund, the Executive Committee decided on a policy to fund PU foam enterprises that consumed HCFC-141b contained in imported pre</w:t>
      </w:r>
      <w:r w:rsidRPr="00D463BB">
        <w:noBreakHyphen/>
        <w:t>blended polyols, on the understanding that Article 5 countries would commit to issuing</w:t>
      </w:r>
      <w:r>
        <w:t xml:space="preserve"> </w:t>
      </w:r>
      <w:r w:rsidRPr="00AE1CA7">
        <w:t>regulatory measures</w:t>
      </w:r>
      <w:r>
        <w:t xml:space="preserve"> </w:t>
      </w:r>
      <w:r w:rsidRPr="00AE1CA7">
        <w:t>to stop</w:t>
      </w:r>
      <w:r>
        <w:t xml:space="preserve"> the</w:t>
      </w:r>
      <w:r w:rsidRPr="00AE1CA7">
        <w:t xml:space="preserve"> supply and </w:t>
      </w:r>
      <w:r w:rsidRPr="00D463BB">
        <w:t>use of imported pre</w:t>
      </w:r>
      <w:r w:rsidRPr="00D463BB">
        <w:noBreakHyphen/>
        <w:t>blended polyols using HCFC-141b.</w:t>
      </w:r>
      <w:r w:rsidRPr="00D463BB">
        <w:rPr>
          <w:rStyle w:val="FootnoteReference"/>
        </w:rPr>
        <w:footnoteReference w:id="33"/>
      </w:r>
      <w:r w:rsidRPr="00D463BB">
        <w:t xml:space="preserve"> This allowed Article 5 countries to effectively phase out HCFC</w:t>
      </w:r>
      <w:r w:rsidRPr="00D463BB">
        <w:noBreakHyphen/>
        <w:t>141b in all forms and avoid migration from the use of pure HCFC-141b to HCFC-141b contained in imported pre</w:t>
      </w:r>
      <w:r w:rsidRPr="00D463BB">
        <w:noBreakHyphen/>
        <w:t>blended polyols. A similar situation is occurring with HFCs used as blowing agents and HFCs contained in imported pre</w:t>
      </w:r>
      <w:r w:rsidRPr="00D463BB">
        <w:noBreakHyphen/>
        <w:t>blended polyols; therefore, the same approach should be followed regarding the phase-out of HFCs pure or contained in imported pre-blended polyols and regarding exports of HFCs contained in pre</w:t>
      </w:r>
      <w:r w:rsidRPr="00D463BB">
        <w:noBreakHyphen/>
        <w:t xml:space="preserve">blended polyols. </w:t>
      </w:r>
    </w:p>
    <w:p w:rsidR="00FF6C2E" w:rsidRPr="00D463BB" w:rsidRDefault="00FF6C2E" w:rsidP="005B04FB">
      <w:pPr>
        <w:pStyle w:val="Heading1"/>
      </w:pPr>
      <w:r w:rsidRPr="00D463BB">
        <w:t xml:space="preserve">The Executive Committee </w:t>
      </w:r>
      <w:r w:rsidRPr="00D463BB">
        <w:rPr>
          <w:u w:val="single"/>
        </w:rPr>
        <w:t>may wish</w:t>
      </w:r>
      <w:r w:rsidRPr="008205E8">
        <w:t>:</w:t>
      </w:r>
    </w:p>
    <w:p w:rsidR="00FF6C2E" w:rsidRPr="00D463BB" w:rsidRDefault="00FF6C2E" w:rsidP="00FF6C2E">
      <w:pPr>
        <w:pStyle w:val="Heading2"/>
        <w:numPr>
          <w:ilvl w:val="1"/>
          <w:numId w:val="1"/>
        </w:numPr>
      </w:pPr>
      <w:r w:rsidRPr="00D463BB">
        <w:t>To approve sector plans for the total phase-out of HFC pure or contained in pre-blended polyols in the PU foam sector, on the understanding:</w:t>
      </w:r>
    </w:p>
    <w:p w:rsidR="00FF6C2E" w:rsidRPr="00D463BB" w:rsidRDefault="00FF6C2E" w:rsidP="00FF6C2E">
      <w:pPr>
        <w:pStyle w:val="Heading3"/>
        <w:numPr>
          <w:ilvl w:val="2"/>
          <w:numId w:val="1"/>
        </w:numPr>
      </w:pPr>
      <w:r w:rsidRPr="00D463BB">
        <w:t>That any Article 5 country submitting a project will have ratified the Kigali Amendment or submitted a formal letter indicating the Government’s intention to ratify the Amendment;</w:t>
      </w:r>
    </w:p>
    <w:p w:rsidR="00FF6C2E" w:rsidRPr="00D463BB" w:rsidRDefault="00FF6C2E" w:rsidP="00FF6C2E">
      <w:pPr>
        <w:pStyle w:val="Heading3"/>
        <w:numPr>
          <w:ilvl w:val="2"/>
          <w:numId w:val="1"/>
        </w:numPr>
      </w:pPr>
      <w:r w:rsidRPr="00D463BB">
        <w:t>That the sector plan will be implemented in coordination with or complementary to the activities under the country’s HPMP;</w:t>
      </w:r>
    </w:p>
    <w:p w:rsidR="00FF6C2E" w:rsidRPr="00D463BB" w:rsidRDefault="00FF6C2E" w:rsidP="00FF6C2E">
      <w:pPr>
        <w:pStyle w:val="Heading3"/>
        <w:numPr>
          <w:ilvl w:val="2"/>
          <w:numId w:val="1"/>
        </w:numPr>
      </w:pPr>
      <w:r w:rsidRPr="00D463BB">
        <w:t>That the sector plan will be integrated into stage I of the HFC phase-down plan once the HFC phase-down plan has been formulated;</w:t>
      </w:r>
    </w:p>
    <w:p w:rsidR="00FF6C2E" w:rsidRPr="00D463BB" w:rsidRDefault="00FF6C2E" w:rsidP="00FF6C2E">
      <w:pPr>
        <w:pStyle w:val="Heading3"/>
        <w:numPr>
          <w:ilvl w:val="2"/>
          <w:numId w:val="1"/>
        </w:numPr>
      </w:pPr>
      <w:r w:rsidRPr="00D463BB">
        <w:t xml:space="preserve">That the amount of HFC phased out by the sector plan will be deducted from the starting point for sustained reductions in HFC consumption once the starting point has been established; </w:t>
      </w:r>
    </w:p>
    <w:p w:rsidR="00FF6C2E" w:rsidRPr="00D463BB" w:rsidRDefault="00FF6C2E" w:rsidP="00FF6C2E">
      <w:pPr>
        <w:pStyle w:val="Heading3"/>
        <w:numPr>
          <w:ilvl w:val="2"/>
          <w:numId w:val="1"/>
        </w:numPr>
      </w:pPr>
      <w:r w:rsidRPr="00D463BB">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rsidR="00FF6C2E" w:rsidRPr="00D463BB" w:rsidRDefault="00FF6C2E" w:rsidP="00FF6C2E">
      <w:pPr>
        <w:pStyle w:val="Heading3"/>
        <w:numPr>
          <w:ilvl w:val="2"/>
          <w:numId w:val="1"/>
        </w:numPr>
      </w:pPr>
      <w:r w:rsidRPr="00D463BB">
        <w:t>That the country will establish the necessary regulatory measures to ensure the sustainability of the complete phase-out of all HCFCs and HFCs pure and/or contained in pre-blended polyols in the sector; and</w:t>
      </w:r>
    </w:p>
    <w:p w:rsidR="00FF6C2E" w:rsidRPr="00D463BB" w:rsidRDefault="00FF6C2E" w:rsidP="00BA11CC">
      <w:pPr>
        <w:pStyle w:val="Heading2"/>
        <w:keepNext/>
        <w:widowControl/>
        <w:numPr>
          <w:ilvl w:val="1"/>
          <w:numId w:val="1"/>
        </w:numPr>
      </w:pPr>
      <w:r w:rsidRPr="00D463BB">
        <w:lastRenderedPageBreak/>
        <w:t>To approve, when required, preparatory funding for the formulation of these sector plans on a case</w:t>
      </w:r>
      <w:r w:rsidRPr="00D463BB">
        <w:noBreakHyphen/>
        <w:t>by-case basis</w:t>
      </w:r>
      <w:r>
        <w:t xml:space="preserve"> and in line with the draft guidelines for the preparation of HFC phase</w:t>
      </w:r>
      <w:r>
        <w:noBreakHyphen/>
        <w:t>down plans for Article 5 countries contained in document UNEP/OzL.Pro/ExCom/86/88</w:t>
      </w:r>
      <w:r w:rsidRPr="00D463BB">
        <w:t>.</w:t>
      </w:r>
    </w:p>
    <w:p w:rsidR="00FF6C2E" w:rsidRPr="00D463BB" w:rsidRDefault="00FF6C2E" w:rsidP="005B04FB">
      <w:pPr>
        <w:pStyle w:val="Heading1"/>
        <w:numPr>
          <w:ilvl w:val="0"/>
          <w:numId w:val="0"/>
        </w:numPr>
        <w:rPr>
          <w:i/>
        </w:rPr>
      </w:pPr>
      <w:r w:rsidRPr="00D463BB">
        <w:rPr>
          <w:i/>
        </w:rPr>
        <w:t>Extruded polystyrene (XPS) foam manufacturing sector</w:t>
      </w:r>
    </w:p>
    <w:p w:rsidR="00FF6C2E" w:rsidRPr="00D463BB" w:rsidRDefault="00FF6C2E" w:rsidP="005B04FB">
      <w:pPr>
        <w:pStyle w:val="Heading1"/>
      </w:pPr>
      <w:r w:rsidRPr="00D463BB">
        <w:t>The majority of Article 5 countries with an XPS foam manufacturing sector have largely phased out the use of HCFC-22/HCFC-142b and have introduced low-GWP alternatives, mainly CO</w:t>
      </w:r>
      <w:r w:rsidRPr="00D463BB">
        <w:rPr>
          <w:vertAlign w:val="subscript"/>
        </w:rPr>
        <w:t>2</w:t>
      </w:r>
      <w:r w:rsidRPr="00D463BB">
        <w:t xml:space="preserve"> and </w:t>
      </w:r>
      <w:proofErr w:type="spellStart"/>
      <w:r w:rsidRPr="00D463BB">
        <w:t>isobutane</w:t>
      </w:r>
      <w:proofErr w:type="spellEnd"/>
      <w:r w:rsidRPr="00D463BB">
        <w:t>. Only a few Article 5 countries are still in the process of phasing out HCFC</w:t>
      </w:r>
      <w:r w:rsidRPr="00D463BB">
        <w:noBreakHyphen/>
        <w:t>22 and HCFC</w:t>
      </w:r>
      <w:r w:rsidRPr="00D463BB">
        <w:noBreakHyphen/>
        <w:t>142b in the XPS foam sector as part of their already approved HPMPs (i.e., China (2026)).</w:t>
      </w:r>
    </w:p>
    <w:p w:rsidR="00FF6C2E" w:rsidRPr="00D463BB" w:rsidRDefault="00FF6C2E" w:rsidP="005B04FB">
      <w:pPr>
        <w:pStyle w:val="Heading1"/>
      </w:pPr>
      <w:r w:rsidRPr="00D463BB">
        <w:t xml:space="preserve">The amount of HFCs consumed by Article 5 countries in the manufacturing of XPS foam is still unknown; however, preliminary data indicates that it may be low. Out of the 84 Article 5 countries that reported HFC consumption data in 2019 under the country programme </w:t>
      </w:r>
      <w:r>
        <w:t>implementation</w:t>
      </w:r>
      <w:r w:rsidRPr="00D463BB">
        <w:t xml:space="preserve"> reports, only one country identified consumption of 38 </w:t>
      </w:r>
      <w:proofErr w:type="spellStart"/>
      <w:r w:rsidRPr="00D463BB">
        <w:t>mt</w:t>
      </w:r>
      <w:proofErr w:type="spellEnd"/>
      <w:r w:rsidRPr="00D463BB">
        <w:t xml:space="preserve"> of HFC-152a (with a GWP of 124) in the foam sector (presumably XPS foam), and two countries identified a total consumption of 5.73 </w:t>
      </w:r>
      <w:proofErr w:type="spellStart"/>
      <w:r w:rsidRPr="00D463BB">
        <w:t>mt</w:t>
      </w:r>
      <w:proofErr w:type="spellEnd"/>
      <w:r w:rsidRPr="00D463BB">
        <w:t xml:space="preserve"> of HFC-134a, which could be used in the production of either PU foam or XPS foam. </w:t>
      </w:r>
    </w:p>
    <w:p w:rsidR="00FF6C2E" w:rsidRPr="00D463BB" w:rsidRDefault="00FF6C2E" w:rsidP="005B04FB">
      <w:pPr>
        <w:pStyle w:val="Heading1"/>
      </w:pPr>
      <w:r w:rsidRPr="00D463BB">
        <w:t>The benefits of pursuing an integrated HCFC phase</w:t>
      </w:r>
      <w:r w:rsidRPr="00D463BB">
        <w:noBreakHyphen/>
        <w:t>out and HFC phase</w:t>
      </w:r>
      <w:r w:rsidRPr="00D463BB">
        <w:noBreakHyphen/>
        <w:t>down in the XPS foam sector appear to be limited to a few countries, as most Article 5 countries have already phased out HCFCs in the sector and no significant HFC use has been identified. However, opportunities for early action may become more evident as additional Article 5 countries report HFC consumption data.</w:t>
      </w:r>
    </w:p>
    <w:p w:rsidR="00FF6C2E" w:rsidRPr="00D463BB" w:rsidRDefault="00FF6C2E" w:rsidP="005B04FB">
      <w:pPr>
        <w:pStyle w:val="Heading1"/>
      </w:pPr>
      <w:r w:rsidRPr="00D463BB">
        <w:t>In reviewing the HPMPs, the Secretariat noted that in a few Article 5 countries XPS foam manufacturing capacity based on HCFCs was installed after the cut-off date for HCFC capacity of 21 September 2007 and was therefore ineligible for funding. Article 5 countries that do not have HFC consumption in the XPS foam sector could consider, as an early action, establishing regulatory measures to avoid the installation of new high-GWP HFC-based XPS foam manufacturing capacity. This will make it possible to avoid potential imports of HFC-based manufacturing capacity being phased out in non</w:t>
      </w:r>
      <w:r w:rsidRPr="00D463BB">
        <w:noBreakHyphen/>
        <w:t>Article 5 countries and the associated future HFC consumption in the sector.</w:t>
      </w:r>
    </w:p>
    <w:p w:rsidR="00FF6C2E" w:rsidRPr="00D463BB" w:rsidRDefault="00FF6C2E" w:rsidP="005B04FB">
      <w:pPr>
        <w:pStyle w:val="Heading1"/>
      </w:pPr>
      <w:r w:rsidRPr="00D463BB">
        <w:t xml:space="preserve">The Executive Committee </w:t>
      </w:r>
      <w:r w:rsidRPr="00D463BB">
        <w:rPr>
          <w:u w:val="single"/>
        </w:rPr>
        <w:t>may wish</w:t>
      </w:r>
      <w:r w:rsidRPr="00D463BB">
        <w:t xml:space="preserve"> to encourage Article 5 countries that do not have HFC consumption in the XPS foam sector to consider establishing regulatory measures as soon as possible to avoid the installation of new capacity for the manufacturing of high-GWP HFC-based XPS foam.</w:t>
      </w:r>
    </w:p>
    <w:p w:rsidR="00FF6C2E" w:rsidRPr="00D463BB" w:rsidRDefault="00FF6C2E" w:rsidP="005B04FB">
      <w:pPr>
        <w:rPr>
          <w:i/>
        </w:rPr>
      </w:pPr>
      <w:r w:rsidRPr="00D463BB">
        <w:rPr>
          <w:i/>
        </w:rPr>
        <w:t xml:space="preserve">Domestic and commercial stand-alone refrigeration units </w:t>
      </w:r>
    </w:p>
    <w:p w:rsidR="00FF6C2E" w:rsidRPr="00D463BB" w:rsidRDefault="00FF6C2E" w:rsidP="005B04FB">
      <w:pPr>
        <w:rPr>
          <w:i/>
          <w:u w:val="single"/>
        </w:rPr>
      </w:pPr>
    </w:p>
    <w:p w:rsidR="00FF6C2E" w:rsidRPr="00D463BB" w:rsidRDefault="00FF6C2E" w:rsidP="005B04FB">
      <w:pPr>
        <w:pStyle w:val="Heading1"/>
      </w:pPr>
      <w:r w:rsidRPr="00D463BB">
        <w:t>Out of the 84 Article 5 countries that reported HFC consumption data in 2019, seven (five non</w:t>
      </w:r>
      <w:r w:rsidRPr="00D463BB">
        <w:noBreakHyphen/>
        <w:t xml:space="preserve">LVC and two LVC countries) identified a total use of 3,057 </w:t>
      </w:r>
      <w:proofErr w:type="spellStart"/>
      <w:r w:rsidRPr="00D463BB">
        <w:t>mt</w:t>
      </w:r>
      <w:proofErr w:type="spellEnd"/>
      <w:r w:rsidRPr="00D463BB">
        <w:t xml:space="preserve"> of HFC-134a and 1,659 </w:t>
      </w:r>
      <w:proofErr w:type="spellStart"/>
      <w:r w:rsidRPr="00D463BB">
        <w:t>mt</w:t>
      </w:r>
      <w:proofErr w:type="spellEnd"/>
      <w:r w:rsidRPr="00D463BB">
        <w:t xml:space="preserve"> of R-404A in the refrigeration manufacturing sector. Part of this consumption is presumably in the manufacturing of domestic and commercial stand-alone units; two countries are already implementing stand</w:t>
      </w:r>
      <w:r w:rsidRPr="00D463BB">
        <w:noBreakHyphen/>
        <w:t>alone investment projects in these sectors. The amount of HFCs used in these two applications may be larger than the figures above as some of the countries with manufacturing capacity have not yet reported their HFC consumption.</w:t>
      </w:r>
    </w:p>
    <w:p w:rsidR="00FF6C2E" w:rsidRPr="00D463BB" w:rsidRDefault="00FF6C2E" w:rsidP="005B04FB">
      <w:pPr>
        <w:pStyle w:val="Heading1"/>
      </w:pPr>
      <w:r w:rsidRPr="00D463BB">
        <w:t>Cost-effective alternative technologies are currently available for the conversion of HFC</w:t>
      </w:r>
      <w:r w:rsidRPr="00D463BB">
        <w:noBreakHyphen/>
        <w:t xml:space="preserve">based domestic and commercial stand-alone refrigeration equipment. Early conversion of these manufacturing lines is possible as cost-effective and sustainable alternative technologies are available in markets in Article 5 countries. A sector-wide approach complemented by regulatory measures would ensure that the HFC phase-out by assisted enterprises is not offset by increased consumption in other enterprises in the sector. In addition, the early conversion of this sector will reduce the future demand for HFCs in associated servicing of equipment and will reduce the potential emissions from banks. </w:t>
      </w:r>
    </w:p>
    <w:p w:rsidR="00FF6C2E" w:rsidRPr="00D463BB" w:rsidRDefault="00FF6C2E" w:rsidP="005B04FB">
      <w:pPr>
        <w:pStyle w:val="Heading1"/>
      </w:pPr>
      <w:r w:rsidRPr="00D463BB">
        <w:lastRenderedPageBreak/>
        <w:t xml:space="preserve">The Executive Committee </w:t>
      </w:r>
      <w:r w:rsidRPr="00D463BB">
        <w:rPr>
          <w:u w:val="single"/>
        </w:rPr>
        <w:t>may wish</w:t>
      </w:r>
      <w:r w:rsidRPr="00D463BB">
        <w:t>:</w:t>
      </w:r>
    </w:p>
    <w:p w:rsidR="00FF6C2E" w:rsidRPr="00D463BB" w:rsidRDefault="00FF6C2E" w:rsidP="00FF6C2E">
      <w:pPr>
        <w:pStyle w:val="Heading2"/>
        <w:numPr>
          <w:ilvl w:val="1"/>
          <w:numId w:val="1"/>
        </w:numPr>
      </w:pPr>
      <w:r w:rsidRPr="00D463BB">
        <w:t>To approve sector plans for the total phase-out of HFC in the manufacturing of domestic and commercial stand-alone refrigeration</w:t>
      </w:r>
      <w:r>
        <w:t xml:space="preserve"> units</w:t>
      </w:r>
      <w:r w:rsidRPr="00D463BB">
        <w:t>, on the understanding:</w:t>
      </w:r>
    </w:p>
    <w:p w:rsidR="00FF6C2E" w:rsidRPr="00D463BB" w:rsidRDefault="00FF6C2E" w:rsidP="00FF6C2E">
      <w:pPr>
        <w:pStyle w:val="Heading3"/>
        <w:numPr>
          <w:ilvl w:val="2"/>
          <w:numId w:val="1"/>
        </w:numPr>
      </w:pPr>
      <w:r w:rsidRPr="00D463BB">
        <w:t>That any Article 5 country submitting a project will have ratified the Kigali Amendment or submitted a formal letter indicating the Government’s intention to ratify the Amendment;</w:t>
      </w:r>
    </w:p>
    <w:p w:rsidR="00FF6C2E" w:rsidRPr="00D463BB" w:rsidRDefault="00FF6C2E" w:rsidP="00FF6C2E">
      <w:pPr>
        <w:pStyle w:val="Heading3"/>
        <w:numPr>
          <w:ilvl w:val="2"/>
          <w:numId w:val="1"/>
        </w:numPr>
      </w:pPr>
      <w:r w:rsidRPr="00D463BB">
        <w:t>That the sector plan will be integrated into stage I of the HFC phase-down plan once the HFC phase-down plan has been formulated;</w:t>
      </w:r>
    </w:p>
    <w:p w:rsidR="00FF6C2E" w:rsidRPr="00D463BB" w:rsidRDefault="00FF6C2E" w:rsidP="00FF6C2E">
      <w:pPr>
        <w:pStyle w:val="Heading3"/>
        <w:numPr>
          <w:ilvl w:val="2"/>
          <w:numId w:val="1"/>
        </w:numPr>
      </w:pPr>
      <w:r w:rsidRPr="00D463BB">
        <w:t xml:space="preserve">That the amount of HFC phased out by the sector plan will be deducted from the starting point for sustained reductions in HFC consumption once the starting point has been established; </w:t>
      </w:r>
    </w:p>
    <w:p w:rsidR="00FF6C2E" w:rsidRPr="00D36C08" w:rsidRDefault="00FF6C2E" w:rsidP="00FF6C2E">
      <w:pPr>
        <w:pStyle w:val="Heading3"/>
        <w:numPr>
          <w:ilvl w:val="2"/>
          <w:numId w:val="1"/>
        </w:numPr>
      </w:pPr>
      <w:r w:rsidRPr="00D36C08">
        <w:t>Th</w:t>
      </w:r>
      <w:r>
        <w:t>at th</w:t>
      </w:r>
      <w:r w:rsidRPr="00D36C08">
        <w:t xml:space="preserve">e country will establish the necessary regulatory measures to ensure the sustainability of the phase-out of HFCs in the domestic and commercial </w:t>
      </w:r>
      <w:r>
        <w:t>stand</w:t>
      </w:r>
      <w:r>
        <w:noBreakHyphen/>
        <w:t xml:space="preserve">alone </w:t>
      </w:r>
      <w:r w:rsidRPr="00D36C08">
        <w:t>refrigeration applications; and</w:t>
      </w:r>
    </w:p>
    <w:p w:rsidR="00FF6C2E" w:rsidRPr="00D36C08" w:rsidRDefault="00FF6C2E" w:rsidP="00FF6C2E">
      <w:pPr>
        <w:pStyle w:val="Heading2"/>
        <w:numPr>
          <w:ilvl w:val="1"/>
          <w:numId w:val="1"/>
        </w:numPr>
      </w:pPr>
      <w:r>
        <w:t>To approve, w</w:t>
      </w:r>
      <w:r w:rsidRPr="00D36C08">
        <w:t xml:space="preserve">hen required, preparatory funding for the formulation of these </w:t>
      </w:r>
      <w:r>
        <w:t xml:space="preserve">sector </w:t>
      </w:r>
      <w:r w:rsidRPr="00D36C08">
        <w:t>plans on a case</w:t>
      </w:r>
      <w:r w:rsidRPr="00D36C08">
        <w:noBreakHyphen/>
        <w:t>by-case basis</w:t>
      </w:r>
      <w:r>
        <w:t xml:space="preserve"> and in line with the draft guidelines for the preparation of HFC phase</w:t>
      </w:r>
      <w:r>
        <w:noBreakHyphen/>
        <w:t>down plans for Article 5 countries contained in document UNEP/OzL.Pro/ExCom/86/88</w:t>
      </w:r>
      <w:r w:rsidRPr="00D36C08">
        <w:t>.</w:t>
      </w:r>
    </w:p>
    <w:p w:rsidR="00FF6C2E" w:rsidRPr="006C5EE4" w:rsidRDefault="00FF6C2E" w:rsidP="005B04FB">
      <w:pPr>
        <w:keepNext/>
        <w:rPr>
          <w:i/>
        </w:rPr>
      </w:pPr>
      <w:r w:rsidRPr="006C5EE4">
        <w:rPr>
          <w:i/>
        </w:rPr>
        <w:t>Commercial refrigeration manufacturing sector (other than stand-alone units)</w:t>
      </w:r>
    </w:p>
    <w:p w:rsidR="00FF6C2E" w:rsidRPr="00D36C08" w:rsidRDefault="00FF6C2E" w:rsidP="005B04FB">
      <w:pPr>
        <w:keepNext/>
      </w:pPr>
    </w:p>
    <w:p w:rsidR="00FF6C2E" w:rsidRDefault="00FF6C2E" w:rsidP="005B04FB">
      <w:pPr>
        <w:pStyle w:val="Heading1"/>
      </w:pPr>
      <w:r w:rsidRPr="00D36C08">
        <w:t>Several commercial refrigeration enterprises manufacture a large variety of refrigeration systems based on different refrigerants (e.g., HFC</w:t>
      </w:r>
      <w:r w:rsidRPr="00D36C08">
        <w:noBreakHyphen/>
        <w:t>134a, R</w:t>
      </w:r>
      <w:r w:rsidRPr="00D36C08">
        <w:noBreakHyphen/>
        <w:t>404A</w:t>
      </w:r>
      <w:r>
        <w:t xml:space="preserve"> and/or R-507A</w:t>
      </w:r>
      <w:r w:rsidRPr="0031696B">
        <w:t xml:space="preserve">). </w:t>
      </w:r>
      <w:r>
        <w:t>The Secretariat notes that in some of these enterprises, the c</w:t>
      </w:r>
      <w:r w:rsidRPr="0031696B">
        <w:t>onversion of HFC</w:t>
      </w:r>
      <w:r w:rsidRPr="0031696B">
        <w:noBreakHyphen/>
        <w:t xml:space="preserve">based products could </w:t>
      </w:r>
      <w:r>
        <w:t xml:space="preserve">potentially </w:t>
      </w:r>
      <w:r w:rsidRPr="0031696B">
        <w:t xml:space="preserve">be </w:t>
      </w:r>
      <w:r>
        <w:t xml:space="preserve">implemented in an </w:t>
      </w:r>
      <w:r w:rsidRPr="0031696B">
        <w:t xml:space="preserve">integrated </w:t>
      </w:r>
      <w:r>
        <w:t xml:space="preserve">manner </w:t>
      </w:r>
      <w:r w:rsidRPr="0031696B">
        <w:t>with the ongoing conversion of HCFC</w:t>
      </w:r>
      <w:r w:rsidRPr="0031696B">
        <w:noBreakHyphen/>
        <w:t>22</w:t>
      </w:r>
      <w:r w:rsidRPr="0031696B">
        <w:noBreakHyphen/>
        <w:t>based products (which in most cases are at an advanced stage of implementation), ensuring the phase</w:t>
      </w:r>
      <w:r w:rsidRPr="0031696B">
        <w:noBreakHyphen/>
        <w:t>out of both HCFC and HFC, with potential reductions in the overall conversion costs</w:t>
      </w:r>
      <w:r>
        <w:t xml:space="preserve">. However, the possibility of this integration would depend on </w:t>
      </w:r>
      <w:r>
        <w:rPr>
          <w:i/>
        </w:rPr>
        <w:t xml:space="preserve">inter alia </w:t>
      </w:r>
      <w:r>
        <w:t>the type of systems being manufactured, the feasibility of adopting low</w:t>
      </w:r>
      <w:r>
        <w:noBreakHyphen/>
        <w:t xml:space="preserve">GWP alternatives, refrigerant charges, location, and other system characteristics. Early activities in this sub-sector are unlikely to be sustainable unless the country can address all applications and enterprises (entire sector or sub-sectors and imports of such equipment), otherwise the reductions achieved by the project would be offset by the increase in HFC consumption by enterprises not covered by the project. </w:t>
      </w:r>
    </w:p>
    <w:p w:rsidR="00FF6C2E" w:rsidRDefault="00FF6C2E" w:rsidP="005B04FB">
      <w:pPr>
        <w:pStyle w:val="Heading1"/>
      </w:pPr>
      <w:r>
        <w:t>Activities designed to reduce the use of R-404A and R-507A could have a significant impact, given the high GWP of these substances. However, they would need to address the entire sector and include complementary regulatory measures to ensure sustained phase-out. P</w:t>
      </w:r>
      <w:r w:rsidRPr="005E49CA">
        <w:t xml:space="preserve">otential activities </w:t>
      </w:r>
      <w:r>
        <w:t xml:space="preserve">that could be implemented in stage I of the HFC phase-down plans in the servicing sector include </w:t>
      </w:r>
      <w:r w:rsidRPr="005E49CA">
        <w:t>preventive</w:t>
      </w:r>
      <w:r>
        <w:t xml:space="preserve"> maintenance</w:t>
      </w:r>
      <w:r w:rsidRPr="005E49CA">
        <w:t xml:space="preserve">, control of leakage, and support </w:t>
      </w:r>
      <w:r>
        <w:t xml:space="preserve">for </w:t>
      </w:r>
      <w:r w:rsidRPr="005E49CA">
        <w:t>end-users</w:t>
      </w:r>
      <w:r>
        <w:t xml:space="preserve"> for better handling of </w:t>
      </w:r>
      <w:r w:rsidRPr="005E49CA">
        <w:t>installed equipment.</w:t>
      </w:r>
      <w:r>
        <w:t xml:space="preserve"> </w:t>
      </w:r>
    </w:p>
    <w:p w:rsidR="00FF6C2E" w:rsidRPr="006C5EE4" w:rsidRDefault="00FF6C2E" w:rsidP="005B04FB">
      <w:pPr>
        <w:pStyle w:val="Heading1"/>
        <w:numPr>
          <w:ilvl w:val="0"/>
          <w:numId w:val="0"/>
        </w:numPr>
        <w:rPr>
          <w:i/>
        </w:rPr>
      </w:pPr>
      <w:r w:rsidRPr="006C5EE4">
        <w:rPr>
          <w:i/>
        </w:rPr>
        <w:t>AC manufacturing sector</w:t>
      </w:r>
    </w:p>
    <w:p w:rsidR="00FF6C2E" w:rsidRPr="00CF3BD8" w:rsidRDefault="00FF6C2E" w:rsidP="005B04FB">
      <w:pPr>
        <w:pStyle w:val="Heading1"/>
      </w:pPr>
      <w:r w:rsidRPr="00CF3BD8">
        <w:t xml:space="preserve">Out of the 84 </w:t>
      </w:r>
      <w:r>
        <w:t>Article 5</w:t>
      </w:r>
      <w:r w:rsidRPr="00CF3BD8">
        <w:t xml:space="preserve"> countries that reported HFC consumption data in 2019 under the</w:t>
      </w:r>
      <w:r>
        <w:t>ir</w:t>
      </w:r>
      <w:r w:rsidRPr="00CF3BD8">
        <w:t xml:space="preserve"> </w:t>
      </w:r>
      <w:r>
        <w:t xml:space="preserve">country programme implementation </w:t>
      </w:r>
      <w:r w:rsidRPr="00CF3BD8">
        <w:t>report</w:t>
      </w:r>
      <w:r>
        <w:t>s</w:t>
      </w:r>
      <w:r w:rsidRPr="00CF3BD8">
        <w:t xml:space="preserve">, seven (five non-LVC </w:t>
      </w:r>
      <w:r>
        <w:t xml:space="preserve">countries </w:t>
      </w:r>
      <w:r w:rsidRPr="00CF3BD8">
        <w:t>and two LVC countries) identified a total use of 15,683</w:t>
      </w:r>
      <w:r>
        <w:t xml:space="preserve"> </w:t>
      </w:r>
      <w:proofErr w:type="spellStart"/>
      <w:r w:rsidRPr="00CF3BD8">
        <w:t>mt</w:t>
      </w:r>
      <w:proofErr w:type="spellEnd"/>
      <w:r w:rsidRPr="00CF3BD8">
        <w:t xml:space="preserve"> of</w:t>
      </w:r>
      <w:r>
        <w:t xml:space="preserve"> R-410A, R-407C, HFC</w:t>
      </w:r>
      <w:r>
        <w:noBreakHyphen/>
      </w:r>
      <w:r w:rsidRPr="00CF3BD8">
        <w:t>32 and HFC-125</w:t>
      </w:r>
      <w:r>
        <w:t>, as well as a</w:t>
      </w:r>
      <w:r w:rsidRPr="00CF3BD8">
        <w:t xml:space="preserve"> small amount of R-404A in the AC</w:t>
      </w:r>
      <w:r>
        <w:t xml:space="preserve"> </w:t>
      </w:r>
      <w:r w:rsidRPr="00CF3BD8">
        <w:t xml:space="preserve">sector. </w:t>
      </w:r>
    </w:p>
    <w:p w:rsidR="00FF6C2E" w:rsidRPr="00CF3BD8" w:rsidRDefault="00FF6C2E" w:rsidP="005B04FB">
      <w:pPr>
        <w:pStyle w:val="Heading1"/>
      </w:pPr>
      <w:r w:rsidRPr="00CF3BD8">
        <w:lastRenderedPageBreak/>
        <w:t xml:space="preserve">The amount of HFCs used in the </w:t>
      </w:r>
      <w:r>
        <w:t>AC</w:t>
      </w:r>
      <w:r w:rsidRPr="00CF3BD8">
        <w:t xml:space="preserve"> sector is expected to be much larger than the figures above</w:t>
      </w:r>
      <w:r>
        <w:t>,</w:t>
      </w:r>
      <w:r w:rsidRPr="00CF3BD8">
        <w:t xml:space="preserve"> as some of the countries with large AC manufacturing sectors have not yet reported their HFC consumption under the </w:t>
      </w:r>
      <w:r>
        <w:t>country programme</w:t>
      </w:r>
      <w:r w:rsidRPr="00CF3BD8">
        <w:t xml:space="preserve"> report. There is also </w:t>
      </w:r>
      <w:r>
        <w:t xml:space="preserve">an </w:t>
      </w:r>
      <w:r w:rsidRPr="00CF3BD8">
        <w:t xml:space="preserve">indication that the </w:t>
      </w:r>
      <w:r>
        <w:t>consumption</w:t>
      </w:r>
      <w:r w:rsidRPr="00CF3BD8">
        <w:t xml:space="preserve"> of HFC-32 in the manufacturing of </w:t>
      </w:r>
      <w:r>
        <w:t>residential</w:t>
      </w:r>
      <w:r w:rsidRPr="00CF3BD8">
        <w:t xml:space="preserve"> AC could start increasing in </w:t>
      </w:r>
      <w:r>
        <w:t>Article 5</w:t>
      </w:r>
      <w:r w:rsidRPr="00CF3BD8">
        <w:t xml:space="preserve"> countries</w:t>
      </w:r>
      <w:r>
        <w:t>,</w:t>
      </w:r>
      <w:r w:rsidRPr="00CF3BD8">
        <w:t xml:space="preserve"> as some eligible and ineligible enterprises have converted to this technology. Furthermore, national energy efficiency regulations are also accelerating HCFC phase-out in residential and commercial </w:t>
      </w:r>
      <w:r>
        <w:t>AC</w:t>
      </w:r>
      <w:r w:rsidRPr="00CF3BD8">
        <w:t>, resulting in the adoption of HFC-based technologies</w:t>
      </w:r>
      <w:r>
        <w:t xml:space="preserve">, </w:t>
      </w:r>
      <w:r w:rsidRPr="00CF3BD8">
        <w:t xml:space="preserve">mainly </w:t>
      </w:r>
      <w:r>
        <w:t xml:space="preserve">based on </w:t>
      </w:r>
      <w:r w:rsidRPr="00CF3BD8">
        <w:t>R-410A, R-407C and HFC-32</w:t>
      </w:r>
      <w:r>
        <w:t xml:space="preserve"> refrigerants</w:t>
      </w:r>
      <w:r w:rsidRPr="00CF3BD8">
        <w:t xml:space="preserve">. </w:t>
      </w:r>
    </w:p>
    <w:p w:rsidR="00FF6C2E" w:rsidRDefault="00FF6C2E" w:rsidP="005B04FB">
      <w:pPr>
        <w:pStyle w:val="Heading1"/>
      </w:pPr>
      <w:r>
        <w:t>Currently, some Article 5 countries are encountering major obstacles in implementing their conversions to low-GWP alternative refrigerants. The use of R</w:t>
      </w:r>
      <w:r>
        <w:noBreakHyphen/>
        <w:t>410A in the manufacturing of residential AC continues to grow, as this is a mature technology that is already accepted and where equipment with enhanced energy efficiency is manufactured as compared to HCFC-22-based equipment.</w:t>
      </w:r>
    </w:p>
    <w:p w:rsidR="00FF6C2E" w:rsidRDefault="00FF6C2E" w:rsidP="005B04FB">
      <w:pPr>
        <w:pStyle w:val="Heading1"/>
        <w:widowControl w:val="0"/>
      </w:pPr>
      <w:r>
        <w:t>During the review of HPMPs, the Secretariat noted that certain e</w:t>
      </w:r>
      <w:r w:rsidRPr="0031696B">
        <w:t>nterprises</w:t>
      </w:r>
      <w:r>
        <w:t xml:space="preserve"> were </w:t>
      </w:r>
      <w:r w:rsidRPr="0031696B">
        <w:t xml:space="preserve">manufacturing </w:t>
      </w:r>
      <w:r>
        <w:t>residential</w:t>
      </w:r>
      <w:r>
        <w:rPr>
          <w:rStyle w:val="FootnoteReference"/>
        </w:rPr>
        <w:footnoteReference w:id="34"/>
      </w:r>
      <w:r w:rsidRPr="0031696B">
        <w:t xml:space="preserve"> and/or commercial AC equipment </w:t>
      </w:r>
      <w:r>
        <w:t>in Article 5 countries</w:t>
      </w:r>
      <w:r w:rsidRPr="0031696B">
        <w:t xml:space="preserve"> with lines based on HCFC</w:t>
      </w:r>
      <w:r w:rsidRPr="0031696B">
        <w:noBreakHyphen/>
        <w:t>22 and R</w:t>
      </w:r>
      <w:r w:rsidRPr="0031696B">
        <w:noBreakHyphen/>
        <w:t>410A</w:t>
      </w:r>
      <w:r>
        <w:t>, and that those lines could swing between those technologies. Adding the conversion of the R</w:t>
      </w:r>
      <w:r>
        <w:noBreakHyphen/>
        <w:t>410A lines to the ongoing conversion of the HCFC-22 lines would help ensure the phase-out of both substances in these enterprises. However, as seen in some of the ongoing HPMPs, this may not be enough to ensure the sustainability of the phase-out if other manufacturers are still using R-410A or other high</w:t>
      </w:r>
      <w:r>
        <w:noBreakHyphen/>
        <w:t>GWP HFCs (e.g., R-407C) refrigerants, or importing high-GWP-based equipment. A sector-wide approach is required to ensure sustained adoption of low-GWP alternative technologies.</w:t>
      </w:r>
    </w:p>
    <w:p w:rsidR="00FF6C2E" w:rsidRPr="00D463BB" w:rsidRDefault="00FF6C2E" w:rsidP="005B04FB">
      <w:pPr>
        <w:pStyle w:val="Heading1"/>
      </w:pPr>
      <w:r w:rsidRPr="00D463BB">
        <w:t xml:space="preserve">Regarding the mobile air-conditioning (MAC) manufacturing sector, four countries reported the use of 7,362 </w:t>
      </w:r>
      <w:proofErr w:type="spellStart"/>
      <w:r w:rsidRPr="00D463BB">
        <w:t>mt</w:t>
      </w:r>
      <w:proofErr w:type="spellEnd"/>
      <w:r w:rsidRPr="00D463BB">
        <w:t xml:space="preserve"> of HFC-134a in 2019, out of which 7,350 </w:t>
      </w:r>
      <w:proofErr w:type="spellStart"/>
      <w:r w:rsidRPr="00D463BB">
        <w:t>mt</w:t>
      </w:r>
      <w:proofErr w:type="spellEnd"/>
      <w:r w:rsidRPr="00D463BB">
        <w:t xml:space="preserve"> belonged to two countries. This consumption could be at least partially in the MAC sector, for which an integrated implementation with HCFC phase</w:t>
      </w:r>
      <w:r w:rsidRPr="00D463BB">
        <w:noBreakHyphen/>
        <w:t>out is unlikely as there is no HCFC consumption in this sector.</w:t>
      </w:r>
    </w:p>
    <w:p w:rsidR="00FF6C2E" w:rsidRPr="00D463BB" w:rsidRDefault="00FF6C2E" w:rsidP="005B04FB">
      <w:pPr>
        <w:pStyle w:val="Heading1"/>
      </w:pPr>
      <w:r w:rsidRPr="00D463BB">
        <w:t xml:space="preserve">The Executive Committee </w:t>
      </w:r>
      <w:r w:rsidRPr="00D463BB">
        <w:rPr>
          <w:u w:val="single"/>
        </w:rPr>
        <w:t>may wish</w:t>
      </w:r>
      <w:r w:rsidRPr="00D463BB">
        <w:t>:</w:t>
      </w:r>
    </w:p>
    <w:p w:rsidR="00FF6C2E" w:rsidRPr="00D463BB" w:rsidRDefault="00FF6C2E" w:rsidP="00FF6C2E">
      <w:pPr>
        <w:pStyle w:val="Heading2"/>
        <w:numPr>
          <w:ilvl w:val="1"/>
          <w:numId w:val="1"/>
        </w:numPr>
      </w:pPr>
      <w:r w:rsidRPr="00D463BB">
        <w:t xml:space="preserve">To invite Article 5 countries manufacturing residential and/or commercial </w:t>
      </w:r>
      <w:r>
        <w:t>AC</w:t>
      </w:r>
      <w:r w:rsidRPr="00D463BB">
        <w:t xml:space="preserve"> equipment to explore opportunities to integrate HCFC-22 and R-410A or other high</w:t>
      </w:r>
      <w:r w:rsidRPr="00D463BB">
        <w:noBreakHyphen/>
        <w:t>GWP HFC phase</w:t>
      </w:r>
      <w:r>
        <w:noBreakHyphen/>
      </w:r>
      <w:r w:rsidRPr="00D463BB">
        <w:t>out in the sector to ensure the sustained adoption of lower</w:t>
      </w:r>
      <w:r w:rsidRPr="00D463BB">
        <w:noBreakHyphen/>
        <w:t xml:space="preserve">GWP alternatives; </w:t>
      </w:r>
    </w:p>
    <w:p w:rsidR="00FF6C2E" w:rsidRDefault="00FF6C2E" w:rsidP="00FF6C2E">
      <w:pPr>
        <w:pStyle w:val="Heading2"/>
        <w:numPr>
          <w:ilvl w:val="1"/>
          <w:numId w:val="1"/>
        </w:numPr>
      </w:pPr>
      <w:r w:rsidRPr="00D463BB">
        <w:t>To approve a limited number of sector plans for the total phase-out of R-410A and other high</w:t>
      </w:r>
      <w:r w:rsidRPr="00D463BB">
        <w:noBreakHyphen/>
        <w:t>GWP alternatives used in the manufacturing of residential and/or commercial AC</w:t>
      </w:r>
      <w:r>
        <w:t> </w:t>
      </w:r>
      <w:r w:rsidRPr="00D463BB">
        <w:t>units in countries that have phased out, are presently phasing out, or intend in the short term to phase out HCFC-22</w:t>
      </w:r>
      <w:r>
        <w:t xml:space="preserve"> in the sector</w:t>
      </w:r>
      <w:r w:rsidRPr="00A270F0">
        <w:t xml:space="preserve">, </w:t>
      </w:r>
      <w:r>
        <w:t>on the understanding:</w:t>
      </w:r>
    </w:p>
    <w:p w:rsidR="00FF6C2E" w:rsidRDefault="00FF6C2E" w:rsidP="00FF6C2E">
      <w:pPr>
        <w:pStyle w:val="Heading3"/>
        <w:numPr>
          <w:ilvl w:val="2"/>
          <w:numId w:val="1"/>
        </w:numPr>
      </w:pPr>
      <w:r>
        <w:t>That any Article 5 country submitting a project will have ratified the Kigali Amendment or submitted a formal letter indicating the Government’s intention to ratify the Amendment;</w:t>
      </w:r>
    </w:p>
    <w:p w:rsidR="00FF6C2E" w:rsidRDefault="00FF6C2E" w:rsidP="009F18B9">
      <w:pPr>
        <w:pStyle w:val="Heading3"/>
        <w:widowControl/>
        <w:numPr>
          <w:ilvl w:val="2"/>
          <w:numId w:val="1"/>
        </w:numPr>
      </w:pPr>
      <w:r>
        <w:t>That the sector plan will be integrated into stage I of the HFC phase-down plan once the HFC phase-down plan has been formulated;</w:t>
      </w:r>
    </w:p>
    <w:p w:rsidR="00FF6C2E" w:rsidRDefault="00FF6C2E" w:rsidP="00FF6C2E">
      <w:pPr>
        <w:pStyle w:val="Heading3"/>
        <w:numPr>
          <w:ilvl w:val="2"/>
          <w:numId w:val="1"/>
        </w:numPr>
      </w:pPr>
      <w:r>
        <w:t>That the amount of HFC phased out by the sector plan will be deducted from the starting point for sustained reductions in HFC consumption once the starting point has been established; and</w:t>
      </w:r>
    </w:p>
    <w:p w:rsidR="00FF6C2E" w:rsidRDefault="00FF6C2E" w:rsidP="00FF6C2E">
      <w:pPr>
        <w:pStyle w:val="Heading3"/>
        <w:numPr>
          <w:ilvl w:val="2"/>
          <w:numId w:val="1"/>
        </w:numPr>
      </w:pPr>
      <w:r>
        <w:t xml:space="preserve">That the country will establish the necessary regulatory measures to ensure the sustainability of the phase-out of R-410A and other high-GWP alternatives in the </w:t>
      </w:r>
      <w:r>
        <w:lastRenderedPageBreak/>
        <w:t>specific AC sector(s) converted; and</w:t>
      </w:r>
    </w:p>
    <w:p w:rsidR="00FF6C2E" w:rsidRDefault="00FF6C2E" w:rsidP="00FF6C2E">
      <w:pPr>
        <w:pStyle w:val="Heading2"/>
        <w:numPr>
          <w:ilvl w:val="1"/>
          <w:numId w:val="1"/>
        </w:numPr>
      </w:pPr>
      <w:r>
        <w:t>To approve, when required, preparatory funding for the formulation of these sector plans on a case</w:t>
      </w:r>
      <w:r>
        <w:noBreakHyphen/>
        <w:t>by</w:t>
      </w:r>
      <w:r>
        <w:noBreakHyphen/>
        <w:t>case basis and in line with the draft guidelines for the preparation of HFC phase-down plans for Article 5 countries contained in document UNEP/OzL.Pro/ExCom/86/88.</w:t>
      </w:r>
    </w:p>
    <w:p w:rsidR="00FF6C2E" w:rsidRPr="006C5EE4" w:rsidRDefault="00FF6C2E" w:rsidP="005B04FB">
      <w:pPr>
        <w:pStyle w:val="Heading1"/>
        <w:widowControl w:val="0"/>
        <w:numPr>
          <w:ilvl w:val="0"/>
          <w:numId w:val="0"/>
        </w:numPr>
        <w:rPr>
          <w:i/>
        </w:rPr>
      </w:pPr>
      <w:r w:rsidRPr="006C5EE4">
        <w:rPr>
          <w:i/>
        </w:rPr>
        <w:t>Other manufacturing sectors</w:t>
      </w:r>
    </w:p>
    <w:p w:rsidR="00FF6C2E" w:rsidRPr="00E155EE" w:rsidRDefault="00FF6C2E" w:rsidP="005B04FB">
      <w:pPr>
        <w:pStyle w:val="Heading1"/>
        <w:widowControl w:val="0"/>
      </w:pPr>
      <w:r>
        <w:t>With the exception of one country,</w:t>
      </w:r>
      <w:r>
        <w:rPr>
          <w:rStyle w:val="FootnoteReference"/>
        </w:rPr>
        <w:footnoteReference w:id="35"/>
      </w:r>
      <w:r>
        <w:t xml:space="preserve"> there is currently no use of HCFCs in the aerosol sector in Article 5 countries. Regarding HFCs, o</w:t>
      </w:r>
      <w:r w:rsidRPr="00F61FD8">
        <w:t xml:space="preserve">ut of the 84 </w:t>
      </w:r>
      <w:r>
        <w:t>Article 5</w:t>
      </w:r>
      <w:r w:rsidRPr="00F61FD8">
        <w:t xml:space="preserve"> countries that reported consumption data in 2019 under the</w:t>
      </w:r>
      <w:r>
        <w:t>ir</w:t>
      </w:r>
      <w:r w:rsidRPr="00F61FD8">
        <w:t xml:space="preserve"> </w:t>
      </w:r>
      <w:r>
        <w:t xml:space="preserve">country programme implementation </w:t>
      </w:r>
      <w:r w:rsidRPr="00F61FD8">
        <w:t>report</w:t>
      </w:r>
      <w:r>
        <w:t>s</w:t>
      </w:r>
      <w:r w:rsidRPr="00F61FD8">
        <w:t xml:space="preserve">, </w:t>
      </w:r>
      <w:r>
        <w:t>nine</w:t>
      </w:r>
      <w:r w:rsidRPr="00F61FD8">
        <w:t xml:space="preserve"> </w:t>
      </w:r>
      <w:r>
        <w:t xml:space="preserve">countries </w:t>
      </w:r>
      <w:r w:rsidRPr="00F61FD8">
        <w:t>(</w:t>
      </w:r>
      <w:r>
        <w:t>six</w:t>
      </w:r>
      <w:r w:rsidRPr="00F61FD8">
        <w:t xml:space="preserve"> non-LVC </w:t>
      </w:r>
      <w:r>
        <w:t xml:space="preserve">countries </w:t>
      </w:r>
      <w:r w:rsidRPr="00F61FD8">
        <w:t>and three LVC</w:t>
      </w:r>
      <w:r>
        <w:t xml:space="preserve"> countries</w:t>
      </w:r>
      <w:r w:rsidRPr="00F61FD8">
        <w:t xml:space="preserve">) identified a total use of </w:t>
      </w:r>
      <w:r>
        <w:t>4</w:t>
      </w:r>
      <w:r w:rsidRPr="00F61FD8">
        <w:t>,</w:t>
      </w:r>
      <w:r>
        <w:t>291 </w:t>
      </w:r>
      <w:proofErr w:type="spellStart"/>
      <w:r w:rsidRPr="00F61FD8">
        <w:t>mt</w:t>
      </w:r>
      <w:proofErr w:type="spellEnd"/>
      <w:r w:rsidRPr="00F61FD8">
        <w:t xml:space="preserve"> of </w:t>
      </w:r>
      <w:r>
        <w:t>HFCs in the aerosol sector. Around 63 per cent of this corresponds to the consumption of HFC</w:t>
      </w:r>
      <w:r>
        <w:noBreakHyphen/>
        <w:t>152a in one country; the remaining consumption corresponds to HFC-134a, part of it in metered dose inhalers, where additional time would be required to develop an alternative technology.</w:t>
      </w:r>
    </w:p>
    <w:p w:rsidR="00FF6C2E" w:rsidRDefault="00FF6C2E" w:rsidP="005B04FB">
      <w:pPr>
        <w:pStyle w:val="Heading1"/>
        <w:widowControl w:val="0"/>
      </w:pPr>
      <w:r>
        <w:t xml:space="preserve">In addition, nine countries </w:t>
      </w:r>
      <w:r w:rsidRPr="009107B4">
        <w:t xml:space="preserve">(six non-LVC </w:t>
      </w:r>
      <w:r>
        <w:t xml:space="preserve">countries </w:t>
      </w:r>
      <w:r w:rsidRPr="009107B4">
        <w:t>and three LVC</w:t>
      </w:r>
      <w:r>
        <w:t xml:space="preserve"> countries</w:t>
      </w:r>
      <w:r w:rsidRPr="009107B4">
        <w:t xml:space="preserve">) reported </w:t>
      </w:r>
      <w:r>
        <w:t>the us</w:t>
      </w:r>
      <w:r w:rsidRPr="009107B4">
        <w:t>e</w:t>
      </w:r>
      <w:r>
        <w:t xml:space="preserve"> </w:t>
      </w:r>
      <w:r w:rsidRPr="009107B4">
        <w:t xml:space="preserve">of </w:t>
      </w:r>
      <w:r>
        <w:t>6,381 </w:t>
      </w:r>
      <w:proofErr w:type="spellStart"/>
      <w:r w:rsidRPr="009107B4">
        <w:t>mt</w:t>
      </w:r>
      <w:proofErr w:type="spellEnd"/>
      <w:r w:rsidRPr="009107B4">
        <w:t xml:space="preserve"> of HFCs in the </w:t>
      </w:r>
      <w:r>
        <w:t xml:space="preserve">fire-fighting sector, including 6,087 </w:t>
      </w:r>
      <w:proofErr w:type="spellStart"/>
      <w:r>
        <w:t>mt</w:t>
      </w:r>
      <w:proofErr w:type="spellEnd"/>
      <w:r>
        <w:t xml:space="preserve"> of HFC-227ea by one country. This use may need to be further examined as more data is collected. </w:t>
      </w:r>
    </w:p>
    <w:p w:rsidR="00FF6C2E" w:rsidRPr="00D463BB" w:rsidRDefault="00FF6C2E" w:rsidP="005B04FB">
      <w:pPr>
        <w:pStyle w:val="Heading1"/>
      </w:pPr>
      <w:r>
        <w:t xml:space="preserve">While HFC-23 is mainly a by-product generated </w:t>
      </w:r>
      <w:r w:rsidRPr="00D463BB">
        <w:t>during the production of HCFC-22 as opposed to an HFC imported and used by Article 5 countries, in 2019 ten Article 5 countries identified the use of 7.94 </w:t>
      </w:r>
      <w:proofErr w:type="spellStart"/>
      <w:r w:rsidRPr="00D463BB">
        <w:t>mt</w:t>
      </w:r>
      <w:proofErr w:type="spellEnd"/>
      <w:r w:rsidRPr="00D463BB">
        <w:t xml:space="preserve"> of HFC-23 in different applications, including refrigeration manufacturing, servicing and fire</w:t>
      </w:r>
      <w:r w:rsidRPr="00D463BB">
        <w:noBreakHyphen/>
        <w:t>fighting. Although the consumption is limited, the very high GWP (14,800) of HFC</w:t>
      </w:r>
      <w:r w:rsidRPr="00D463BB">
        <w:noBreakHyphen/>
        <w:t>23 might justify its phase-out as a priority. In order to avoid a potential increase in the consumption of HFC</w:t>
      </w:r>
      <w:r w:rsidRPr="00D463BB">
        <w:noBreakHyphen/>
        <w:t xml:space="preserve">23 in countries that are currently not consuming it, the Executive Committee </w:t>
      </w:r>
      <w:r w:rsidRPr="00D463BB">
        <w:rPr>
          <w:u w:val="single"/>
        </w:rPr>
        <w:t>may wish</w:t>
      </w:r>
      <w:r w:rsidRPr="00D463BB">
        <w:t>:</w:t>
      </w:r>
    </w:p>
    <w:p w:rsidR="00FF6C2E" w:rsidRPr="00D463BB" w:rsidRDefault="00FF6C2E" w:rsidP="00FF6C2E">
      <w:pPr>
        <w:pStyle w:val="Heading2"/>
        <w:numPr>
          <w:ilvl w:val="1"/>
          <w:numId w:val="1"/>
        </w:numPr>
      </w:pPr>
      <w:r w:rsidRPr="00D463BB">
        <w:t>To encourage Article 5 countries that do not have consumption of HFC-23 to consider establishing regulatory measures to avoid its introduction to the country; and</w:t>
      </w:r>
    </w:p>
    <w:p w:rsidR="00FF6C2E" w:rsidRPr="00D463BB" w:rsidRDefault="00FF6C2E" w:rsidP="00FF6C2E">
      <w:pPr>
        <w:pStyle w:val="Heading2"/>
        <w:numPr>
          <w:ilvl w:val="1"/>
          <w:numId w:val="1"/>
        </w:numPr>
      </w:pPr>
      <w:r w:rsidRPr="00D463BB">
        <w:t>To encourage Article 5 countries that have reported consumption of HFC-23 in fire</w:t>
      </w:r>
      <w:r w:rsidRPr="00D463BB">
        <w:noBreakHyphen/>
        <w:t>fighting and other niche applications, to address that consumption as a priority in their phase-down plans, noting the very high GWP of HFC-23.</w:t>
      </w:r>
    </w:p>
    <w:p w:rsidR="00FF6C2E" w:rsidRPr="00D463BB" w:rsidRDefault="00FF6C2E" w:rsidP="005B04FB">
      <w:pPr>
        <w:widowControl w:val="0"/>
        <w:spacing w:after="240"/>
        <w:outlineLvl w:val="0"/>
        <w:rPr>
          <w:i/>
        </w:rPr>
      </w:pPr>
      <w:r w:rsidRPr="00D463BB">
        <w:rPr>
          <w:i/>
        </w:rPr>
        <w:t>Summary of manufacturing sectors</w:t>
      </w:r>
    </w:p>
    <w:p w:rsidR="00FF6C2E" w:rsidRPr="00D463BB" w:rsidRDefault="00FF6C2E" w:rsidP="005B04FB">
      <w:pPr>
        <w:widowControl w:val="0"/>
        <w:numPr>
          <w:ilvl w:val="0"/>
          <w:numId w:val="1"/>
        </w:numPr>
        <w:spacing w:after="240"/>
        <w:outlineLvl w:val="0"/>
      </w:pPr>
      <w:r w:rsidRPr="00D463BB">
        <w:t>Annex II to the present document contains a summary table that presents an overview of the modalities of implementation of investment projects during the 2021-2030 period, based on information available so far. This analysis could evolve as more information becomes available on the consumption of HFCs and the availability of alternatives in different sectors.</w:t>
      </w:r>
    </w:p>
    <w:p w:rsidR="00FF6C2E" w:rsidRPr="006C5EE4" w:rsidRDefault="00FF6C2E" w:rsidP="005B04FB">
      <w:pPr>
        <w:keepNext/>
        <w:rPr>
          <w:b/>
        </w:rPr>
      </w:pPr>
      <w:r w:rsidRPr="00D463BB">
        <w:rPr>
          <w:b/>
        </w:rPr>
        <w:t>Integrated HCFC phase-out and HFC phase-down in the refrigeration</w:t>
      </w:r>
      <w:r w:rsidRPr="006C5EE4">
        <w:rPr>
          <w:b/>
        </w:rPr>
        <w:t xml:space="preserve"> servicing sector</w:t>
      </w:r>
    </w:p>
    <w:p w:rsidR="00FF6C2E" w:rsidRPr="006B6911" w:rsidRDefault="00FF6C2E" w:rsidP="005B04FB">
      <w:pPr>
        <w:keepNext/>
        <w:rPr>
          <w:highlight w:val="yellow"/>
        </w:rPr>
      </w:pPr>
    </w:p>
    <w:p w:rsidR="00FF6C2E" w:rsidRPr="004F0443" w:rsidRDefault="00FF6C2E" w:rsidP="005B04FB">
      <w:pPr>
        <w:pStyle w:val="Heading1"/>
        <w:keepNext/>
      </w:pPr>
      <w:r>
        <w:t xml:space="preserve">The </w:t>
      </w:r>
      <w:r w:rsidRPr="00097DE0">
        <w:t xml:space="preserve">majority of activities </w:t>
      </w:r>
      <w:r>
        <w:t xml:space="preserve">already </w:t>
      </w:r>
      <w:r w:rsidRPr="00097DE0">
        <w:t>being implemented</w:t>
      </w:r>
      <w:r>
        <w:t xml:space="preserve"> by Article 5 countries</w:t>
      </w:r>
      <w:r w:rsidRPr="00097DE0">
        <w:t xml:space="preserve"> in the refrigeration servicing sector</w:t>
      </w:r>
      <w:r>
        <w:rPr>
          <w:rStyle w:val="FootnoteReference"/>
        </w:rPr>
        <w:footnoteReference w:id="36"/>
      </w:r>
      <w:r w:rsidRPr="00097DE0">
        <w:t xml:space="preserve"> </w:t>
      </w:r>
      <w:r>
        <w:t xml:space="preserve">will have an impact on the reduction of consumption of </w:t>
      </w:r>
      <w:r w:rsidRPr="00097DE0">
        <w:t>HCFC</w:t>
      </w:r>
      <w:r>
        <w:t>s</w:t>
      </w:r>
      <w:r w:rsidRPr="00097DE0">
        <w:t xml:space="preserve"> </w:t>
      </w:r>
      <w:r>
        <w:t>a</w:t>
      </w:r>
      <w:r w:rsidRPr="00097DE0">
        <w:t>nd HFC</w:t>
      </w:r>
      <w:r>
        <w:t xml:space="preserve">s. The overlapping schedules of HCFC phase-out and HFC phase-down </w:t>
      </w:r>
      <w:r w:rsidRPr="00F730E1">
        <w:t>present</w:t>
      </w:r>
      <w:r>
        <w:t xml:space="preserve"> </w:t>
      </w:r>
      <w:r w:rsidRPr="00F730E1">
        <w:t xml:space="preserve">an opportunity </w:t>
      </w:r>
      <w:r>
        <w:t xml:space="preserve">for Article 5 </w:t>
      </w:r>
      <w:r>
        <w:lastRenderedPageBreak/>
        <w:t xml:space="preserve">countries to </w:t>
      </w:r>
      <w:r w:rsidRPr="00F730E1">
        <w:t xml:space="preserve">develop </w:t>
      </w:r>
      <w:r>
        <w:t>an integrated cost-</w:t>
      </w:r>
      <w:r w:rsidRPr="00F730E1">
        <w:t>effective strateg</w:t>
      </w:r>
      <w:r>
        <w:t>y</w:t>
      </w:r>
      <w:r w:rsidRPr="00F730E1">
        <w:t xml:space="preserve"> </w:t>
      </w:r>
      <w:r>
        <w:t xml:space="preserve">that addresses the reduction of both </w:t>
      </w:r>
      <w:r w:rsidRPr="00827629">
        <w:t>groups of substances</w:t>
      </w:r>
      <w:r>
        <w:t xml:space="preserve"> in the refrigeration servicing sector, which </w:t>
      </w:r>
      <w:r w:rsidRPr="004F0443">
        <w:t xml:space="preserve">would entail, </w:t>
      </w:r>
      <w:r w:rsidRPr="005A7496">
        <w:rPr>
          <w:i/>
        </w:rPr>
        <w:t>inter alia</w:t>
      </w:r>
      <w:r w:rsidRPr="00634E2F">
        <w:t>:</w:t>
      </w:r>
      <w:r w:rsidRPr="00634E2F">
        <w:rPr>
          <w:rStyle w:val="FootnoteReference"/>
        </w:rPr>
        <w:footnoteReference w:id="37"/>
      </w:r>
    </w:p>
    <w:p w:rsidR="00FF6C2E" w:rsidRDefault="00FF6C2E" w:rsidP="00FF6C2E">
      <w:pPr>
        <w:pStyle w:val="Heading2"/>
        <w:numPr>
          <w:ilvl w:val="1"/>
          <w:numId w:val="1"/>
        </w:numPr>
      </w:pPr>
      <w:r>
        <w:t>Developing, revising or adopting standards, codes and norms that could facilitate the adoption, operation and servicing of refrigeration technologies based on low</w:t>
      </w:r>
      <w:r>
        <w:noBreakHyphen/>
        <w:t>GWP refrigerants;</w:t>
      </w:r>
    </w:p>
    <w:p w:rsidR="00FF6C2E" w:rsidRDefault="00FF6C2E" w:rsidP="00FF6C2E">
      <w:pPr>
        <w:pStyle w:val="Heading2"/>
        <w:numPr>
          <w:ilvl w:val="1"/>
          <w:numId w:val="1"/>
        </w:numPr>
      </w:pPr>
      <w:r>
        <w:t xml:space="preserve">Strengthening regulatory frameworks for refrigerant management through </w:t>
      </w:r>
      <w:r>
        <w:rPr>
          <w:i/>
        </w:rPr>
        <w:t xml:space="preserve">inter alia </w:t>
      </w:r>
      <w:r>
        <w:t xml:space="preserve">certification of technicians; access to selling/buying refrigerants by trained/certified technicians, licensing of service enterprises/workshops; labelling of refrigerants, record keeping, monitoring and reporting; and capacity building for authorities and stakeholders; </w:t>
      </w:r>
    </w:p>
    <w:p w:rsidR="00FF6C2E" w:rsidRDefault="00FF6C2E" w:rsidP="00FF6C2E">
      <w:pPr>
        <w:pStyle w:val="Heading2"/>
        <w:numPr>
          <w:ilvl w:val="1"/>
          <w:numId w:val="1"/>
        </w:numPr>
      </w:pPr>
      <w:r>
        <w:t xml:space="preserve">Reviewing and periodically updating the curricula of the training programmes for customs and enforcement officers addressing the obligations under the Montreal Protocol including its Kigali Amendment; </w:t>
      </w:r>
    </w:p>
    <w:p w:rsidR="00FF6C2E" w:rsidRDefault="00FF6C2E" w:rsidP="00FF6C2E">
      <w:pPr>
        <w:pStyle w:val="Heading2"/>
        <w:numPr>
          <w:ilvl w:val="1"/>
          <w:numId w:val="1"/>
        </w:numPr>
      </w:pPr>
      <w:r>
        <w:t xml:space="preserve">Strengthening the capacity of vocational training systems and certification bodies by periodically reviewing the curricula of the training programmes to address good servicing practices and safety issues related to the flammability and/or toxicity of refrigerants being phased in; </w:t>
      </w:r>
    </w:p>
    <w:p w:rsidR="00FF6C2E" w:rsidRDefault="00FF6C2E" w:rsidP="00FF6C2E">
      <w:pPr>
        <w:pStyle w:val="Heading2"/>
        <w:widowControl/>
        <w:numPr>
          <w:ilvl w:val="1"/>
          <w:numId w:val="1"/>
        </w:numPr>
      </w:pPr>
      <w:r>
        <w:t xml:space="preserve">Developing or strengthening self-sustained refrigerant containment strategies to ensure that installed refrigeration equipment can continue operating until end-of-life; assessing </w:t>
      </w:r>
      <w:r w:rsidRPr="00B5592A">
        <w:t>the benefits and challenges of recovering, recycling and reclaiming refrigerants;</w:t>
      </w:r>
    </w:p>
    <w:p w:rsidR="00FF6C2E" w:rsidRPr="00D463BB" w:rsidRDefault="00FF6C2E" w:rsidP="00FF6C2E">
      <w:pPr>
        <w:pStyle w:val="Heading2"/>
        <w:numPr>
          <w:ilvl w:val="1"/>
          <w:numId w:val="1"/>
        </w:numPr>
      </w:pPr>
      <w:r>
        <w:t xml:space="preserve">Strengthening technical support for the assembly, installation and initial-refrigerant-charge sub-sector as it could </w:t>
      </w:r>
      <w:r w:rsidRPr="00D463BB">
        <w:t xml:space="preserve">influence the introduction of technologies in local markets; </w:t>
      </w:r>
    </w:p>
    <w:p w:rsidR="00FF6C2E" w:rsidRDefault="00FF6C2E" w:rsidP="00FF6C2E">
      <w:pPr>
        <w:pStyle w:val="Heading2"/>
        <w:numPr>
          <w:ilvl w:val="1"/>
          <w:numId w:val="1"/>
        </w:numPr>
      </w:pPr>
      <w:r w:rsidRPr="00D463BB">
        <w:t>Helping develop business models that would ensure the long-term sustainability of activities implemented in the refrigeration servicing sector, in particular recovering, recycling and reclaiming schemes and</w:t>
      </w:r>
      <w:r>
        <w:t xml:space="preserve"> end-user incentive schemes; and</w:t>
      </w:r>
    </w:p>
    <w:p w:rsidR="00FF6C2E" w:rsidRPr="00843125" w:rsidRDefault="00FF6C2E" w:rsidP="00FF6C2E">
      <w:pPr>
        <w:pStyle w:val="Heading2"/>
        <w:numPr>
          <w:ilvl w:val="1"/>
          <w:numId w:val="1"/>
        </w:numPr>
      </w:pPr>
      <w:r>
        <w:t xml:space="preserve">Strengthening RAC associations and </w:t>
      </w:r>
      <w:r w:rsidRPr="005B4D21">
        <w:t>ensur</w:t>
      </w:r>
      <w:r>
        <w:t xml:space="preserve">ing </w:t>
      </w:r>
      <w:r w:rsidRPr="005B4D21">
        <w:t xml:space="preserve">their </w:t>
      </w:r>
      <w:r w:rsidRPr="00843125">
        <w:t xml:space="preserve">engagement in the implementation of activities related to the sector. </w:t>
      </w:r>
    </w:p>
    <w:p w:rsidR="00FF6C2E" w:rsidRDefault="00FF6C2E" w:rsidP="005B04FB">
      <w:pPr>
        <w:pStyle w:val="Heading1"/>
      </w:pPr>
      <w:r>
        <w:t>The benefits associated with an integrated strategy in the refrigeration servicing sector include:</w:t>
      </w:r>
    </w:p>
    <w:p w:rsidR="00FF6C2E" w:rsidRDefault="00FF6C2E" w:rsidP="00FF6C2E">
      <w:pPr>
        <w:pStyle w:val="Heading2"/>
        <w:numPr>
          <w:ilvl w:val="1"/>
          <w:numId w:val="1"/>
        </w:numPr>
      </w:pPr>
      <w:r>
        <w:t>The possibility of strengthening the existing infrastructure and expanding it as needed, to facilitate the adoption of low-GWP technologies in a sustained way by spreading the plan over a long period, rather than focusing on isolated assistance projects to phase out one or two substances;</w:t>
      </w:r>
    </w:p>
    <w:p w:rsidR="00FF6C2E" w:rsidRDefault="00FF6C2E" w:rsidP="00FF6C2E">
      <w:pPr>
        <w:pStyle w:val="Heading2"/>
        <w:keepNext/>
        <w:widowControl/>
        <w:numPr>
          <w:ilvl w:val="1"/>
          <w:numId w:val="1"/>
        </w:numPr>
      </w:pPr>
      <w:r>
        <w:t>The possibility of combining the funding from HCFC phase-out and HFC phase-down to implement more comprehensive longer-term activities that will have a broader impact while benefiting both plans;</w:t>
      </w:r>
    </w:p>
    <w:p w:rsidR="00FF6C2E" w:rsidRDefault="00FF6C2E" w:rsidP="00FF6C2E">
      <w:pPr>
        <w:pStyle w:val="Heading2"/>
        <w:numPr>
          <w:ilvl w:val="1"/>
          <w:numId w:val="1"/>
        </w:numPr>
      </w:pPr>
      <w:r>
        <w:t>A lower number of synchronized tranches, with associated lower transaction costs for the preparation of reports, tranche funding requests and verifications;</w:t>
      </w:r>
    </w:p>
    <w:p w:rsidR="00FF6C2E" w:rsidRDefault="00FF6C2E" w:rsidP="00FF6C2E">
      <w:pPr>
        <w:pStyle w:val="Heading2"/>
        <w:numPr>
          <w:ilvl w:val="1"/>
          <w:numId w:val="1"/>
        </w:numPr>
      </w:pPr>
      <w:r>
        <w:t>Stronger and more cost-effective project management and implementation units, where needed; and</w:t>
      </w:r>
    </w:p>
    <w:p w:rsidR="00FF6C2E" w:rsidRDefault="00FF6C2E" w:rsidP="00FF6C2E">
      <w:pPr>
        <w:pStyle w:val="Heading2"/>
        <w:numPr>
          <w:ilvl w:val="1"/>
          <w:numId w:val="1"/>
        </w:numPr>
      </w:pPr>
      <w:r>
        <w:lastRenderedPageBreak/>
        <w:t>The possibility of formulating a more comprehensive plan that combines ozone and climate benefits that will have greater relevance and achieve better “buy-in” within the Government.</w:t>
      </w:r>
    </w:p>
    <w:p w:rsidR="00FF6C2E" w:rsidRPr="00FD768A" w:rsidRDefault="00FF6C2E" w:rsidP="005B04FB">
      <w:pPr>
        <w:pStyle w:val="Heading1"/>
        <w:widowControl w:val="0"/>
      </w:pPr>
      <w:r w:rsidRPr="00FD768A">
        <w:t>Document UNEP/OzL.Pro/ExCom/86/</w:t>
      </w:r>
      <w:r>
        <w:t>89</w:t>
      </w:r>
      <w:r w:rsidRPr="00FD768A">
        <w:t xml:space="preserve"> discusses the level and modality of funding in the refrigeration servicing sector for HFC phase-down, taking into consideration the need to integrate HCFC phase-out and HFC phase-down in the sector in a </w:t>
      </w:r>
      <w:r>
        <w:t>single</w:t>
      </w:r>
      <w:r w:rsidRPr="00FD768A">
        <w:t xml:space="preserve"> strategy that includes activities that benefit both, and that assist Article 5 countries </w:t>
      </w:r>
      <w:r>
        <w:t>in</w:t>
      </w:r>
      <w:r w:rsidRPr="00FD768A">
        <w:t xml:space="preserve"> build</w:t>
      </w:r>
      <w:r>
        <w:t>ing</w:t>
      </w:r>
      <w:r w:rsidRPr="00FD768A">
        <w:t xml:space="preserve"> the infrastructure for the sustained adoption of low-GWP alternatives. </w:t>
      </w:r>
    </w:p>
    <w:p w:rsidR="00FF6C2E" w:rsidRDefault="00FF6C2E" w:rsidP="005B04FB">
      <w:pPr>
        <w:pStyle w:val="Heading1"/>
        <w:keepNext/>
        <w:numPr>
          <w:ilvl w:val="0"/>
          <w:numId w:val="38"/>
        </w:numPr>
        <w:ind w:left="720"/>
        <w:rPr>
          <w:rFonts w:ascii="Times New Roman Bold" w:hAnsi="Times New Roman Bold"/>
          <w:b/>
          <w:caps/>
        </w:rPr>
      </w:pPr>
      <w:r w:rsidRPr="00DC3E65">
        <w:rPr>
          <w:rFonts w:ascii="Times New Roman Bold" w:hAnsi="Times New Roman Bold"/>
          <w:b/>
          <w:caps/>
        </w:rPr>
        <w:t>Overview of activities under HCFC phase</w:t>
      </w:r>
      <w:r w:rsidRPr="00DC3E65">
        <w:rPr>
          <w:rFonts w:ascii="Times New Roman Bold" w:hAnsi="Times New Roman Bold"/>
          <w:b/>
          <w:caps/>
        </w:rPr>
        <w:noBreakHyphen/>
        <w:t>out and HFC ph</w:t>
      </w:r>
      <w:r>
        <w:rPr>
          <w:rFonts w:ascii="Times New Roman Bold" w:hAnsi="Times New Roman Bold"/>
          <w:b/>
          <w:caps/>
        </w:rPr>
        <w:t>as</w:t>
      </w:r>
      <w:r w:rsidRPr="00DC3E65">
        <w:rPr>
          <w:rFonts w:ascii="Times New Roman Bold" w:hAnsi="Times New Roman Bold"/>
          <w:b/>
          <w:caps/>
        </w:rPr>
        <w:t>e</w:t>
      </w:r>
      <w:r w:rsidRPr="00DC3E65">
        <w:rPr>
          <w:rFonts w:ascii="Times New Roman Bold" w:hAnsi="Times New Roman Bold"/>
          <w:b/>
          <w:caps/>
        </w:rPr>
        <w:noBreakHyphen/>
        <w:t xml:space="preserve">down </w:t>
      </w:r>
    </w:p>
    <w:p w:rsidR="00FF6C2E" w:rsidRDefault="00FF6C2E" w:rsidP="005B04FB">
      <w:pPr>
        <w:pStyle w:val="Heading1"/>
      </w:pPr>
      <w:r>
        <w:t>The overlap between the national/terminal CFC phase-out plans and HPMPs was short, as most of the HPMPs started after 2010 when CFCs had already been totally phased out. In contrast, between 2021 and 2030, Article 5 countries will be simultaneously preparing and implementing multiple stages of HPMPs and stage I of HFC phase</w:t>
      </w:r>
      <w:r>
        <w:noBreakHyphen/>
        <w:t>down plans. Well-coordinated preparation and implementation of these plans would result in:</w:t>
      </w:r>
    </w:p>
    <w:p w:rsidR="00FF6C2E" w:rsidRDefault="00FF6C2E" w:rsidP="00FF6C2E">
      <w:pPr>
        <w:pStyle w:val="Heading2"/>
        <w:numPr>
          <w:ilvl w:val="1"/>
          <w:numId w:val="1"/>
        </w:numPr>
      </w:pPr>
      <w:r>
        <w:t>An overarching strategy that encompasses commonalities and interaction between HCFC phase-out and HFC phase-down activities and ensures that the country systematically avoids an increased consumption of HFCs due to the HCFC phase-out activities being implemented;</w:t>
      </w:r>
    </w:p>
    <w:p w:rsidR="00FF6C2E" w:rsidRDefault="00FF6C2E" w:rsidP="00FF6C2E">
      <w:pPr>
        <w:pStyle w:val="Heading2"/>
        <w:numPr>
          <w:ilvl w:val="1"/>
          <w:numId w:val="1"/>
        </w:numPr>
      </w:pPr>
      <w:r>
        <w:t>A policy and regulatory framework that work c</w:t>
      </w:r>
      <w:r w:rsidRPr="008205E8">
        <w:t>oherently to reduce the consumption of both HCFCs and HFCs;</w:t>
      </w:r>
    </w:p>
    <w:p w:rsidR="00FF6C2E" w:rsidRDefault="00FF6C2E" w:rsidP="00FF6C2E">
      <w:pPr>
        <w:pStyle w:val="Heading2"/>
        <w:numPr>
          <w:ilvl w:val="1"/>
          <w:numId w:val="1"/>
        </w:numPr>
      </w:pPr>
      <w:r>
        <w:t>An efficient use of Multilateral Fund resources when preparing and implementing activities, particularly</w:t>
      </w:r>
      <w:r w:rsidRPr="00544197">
        <w:t xml:space="preserve"> </w:t>
      </w:r>
      <w:r>
        <w:t>in the refrigeration servicing sector</w:t>
      </w:r>
      <w:r w:rsidRPr="00865B66">
        <w:t xml:space="preserve"> </w:t>
      </w:r>
      <w:r>
        <w:t xml:space="preserve">avoiding overlaps between the ongoing activities under the HPMP and the proposed activities under the HFC phase-down plan, giving due consideration to activities addressing the same stakeholders and institutions (e.g., refrigeration technicians, distributors, associations and training institutions); and </w:t>
      </w:r>
    </w:p>
    <w:p w:rsidR="00FF6C2E" w:rsidRDefault="00FF6C2E" w:rsidP="00FF6C2E">
      <w:pPr>
        <w:pStyle w:val="Heading2"/>
        <w:numPr>
          <w:ilvl w:val="1"/>
          <w:numId w:val="1"/>
        </w:numPr>
      </w:pPr>
      <w:r>
        <w:t>A more efficient administrative, reporting, verification and monitoring system for Article 5 countries, bilateral and implementing agencies, the Secretariat and the Executive Committee, avoiding duplication of reports and reducing the number of submissions for multiple stages and tranches running in parallel.</w:t>
      </w:r>
      <w:r>
        <w:rPr>
          <w:rStyle w:val="FootnoteReference"/>
        </w:rPr>
        <w:footnoteReference w:id="38"/>
      </w:r>
      <w:r>
        <w:t xml:space="preserve"> </w:t>
      </w:r>
    </w:p>
    <w:p w:rsidR="00FF6C2E" w:rsidRDefault="00FF6C2E" w:rsidP="005B04FB">
      <w:pPr>
        <w:pStyle w:val="Heading1"/>
      </w:pPr>
      <w:r w:rsidRPr="00875B27">
        <w:t>Based on the above, it is increasingly evident that having</w:t>
      </w:r>
      <w:r>
        <w:t xml:space="preserve"> a comprehensive national compliance strategy that consolidates a country’s approach to phasing out the remaining HCFCs and phasing down HFCs will be beneficial, as it will help </w:t>
      </w:r>
      <w:r w:rsidRPr="00875B27">
        <w:t>identify</w:t>
      </w:r>
      <w:r>
        <w:t xml:space="preserve"> </w:t>
      </w:r>
      <w:r w:rsidRPr="00875B27">
        <w:t>activities in a unified manner,</w:t>
      </w:r>
      <w:r>
        <w:t xml:space="preserve"> </w:t>
      </w:r>
      <w:r w:rsidRPr="00875B27">
        <w:t>reduc</w:t>
      </w:r>
      <w:r>
        <w:t>e</w:t>
      </w:r>
      <w:r w:rsidRPr="00875B27">
        <w:t xml:space="preserve"> overlaps in implementation</w:t>
      </w:r>
      <w:r>
        <w:t>,</w:t>
      </w:r>
      <w:r w:rsidRPr="00875B27">
        <w:t xml:space="preserve"> use resources </w:t>
      </w:r>
      <w:r>
        <w:t>more efficiently by streamlining reporting and monitoring,</w:t>
      </w:r>
      <w:r w:rsidRPr="00875B27">
        <w:t xml:space="preserve"> and </w:t>
      </w:r>
      <w:r>
        <w:t xml:space="preserve">enhance </w:t>
      </w:r>
      <w:r w:rsidRPr="00875B27">
        <w:t>delivery of services.</w:t>
      </w:r>
      <w:r>
        <w:t xml:space="preserve"> </w:t>
      </w:r>
    </w:p>
    <w:p w:rsidR="00FF6C2E" w:rsidRPr="00D60A58" w:rsidRDefault="00FF6C2E" w:rsidP="00BA11CC">
      <w:pPr>
        <w:pStyle w:val="Heading1"/>
        <w:widowControl w:val="0"/>
      </w:pPr>
      <w:r w:rsidRPr="00D60A58">
        <w:t xml:space="preserve">For </w:t>
      </w:r>
      <w:r>
        <w:t xml:space="preserve">Article 5 </w:t>
      </w:r>
      <w:r w:rsidRPr="00D60A58">
        <w:t xml:space="preserve">countries where the entirety of HCFC and HFC consumption is in the refrigeration servicing sector, </w:t>
      </w:r>
      <w:r>
        <w:t xml:space="preserve">doing an </w:t>
      </w:r>
      <w:r w:rsidRPr="00D60A58">
        <w:t xml:space="preserve">integrated strategy would be </w:t>
      </w:r>
      <w:r>
        <w:t>the ideal approach to meet their compliance targets under the Montreal Protocol</w:t>
      </w:r>
      <w:r w:rsidRPr="00D60A58">
        <w:t xml:space="preserve">. </w:t>
      </w:r>
      <w:r>
        <w:t>Those Article 5 countries</w:t>
      </w:r>
      <w:r w:rsidRPr="00D60A58">
        <w:t xml:space="preserve"> with consumption in other sectors can also benefit from an integrated strategy. </w:t>
      </w:r>
      <w:r>
        <w:t xml:space="preserve">The following section provides ideas on ways to implement this integration in </w:t>
      </w:r>
      <w:r>
        <w:lastRenderedPageBreak/>
        <w:t>an efficient manner.</w:t>
      </w:r>
    </w:p>
    <w:p w:rsidR="00FF6C2E" w:rsidRDefault="00FF6C2E" w:rsidP="005B04FB">
      <w:pPr>
        <w:pStyle w:val="Heading1"/>
        <w:numPr>
          <w:ilvl w:val="0"/>
          <w:numId w:val="0"/>
        </w:numPr>
        <w:rPr>
          <w:b/>
        </w:rPr>
      </w:pPr>
      <w:r w:rsidRPr="00791FBD">
        <w:rPr>
          <w:b/>
        </w:rPr>
        <w:t>Integrated compliance strategy for HCFCs and HFCs</w:t>
      </w:r>
    </w:p>
    <w:p w:rsidR="00FF6C2E" w:rsidRDefault="00FF6C2E" w:rsidP="005B04FB">
      <w:pPr>
        <w:pStyle w:val="Heading1"/>
        <w:widowControl w:val="0"/>
      </w:pPr>
      <w:r>
        <w:t>Currently, all Article 5 countries are implementing various stages of their HPMPs,</w:t>
      </w:r>
      <w:r>
        <w:rPr>
          <w:rStyle w:val="FootnoteReference"/>
        </w:rPr>
        <w:footnoteReference w:id="39"/>
      </w:r>
      <w:r>
        <w:t xml:space="preserve"> and by 2030, all Article 5 countries will have phased out their HCFC consumption except for the amounts needed for the servicing tail.</w:t>
      </w:r>
      <w:r>
        <w:rPr>
          <w:rStyle w:val="FootnoteReference"/>
        </w:rPr>
        <w:footnoteReference w:id="40"/>
      </w:r>
      <w:r>
        <w:t xml:space="preserve"> Therefore, during the period from 2021 to 2030, there is a high probability that most Article 5 countries will be simultaneously implementing their HPMPs and stage I of their HFC phase-down plans. After 2030, Article 5 countries will be exclusively implementing activities to phase down HFCs for another 15 years, while the sustainability of the HCFC phase</w:t>
      </w:r>
      <w:r>
        <w:noBreakHyphen/>
        <w:t>out continues to be monitored, including compliance with the HCFC servicing tail where applicable. However, the initial 2021-2030 transition period is of critical importance given the linkages between HCFCs and HFCs.</w:t>
      </w:r>
    </w:p>
    <w:p w:rsidR="00FF6C2E" w:rsidRPr="00D463BB" w:rsidRDefault="00FF6C2E" w:rsidP="005B04FB">
      <w:pPr>
        <w:pStyle w:val="Heading1"/>
      </w:pPr>
      <w:r>
        <w:t xml:space="preserve">The preparation of stage I of HFC phase-down plans will include </w:t>
      </w:r>
      <w:r w:rsidRPr="00E72C15">
        <w:t xml:space="preserve">activities </w:t>
      </w:r>
      <w:r>
        <w:t xml:space="preserve">similar to those </w:t>
      </w:r>
      <w:r w:rsidRPr="00E72C15">
        <w:t xml:space="preserve">completed for HPMP </w:t>
      </w:r>
      <w:r w:rsidRPr="00D463BB">
        <w:t>development, namely establishing regulatory measures, conducting comprehensive surveys of HFC consumption by sector, designing an overarching strategy for HFC phase-down, and formulating a concrete set of activities for the first stage of the plan. In addition, during the preparation of their HFC phase-down plans Article 5 countries will need to carefully consider the interlinkages between HCFC phase-out and HFC phase-down, for example: how the existing HPMP infrastructure could be used for HFC phase-down; how the ongoing HCFC phase</w:t>
      </w:r>
      <w:r w:rsidRPr="00D463BB">
        <w:noBreakHyphen/>
        <w:t>out activities affect HFC consumption; and how to implement activities that contribute to both HCFC phase</w:t>
      </w:r>
      <w:r w:rsidRPr="00D463BB">
        <w:noBreakHyphen/>
        <w:t xml:space="preserve">out and HFC phase-down. </w:t>
      </w:r>
    </w:p>
    <w:p w:rsidR="00FF6C2E" w:rsidRPr="00A42E6D" w:rsidRDefault="00FF6C2E" w:rsidP="009F18B9">
      <w:pPr>
        <w:pStyle w:val="Heading1"/>
        <w:widowControl w:val="0"/>
      </w:pPr>
      <w:r w:rsidRPr="00D463BB">
        <w:t>At the time of the inception of the Multilateral Fund, Article 5 countries had the opportunity to prepare a country programme,</w:t>
      </w:r>
      <w:r w:rsidRPr="00D463BB">
        <w:rPr>
          <w:rStyle w:val="FootnoteReference"/>
        </w:rPr>
        <w:footnoteReference w:id="41"/>
      </w:r>
      <w:r w:rsidRPr="00D463BB">
        <w:t xml:space="preserve"> which contained a comprehensive national strategy to address the phase</w:t>
      </w:r>
      <w:r w:rsidRPr="00D463BB">
        <w:noBreakHyphen/>
        <w:t>out of several groups of substances in different sectors</w:t>
      </w:r>
      <w:r>
        <w:t xml:space="preserve">. During the phase-out of HCFCs, the concept of the “country programme” was replaced by the HPMP as </w:t>
      </w:r>
      <w:r w:rsidRPr="00A42E6D">
        <w:t xml:space="preserve">HCFCs became over time the only controlled substance for Article 5 countries. The main difference between the country programme and the HPMP is that the former remained largely a strategic document, while the latter became </w:t>
      </w:r>
      <w:r>
        <w:t xml:space="preserve">a combined strategic and </w:t>
      </w:r>
      <w:r w:rsidRPr="00A42E6D">
        <w:t>multi-year funding document supported by a performance</w:t>
      </w:r>
      <w:r w:rsidRPr="00A42E6D">
        <w:noBreakHyphen/>
        <w:t xml:space="preserve">based agreement to fund projects and activities to phase out </w:t>
      </w:r>
      <w:r>
        <w:t xml:space="preserve">a determined amount of </w:t>
      </w:r>
      <w:r w:rsidRPr="00A42E6D">
        <w:t xml:space="preserve">HCFCs. In the case of the country programme, the projects identified therein still had to be submitted for approval and were funded </w:t>
      </w:r>
      <w:r>
        <w:t xml:space="preserve">as stand-alone projects or as a </w:t>
      </w:r>
      <w:r w:rsidRPr="00A42E6D">
        <w:t>sector</w:t>
      </w:r>
      <w:r>
        <w:t>/ sub</w:t>
      </w:r>
      <w:r>
        <w:noBreakHyphen/>
        <w:t>sector plan</w:t>
      </w:r>
      <w:r w:rsidRPr="00A42E6D">
        <w:t>.</w:t>
      </w:r>
    </w:p>
    <w:p w:rsidR="00FF6C2E" w:rsidRPr="00A42E6D" w:rsidRDefault="00FF6C2E" w:rsidP="005B04FB">
      <w:pPr>
        <w:pStyle w:val="Heading1"/>
      </w:pPr>
      <w:r w:rsidRPr="00A42E6D">
        <w:t xml:space="preserve">Currently, it appears increasingly necessary to have a comprehensive compliance strategy that describes the country’s blueprint for meeting the compliance targets with the production and consumption of two groups of substances that relate to each other (i.e., HCFCs and HFCs), and that proposes activities that will have an impact on both, either in an integrated manner where possible, or in parallel. </w:t>
      </w:r>
    </w:p>
    <w:p w:rsidR="00FF6C2E" w:rsidRPr="00A42E6D" w:rsidRDefault="00FF6C2E" w:rsidP="005B04FB">
      <w:pPr>
        <w:pStyle w:val="Heading1"/>
      </w:pPr>
      <w:r w:rsidRPr="00A42E6D">
        <w:t>An integrated compliance strategy (which would take elements from the former country programmes and the HPMP overarching strategies) could help Article 5 countries plan and ensure an efficient and coordinated implementation of HCFC phase-out and HFC phase</w:t>
      </w:r>
      <w:r w:rsidRPr="00A42E6D">
        <w:noBreakHyphen/>
        <w:t xml:space="preserve">down in line with their </w:t>
      </w:r>
      <w:r w:rsidRPr="00A42E6D">
        <w:lastRenderedPageBreak/>
        <w:t xml:space="preserve">national circumstances and priorities. In particular, it could help Article 5 countries avoid duplication or lack of coordination between the activities intended to phase out HCFC and those intended to phase down HFCs; combine resources from the HPMP and the HFC phase-down plans to implement meaningful activities with larger impact in those areas where such integration is possible (e.g., the refrigeration servicing sector); and plan the HFC phase-down Agreement taking into account the ongoing HPMP Agreement so as to avoid unnecessary increased administrative, monitoring, reporting and verification burden of implementing two multiyear agreements. </w:t>
      </w:r>
    </w:p>
    <w:p w:rsidR="00FF6C2E" w:rsidRPr="00A42E6D" w:rsidRDefault="00FF6C2E" w:rsidP="005B04FB">
      <w:pPr>
        <w:pStyle w:val="Heading1"/>
      </w:pPr>
      <w:r w:rsidRPr="00A42E6D">
        <w:t>It is proposed that the integrated compliance strategy be a concise document that would be submitted along with stage I of the HFC phase-down plan and would include the Government’s commitment to harmonize the phase-out of HCFCs and the phase-down of HFC consumption to the extent possible; the schedule of HCFC reductions (as per ongoing Agreements</w:t>
      </w:r>
      <w:r>
        <w:t xml:space="preserve"> for HPMPs</w:t>
      </w:r>
      <w:r w:rsidRPr="00A42E6D">
        <w:t>) and proposed HFC reductions up to 2030; the proposed HFC phase-down plan tranches synchronized with the HPMP tranches up to 2030; the approach, measures and activities proposed to avoid increases in HFC consumption resulting from implementation of the HPMP; and a plan on how to combine ongoing activities under the HPMP with the proposed HFC phase-down plan for those sectors where the integrated implementation of HCFC phase</w:t>
      </w:r>
      <w:r>
        <w:noBreakHyphen/>
      </w:r>
      <w:r w:rsidRPr="00A42E6D">
        <w:t>out and HFC phase-down is possible.</w:t>
      </w:r>
      <w:r>
        <w:t xml:space="preserve"> </w:t>
      </w:r>
    </w:p>
    <w:p w:rsidR="00FF6C2E" w:rsidRPr="00A42E6D" w:rsidRDefault="00FF6C2E" w:rsidP="005B04FB">
      <w:pPr>
        <w:pStyle w:val="Heading1"/>
      </w:pPr>
      <w:r w:rsidRPr="00A42E6D">
        <w:t>Specifically, for the refrigeration servicing sector, noting that many of the activities are expected to serve both HCFC phase-out and HFC phase-down and that activities in the latter should be formulated in light of those ongoing under the HPMPs, the integrated compliance strategy should include an overview of how this sector will be addressed to ensure both HCFC phase-out and HFC phase-down in a complementary way avoiding overlaps of activities, and how the two sources of funding (HPMP and HFC phase</w:t>
      </w:r>
      <w:r>
        <w:noBreakHyphen/>
      </w:r>
      <w:r w:rsidRPr="00A42E6D">
        <w:t xml:space="preserve">down plan) will be used/combined during the implementation of these activities. </w:t>
      </w:r>
    </w:p>
    <w:p w:rsidR="00FF6C2E" w:rsidRPr="004D4036" w:rsidRDefault="00FF6C2E" w:rsidP="005B04FB">
      <w:pPr>
        <w:pStyle w:val="Heading1"/>
      </w:pPr>
      <w:r w:rsidRPr="00A42E6D">
        <w:t xml:space="preserve">While the integrated compliance strategy presents an overview of the way HCFC phase-out and HFC phase-down will be implemented in a coordinated manner, it is also considered a guiding document that will help the Executive Committee consider the HFC phase-down plan in light of the ongoing activities under the HPMPs, and have a better understanding of how these activities will be integrated where possible, or implemented in parallel. The implementation of the HPMP activities will continue to be governed by the Agreement </w:t>
      </w:r>
      <w:r>
        <w:t xml:space="preserve">between the Government of the Article 5 country concerned and </w:t>
      </w:r>
      <w:r w:rsidRPr="00A42E6D">
        <w:t xml:space="preserve">the Executive Committee </w:t>
      </w:r>
      <w:r>
        <w:t>(</w:t>
      </w:r>
      <w:r w:rsidRPr="00A42E6D">
        <w:t>based on the template approved at the 76</w:t>
      </w:r>
      <w:r w:rsidRPr="00A42E6D">
        <w:rPr>
          <w:vertAlign w:val="superscript"/>
        </w:rPr>
        <w:t>th</w:t>
      </w:r>
      <w:r w:rsidRPr="00A42E6D">
        <w:t> meeting</w:t>
      </w:r>
      <w:r>
        <w:t>)</w:t>
      </w:r>
      <w:r w:rsidRPr="00A42E6D">
        <w:t xml:space="preserve">. The HFC phase-down plan Agreement has yet to be </w:t>
      </w:r>
      <w:r>
        <w:t xml:space="preserve">prepared </w:t>
      </w:r>
      <w:r w:rsidRPr="00A42E6D">
        <w:t xml:space="preserve">and will differ from the Agreement </w:t>
      </w:r>
      <w:r>
        <w:t xml:space="preserve">for HPMP </w:t>
      </w:r>
      <w:r w:rsidRPr="00A42E6D">
        <w:t xml:space="preserve">in terms of </w:t>
      </w:r>
      <w:r>
        <w:rPr>
          <w:i/>
        </w:rPr>
        <w:t xml:space="preserve">inter alia </w:t>
      </w:r>
      <w:r w:rsidRPr="00A42E6D">
        <w:t>consumption schedules and performance metrics (i.e., ODP tonnes vs CO</w:t>
      </w:r>
      <w:r w:rsidRPr="00A42E6D">
        <w:rPr>
          <w:vertAlign w:val="subscript"/>
        </w:rPr>
        <w:t xml:space="preserve">2 </w:t>
      </w:r>
      <w:r w:rsidRPr="00A42E6D">
        <w:t xml:space="preserve">equivalent), verification requirements, and </w:t>
      </w:r>
      <w:r>
        <w:t>policies on HFC that the Executive Committee might wish to adopt</w:t>
      </w:r>
      <w:r w:rsidRPr="004D4036">
        <w:t>. Therefore, at this stage it would be premature to consider whether these agreements could be merged. However, the integrated compliance strategy could help Article 5 countries plan in a way to ensure that the operation of both agreements is synchronized to the extent possible, that tranches for HPMPs and HFC phase-down plans are submitted simultaneously and associated verifications cover both HCFC and HFC, and that administrative and reporting efforts are rationalized. While preparing their HFC phase-down plans, Article 5 countries could use the format for the integrated compliance strategy as presented in Annex III to the present document.</w:t>
      </w:r>
    </w:p>
    <w:p w:rsidR="00FF6C2E" w:rsidRPr="004D4036" w:rsidRDefault="00FF6C2E" w:rsidP="005B04FB">
      <w:pPr>
        <w:pStyle w:val="Heading1"/>
      </w:pPr>
      <w:r w:rsidRPr="004D4036">
        <w:t>As discussed in Section I of the present document, in addition to the integration of activities in the refrigeration servicing sector, the Secretariat is also proposing the consideration of the preparation and implementation of investment projects in sectors where there are already established alternatives, in order that such projects would help limit the growth of HFC consumption and/or achieve sustained reductions in HFC consumption while the HFC phase</w:t>
      </w:r>
      <w:r w:rsidRPr="004D4036">
        <w:noBreakHyphen/>
        <w:t>down plans are being prepared and initiated, on the understanding that these projects would be integrated in stage I of the HFC phase-down plans once they are submitted and approved by the Executive Committee.</w:t>
      </w:r>
    </w:p>
    <w:p w:rsidR="00FF6C2E" w:rsidRPr="00A42E6D" w:rsidRDefault="00FF6C2E" w:rsidP="005B04FB">
      <w:pPr>
        <w:pStyle w:val="Heading1"/>
      </w:pPr>
      <w:r w:rsidRPr="00A42E6D">
        <w:t xml:space="preserve">The Executive Committee </w:t>
      </w:r>
      <w:r w:rsidRPr="00A42E6D">
        <w:rPr>
          <w:u w:val="single"/>
        </w:rPr>
        <w:t>may wish</w:t>
      </w:r>
      <w:r w:rsidRPr="00A42E6D">
        <w:t xml:space="preserve"> to request Article 5 countries formulating HFC phase</w:t>
      </w:r>
      <w:r w:rsidRPr="00A42E6D">
        <w:noBreakHyphen/>
        <w:t>down plans, to submit along with the HFC phase-down plans an integrated compliance strategy that will provide the overarching strategy to integrate HCFC phase-out and HFC phase-down up to 2030, containing:</w:t>
      </w:r>
    </w:p>
    <w:p w:rsidR="00FF6C2E" w:rsidRPr="00A42E6D" w:rsidRDefault="00FF6C2E" w:rsidP="00FF6C2E">
      <w:pPr>
        <w:pStyle w:val="Heading2"/>
        <w:numPr>
          <w:ilvl w:val="1"/>
          <w:numId w:val="1"/>
        </w:numPr>
      </w:pPr>
      <w:r w:rsidRPr="00A42E6D">
        <w:lastRenderedPageBreak/>
        <w:t>The Government’s commitment to harmonize the phase-out of HCFCs and phase</w:t>
      </w:r>
      <w:r w:rsidRPr="00A42E6D">
        <w:noBreakHyphen/>
        <w:t xml:space="preserve">down </w:t>
      </w:r>
      <w:r>
        <w:t xml:space="preserve">of </w:t>
      </w:r>
      <w:r w:rsidRPr="00A42E6D">
        <w:t xml:space="preserve">HFC consumption; </w:t>
      </w:r>
    </w:p>
    <w:p w:rsidR="00FF6C2E" w:rsidRDefault="00FF6C2E" w:rsidP="00FF6C2E">
      <w:pPr>
        <w:pStyle w:val="Heading2"/>
        <w:numPr>
          <w:ilvl w:val="1"/>
          <w:numId w:val="1"/>
        </w:numPr>
      </w:pPr>
      <w:r>
        <w:t>A schedule of the proposed maximum allowable consumption of HCFC and HFC up to 2030;</w:t>
      </w:r>
    </w:p>
    <w:p w:rsidR="00FF6C2E" w:rsidRDefault="00FF6C2E" w:rsidP="00FF6C2E">
      <w:pPr>
        <w:pStyle w:val="Heading2"/>
        <w:numPr>
          <w:ilvl w:val="1"/>
          <w:numId w:val="1"/>
        </w:numPr>
      </w:pPr>
      <w:r>
        <w:t>The proposed synchronized tranches for the HPMP and the HFC phase-down plan up to 2030;</w:t>
      </w:r>
    </w:p>
    <w:p w:rsidR="00FF6C2E" w:rsidRDefault="00FF6C2E" w:rsidP="00FF6C2E">
      <w:pPr>
        <w:pStyle w:val="Heading2"/>
        <w:numPr>
          <w:ilvl w:val="1"/>
          <w:numId w:val="1"/>
        </w:numPr>
      </w:pPr>
      <w:r>
        <w:t xml:space="preserve">A statement of the </w:t>
      </w:r>
      <w:r w:rsidRPr="00ED6A3B">
        <w:t xml:space="preserve">approach, </w:t>
      </w:r>
      <w:r>
        <w:t xml:space="preserve">and specific </w:t>
      </w:r>
      <w:r w:rsidRPr="00ED6A3B">
        <w:t xml:space="preserve">measures and activities proposed </w:t>
      </w:r>
      <w:r>
        <w:t>to control increases in HFC consumption, including those resulting from implementation of the HPMP; and</w:t>
      </w:r>
    </w:p>
    <w:p w:rsidR="00FF6C2E" w:rsidRDefault="00FF6C2E" w:rsidP="00FF6C2E">
      <w:pPr>
        <w:pStyle w:val="Heading2"/>
        <w:numPr>
          <w:ilvl w:val="1"/>
          <w:numId w:val="1"/>
        </w:numPr>
      </w:pPr>
      <w:r>
        <w:t>Identification of sectors or applications in the country where:</w:t>
      </w:r>
    </w:p>
    <w:p w:rsidR="00FF6C2E" w:rsidRPr="00F052B0" w:rsidRDefault="00FF6C2E" w:rsidP="00FF6C2E">
      <w:pPr>
        <w:pStyle w:val="Heading3"/>
        <w:numPr>
          <w:ilvl w:val="2"/>
          <w:numId w:val="1"/>
        </w:numPr>
      </w:pPr>
      <w:r>
        <w:t xml:space="preserve">Integrated </w:t>
      </w:r>
      <w:r w:rsidRPr="00F052B0">
        <w:t>implementation of HCFC phase-out and HFC phase-down is possible, such as the refrigeration servicing sector, including a plan to combine ongoing activities under the H</w:t>
      </w:r>
      <w:r>
        <w:t>PMP</w:t>
      </w:r>
      <w:r w:rsidRPr="00F052B0">
        <w:t xml:space="preserve"> with the proposed HFC phase</w:t>
      </w:r>
      <w:r w:rsidRPr="00F052B0">
        <w:noBreakHyphen/>
        <w:t>down plan; and</w:t>
      </w:r>
    </w:p>
    <w:p w:rsidR="00FF6C2E" w:rsidRPr="00F052B0" w:rsidRDefault="00FF6C2E" w:rsidP="00FF6C2E">
      <w:pPr>
        <w:pStyle w:val="Heading3"/>
        <w:widowControl/>
        <w:numPr>
          <w:ilvl w:val="2"/>
          <w:numId w:val="1"/>
        </w:numPr>
      </w:pPr>
      <w:r w:rsidRPr="00F052B0">
        <w:t>HFC phase-down cannot not be integrated with ongoing HCFC phase–out and therefore needs to be implemented separately, whether in parallel to HCFC</w:t>
      </w:r>
      <w:r>
        <w:t> </w:t>
      </w:r>
      <w:r w:rsidRPr="00F052B0">
        <w:t>phase</w:t>
      </w:r>
      <w:r>
        <w:noBreakHyphen/>
      </w:r>
      <w:r w:rsidRPr="00F052B0">
        <w:t>out or sequentially after HCFC phase-out.</w:t>
      </w:r>
    </w:p>
    <w:p w:rsidR="00FF6C2E" w:rsidRPr="00F052B0" w:rsidRDefault="00FF6C2E" w:rsidP="005B04FB">
      <w:pPr>
        <w:rPr>
          <w:b/>
        </w:rPr>
      </w:pPr>
      <w:r w:rsidRPr="00F052B0">
        <w:rPr>
          <w:b/>
        </w:rPr>
        <w:t xml:space="preserve">Recommendation </w:t>
      </w:r>
    </w:p>
    <w:p w:rsidR="00FF6C2E" w:rsidRDefault="00FF6C2E" w:rsidP="005B04FB">
      <w:pPr>
        <w:rPr>
          <w:i/>
          <w:highlight w:val="yellow"/>
          <w:u w:val="single"/>
        </w:rPr>
      </w:pPr>
    </w:p>
    <w:p w:rsidR="00FF6C2E" w:rsidRPr="004E14F5" w:rsidRDefault="00FF6C2E" w:rsidP="005B04FB">
      <w:pPr>
        <w:rPr>
          <w:b/>
          <w:i/>
          <w:u w:val="single"/>
        </w:rPr>
      </w:pPr>
      <w:r w:rsidRPr="004E14F5">
        <w:rPr>
          <w:b/>
          <w:i/>
          <w:u w:val="single"/>
        </w:rPr>
        <w:t>Secretariat’s observation</w:t>
      </w:r>
    </w:p>
    <w:p w:rsidR="00FF6C2E" w:rsidRPr="00857768" w:rsidRDefault="00FF6C2E" w:rsidP="005B04FB">
      <w:pPr>
        <w:rPr>
          <w:b/>
          <w:highlight w:val="yellow"/>
        </w:rPr>
      </w:pPr>
    </w:p>
    <w:p w:rsidR="00FF6C2E" w:rsidRPr="00607B83" w:rsidRDefault="00FF6C2E" w:rsidP="005B04FB">
      <w:pPr>
        <w:pStyle w:val="Heading1"/>
        <w:rPr>
          <w:b/>
        </w:rPr>
      </w:pPr>
      <w:r w:rsidRPr="00857768">
        <w:rPr>
          <w:b/>
        </w:rPr>
        <w:t xml:space="preserve">In light of the guidelines </w:t>
      </w:r>
      <w:r w:rsidRPr="00607B83">
        <w:rPr>
          <w:b/>
        </w:rPr>
        <w:t>for the preparation of KIPs for Article 5 countries agreed at the 87</w:t>
      </w:r>
      <w:r w:rsidRPr="00607B83">
        <w:rPr>
          <w:b/>
          <w:vertAlign w:val="superscript"/>
        </w:rPr>
        <w:t>th</w:t>
      </w:r>
      <w:r w:rsidRPr="00607B83">
        <w:rPr>
          <w:b/>
        </w:rPr>
        <w:t> meeting, the Executive Committee may wish to note the following observations when considering the recommendation contained in paragraph 85 below:</w:t>
      </w:r>
    </w:p>
    <w:p w:rsidR="00FF6C2E" w:rsidRPr="00607B83" w:rsidRDefault="00FF6C2E" w:rsidP="005B04FB">
      <w:pPr>
        <w:pStyle w:val="Heading2"/>
        <w:numPr>
          <w:ilvl w:val="1"/>
          <w:numId w:val="21"/>
        </w:numPr>
        <w:rPr>
          <w:b/>
        </w:rPr>
      </w:pPr>
      <w:r w:rsidRPr="00607B83">
        <w:rPr>
          <w:b/>
          <w:i/>
        </w:rPr>
        <w:t>Paragraphs (a) to (h):</w:t>
      </w:r>
      <w:r w:rsidRPr="00607B83">
        <w:rPr>
          <w:b/>
        </w:rPr>
        <w:t xml:space="preserve"> The present document discusses</w:t>
      </w:r>
      <w:r>
        <w:rPr>
          <w:b/>
        </w:rPr>
        <w:t>,</w:t>
      </w:r>
      <w:r w:rsidRPr="00607B83">
        <w:rPr>
          <w:b/>
        </w:rPr>
        <w:t xml:space="preserve"> in paragraphs 39 to 63</w:t>
      </w:r>
      <w:r>
        <w:rPr>
          <w:b/>
        </w:rPr>
        <w:t>,</w:t>
      </w:r>
      <w:r w:rsidRPr="00607B83">
        <w:rPr>
          <w:b/>
        </w:rPr>
        <w:t xml:space="preserve"> potential opportunities for projects and activities in several manufacturing sectors that could be integrated within stage I of the KIPs, and in some cases that could be implemented before the process of preparation of the KIP is completed. On this regard, decision 87/50 </w:t>
      </w:r>
      <w:r w:rsidRPr="00607B83">
        <w:rPr>
          <w:b/>
          <w:i/>
        </w:rPr>
        <w:t xml:space="preserve">inter alia </w:t>
      </w:r>
      <w:r w:rsidRPr="00607B83">
        <w:rPr>
          <w:b/>
        </w:rPr>
        <w:t>in its paragraph (e) allows Article 5 countries to implement individual HFC investment projects in advance of the submission of stage I of the KIPs, and in its paragraph (f) establishes level of funds to be approved for the preparation of such investment projects. These two paragraphs of decision 87/50, comprise all those potential opportunities identified in the present document, as well as others that may have not been identified. Thus, the information on the manufacturing sectors contained in the present document, can serve as a reference for Article 5 countries to determine their own priorities based on their national circumstances and in line with the flexibility inherent in decision</w:t>
      </w:r>
      <w:r>
        <w:rPr>
          <w:b/>
        </w:rPr>
        <w:t> </w:t>
      </w:r>
      <w:r w:rsidRPr="00607B83">
        <w:rPr>
          <w:b/>
        </w:rPr>
        <w:t>XXVIII/2. Accordingly, the Committee may wish to decide whether it would consider necessary to have individual decisions for each sector as presented in paragraphs (a) to (h) of the recommendation in the present document, or if paragraphs (e) and (f) of decision 87/50 are sufficient to cover all possible individual investment projects in the manufacturing sector, on the understanding that each project would be considered on a case-by-case basis; and</w:t>
      </w:r>
    </w:p>
    <w:p w:rsidR="00FF6C2E" w:rsidRPr="00857768" w:rsidRDefault="00FF6C2E" w:rsidP="00FF6C2E">
      <w:pPr>
        <w:pStyle w:val="Heading2"/>
        <w:numPr>
          <w:ilvl w:val="1"/>
          <w:numId w:val="1"/>
        </w:numPr>
        <w:rPr>
          <w:b/>
        </w:rPr>
      </w:pPr>
      <w:r w:rsidRPr="00607B83">
        <w:rPr>
          <w:b/>
          <w:i/>
        </w:rPr>
        <w:t>Paragraph (k):</w:t>
      </w:r>
      <w:r w:rsidRPr="00607B83">
        <w:rPr>
          <w:b/>
        </w:rPr>
        <w:t xml:space="preserve"> The present document discusses in paragraphs 68 to 70 the opportunities for integrated HCFC phase-out and HFC phase-down in the </w:t>
      </w:r>
      <w:r w:rsidRPr="00607B83">
        <w:rPr>
          <w:b/>
        </w:rPr>
        <w:lastRenderedPageBreak/>
        <w:t>refrigeration servicing sector, noting that the majority of activities being implemented by Article 5 countries in this sector will have an impact on the reduction of consumption of HCFCs and HFCs. In paragraphs 71 to 83, the document discusses the need for preparing an integrated</w:t>
      </w:r>
      <w:r w:rsidRPr="00857768">
        <w:rPr>
          <w:b/>
        </w:rPr>
        <w:t xml:space="preserve"> compliance strategy to be submitted along with stage</w:t>
      </w:r>
      <w:r>
        <w:rPr>
          <w:b/>
        </w:rPr>
        <w:t> </w:t>
      </w:r>
      <w:r w:rsidRPr="00857768">
        <w:rPr>
          <w:b/>
        </w:rPr>
        <w:t>I of the KIP, to have a better understanding on how the KIP activities will be integrated with HPMP activities, or implemented in parallel. In this regard, funding for the preparation of KIPs includes a provision for those Article 5 countries that wished to do so, to consider integrating HFC phase-down activities with HPMP activities (paragraph (b)(iv) of decision 87/50). The Executive Committee may wish to consider whether the provision in decision 87/50 is sufficient to cover the subject of integrated HCFC phase-out and HFC phase-down, or if additional guidance to Article</w:t>
      </w:r>
      <w:r>
        <w:rPr>
          <w:b/>
        </w:rPr>
        <w:t> </w:t>
      </w:r>
      <w:r w:rsidRPr="00857768">
        <w:rPr>
          <w:b/>
        </w:rPr>
        <w:t>5 countries is required.</w:t>
      </w:r>
    </w:p>
    <w:p w:rsidR="00FF6C2E" w:rsidRPr="00F052B0" w:rsidRDefault="00FF6C2E" w:rsidP="005B04FB">
      <w:pPr>
        <w:pStyle w:val="Heading1"/>
      </w:pPr>
      <w:r>
        <w:t>Based on the above observations, t</w:t>
      </w:r>
      <w:r w:rsidRPr="00F052B0">
        <w:t>he Executive Committee may wish:</w:t>
      </w:r>
    </w:p>
    <w:p w:rsidR="00FF6C2E" w:rsidRPr="00F052B0" w:rsidRDefault="00FF6C2E" w:rsidP="005B04FB">
      <w:pPr>
        <w:pStyle w:val="Heading2"/>
        <w:numPr>
          <w:ilvl w:val="0"/>
          <w:numId w:val="0"/>
        </w:numPr>
        <w:rPr>
          <w:i/>
        </w:rPr>
      </w:pPr>
      <w:r w:rsidRPr="00F052B0">
        <w:rPr>
          <w:i/>
        </w:rPr>
        <w:t>Polyurethane (PU) foam</w:t>
      </w:r>
    </w:p>
    <w:p w:rsidR="00FF6C2E" w:rsidRPr="00F052B0" w:rsidRDefault="00FF6C2E" w:rsidP="00FF6C2E">
      <w:pPr>
        <w:pStyle w:val="Heading2"/>
        <w:numPr>
          <w:ilvl w:val="1"/>
          <w:numId w:val="1"/>
        </w:numPr>
      </w:pPr>
      <w:r w:rsidRPr="00F052B0">
        <w:t>To approve sector plans for the total phase-out of HFC pure or contained in pre</w:t>
      </w:r>
      <w:r>
        <w:noBreakHyphen/>
      </w:r>
      <w:r w:rsidRPr="00F052B0">
        <w:t>blended polyols in the PU foam sector, on the understanding:</w:t>
      </w:r>
    </w:p>
    <w:p w:rsidR="00FF6C2E" w:rsidRPr="00F052B0" w:rsidRDefault="00FF6C2E" w:rsidP="00FF6C2E">
      <w:pPr>
        <w:pStyle w:val="Heading3"/>
        <w:numPr>
          <w:ilvl w:val="2"/>
          <w:numId w:val="1"/>
        </w:numPr>
      </w:pPr>
      <w:r w:rsidRPr="00F052B0">
        <w:t>That any Article 5 country submitting a project will have ratified the Kigali Amendment or submitted a formal letter indicating the Government’s intention to ratify the Amendment;</w:t>
      </w:r>
    </w:p>
    <w:p w:rsidR="00FF6C2E" w:rsidRPr="00F052B0" w:rsidRDefault="00FF6C2E" w:rsidP="00FF6C2E">
      <w:pPr>
        <w:pStyle w:val="Heading3"/>
        <w:numPr>
          <w:ilvl w:val="2"/>
          <w:numId w:val="1"/>
        </w:numPr>
      </w:pPr>
      <w:r w:rsidRPr="00F052B0">
        <w:t>That the sector plan will be implemented in coordination with or complementary to the activities under the country’s H</w:t>
      </w:r>
      <w:r>
        <w:t>CFC phase-out management plan (H</w:t>
      </w:r>
      <w:r w:rsidRPr="00F052B0">
        <w:t>PMP</w:t>
      </w:r>
      <w:r>
        <w:t>)</w:t>
      </w:r>
      <w:r w:rsidRPr="00F052B0">
        <w:t>;</w:t>
      </w:r>
    </w:p>
    <w:p w:rsidR="00FF6C2E" w:rsidRPr="00F052B0" w:rsidRDefault="00FF6C2E" w:rsidP="00FF6C2E">
      <w:pPr>
        <w:pStyle w:val="Heading3"/>
        <w:numPr>
          <w:ilvl w:val="2"/>
          <w:numId w:val="1"/>
        </w:numPr>
      </w:pPr>
      <w:r w:rsidRPr="00F052B0">
        <w:t>That the sector plan will be integrated into stage I of the HFC phase-down plan once the HFC phase-down plan has been formulated;</w:t>
      </w:r>
    </w:p>
    <w:p w:rsidR="00FF6C2E" w:rsidRPr="00F052B0" w:rsidRDefault="00FF6C2E" w:rsidP="00FF6C2E">
      <w:pPr>
        <w:pStyle w:val="Heading3"/>
        <w:numPr>
          <w:ilvl w:val="2"/>
          <w:numId w:val="1"/>
        </w:numPr>
      </w:pPr>
      <w:r w:rsidRPr="00F052B0">
        <w:t xml:space="preserve">That the amount of HFC phased out by the sector plan will be deducted from the starting point for sustained reductions in HFC consumption once the starting point has been established; </w:t>
      </w:r>
    </w:p>
    <w:p w:rsidR="00FF6C2E" w:rsidRPr="00F052B0" w:rsidRDefault="00FF6C2E" w:rsidP="00FF6C2E">
      <w:pPr>
        <w:pStyle w:val="Heading3"/>
        <w:numPr>
          <w:ilvl w:val="2"/>
          <w:numId w:val="1"/>
        </w:numPr>
      </w:pPr>
      <w:r w:rsidRPr="00F052B0">
        <w:t>That the country will report exports of HFCs contained in pre-blended polyols for the last three years prior to project submission, and the average will be deducted from the country’s starting point for sustained reductions in HFCs once the starting point has been established; and</w:t>
      </w:r>
    </w:p>
    <w:p w:rsidR="00FF6C2E" w:rsidRDefault="00FF6C2E" w:rsidP="009F18B9">
      <w:pPr>
        <w:pStyle w:val="Heading3"/>
        <w:numPr>
          <w:ilvl w:val="2"/>
          <w:numId w:val="1"/>
        </w:numPr>
      </w:pPr>
      <w:r>
        <w:t>That the country will establish the necessary regulatory measures to ensure the sustainability of the complete phase-out of all HCFCs and HFCs pure and/or contained in pre-blended polyols in the sector;</w:t>
      </w:r>
    </w:p>
    <w:p w:rsidR="00FF6C2E" w:rsidRPr="00B956A3" w:rsidRDefault="00FF6C2E" w:rsidP="00FF6C2E">
      <w:pPr>
        <w:pStyle w:val="Heading2"/>
        <w:numPr>
          <w:ilvl w:val="1"/>
          <w:numId w:val="1"/>
        </w:numPr>
      </w:pPr>
      <w:r>
        <w:t>To approve, when required, preparatory funding for the formulation of these sector plans on a case</w:t>
      </w:r>
      <w:r>
        <w:noBreakHyphen/>
        <w:t>by-case basis and in line with the draft guidelines for the preparation of HFC phase</w:t>
      </w:r>
      <w:r>
        <w:noBreakHyphen/>
        <w:t>down plans for Article 5 countries contained in document UNEP/OzL.Pro/ExCom/86/88;</w:t>
      </w:r>
    </w:p>
    <w:p w:rsidR="00FF6C2E" w:rsidRPr="00A5247F" w:rsidRDefault="00FF6C2E" w:rsidP="005B04FB">
      <w:pPr>
        <w:keepNext/>
        <w:keepLines/>
        <w:rPr>
          <w:i/>
        </w:rPr>
      </w:pPr>
      <w:r w:rsidRPr="00A5247F">
        <w:rPr>
          <w:i/>
        </w:rPr>
        <w:t>Extruded polystyrene</w:t>
      </w:r>
      <w:r>
        <w:rPr>
          <w:i/>
        </w:rPr>
        <w:t xml:space="preserve"> (XPS)</w:t>
      </w:r>
      <w:r w:rsidRPr="00A5247F">
        <w:rPr>
          <w:i/>
        </w:rPr>
        <w:t xml:space="preserve"> foam</w:t>
      </w:r>
    </w:p>
    <w:p w:rsidR="00FF6C2E" w:rsidRPr="00A5247F" w:rsidRDefault="00FF6C2E" w:rsidP="005B04FB">
      <w:pPr>
        <w:keepNext/>
        <w:keepLines/>
      </w:pPr>
    </w:p>
    <w:p w:rsidR="00FF6C2E" w:rsidRDefault="00FF6C2E" w:rsidP="00FF6C2E">
      <w:pPr>
        <w:pStyle w:val="Heading2"/>
        <w:keepLines/>
        <w:widowControl/>
        <w:numPr>
          <w:ilvl w:val="1"/>
          <w:numId w:val="1"/>
        </w:numPr>
      </w:pPr>
      <w:r>
        <w:t xml:space="preserve">To </w:t>
      </w:r>
      <w:r w:rsidRPr="009265C5">
        <w:t>encourage Article 5 countries that do not have HFC consumption in the XPS foam sector to consider establishing regulatory measures as soon as possible to avoid the installation of new capacity for the manufacturing of high GWP HFC-based XPS foam</w:t>
      </w:r>
      <w:r>
        <w:t>;</w:t>
      </w:r>
    </w:p>
    <w:p w:rsidR="00FF6C2E" w:rsidRPr="00A5247F" w:rsidRDefault="00FF6C2E" w:rsidP="005B04FB">
      <w:pPr>
        <w:keepNext/>
        <w:keepLines/>
        <w:rPr>
          <w:i/>
        </w:rPr>
      </w:pPr>
      <w:r w:rsidRPr="00A5247F">
        <w:rPr>
          <w:i/>
        </w:rPr>
        <w:lastRenderedPageBreak/>
        <w:t>Domestic and commercial stand-alone refrigeration units</w:t>
      </w:r>
    </w:p>
    <w:p w:rsidR="00FF6C2E" w:rsidRPr="00A5247F" w:rsidRDefault="00FF6C2E" w:rsidP="005B04FB">
      <w:pPr>
        <w:keepNext/>
        <w:keepLines/>
      </w:pPr>
    </w:p>
    <w:p w:rsidR="00FF6C2E" w:rsidRDefault="00FF6C2E" w:rsidP="00FF6C2E">
      <w:pPr>
        <w:pStyle w:val="Heading2"/>
        <w:keepNext/>
        <w:keepLines/>
        <w:numPr>
          <w:ilvl w:val="1"/>
          <w:numId w:val="1"/>
        </w:numPr>
      </w:pPr>
      <w:r>
        <w:t>To approve sector plans for the total phase-</w:t>
      </w:r>
      <w:r w:rsidRPr="00A057AA">
        <w:t xml:space="preserve">out of HFC </w:t>
      </w:r>
      <w:r>
        <w:t>in the manufacturing of domestic and commercial stand-alone refrigeration units, on the understanding:</w:t>
      </w:r>
    </w:p>
    <w:p w:rsidR="00FF6C2E" w:rsidRDefault="00FF6C2E" w:rsidP="00FF6C2E">
      <w:pPr>
        <w:pStyle w:val="Heading3"/>
        <w:numPr>
          <w:ilvl w:val="2"/>
          <w:numId w:val="1"/>
        </w:numPr>
      </w:pPr>
      <w:r>
        <w:t>That any Article 5 country submitting a project will have ratified the Kigali Amendment or submitted a formal letter indicating the Government’s intention to ratify the Amendment;</w:t>
      </w:r>
    </w:p>
    <w:p w:rsidR="00FF6C2E" w:rsidRDefault="00FF6C2E" w:rsidP="00FF6C2E">
      <w:pPr>
        <w:pStyle w:val="Heading3"/>
        <w:numPr>
          <w:ilvl w:val="2"/>
          <w:numId w:val="1"/>
        </w:numPr>
      </w:pPr>
      <w:r>
        <w:t xml:space="preserve">That the sector plan will be </w:t>
      </w:r>
      <w:r w:rsidRPr="007769BC">
        <w:t>integrated in</w:t>
      </w:r>
      <w:r>
        <w:t>to</w:t>
      </w:r>
      <w:r w:rsidRPr="007769BC">
        <w:t xml:space="preserve"> stage I of the HFC phase</w:t>
      </w:r>
      <w:r>
        <w:t>-</w:t>
      </w:r>
      <w:r w:rsidRPr="007769BC">
        <w:t xml:space="preserve">down plan once </w:t>
      </w:r>
      <w:r>
        <w:t>the HFC phase-down plan has been f</w:t>
      </w:r>
      <w:r w:rsidRPr="007769BC">
        <w:t>ormulated</w:t>
      </w:r>
      <w:r>
        <w:t>;</w:t>
      </w:r>
    </w:p>
    <w:p w:rsidR="00FF6C2E" w:rsidRPr="00D36C08" w:rsidRDefault="00FF6C2E" w:rsidP="00FF6C2E">
      <w:pPr>
        <w:pStyle w:val="Heading3"/>
        <w:numPr>
          <w:ilvl w:val="2"/>
          <w:numId w:val="1"/>
        </w:numPr>
      </w:pPr>
      <w:r>
        <w:t xml:space="preserve">That the amount of </w:t>
      </w:r>
      <w:r w:rsidRPr="007769BC">
        <w:t xml:space="preserve">HFC phased out </w:t>
      </w:r>
      <w:r>
        <w:t xml:space="preserve">by the sector plan will be </w:t>
      </w:r>
      <w:r w:rsidRPr="007769BC">
        <w:t xml:space="preserve">deducted from the starting point for sustained reductions </w:t>
      </w:r>
      <w:r w:rsidRPr="00D36C08">
        <w:t>in HFC consumption once</w:t>
      </w:r>
      <w:r>
        <w:t xml:space="preserve"> the starting point has been</w:t>
      </w:r>
      <w:r w:rsidRPr="00D36C08">
        <w:t xml:space="preserve"> established; </w:t>
      </w:r>
      <w:r>
        <w:t>and</w:t>
      </w:r>
    </w:p>
    <w:p w:rsidR="00FF6C2E" w:rsidRPr="00D36C08" w:rsidRDefault="00FF6C2E" w:rsidP="00FF6C2E">
      <w:pPr>
        <w:pStyle w:val="Heading3"/>
        <w:numPr>
          <w:ilvl w:val="2"/>
          <w:numId w:val="1"/>
        </w:numPr>
      </w:pPr>
      <w:r w:rsidRPr="00D36C08">
        <w:t>Th</w:t>
      </w:r>
      <w:r>
        <w:t>at th</w:t>
      </w:r>
      <w:r w:rsidRPr="00D36C08">
        <w:t xml:space="preserve">e country will establish the necessary regulatory measures to ensure the sustainability of the phase-out of HFCs in the domestic and commercial </w:t>
      </w:r>
      <w:r>
        <w:t>stand</w:t>
      </w:r>
      <w:r>
        <w:noBreakHyphen/>
        <w:t xml:space="preserve">alone </w:t>
      </w:r>
      <w:r w:rsidRPr="00D36C08">
        <w:t>refrigeration applications;</w:t>
      </w:r>
    </w:p>
    <w:p w:rsidR="00FF6C2E" w:rsidRPr="00D36C08" w:rsidRDefault="00FF6C2E" w:rsidP="00FF6C2E">
      <w:pPr>
        <w:pStyle w:val="Heading2"/>
        <w:numPr>
          <w:ilvl w:val="1"/>
          <w:numId w:val="1"/>
        </w:numPr>
      </w:pPr>
      <w:r>
        <w:t>To approve, w</w:t>
      </w:r>
      <w:r w:rsidRPr="00D36C08">
        <w:t xml:space="preserve">hen required, preparatory funding for the formulation of these </w:t>
      </w:r>
      <w:r>
        <w:t>sector plans on a case</w:t>
      </w:r>
      <w:r>
        <w:noBreakHyphen/>
        <w:t>by-case basis and in line with the draft guidelines for the preparation of HFC phase</w:t>
      </w:r>
      <w:r>
        <w:noBreakHyphen/>
        <w:t>down plans for Article 5 countries contained in document UNEP/OzL.Pro/ExCom/86/88;</w:t>
      </w:r>
    </w:p>
    <w:p w:rsidR="00FF6C2E" w:rsidRPr="00FB4139" w:rsidRDefault="00FF6C2E" w:rsidP="005B04FB">
      <w:pPr>
        <w:rPr>
          <w:i/>
        </w:rPr>
      </w:pPr>
      <w:r>
        <w:rPr>
          <w:i/>
        </w:rPr>
        <w:t>A</w:t>
      </w:r>
      <w:r w:rsidRPr="00FB4139">
        <w:rPr>
          <w:i/>
        </w:rPr>
        <w:t>ir-conditioning</w:t>
      </w:r>
      <w:r>
        <w:rPr>
          <w:i/>
        </w:rPr>
        <w:t xml:space="preserve"> (AC)</w:t>
      </w:r>
      <w:r w:rsidRPr="00FB4139">
        <w:rPr>
          <w:i/>
        </w:rPr>
        <w:t xml:space="preserve"> sector</w:t>
      </w:r>
    </w:p>
    <w:p w:rsidR="00FF6C2E" w:rsidRPr="00A5247F" w:rsidRDefault="00FF6C2E" w:rsidP="005B04FB"/>
    <w:p w:rsidR="00FF6C2E" w:rsidRDefault="00FF6C2E" w:rsidP="00FF6C2E">
      <w:pPr>
        <w:pStyle w:val="Heading2"/>
        <w:numPr>
          <w:ilvl w:val="1"/>
          <w:numId w:val="1"/>
        </w:numPr>
      </w:pPr>
      <w:r>
        <w:t xml:space="preserve">To invite Article 5 countries manufacturing residential and/or commercial AC equipment to explore opportunities to integrate HCFC-22 </w:t>
      </w:r>
      <w:r w:rsidRPr="00951504">
        <w:t>and R-410A or other high</w:t>
      </w:r>
      <w:r>
        <w:noBreakHyphen/>
      </w:r>
      <w:r w:rsidRPr="00951504">
        <w:t>GWP HFC phase</w:t>
      </w:r>
      <w:r>
        <w:noBreakHyphen/>
      </w:r>
      <w:r w:rsidRPr="00951504">
        <w:t>out in the sector to ensure the sustained adoption of lower</w:t>
      </w:r>
      <w:r>
        <w:noBreakHyphen/>
        <w:t xml:space="preserve">GWP alternatives; </w:t>
      </w:r>
    </w:p>
    <w:p w:rsidR="00FF6C2E" w:rsidRDefault="00FF6C2E" w:rsidP="00FF6C2E">
      <w:pPr>
        <w:pStyle w:val="Heading2"/>
        <w:numPr>
          <w:ilvl w:val="1"/>
          <w:numId w:val="1"/>
        </w:numPr>
      </w:pPr>
      <w:r>
        <w:t xml:space="preserve">To </w:t>
      </w:r>
      <w:r w:rsidRPr="007C49A1">
        <w:t>approve a limited number of sector</w:t>
      </w:r>
      <w:r>
        <w:t xml:space="preserve"> plans for the total ph</w:t>
      </w:r>
      <w:r w:rsidRPr="00A270F0">
        <w:t xml:space="preserve">ase-out of </w:t>
      </w:r>
      <w:r>
        <w:t>R-410A and other high</w:t>
      </w:r>
      <w:r>
        <w:noBreakHyphen/>
        <w:t>GWP alternatives used in</w:t>
      </w:r>
      <w:r w:rsidRPr="00A270F0">
        <w:t xml:space="preserve"> the manufacturing of </w:t>
      </w:r>
      <w:r>
        <w:t>residential and/or commercial AC units in countries that have phased out, are presently phasing out, or intend in the short term to phase out HCFC-22 in the sector</w:t>
      </w:r>
      <w:r w:rsidRPr="00A270F0">
        <w:t xml:space="preserve">, </w:t>
      </w:r>
      <w:r>
        <w:t>on the understanding:</w:t>
      </w:r>
    </w:p>
    <w:p w:rsidR="00FF6C2E" w:rsidRDefault="00FF6C2E" w:rsidP="009F18B9">
      <w:pPr>
        <w:pStyle w:val="Heading3"/>
        <w:numPr>
          <w:ilvl w:val="2"/>
          <w:numId w:val="1"/>
        </w:numPr>
      </w:pPr>
      <w:r>
        <w:t>That any Article 5 country submitting a project will have ratified the Kigali Amendment or submitted a formal letter indicating the Government’s intention to ratify the Amendment;</w:t>
      </w:r>
    </w:p>
    <w:p w:rsidR="00FF6C2E" w:rsidRDefault="00FF6C2E" w:rsidP="00FF6C2E">
      <w:pPr>
        <w:pStyle w:val="Heading3"/>
        <w:numPr>
          <w:ilvl w:val="2"/>
          <w:numId w:val="1"/>
        </w:numPr>
      </w:pPr>
      <w:r>
        <w:t>That the sector plan will be integrated into stage I of the HFC phase-down plan once the HFC phase-down plan has been formulated;</w:t>
      </w:r>
    </w:p>
    <w:p w:rsidR="00FF6C2E" w:rsidRDefault="00FF6C2E" w:rsidP="00FF6C2E">
      <w:pPr>
        <w:pStyle w:val="Heading3"/>
        <w:numPr>
          <w:ilvl w:val="2"/>
          <w:numId w:val="1"/>
        </w:numPr>
      </w:pPr>
      <w:r>
        <w:t>That the amount of HFC phased out by the sector plan will be deducted from the starting point for sustained reductions in HFC consumption once the starting point has been established; and</w:t>
      </w:r>
    </w:p>
    <w:p w:rsidR="00FF6C2E" w:rsidRDefault="00FF6C2E" w:rsidP="00FF6C2E">
      <w:pPr>
        <w:pStyle w:val="Heading3"/>
        <w:numPr>
          <w:ilvl w:val="2"/>
          <w:numId w:val="1"/>
        </w:numPr>
      </w:pPr>
      <w:r>
        <w:t xml:space="preserve">That the country will establish the necessary regulatory measures to ensure the sustainability of the phase-out of R-410A and other high-GWP alternatives in the specific AC sector(s) converted; </w:t>
      </w:r>
    </w:p>
    <w:p w:rsidR="00FF6C2E" w:rsidRDefault="00FF6C2E" w:rsidP="00FF6C2E">
      <w:pPr>
        <w:pStyle w:val="Heading2"/>
        <w:numPr>
          <w:ilvl w:val="1"/>
          <w:numId w:val="1"/>
        </w:numPr>
      </w:pPr>
      <w:r>
        <w:t>To approve, when required, preparatory funding for the formulation of these sector plans on a case</w:t>
      </w:r>
      <w:r>
        <w:noBreakHyphen/>
        <w:t>by</w:t>
      </w:r>
      <w:r>
        <w:noBreakHyphen/>
        <w:t xml:space="preserve">case basis and in line with the draft guidelines for the preparation of HFC </w:t>
      </w:r>
      <w:r>
        <w:lastRenderedPageBreak/>
        <w:t>phase-down plans for Article 5 countries contained in document UNEP/OzL.Pro/ExCom/86/88;</w:t>
      </w:r>
    </w:p>
    <w:p w:rsidR="00FF6C2E" w:rsidRDefault="00FF6C2E" w:rsidP="005B04FB">
      <w:pPr>
        <w:keepNext/>
        <w:keepLines/>
        <w:rPr>
          <w:i/>
        </w:rPr>
      </w:pPr>
      <w:r>
        <w:rPr>
          <w:i/>
        </w:rPr>
        <w:t>Consumption of HFC-23 in specialized applications</w:t>
      </w:r>
    </w:p>
    <w:p w:rsidR="00FF6C2E" w:rsidRPr="000D2F50" w:rsidRDefault="00FF6C2E" w:rsidP="005B04FB">
      <w:pPr>
        <w:keepNext/>
        <w:keepLines/>
        <w:rPr>
          <w:i/>
        </w:rPr>
      </w:pPr>
    </w:p>
    <w:p w:rsidR="00FF6C2E" w:rsidRDefault="00FF6C2E" w:rsidP="00FF6C2E">
      <w:pPr>
        <w:pStyle w:val="Heading2"/>
        <w:keepNext/>
        <w:keepLines/>
        <w:widowControl/>
        <w:numPr>
          <w:ilvl w:val="1"/>
          <w:numId w:val="1"/>
        </w:numPr>
      </w:pPr>
      <w:r>
        <w:t xml:space="preserve">To encourage Article 5 countries that do not have consumption of HFC-23 to consider establishing regulatory measures to avoid its introduction to the country; </w:t>
      </w:r>
    </w:p>
    <w:p w:rsidR="00FF6C2E" w:rsidRPr="00F052B0" w:rsidRDefault="00FF6C2E" w:rsidP="00FF6C2E">
      <w:pPr>
        <w:pStyle w:val="Heading2"/>
        <w:numPr>
          <w:ilvl w:val="1"/>
          <w:numId w:val="1"/>
        </w:numPr>
      </w:pPr>
      <w:r>
        <w:t>To encourage Article 5 countries that have reported consumption of HFC-23</w:t>
      </w:r>
      <w:r w:rsidRPr="0020511B">
        <w:t xml:space="preserve"> </w:t>
      </w:r>
      <w:r>
        <w:t>in fire</w:t>
      </w:r>
      <w:r>
        <w:noBreakHyphen/>
        <w:t>fighting and other niche applications, to address that consumption as a priority in their phase</w:t>
      </w:r>
      <w:r>
        <w:noBreakHyphen/>
        <w:t xml:space="preserve">down plans, </w:t>
      </w:r>
      <w:r w:rsidRPr="00F052B0">
        <w:t xml:space="preserve">noting the very high </w:t>
      </w:r>
      <w:r>
        <w:t xml:space="preserve">GWP </w:t>
      </w:r>
      <w:r w:rsidRPr="00F052B0">
        <w:t>of HFC-23</w:t>
      </w:r>
      <w:r>
        <w:t>;</w:t>
      </w:r>
    </w:p>
    <w:p w:rsidR="00FF6C2E" w:rsidRPr="00F052B0" w:rsidRDefault="00FF6C2E" w:rsidP="005B04FB">
      <w:pPr>
        <w:pStyle w:val="Heading1"/>
        <w:numPr>
          <w:ilvl w:val="0"/>
          <w:numId w:val="0"/>
        </w:numPr>
        <w:rPr>
          <w:i/>
        </w:rPr>
      </w:pPr>
      <w:r w:rsidRPr="00F052B0">
        <w:rPr>
          <w:i/>
        </w:rPr>
        <w:t>Integrated compliance strategy</w:t>
      </w:r>
    </w:p>
    <w:p w:rsidR="00FF6C2E" w:rsidRPr="00F052B0" w:rsidRDefault="00FF6C2E" w:rsidP="00FF6C2E">
      <w:pPr>
        <w:pStyle w:val="Heading2"/>
        <w:numPr>
          <w:ilvl w:val="1"/>
          <w:numId w:val="1"/>
        </w:numPr>
      </w:pPr>
      <w:r w:rsidRPr="00F052B0">
        <w:t>To request Article 5 countries formulating HFC phase</w:t>
      </w:r>
      <w:r w:rsidRPr="00F052B0">
        <w:noBreakHyphen/>
        <w:t>down plans, to submit along with the HFC phase-down plans an integrated compliance strategy that will provide the overarching strategy to integrate HCFC phase-out and HFC phase-down up to 2030, containing:</w:t>
      </w:r>
    </w:p>
    <w:p w:rsidR="00FF6C2E" w:rsidRPr="00F052B0" w:rsidRDefault="00FF6C2E" w:rsidP="00FF6C2E">
      <w:pPr>
        <w:pStyle w:val="Heading3"/>
        <w:numPr>
          <w:ilvl w:val="2"/>
          <w:numId w:val="1"/>
        </w:numPr>
      </w:pPr>
      <w:r w:rsidRPr="00F052B0">
        <w:t>The Government’s commitment to harmonize the phase-out of HCFCs and phase</w:t>
      </w:r>
      <w:r w:rsidRPr="00F052B0">
        <w:noBreakHyphen/>
        <w:t xml:space="preserve">down HFC consumption; </w:t>
      </w:r>
    </w:p>
    <w:p w:rsidR="00FF6C2E" w:rsidRPr="00F052B0" w:rsidRDefault="00FF6C2E" w:rsidP="00FF6C2E">
      <w:pPr>
        <w:pStyle w:val="Heading3"/>
        <w:numPr>
          <w:ilvl w:val="2"/>
          <w:numId w:val="1"/>
        </w:numPr>
      </w:pPr>
      <w:r w:rsidRPr="00F052B0">
        <w:t>A schedule of the proposed maximum allowable consumption of HCFC and HFC up to 2030;</w:t>
      </w:r>
    </w:p>
    <w:p w:rsidR="00FF6C2E" w:rsidRPr="00F052B0" w:rsidRDefault="00FF6C2E" w:rsidP="00FF6C2E">
      <w:pPr>
        <w:pStyle w:val="Heading3"/>
        <w:numPr>
          <w:ilvl w:val="2"/>
          <w:numId w:val="1"/>
        </w:numPr>
      </w:pPr>
      <w:r w:rsidRPr="00F052B0">
        <w:t>The proposed synchronized tranches for the HPMP and the HFC phase-down plan up to 2030;</w:t>
      </w:r>
    </w:p>
    <w:p w:rsidR="00FF6C2E" w:rsidRDefault="00FF6C2E" w:rsidP="00FF6C2E">
      <w:pPr>
        <w:pStyle w:val="Heading3"/>
        <w:numPr>
          <w:ilvl w:val="2"/>
          <w:numId w:val="1"/>
        </w:numPr>
      </w:pPr>
      <w:r w:rsidRPr="00F052B0">
        <w:t>A statement of the approach</w:t>
      </w:r>
      <w:r w:rsidRPr="00ED6A3B">
        <w:t xml:space="preserve">, </w:t>
      </w:r>
      <w:r>
        <w:t xml:space="preserve">and specific </w:t>
      </w:r>
      <w:r w:rsidRPr="00ED6A3B">
        <w:t xml:space="preserve">measures and activities proposed </w:t>
      </w:r>
      <w:r>
        <w:t>to control increases in HFC consumption, including those resulting from implementation of the HPMP;</w:t>
      </w:r>
    </w:p>
    <w:p w:rsidR="00FF6C2E" w:rsidRPr="00F052B0" w:rsidRDefault="00FF6C2E" w:rsidP="00FF6C2E">
      <w:pPr>
        <w:pStyle w:val="Heading3"/>
        <w:numPr>
          <w:ilvl w:val="2"/>
          <w:numId w:val="1"/>
        </w:numPr>
      </w:pPr>
      <w:r>
        <w:t xml:space="preserve">Identification of </w:t>
      </w:r>
      <w:r w:rsidRPr="00F052B0">
        <w:t>sectors or applications in the country where:</w:t>
      </w:r>
    </w:p>
    <w:p w:rsidR="00FF6C2E" w:rsidRDefault="00FF6C2E" w:rsidP="005B04FB">
      <w:pPr>
        <w:pStyle w:val="Header4"/>
      </w:pPr>
      <w:r w:rsidRPr="00F052B0">
        <w:t>Integrated implementation of HCFC phase-out and HFC phase-down is possible, such as the refrigeration servicing sector, including a plan to combine ongoing activities under the H</w:t>
      </w:r>
      <w:r>
        <w:t>PMP</w:t>
      </w:r>
      <w:r w:rsidRPr="00F052B0">
        <w:t xml:space="preserve"> with the proposed HFC phase</w:t>
      </w:r>
      <w:r w:rsidRPr="00F052B0">
        <w:noBreakHyphen/>
        <w:t>down</w:t>
      </w:r>
      <w:r>
        <w:t xml:space="preserve"> plan; and</w:t>
      </w:r>
    </w:p>
    <w:p w:rsidR="00FF6C2E" w:rsidRDefault="00FF6C2E" w:rsidP="009F18B9">
      <w:pPr>
        <w:pStyle w:val="Header4"/>
      </w:pPr>
      <w:r>
        <w:t>HFC phase-down cannot be integrated with ongoing HCFC phase–out and therefore needs to be implemented separately, whether in parallel to HCFC phase-out or sequentially after HCFC phase-out.</w:t>
      </w:r>
    </w:p>
    <w:p w:rsidR="00FF6C2E" w:rsidRDefault="00FF6C2E" w:rsidP="005B04FB">
      <w:pPr>
        <w:jc w:val="left"/>
        <w:sectPr w:rsidR="00FF6C2E" w:rsidSect="005B04FB">
          <w:headerReference w:type="even" r:id="rId19"/>
          <w:headerReference w:type="default" r:id="rId20"/>
          <w:footerReference w:type="even" r:id="rId21"/>
          <w:footerReference w:type="default" r:id="rId22"/>
          <w:headerReference w:type="first" r:id="rId23"/>
          <w:footerReference w:type="first" r:id="rId24"/>
          <w:footnotePr>
            <w:numRestart w:val="eachSect"/>
          </w:footnotePr>
          <w:pgSz w:w="12240" w:h="15840" w:code="1"/>
          <w:pgMar w:top="720" w:right="1440" w:bottom="864" w:left="1440" w:header="720" w:footer="475" w:gutter="0"/>
          <w:pgNumType w:start="1"/>
          <w:cols w:space="720"/>
          <w:titlePg/>
        </w:sectPr>
      </w:pPr>
    </w:p>
    <w:p w:rsidR="00FF6C2E" w:rsidRPr="00161AB2" w:rsidRDefault="00FF6C2E" w:rsidP="005B04FB">
      <w:pPr>
        <w:jc w:val="center"/>
        <w:rPr>
          <w:b/>
        </w:rPr>
      </w:pPr>
      <w:r w:rsidRPr="00161AB2">
        <w:rPr>
          <w:b/>
        </w:rPr>
        <w:lastRenderedPageBreak/>
        <w:t>Annex I</w:t>
      </w:r>
    </w:p>
    <w:p w:rsidR="00FF6C2E" w:rsidRPr="00161AB2" w:rsidRDefault="00FF6C2E" w:rsidP="005B04FB">
      <w:pPr>
        <w:pStyle w:val="StyleHeader4Para4Left0Firstline0"/>
        <w:numPr>
          <w:ilvl w:val="0"/>
          <w:numId w:val="0"/>
        </w:numPr>
        <w:spacing w:after="0"/>
        <w:jc w:val="center"/>
        <w:rPr>
          <w:b/>
          <w:sz w:val="22"/>
        </w:rPr>
      </w:pPr>
    </w:p>
    <w:p w:rsidR="00FF6C2E" w:rsidRDefault="00FF6C2E" w:rsidP="005B04FB">
      <w:pPr>
        <w:pStyle w:val="StyleHeader4Para4Left0Firstline0"/>
        <w:numPr>
          <w:ilvl w:val="0"/>
          <w:numId w:val="0"/>
        </w:numPr>
        <w:spacing w:after="0"/>
        <w:jc w:val="center"/>
        <w:rPr>
          <w:b/>
          <w:sz w:val="22"/>
        </w:rPr>
      </w:pPr>
      <w:r w:rsidRPr="00161AB2">
        <w:rPr>
          <w:b/>
          <w:sz w:val="22"/>
        </w:rPr>
        <w:t xml:space="preserve">MODEL </w:t>
      </w:r>
      <w:r w:rsidRPr="00F052B0">
        <w:rPr>
          <w:b/>
          <w:sz w:val="22"/>
        </w:rPr>
        <w:t xml:space="preserve">TO FORECAST THE POTENTIAL RISK OF NON-COMPLIANCE </w:t>
      </w:r>
    </w:p>
    <w:p w:rsidR="00FF6C2E" w:rsidRDefault="00FF6C2E" w:rsidP="005B04FB">
      <w:pPr>
        <w:pStyle w:val="StyleHeader4Para4Left0Firstline0"/>
        <w:numPr>
          <w:ilvl w:val="0"/>
          <w:numId w:val="0"/>
        </w:numPr>
        <w:spacing w:after="0"/>
        <w:jc w:val="center"/>
        <w:rPr>
          <w:b/>
          <w:sz w:val="22"/>
        </w:rPr>
      </w:pPr>
      <w:r w:rsidRPr="00F052B0">
        <w:rPr>
          <w:b/>
          <w:sz w:val="22"/>
        </w:rPr>
        <w:t xml:space="preserve">WITH THE HFC PHASE-DOWN </w:t>
      </w:r>
      <w:r>
        <w:rPr>
          <w:b/>
          <w:sz w:val="22"/>
        </w:rPr>
        <w:t>OBLIGATIONS OF</w:t>
      </w:r>
      <w:r w:rsidRPr="00F052B0">
        <w:rPr>
          <w:b/>
          <w:sz w:val="22"/>
        </w:rPr>
        <w:t xml:space="preserve"> 91 ARTICLE 5 COUNTRIES </w:t>
      </w:r>
    </w:p>
    <w:p w:rsidR="00FF6C2E" w:rsidRPr="00F052B0" w:rsidRDefault="00FF6C2E" w:rsidP="005B04FB">
      <w:pPr>
        <w:pStyle w:val="StyleHeader4Para4Left0Firstline0"/>
        <w:numPr>
          <w:ilvl w:val="0"/>
          <w:numId w:val="0"/>
        </w:numPr>
        <w:spacing w:after="0"/>
        <w:jc w:val="center"/>
        <w:rPr>
          <w:b/>
          <w:sz w:val="22"/>
        </w:rPr>
      </w:pPr>
      <w:r w:rsidRPr="00F052B0">
        <w:rPr>
          <w:b/>
          <w:sz w:val="22"/>
        </w:rPr>
        <w:t xml:space="preserve">THAT REPORTED HFC CONSUMPTION IN 2019 UNDER ARTICLE 7 </w:t>
      </w:r>
      <w:r>
        <w:rPr>
          <w:b/>
          <w:sz w:val="22"/>
        </w:rPr>
        <w:t xml:space="preserve">OF THE PROTOCOL </w:t>
      </w:r>
      <w:r w:rsidRPr="00F052B0">
        <w:rPr>
          <w:b/>
          <w:sz w:val="22"/>
        </w:rPr>
        <w:t>OR COUNT</w:t>
      </w:r>
      <w:r>
        <w:rPr>
          <w:b/>
          <w:sz w:val="22"/>
        </w:rPr>
        <w:t>R</w:t>
      </w:r>
      <w:r w:rsidRPr="00F052B0">
        <w:rPr>
          <w:b/>
          <w:sz w:val="22"/>
        </w:rPr>
        <w:t xml:space="preserve">Y PROGRAMME </w:t>
      </w:r>
      <w:r>
        <w:rPr>
          <w:b/>
          <w:sz w:val="22"/>
        </w:rPr>
        <w:t xml:space="preserve">IMPLEMENTATION </w:t>
      </w:r>
      <w:r w:rsidRPr="00F052B0">
        <w:rPr>
          <w:b/>
          <w:sz w:val="22"/>
        </w:rPr>
        <w:t>REPORT</w:t>
      </w:r>
      <w:r>
        <w:rPr>
          <w:b/>
          <w:sz w:val="22"/>
        </w:rPr>
        <w:t>S</w:t>
      </w:r>
    </w:p>
    <w:p w:rsidR="00FF6C2E" w:rsidRPr="00F052B0" w:rsidRDefault="00FF6C2E" w:rsidP="005B04FB">
      <w:pPr>
        <w:pStyle w:val="StyleHeader4Para4Left0Firstline0"/>
        <w:numPr>
          <w:ilvl w:val="0"/>
          <w:numId w:val="0"/>
        </w:numPr>
        <w:spacing w:after="0"/>
        <w:jc w:val="left"/>
        <w:rPr>
          <w:sz w:val="22"/>
        </w:rPr>
      </w:pPr>
    </w:p>
    <w:p w:rsidR="00FF6C2E" w:rsidRPr="00F052B0" w:rsidRDefault="00FF6C2E" w:rsidP="005B04FB">
      <w:pPr>
        <w:pStyle w:val="StyleHeader4Para4Left0Firstline0"/>
        <w:numPr>
          <w:ilvl w:val="0"/>
          <w:numId w:val="0"/>
        </w:numPr>
        <w:spacing w:after="0"/>
        <w:jc w:val="left"/>
        <w:rPr>
          <w:szCs w:val="20"/>
        </w:rPr>
      </w:pPr>
      <w:r w:rsidRPr="00F052B0">
        <w:rPr>
          <w:b/>
          <w:szCs w:val="20"/>
        </w:rPr>
        <w:t>Scenario:</w:t>
      </w:r>
      <w:r w:rsidRPr="00F052B0">
        <w:rPr>
          <w:szCs w:val="20"/>
        </w:rPr>
        <w:t xml:space="preserve"> Annual growth rate = 3 per cent</w:t>
      </w:r>
    </w:p>
    <w:p w:rsidR="00FF6C2E" w:rsidRPr="00F052B0" w:rsidRDefault="00FF6C2E" w:rsidP="005B04FB">
      <w:pPr>
        <w:pStyle w:val="StyleHeader4Para4Left0Firstline0"/>
        <w:numPr>
          <w:ilvl w:val="0"/>
          <w:numId w:val="0"/>
        </w:numPr>
        <w:spacing w:after="0"/>
        <w:jc w:val="left"/>
        <w:rPr>
          <w:szCs w:val="20"/>
        </w:rPr>
      </w:pPr>
      <w:r w:rsidRPr="00F052B0">
        <w:rPr>
          <w:b/>
          <w:szCs w:val="20"/>
        </w:rPr>
        <w:t>Units</w:t>
      </w:r>
      <w:r w:rsidRPr="00F052B0">
        <w:rPr>
          <w:szCs w:val="20"/>
        </w:rPr>
        <w:t xml:space="preserve">: </w:t>
      </w:r>
      <w:proofErr w:type="spellStart"/>
      <w:r w:rsidRPr="00F052B0">
        <w:rPr>
          <w:szCs w:val="20"/>
        </w:rPr>
        <w:t>mt</w:t>
      </w:r>
      <w:proofErr w:type="spellEnd"/>
      <w:r w:rsidRPr="00F052B0">
        <w:rPr>
          <w:szCs w:val="20"/>
        </w:rPr>
        <w:t xml:space="preserve"> CO</w:t>
      </w:r>
      <w:r w:rsidRPr="00F052B0">
        <w:rPr>
          <w:szCs w:val="20"/>
          <w:vertAlign w:val="subscript"/>
        </w:rPr>
        <w:t>2</w:t>
      </w:r>
      <w:r>
        <w:rPr>
          <w:szCs w:val="20"/>
        </w:rPr>
        <w:noBreakHyphen/>
      </w:r>
      <w:r w:rsidRPr="00F052B0">
        <w:rPr>
          <w:szCs w:val="20"/>
        </w:rPr>
        <w:t>eq</w:t>
      </w:r>
    </w:p>
    <w:p w:rsidR="00FF6C2E" w:rsidRPr="00492FE1" w:rsidRDefault="00FF6C2E" w:rsidP="005B04FB">
      <w:pPr>
        <w:pStyle w:val="StyleHeader4Para4Left0Firstline0"/>
        <w:numPr>
          <w:ilvl w:val="0"/>
          <w:numId w:val="0"/>
        </w:numPr>
        <w:spacing w:after="0"/>
        <w:rPr>
          <w:szCs w:val="20"/>
        </w:rPr>
      </w:pPr>
      <w:r w:rsidRPr="002E0BA7">
        <w:rPr>
          <w:szCs w:val="20"/>
        </w:rPr>
        <w:t>Countries are sorted according to the potential risk of non-compliance, based on data in the “Consumption 2024/HFC baseline” column, from low to high risk. Wherever the value is above 100 per cent, the estimated consumption in 2024 is higher than the estimated HFC baseline (including the HCFC component) (seven countries).</w:t>
      </w:r>
    </w:p>
    <w:p w:rsidR="00FF6C2E" w:rsidRPr="00FF6C2E" w:rsidRDefault="00FF6C2E" w:rsidP="005B04FB">
      <w:pPr>
        <w:pStyle w:val="StyleHeader4Para4Left0Firstline0"/>
        <w:numPr>
          <w:ilvl w:val="0"/>
          <w:numId w:val="0"/>
        </w:numPr>
        <w:spacing w:after="0"/>
        <w:jc w:val="left"/>
        <w:rPr>
          <w:sz w:val="10"/>
        </w:rPr>
      </w:pPr>
    </w:p>
    <w:tbl>
      <w:tblPr>
        <w:tblW w:w="10396" w:type="dxa"/>
        <w:tblInd w:w="-431" w:type="dxa"/>
        <w:tblCellMar>
          <w:left w:w="70" w:type="dxa"/>
          <w:right w:w="70" w:type="dxa"/>
        </w:tblCellMar>
        <w:tblLook w:val="04A0" w:firstRow="1" w:lastRow="0" w:firstColumn="1" w:lastColumn="0" w:noHBand="0" w:noVBand="1"/>
      </w:tblPr>
      <w:tblGrid>
        <w:gridCol w:w="1560"/>
        <w:gridCol w:w="950"/>
        <w:gridCol w:w="950"/>
        <w:gridCol w:w="950"/>
        <w:gridCol w:w="950"/>
        <w:gridCol w:w="950"/>
        <w:gridCol w:w="950"/>
        <w:gridCol w:w="950"/>
        <w:gridCol w:w="1005"/>
        <w:gridCol w:w="1181"/>
      </w:tblGrid>
      <w:tr w:rsidR="00FF6C2E" w:rsidRPr="009F2082" w:rsidTr="005B04FB">
        <w:trPr>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r w:rsidRPr="009F2082">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r w:rsidRPr="009F2082">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r w:rsidRPr="009F2082">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r w:rsidRPr="009F2082">
              <w:rPr>
                <w:b/>
                <w:bCs/>
                <w:sz w:val="18"/>
                <w:szCs w:val="18"/>
                <w:lang w:val="es-419" w:eastAsia="es-419"/>
              </w:rPr>
              <w:t>2021</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r w:rsidRPr="009F2082">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r w:rsidRPr="009F2082">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r w:rsidRPr="009F2082">
              <w:rPr>
                <w:b/>
                <w:bCs/>
                <w:sz w:val="18"/>
                <w:szCs w:val="18"/>
                <w:lang w:val="es-419" w:eastAsia="es-419"/>
              </w:rPr>
              <w:t>2024</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Default="00FF6C2E" w:rsidP="005B04FB">
            <w:pPr>
              <w:jc w:val="center"/>
              <w:rPr>
                <w:b/>
                <w:bCs/>
                <w:sz w:val="18"/>
                <w:szCs w:val="18"/>
                <w:lang w:val="es-419" w:eastAsia="es-419"/>
              </w:rPr>
            </w:pPr>
            <w:r>
              <w:rPr>
                <w:b/>
                <w:bCs/>
                <w:sz w:val="18"/>
                <w:szCs w:val="18"/>
                <w:lang w:val="es-419" w:eastAsia="es-419"/>
              </w:rPr>
              <w:t xml:space="preserve">HFC </w:t>
            </w:r>
            <w:proofErr w:type="spellStart"/>
            <w:r>
              <w:rPr>
                <w:b/>
                <w:bCs/>
                <w:sz w:val="18"/>
                <w:szCs w:val="18"/>
                <w:lang w:val="es-419" w:eastAsia="es-419"/>
              </w:rPr>
              <w:t>avg</w:t>
            </w:r>
            <w:proofErr w:type="spellEnd"/>
            <w:r>
              <w:rPr>
                <w:b/>
                <w:bCs/>
                <w:sz w:val="18"/>
                <w:szCs w:val="18"/>
                <w:lang w:val="es-419" w:eastAsia="es-419"/>
              </w:rPr>
              <w:t xml:space="preserve"> (2020-</w:t>
            </w:r>
          </w:p>
          <w:p w:rsidR="00FF6C2E" w:rsidRPr="009F2082" w:rsidRDefault="00FF6C2E" w:rsidP="005B04FB">
            <w:pPr>
              <w:jc w:val="center"/>
              <w:rPr>
                <w:b/>
                <w:bCs/>
                <w:sz w:val="18"/>
                <w:szCs w:val="18"/>
                <w:lang w:val="es-419" w:eastAsia="es-419"/>
              </w:rPr>
            </w:pPr>
            <w:r>
              <w:rPr>
                <w:b/>
                <w:bCs/>
                <w:sz w:val="18"/>
                <w:szCs w:val="18"/>
                <w:lang w:val="es-419" w:eastAsia="es-419"/>
              </w:rPr>
              <w:t>-2024)</w:t>
            </w:r>
          </w:p>
        </w:tc>
        <w:tc>
          <w:tcPr>
            <w:tcW w:w="1005" w:type="dxa"/>
            <w:tcBorders>
              <w:top w:val="single" w:sz="4" w:space="0" w:color="auto"/>
              <w:left w:val="nil"/>
              <w:bottom w:val="single" w:sz="4" w:space="0" w:color="auto"/>
              <w:right w:val="single" w:sz="4" w:space="0" w:color="auto"/>
            </w:tcBorders>
            <w:shd w:val="clear" w:color="auto" w:fill="auto"/>
            <w:noWrap/>
            <w:vAlign w:val="center"/>
            <w:hideMark/>
          </w:tcPr>
          <w:p w:rsidR="00FF6C2E" w:rsidRDefault="00FF6C2E" w:rsidP="005B04FB">
            <w:pPr>
              <w:jc w:val="center"/>
              <w:rPr>
                <w:b/>
                <w:bCs/>
                <w:sz w:val="18"/>
                <w:szCs w:val="18"/>
                <w:lang w:val="es-419" w:eastAsia="es-419"/>
              </w:rPr>
            </w:pPr>
            <w:r>
              <w:rPr>
                <w:b/>
                <w:bCs/>
                <w:sz w:val="18"/>
                <w:szCs w:val="18"/>
                <w:lang w:val="es-419" w:eastAsia="es-419"/>
              </w:rPr>
              <w:t>Complete</w:t>
            </w:r>
          </w:p>
          <w:p w:rsidR="00FF6C2E" w:rsidRDefault="00FF6C2E" w:rsidP="005B04FB">
            <w:pPr>
              <w:jc w:val="center"/>
              <w:rPr>
                <w:b/>
                <w:bCs/>
                <w:sz w:val="18"/>
                <w:szCs w:val="18"/>
                <w:lang w:val="es-419" w:eastAsia="es-419"/>
              </w:rPr>
            </w:pPr>
            <w:r w:rsidRPr="005D5C97">
              <w:rPr>
                <w:b/>
                <w:bCs/>
                <w:sz w:val="18"/>
                <w:szCs w:val="18"/>
                <w:lang w:val="es-419" w:eastAsia="es-419"/>
              </w:rPr>
              <w:t>HFC</w:t>
            </w:r>
          </w:p>
          <w:p w:rsidR="00FF6C2E" w:rsidRPr="009F2082" w:rsidRDefault="00FF6C2E" w:rsidP="005B04FB">
            <w:pPr>
              <w:jc w:val="center"/>
              <w:rPr>
                <w:b/>
                <w:bCs/>
                <w:sz w:val="18"/>
                <w:szCs w:val="18"/>
                <w:lang w:val="es-419" w:eastAsia="es-419"/>
              </w:rPr>
            </w:pPr>
            <w:proofErr w:type="spellStart"/>
            <w:r>
              <w:rPr>
                <w:b/>
                <w:bCs/>
                <w:sz w:val="18"/>
                <w:szCs w:val="18"/>
                <w:lang w:val="es-419" w:eastAsia="es-419"/>
              </w:rPr>
              <w:t>b</w:t>
            </w:r>
            <w:r w:rsidRPr="005D5C97">
              <w:rPr>
                <w:b/>
                <w:bCs/>
                <w:sz w:val="18"/>
                <w:szCs w:val="18"/>
                <w:lang w:val="es-419" w:eastAsia="es-419"/>
              </w:rPr>
              <w:t>aseline</w:t>
            </w:r>
            <w:proofErr w:type="spellEnd"/>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rsidR="00FF6C2E" w:rsidRPr="009F2082" w:rsidRDefault="00FF6C2E" w:rsidP="005B04FB">
            <w:pPr>
              <w:jc w:val="center"/>
              <w:rPr>
                <w:b/>
                <w:bCs/>
                <w:sz w:val="18"/>
                <w:szCs w:val="18"/>
                <w:lang w:val="es-419" w:eastAsia="es-419"/>
              </w:rPr>
            </w:pPr>
            <w:proofErr w:type="spellStart"/>
            <w:r>
              <w:rPr>
                <w:b/>
                <w:bCs/>
                <w:sz w:val="18"/>
                <w:szCs w:val="18"/>
                <w:lang w:val="es-419" w:eastAsia="es-419"/>
              </w:rPr>
              <w:t>Consumption</w:t>
            </w:r>
            <w:proofErr w:type="spellEnd"/>
            <w:r>
              <w:rPr>
                <w:b/>
                <w:bCs/>
                <w:sz w:val="18"/>
                <w:szCs w:val="18"/>
                <w:lang w:val="es-419" w:eastAsia="es-419"/>
              </w:rPr>
              <w:t xml:space="preserve"> 2024 / HFC </w:t>
            </w:r>
            <w:proofErr w:type="spellStart"/>
            <w:r>
              <w:rPr>
                <w:b/>
                <w:bCs/>
                <w:sz w:val="18"/>
                <w:szCs w:val="18"/>
                <w:lang w:val="es-419" w:eastAsia="es-419"/>
              </w:rPr>
              <w:t>baseline</w:t>
            </w:r>
            <w:proofErr w:type="spellEnd"/>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30,971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31,900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32,857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33,842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34,858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31,909</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961,593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Venezuela</w:t>
            </w:r>
            <w:r>
              <w:rPr>
                <w:sz w:val="18"/>
                <w:szCs w:val="18"/>
                <w:lang w:val="es-419" w:eastAsia="es-419"/>
              </w:rPr>
              <w:t xml:space="preserve"> (</w:t>
            </w:r>
            <w:proofErr w:type="spellStart"/>
            <w:r>
              <w:rPr>
                <w:sz w:val="18"/>
                <w:szCs w:val="18"/>
                <w:lang w:val="es-419" w:eastAsia="es-419"/>
              </w:rPr>
              <w:t>Bolivarian</w:t>
            </w:r>
            <w:proofErr w:type="spellEnd"/>
            <w:r>
              <w:rPr>
                <w:sz w:val="18"/>
                <w:szCs w:val="18"/>
                <w:lang w:val="es-419" w:eastAsia="es-419"/>
              </w:rPr>
              <w:t xml:space="preserve"> </w:t>
            </w:r>
            <w:proofErr w:type="spellStart"/>
            <w:r>
              <w:rPr>
                <w:sz w:val="18"/>
                <w:szCs w:val="18"/>
                <w:lang w:val="es-419" w:eastAsia="es-419"/>
              </w:rPr>
              <w:t>Republic</w:t>
            </w:r>
            <w:proofErr w:type="spellEnd"/>
            <w:r>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247,757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255,190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262,846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270,731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278,853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255,264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4,013,429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12,534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12,910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13,297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13,696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14,107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12,914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125,211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831,718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856,669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882,369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908,840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936,105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856,919</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6,586,019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Cambodia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72,174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74,339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76,570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78,867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81,233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74,361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394,610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Cameroon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354,656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365,295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376,254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387,542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399,168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365,402</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1,887,911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Equatorial</w:t>
            </w:r>
            <w:proofErr w:type="spellEnd"/>
            <w:r w:rsidRPr="009F2082">
              <w:rPr>
                <w:sz w:val="18"/>
                <w:szCs w:val="18"/>
                <w:lang w:val="es-419" w:eastAsia="es-419"/>
              </w:rPr>
              <w:t xml:space="preserve"> Guinea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40,877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42,103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43,366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44,667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46,007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42,115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176,654</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47,600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49,028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50,499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52,014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53,575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49,043</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201,047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24,890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25,637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26,406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27,198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28,014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25,644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99,388</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111,778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115,131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118,585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122,142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125,807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115,165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435,467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511,583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526,931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542,739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559,021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575,792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527,084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1,776,667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32.4%</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 xml:space="preserve">Sao Tome and </w:t>
            </w:r>
            <w:proofErr w:type="spellStart"/>
            <w:r w:rsidRPr="009F2082">
              <w:rPr>
                <w:sz w:val="18"/>
                <w:szCs w:val="18"/>
                <w:lang w:val="es-419" w:eastAsia="es-419"/>
              </w:rPr>
              <w:t>Principe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22,956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23,644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24,354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25,084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25,837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23,651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69,476</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1,036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1,099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1,132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1,166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1,068</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3,001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606,526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624,722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643,463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662,767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682,650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624,904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1,740,408</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Afghanistan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283,250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291,748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300,500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309,515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318,800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291,832</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795,080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40.1%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1,856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2,089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1,912</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4,912</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42.5%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4,201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4,327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4,457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4,591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4,729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4,329</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10,805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43.8%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194,158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199,983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205,982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212,162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218,527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200,041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430,988</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50.7%</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34,999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36,049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37,131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38,245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39,392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36,060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72,955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54.0%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141,810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146,065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150,447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154,960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159,609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146,107</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295,158</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54.1%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462,123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475,987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490,266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504,974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520,123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476,125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948,075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54.9%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641,130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660,364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680,174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700,580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721,597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660,556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1,278,365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56.4%</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Haiti</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96,102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98,985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101,955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105,013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108,164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99,014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176,663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61.2%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341,571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351,818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362,372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373,243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384,441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351,920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616,785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14,054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14,476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14,910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15,358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15,818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14,480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25,160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Tunisia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1,291,231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1,329,968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1,369,867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1,410,963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1,453,291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1,330,355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2,172,600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 xml:space="preserve">Marshall </w:t>
            </w:r>
            <w:proofErr w:type="spellStart"/>
            <w:r w:rsidRPr="009F2082">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7,309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7,528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7,754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7,987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8,226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7,530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12,225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67.3%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Viet</w:t>
            </w:r>
            <w:proofErr w:type="spellEnd"/>
            <w:r>
              <w:rPr>
                <w:sz w:val="18"/>
                <w:szCs w:val="18"/>
                <w:lang w:val="es-419" w:eastAsia="es-419"/>
              </w:rPr>
              <w:t xml:space="preserve"> N</w:t>
            </w:r>
            <w:r w:rsidRPr="009F2082">
              <w:rPr>
                <w:sz w:val="18"/>
                <w:szCs w:val="18"/>
                <w:lang w:val="es-419" w:eastAsia="es-419"/>
              </w:rPr>
              <w:t>am</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6,200,034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6,386,035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6,577,616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6,774,944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6,978,192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6,387,895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10,194,191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68.5%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Grenada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30,154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31,059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31,991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32,950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33,939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31,068</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48,827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69.5%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757,277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779,995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803,395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827,497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852,321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780,222</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1,211,414</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70.4%</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Bhutan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12,009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12,369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12,740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13,122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13,516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12,373</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18,982</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71.2%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6,828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7,033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7,244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7,461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6,830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10,324</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11,692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12,042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12,404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12,776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13,159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12,046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18,126</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821,241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845,878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871,254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897,392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924,314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846,124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1,272,705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 xml:space="preserve">South </w:t>
            </w:r>
            <w:proofErr w:type="spellStart"/>
            <w:r w:rsidRPr="009F2082">
              <w:rPr>
                <w:sz w:val="18"/>
                <w:szCs w:val="18"/>
                <w:lang w:val="es-419" w:eastAsia="es-419"/>
              </w:rPr>
              <w:t>Africa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10,376,665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10,687,965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11,008,604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11,338,862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11,679,028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10,691,078</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15,887,271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73.5%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215,058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221,510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228,155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235,000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242,050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221,575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327,401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73.9%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1,587,577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1,635,204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1,684,261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1,734,788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1,786,832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1,635,681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2,408,971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163,093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167,986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173,026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178,216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183,563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168,035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247,211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Dominican</w:t>
            </w:r>
            <w:proofErr w:type="spellEnd"/>
            <w:r w:rsidRPr="009F2082">
              <w:rPr>
                <w:sz w:val="18"/>
                <w:szCs w:val="18"/>
                <w:lang w:val="es-419" w:eastAsia="es-419"/>
              </w:rPr>
              <w:t xml:space="preserve"> </w:t>
            </w:r>
            <w:proofErr w:type="spellStart"/>
            <w:r w:rsidRPr="009F2082">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2,478,814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2,553,179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2,629,774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2,708,668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2,789,928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2,553,923</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3,634,782</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76.8%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288,609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297,267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306,185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315,371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324,832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297,354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420,020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77.3%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lastRenderedPageBreak/>
              <w:t>Saint Lucia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56,062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57,744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59,476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61,260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63,098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57,761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80,773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5,428,461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5,591,314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5,759,054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5,931,825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6,109,780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5,592,943</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7,775,007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591,288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609,027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627,297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646,116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665,500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609,204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844,551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962,688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991,569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1,021,316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1,051,956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1,083,514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991,858</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1,370,931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Pakistan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7,658,304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7,888,054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8,124,695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8,368,436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8,619,489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7,890,351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10,836,190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95,565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98,432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101,385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104,427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107,560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98,461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134,951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79.7%</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Zimbabwe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1,055,117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1,086,770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1,119,373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1,152,954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1,187,543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1,087,087</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1,451,588</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81.8%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1,432,900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1,475,887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1,520,164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1,565,769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1,612,742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1,476,317</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1,959,965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Madagascar</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1,604,888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1,653,035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1,702,626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1,753,704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1,806,315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1,653,516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2,186,329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2,838,587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2,923,745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3,011,457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3,101,801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3,194,855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2,924,596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3,855,307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Benin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1,553,195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1,599,791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1,647,784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1,697,218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1,748,134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1,600,256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2,109,104</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Oman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2,047,714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2,109,146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2,172,420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2,237,593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2,304,720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2,109,760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2,765,083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83.4%</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136,677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140,777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145,001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149,351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153,831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140,818</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183,211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Ethiopia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380,836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392,261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404,029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416,150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428,635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392,376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510,026</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Panama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1,612,878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1,661,264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1,711,102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1,762,435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1,815,308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1,661,748</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2,151,340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84.4%</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Philippines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8,388,295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8,639,944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8,899,142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9,166,117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9,441,100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8,642,461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11,171,701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Lao</w:t>
            </w:r>
            <w:r>
              <w:rPr>
                <w:sz w:val="18"/>
                <w:szCs w:val="18"/>
                <w:lang w:val="es-419" w:eastAsia="es-419"/>
              </w:rPr>
              <w:t xml:space="preserve"> </w:t>
            </w:r>
            <w:proofErr w:type="spellStart"/>
            <w:r>
              <w:rPr>
                <w:sz w:val="18"/>
                <w:szCs w:val="18"/>
                <w:lang w:val="es-419" w:eastAsia="es-419"/>
              </w:rPr>
              <w:t>People’s</w:t>
            </w:r>
            <w:proofErr w:type="spellEnd"/>
            <w:r>
              <w:rPr>
                <w:sz w:val="18"/>
                <w:szCs w:val="18"/>
                <w:lang w:val="es-419" w:eastAsia="es-419"/>
              </w:rPr>
              <w:t xml:space="preserve"> </w:t>
            </w:r>
            <w:proofErr w:type="spellStart"/>
            <w:r>
              <w:rPr>
                <w:sz w:val="18"/>
                <w:szCs w:val="18"/>
                <w:lang w:val="es-419" w:eastAsia="es-419"/>
              </w:rPr>
              <w:t>Democratic</w:t>
            </w:r>
            <w:proofErr w:type="spellEnd"/>
            <w:r>
              <w:rPr>
                <w:sz w:val="18"/>
                <w:szCs w:val="18"/>
                <w:lang w:val="es-419" w:eastAsia="es-419"/>
              </w:rPr>
              <w:t xml:space="preserve"> </w:t>
            </w:r>
            <w:proofErr w:type="spellStart"/>
            <w:r>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163,812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168,727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173,788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179,002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184,372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168,776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218,101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Turkey</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29,001,393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29,871,435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30,767,578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31,690,605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32,641,323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29,880,135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38,534,306</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84.7%</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Brazil</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67,595,811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69,623,685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71,712,396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73,863,768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76,079,681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69,643,964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88,950,527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85.5%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Mauritius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605,222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623,378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642,080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661,342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681,182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623,560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792,721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85.9%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Peru</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1,968,131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2,027,175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2,087,990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2,150,630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2,215,149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2,027,766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2,572,399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86.1%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 xml:space="preserve">Cook </w:t>
            </w:r>
            <w:proofErr w:type="spellStart"/>
            <w:r w:rsidRPr="009F2082">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3,870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3,986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4,105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4,229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4,355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3,987</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5,036</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86.5%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1,474,011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1,518,232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1,563,779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1,610,692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1,659,013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1,518,674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1,911,983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86.8%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Gabon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2,424,281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2,497,010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2,571,920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2,649,077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2,728,550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2,497,737</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3,143,577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86.8%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Mexico</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51,771,891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53,325,048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54,924,799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56,572,543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58,269,720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53,340,579</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66,366,563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87.8%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1,292,579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1,331,356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1,371,297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1,412,436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1,454,809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1,331,744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1,648,177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88.3%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4,906,597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5,053,794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5,205,408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5,361,571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5,522,418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5,055,266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6,248,912</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88.4%</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Kyrgyzstan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313,430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322,833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332,518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342,493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352,768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322,927</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397,469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88.8%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751,771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774,324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797,554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821,481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846,125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774,550</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949,050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89.2%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Maldives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368,916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379,984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391,383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403,125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415,218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380,094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465,643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89.2%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575,284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592,542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610,319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628,628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647,487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592,715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726,023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89.2%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1,132,171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1,166,136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1,201,120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1,237,154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1,274,268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1,166,476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1,405,077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90.7%</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25,925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26,703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27,504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28,329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29,179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26,711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32,123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90.8%</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Micronesia</w:t>
            </w:r>
            <w:r>
              <w:rPr>
                <w:sz w:val="18"/>
                <w:szCs w:val="18"/>
                <w:lang w:val="es-419" w:eastAsia="es-419"/>
              </w:rPr>
              <w:t xml:space="preserve"> (</w:t>
            </w:r>
            <w:proofErr w:type="spellStart"/>
            <w:r>
              <w:rPr>
                <w:sz w:val="18"/>
                <w:szCs w:val="18"/>
                <w:lang w:val="es-419" w:eastAsia="es-419"/>
              </w:rPr>
              <w:t>Federated</w:t>
            </w:r>
            <w:proofErr w:type="spellEnd"/>
            <w:r>
              <w:rPr>
                <w:sz w:val="18"/>
                <w:szCs w:val="18"/>
                <w:lang w:val="es-419" w:eastAsia="es-419"/>
              </w:rPr>
              <w:t xml:space="preserve"> </w:t>
            </w:r>
            <w:proofErr w:type="spellStart"/>
            <w:r>
              <w:rPr>
                <w:sz w:val="18"/>
                <w:szCs w:val="18"/>
                <w:lang w:val="es-419" w:eastAsia="es-419"/>
              </w:rPr>
              <w:t>States</w:t>
            </w:r>
            <w:proofErr w:type="spellEnd"/>
            <w:r>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14,441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14,874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15,320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15,780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16,253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14,878</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17,804</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91.3%</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5,739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5,911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6,089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6,271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6,459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5,913</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7,054</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91.6%</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2,441,429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2,514,671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2,590,112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2,667,815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2,747,849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2,515,404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2,996,542</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91.7%</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Niger</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1,782,022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1,835,482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1,890,547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1,947,263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2,005,681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1,836,017</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2,177,655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92.1%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eastAsia="es-419"/>
              </w:rPr>
            </w:pPr>
            <w:r w:rsidRPr="009F2082">
              <w:rPr>
                <w:sz w:val="18"/>
                <w:szCs w:val="18"/>
                <w:lang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31,584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32,531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33,507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34,513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35,548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32,541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38,577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92.1%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22,124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22,788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23,472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24,176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24,901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22,795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25,937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96.0%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Bolivia</w:t>
            </w:r>
            <w:r>
              <w:rPr>
                <w:sz w:val="18"/>
                <w:szCs w:val="18"/>
                <w:lang w:val="es-419" w:eastAsia="es-419"/>
              </w:rPr>
              <w:t xml:space="preserve"> (</w:t>
            </w:r>
            <w:proofErr w:type="spellStart"/>
            <w:r>
              <w:rPr>
                <w:sz w:val="18"/>
                <w:szCs w:val="18"/>
                <w:lang w:val="es-419" w:eastAsia="es-419"/>
              </w:rPr>
              <w:t>Plurinational</w:t>
            </w:r>
            <w:proofErr w:type="spellEnd"/>
            <w:r>
              <w:rPr>
                <w:sz w:val="18"/>
                <w:szCs w:val="18"/>
                <w:lang w:val="es-419" w:eastAsia="es-419"/>
              </w:rPr>
              <w:t xml:space="preserve"> </w:t>
            </w:r>
            <w:proofErr w:type="spellStart"/>
            <w:r>
              <w:rPr>
                <w:sz w:val="18"/>
                <w:szCs w:val="18"/>
                <w:lang w:val="es-419" w:eastAsia="es-419"/>
              </w:rPr>
              <w:t>State</w:t>
            </w:r>
            <w:proofErr w:type="spellEnd"/>
            <w:r>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797,111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821,024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845,655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871,025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897,155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821,263</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933,795</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96.1%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1,204,752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1,240,894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1,278,121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1,316,465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1,355,959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1,241,256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1,397,818</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97.0%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234,188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241,214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248,450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255,904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263,581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241,284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270,413</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97.5%</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721,999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743,659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765,969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788,948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812,616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743,876</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827,914</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98.2%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1,124,731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1,158,473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1,193,227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1,229,024</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1,265,895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1,158,811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1,285,899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98.4%</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proofErr w:type="spellStart"/>
            <w:r w:rsidRPr="009F2082">
              <w:rPr>
                <w:sz w:val="18"/>
                <w:szCs w:val="18"/>
                <w:lang w:val="es-419" w:eastAsia="es-419"/>
              </w:rPr>
              <w:t>Comoros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35,173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36,229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37,316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38,435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39,588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36,239</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39,157</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101.1%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22,534,971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23,211,020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23,907,351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24,624,571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25,363,309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23,217,781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25,085,610</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101.1%</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198,685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204,645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210,785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217,108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223,622</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204,705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221,029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101.2%</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 xml:space="preserve">Cote </w:t>
            </w:r>
            <w:proofErr w:type="spellStart"/>
            <w:r>
              <w:rPr>
                <w:sz w:val="18"/>
                <w:szCs w:val="18"/>
                <w:lang w:val="es-419" w:eastAsia="es-419"/>
              </w:rPr>
              <w:t>d</w:t>
            </w:r>
            <w:r w:rsidRPr="009F2082">
              <w:rPr>
                <w:sz w:val="18"/>
                <w:szCs w:val="18"/>
                <w:lang w:val="es-419" w:eastAsia="es-419"/>
              </w:rPr>
              <w:t>'Ivoire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25,600,966</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26,368,995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27,160,065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27,974,867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28,814,113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26,376,675</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27,740,592</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103.9%</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1,432,805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1,475,789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1,520,063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1,565,665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1,612,635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1,476,219</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1,536,221</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105.0%</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23,011,425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23,701,767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24,412,820</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25,145,205</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25,899,561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23,708,671</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24,053,032</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107.7%</w:t>
            </w:r>
          </w:p>
        </w:tc>
      </w:tr>
      <w:tr w:rsidR="00FF6C2E" w:rsidRPr="009F2082" w:rsidTr="005B04FB">
        <w:tc>
          <w:tcPr>
            <w:tcW w:w="1560" w:type="dxa"/>
            <w:tcBorders>
              <w:top w:val="nil"/>
              <w:left w:val="single" w:sz="4" w:space="0" w:color="auto"/>
              <w:bottom w:val="single" w:sz="4" w:space="0" w:color="auto"/>
              <w:right w:val="single" w:sz="4" w:space="0" w:color="auto"/>
            </w:tcBorders>
            <w:shd w:val="clear" w:color="auto" w:fill="auto"/>
            <w:noWrap/>
            <w:vAlign w:val="bottom"/>
            <w:hideMark/>
          </w:tcPr>
          <w:p w:rsidR="00FF6C2E" w:rsidRPr="009F2082" w:rsidRDefault="00FF6C2E" w:rsidP="005B04FB">
            <w:pPr>
              <w:jc w:val="left"/>
              <w:rPr>
                <w:sz w:val="18"/>
                <w:szCs w:val="18"/>
                <w:lang w:val="es-419" w:eastAsia="es-419"/>
              </w:rPr>
            </w:pPr>
            <w:r w:rsidRPr="009F2082">
              <w:rPr>
                <w:sz w:val="18"/>
                <w:szCs w:val="18"/>
                <w:lang w:val="es-419" w:eastAsia="es-419"/>
              </w:rPr>
              <w:t>Ca</w:t>
            </w:r>
            <w:r>
              <w:rPr>
                <w:sz w:val="18"/>
                <w:szCs w:val="18"/>
                <w:lang w:val="es-419" w:eastAsia="es-419"/>
              </w:rPr>
              <w:t>bo</w:t>
            </w:r>
            <w:r w:rsidRPr="009F2082">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3,603,401</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3,711,503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3,822,848</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3,937,533</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4,055,659</w:t>
            </w:r>
          </w:p>
        </w:tc>
        <w:tc>
          <w:tcPr>
            <w:tcW w:w="950"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3,712,584</w:t>
            </w:r>
          </w:p>
        </w:tc>
        <w:tc>
          <w:tcPr>
            <w:tcW w:w="1005"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3,734,349</w:t>
            </w:r>
          </w:p>
        </w:tc>
        <w:tc>
          <w:tcPr>
            <w:tcW w:w="1181" w:type="dxa"/>
            <w:tcBorders>
              <w:top w:val="nil"/>
              <w:left w:val="nil"/>
              <w:bottom w:val="single" w:sz="4" w:space="0" w:color="auto"/>
              <w:right w:val="single" w:sz="4" w:space="0" w:color="auto"/>
            </w:tcBorders>
            <w:shd w:val="clear" w:color="auto" w:fill="auto"/>
            <w:noWrap/>
            <w:hideMark/>
          </w:tcPr>
          <w:p w:rsidR="00FF6C2E" w:rsidRPr="009F2082" w:rsidRDefault="00FF6C2E" w:rsidP="005B04FB">
            <w:pPr>
              <w:jc w:val="right"/>
              <w:rPr>
                <w:sz w:val="18"/>
                <w:szCs w:val="18"/>
                <w:lang w:val="es-419" w:eastAsia="es-419"/>
              </w:rPr>
            </w:pPr>
            <w:r w:rsidRPr="009F2082">
              <w:rPr>
                <w:sz w:val="18"/>
                <w:szCs w:val="18"/>
                <w:lang w:val="es-419" w:eastAsia="es-419"/>
              </w:rPr>
              <w:t>108.6%</w:t>
            </w:r>
          </w:p>
        </w:tc>
      </w:tr>
    </w:tbl>
    <w:p w:rsidR="00FF6C2E" w:rsidRDefault="00FF6C2E" w:rsidP="005B04FB">
      <w:pPr>
        <w:jc w:val="left"/>
      </w:pPr>
    </w:p>
    <w:p w:rsidR="00FF6C2E" w:rsidRPr="00F052B0" w:rsidRDefault="00FF6C2E" w:rsidP="005B04FB">
      <w:pPr>
        <w:pStyle w:val="StyleHeader4Para4Left0Firstline0"/>
        <w:numPr>
          <w:ilvl w:val="0"/>
          <w:numId w:val="0"/>
        </w:numPr>
        <w:spacing w:after="0"/>
        <w:jc w:val="left"/>
        <w:rPr>
          <w:szCs w:val="20"/>
        </w:rPr>
      </w:pPr>
      <w:r w:rsidRPr="00F052B0">
        <w:rPr>
          <w:b/>
          <w:szCs w:val="20"/>
        </w:rPr>
        <w:t>Scenario:</w:t>
      </w:r>
      <w:r w:rsidRPr="00F052B0">
        <w:rPr>
          <w:szCs w:val="20"/>
        </w:rPr>
        <w:t xml:space="preserve"> Annual growth rate = 10 per cent</w:t>
      </w:r>
    </w:p>
    <w:p w:rsidR="00FF6C2E" w:rsidRPr="00F052B0" w:rsidRDefault="00FF6C2E" w:rsidP="005B04FB">
      <w:pPr>
        <w:pStyle w:val="StyleHeader4Para4Left0Firstline0"/>
        <w:numPr>
          <w:ilvl w:val="0"/>
          <w:numId w:val="0"/>
        </w:numPr>
        <w:spacing w:after="0"/>
        <w:jc w:val="left"/>
        <w:rPr>
          <w:szCs w:val="20"/>
        </w:rPr>
      </w:pPr>
      <w:r w:rsidRPr="00F052B0">
        <w:rPr>
          <w:b/>
          <w:szCs w:val="20"/>
        </w:rPr>
        <w:t>Units</w:t>
      </w:r>
      <w:r w:rsidRPr="00F052B0">
        <w:rPr>
          <w:szCs w:val="20"/>
        </w:rPr>
        <w:t xml:space="preserve">: </w:t>
      </w:r>
      <w:proofErr w:type="spellStart"/>
      <w:r w:rsidRPr="00F052B0">
        <w:rPr>
          <w:szCs w:val="20"/>
        </w:rPr>
        <w:t>mt</w:t>
      </w:r>
      <w:proofErr w:type="spellEnd"/>
      <w:r w:rsidRPr="00F052B0">
        <w:rPr>
          <w:szCs w:val="20"/>
        </w:rPr>
        <w:t xml:space="preserve"> CO</w:t>
      </w:r>
      <w:r w:rsidRPr="00F052B0">
        <w:rPr>
          <w:szCs w:val="20"/>
          <w:vertAlign w:val="subscript"/>
        </w:rPr>
        <w:t>2</w:t>
      </w:r>
      <w:r>
        <w:rPr>
          <w:szCs w:val="20"/>
        </w:rPr>
        <w:noBreakHyphen/>
      </w:r>
      <w:r w:rsidRPr="00F052B0">
        <w:rPr>
          <w:szCs w:val="20"/>
        </w:rPr>
        <w:t>eq</w:t>
      </w:r>
    </w:p>
    <w:p w:rsidR="00FF6C2E" w:rsidRPr="00492FE1" w:rsidRDefault="00FF6C2E" w:rsidP="005B04FB">
      <w:pPr>
        <w:pStyle w:val="StyleHeader4Para4Left0Firstline0"/>
        <w:numPr>
          <w:ilvl w:val="0"/>
          <w:numId w:val="0"/>
        </w:numPr>
        <w:spacing w:after="0"/>
        <w:rPr>
          <w:szCs w:val="20"/>
        </w:rPr>
      </w:pPr>
      <w:r w:rsidRPr="002E0BA7">
        <w:rPr>
          <w:szCs w:val="20"/>
        </w:rPr>
        <w:t>Countries are sorted according to the potential risk of non-compliance, based on data in the “Consumption 2024/HFC baseline” column, from low to high risk. Wherever the value is above 100 per cent, the estimated consumption in 2024 is higher than the estimated HFC baseline (including the HCFC component) (47 countries).</w:t>
      </w:r>
    </w:p>
    <w:p w:rsidR="00FF6C2E" w:rsidRDefault="00FF6C2E" w:rsidP="005B04FB">
      <w:pPr>
        <w:pStyle w:val="StyleHeader4Para4Left0Firstline0"/>
        <w:numPr>
          <w:ilvl w:val="0"/>
          <w:numId w:val="0"/>
        </w:numPr>
        <w:spacing w:after="0"/>
        <w:jc w:val="left"/>
        <w:rPr>
          <w:sz w:val="22"/>
        </w:rPr>
      </w:pPr>
    </w:p>
    <w:tbl>
      <w:tblPr>
        <w:tblW w:w="10208" w:type="dxa"/>
        <w:tblInd w:w="-432" w:type="dxa"/>
        <w:tblLayout w:type="fixed"/>
        <w:tblLook w:val="04A0" w:firstRow="1" w:lastRow="0" w:firstColumn="1" w:lastColumn="0" w:noHBand="0" w:noVBand="1"/>
      </w:tblPr>
      <w:tblGrid>
        <w:gridCol w:w="1507"/>
        <w:gridCol w:w="951"/>
        <w:gridCol w:w="952"/>
        <w:gridCol w:w="951"/>
        <w:gridCol w:w="952"/>
        <w:gridCol w:w="952"/>
        <w:gridCol w:w="951"/>
        <w:gridCol w:w="952"/>
        <w:gridCol w:w="952"/>
        <w:gridCol w:w="1088"/>
      </w:tblGrid>
      <w:tr w:rsidR="00FF6C2E" w:rsidRPr="00492FE1" w:rsidTr="005B04FB">
        <w:trPr>
          <w:tblHeader/>
        </w:trPr>
        <w:tc>
          <w:tcPr>
            <w:tcW w:w="15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6C2E" w:rsidRPr="00161AB2" w:rsidRDefault="00FF6C2E" w:rsidP="005B04FB">
            <w:pPr>
              <w:jc w:val="center"/>
              <w:rPr>
                <w:b/>
                <w:bCs/>
                <w:sz w:val="18"/>
                <w:szCs w:val="18"/>
                <w:lang w:eastAsia="en-CA"/>
              </w:rPr>
            </w:pPr>
            <w:r w:rsidRPr="00161AB2">
              <w:rPr>
                <w:b/>
                <w:bCs/>
                <w:sz w:val="18"/>
                <w:szCs w:val="18"/>
                <w:lang w:eastAsia="en-CA"/>
              </w:rPr>
              <w:t>Country</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Pr="00161AB2" w:rsidRDefault="00FF6C2E" w:rsidP="005B04FB">
            <w:pPr>
              <w:jc w:val="center"/>
              <w:rPr>
                <w:b/>
                <w:bCs/>
                <w:sz w:val="18"/>
                <w:szCs w:val="18"/>
                <w:lang w:eastAsia="en-CA"/>
              </w:rPr>
            </w:pPr>
            <w:r w:rsidRPr="00161AB2">
              <w:rPr>
                <w:b/>
                <w:bCs/>
                <w:sz w:val="18"/>
                <w:szCs w:val="18"/>
                <w:lang w:eastAsia="en-CA"/>
              </w:rPr>
              <w:t>2019</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Pr="00161AB2" w:rsidRDefault="00FF6C2E" w:rsidP="005B04FB">
            <w:pPr>
              <w:jc w:val="center"/>
              <w:rPr>
                <w:b/>
                <w:bCs/>
                <w:sz w:val="18"/>
                <w:szCs w:val="18"/>
                <w:lang w:eastAsia="en-CA"/>
              </w:rPr>
            </w:pPr>
            <w:r w:rsidRPr="00161AB2">
              <w:rPr>
                <w:b/>
                <w:bCs/>
                <w:sz w:val="18"/>
                <w:szCs w:val="18"/>
                <w:lang w:eastAsia="en-CA"/>
              </w:rPr>
              <w:t>2020</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Pr="00161AB2" w:rsidRDefault="00FF6C2E" w:rsidP="005B04FB">
            <w:pPr>
              <w:jc w:val="center"/>
              <w:rPr>
                <w:b/>
                <w:bCs/>
                <w:sz w:val="18"/>
                <w:szCs w:val="18"/>
                <w:lang w:eastAsia="en-CA"/>
              </w:rPr>
            </w:pPr>
            <w:r w:rsidRPr="00161AB2">
              <w:rPr>
                <w:b/>
                <w:bCs/>
                <w:sz w:val="18"/>
                <w:szCs w:val="18"/>
                <w:lang w:eastAsia="en-CA"/>
              </w:rPr>
              <w:t>2021</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Pr="00161AB2" w:rsidRDefault="00FF6C2E" w:rsidP="005B04FB">
            <w:pPr>
              <w:jc w:val="center"/>
              <w:rPr>
                <w:b/>
                <w:bCs/>
                <w:sz w:val="18"/>
                <w:szCs w:val="18"/>
                <w:lang w:eastAsia="en-CA"/>
              </w:rPr>
            </w:pPr>
            <w:r w:rsidRPr="00161AB2">
              <w:rPr>
                <w:b/>
                <w:bCs/>
                <w:sz w:val="18"/>
                <w:szCs w:val="18"/>
                <w:lang w:eastAsia="en-CA"/>
              </w:rPr>
              <w:t>2022</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Pr="00161AB2" w:rsidRDefault="00FF6C2E" w:rsidP="005B04FB">
            <w:pPr>
              <w:jc w:val="center"/>
              <w:rPr>
                <w:b/>
                <w:bCs/>
                <w:sz w:val="18"/>
                <w:szCs w:val="18"/>
                <w:lang w:eastAsia="en-CA"/>
              </w:rPr>
            </w:pPr>
            <w:r w:rsidRPr="00161AB2">
              <w:rPr>
                <w:b/>
                <w:bCs/>
                <w:sz w:val="18"/>
                <w:szCs w:val="18"/>
                <w:lang w:eastAsia="en-CA"/>
              </w:rPr>
              <w:t>2023</w:t>
            </w:r>
          </w:p>
        </w:tc>
        <w:tc>
          <w:tcPr>
            <w:tcW w:w="951"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Pr="00161AB2" w:rsidRDefault="00FF6C2E" w:rsidP="005B04FB">
            <w:pPr>
              <w:jc w:val="center"/>
              <w:rPr>
                <w:b/>
                <w:bCs/>
                <w:sz w:val="18"/>
                <w:szCs w:val="18"/>
                <w:lang w:eastAsia="en-CA"/>
              </w:rPr>
            </w:pPr>
            <w:r w:rsidRPr="00161AB2">
              <w:rPr>
                <w:b/>
                <w:bCs/>
                <w:sz w:val="18"/>
                <w:szCs w:val="18"/>
                <w:lang w:eastAsia="en-CA"/>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Default="00FF6C2E" w:rsidP="005B04FB">
            <w:pPr>
              <w:jc w:val="center"/>
              <w:rPr>
                <w:b/>
                <w:bCs/>
                <w:sz w:val="18"/>
                <w:szCs w:val="18"/>
                <w:lang w:val="es-419" w:eastAsia="es-419"/>
              </w:rPr>
            </w:pPr>
            <w:r>
              <w:rPr>
                <w:b/>
                <w:bCs/>
                <w:sz w:val="18"/>
                <w:szCs w:val="18"/>
                <w:lang w:val="es-419" w:eastAsia="es-419"/>
              </w:rPr>
              <w:t xml:space="preserve">HFC </w:t>
            </w:r>
            <w:proofErr w:type="spellStart"/>
            <w:r>
              <w:rPr>
                <w:b/>
                <w:bCs/>
                <w:sz w:val="18"/>
                <w:szCs w:val="18"/>
                <w:lang w:val="es-419" w:eastAsia="es-419"/>
              </w:rPr>
              <w:t>avg</w:t>
            </w:r>
            <w:proofErr w:type="spellEnd"/>
            <w:r>
              <w:rPr>
                <w:b/>
                <w:bCs/>
                <w:sz w:val="18"/>
                <w:szCs w:val="18"/>
                <w:lang w:val="es-419" w:eastAsia="es-419"/>
              </w:rPr>
              <w:t xml:space="preserve"> (2020-</w:t>
            </w:r>
          </w:p>
          <w:p w:rsidR="00FF6C2E" w:rsidRPr="00161AB2" w:rsidRDefault="00FF6C2E" w:rsidP="005B04FB">
            <w:pPr>
              <w:jc w:val="center"/>
              <w:rPr>
                <w:b/>
                <w:bCs/>
                <w:sz w:val="18"/>
                <w:szCs w:val="18"/>
                <w:lang w:eastAsia="en-CA"/>
              </w:rPr>
            </w:pPr>
            <w:r>
              <w:rPr>
                <w:b/>
                <w:bCs/>
                <w:sz w:val="18"/>
                <w:szCs w:val="18"/>
                <w:lang w:val="es-419" w:eastAsia="es-419"/>
              </w:rPr>
              <w:t>-2024)</w:t>
            </w:r>
          </w:p>
        </w:tc>
        <w:tc>
          <w:tcPr>
            <w:tcW w:w="952"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Default="00FF6C2E" w:rsidP="005B04FB">
            <w:pPr>
              <w:jc w:val="center"/>
              <w:rPr>
                <w:b/>
                <w:bCs/>
                <w:sz w:val="18"/>
                <w:szCs w:val="18"/>
                <w:lang w:val="es-419" w:eastAsia="es-419"/>
              </w:rPr>
            </w:pPr>
            <w:r>
              <w:rPr>
                <w:b/>
                <w:bCs/>
                <w:sz w:val="18"/>
                <w:szCs w:val="18"/>
                <w:lang w:val="es-419" w:eastAsia="es-419"/>
              </w:rPr>
              <w:t>Complete</w:t>
            </w:r>
          </w:p>
          <w:p w:rsidR="00FF6C2E" w:rsidRDefault="00FF6C2E" w:rsidP="005B04FB">
            <w:pPr>
              <w:jc w:val="center"/>
              <w:rPr>
                <w:b/>
                <w:bCs/>
                <w:sz w:val="18"/>
                <w:szCs w:val="18"/>
                <w:lang w:val="es-419" w:eastAsia="es-419"/>
              </w:rPr>
            </w:pPr>
            <w:r w:rsidRPr="005D5C97">
              <w:rPr>
                <w:b/>
                <w:bCs/>
                <w:sz w:val="18"/>
                <w:szCs w:val="18"/>
                <w:lang w:val="es-419" w:eastAsia="es-419"/>
              </w:rPr>
              <w:t>HFC</w:t>
            </w:r>
          </w:p>
          <w:p w:rsidR="00FF6C2E" w:rsidRPr="00161AB2" w:rsidRDefault="00FF6C2E" w:rsidP="005B04FB">
            <w:pPr>
              <w:jc w:val="center"/>
              <w:rPr>
                <w:b/>
                <w:bCs/>
                <w:sz w:val="18"/>
                <w:szCs w:val="18"/>
                <w:lang w:eastAsia="en-CA"/>
              </w:rPr>
            </w:pPr>
            <w:proofErr w:type="spellStart"/>
            <w:r>
              <w:rPr>
                <w:b/>
                <w:bCs/>
                <w:sz w:val="18"/>
                <w:szCs w:val="18"/>
                <w:lang w:val="es-419" w:eastAsia="es-419"/>
              </w:rPr>
              <w:t>b</w:t>
            </w:r>
            <w:r w:rsidRPr="005D5C97">
              <w:rPr>
                <w:b/>
                <w:bCs/>
                <w:sz w:val="18"/>
                <w:szCs w:val="18"/>
                <w:lang w:val="es-419" w:eastAsia="es-419"/>
              </w:rPr>
              <w:t>aseline</w:t>
            </w:r>
            <w:proofErr w:type="spellEnd"/>
          </w:p>
        </w:tc>
        <w:tc>
          <w:tcPr>
            <w:tcW w:w="1088" w:type="dxa"/>
            <w:tcBorders>
              <w:top w:val="single" w:sz="4" w:space="0" w:color="auto"/>
              <w:left w:val="nil"/>
              <w:bottom w:val="single" w:sz="4" w:space="0" w:color="auto"/>
              <w:right w:val="single" w:sz="4" w:space="0" w:color="auto"/>
            </w:tcBorders>
            <w:shd w:val="clear" w:color="auto" w:fill="auto"/>
            <w:noWrap/>
            <w:tcMar>
              <w:left w:w="0" w:type="dxa"/>
              <w:right w:w="0" w:type="dxa"/>
            </w:tcMar>
            <w:vAlign w:val="center"/>
            <w:hideMark/>
          </w:tcPr>
          <w:p w:rsidR="00FF6C2E" w:rsidRPr="00161AB2" w:rsidRDefault="00FF6C2E" w:rsidP="005B04FB">
            <w:pPr>
              <w:jc w:val="center"/>
              <w:rPr>
                <w:b/>
                <w:bCs/>
                <w:sz w:val="18"/>
                <w:szCs w:val="18"/>
                <w:lang w:eastAsia="en-CA"/>
              </w:rPr>
            </w:pPr>
            <w:proofErr w:type="spellStart"/>
            <w:r>
              <w:rPr>
                <w:b/>
                <w:bCs/>
                <w:sz w:val="18"/>
                <w:szCs w:val="18"/>
                <w:lang w:val="es-419" w:eastAsia="es-419"/>
              </w:rPr>
              <w:t>Consumption</w:t>
            </w:r>
            <w:proofErr w:type="spellEnd"/>
            <w:r>
              <w:rPr>
                <w:b/>
                <w:bCs/>
                <w:sz w:val="18"/>
                <w:szCs w:val="18"/>
                <w:lang w:val="es-419" w:eastAsia="es-419"/>
              </w:rPr>
              <w:t xml:space="preserve"> 2024 / HFC </w:t>
            </w:r>
            <w:proofErr w:type="spellStart"/>
            <w:r>
              <w:rPr>
                <w:b/>
                <w:bCs/>
                <w:sz w:val="18"/>
                <w:szCs w:val="18"/>
                <w:lang w:val="es-419" w:eastAsia="es-419"/>
              </w:rPr>
              <w:t>baseline</w:t>
            </w:r>
            <w:proofErr w:type="spellEnd"/>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492FE1">
              <w:rPr>
                <w:sz w:val="18"/>
                <w:szCs w:val="18"/>
                <w:lang w:eastAsia="en-CA"/>
              </w:rPr>
              <w:t>L</w:t>
            </w:r>
            <w:r w:rsidRPr="00161AB2">
              <w:rPr>
                <w:sz w:val="18"/>
                <w:szCs w:val="18"/>
                <w:lang w:eastAsia="en-CA"/>
              </w:rPr>
              <w:t>ebanon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33,075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36,383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40,021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44,023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48,426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966,177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9F2082">
              <w:rPr>
                <w:sz w:val="18"/>
                <w:szCs w:val="18"/>
                <w:lang w:val="es-419" w:eastAsia="es-419"/>
              </w:rPr>
              <w:t>Venezuela</w:t>
            </w:r>
            <w:r>
              <w:rPr>
                <w:sz w:val="18"/>
                <w:szCs w:val="18"/>
                <w:lang w:val="es-419" w:eastAsia="es-419"/>
              </w:rPr>
              <w:t xml:space="preserve"> (</w:t>
            </w:r>
            <w:proofErr w:type="spellStart"/>
            <w:r>
              <w:rPr>
                <w:sz w:val="18"/>
                <w:szCs w:val="18"/>
                <w:lang w:val="es-419" w:eastAsia="es-419"/>
              </w:rPr>
              <w:t>Bolivarian</w:t>
            </w:r>
            <w:proofErr w:type="spellEnd"/>
            <w:r>
              <w:rPr>
                <w:sz w:val="18"/>
                <w:szCs w:val="18"/>
                <w:lang w:val="es-419" w:eastAsia="es-419"/>
              </w:rPr>
              <w:t xml:space="preserve"> </w:t>
            </w:r>
            <w:proofErr w:type="spellStart"/>
            <w:r>
              <w:rPr>
                <w:sz w:val="18"/>
                <w:szCs w:val="18"/>
                <w:lang w:val="es-419" w:eastAsia="es-419"/>
              </w:rPr>
              <w:t>Republic</w:t>
            </w:r>
            <w:proofErr w:type="spellEnd"/>
            <w:r>
              <w:rPr>
                <w:sz w:val="18"/>
                <w:szCs w:val="18"/>
                <w:lang w:val="es-419" w:eastAsia="es-419"/>
              </w:rPr>
              <w:t xml:space="preserv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240,541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264,595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291,055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320,160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352,176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387,394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291,937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4,050,101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9.6%</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Liberia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12,169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13,386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14,724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16,197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17,817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19,598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14,769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127,066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Nigeria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807,493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888,242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977,066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1,074,773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1,182,250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1,300,475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980,027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6,709,128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Cambodia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70,072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77,079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84,787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102,592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112,852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85,044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405,293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Cameroon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344,326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378,759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458,298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504,128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554,540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417,897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1,940,407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28.6%</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Equatorial 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39,686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43,655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48,020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52,822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58,104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63,915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48,166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182,704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Burundi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46,214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50,835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55,919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61,511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67,662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74,428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56,088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208,092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Lesotho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24,165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26,582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32,164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35,380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38,918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29,328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Mali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108,522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119,374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131,312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144,443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158,887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174,776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131,710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452,012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38.7%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Ghana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496,683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546,351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600,986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661,085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727,194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799,913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602,808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1,852,390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43.2%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Sao Tome and Principe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22,287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24,516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26,967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32,630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35,893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72,874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49.3%</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Tuvalu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1,107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1,217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3,154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51.4%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Kenya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588,860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647,746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712,521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783,773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862,150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948,365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714,680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1,830,184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51.8%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Afghanistan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275,000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302,500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332,750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366,025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402,628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442,890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333,758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837,006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52.9%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Tonga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5,187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55.9%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Antigua and Barbuda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5,972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6,569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11,427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57.5%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Malawi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188,503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207,353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228,089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250,897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275,987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303,586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228,780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459,727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66.0%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proofErr w:type="spellStart"/>
            <w:r w:rsidRPr="00161AB2">
              <w:rPr>
                <w:sz w:val="18"/>
                <w:szCs w:val="18"/>
                <w:lang w:eastAsia="en-CA"/>
              </w:rPr>
              <w:t>Eswatini</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33,980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37,378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45,227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49,750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41,240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78,135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70.0%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Armenia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137,680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151,448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166,593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183,252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201,577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221,735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167,098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316,148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70.1%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Uruguay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448,663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493,529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542,882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597,170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656,887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722,576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544,527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1,016,477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71.1%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Burkina Faso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622,456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684,702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753,172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828,489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911,338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1,002,472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755,454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1,373,264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73.0%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Haiti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93,303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102,633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112,897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124,186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136,605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113,239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190,888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78.7%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Sri Lanka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331,622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364,784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401,263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441,389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485,528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534,081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402,479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667,343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80.0%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 xml:space="preserve">Timor </w:t>
            </w:r>
            <w:proofErr w:type="spellStart"/>
            <w:r w:rsidRPr="00161AB2">
              <w:rPr>
                <w:sz w:val="18"/>
                <w:szCs w:val="18"/>
                <w:lang w:eastAsia="en-CA"/>
              </w:rPr>
              <w:t>Leste</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13,645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16,510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18,161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19,978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21,975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27,240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80.7%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Tunisia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1,253,622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1,378,984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1,516,883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1,668,571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1,835,428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2,018,971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1,521,479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2,363,724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Marshall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7,096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7,806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11,428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8,612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13,306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Viet</w:t>
            </w:r>
            <w:r>
              <w:rPr>
                <w:sz w:val="18"/>
                <w:szCs w:val="18"/>
                <w:lang w:eastAsia="en-CA"/>
              </w:rPr>
              <w:t xml:space="preserve"> N</w:t>
            </w:r>
            <w:r w:rsidRPr="00161AB2">
              <w:rPr>
                <w:sz w:val="18"/>
                <w:szCs w:val="18"/>
                <w:lang w:eastAsia="en-CA"/>
              </w:rPr>
              <w:t>am</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6,019,450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6,621,395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7,283,535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8,011,888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8,813,077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9,694,384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7,305,606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11,111,902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87.2%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Grenada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29,276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32,204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35,424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38,966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47,149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35,531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53,291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88.5%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Sudan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735,220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808,742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889,616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978,578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1,076,436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1,184,079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892,312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1,323,504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89.5%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Bhutan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11,659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12,825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14,107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17,070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14,150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20,760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90.4%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Palau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6,436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7,080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7,788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9,423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7,811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11,305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91.7%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Vanuatu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12,486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13,735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15,108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16,619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18,281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13,776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19,856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92.1%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Togo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797,321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877,053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964,758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1,061,234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1,167,358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1,284,093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967,682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1,394,263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92.1%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South Africa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10,074,432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11,081,875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12,190,063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13,409,069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14,749,976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16,224,973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12,227,002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17,423,196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Zambia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208,794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229,674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252,641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277,905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305,696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336,266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359,233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93.6%</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Senegal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1,541,337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1,695,471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1,865,018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2,051,520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2,256,672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2,482,339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1,870,669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2,643,959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Barbados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158,343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174,177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191,595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210,755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231,830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255,013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192,176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271,351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94.0%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Dominican Republic</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2,406,616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2,647,278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2,912,005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3,203,206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3,523,526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3,875,879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2,920,830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4,001,689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96.9%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Fiji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280,203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308,223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339,046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372,950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410,245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451,270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340,073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462,739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97.5%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Saint Lucia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54,429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59,872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65,859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72,445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79,689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87,658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66,059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89,071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98.4%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Colombia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5,270,350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5,797,385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6,377,124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7,014,836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7,716,319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8,487,951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6,396,448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8,578,512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98.9%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Botswana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574,066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631,473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694,620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764,082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840,490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924,539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696,725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932,072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99.2%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Paraguay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934,649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1,028,114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1,130,925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1,244,018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1,368,420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1,505,262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1,134,352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1,513,426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99.5%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Pakistan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7,435,247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8,178,772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8,996,649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9,896,314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10,885,945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11,974,540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9,023,911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11,969,751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100.0%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Guyana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92,782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102,060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112,266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123,493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135,842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149,426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149,096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100.2%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lastRenderedPageBreak/>
              <w:t>Zimbabwe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1,024,385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1,126,824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1,239,506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1,363,456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1,499,802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1,649,782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1,243,262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1,607,764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102.6%</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Guinea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1,391,166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1,530,282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1,683,310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1,851,641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2,036,805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2,240,486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1,688,411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2,172,059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Madagascar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1,558,144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1,713,958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1,885,354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2,073,889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2,281,278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2,509,406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1,891,067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2,423,880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Trinidad and Tobago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2,755,910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3,031,501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3,334,651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3,668,116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4,034,928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4,438,421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3,344,756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4,275,467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Benin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1,507,956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1,658,752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1,824,627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2,007,089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2,207,798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2,428,578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1,830,156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2,339,004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Oman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1,988,072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2,186,879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2,405,567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2,646,124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2,910,736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3,201,810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2,412,857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3,068,180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104.4%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Suriname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132,696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145,966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160,562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176,618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194,280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213,708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161,049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203,442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Ethiopia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369,744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406,718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447,390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492,129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541,342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595,476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448,746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566,396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Panama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1,565,901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1,722,491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1,894,740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2,084,214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2,292,636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2,521,899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1,900,482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2,390,074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Philippines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8,143,976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8,958,374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9,854,211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10,839,632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11,923,595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13,115,955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9,884,072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12,413,313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9F2082">
              <w:rPr>
                <w:sz w:val="18"/>
                <w:szCs w:val="18"/>
                <w:lang w:val="es-419" w:eastAsia="es-419"/>
              </w:rPr>
              <w:t>Lao</w:t>
            </w:r>
            <w:r>
              <w:rPr>
                <w:sz w:val="18"/>
                <w:szCs w:val="18"/>
                <w:lang w:val="es-419" w:eastAsia="es-419"/>
              </w:rPr>
              <w:t xml:space="preserve"> </w:t>
            </w:r>
            <w:proofErr w:type="spellStart"/>
            <w:r>
              <w:rPr>
                <w:sz w:val="18"/>
                <w:szCs w:val="18"/>
                <w:lang w:val="es-419" w:eastAsia="es-419"/>
              </w:rPr>
              <w:t>People’s</w:t>
            </w:r>
            <w:proofErr w:type="spellEnd"/>
            <w:r>
              <w:rPr>
                <w:sz w:val="18"/>
                <w:szCs w:val="18"/>
                <w:lang w:val="es-419" w:eastAsia="es-419"/>
              </w:rPr>
              <w:t xml:space="preserve"> </w:t>
            </w:r>
            <w:proofErr w:type="spellStart"/>
            <w:r>
              <w:rPr>
                <w:sz w:val="18"/>
                <w:szCs w:val="18"/>
                <w:lang w:val="es-419" w:eastAsia="es-419"/>
              </w:rPr>
              <w:t>Democratic</w:t>
            </w:r>
            <w:proofErr w:type="spellEnd"/>
            <w:r>
              <w:rPr>
                <w:sz w:val="18"/>
                <w:szCs w:val="18"/>
                <w:lang w:val="es-419" w:eastAsia="es-419"/>
              </w:rPr>
              <w:t xml:space="preserve"> </w:t>
            </w:r>
            <w:proofErr w:type="spellStart"/>
            <w:r>
              <w:rPr>
                <w:sz w:val="18"/>
                <w:szCs w:val="18"/>
                <w:lang w:val="es-419" w:eastAsia="es-419"/>
              </w:rPr>
              <w:t>Republic</w:t>
            </w:r>
            <w:proofErr w:type="spellEnd"/>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159,041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174,945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192,440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211,684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232,852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256,137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193,023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242,348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Turkey</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28,156,692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30,972,361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34,069,597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37,476,557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41,224,213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45,346,634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34,172,839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42,827,010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Brazil</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65,627,001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72,189,701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79,408,671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87,349,538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96,084,492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105,692,941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79,649,304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98,955,866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106.8%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Mauritius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587,594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646,353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710,989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782,088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860,296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946,326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713,143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882,304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107.3%</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Peru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1,910,807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2,101,888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2,312,076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2,543,284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2,797,613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3,077,374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2,319,083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2,863,716</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107.5%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Cook Islands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3,757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4,133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5,001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5,501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6,051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5,609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107.9%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Honduras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1,431,079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1,574,187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1,731,606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1,904,766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2,095,243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2,304,767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1,736,853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2,130,162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108.2%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Gabon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2,353,671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2,589,038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2,847,942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3,132,736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3,446,010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3,790,611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2,856,572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3,502,412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108.2%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Mexico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50,263,972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55,290,369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60,819,406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66,901,347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73,591,481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80,950,630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61,003,707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74,029,691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109.3%</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Cuba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1,254,931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1,380,424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1,518,467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1,670,313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1,837,344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2,021,079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1,523,068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1,839,501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109.9%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Chile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4,763,686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5,240,055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5,764,060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6,340,466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6,974,513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7,671,964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5,781,527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6,975,172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110.0%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Kyrgyzstan</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304,301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334,731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368,204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405,025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445,527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490,080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369,320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443,862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110.4%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Namibia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729,875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802,863</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883,149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971,464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1,068,610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1,175,471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885,825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1,060,325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110.9%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Maldives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358,171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393,988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433,387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476,726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524,398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576,838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434,700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520,249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110.9%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Nicaragua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558,528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614,381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675,819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743,401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817,741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899,515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677,867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811,175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110.9%</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Costa Rica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1,099,195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1,209,115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1,330,026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1,463,029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1,609,331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1,770,265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1,334,056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1,572,658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112.6%</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Samoa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25,170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27,687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30,456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33,501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36,851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40,537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30,548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35,960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9F2082">
              <w:rPr>
                <w:sz w:val="18"/>
                <w:szCs w:val="18"/>
                <w:lang w:val="es-419" w:eastAsia="es-419"/>
              </w:rPr>
              <w:t>Micronesia</w:t>
            </w:r>
            <w:r>
              <w:rPr>
                <w:sz w:val="18"/>
                <w:szCs w:val="18"/>
                <w:lang w:val="es-419" w:eastAsia="es-419"/>
              </w:rPr>
              <w:t xml:space="preserve"> (</w:t>
            </w:r>
            <w:proofErr w:type="spellStart"/>
            <w:r>
              <w:rPr>
                <w:sz w:val="18"/>
                <w:szCs w:val="18"/>
                <w:lang w:val="es-419" w:eastAsia="es-419"/>
              </w:rPr>
              <w:t>Federated</w:t>
            </w:r>
            <w:proofErr w:type="spellEnd"/>
            <w:r>
              <w:rPr>
                <w:sz w:val="18"/>
                <w:szCs w:val="18"/>
                <w:lang w:val="es-419" w:eastAsia="es-419"/>
              </w:rPr>
              <w:t xml:space="preserve"> </w:t>
            </w:r>
            <w:proofErr w:type="spellStart"/>
            <w:r>
              <w:rPr>
                <w:sz w:val="18"/>
                <w:szCs w:val="18"/>
                <w:lang w:val="es-419" w:eastAsia="es-419"/>
              </w:rPr>
              <w:t>States</w:t>
            </w:r>
            <w:proofErr w:type="spellEnd"/>
            <w:r>
              <w:rPr>
                <w:sz w:val="18"/>
                <w:szCs w:val="18"/>
                <w:lang w:val="es-419" w:eastAsia="es-419"/>
              </w:rPr>
              <w:t xml:space="preserv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14,020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16,964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18,661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20,527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22,579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17,016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19,941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Kiribati</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5,572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6,129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6,742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7,416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8,158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8,974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6,763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7,904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Ecuador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2,370,319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2,607,351</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2,868,086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3,154,895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3,470,384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3,817,422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2,876,777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3,357,915</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113.7%</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Niger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1,730,118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1,903,130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2,093,443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2,302,787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2,533,066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2,786,372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2,099,787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2,441,424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114.1%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Saint Vincent and the Grenadines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33,730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37,103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40,814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44,895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49,385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37,216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43,252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114.2%</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Uganda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21,480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28,590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31,449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34,594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26,070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29,212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118.4%</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9F2082">
              <w:rPr>
                <w:sz w:val="18"/>
                <w:szCs w:val="18"/>
                <w:lang w:val="es-419" w:eastAsia="es-419"/>
              </w:rPr>
              <w:t>Bolivia</w:t>
            </w:r>
            <w:r>
              <w:rPr>
                <w:sz w:val="18"/>
                <w:szCs w:val="18"/>
                <w:lang w:val="es-419" w:eastAsia="es-419"/>
              </w:rPr>
              <w:t xml:space="preserve"> (</w:t>
            </w:r>
            <w:proofErr w:type="spellStart"/>
            <w:r>
              <w:rPr>
                <w:sz w:val="18"/>
                <w:szCs w:val="18"/>
                <w:lang w:val="es-419" w:eastAsia="es-419"/>
              </w:rPr>
              <w:t>Plurinational</w:t>
            </w:r>
            <w:proofErr w:type="spellEnd"/>
            <w:r>
              <w:rPr>
                <w:sz w:val="18"/>
                <w:szCs w:val="18"/>
                <w:lang w:val="es-419" w:eastAsia="es-419"/>
              </w:rPr>
              <w:t xml:space="preserve"> </w:t>
            </w:r>
            <w:proofErr w:type="spellStart"/>
            <w:r>
              <w:rPr>
                <w:sz w:val="18"/>
                <w:szCs w:val="18"/>
                <w:lang w:val="es-419" w:eastAsia="es-419"/>
              </w:rPr>
              <w:t>State</w:t>
            </w:r>
            <w:proofErr w:type="spellEnd"/>
            <w:r>
              <w:rPr>
                <w:sz w:val="18"/>
                <w:szCs w:val="18"/>
                <w:lang w:val="es-419" w:eastAsia="es-419"/>
              </w:rPr>
              <w:t xml:space="preserve"> of)</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773,894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851,284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936,412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1,030,053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1,133,059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1,246,364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939,250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1,051,781</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118.5%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Guatemala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1,169,662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1,286,628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1,415,291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1,556,820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1,712,502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1,883,752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1,419,580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1,576,142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119.5%</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Seychelles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227,367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250,104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275,114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302,625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332,888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366,177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275,948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305,077</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120.0%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Rwanda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700,970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771,067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848,174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932,991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1,026,290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1,128,919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850,744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934,782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120.8%</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Albania</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1,091,972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1,201,169</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1,321,286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1,453,415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1,598,756</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1,758,632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1,325,290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1,452,379</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121.1%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Comoros</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34,149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37,564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41,320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45,452</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49,998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54,997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41,446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44,363</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Qatar</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21,878,613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24,066,474</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26,473,121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29,120,434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32,032,477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35,235,725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26,553,343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28,421,172</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Montenegro</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192,898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212,188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233,407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256,747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282,422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310,664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234,114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250,438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124.0%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Pr>
                <w:sz w:val="18"/>
                <w:szCs w:val="18"/>
                <w:lang w:eastAsia="en-CA"/>
              </w:rPr>
              <w:t>Cote d</w:t>
            </w:r>
            <w:r w:rsidRPr="00161AB2">
              <w:rPr>
                <w:sz w:val="18"/>
                <w:szCs w:val="18"/>
                <w:lang w:eastAsia="en-CA"/>
              </w:rPr>
              <w:t>'Ivoire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24,855,307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27,340,838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30,074,921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33,082,414</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36,390,655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40,029,720</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30,166,058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31,529,974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127.0%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Guinea-Bissau</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1,391,073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1,530,180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1,683,198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1,851,518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2,036,670</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2,240,337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1,688,299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1,748,300</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128.1%</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Chad</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22,341,189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24,575,308</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27,032,839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29,736,123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32,709,735</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35,980,708</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27,114,756</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27,459,118</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131.0%</w:t>
            </w:r>
          </w:p>
        </w:tc>
      </w:tr>
      <w:tr w:rsidR="00FF6C2E" w:rsidRPr="00492FE1" w:rsidTr="005B04FB">
        <w:tc>
          <w:tcPr>
            <w:tcW w:w="1507" w:type="dxa"/>
            <w:tcBorders>
              <w:top w:val="nil"/>
              <w:left w:val="single" w:sz="4" w:space="0" w:color="auto"/>
              <w:bottom w:val="single" w:sz="4" w:space="0" w:color="auto"/>
              <w:right w:val="single" w:sz="4" w:space="0" w:color="auto"/>
            </w:tcBorders>
            <w:shd w:val="clear" w:color="auto" w:fill="auto"/>
            <w:noWrap/>
            <w:tcMar>
              <w:left w:w="29" w:type="dxa"/>
              <w:right w:w="29" w:type="dxa"/>
            </w:tcMar>
            <w:vAlign w:val="bottom"/>
            <w:hideMark/>
          </w:tcPr>
          <w:p w:rsidR="00FF6C2E" w:rsidRPr="00161AB2" w:rsidRDefault="00FF6C2E" w:rsidP="005B04FB">
            <w:pPr>
              <w:jc w:val="left"/>
              <w:rPr>
                <w:sz w:val="18"/>
                <w:szCs w:val="18"/>
                <w:lang w:eastAsia="en-CA"/>
              </w:rPr>
            </w:pPr>
            <w:r w:rsidRPr="00161AB2">
              <w:rPr>
                <w:sz w:val="18"/>
                <w:szCs w:val="18"/>
                <w:lang w:eastAsia="en-CA"/>
              </w:rPr>
              <w:t>Ca</w:t>
            </w:r>
            <w:r>
              <w:rPr>
                <w:sz w:val="18"/>
                <w:szCs w:val="18"/>
                <w:lang w:eastAsia="en-CA"/>
              </w:rPr>
              <w:t>bo</w:t>
            </w:r>
            <w:r w:rsidRPr="00161AB2">
              <w:rPr>
                <w:sz w:val="18"/>
                <w:szCs w:val="18"/>
                <w:lang w:eastAsia="en-CA"/>
              </w:rPr>
              <w:t xml:space="preserve"> Verde</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3,498,447</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3,848,292</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4,233,121</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4,656,433</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5,122,077</w:t>
            </w:r>
          </w:p>
        </w:tc>
        <w:tc>
          <w:tcPr>
            <w:tcW w:w="951"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5,634,285</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4,245,949</w:t>
            </w:r>
          </w:p>
        </w:tc>
        <w:tc>
          <w:tcPr>
            <w:tcW w:w="952"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4,267,714</w:t>
            </w:r>
          </w:p>
        </w:tc>
        <w:tc>
          <w:tcPr>
            <w:tcW w:w="1088" w:type="dxa"/>
            <w:tcBorders>
              <w:top w:val="nil"/>
              <w:left w:val="nil"/>
              <w:bottom w:val="single" w:sz="4" w:space="0" w:color="auto"/>
              <w:right w:val="single" w:sz="4" w:space="0" w:color="auto"/>
            </w:tcBorders>
            <w:shd w:val="clear" w:color="auto" w:fill="auto"/>
            <w:noWrap/>
            <w:tcMar>
              <w:left w:w="29" w:type="dxa"/>
              <w:right w:w="29" w:type="dxa"/>
            </w:tcMar>
            <w:hideMark/>
          </w:tcPr>
          <w:p w:rsidR="00FF6C2E" w:rsidRPr="00161AB2" w:rsidRDefault="00FF6C2E" w:rsidP="005B04FB">
            <w:pPr>
              <w:jc w:val="right"/>
              <w:rPr>
                <w:sz w:val="18"/>
                <w:szCs w:val="18"/>
                <w:lang w:eastAsia="en-CA"/>
              </w:rPr>
            </w:pPr>
            <w:r w:rsidRPr="00492FE1">
              <w:rPr>
                <w:sz w:val="18"/>
                <w:szCs w:val="18"/>
              </w:rPr>
              <w:t>132.0%</w:t>
            </w:r>
          </w:p>
        </w:tc>
      </w:tr>
    </w:tbl>
    <w:p w:rsidR="00FF6C2E" w:rsidRDefault="00FF6C2E" w:rsidP="005B04FB">
      <w:pPr>
        <w:pStyle w:val="StyleHeader4Para4Left0Firstline0"/>
        <w:numPr>
          <w:ilvl w:val="0"/>
          <w:numId w:val="0"/>
        </w:numPr>
        <w:spacing w:after="0"/>
        <w:jc w:val="left"/>
        <w:rPr>
          <w:sz w:val="22"/>
        </w:rPr>
      </w:pPr>
    </w:p>
    <w:p w:rsidR="00FF6C2E" w:rsidRDefault="00FF6C2E" w:rsidP="005B04FB">
      <w:pPr>
        <w:pStyle w:val="StyleHeader4Para4Left0Firstline0"/>
        <w:numPr>
          <w:ilvl w:val="0"/>
          <w:numId w:val="0"/>
        </w:numPr>
        <w:spacing w:after="0"/>
        <w:jc w:val="left"/>
        <w:rPr>
          <w:sz w:val="22"/>
        </w:rPr>
      </w:pPr>
    </w:p>
    <w:p w:rsidR="00FF6C2E" w:rsidRDefault="00FF6C2E" w:rsidP="005B04FB">
      <w:pPr>
        <w:jc w:val="left"/>
      </w:pPr>
      <w:r>
        <w:br w:type="page"/>
      </w:r>
    </w:p>
    <w:p w:rsidR="00FF6C2E" w:rsidRPr="002E0BA7" w:rsidRDefault="00FF6C2E" w:rsidP="005B04FB">
      <w:pPr>
        <w:pStyle w:val="StyleHeader4Para4Left0Firstline0"/>
        <w:numPr>
          <w:ilvl w:val="0"/>
          <w:numId w:val="0"/>
        </w:numPr>
        <w:spacing w:after="0"/>
        <w:jc w:val="left"/>
        <w:rPr>
          <w:szCs w:val="20"/>
        </w:rPr>
      </w:pPr>
      <w:r w:rsidRPr="002E0BA7">
        <w:rPr>
          <w:b/>
          <w:szCs w:val="20"/>
        </w:rPr>
        <w:lastRenderedPageBreak/>
        <w:t>Scenario</w:t>
      </w:r>
      <w:r w:rsidRPr="002E0BA7">
        <w:rPr>
          <w:szCs w:val="20"/>
        </w:rPr>
        <w:t>: Variable annual growth rate = 2 per cent between 2019 and 2022; 10 per cent in 2023 and 2024</w:t>
      </w:r>
    </w:p>
    <w:p w:rsidR="00FF6C2E" w:rsidRPr="002E0BA7" w:rsidRDefault="00FF6C2E" w:rsidP="005B04FB">
      <w:pPr>
        <w:pStyle w:val="StyleHeader4Para4Left0Firstline0"/>
        <w:numPr>
          <w:ilvl w:val="0"/>
          <w:numId w:val="0"/>
        </w:numPr>
        <w:spacing w:after="0"/>
        <w:jc w:val="left"/>
        <w:rPr>
          <w:szCs w:val="20"/>
        </w:rPr>
      </w:pPr>
      <w:r w:rsidRPr="002E0BA7">
        <w:rPr>
          <w:b/>
          <w:szCs w:val="20"/>
        </w:rPr>
        <w:t>Units</w:t>
      </w:r>
      <w:r w:rsidRPr="002E0BA7">
        <w:rPr>
          <w:szCs w:val="20"/>
        </w:rPr>
        <w:t xml:space="preserve">: </w:t>
      </w:r>
      <w:proofErr w:type="spellStart"/>
      <w:r w:rsidRPr="002E0BA7">
        <w:rPr>
          <w:szCs w:val="20"/>
        </w:rPr>
        <w:t>mt</w:t>
      </w:r>
      <w:proofErr w:type="spellEnd"/>
      <w:r w:rsidRPr="002E0BA7">
        <w:rPr>
          <w:szCs w:val="20"/>
        </w:rPr>
        <w:t xml:space="preserve"> CO</w:t>
      </w:r>
      <w:r w:rsidRPr="002E0BA7">
        <w:rPr>
          <w:szCs w:val="20"/>
          <w:vertAlign w:val="subscript"/>
        </w:rPr>
        <w:t>2</w:t>
      </w:r>
      <w:r w:rsidRPr="002E0BA7">
        <w:rPr>
          <w:szCs w:val="20"/>
        </w:rPr>
        <w:noBreakHyphen/>
        <w:t>eq</w:t>
      </w:r>
    </w:p>
    <w:p w:rsidR="00FF6C2E" w:rsidRPr="00F052B0" w:rsidRDefault="00FF6C2E" w:rsidP="005B04FB">
      <w:pPr>
        <w:pStyle w:val="StyleHeader4Para4Left0Firstline0"/>
        <w:numPr>
          <w:ilvl w:val="0"/>
          <w:numId w:val="0"/>
        </w:numPr>
        <w:spacing w:after="0"/>
        <w:rPr>
          <w:szCs w:val="20"/>
        </w:rPr>
      </w:pPr>
      <w:r w:rsidRPr="002E0BA7">
        <w:rPr>
          <w:szCs w:val="20"/>
        </w:rPr>
        <w:t>Countries are sorted according to the potential risk of non-compliance, based on data in the “Consumption 2024/HFC baseline” column, from low to high risk. Wherever the value is above 100 per cent, the estimated consumption in 2024 is higher than the estimated HFC baseline (including the HCFC component) (23 countries).</w:t>
      </w:r>
    </w:p>
    <w:p w:rsidR="00FF6C2E" w:rsidRPr="00F052B0" w:rsidRDefault="00FF6C2E" w:rsidP="005B04FB">
      <w:pPr>
        <w:pStyle w:val="StyleHeader4Para4Left0Firstline0"/>
        <w:numPr>
          <w:ilvl w:val="0"/>
          <w:numId w:val="0"/>
        </w:numPr>
        <w:spacing w:after="0"/>
        <w:jc w:val="left"/>
        <w:rPr>
          <w:sz w:val="22"/>
        </w:rPr>
      </w:pPr>
    </w:p>
    <w:tbl>
      <w:tblPr>
        <w:tblW w:w="10148" w:type="dxa"/>
        <w:tblCellMar>
          <w:left w:w="70" w:type="dxa"/>
          <w:right w:w="70" w:type="dxa"/>
        </w:tblCellMar>
        <w:tblLook w:val="04A0" w:firstRow="1" w:lastRow="0" w:firstColumn="1" w:lastColumn="0" w:noHBand="0" w:noVBand="1"/>
      </w:tblPr>
      <w:tblGrid>
        <w:gridCol w:w="1130"/>
        <w:gridCol w:w="950"/>
        <w:gridCol w:w="950"/>
        <w:gridCol w:w="950"/>
        <w:gridCol w:w="978"/>
        <w:gridCol w:w="950"/>
        <w:gridCol w:w="950"/>
        <w:gridCol w:w="1076"/>
        <w:gridCol w:w="1034"/>
        <w:gridCol w:w="1181"/>
      </w:tblGrid>
      <w:tr w:rsidR="00FF6C2E" w:rsidRPr="00F052B0" w:rsidTr="005B04FB">
        <w:trPr>
          <w:tblHeader/>
        </w:trPr>
        <w:tc>
          <w:tcPr>
            <w:tcW w:w="11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Country</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2019</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2020</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2021</w:t>
            </w:r>
          </w:p>
        </w:tc>
        <w:tc>
          <w:tcPr>
            <w:tcW w:w="978"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2022</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2023</w:t>
            </w:r>
          </w:p>
        </w:tc>
        <w:tc>
          <w:tcPr>
            <w:tcW w:w="950"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2024</w:t>
            </w:r>
          </w:p>
        </w:tc>
        <w:tc>
          <w:tcPr>
            <w:tcW w:w="1076"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 xml:space="preserve">HFC </w:t>
            </w:r>
            <w:proofErr w:type="spellStart"/>
            <w:r w:rsidRPr="00F052B0">
              <w:rPr>
                <w:b/>
                <w:bCs/>
                <w:sz w:val="18"/>
                <w:szCs w:val="18"/>
                <w:lang w:val="es-419" w:eastAsia="es-419"/>
              </w:rPr>
              <w:t>avg</w:t>
            </w:r>
            <w:proofErr w:type="spellEnd"/>
            <w:r w:rsidRPr="00F052B0">
              <w:rPr>
                <w:b/>
                <w:bCs/>
                <w:sz w:val="18"/>
                <w:szCs w:val="18"/>
                <w:lang w:val="es-419" w:eastAsia="es-419"/>
              </w:rPr>
              <w:t xml:space="preserve"> (2020-2024)</w:t>
            </w:r>
          </w:p>
        </w:tc>
        <w:tc>
          <w:tcPr>
            <w:tcW w:w="1034"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r w:rsidRPr="00F052B0">
              <w:rPr>
                <w:b/>
                <w:bCs/>
                <w:sz w:val="18"/>
                <w:szCs w:val="18"/>
                <w:lang w:val="es-419" w:eastAsia="es-419"/>
              </w:rPr>
              <w:t>Complete</w:t>
            </w:r>
          </w:p>
          <w:p w:rsidR="00FF6C2E" w:rsidRPr="00F052B0" w:rsidRDefault="00FF6C2E" w:rsidP="005B04FB">
            <w:pPr>
              <w:jc w:val="center"/>
              <w:rPr>
                <w:b/>
                <w:bCs/>
                <w:sz w:val="18"/>
                <w:szCs w:val="18"/>
                <w:lang w:val="es-419" w:eastAsia="es-419"/>
              </w:rPr>
            </w:pPr>
            <w:r w:rsidRPr="00F052B0">
              <w:rPr>
                <w:b/>
                <w:bCs/>
                <w:sz w:val="18"/>
                <w:szCs w:val="18"/>
                <w:lang w:val="es-419" w:eastAsia="es-419"/>
              </w:rPr>
              <w:t>HFC</w:t>
            </w:r>
          </w:p>
          <w:p w:rsidR="00FF6C2E" w:rsidRPr="00F052B0" w:rsidRDefault="00FF6C2E" w:rsidP="005B04FB">
            <w:pPr>
              <w:jc w:val="center"/>
              <w:rPr>
                <w:b/>
                <w:bCs/>
                <w:sz w:val="18"/>
                <w:szCs w:val="18"/>
                <w:lang w:val="es-419" w:eastAsia="es-419"/>
              </w:rPr>
            </w:pPr>
            <w:proofErr w:type="spellStart"/>
            <w:r>
              <w:rPr>
                <w:b/>
                <w:bCs/>
                <w:sz w:val="18"/>
                <w:szCs w:val="18"/>
                <w:lang w:val="es-419" w:eastAsia="es-419"/>
              </w:rPr>
              <w:t>b</w:t>
            </w:r>
            <w:r w:rsidRPr="00F052B0">
              <w:rPr>
                <w:b/>
                <w:bCs/>
                <w:sz w:val="18"/>
                <w:szCs w:val="18"/>
                <w:lang w:val="es-419" w:eastAsia="es-419"/>
              </w:rPr>
              <w:t>aseline</w:t>
            </w:r>
            <w:proofErr w:type="spellEnd"/>
          </w:p>
        </w:tc>
        <w:tc>
          <w:tcPr>
            <w:tcW w:w="1181" w:type="dxa"/>
            <w:tcBorders>
              <w:top w:val="single" w:sz="4" w:space="0" w:color="auto"/>
              <w:left w:val="nil"/>
              <w:bottom w:val="single" w:sz="4" w:space="0" w:color="auto"/>
              <w:right w:val="single" w:sz="4" w:space="0" w:color="auto"/>
            </w:tcBorders>
            <w:shd w:val="clear" w:color="auto" w:fill="auto"/>
            <w:noWrap/>
            <w:vAlign w:val="center"/>
            <w:hideMark/>
          </w:tcPr>
          <w:p w:rsidR="00FF6C2E" w:rsidRPr="00F052B0" w:rsidRDefault="00FF6C2E" w:rsidP="005B04FB">
            <w:pPr>
              <w:jc w:val="center"/>
              <w:rPr>
                <w:b/>
                <w:bCs/>
                <w:sz w:val="18"/>
                <w:szCs w:val="18"/>
                <w:lang w:val="es-419" w:eastAsia="es-419"/>
              </w:rPr>
            </w:pPr>
            <w:proofErr w:type="spellStart"/>
            <w:r w:rsidRPr="00F052B0">
              <w:rPr>
                <w:b/>
                <w:bCs/>
                <w:sz w:val="18"/>
                <w:szCs w:val="18"/>
                <w:lang w:val="es-419" w:eastAsia="es-419"/>
              </w:rPr>
              <w:t>Consumption</w:t>
            </w:r>
            <w:proofErr w:type="spellEnd"/>
            <w:r w:rsidRPr="00F052B0">
              <w:rPr>
                <w:b/>
                <w:bCs/>
                <w:sz w:val="18"/>
                <w:szCs w:val="18"/>
                <w:lang w:val="es-419" w:eastAsia="es-419"/>
              </w:rPr>
              <w:t xml:space="preserve"> 2024 / HFC </w:t>
            </w:r>
            <w:proofErr w:type="spellStart"/>
            <w:r w:rsidRPr="00F052B0">
              <w:rPr>
                <w:b/>
                <w:bCs/>
                <w:sz w:val="18"/>
                <w:szCs w:val="18"/>
                <w:lang w:val="es-419" w:eastAsia="es-419"/>
              </w:rPr>
              <w:t>baseline</w:t>
            </w:r>
            <w:proofErr w:type="spellEnd"/>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Lebanon</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30,069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30,670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31,283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31,909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35,100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38,610</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31,287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960,971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Venezuela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240,541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245,352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250,259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255,264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280,790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308,869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250,292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4,008,456</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Liberia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12,169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12,412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12,661</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12,914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14,205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15,626</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12,662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124,959</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Nigeria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807,493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823,643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840,115</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856,918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942,610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1,036,870</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840,225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6,569,326</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Cambodia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70,072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71,473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72,903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74,361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81,797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89,977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72,912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393,162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Cameroon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344,326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351,213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358,237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365,402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401,942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442,136</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358,284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1,880,793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Equatorial</w:t>
            </w:r>
            <w:proofErr w:type="spellEnd"/>
            <w:r w:rsidRPr="00F052B0">
              <w:rPr>
                <w:sz w:val="18"/>
                <w:szCs w:val="18"/>
                <w:lang w:val="es-419" w:eastAsia="es-419"/>
              </w:rPr>
              <w:t xml:space="preserve"> Guinea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39,686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40,480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41,289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42,115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46,327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50,959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41,295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175,833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Burundi</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46,214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47,138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48,081</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49,043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53,947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59,342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48,087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200,091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Lesotho</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24,165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24,648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25,141</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25,644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28,209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31,029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25,145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98,888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Mali</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108,522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110,692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112,906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115,164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126,681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139,349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112,921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433,223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Ghana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496,683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506,617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516,749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527,084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579,792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637,772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516,817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1,766,399</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36.1%</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 xml:space="preserve">Sao Tome and </w:t>
            </w:r>
            <w:proofErr w:type="spellStart"/>
            <w:r w:rsidRPr="00F052B0">
              <w:rPr>
                <w:sz w:val="18"/>
                <w:szCs w:val="18"/>
                <w:lang w:val="es-419" w:eastAsia="es-419"/>
              </w:rPr>
              <w:t>Principe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22,287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22,733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23,187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23,651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26,016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28,618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23,190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69,015</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41.5%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Tuvalu</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1,006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1,026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1,047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1,068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1,174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1,292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1,047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2,980</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Kenya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588,860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600,637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612,650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624,903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687,393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756,133</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612,730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1,728,234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Afghanistan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275,000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280,500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286,110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291,832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321,015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353,117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286,147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789,395</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44.7%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Tonga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1,802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1,838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1,875</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1,912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2,104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2,314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1,875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4,875</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47.5%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Antigua and Barbuda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4,079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4,161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4,244</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4,329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4,762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5,238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4,244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10,721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48.9%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Malawi</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188,503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192,273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196,119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200,041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220,045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242,049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196,144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427,091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56.7%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Eswatini</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33,980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34,660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35,353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36,060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39,666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43,632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35,357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72,252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60.4%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Armenia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137,680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140,434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143,242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146,107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160,718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176,790</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143,261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292,312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60.5%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Uruguay</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448,663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457,636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466,789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476,125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523,737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576,111</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466,850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938,800</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Burkina Faso</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622,456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634,905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647,603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660,555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726,611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799,272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647,688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1,265,497</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63.2%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Haiti</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93,303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95,169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97,072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99,014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108,915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119,807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97,085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174,734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68.6%</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Sri Lanka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331,622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338,254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345,020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351,920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387,112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425,823</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345,065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609,929</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69.8%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Timor Leste</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13,645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13,918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14,196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14,480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15,928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17,521</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14,198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24,878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70.4%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Tunisia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1,253,622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1,278,694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1,304,268</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1,330,354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1,463,389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1,609,728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1,304,439</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2,146,684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 xml:space="preserve">Marshall </w:t>
            </w:r>
            <w:proofErr w:type="spellStart"/>
            <w:r w:rsidRPr="00F052B0">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7,096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7,238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7,383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7,530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8,283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9,112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7,384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12,078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Viet</w:t>
            </w:r>
            <w:proofErr w:type="spellEnd"/>
            <w:r>
              <w:rPr>
                <w:sz w:val="18"/>
                <w:szCs w:val="18"/>
                <w:lang w:val="es-419" w:eastAsia="es-419"/>
              </w:rPr>
              <w:t xml:space="preserve"> N</w:t>
            </w:r>
            <w:r w:rsidRPr="00F052B0">
              <w:rPr>
                <w:sz w:val="18"/>
                <w:szCs w:val="18"/>
                <w:lang w:val="es-419" w:eastAsia="es-419"/>
              </w:rPr>
              <w:t>am</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6,019,450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6,139,839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6,262,636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6,387,888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7,026,677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7,729,345</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6,263,454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10,069,750</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76.8%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Grenada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29,276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29,862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30,459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31,068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34,175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37,592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30,463</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48,222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78.0%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Sudan</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735,220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749,924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764,923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780,221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858,243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944,068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765,023</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1,196,215</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78.9%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Bhutan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11,659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11,892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12,130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12,373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13,610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14,971</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12,132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18,741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79.9%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Palau</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6,436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6,565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6,696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6,830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8,264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6,697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10,191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81.1%</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Vanuatu</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11,351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11,578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11,810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12,046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13,250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14,575</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11,811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17,891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Togo</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797,321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813,267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829,533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846,123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930,736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1,023,809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829,641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1,256,222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 xml:space="preserve">South </w:t>
            </w:r>
            <w:proofErr w:type="spellStart"/>
            <w:r w:rsidRPr="00F052B0">
              <w:rPr>
                <w:sz w:val="18"/>
                <w:szCs w:val="18"/>
                <w:lang w:val="es-419" w:eastAsia="es-419"/>
              </w:rPr>
              <w:t>Africa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10,074,432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10,275,921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10,481,439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10,691,068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11,760,175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12,936,192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10,482,809</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15,679,002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82.5%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Zambia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208,794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212,970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217,230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221,574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243,732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268,105</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217,258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323,084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83.0%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Senegal</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1,541,337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1,572,164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1,603,607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1,635,679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1,799,247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1,979,172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1,603,817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2,377,107</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83.3%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Barbados</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158,343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161,510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164,740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168,035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184,838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203,322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164,762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243,937</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83.4%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Dominican</w:t>
            </w:r>
            <w:proofErr w:type="spellEnd"/>
            <w:r w:rsidRPr="00F052B0">
              <w:rPr>
                <w:sz w:val="18"/>
                <w:szCs w:val="18"/>
                <w:lang w:val="es-419" w:eastAsia="es-419"/>
              </w:rPr>
              <w:t xml:space="preserve"> </w:t>
            </w:r>
            <w:proofErr w:type="spellStart"/>
            <w:r w:rsidRPr="00F052B0">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2,406,616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2,454,748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2,503,843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2,553,920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2,809,312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3,090,243</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2,504,171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3,585,030</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86.2%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Fiji</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280,203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285,807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291,523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297,354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327,089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359,798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291,561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414,227</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86.9%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Saint Lucia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54,429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55,518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56,628</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57,760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63,537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69,890</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56,635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79,648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87.7%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Colombia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5,270,350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5,375,757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5,483,272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5,592,938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6,152,231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6,767,454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5,483,989</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7,666,053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88.3%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Botswana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574,066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585,547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597,258</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609,203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670,124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737,136</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597,336</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832,683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88.5%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Paraguay</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934,649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953,342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972,409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991,857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1,091,043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1,200,147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972,536</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1,351,609</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88.8%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Pakistan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7,435,247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7,583,952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7,735,631</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7,890,344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8,679,378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9,547,316</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7,736,642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10,682,481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89.4%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Guyana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92,782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94,638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96,530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98,461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108,307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119,138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96,543</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133,033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89.6%</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Zimbabwe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1,024,385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1,044,873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1,065,770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1,087,086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1,195,794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1,315,374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1,065,909</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1,430,411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92.0%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Guinea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1,391,166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1,418,989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1,447,369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1,476,316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1,623,948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1,786,342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1,447,558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1,931,205</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92.5%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lastRenderedPageBreak/>
              <w:t>Madagascar</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1,558,144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1,589,306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1,621,093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1,653,514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1,818,866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2,000,752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1,621,305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2,154,118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92.9%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Trinidad and Tobago</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2,755,910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2,811,028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2,867,249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2,924,594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3,217,053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3,538,758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2,867,624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3,798,334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Benin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1,507,956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1,538,115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1,568,877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1,600,255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1,760,280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1,936,309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1,569,083</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2,077,931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Oman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1,988,072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2,027,833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2,068,390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2,109,758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2,320,734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2,552,807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2,068,660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2,723,984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Suriname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132,696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135,350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138,057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140,818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154,900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170,390</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138,075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180,468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94.4%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Ethiopia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369,744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377,139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384,682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392,375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431,613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474,774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384,732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502,382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94.5%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Panama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1,565,901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1,597,219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1,629,163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1,661,747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1,827,921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2,010,713</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1,629,376</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2,118,968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94.9%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Philippines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8,143,976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8,306,856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8,472,993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8,642,452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9,506,698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10,457,368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8,474,100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11,003,341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95.0%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9F2082">
              <w:rPr>
                <w:sz w:val="18"/>
                <w:szCs w:val="18"/>
                <w:lang w:val="es-419" w:eastAsia="es-419"/>
              </w:rPr>
              <w:t>Lao</w:t>
            </w:r>
            <w:r>
              <w:rPr>
                <w:sz w:val="18"/>
                <w:szCs w:val="18"/>
                <w:lang w:val="es-419" w:eastAsia="es-419"/>
              </w:rPr>
              <w:t xml:space="preserve"> </w:t>
            </w:r>
            <w:proofErr w:type="spellStart"/>
            <w:r>
              <w:rPr>
                <w:sz w:val="18"/>
                <w:szCs w:val="18"/>
                <w:lang w:val="es-419" w:eastAsia="es-419"/>
              </w:rPr>
              <w:t>People’s</w:t>
            </w:r>
            <w:proofErr w:type="spellEnd"/>
            <w:r>
              <w:rPr>
                <w:sz w:val="18"/>
                <w:szCs w:val="18"/>
                <w:lang w:val="es-419" w:eastAsia="es-419"/>
              </w:rPr>
              <w:t xml:space="preserve"> </w:t>
            </w:r>
            <w:proofErr w:type="spellStart"/>
            <w:r>
              <w:rPr>
                <w:sz w:val="18"/>
                <w:szCs w:val="18"/>
                <w:lang w:val="es-419" w:eastAsia="es-419"/>
              </w:rPr>
              <w:t>Democratic</w:t>
            </w:r>
            <w:proofErr w:type="spellEnd"/>
            <w:r>
              <w:rPr>
                <w:sz w:val="18"/>
                <w:szCs w:val="18"/>
                <w:lang w:val="es-419" w:eastAsia="es-419"/>
              </w:rPr>
              <w:t xml:space="preserve"> </w:t>
            </w:r>
            <w:proofErr w:type="spellStart"/>
            <w:r>
              <w:rPr>
                <w:sz w:val="18"/>
                <w:szCs w:val="18"/>
                <w:lang w:val="es-419" w:eastAsia="es-419"/>
              </w:rPr>
              <w:t>Republic</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159,041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162,222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165,466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168,776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185,653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204,218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165,488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214,813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95.1%</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Turkey</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28,156,692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28,719,826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29,294,222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29,880,107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32,868,117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36,154,929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29,298,052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37,952,223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95.3%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Brazil</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65,627,001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66,939,541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68,278,332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69,643,898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76,608,288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84,269,117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68,287,257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87,593,820</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96.2%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Mauritius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587,594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599,346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611,333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623,559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685,915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754,507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611,413</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780,574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96.7%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Peru</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1,910,807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1,949,023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1,988,004</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2,027,764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2,230,540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2,453,594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1,988,263</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2,532,897</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96.9%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 xml:space="preserve">Cook </w:t>
            </w:r>
            <w:proofErr w:type="spellStart"/>
            <w:r w:rsidRPr="00F052B0">
              <w:rPr>
                <w:sz w:val="18"/>
                <w:szCs w:val="18"/>
                <w:lang w:val="es-419" w:eastAsia="es-419"/>
              </w:rPr>
              <w:t>Islands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3,757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3,832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3,909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3,987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4,386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4,824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3,909</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4,958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97.3%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Honduras</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1,431,079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1,459,701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1,488,895</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1,518,672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1,670,540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1,837,594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1,489,089</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1,882,398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97.6%</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Gabon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2,353,671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2,400,744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2,448,759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2,497,734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2,747,508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3,022,259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2,449,079</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3,094,919</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97.7%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Mexico</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50,263,972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51,269,251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52,294,636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53,340,529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58,674,582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64,542,040</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52,301,472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65,327,456</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98.8%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Cuba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1,254,931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1,280,030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1,305,630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1,331,743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1,464,917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1,611,409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1,305,801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1,622,234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99.3%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Chile</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4,763,686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4,858,960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4,956,139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5,055,262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5,560,788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6,116,867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4,956,787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6,150,432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99.5%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Kyrgyzstan</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304,301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310,387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316,595</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322,927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355,219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390,741</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316,636</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391,179</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99.9%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Namibia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729,875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744,473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759,362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774,549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852,004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937,205</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759,461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933,961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100.3%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Maldives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358,171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365,334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372,641</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380,094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418,103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459,914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372,690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458,238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100.4%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Nicaragua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558,528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569,699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581,093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592,714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651,986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717,184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581,168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714,476</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100.4%</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Costa Rica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1,099,195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1,121,179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1,143,602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1,166,475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1,283,122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1,411,434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1,143,752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1,382,354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102.1%</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Samoa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25,170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25,673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26,187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26,711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29,382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32,320</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26,190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31,602</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102.3%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9F2082">
              <w:rPr>
                <w:sz w:val="18"/>
                <w:szCs w:val="18"/>
                <w:lang w:val="es-419" w:eastAsia="es-419"/>
              </w:rPr>
              <w:t>Micronesia</w:t>
            </w:r>
            <w:r>
              <w:rPr>
                <w:sz w:val="18"/>
                <w:szCs w:val="18"/>
                <w:lang w:val="es-419" w:eastAsia="es-419"/>
              </w:rPr>
              <w:t xml:space="preserve"> (</w:t>
            </w:r>
            <w:proofErr w:type="spellStart"/>
            <w:r>
              <w:rPr>
                <w:sz w:val="18"/>
                <w:szCs w:val="18"/>
                <w:lang w:val="es-419" w:eastAsia="es-419"/>
              </w:rPr>
              <w:t>Federated</w:t>
            </w:r>
            <w:proofErr w:type="spellEnd"/>
            <w:r>
              <w:rPr>
                <w:sz w:val="18"/>
                <w:szCs w:val="18"/>
                <w:lang w:val="es-419" w:eastAsia="es-419"/>
              </w:rPr>
              <w:t xml:space="preserve"> </w:t>
            </w:r>
            <w:proofErr w:type="spellStart"/>
            <w:r>
              <w:rPr>
                <w:sz w:val="18"/>
                <w:szCs w:val="18"/>
                <w:lang w:val="es-419" w:eastAsia="es-419"/>
              </w:rPr>
              <w:t>States</w:t>
            </w:r>
            <w:proofErr w:type="spellEnd"/>
            <w:r>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14,020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14,300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14,586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14,878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16,366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18,003</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14,588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17,514</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102.8%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Kiribati</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5,572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5,683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5,797</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5,913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6,504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7,155</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5,798</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6,939</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103.1%</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Ecuador</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2,370,319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2,417,725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2,466,080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2,515,401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2,766,942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3,043,636</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2,466,402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2,947,540</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103.3%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Niger</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1,730,118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1,764,720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1,800,015</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1,836,015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2,019,617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2,221,578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1,800,250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2,141,888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103.7%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eastAsia="es-419"/>
              </w:rPr>
            </w:pPr>
            <w:r w:rsidRPr="00F052B0">
              <w:rPr>
                <w:sz w:val="18"/>
                <w:szCs w:val="18"/>
                <w:lang w:eastAsia="es-419"/>
              </w:rPr>
              <w:t>Saint Vincent and the Grenadines</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30,664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31,277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31,903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32,541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35,795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39,374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31,907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37,943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103.8%</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Uganda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21,480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21,910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22,348</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22,795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25,074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27,582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22,351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25,493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108.2%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9F2082">
              <w:rPr>
                <w:sz w:val="18"/>
                <w:szCs w:val="18"/>
                <w:lang w:val="es-419" w:eastAsia="es-419"/>
              </w:rPr>
              <w:t>Bolivia</w:t>
            </w:r>
            <w:r>
              <w:rPr>
                <w:sz w:val="18"/>
                <w:szCs w:val="18"/>
                <w:lang w:val="es-419" w:eastAsia="es-419"/>
              </w:rPr>
              <w:t xml:space="preserve"> (</w:t>
            </w:r>
            <w:proofErr w:type="spellStart"/>
            <w:r>
              <w:rPr>
                <w:sz w:val="18"/>
                <w:szCs w:val="18"/>
                <w:lang w:val="es-419" w:eastAsia="es-419"/>
              </w:rPr>
              <w:t>Plurinational</w:t>
            </w:r>
            <w:proofErr w:type="spellEnd"/>
            <w:r>
              <w:rPr>
                <w:sz w:val="18"/>
                <w:szCs w:val="18"/>
                <w:lang w:val="es-419" w:eastAsia="es-419"/>
              </w:rPr>
              <w:t xml:space="preserve"> </w:t>
            </w:r>
            <w:proofErr w:type="spellStart"/>
            <w:r>
              <w:rPr>
                <w:sz w:val="18"/>
                <w:szCs w:val="18"/>
                <w:lang w:val="es-419" w:eastAsia="es-419"/>
              </w:rPr>
              <w:t>State</w:t>
            </w:r>
            <w:proofErr w:type="spellEnd"/>
            <w:r>
              <w:rPr>
                <w:sz w:val="18"/>
                <w:szCs w:val="18"/>
                <w:lang w:val="es-419" w:eastAsia="es-419"/>
              </w:rPr>
              <w:t xml:space="preserve"> of)</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773,894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789,372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805,160</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821,263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903,389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993,728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805,265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917,796</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108.3%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Guatemala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1,169,662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1,193,055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1,216,916</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1,241,255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1,365,380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1,501,918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1,217,075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1,373,638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109.3%</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Seychelles</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227,367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231,914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236,553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241,284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265,412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291,953</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236,584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265,713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109.9%</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Rwanda</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700,970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714,989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729,289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743,875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818,262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900,089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729,385</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813,423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110.7%</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Albania</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1,091,972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1,113,811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1,136,088</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1,158,809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1,274,690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1,402,159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1,136,236</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1,263,325</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111.0%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proofErr w:type="spellStart"/>
            <w:r w:rsidRPr="00F052B0">
              <w:rPr>
                <w:sz w:val="18"/>
                <w:szCs w:val="18"/>
                <w:lang w:val="es-419" w:eastAsia="es-419"/>
              </w:rPr>
              <w:t>Comoros</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34,149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34,832</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35,529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36,239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39,863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43,849</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35,533</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38,451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114.0%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Qatar</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21,878,613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22,316,185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22,762,509</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23,217,759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25,539,535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28,093,488</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22,765,484</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24,633,313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114.0%</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Montenegro</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192,898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196,756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200,691</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204,705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225,175</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247,693</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200,717</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217,041</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114.1%</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Pr>
                <w:sz w:val="18"/>
                <w:szCs w:val="18"/>
                <w:lang w:val="es-419" w:eastAsia="es-419"/>
              </w:rPr>
              <w:t xml:space="preserve">Cote </w:t>
            </w:r>
            <w:proofErr w:type="spellStart"/>
            <w:r>
              <w:rPr>
                <w:sz w:val="18"/>
                <w:szCs w:val="18"/>
                <w:lang w:val="es-419" w:eastAsia="es-419"/>
              </w:rPr>
              <w:t>d</w:t>
            </w:r>
            <w:r w:rsidRPr="00F052B0">
              <w:rPr>
                <w:sz w:val="18"/>
                <w:szCs w:val="18"/>
                <w:lang w:val="es-419" w:eastAsia="es-419"/>
              </w:rPr>
              <w:t>'Ivoire</w:t>
            </w:r>
            <w:proofErr w:type="spellEnd"/>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24,855,307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25,352,413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25,859,461</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26,376,651</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29,014,316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31,915,747</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25,862,842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27,226,758</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117.2%</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Guinea-Bissau</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1,391,073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1,418,894</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1,447,272</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1,476,218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1,623,840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1,786,224</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1,447,462</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1,507,463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118.5%</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sidRPr="00F052B0">
              <w:rPr>
                <w:sz w:val="18"/>
                <w:szCs w:val="18"/>
                <w:lang w:val="es-419" w:eastAsia="es-419"/>
              </w:rPr>
              <w:t>Chad</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22,341,189</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22,788,013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23,243,773</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23,708,648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26,079,513</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28,687,465</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23,246,811</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23,591,173</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121.6%</w:t>
            </w:r>
          </w:p>
        </w:tc>
      </w:tr>
      <w:tr w:rsidR="00FF6C2E" w:rsidRPr="00F052B0" w:rsidTr="005B04FB">
        <w:tc>
          <w:tcPr>
            <w:tcW w:w="1129" w:type="dxa"/>
            <w:tcBorders>
              <w:top w:val="nil"/>
              <w:left w:val="single" w:sz="4" w:space="0" w:color="auto"/>
              <w:bottom w:val="single" w:sz="4" w:space="0" w:color="auto"/>
              <w:right w:val="single" w:sz="4" w:space="0" w:color="auto"/>
            </w:tcBorders>
            <w:shd w:val="clear" w:color="auto" w:fill="auto"/>
            <w:noWrap/>
            <w:vAlign w:val="bottom"/>
            <w:hideMark/>
          </w:tcPr>
          <w:p w:rsidR="00FF6C2E" w:rsidRPr="00F052B0" w:rsidRDefault="00FF6C2E" w:rsidP="005B04FB">
            <w:pPr>
              <w:jc w:val="left"/>
              <w:rPr>
                <w:sz w:val="18"/>
                <w:szCs w:val="18"/>
                <w:lang w:val="es-419" w:eastAsia="es-419"/>
              </w:rPr>
            </w:pPr>
            <w:r>
              <w:rPr>
                <w:sz w:val="18"/>
                <w:szCs w:val="18"/>
                <w:lang w:val="es-419" w:eastAsia="es-419"/>
              </w:rPr>
              <w:t>Cabo</w:t>
            </w:r>
            <w:r w:rsidRPr="00F052B0">
              <w:rPr>
                <w:sz w:val="18"/>
                <w:szCs w:val="18"/>
                <w:lang w:val="es-419" w:eastAsia="es-419"/>
              </w:rPr>
              <w:t xml:space="preserve"> Verde</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3,498,447</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3,568,416</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3,639,785</w:t>
            </w:r>
          </w:p>
        </w:tc>
        <w:tc>
          <w:tcPr>
            <w:tcW w:w="978"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3,712,580</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4,083,838</w:t>
            </w:r>
          </w:p>
        </w:tc>
        <w:tc>
          <w:tcPr>
            <w:tcW w:w="950"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4,492,222</w:t>
            </w:r>
          </w:p>
        </w:tc>
        <w:tc>
          <w:tcPr>
            <w:tcW w:w="1076"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3,640,260</w:t>
            </w:r>
          </w:p>
        </w:tc>
        <w:tc>
          <w:tcPr>
            <w:tcW w:w="1034"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3,662,026</w:t>
            </w:r>
          </w:p>
        </w:tc>
        <w:tc>
          <w:tcPr>
            <w:tcW w:w="1181" w:type="dxa"/>
            <w:tcBorders>
              <w:top w:val="nil"/>
              <w:left w:val="nil"/>
              <w:bottom w:val="single" w:sz="4" w:space="0" w:color="auto"/>
              <w:right w:val="single" w:sz="4" w:space="0" w:color="auto"/>
            </w:tcBorders>
            <w:shd w:val="clear" w:color="auto" w:fill="auto"/>
            <w:noWrap/>
            <w:hideMark/>
          </w:tcPr>
          <w:p w:rsidR="00FF6C2E" w:rsidRPr="00F052B0" w:rsidRDefault="00FF6C2E" w:rsidP="005B04FB">
            <w:pPr>
              <w:jc w:val="right"/>
              <w:rPr>
                <w:sz w:val="18"/>
                <w:szCs w:val="18"/>
                <w:lang w:val="es-419" w:eastAsia="es-419"/>
              </w:rPr>
            </w:pPr>
            <w:r w:rsidRPr="00F052B0">
              <w:rPr>
                <w:sz w:val="18"/>
                <w:szCs w:val="18"/>
                <w:lang w:val="es-419" w:eastAsia="es-419"/>
              </w:rPr>
              <w:t>122.7%</w:t>
            </w:r>
          </w:p>
        </w:tc>
      </w:tr>
    </w:tbl>
    <w:p w:rsidR="00FF6C2E" w:rsidRPr="00F052B0" w:rsidRDefault="00FF6C2E" w:rsidP="005B04FB">
      <w:pPr>
        <w:pStyle w:val="StyleHeader4Para4Left0Firstline0"/>
        <w:numPr>
          <w:ilvl w:val="0"/>
          <w:numId w:val="0"/>
        </w:numPr>
        <w:spacing w:after="0"/>
        <w:jc w:val="left"/>
        <w:rPr>
          <w:sz w:val="22"/>
        </w:rPr>
      </w:pPr>
    </w:p>
    <w:p w:rsidR="00FF6C2E" w:rsidRPr="00F052B0" w:rsidRDefault="00FF6C2E" w:rsidP="005B04FB">
      <w:pPr>
        <w:pStyle w:val="StyleHeader4Para4Left0Firstline0"/>
        <w:numPr>
          <w:ilvl w:val="0"/>
          <w:numId w:val="0"/>
        </w:numPr>
        <w:spacing w:after="0"/>
        <w:jc w:val="left"/>
        <w:rPr>
          <w:sz w:val="22"/>
        </w:rPr>
      </w:pPr>
    </w:p>
    <w:p w:rsidR="00FF6C2E" w:rsidRPr="00F052B0" w:rsidRDefault="00FF6C2E" w:rsidP="005B04FB">
      <w:pPr>
        <w:jc w:val="left"/>
        <w:sectPr w:rsidR="00FF6C2E" w:rsidRPr="00F052B0" w:rsidSect="005B04FB">
          <w:headerReference w:type="even" r:id="rId25"/>
          <w:headerReference w:type="default" r:id="rId26"/>
          <w:footerReference w:type="even" r:id="rId27"/>
          <w:footerReference w:type="default" r:id="rId28"/>
          <w:headerReference w:type="first" r:id="rId29"/>
          <w:footerReference w:type="first" r:id="rId30"/>
          <w:pgSz w:w="12240" w:h="15840" w:code="1"/>
          <w:pgMar w:top="720" w:right="1440" w:bottom="864" w:left="1440" w:header="720" w:footer="475" w:gutter="0"/>
          <w:pgNumType w:start="1"/>
          <w:cols w:space="720"/>
          <w:docGrid w:linePitch="299"/>
        </w:sectPr>
      </w:pPr>
    </w:p>
    <w:p w:rsidR="00FF6C2E" w:rsidRDefault="00FF6C2E" w:rsidP="005B04FB">
      <w:pPr>
        <w:pStyle w:val="StyleHeader4Para4Left0Firstline0"/>
        <w:numPr>
          <w:ilvl w:val="0"/>
          <w:numId w:val="0"/>
        </w:numPr>
        <w:spacing w:after="0"/>
        <w:jc w:val="center"/>
        <w:rPr>
          <w:b/>
          <w:sz w:val="22"/>
        </w:rPr>
      </w:pPr>
      <w:r w:rsidRPr="00F052B0">
        <w:rPr>
          <w:b/>
          <w:sz w:val="22"/>
        </w:rPr>
        <w:lastRenderedPageBreak/>
        <w:t>Annex II</w:t>
      </w:r>
    </w:p>
    <w:p w:rsidR="00FF6C2E" w:rsidRPr="00F052B0" w:rsidRDefault="00FF6C2E" w:rsidP="005B04FB">
      <w:pPr>
        <w:pStyle w:val="StyleHeader4Para4Left0Firstline0"/>
        <w:numPr>
          <w:ilvl w:val="0"/>
          <w:numId w:val="0"/>
        </w:numPr>
        <w:spacing w:after="0"/>
        <w:jc w:val="center"/>
        <w:rPr>
          <w:b/>
          <w:sz w:val="22"/>
        </w:rPr>
      </w:pPr>
    </w:p>
    <w:p w:rsidR="00FF6C2E" w:rsidRPr="00801486" w:rsidRDefault="00FF6C2E" w:rsidP="005B04FB">
      <w:pPr>
        <w:jc w:val="center"/>
        <w:rPr>
          <w:b/>
        </w:rPr>
      </w:pPr>
      <w:r w:rsidRPr="00801486">
        <w:rPr>
          <w:b/>
        </w:rPr>
        <w:t xml:space="preserve">SUMMARY OF </w:t>
      </w:r>
      <w:r>
        <w:rPr>
          <w:b/>
        </w:rPr>
        <w:t xml:space="preserve">THE </w:t>
      </w:r>
      <w:r w:rsidRPr="00801486">
        <w:rPr>
          <w:b/>
        </w:rPr>
        <w:t>MODALITIES OF IMPLEMENTATION OF INVESTMENT PROJECTS</w:t>
      </w:r>
    </w:p>
    <w:p w:rsidR="00FF6C2E" w:rsidRPr="00F052B0" w:rsidRDefault="00FF6C2E" w:rsidP="005B04FB">
      <w:pPr>
        <w:rPr>
          <w:b/>
          <w:sz w:val="21"/>
          <w:szCs w:val="21"/>
        </w:rPr>
      </w:pPr>
    </w:p>
    <w:tbl>
      <w:tblPr>
        <w:tblStyle w:val="TableGrid"/>
        <w:tblW w:w="9445" w:type="dxa"/>
        <w:tblLook w:val="04A0" w:firstRow="1" w:lastRow="0" w:firstColumn="1" w:lastColumn="0" w:noHBand="0" w:noVBand="1"/>
      </w:tblPr>
      <w:tblGrid>
        <w:gridCol w:w="1165"/>
        <w:gridCol w:w="1170"/>
        <w:gridCol w:w="1170"/>
        <w:gridCol w:w="3150"/>
        <w:gridCol w:w="2790"/>
      </w:tblGrid>
      <w:tr w:rsidR="00FF6C2E" w:rsidRPr="00F052B0" w:rsidTr="005B04FB">
        <w:trPr>
          <w:tblHeader/>
        </w:trPr>
        <w:tc>
          <w:tcPr>
            <w:tcW w:w="1165" w:type="dxa"/>
            <w:vAlign w:val="center"/>
          </w:tcPr>
          <w:p w:rsidR="00FF6C2E" w:rsidRPr="00F052B0" w:rsidRDefault="00FF6C2E" w:rsidP="005B04FB">
            <w:pPr>
              <w:jc w:val="center"/>
              <w:rPr>
                <w:b/>
                <w:sz w:val="19"/>
                <w:szCs w:val="19"/>
              </w:rPr>
            </w:pPr>
            <w:r w:rsidRPr="00F052B0">
              <w:rPr>
                <w:b/>
                <w:sz w:val="19"/>
                <w:szCs w:val="19"/>
              </w:rPr>
              <w:t>Sector</w:t>
            </w:r>
          </w:p>
        </w:tc>
        <w:tc>
          <w:tcPr>
            <w:tcW w:w="1170" w:type="dxa"/>
            <w:vAlign w:val="center"/>
          </w:tcPr>
          <w:p w:rsidR="00FF6C2E" w:rsidRPr="00F052B0" w:rsidRDefault="00FF6C2E" w:rsidP="005B04FB">
            <w:pPr>
              <w:jc w:val="center"/>
              <w:rPr>
                <w:b/>
                <w:sz w:val="19"/>
                <w:szCs w:val="19"/>
              </w:rPr>
            </w:pPr>
            <w:r w:rsidRPr="00F052B0">
              <w:rPr>
                <w:b/>
                <w:sz w:val="19"/>
                <w:szCs w:val="19"/>
              </w:rPr>
              <w:t>HCFC</w:t>
            </w:r>
          </w:p>
        </w:tc>
        <w:tc>
          <w:tcPr>
            <w:tcW w:w="1170" w:type="dxa"/>
            <w:vAlign w:val="center"/>
          </w:tcPr>
          <w:p w:rsidR="00FF6C2E" w:rsidRPr="00F052B0" w:rsidRDefault="00FF6C2E" w:rsidP="005B04FB">
            <w:pPr>
              <w:jc w:val="center"/>
              <w:rPr>
                <w:b/>
                <w:sz w:val="19"/>
                <w:szCs w:val="19"/>
              </w:rPr>
            </w:pPr>
            <w:r w:rsidRPr="00F052B0">
              <w:rPr>
                <w:b/>
                <w:sz w:val="19"/>
                <w:szCs w:val="19"/>
              </w:rPr>
              <w:t>HFC</w:t>
            </w:r>
          </w:p>
        </w:tc>
        <w:tc>
          <w:tcPr>
            <w:tcW w:w="3150" w:type="dxa"/>
            <w:vAlign w:val="center"/>
          </w:tcPr>
          <w:p w:rsidR="00FF6C2E" w:rsidRPr="00F052B0" w:rsidRDefault="00FF6C2E" w:rsidP="005B04FB">
            <w:pPr>
              <w:jc w:val="center"/>
              <w:rPr>
                <w:b/>
                <w:sz w:val="19"/>
                <w:szCs w:val="19"/>
              </w:rPr>
            </w:pPr>
            <w:r w:rsidRPr="00F052B0">
              <w:rPr>
                <w:b/>
                <w:sz w:val="19"/>
                <w:szCs w:val="19"/>
              </w:rPr>
              <w:t>Opportunities for integrated implementation of HCFC phase</w:t>
            </w:r>
            <w:r>
              <w:rPr>
                <w:b/>
                <w:sz w:val="19"/>
                <w:szCs w:val="19"/>
              </w:rPr>
              <w:noBreakHyphen/>
            </w:r>
            <w:r w:rsidRPr="00F052B0">
              <w:rPr>
                <w:b/>
                <w:sz w:val="19"/>
                <w:szCs w:val="19"/>
              </w:rPr>
              <w:t>out/HFC phase-down</w:t>
            </w:r>
          </w:p>
        </w:tc>
        <w:tc>
          <w:tcPr>
            <w:tcW w:w="2790" w:type="dxa"/>
            <w:vAlign w:val="center"/>
          </w:tcPr>
          <w:p w:rsidR="00FF6C2E" w:rsidRPr="00F052B0" w:rsidRDefault="00FF6C2E" w:rsidP="005B04FB">
            <w:pPr>
              <w:jc w:val="center"/>
              <w:rPr>
                <w:b/>
                <w:sz w:val="19"/>
                <w:szCs w:val="19"/>
              </w:rPr>
            </w:pPr>
            <w:r w:rsidRPr="00F052B0">
              <w:rPr>
                <w:b/>
                <w:sz w:val="19"/>
                <w:szCs w:val="19"/>
              </w:rPr>
              <w:t>Other considerations (including early action to limit HFC consumption growth)</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PU foam</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HCFC-141b</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HFC-245fa</w:t>
            </w:r>
          </w:p>
          <w:p w:rsidR="00FF6C2E" w:rsidRPr="00F052B0" w:rsidRDefault="00FF6C2E" w:rsidP="005B04FB">
            <w:pPr>
              <w:jc w:val="left"/>
              <w:rPr>
                <w:sz w:val="19"/>
                <w:szCs w:val="19"/>
              </w:rPr>
            </w:pPr>
            <w:r w:rsidRPr="00F052B0">
              <w:rPr>
                <w:sz w:val="19"/>
                <w:szCs w:val="19"/>
              </w:rPr>
              <w:t>HFC-365mfc / HFC-227ea</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PU foam sector plans are in advanced stages of implementation in most countries, where low-GWP alternatives are being introduced. Therefore, integrated implementation might be limited to cases where substantive HCFC phase-out work would be expected in the coming years.</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HFC phase-out in this sector could help ensure sustained adoption of low</w:t>
            </w:r>
            <w:r w:rsidRPr="00F052B0">
              <w:rPr>
                <w:sz w:val="19"/>
                <w:szCs w:val="19"/>
              </w:rPr>
              <w:noBreakHyphen/>
              <w:t>GWP alternatives under the HCFC phase</w:t>
            </w:r>
            <w:r w:rsidRPr="00F052B0">
              <w:rPr>
                <w:sz w:val="19"/>
                <w:szCs w:val="19"/>
              </w:rPr>
              <w:noBreakHyphen/>
              <w:t xml:space="preserve">out plans. </w:t>
            </w:r>
          </w:p>
          <w:p w:rsidR="00FF6C2E" w:rsidRPr="00F052B0" w:rsidRDefault="00FF6C2E" w:rsidP="005B04FB">
            <w:pPr>
              <w:spacing w:after="60"/>
              <w:jc w:val="left"/>
              <w:rPr>
                <w:sz w:val="19"/>
                <w:szCs w:val="19"/>
              </w:rPr>
            </w:pP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XPS foam</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HCFC-22/</w:t>
            </w:r>
          </w:p>
          <w:p w:rsidR="00FF6C2E" w:rsidRPr="00F052B0" w:rsidRDefault="00FF6C2E" w:rsidP="005B04FB">
            <w:pPr>
              <w:jc w:val="left"/>
              <w:rPr>
                <w:sz w:val="19"/>
                <w:szCs w:val="19"/>
              </w:rPr>
            </w:pPr>
            <w:r w:rsidRPr="00F052B0">
              <w:rPr>
                <w:sz w:val="19"/>
                <w:szCs w:val="19"/>
              </w:rPr>
              <w:t>HCFC-142b</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HFC-134a/</w:t>
            </w:r>
          </w:p>
          <w:p w:rsidR="00FF6C2E" w:rsidRPr="00F052B0" w:rsidRDefault="00FF6C2E" w:rsidP="005B04FB">
            <w:pPr>
              <w:jc w:val="left"/>
              <w:rPr>
                <w:sz w:val="19"/>
                <w:szCs w:val="19"/>
              </w:rPr>
            </w:pPr>
            <w:r w:rsidRPr="00F052B0">
              <w:rPr>
                <w:sz w:val="19"/>
                <w:szCs w:val="19"/>
              </w:rPr>
              <w:t>HFC-152a</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XPS foam sector plans are in advanced stages of implementation in most countries where low-GWP alternatives are being introduced. Therefore, integrated implementation might be limited to cases where substantive HCFC phase-out work is still expected in the coming years.</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Low</w:t>
            </w:r>
            <w:r w:rsidRPr="00F052B0">
              <w:rPr>
                <w:sz w:val="19"/>
                <w:szCs w:val="19"/>
              </w:rPr>
              <w:noBreakHyphen/>
              <w:t>GWP alternatives are being introduced through HPMPs (i.e., CO</w:t>
            </w:r>
            <w:r w:rsidRPr="00F052B0">
              <w:rPr>
                <w:sz w:val="19"/>
                <w:szCs w:val="19"/>
                <w:vertAlign w:val="subscript"/>
              </w:rPr>
              <w:t>2</w:t>
            </w:r>
            <w:r w:rsidRPr="00F052B0">
              <w:rPr>
                <w:sz w:val="19"/>
                <w:szCs w:val="19"/>
              </w:rPr>
              <w:t xml:space="preserve">, </w:t>
            </w:r>
            <w:proofErr w:type="spellStart"/>
            <w:r w:rsidRPr="00F052B0">
              <w:rPr>
                <w:sz w:val="19"/>
                <w:szCs w:val="19"/>
              </w:rPr>
              <w:t>isobutane</w:t>
            </w:r>
            <w:proofErr w:type="spellEnd"/>
            <w:r w:rsidRPr="00F052B0">
              <w:rPr>
                <w:sz w:val="19"/>
                <w:szCs w:val="19"/>
              </w:rPr>
              <w:t xml:space="preserve"> and HFO). </w:t>
            </w:r>
          </w:p>
          <w:p w:rsidR="00FF6C2E" w:rsidRPr="00F052B0" w:rsidRDefault="00FF6C2E" w:rsidP="005B04FB">
            <w:pPr>
              <w:spacing w:after="60"/>
              <w:jc w:val="left"/>
              <w:rPr>
                <w:sz w:val="19"/>
                <w:szCs w:val="19"/>
              </w:rPr>
            </w:pPr>
            <w:r w:rsidRPr="00F052B0">
              <w:rPr>
                <w:sz w:val="19"/>
                <w:szCs w:val="19"/>
              </w:rPr>
              <w:t>Article 5 countries could consider establishing regulatory measures to avoid the installation of HFC</w:t>
            </w:r>
            <w:r w:rsidRPr="00F052B0">
              <w:rPr>
                <w:sz w:val="19"/>
                <w:szCs w:val="19"/>
              </w:rPr>
              <w:noBreakHyphen/>
              <w:t>based XPS foam manufacturing capacity.</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Domestic refrigeration (refrigeration system)</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None</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HFC-134a</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 xml:space="preserve">Conversion of HCFC-141b foam panels already completed in most countries. </w:t>
            </w:r>
          </w:p>
          <w:p w:rsidR="00FF6C2E" w:rsidRPr="00F052B0" w:rsidRDefault="00FF6C2E" w:rsidP="005B04FB">
            <w:pPr>
              <w:spacing w:after="60"/>
              <w:jc w:val="left"/>
              <w:rPr>
                <w:sz w:val="19"/>
                <w:szCs w:val="19"/>
              </w:rPr>
            </w:pPr>
            <w:r w:rsidRPr="00F052B0">
              <w:rPr>
                <w:sz w:val="19"/>
                <w:szCs w:val="19"/>
              </w:rPr>
              <w:t xml:space="preserve">Integrated implementation is not possible for these refrigeration systems as HCFC is not used. </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As cost-effective alternatives to HFC-134a are commercially available in local markets, this sector could be converted now, followed by regulation to ensure sustainability of the phase-out.</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Commercial refrigeration (stand-alone units)</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HCFC-22</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HFC-134a</w:t>
            </w:r>
          </w:p>
          <w:p w:rsidR="00FF6C2E" w:rsidRPr="00F052B0" w:rsidRDefault="00FF6C2E" w:rsidP="005B04FB">
            <w:pPr>
              <w:jc w:val="left"/>
              <w:rPr>
                <w:sz w:val="19"/>
                <w:szCs w:val="19"/>
              </w:rPr>
            </w:pPr>
            <w:r w:rsidRPr="00F052B0">
              <w:rPr>
                <w:sz w:val="19"/>
                <w:szCs w:val="19"/>
              </w:rPr>
              <w:t>R-404A</w:t>
            </w:r>
          </w:p>
          <w:p w:rsidR="00FF6C2E" w:rsidRPr="00F052B0" w:rsidRDefault="00FF6C2E" w:rsidP="005B04FB">
            <w:pPr>
              <w:jc w:val="left"/>
              <w:rPr>
                <w:sz w:val="19"/>
                <w:szCs w:val="19"/>
              </w:rPr>
            </w:pPr>
            <w:r w:rsidRPr="00F052B0">
              <w:rPr>
                <w:sz w:val="19"/>
                <w:szCs w:val="19"/>
              </w:rPr>
              <w:t>blends</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Conversion of HCFC-141b foam panels already completed in most countries.</w:t>
            </w:r>
          </w:p>
          <w:p w:rsidR="00FF6C2E" w:rsidRPr="00F052B0" w:rsidRDefault="00FF6C2E" w:rsidP="005B04FB">
            <w:pPr>
              <w:spacing w:after="60"/>
              <w:jc w:val="left"/>
              <w:rPr>
                <w:sz w:val="19"/>
                <w:szCs w:val="19"/>
              </w:rPr>
            </w:pPr>
            <w:r w:rsidRPr="00F052B0">
              <w:rPr>
                <w:sz w:val="19"/>
                <w:szCs w:val="19"/>
              </w:rPr>
              <w:t>Integrated implementation possible for refrigeration systems in enterprises using multiple refrigerants for different applications (e.g., HCFC-22, HFC</w:t>
            </w:r>
            <w:r w:rsidRPr="00F052B0">
              <w:rPr>
                <w:sz w:val="19"/>
                <w:szCs w:val="19"/>
              </w:rPr>
              <w:noBreakHyphen/>
              <w:t>134a and R</w:t>
            </w:r>
            <w:r w:rsidRPr="00F052B0">
              <w:rPr>
                <w:sz w:val="19"/>
                <w:szCs w:val="19"/>
              </w:rPr>
              <w:noBreakHyphen/>
              <w:t>404A).</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 xml:space="preserve">Several technical options are commercially available and others are under development. </w:t>
            </w:r>
          </w:p>
          <w:p w:rsidR="00FF6C2E" w:rsidRPr="00F052B0" w:rsidRDefault="00FF6C2E" w:rsidP="005B04FB">
            <w:pPr>
              <w:spacing w:after="60"/>
              <w:jc w:val="left"/>
              <w:rPr>
                <w:sz w:val="19"/>
                <w:szCs w:val="19"/>
              </w:rPr>
            </w:pPr>
            <w:r w:rsidRPr="00F052B0">
              <w:rPr>
                <w:sz w:val="19"/>
                <w:szCs w:val="19"/>
              </w:rPr>
              <w:t>The sub</w:t>
            </w:r>
            <w:r>
              <w:rPr>
                <w:sz w:val="19"/>
                <w:szCs w:val="19"/>
              </w:rPr>
              <w:t>-</w:t>
            </w:r>
            <w:r w:rsidRPr="00F052B0">
              <w:rPr>
                <w:sz w:val="19"/>
                <w:szCs w:val="19"/>
              </w:rPr>
              <w:t>sector manufacturing smaller stand-alone units could convert now to alternatives such as R-290 and CO</w:t>
            </w:r>
            <w:r w:rsidRPr="00F052B0">
              <w:rPr>
                <w:sz w:val="19"/>
                <w:szCs w:val="19"/>
                <w:vertAlign w:val="subscript"/>
              </w:rPr>
              <w:t>2,</w:t>
            </w:r>
            <w:r w:rsidRPr="00F052B0">
              <w:rPr>
                <w:sz w:val="19"/>
                <w:szCs w:val="19"/>
              </w:rPr>
              <w:t xml:space="preserve"> followed by specific sub</w:t>
            </w:r>
            <w:r>
              <w:rPr>
                <w:sz w:val="19"/>
                <w:szCs w:val="19"/>
              </w:rPr>
              <w:t>-</w:t>
            </w:r>
            <w:r w:rsidRPr="00F052B0">
              <w:rPr>
                <w:sz w:val="19"/>
                <w:szCs w:val="19"/>
              </w:rPr>
              <w:t>sector regulation to ensure sustainability.</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 xml:space="preserve">Larger commercial and industrial refrigeration </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HCFC-22</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HFC-134a</w:t>
            </w:r>
          </w:p>
          <w:p w:rsidR="00FF6C2E" w:rsidRPr="00F052B0" w:rsidRDefault="00FF6C2E" w:rsidP="005B04FB">
            <w:pPr>
              <w:jc w:val="left"/>
              <w:rPr>
                <w:sz w:val="19"/>
                <w:szCs w:val="19"/>
              </w:rPr>
            </w:pPr>
            <w:r w:rsidRPr="00F052B0">
              <w:rPr>
                <w:sz w:val="19"/>
                <w:szCs w:val="19"/>
              </w:rPr>
              <w:t>R-404A</w:t>
            </w:r>
          </w:p>
          <w:p w:rsidR="00FF6C2E" w:rsidRPr="00F052B0" w:rsidRDefault="00FF6C2E" w:rsidP="005B04FB">
            <w:pPr>
              <w:jc w:val="left"/>
              <w:rPr>
                <w:sz w:val="19"/>
                <w:szCs w:val="19"/>
              </w:rPr>
            </w:pP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To be considered on a case-by-case basis given the variety of applications and types of enterprises.</w:t>
            </w:r>
          </w:p>
          <w:p w:rsidR="00FF6C2E" w:rsidRPr="00F052B0" w:rsidRDefault="00FF6C2E" w:rsidP="005B04FB">
            <w:pPr>
              <w:spacing w:after="60"/>
              <w:jc w:val="left"/>
              <w:rPr>
                <w:sz w:val="19"/>
                <w:szCs w:val="19"/>
              </w:rPr>
            </w:pPr>
            <w:r w:rsidRPr="00F052B0">
              <w:rPr>
                <w:sz w:val="19"/>
                <w:szCs w:val="19"/>
              </w:rPr>
              <w:t>Integrated implementation may be feasible in enterprises using multiple refrigerants for different applications (e.g., HCFC-22, HFC-134a and R</w:t>
            </w:r>
            <w:r w:rsidRPr="00F052B0">
              <w:rPr>
                <w:sz w:val="19"/>
                <w:szCs w:val="19"/>
              </w:rPr>
              <w:noBreakHyphen/>
              <w:t>404A). However, a sector or sub</w:t>
            </w:r>
            <w:r>
              <w:rPr>
                <w:sz w:val="19"/>
                <w:szCs w:val="19"/>
              </w:rPr>
              <w:noBreakHyphen/>
            </w:r>
            <w:r w:rsidRPr="00F052B0">
              <w:rPr>
                <w:sz w:val="19"/>
                <w:szCs w:val="19"/>
              </w:rPr>
              <w:t>sector approach would be more likely to ensure a sustainable phase-out.</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Activities designed to reduce the use of R-404A and R-507A in manufacturing could have a significant impact given their high GWP. However, they would need to address the entire sector to ensure their sustained phase-out.</w:t>
            </w:r>
          </w:p>
          <w:p w:rsidR="00FF6C2E" w:rsidRPr="00F052B0" w:rsidRDefault="00FF6C2E" w:rsidP="005B04FB">
            <w:pPr>
              <w:spacing w:after="60"/>
              <w:jc w:val="left"/>
              <w:rPr>
                <w:sz w:val="19"/>
                <w:szCs w:val="19"/>
              </w:rPr>
            </w:pPr>
            <w:r w:rsidRPr="00F052B0">
              <w:rPr>
                <w:sz w:val="19"/>
                <w:szCs w:val="19"/>
              </w:rPr>
              <w:t>Potential activities that could be implemented in stage I of the HFC phase-down plans in the servicing sector include preventive maintenance, leakage control, and end-user support to better handle installed equipment</w:t>
            </w:r>
            <w:r>
              <w:rPr>
                <w:sz w:val="19"/>
                <w:szCs w:val="19"/>
              </w:rPr>
              <w:t>.</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Residential and commercial AC</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HCFC-22</w:t>
            </w:r>
          </w:p>
        </w:tc>
        <w:tc>
          <w:tcPr>
            <w:tcW w:w="1170" w:type="dxa"/>
            <w:tcMar>
              <w:left w:w="72" w:type="dxa"/>
              <w:right w:w="43" w:type="dxa"/>
            </w:tcMar>
          </w:tcPr>
          <w:p w:rsidR="00FF6C2E" w:rsidRPr="00F052B0" w:rsidRDefault="00FF6C2E" w:rsidP="005B04FB">
            <w:pPr>
              <w:jc w:val="left"/>
              <w:rPr>
                <w:sz w:val="19"/>
                <w:szCs w:val="19"/>
                <w:lang w:val="pt-BR"/>
              </w:rPr>
            </w:pPr>
            <w:r w:rsidRPr="00F052B0">
              <w:rPr>
                <w:sz w:val="19"/>
                <w:szCs w:val="19"/>
                <w:lang w:val="pt-BR"/>
              </w:rPr>
              <w:t>R-410A</w:t>
            </w:r>
          </w:p>
          <w:p w:rsidR="00FF6C2E" w:rsidRPr="00F052B0" w:rsidRDefault="00FF6C2E" w:rsidP="005B04FB">
            <w:pPr>
              <w:jc w:val="left"/>
              <w:rPr>
                <w:sz w:val="19"/>
                <w:szCs w:val="19"/>
                <w:lang w:val="pt-BR"/>
              </w:rPr>
            </w:pPr>
            <w:r w:rsidRPr="00F052B0">
              <w:rPr>
                <w:sz w:val="19"/>
                <w:szCs w:val="19"/>
                <w:lang w:val="pt-BR"/>
              </w:rPr>
              <w:t>R-407C</w:t>
            </w:r>
          </w:p>
          <w:p w:rsidR="00FF6C2E" w:rsidRPr="00F052B0" w:rsidRDefault="00FF6C2E" w:rsidP="005B04FB">
            <w:pPr>
              <w:jc w:val="left"/>
              <w:rPr>
                <w:sz w:val="19"/>
                <w:szCs w:val="19"/>
                <w:lang w:val="pt-BR"/>
              </w:rPr>
            </w:pPr>
            <w:r w:rsidRPr="00F052B0">
              <w:rPr>
                <w:sz w:val="19"/>
                <w:szCs w:val="19"/>
                <w:lang w:val="pt-BR"/>
              </w:rPr>
              <w:t>Blends</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Potential for integrated implementation in enterprises consuming both HCFC</w:t>
            </w:r>
            <w:r w:rsidRPr="00F052B0">
              <w:rPr>
                <w:sz w:val="19"/>
                <w:szCs w:val="19"/>
              </w:rPr>
              <w:noBreakHyphen/>
              <w:t>22 and R</w:t>
            </w:r>
            <w:r w:rsidRPr="00F052B0">
              <w:rPr>
                <w:sz w:val="19"/>
                <w:szCs w:val="19"/>
              </w:rPr>
              <w:noBreakHyphen/>
              <w:t>410A (or other high</w:t>
            </w:r>
            <w:r w:rsidRPr="00F052B0">
              <w:rPr>
                <w:sz w:val="19"/>
                <w:szCs w:val="19"/>
              </w:rPr>
              <w:noBreakHyphen/>
              <w:t xml:space="preserve">GWP HFCs). However, individual enterprise conversions may not be sustainable if other manufacturers are </w:t>
            </w:r>
            <w:r w:rsidRPr="00F052B0">
              <w:rPr>
                <w:sz w:val="19"/>
                <w:szCs w:val="19"/>
              </w:rPr>
              <w:lastRenderedPageBreak/>
              <w:t>still using high-GWP HFCs or importing high</w:t>
            </w:r>
            <w:r w:rsidRPr="00F052B0">
              <w:rPr>
                <w:sz w:val="19"/>
                <w:szCs w:val="19"/>
              </w:rPr>
              <w:noBreakHyphen/>
              <w:t>GWP HFC-based equipment. A sector approach is required to ensure sustained adoption of lower-GWP alternative technologies.</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lastRenderedPageBreak/>
              <w:t>Energy efficiency standards in AC could favour adoption of R</w:t>
            </w:r>
            <w:r w:rsidRPr="00F052B0">
              <w:rPr>
                <w:sz w:val="19"/>
                <w:szCs w:val="19"/>
              </w:rPr>
              <w:noBreakHyphen/>
              <w:t>410A and other high-GWP refrigerants in the short run; policy measures may be needed to avoid this.</w:t>
            </w:r>
          </w:p>
          <w:p w:rsidR="00FF6C2E" w:rsidRPr="00F052B0" w:rsidRDefault="00FF6C2E" w:rsidP="005B04FB">
            <w:pPr>
              <w:spacing w:after="60"/>
              <w:jc w:val="left"/>
              <w:rPr>
                <w:sz w:val="19"/>
                <w:szCs w:val="19"/>
              </w:rPr>
            </w:pP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lastRenderedPageBreak/>
              <w:t>MAC (vehicles)</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None</w:t>
            </w:r>
          </w:p>
        </w:tc>
        <w:tc>
          <w:tcPr>
            <w:tcW w:w="1170" w:type="dxa"/>
            <w:tcMar>
              <w:left w:w="72" w:type="dxa"/>
              <w:right w:w="43" w:type="dxa"/>
            </w:tcMar>
          </w:tcPr>
          <w:p w:rsidR="00FF6C2E" w:rsidRPr="00F052B0" w:rsidRDefault="00FF6C2E" w:rsidP="005B04FB">
            <w:pPr>
              <w:jc w:val="left"/>
              <w:rPr>
                <w:sz w:val="19"/>
                <w:szCs w:val="19"/>
                <w:lang w:val="pt-BR"/>
              </w:rPr>
            </w:pPr>
            <w:r w:rsidRPr="00F052B0">
              <w:rPr>
                <w:sz w:val="19"/>
                <w:szCs w:val="19"/>
                <w:lang w:val="pt-BR"/>
              </w:rPr>
              <w:t>HFC-134a</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Integrated implementation is not possible as HCFC is not used.</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Limited information available, Currently some automobile manufacturers are using HFO</w:t>
            </w:r>
            <w:r w:rsidRPr="00F052B0">
              <w:rPr>
                <w:sz w:val="19"/>
                <w:szCs w:val="19"/>
              </w:rPr>
              <w:noBreakHyphen/>
              <w:t xml:space="preserve">1234yf as an alternative to HFC-134a. </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Chillers</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HCFC-22</w:t>
            </w:r>
          </w:p>
        </w:tc>
        <w:tc>
          <w:tcPr>
            <w:tcW w:w="1170" w:type="dxa"/>
            <w:tcMar>
              <w:left w:w="72" w:type="dxa"/>
              <w:right w:w="43" w:type="dxa"/>
            </w:tcMar>
          </w:tcPr>
          <w:p w:rsidR="00FF6C2E" w:rsidRPr="00F052B0" w:rsidRDefault="00FF6C2E" w:rsidP="005B04FB">
            <w:pPr>
              <w:jc w:val="left"/>
              <w:rPr>
                <w:sz w:val="19"/>
                <w:szCs w:val="19"/>
                <w:lang w:val="pt-BR"/>
              </w:rPr>
            </w:pPr>
            <w:r w:rsidRPr="00F052B0">
              <w:rPr>
                <w:sz w:val="19"/>
                <w:szCs w:val="19"/>
                <w:lang w:val="pt-BR"/>
              </w:rPr>
              <w:t>HFC-134a</w:t>
            </w:r>
          </w:p>
          <w:p w:rsidR="00FF6C2E" w:rsidRPr="00F052B0" w:rsidRDefault="00FF6C2E" w:rsidP="005B04FB">
            <w:pPr>
              <w:jc w:val="left"/>
              <w:rPr>
                <w:sz w:val="19"/>
                <w:szCs w:val="19"/>
                <w:lang w:val="pt-BR"/>
              </w:rPr>
            </w:pPr>
            <w:r w:rsidRPr="00F052B0">
              <w:rPr>
                <w:sz w:val="19"/>
                <w:szCs w:val="19"/>
                <w:lang w:val="pt-BR"/>
              </w:rPr>
              <w:t>R-410A</w:t>
            </w:r>
          </w:p>
          <w:p w:rsidR="00FF6C2E" w:rsidRPr="00F052B0" w:rsidRDefault="00FF6C2E" w:rsidP="005B04FB">
            <w:pPr>
              <w:jc w:val="left"/>
              <w:rPr>
                <w:sz w:val="19"/>
                <w:szCs w:val="19"/>
                <w:lang w:val="pt-BR"/>
              </w:rPr>
            </w:pPr>
            <w:r w:rsidRPr="00F052B0">
              <w:rPr>
                <w:sz w:val="19"/>
                <w:szCs w:val="19"/>
                <w:lang w:val="pt-BR"/>
              </w:rPr>
              <w:t>R-407C</w:t>
            </w:r>
          </w:p>
          <w:p w:rsidR="00FF6C2E" w:rsidRPr="00F052B0" w:rsidRDefault="00FF6C2E" w:rsidP="005B04FB">
            <w:pPr>
              <w:jc w:val="left"/>
              <w:rPr>
                <w:sz w:val="19"/>
                <w:szCs w:val="19"/>
                <w:lang w:val="pt-BR"/>
              </w:rPr>
            </w:pPr>
            <w:r w:rsidRPr="00F052B0">
              <w:rPr>
                <w:sz w:val="19"/>
                <w:szCs w:val="19"/>
                <w:lang w:val="pt-BR"/>
              </w:rPr>
              <w:t xml:space="preserve">R-413A </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Similar to commercial AC, although consumption levels may be lower. This sector relates more to end-users and/or assembly enterprises.</w:t>
            </w:r>
          </w:p>
          <w:p w:rsidR="00FF6C2E" w:rsidRPr="00F052B0" w:rsidRDefault="00FF6C2E" w:rsidP="005B04FB">
            <w:pPr>
              <w:spacing w:after="60"/>
              <w:jc w:val="left"/>
              <w:rPr>
                <w:sz w:val="19"/>
                <w:szCs w:val="19"/>
              </w:rPr>
            </w:pPr>
            <w:r w:rsidRPr="00F052B0">
              <w:rPr>
                <w:sz w:val="19"/>
                <w:szCs w:val="19"/>
              </w:rPr>
              <w:t>Opportunities for integrated HCFC and HFC implementation are unlikely.</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Limited information is available.</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Aerosol</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HCFC-22 HCFC-141b</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 xml:space="preserve">HFC-134a and </w:t>
            </w:r>
          </w:p>
          <w:p w:rsidR="00FF6C2E" w:rsidRPr="00F052B0" w:rsidRDefault="00FF6C2E" w:rsidP="005B04FB">
            <w:pPr>
              <w:jc w:val="left"/>
              <w:rPr>
                <w:sz w:val="19"/>
                <w:szCs w:val="19"/>
              </w:rPr>
            </w:pPr>
            <w:r w:rsidRPr="00F052B0">
              <w:rPr>
                <w:sz w:val="19"/>
                <w:szCs w:val="19"/>
              </w:rPr>
              <w:t>HFC-152a</w:t>
            </w:r>
          </w:p>
          <w:p w:rsidR="00FF6C2E" w:rsidRPr="00F052B0" w:rsidRDefault="00FF6C2E" w:rsidP="005B04FB">
            <w:pPr>
              <w:jc w:val="left"/>
              <w:rPr>
                <w:sz w:val="19"/>
                <w:szCs w:val="19"/>
              </w:rPr>
            </w:pPr>
            <w:r w:rsidRPr="00F052B0">
              <w:rPr>
                <w:sz w:val="19"/>
                <w:szCs w:val="19"/>
              </w:rPr>
              <w:t>HFC-134a in MDI</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 xml:space="preserve">To be implemented separately as alternatives become available. </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 xml:space="preserve">Several countries using HFC-152a (124 GWP). </w:t>
            </w:r>
          </w:p>
          <w:p w:rsidR="00FF6C2E" w:rsidRPr="00F052B0" w:rsidRDefault="00FF6C2E" w:rsidP="005B04FB">
            <w:pPr>
              <w:spacing w:after="60"/>
              <w:jc w:val="left"/>
              <w:rPr>
                <w:sz w:val="19"/>
                <w:szCs w:val="19"/>
              </w:rPr>
            </w:pPr>
            <w:r w:rsidRPr="00F052B0">
              <w:rPr>
                <w:sz w:val="19"/>
                <w:szCs w:val="19"/>
              </w:rPr>
              <w:t>Levels of consumption of HFC</w:t>
            </w:r>
            <w:r w:rsidRPr="00F052B0">
              <w:rPr>
                <w:sz w:val="19"/>
                <w:szCs w:val="19"/>
              </w:rPr>
              <w:noBreakHyphen/>
              <w:t xml:space="preserve">134a in MDI and other aerosol applications appear to be low. </w:t>
            </w:r>
          </w:p>
          <w:p w:rsidR="00FF6C2E" w:rsidRPr="00F052B0" w:rsidRDefault="00FF6C2E" w:rsidP="005B04FB">
            <w:pPr>
              <w:spacing w:after="60"/>
              <w:jc w:val="left"/>
              <w:rPr>
                <w:sz w:val="19"/>
                <w:szCs w:val="19"/>
              </w:rPr>
            </w:pPr>
            <w:r w:rsidRPr="00F052B0">
              <w:rPr>
                <w:sz w:val="19"/>
                <w:szCs w:val="19"/>
              </w:rPr>
              <w:t>Time is required to develop HFC</w:t>
            </w:r>
            <w:r w:rsidRPr="00F052B0">
              <w:rPr>
                <w:sz w:val="19"/>
                <w:szCs w:val="19"/>
              </w:rPr>
              <w:noBreakHyphen/>
              <w:t>free technology for MDI. Therefore, MDI is not a sector recommended for early action.</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Solvent</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HCFC-141b</w:t>
            </w:r>
          </w:p>
          <w:p w:rsidR="00FF6C2E" w:rsidRPr="00F052B0" w:rsidRDefault="00FF6C2E" w:rsidP="005B04FB">
            <w:pPr>
              <w:jc w:val="left"/>
              <w:rPr>
                <w:sz w:val="19"/>
                <w:szCs w:val="19"/>
              </w:rPr>
            </w:pPr>
            <w:r w:rsidRPr="00F052B0">
              <w:rPr>
                <w:sz w:val="19"/>
                <w:szCs w:val="19"/>
              </w:rPr>
              <w:t>HCFC-22</w:t>
            </w:r>
          </w:p>
          <w:p w:rsidR="00FF6C2E" w:rsidRPr="00F052B0" w:rsidRDefault="00FF6C2E" w:rsidP="005B04FB">
            <w:pPr>
              <w:jc w:val="left"/>
              <w:rPr>
                <w:sz w:val="19"/>
                <w:szCs w:val="19"/>
              </w:rPr>
            </w:pPr>
            <w:r w:rsidRPr="00F052B0">
              <w:rPr>
                <w:sz w:val="19"/>
                <w:szCs w:val="19"/>
              </w:rPr>
              <w:t>HCFC-225ca</w:t>
            </w:r>
          </w:p>
          <w:p w:rsidR="00FF6C2E" w:rsidRPr="00F052B0" w:rsidRDefault="00FF6C2E" w:rsidP="005B04FB">
            <w:pPr>
              <w:jc w:val="left"/>
              <w:rPr>
                <w:sz w:val="19"/>
                <w:szCs w:val="19"/>
              </w:rPr>
            </w:pPr>
            <w:r w:rsidRPr="00F052B0">
              <w:rPr>
                <w:sz w:val="19"/>
                <w:szCs w:val="19"/>
              </w:rPr>
              <w:t>HCFC-225cb</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Several HFC blends</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 xml:space="preserve">To be determined. </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Levels of consumption of HFCs appear to be low.</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Fire-fighting</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HCFC-123</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 xml:space="preserve">HFC-227ea HFC-236fa HFC-23 HFC-125 </w:t>
            </w:r>
          </w:p>
          <w:p w:rsidR="00FF6C2E" w:rsidRPr="00F052B0" w:rsidRDefault="00FF6C2E" w:rsidP="005B04FB">
            <w:pPr>
              <w:jc w:val="left"/>
              <w:rPr>
                <w:sz w:val="19"/>
                <w:szCs w:val="19"/>
              </w:rPr>
            </w:pPr>
            <w:r>
              <w:rPr>
                <w:sz w:val="19"/>
                <w:szCs w:val="19"/>
              </w:rPr>
              <w:t>O</w:t>
            </w:r>
            <w:r w:rsidRPr="00F052B0">
              <w:rPr>
                <w:sz w:val="19"/>
                <w:szCs w:val="19"/>
              </w:rPr>
              <w:t>ther HFCs and blends</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Potential integrated implementation could be explored in the few countries that have not addressed HCFC-123 in their HPMPs and have reported HFC consumption. However, except for one country amounts are negligible.</w:t>
            </w:r>
          </w:p>
          <w:p w:rsidR="00FF6C2E" w:rsidRPr="00F052B0" w:rsidRDefault="00FF6C2E" w:rsidP="005B04FB">
            <w:pPr>
              <w:spacing w:after="60"/>
              <w:jc w:val="left"/>
              <w:rPr>
                <w:sz w:val="19"/>
                <w:szCs w:val="19"/>
              </w:rPr>
            </w:pPr>
            <w:r w:rsidRPr="00F052B0">
              <w:rPr>
                <w:sz w:val="19"/>
                <w:szCs w:val="19"/>
              </w:rPr>
              <w:t xml:space="preserve">Moreover, the Parties adjusted the Montreal Protocol to allow the servicing of HCFC-123 firefighting equipment in the servicing tail. Accordingly, the impetus for early action through integrated implementation with HPMPs is likely lacking. </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 xml:space="preserve">Levels of consumption of both HCFC-123 and HFCs in this sector appear to be low, except for the use of 6,087 </w:t>
            </w:r>
            <w:proofErr w:type="spellStart"/>
            <w:r w:rsidRPr="00F052B0">
              <w:rPr>
                <w:sz w:val="19"/>
                <w:szCs w:val="19"/>
              </w:rPr>
              <w:t>mt</w:t>
            </w:r>
            <w:proofErr w:type="spellEnd"/>
            <w:r w:rsidRPr="00F052B0">
              <w:rPr>
                <w:sz w:val="19"/>
                <w:szCs w:val="19"/>
              </w:rPr>
              <w:t xml:space="preserve"> of HFC-225ea in one country.</w:t>
            </w:r>
          </w:p>
        </w:tc>
      </w:tr>
      <w:tr w:rsidR="00FF6C2E" w:rsidRPr="00F052B0" w:rsidTr="005B04FB">
        <w:tc>
          <w:tcPr>
            <w:tcW w:w="1165" w:type="dxa"/>
            <w:tcMar>
              <w:left w:w="72" w:type="dxa"/>
              <w:right w:w="43" w:type="dxa"/>
            </w:tcMar>
          </w:tcPr>
          <w:p w:rsidR="00FF6C2E" w:rsidRPr="00F052B0" w:rsidRDefault="00FF6C2E" w:rsidP="005B04FB">
            <w:pPr>
              <w:jc w:val="left"/>
              <w:rPr>
                <w:sz w:val="19"/>
                <w:szCs w:val="19"/>
              </w:rPr>
            </w:pPr>
            <w:r w:rsidRPr="00F052B0">
              <w:rPr>
                <w:sz w:val="19"/>
                <w:szCs w:val="19"/>
              </w:rPr>
              <w:t>Several uses of HFC-23 (firefighting, low-temperature refrigeration, others)</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N/A</w:t>
            </w:r>
          </w:p>
        </w:tc>
        <w:tc>
          <w:tcPr>
            <w:tcW w:w="1170" w:type="dxa"/>
            <w:tcMar>
              <w:left w:w="72" w:type="dxa"/>
              <w:right w:w="43" w:type="dxa"/>
            </w:tcMar>
          </w:tcPr>
          <w:p w:rsidR="00FF6C2E" w:rsidRPr="00F052B0" w:rsidRDefault="00FF6C2E" w:rsidP="005B04FB">
            <w:pPr>
              <w:jc w:val="left"/>
              <w:rPr>
                <w:sz w:val="19"/>
                <w:szCs w:val="19"/>
              </w:rPr>
            </w:pPr>
            <w:r w:rsidRPr="00F052B0">
              <w:rPr>
                <w:sz w:val="19"/>
                <w:szCs w:val="19"/>
              </w:rPr>
              <w:t>HFC-23</w:t>
            </w:r>
          </w:p>
        </w:tc>
        <w:tc>
          <w:tcPr>
            <w:tcW w:w="3150" w:type="dxa"/>
            <w:tcMar>
              <w:left w:w="72" w:type="dxa"/>
              <w:right w:w="43" w:type="dxa"/>
            </w:tcMar>
          </w:tcPr>
          <w:p w:rsidR="00FF6C2E" w:rsidRPr="00F052B0" w:rsidRDefault="00FF6C2E" w:rsidP="005B04FB">
            <w:pPr>
              <w:spacing w:after="60"/>
              <w:jc w:val="left"/>
              <w:rPr>
                <w:sz w:val="19"/>
                <w:szCs w:val="19"/>
              </w:rPr>
            </w:pPr>
            <w:r w:rsidRPr="00F052B0">
              <w:rPr>
                <w:sz w:val="19"/>
                <w:szCs w:val="19"/>
              </w:rPr>
              <w:t>Low potential for integration.</w:t>
            </w:r>
          </w:p>
        </w:tc>
        <w:tc>
          <w:tcPr>
            <w:tcW w:w="2790" w:type="dxa"/>
            <w:tcMar>
              <w:left w:w="72" w:type="dxa"/>
              <w:right w:w="43" w:type="dxa"/>
            </w:tcMar>
          </w:tcPr>
          <w:p w:rsidR="00FF6C2E" w:rsidRPr="00F052B0" w:rsidRDefault="00FF6C2E" w:rsidP="005B04FB">
            <w:pPr>
              <w:spacing w:after="60"/>
              <w:jc w:val="left"/>
              <w:rPr>
                <w:sz w:val="19"/>
                <w:szCs w:val="19"/>
              </w:rPr>
            </w:pPr>
            <w:r w:rsidRPr="00F052B0">
              <w:rPr>
                <w:sz w:val="19"/>
                <w:szCs w:val="19"/>
              </w:rPr>
              <w:t>Notwithstanding the limited consumption of HFC-23 in countries, its (very) high GWP may make it an opportune target for early action.</w:t>
            </w:r>
          </w:p>
        </w:tc>
      </w:tr>
    </w:tbl>
    <w:p w:rsidR="00FF6C2E" w:rsidRPr="00F052B0" w:rsidRDefault="00FF6C2E" w:rsidP="005B04FB">
      <w:r>
        <w:br w:type="textWrapping" w:clear="all"/>
      </w:r>
    </w:p>
    <w:p w:rsidR="00FF6C2E" w:rsidRPr="00F052B0" w:rsidRDefault="00FF6C2E" w:rsidP="005B04FB">
      <w:pPr>
        <w:jc w:val="left"/>
        <w:rPr>
          <w:b/>
        </w:rPr>
        <w:sectPr w:rsidR="00FF6C2E" w:rsidRPr="00F052B0" w:rsidSect="005B04FB">
          <w:headerReference w:type="even" r:id="rId31"/>
          <w:headerReference w:type="default" r:id="rId32"/>
          <w:footerReference w:type="even" r:id="rId33"/>
          <w:footerReference w:type="default" r:id="rId34"/>
          <w:headerReference w:type="first" r:id="rId35"/>
          <w:footerReference w:type="first" r:id="rId36"/>
          <w:pgSz w:w="12240" w:h="15840" w:code="1"/>
          <w:pgMar w:top="720" w:right="1440" w:bottom="864" w:left="1440" w:header="720" w:footer="475" w:gutter="0"/>
          <w:pgNumType w:start="1"/>
          <w:cols w:space="720"/>
          <w:docGrid w:linePitch="299"/>
        </w:sectPr>
      </w:pPr>
    </w:p>
    <w:p w:rsidR="00FF6C2E" w:rsidRPr="00F052B0" w:rsidRDefault="00FF6C2E" w:rsidP="005B04FB">
      <w:pPr>
        <w:pStyle w:val="Heading1"/>
        <w:numPr>
          <w:ilvl w:val="0"/>
          <w:numId w:val="0"/>
        </w:numPr>
        <w:jc w:val="center"/>
        <w:rPr>
          <w:b/>
        </w:rPr>
      </w:pPr>
      <w:r w:rsidRPr="00F052B0">
        <w:rPr>
          <w:b/>
        </w:rPr>
        <w:lastRenderedPageBreak/>
        <w:t>Annex III</w:t>
      </w:r>
    </w:p>
    <w:p w:rsidR="00FF6C2E" w:rsidRPr="00F052B0" w:rsidRDefault="00FF6C2E" w:rsidP="005B04FB">
      <w:pPr>
        <w:jc w:val="center"/>
        <w:rPr>
          <w:b/>
        </w:rPr>
      </w:pPr>
      <w:r w:rsidRPr="00F052B0">
        <w:rPr>
          <w:b/>
        </w:rPr>
        <w:t xml:space="preserve">PROPOSED INTEGRATED COMPLIANCE STRATEGY DOCUMENT </w:t>
      </w:r>
    </w:p>
    <w:p w:rsidR="00FF6C2E" w:rsidRPr="00F052B0" w:rsidRDefault="00FF6C2E" w:rsidP="005B04FB">
      <w:pPr>
        <w:jc w:val="center"/>
        <w:rPr>
          <w:b/>
        </w:rPr>
      </w:pPr>
      <w:r w:rsidRPr="00F052B0">
        <w:rPr>
          <w:b/>
        </w:rPr>
        <w:t>(to be submitted along with stage I of the HFC phase-down plan for information purposes)</w:t>
      </w:r>
    </w:p>
    <w:p w:rsidR="00FF6C2E" w:rsidRPr="00F052B0" w:rsidRDefault="00FF6C2E" w:rsidP="005B04FB"/>
    <w:p w:rsidR="00FF6C2E" w:rsidRPr="00F052B0" w:rsidRDefault="00FF6C2E" w:rsidP="005B04FB">
      <w:pPr>
        <w:rPr>
          <w:b/>
        </w:rPr>
      </w:pPr>
      <w:r w:rsidRPr="00F052B0">
        <w:rPr>
          <w:b/>
        </w:rPr>
        <w:t>Government’s commitment</w:t>
      </w:r>
    </w:p>
    <w:p w:rsidR="00FF6C2E" w:rsidRPr="00F052B0" w:rsidRDefault="00FF6C2E" w:rsidP="005B04FB">
      <w:pPr>
        <w:rPr>
          <w:b/>
        </w:rPr>
      </w:pPr>
    </w:p>
    <w:p w:rsidR="00FF6C2E" w:rsidRPr="00F052B0" w:rsidRDefault="00FF6C2E" w:rsidP="005B04FB">
      <w:r w:rsidRPr="00F052B0">
        <w:t xml:space="preserve">This </w:t>
      </w:r>
      <w:r>
        <w:t>section includes the G</w:t>
      </w:r>
      <w:r w:rsidRPr="00F052B0">
        <w:t>overnment’s statement of commitment to harmonize to the extent possible the phase-out of HCFCs and phase down HFC consumption for the period 2021 to 2030</w:t>
      </w:r>
      <w:r>
        <w:t xml:space="preserve"> (2032)</w:t>
      </w:r>
      <w:r w:rsidRPr="00F052B0">
        <w:t xml:space="preserve">. </w:t>
      </w:r>
      <w:r>
        <w:t xml:space="preserve">It </w:t>
      </w:r>
      <w:r w:rsidRPr="00F052B0">
        <w:t>also include</w:t>
      </w:r>
      <w:r>
        <w:t>s</w:t>
      </w:r>
      <w:r w:rsidRPr="00F052B0">
        <w:t xml:space="preserve"> an overview of the approach, sectors identified as priority and specific measures and activities proposed to control increases in HFC consumption, including those resulting from implementation of the HPMP.</w:t>
      </w:r>
    </w:p>
    <w:p w:rsidR="00FF6C2E" w:rsidRPr="00F052B0" w:rsidRDefault="00FF6C2E" w:rsidP="005B04FB"/>
    <w:p w:rsidR="00FF6C2E" w:rsidRPr="00F052B0" w:rsidRDefault="00FF6C2E" w:rsidP="005B04FB">
      <w:pPr>
        <w:rPr>
          <w:b/>
        </w:rPr>
      </w:pPr>
      <w:r w:rsidRPr="00F052B0">
        <w:rPr>
          <w:b/>
        </w:rPr>
        <w:t>Integrated activities</w:t>
      </w:r>
    </w:p>
    <w:p w:rsidR="00FF6C2E" w:rsidRPr="00F052B0" w:rsidRDefault="00FF6C2E" w:rsidP="005B04FB"/>
    <w:p w:rsidR="00FF6C2E" w:rsidRPr="00F052B0" w:rsidRDefault="00FF6C2E" w:rsidP="005B04FB">
      <w:r w:rsidRPr="00F052B0">
        <w:t>This section identif</w:t>
      </w:r>
      <w:r>
        <w:t>ies</w:t>
      </w:r>
      <w:r w:rsidRPr="00F052B0">
        <w:t xml:space="preserve"> the sectors or applications where an integrated implementation of HCFC phase</w:t>
      </w:r>
      <w:r w:rsidRPr="00F052B0">
        <w:noBreakHyphen/>
        <w:t>out and HFC phase-down will be possible</w:t>
      </w:r>
      <w:r>
        <w:t xml:space="preserve"> to be undert</w:t>
      </w:r>
      <w:r w:rsidRPr="00F052B0">
        <w:t>aken.</w:t>
      </w:r>
      <w:r>
        <w:t xml:space="preserve"> F</w:t>
      </w:r>
      <w:r w:rsidRPr="00F052B0">
        <w:t xml:space="preserve">or the refrigeration servicing sector, </w:t>
      </w:r>
      <w:r>
        <w:t xml:space="preserve">it </w:t>
      </w:r>
      <w:r w:rsidRPr="00F052B0">
        <w:t>include</w:t>
      </w:r>
      <w:r>
        <w:t>s</w:t>
      </w:r>
      <w:r w:rsidRPr="00F052B0">
        <w:t xml:space="preserve"> an overview of the plan to combine ongoing</w:t>
      </w:r>
      <w:r>
        <w:t xml:space="preserve"> and proposed</w:t>
      </w:r>
      <w:r w:rsidRPr="00F052B0">
        <w:t xml:space="preserve"> activities under the HCFC phase out management plan </w:t>
      </w:r>
      <w:r>
        <w:t xml:space="preserve">(HPMP) </w:t>
      </w:r>
      <w:r w:rsidRPr="00F052B0">
        <w:t>with the proposed HFC phase</w:t>
      </w:r>
      <w:r w:rsidRPr="00F052B0">
        <w:noBreakHyphen/>
        <w:t>down plan.</w:t>
      </w:r>
    </w:p>
    <w:p w:rsidR="00FF6C2E" w:rsidRPr="00F052B0" w:rsidRDefault="00FF6C2E" w:rsidP="005B04FB"/>
    <w:p w:rsidR="00FF6C2E" w:rsidRPr="00F052B0" w:rsidRDefault="00FF6C2E" w:rsidP="005B04FB">
      <w:pPr>
        <w:rPr>
          <w:b/>
        </w:rPr>
      </w:pPr>
      <w:r w:rsidRPr="00F052B0">
        <w:rPr>
          <w:b/>
        </w:rPr>
        <w:t xml:space="preserve">Parallel activities </w:t>
      </w:r>
    </w:p>
    <w:p w:rsidR="00FF6C2E" w:rsidRPr="00F052B0" w:rsidRDefault="00FF6C2E" w:rsidP="005B04FB"/>
    <w:p w:rsidR="00FF6C2E" w:rsidRPr="00F052B0" w:rsidRDefault="00FF6C2E" w:rsidP="005B04FB">
      <w:r w:rsidRPr="00F052B0">
        <w:t>This section identif</w:t>
      </w:r>
      <w:r>
        <w:t>ies</w:t>
      </w:r>
      <w:r w:rsidRPr="00F052B0">
        <w:t xml:space="preserve"> the sectors where HFC phase-down could not be integrated with ongoing HCFC phase–out and therefore will need to be implemented separately, whether in parallel to ongoing HCFC phase</w:t>
      </w:r>
      <w:r>
        <w:noBreakHyphen/>
      </w:r>
      <w:r w:rsidRPr="00F052B0">
        <w:t>out or sequentially after HCFC phase-out.</w:t>
      </w:r>
    </w:p>
    <w:p w:rsidR="00FF6C2E" w:rsidRPr="00F052B0" w:rsidRDefault="00FF6C2E" w:rsidP="005B04FB">
      <w:pPr>
        <w:pStyle w:val="StyleHeader4Para4Left0Firstline0"/>
        <w:numPr>
          <w:ilvl w:val="0"/>
          <w:numId w:val="0"/>
        </w:numPr>
        <w:spacing w:after="0"/>
        <w:jc w:val="left"/>
        <w:rPr>
          <w:sz w:val="22"/>
        </w:rPr>
      </w:pPr>
    </w:p>
    <w:p w:rsidR="00FF6C2E" w:rsidRPr="00F052B0" w:rsidRDefault="00FF6C2E" w:rsidP="005B04FB">
      <w:pPr>
        <w:rPr>
          <w:b/>
        </w:rPr>
      </w:pPr>
      <w:r w:rsidRPr="00F052B0">
        <w:rPr>
          <w:b/>
        </w:rPr>
        <w:t>Schedule of the proposed maximum allowable consumption of HCFC and HFC up to 2030</w:t>
      </w:r>
    </w:p>
    <w:p w:rsidR="00FF6C2E" w:rsidRPr="00F052B0" w:rsidRDefault="00FF6C2E" w:rsidP="005B04FB"/>
    <w:p w:rsidR="00FF6C2E" w:rsidRPr="00F052B0" w:rsidRDefault="00FF6C2E" w:rsidP="005B04FB">
      <w:r w:rsidRPr="00F052B0">
        <w:t>The</w:t>
      </w:r>
      <w:r>
        <w:t xml:space="preserve"> consumption </w:t>
      </w:r>
      <w:r w:rsidRPr="00F052B0">
        <w:t xml:space="preserve">schedules can be presented in the form of a </w:t>
      </w:r>
      <w:r>
        <w:t>ta</w:t>
      </w:r>
      <w:r w:rsidRPr="00F052B0">
        <w:t xml:space="preserve">ble using as reference the </w:t>
      </w:r>
      <w:r>
        <w:t xml:space="preserve">portion of the </w:t>
      </w:r>
      <w:r w:rsidRPr="00F052B0">
        <w:t xml:space="preserve">table </w:t>
      </w:r>
      <w:r>
        <w:t>showing</w:t>
      </w:r>
      <w:r w:rsidRPr="00F052B0">
        <w:t xml:space="preserve"> </w:t>
      </w:r>
      <w:r>
        <w:t>m</w:t>
      </w:r>
      <w:r w:rsidRPr="00F052B0">
        <w:t xml:space="preserve">aximum </w:t>
      </w:r>
      <w:r>
        <w:t>a</w:t>
      </w:r>
      <w:r w:rsidRPr="00F052B0">
        <w:t xml:space="preserve">llowable consumption used in Appendix 2-A of the HPMP Agreements, as </w:t>
      </w:r>
      <w:r>
        <w:t>presented</w:t>
      </w:r>
      <w:r w:rsidRPr="00F052B0">
        <w:t xml:space="preserve"> in Table 1. The HCFC phase-out schedule would be presented in</w:t>
      </w:r>
      <w:r>
        <w:t xml:space="preserve"> the same manner of</w:t>
      </w:r>
      <w:r w:rsidRPr="00F052B0">
        <w:t xml:space="preserve"> lines 1.1 and 1.2 of the already existing Appendix 2-A of the HPMP Agreement (in ODP tonnes). If the last stage of the HPMP has not been approved yet by the Executive Committee, a schedule should be included </w:t>
      </w:r>
      <w:r>
        <w:t xml:space="preserve">in the same way it </w:t>
      </w:r>
      <w:r w:rsidRPr="00F052B0">
        <w:t xml:space="preserve">will be proposed in the last stage of the HPMP. </w:t>
      </w:r>
    </w:p>
    <w:p w:rsidR="00FF6C2E" w:rsidRPr="00F052B0" w:rsidRDefault="00FF6C2E" w:rsidP="005B04FB"/>
    <w:p w:rsidR="00FF6C2E" w:rsidRDefault="00FF6C2E" w:rsidP="005B04FB">
      <w:r w:rsidRPr="00F052B0">
        <w:t xml:space="preserve">The proposed </w:t>
      </w:r>
      <w:r>
        <w:t xml:space="preserve">maximum allowable </w:t>
      </w:r>
      <w:r w:rsidRPr="00F052B0">
        <w:t xml:space="preserve">HFC </w:t>
      </w:r>
      <w:r>
        <w:t xml:space="preserve">consumption </w:t>
      </w:r>
      <w:r w:rsidRPr="00F052B0">
        <w:t xml:space="preserve">up to 2030 (2032 for group 2 countries) can be presented in the same format </w:t>
      </w:r>
      <w:r>
        <w:t xml:space="preserve">used in </w:t>
      </w:r>
      <w:r w:rsidRPr="00F052B0">
        <w:t>lines 1.1 and 1.2 of Appendix 2-A of the HPMP Agreement, but in CO</w:t>
      </w:r>
      <w:r w:rsidRPr="009B55DC">
        <w:rPr>
          <w:vertAlign w:val="subscript"/>
        </w:rPr>
        <w:t>2</w:t>
      </w:r>
      <w:r>
        <w:rPr>
          <w:vertAlign w:val="subscript"/>
        </w:rPr>
        <w:noBreakHyphen/>
      </w:r>
      <w:r w:rsidRPr="00F052B0">
        <w:t>equivalent tonnes</w:t>
      </w:r>
      <w:r>
        <w:t>, as shown in Table 1</w:t>
      </w:r>
      <w:r w:rsidRPr="00F052B0">
        <w:t>.</w:t>
      </w:r>
    </w:p>
    <w:p w:rsidR="00FF6C2E" w:rsidRDefault="00FF6C2E" w:rsidP="005B04FB"/>
    <w:p w:rsidR="00FF6C2E" w:rsidRPr="00F052B0" w:rsidRDefault="00FF6C2E" w:rsidP="005B04FB">
      <w:pPr>
        <w:rPr>
          <w:b/>
        </w:rPr>
      </w:pPr>
      <w:r w:rsidRPr="00F052B0">
        <w:rPr>
          <w:b/>
        </w:rPr>
        <w:t>Table 1: HCFC phase</w:t>
      </w:r>
      <w:r>
        <w:rPr>
          <w:b/>
        </w:rPr>
        <w:t>-</w:t>
      </w:r>
      <w:r w:rsidRPr="00F052B0">
        <w:rPr>
          <w:b/>
        </w:rPr>
        <w:t xml:space="preserve">out and HFC phase-down </w:t>
      </w:r>
      <w:r>
        <w:rPr>
          <w:b/>
        </w:rPr>
        <w:t xml:space="preserve">consumption </w:t>
      </w:r>
      <w:r w:rsidRPr="00F052B0">
        <w:rPr>
          <w:b/>
        </w:rPr>
        <w:t>schedules up to 2030 (2032)</w:t>
      </w:r>
    </w:p>
    <w:tbl>
      <w:tblPr>
        <w:tblW w:w="9360" w:type="dxa"/>
        <w:tblLayout w:type="fixed"/>
        <w:tblLook w:val="04A0" w:firstRow="1" w:lastRow="0" w:firstColumn="1" w:lastColumn="0" w:noHBand="0" w:noVBand="1"/>
      </w:tblPr>
      <w:tblGrid>
        <w:gridCol w:w="4956"/>
        <w:gridCol w:w="660"/>
        <w:gridCol w:w="623"/>
        <w:gridCol w:w="623"/>
        <w:gridCol w:w="623"/>
        <w:gridCol w:w="623"/>
        <w:gridCol w:w="623"/>
        <w:gridCol w:w="629"/>
      </w:tblGrid>
      <w:tr w:rsidR="00FF6C2E" w:rsidRPr="00F052B0" w:rsidTr="005B04FB">
        <w:trPr>
          <w:tblHeader/>
        </w:trPr>
        <w:tc>
          <w:tcPr>
            <w:tcW w:w="2647" w:type="pct"/>
            <w:tcBorders>
              <w:top w:val="single" w:sz="4" w:space="0" w:color="auto"/>
              <w:left w:val="single" w:sz="4" w:space="0" w:color="auto"/>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Particulars</w:t>
            </w:r>
          </w:p>
        </w:tc>
        <w:tc>
          <w:tcPr>
            <w:tcW w:w="352"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2024</w:t>
            </w:r>
          </w:p>
        </w:tc>
        <w:tc>
          <w:tcPr>
            <w:tcW w:w="333" w:type="pct"/>
            <w:tcBorders>
              <w:top w:val="single" w:sz="4" w:space="0" w:color="auto"/>
              <w:left w:val="nil"/>
              <w:bottom w:val="single" w:sz="4" w:space="0" w:color="auto"/>
              <w:right w:val="single" w:sz="4" w:space="0" w:color="auto"/>
            </w:tcBorders>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2025</w:t>
            </w:r>
          </w:p>
        </w:tc>
        <w:tc>
          <w:tcPr>
            <w:tcW w:w="333" w:type="pct"/>
            <w:tcBorders>
              <w:top w:val="single" w:sz="4" w:space="0" w:color="auto"/>
              <w:left w:val="single" w:sz="4" w:space="0" w:color="auto"/>
              <w:bottom w:val="single" w:sz="4" w:space="0" w:color="auto"/>
              <w:right w:val="single" w:sz="4" w:space="0" w:color="auto"/>
            </w:tcBorders>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2026</w:t>
            </w:r>
          </w:p>
        </w:tc>
        <w:tc>
          <w:tcPr>
            <w:tcW w:w="333" w:type="pct"/>
            <w:tcBorders>
              <w:top w:val="single" w:sz="4" w:space="0" w:color="auto"/>
              <w:left w:val="single" w:sz="4" w:space="0" w:color="auto"/>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2027</w:t>
            </w:r>
          </w:p>
        </w:tc>
        <w:tc>
          <w:tcPr>
            <w:tcW w:w="333"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2028</w:t>
            </w:r>
          </w:p>
        </w:tc>
        <w:tc>
          <w:tcPr>
            <w:tcW w:w="333"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2029</w:t>
            </w:r>
          </w:p>
        </w:tc>
        <w:tc>
          <w:tcPr>
            <w:tcW w:w="335"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2030</w:t>
            </w:r>
          </w:p>
        </w:tc>
      </w:tr>
      <w:tr w:rsidR="00FF6C2E" w:rsidRPr="00F052B0" w:rsidTr="005B04FB">
        <w:trPr>
          <w:tblHeader/>
        </w:trPr>
        <w:tc>
          <w:tcPr>
            <w:tcW w:w="5000" w:type="pct"/>
            <w:gridSpan w:val="8"/>
            <w:tcBorders>
              <w:top w:val="single" w:sz="4" w:space="0" w:color="auto"/>
              <w:left w:val="single" w:sz="4" w:space="0" w:color="auto"/>
              <w:bottom w:val="single" w:sz="4" w:space="0" w:color="auto"/>
              <w:right w:val="single" w:sz="4" w:space="0" w:color="auto"/>
            </w:tcBorders>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 xml:space="preserve">HCFC </w:t>
            </w:r>
            <w:r>
              <w:rPr>
                <w:b/>
                <w:bCs/>
                <w:color w:val="000000"/>
                <w:sz w:val="20"/>
                <w:szCs w:val="20"/>
                <w:lang w:eastAsia="en-CA"/>
              </w:rPr>
              <w:t>p</w:t>
            </w:r>
            <w:r w:rsidRPr="00F052B0">
              <w:rPr>
                <w:b/>
                <w:bCs/>
                <w:color w:val="000000"/>
                <w:sz w:val="20"/>
                <w:szCs w:val="20"/>
                <w:lang w:eastAsia="en-CA"/>
              </w:rPr>
              <w:t>hase-out schedule</w:t>
            </w:r>
          </w:p>
        </w:tc>
      </w:tr>
      <w:tr w:rsidR="00FF6C2E" w:rsidRPr="00F052B0" w:rsidTr="005B04FB">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F6C2E" w:rsidRPr="00F052B0" w:rsidRDefault="00FF6C2E" w:rsidP="005B04FB">
            <w:pPr>
              <w:keepNext/>
              <w:keepLines/>
              <w:jc w:val="left"/>
              <w:rPr>
                <w:color w:val="000000"/>
                <w:sz w:val="20"/>
                <w:szCs w:val="20"/>
                <w:lang w:eastAsia="en-CA"/>
              </w:rPr>
            </w:pPr>
            <w:r w:rsidRPr="00F052B0">
              <w:rPr>
                <w:color w:val="000000"/>
                <w:sz w:val="20"/>
                <w:szCs w:val="20"/>
                <w:lang w:eastAsia="en-CA"/>
              </w:rPr>
              <w:t>Montreal Protocol reduction schedule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r>
      <w:tr w:rsidR="00FF6C2E" w:rsidRPr="00F052B0" w:rsidTr="005B04FB">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F6C2E" w:rsidRPr="00F052B0" w:rsidRDefault="00FF6C2E" w:rsidP="005B04FB">
            <w:pPr>
              <w:jc w:val="left"/>
              <w:rPr>
                <w:color w:val="000000"/>
                <w:sz w:val="20"/>
                <w:szCs w:val="20"/>
                <w:lang w:eastAsia="en-CA"/>
              </w:rPr>
            </w:pPr>
            <w:r w:rsidRPr="00F052B0">
              <w:rPr>
                <w:color w:val="000000"/>
                <w:sz w:val="20"/>
                <w:szCs w:val="20"/>
                <w:lang w:eastAsia="en-CA"/>
              </w:rPr>
              <w:t>Maximum allowable total consumption of Annex C, Group I substances (ODP tonnes)</w:t>
            </w:r>
          </w:p>
        </w:tc>
        <w:tc>
          <w:tcPr>
            <w:tcW w:w="35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5000" w:type="pct"/>
            <w:gridSpan w:val="8"/>
            <w:tcBorders>
              <w:top w:val="single" w:sz="4" w:space="0" w:color="auto"/>
              <w:left w:val="single" w:sz="4" w:space="0" w:color="auto"/>
              <w:bottom w:val="single" w:sz="4" w:space="0" w:color="auto"/>
              <w:right w:val="single" w:sz="4" w:space="0" w:color="auto"/>
            </w:tcBorders>
          </w:tcPr>
          <w:p w:rsidR="00FF6C2E" w:rsidRPr="00F052B0" w:rsidRDefault="00FF6C2E" w:rsidP="005B04FB">
            <w:pPr>
              <w:jc w:val="center"/>
              <w:rPr>
                <w:b/>
                <w:color w:val="000000"/>
                <w:sz w:val="20"/>
                <w:szCs w:val="20"/>
                <w:lang w:eastAsia="en-CA"/>
              </w:rPr>
            </w:pPr>
            <w:r w:rsidRPr="00F052B0">
              <w:rPr>
                <w:b/>
                <w:color w:val="000000"/>
                <w:sz w:val="20"/>
                <w:szCs w:val="20"/>
                <w:lang w:eastAsia="en-CA"/>
              </w:rPr>
              <w:t xml:space="preserve">HFC </w:t>
            </w:r>
            <w:r>
              <w:rPr>
                <w:b/>
                <w:color w:val="000000"/>
                <w:sz w:val="20"/>
                <w:szCs w:val="20"/>
                <w:lang w:eastAsia="en-CA"/>
              </w:rPr>
              <w:t>p</w:t>
            </w:r>
            <w:r w:rsidRPr="00F052B0">
              <w:rPr>
                <w:b/>
                <w:color w:val="000000"/>
                <w:sz w:val="20"/>
                <w:szCs w:val="20"/>
                <w:lang w:eastAsia="en-CA"/>
              </w:rPr>
              <w:t>hase-down schedule</w:t>
            </w:r>
          </w:p>
        </w:tc>
      </w:tr>
      <w:tr w:rsidR="00FF6C2E" w:rsidRPr="00F052B0" w:rsidTr="005B04FB">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keepNext/>
              <w:keepLines/>
              <w:jc w:val="left"/>
              <w:rPr>
                <w:color w:val="000000"/>
                <w:sz w:val="20"/>
                <w:szCs w:val="20"/>
                <w:lang w:eastAsia="en-CA"/>
              </w:rPr>
            </w:pPr>
            <w:r w:rsidRPr="00F052B0">
              <w:rPr>
                <w:color w:val="000000"/>
                <w:sz w:val="20"/>
                <w:szCs w:val="20"/>
                <w:lang w:eastAsia="en-CA"/>
              </w:rPr>
              <w:t>Montreal Protocol reduction schedule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647"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Maximum allowable total consumption of Annex F, Group I substances (CO</w:t>
            </w:r>
            <w:r w:rsidRPr="00F052B0">
              <w:rPr>
                <w:color w:val="000000"/>
                <w:sz w:val="20"/>
                <w:szCs w:val="20"/>
                <w:vertAlign w:val="subscript"/>
                <w:lang w:eastAsia="en-CA"/>
              </w:rPr>
              <w:t>2</w:t>
            </w:r>
            <w:r w:rsidRPr="00F052B0">
              <w:rPr>
                <w:color w:val="000000"/>
                <w:sz w:val="20"/>
                <w:szCs w:val="20"/>
                <w:lang w:eastAsia="en-CA"/>
              </w:rPr>
              <w:t>-eq.t)</w:t>
            </w:r>
          </w:p>
        </w:tc>
        <w:tc>
          <w:tcPr>
            <w:tcW w:w="35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3"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35"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bl>
    <w:p w:rsidR="00FF6C2E" w:rsidRPr="00F052B0" w:rsidRDefault="00FF6C2E" w:rsidP="005B04FB"/>
    <w:p w:rsidR="00FF6C2E" w:rsidRPr="00F052B0" w:rsidRDefault="00FF6C2E" w:rsidP="005B04FB">
      <w:pPr>
        <w:keepNext/>
        <w:keepLines/>
        <w:rPr>
          <w:b/>
        </w:rPr>
      </w:pPr>
      <w:r w:rsidRPr="00F052B0">
        <w:rPr>
          <w:b/>
        </w:rPr>
        <w:lastRenderedPageBreak/>
        <w:t>Proposed HPMP and HFC phase-down plan</w:t>
      </w:r>
      <w:r>
        <w:rPr>
          <w:b/>
        </w:rPr>
        <w:t xml:space="preserve"> funding</w:t>
      </w:r>
      <w:r w:rsidRPr="00F052B0">
        <w:rPr>
          <w:b/>
        </w:rPr>
        <w:t xml:space="preserve"> tranches </w:t>
      </w:r>
    </w:p>
    <w:p w:rsidR="00FF6C2E" w:rsidRPr="00F052B0" w:rsidRDefault="00FF6C2E" w:rsidP="005B04FB">
      <w:pPr>
        <w:keepNext/>
        <w:keepLines/>
      </w:pPr>
    </w:p>
    <w:p w:rsidR="00FF6C2E" w:rsidRPr="00F052B0" w:rsidRDefault="00FF6C2E" w:rsidP="005B04FB">
      <w:pPr>
        <w:keepNext/>
        <w:keepLines/>
      </w:pPr>
      <w:r w:rsidRPr="00F052B0">
        <w:t xml:space="preserve">The schedules can be presented in the form of a </w:t>
      </w:r>
      <w:r>
        <w:t>t</w:t>
      </w:r>
      <w:r w:rsidRPr="00F052B0">
        <w:t>able using as r</w:t>
      </w:r>
      <w:r>
        <w:t>eference the table with Agreed F</w:t>
      </w:r>
      <w:r w:rsidRPr="00F052B0">
        <w:t xml:space="preserve">unding schedules used in Appendix 2-A of the HPMP Agreements, as shown in </w:t>
      </w:r>
      <w:r>
        <w:t>Table 2</w:t>
      </w:r>
      <w:r w:rsidRPr="00F052B0">
        <w:t>. To the extent possible, the tranches for the HPMP and the HFC phase-down plans should be synchronize</w:t>
      </w:r>
      <w:r>
        <w:t>d</w:t>
      </w:r>
      <w:r w:rsidRPr="00F052B0">
        <w:t xml:space="preserve"> to minimize duplication of preparation of tranche implementation reports, tranche implementation plans, and commissioning of verifications associated to the release of tranches. </w:t>
      </w:r>
    </w:p>
    <w:p w:rsidR="00FF6C2E" w:rsidRDefault="00FF6C2E" w:rsidP="005B04FB"/>
    <w:p w:rsidR="00FF6C2E" w:rsidRPr="00F052B0" w:rsidRDefault="00FF6C2E" w:rsidP="005B04FB">
      <w:pPr>
        <w:rPr>
          <w:b/>
        </w:rPr>
      </w:pPr>
      <w:r w:rsidRPr="00F052B0">
        <w:rPr>
          <w:b/>
        </w:rPr>
        <w:t xml:space="preserve">Table </w:t>
      </w:r>
      <w:r>
        <w:rPr>
          <w:b/>
        </w:rPr>
        <w:t>2. HCFC phase-</w:t>
      </w:r>
      <w:r w:rsidRPr="00F052B0">
        <w:rPr>
          <w:b/>
        </w:rPr>
        <w:t xml:space="preserve">out and HFC phase-down </w:t>
      </w:r>
      <w:r>
        <w:rPr>
          <w:b/>
        </w:rPr>
        <w:t xml:space="preserve">funding </w:t>
      </w:r>
      <w:r w:rsidRPr="00F052B0">
        <w:rPr>
          <w:b/>
        </w:rPr>
        <w:t>schedules up to 2030 (2032)</w:t>
      </w:r>
    </w:p>
    <w:tbl>
      <w:tblPr>
        <w:tblW w:w="9360" w:type="dxa"/>
        <w:tblLayout w:type="fixed"/>
        <w:tblLook w:val="04A0" w:firstRow="1" w:lastRow="0" w:firstColumn="1" w:lastColumn="0" w:noHBand="0" w:noVBand="1"/>
      </w:tblPr>
      <w:tblGrid>
        <w:gridCol w:w="4866"/>
        <w:gridCol w:w="673"/>
        <w:gridCol w:w="637"/>
        <w:gridCol w:w="636"/>
        <w:gridCol w:w="636"/>
        <w:gridCol w:w="636"/>
        <w:gridCol w:w="636"/>
        <w:gridCol w:w="640"/>
      </w:tblGrid>
      <w:tr w:rsidR="00FF6C2E" w:rsidRPr="00F052B0" w:rsidTr="005B04FB">
        <w:trPr>
          <w:tblHeader/>
        </w:trPr>
        <w:tc>
          <w:tcPr>
            <w:tcW w:w="2599" w:type="pct"/>
            <w:tcBorders>
              <w:top w:val="single" w:sz="4" w:space="0" w:color="auto"/>
              <w:left w:val="single" w:sz="4" w:space="0" w:color="auto"/>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Particulars</w:t>
            </w:r>
          </w:p>
        </w:tc>
        <w:tc>
          <w:tcPr>
            <w:tcW w:w="359"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2024</w:t>
            </w:r>
          </w:p>
        </w:tc>
        <w:tc>
          <w:tcPr>
            <w:tcW w:w="340" w:type="pct"/>
            <w:tcBorders>
              <w:top w:val="single" w:sz="4" w:space="0" w:color="auto"/>
              <w:left w:val="nil"/>
              <w:bottom w:val="single" w:sz="4" w:space="0" w:color="auto"/>
              <w:right w:val="single" w:sz="4" w:space="0" w:color="auto"/>
            </w:tcBorders>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2025</w:t>
            </w:r>
          </w:p>
        </w:tc>
        <w:tc>
          <w:tcPr>
            <w:tcW w:w="340" w:type="pct"/>
            <w:tcBorders>
              <w:top w:val="single" w:sz="4" w:space="0" w:color="auto"/>
              <w:left w:val="single" w:sz="4" w:space="0" w:color="auto"/>
              <w:bottom w:val="single" w:sz="4" w:space="0" w:color="auto"/>
              <w:right w:val="single" w:sz="4" w:space="0" w:color="auto"/>
            </w:tcBorders>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2026</w:t>
            </w:r>
          </w:p>
        </w:tc>
        <w:tc>
          <w:tcPr>
            <w:tcW w:w="340" w:type="pct"/>
            <w:tcBorders>
              <w:top w:val="single" w:sz="4" w:space="0" w:color="auto"/>
              <w:left w:val="single" w:sz="4" w:space="0" w:color="auto"/>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2027</w:t>
            </w:r>
          </w:p>
        </w:tc>
        <w:tc>
          <w:tcPr>
            <w:tcW w:w="340"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2028</w:t>
            </w:r>
          </w:p>
        </w:tc>
        <w:tc>
          <w:tcPr>
            <w:tcW w:w="340"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2029</w:t>
            </w:r>
          </w:p>
        </w:tc>
        <w:tc>
          <w:tcPr>
            <w:tcW w:w="342" w:type="pct"/>
            <w:tcBorders>
              <w:top w:val="single" w:sz="4" w:space="0" w:color="auto"/>
              <w:left w:val="nil"/>
              <w:bottom w:val="single" w:sz="4" w:space="0" w:color="auto"/>
              <w:right w:val="single" w:sz="4" w:space="0" w:color="auto"/>
            </w:tcBorders>
            <w:shd w:val="clear" w:color="auto" w:fill="auto"/>
            <w:hideMark/>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2030</w:t>
            </w:r>
          </w:p>
        </w:tc>
      </w:tr>
      <w:tr w:rsidR="00FF6C2E" w:rsidRPr="00F052B0" w:rsidTr="005B04FB">
        <w:trPr>
          <w:tblHeader/>
        </w:trPr>
        <w:tc>
          <w:tcPr>
            <w:tcW w:w="5000" w:type="pct"/>
            <w:gridSpan w:val="8"/>
            <w:tcBorders>
              <w:top w:val="single" w:sz="4" w:space="0" w:color="auto"/>
              <w:left w:val="single" w:sz="4" w:space="0" w:color="auto"/>
              <w:bottom w:val="single" w:sz="4" w:space="0" w:color="auto"/>
              <w:right w:val="single" w:sz="4" w:space="0" w:color="auto"/>
            </w:tcBorders>
          </w:tcPr>
          <w:p w:rsidR="00FF6C2E" w:rsidRPr="00F052B0" w:rsidRDefault="00FF6C2E" w:rsidP="005B04FB">
            <w:pPr>
              <w:keepNext/>
              <w:keepLines/>
              <w:jc w:val="center"/>
              <w:rPr>
                <w:b/>
                <w:bCs/>
                <w:color w:val="000000"/>
                <w:sz w:val="20"/>
                <w:szCs w:val="20"/>
                <w:lang w:eastAsia="en-CA"/>
              </w:rPr>
            </w:pPr>
            <w:r w:rsidRPr="00F052B0">
              <w:rPr>
                <w:b/>
                <w:bCs/>
                <w:color w:val="000000"/>
                <w:sz w:val="20"/>
                <w:szCs w:val="20"/>
                <w:lang w:eastAsia="en-CA"/>
              </w:rPr>
              <w:t>HCFC funding</w:t>
            </w: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F6C2E" w:rsidRPr="00F052B0" w:rsidRDefault="00FF6C2E" w:rsidP="005B04FB">
            <w:pPr>
              <w:keepNext/>
              <w:keepLines/>
              <w:jc w:val="left"/>
              <w:rPr>
                <w:color w:val="000000"/>
                <w:sz w:val="20"/>
                <w:szCs w:val="20"/>
                <w:lang w:eastAsia="en-CA"/>
              </w:rPr>
            </w:pPr>
            <w:r w:rsidRPr="00F052B0">
              <w:rPr>
                <w:color w:val="000000"/>
                <w:sz w:val="20"/>
                <w:szCs w:val="20"/>
                <w:lang w:eastAsia="en-CA"/>
              </w:rPr>
              <w:t>Lead agency agreed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F6C2E" w:rsidRPr="00F052B0" w:rsidRDefault="00FF6C2E" w:rsidP="005B04FB">
            <w:pPr>
              <w:jc w:val="left"/>
              <w:rPr>
                <w:color w:val="000000"/>
                <w:sz w:val="20"/>
                <w:szCs w:val="20"/>
                <w:lang w:eastAsia="en-CA"/>
              </w:rPr>
            </w:pPr>
            <w:r w:rsidRPr="00F052B0">
              <w:rPr>
                <w:color w:val="000000"/>
                <w:sz w:val="20"/>
                <w:szCs w:val="20"/>
                <w:lang w:eastAsia="en-CA"/>
              </w:rPr>
              <w:t>Support costs for Lead 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Pr>
                <w:color w:val="000000"/>
                <w:sz w:val="20"/>
                <w:szCs w:val="20"/>
                <w:lang w:eastAsia="en-CA"/>
              </w:rPr>
              <w:t xml:space="preserve">Cooperating </w:t>
            </w:r>
            <w:r w:rsidRPr="00F052B0">
              <w:rPr>
                <w:color w:val="000000"/>
                <w:sz w:val="20"/>
                <w:szCs w:val="20"/>
                <w:lang w:eastAsia="en-CA"/>
              </w:rPr>
              <w:t>agency agreed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Support costs for</w:t>
            </w:r>
            <w:r>
              <w:rPr>
                <w:color w:val="000000"/>
                <w:sz w:val="20"/>
                <w:szCs w:val="20"/>
                <w:lang w:eastAsia="en-CA"/>
              </w:rPr>
              <w:t xml:space="preserve"> Cooperating </w:t>
            </w:r>
            <w:r w:rsidRPr="00F052B0">
              <w:rPr>
                <w:color w:val="000000"/>
                <w:sz w:val="20"/>
                <w:szCs w:val="20"/>
                <w:lang w:eastAsia="en-CA"/>
              </w:rPr>
              <w:t>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Total agreed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Total support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Total agreed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5000" w:type="pct"/>
            <w:gridSpan w:val="8"/>
            <w:tcBorders>
              <w:top w:val="single" w:sz="4" w:space="0" w:color="auto"/>
              <w:left w:val="single" w:sz="4" w:space="0" w:color="auto"/>
              <w:bottom w:val="single" w:sz="4" w:space="0" w:color="auto"/>
              <w:right w:val="single" w:sz="4" w:space="0" w:color="auto"/>
            </w:tcBorders>
          </w:tcPr>
          <w:p w:rsidR="00FF6C2E" w:rsidRPr="00F052B0" w:rsidRDefault="00FF6C2E" w:rsidP="005B04FB">
            <w:pPr>
              <w:jc w:val="center"/>
              <w:rPr>
                <w:b/>
                <w:color w:val="000000"/>
                <w:sz w:val="20"/>
                <w:szCs w:val="20"/>
                <w:lang w:eastAsia="en-CA"/>
              </w:rPr>
            </w:pPr>
            <w:r w:rsidRPr="00F052B0">
              <w:rPr>
                <w:b/>
                <w:color w:val="000000"/>
                <w:sz w:val="20"/>
                <w:szCs w:val="20"/>
                <w:lang w:eastAsia="en-CA"/>
              </w:rPr>
              <w:t>HFC funding</w:t>
            </w: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F6C2E" w:rsidRPr="00F052B0" w:rsidRDefault="00FF6C2E" w:rsidP="005B04FB">
            <w:pPr>
              <w:keepNext/>
              <w:keepLines/>
              <w:jc w:val="left"/>
              <w:rPr>
                <w:color w:val="000000"/>
                <w:sz w:val="20"/>
                <w:szCs w:val="20"/>
                <w:lang w:eastAsia="en-CA"/>
              </w:rPr>
            </w:pPr>
            <w:r w:rsidRPr="00F052B0">
              <w:rPr>
                <w:color w:val="000000"/>
                <w:sz w:val="20"/>
                <w:szCs w:val="20"/>
                <w:lang w:eastAsia="en-CA"/>
              </w:rPr>
              <w:t xml:space="preserve">Lead agency </w:t>
            </w:r>
            <w:r>
              <w:rPr>
                <w:color w:val="000000"/>
                <w:sz w:val="20"/>
                <w:szCs w:val="20"/>
                <w:lang w:eastAsia="en-CA"/>
              </w:rPr>
              <w:t>proposed</w:t>
            </w:r>
            <w:r w:rsidRPr="00F052B0">
              <w:rPr>
                <w:color w:val="000000"/>
                <w:sz w:val="20"/>
                <w:szCs w:val="20"/>
                <w:lang w:eastAsia="en-CA"/>
              </w:rPr>
              <w:t xml:space="preserve">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keepNext/>
              <w:keepLines/>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hideMark/>
          </w:tcPr>
          <w:p w:rsidR="00FF6C2E" w:rsidRPr="00F052B0" w:rsidRDefault="00FF6C2E" w:rsidP="005B04FB">
            <w:pPr>
              <w:jc w:val="left"/>
              <w:rPr>
                <w:color w:val="000000"/>
                <w:sz w:val="20"/>
                <w:szCs w:val="20"/>
                <w:lang w:eastAsia="en-CA"/>
              </w:rPr>
            </w:pPr>
            <w:r w:rsidRPr="00F052B0">
              <w:rPr>
                <w:color w:val="000000"/>
                <w:sz w:val="20"/>
                <w:szCs w:val="20"/>
                <w:lang w:eastAsia="en-CA"/>
              </w:rPr>
              <w:t>Support costs for Lead 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Pr>
                <w:color w:val="000000"/>
                <w:sz w:val="20"/>
                <w:szCs w:val="20"/>
                <w:lang w:eastAsia="en-CA"/>
              </w:rPr>
              <w:t xml:space="preserve">Cooperating </w:t>
            </w:r>
            <w:r w:rsidRPr="00F052B0">
              <w:rPr>
                <w:color w:val="000000"/>
                <w:sz w:val="20"/>
                <w:szCs w:val="20"/>
                <w:lang w:eastAsia="en-CA"/>
              </w:rPr>
              <w:t xml:space="preserve">agency </w:t>
            </w:r>
            <w:r>
              <w:rPr>
                <w:color w:val="000000"/>
                <w:sz w:val="20"/>
                <w:szCs w:val="20"/>
                <w:lang w:eastAsia="en-CA"/>
              </w:rPr>
              <w:t>proposed</w:t>
            </w:r>
            <w:r w:rsidRPr="00F052B0">
              <w:rPr>
                <w:color w:val="000000"/>
                <w:sz w:val="20"/>
                <w:szCs w:val="20"/>
                <w:lang w:eastAsia="en-CA"/>
              </w:rPr>
              <w:t xml:space="preserve">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Support costs for</w:t>
            </w:r>
            <w:r>
              <w:rPr>
                <w:color w:val="000000"/>
                <w:sz w:val="20"/>
                <w:szCs w:val="20"/>
                <w:lang w:eastAsia="en-CA"/>
              </w:rPr>
              <w:t xml:space="preserve"> Cooperating </w:t>
            </w:r>
            <w:r w:rsidRPr="00F052B0">
              <w:rPr>
                <w:color w:val="000000"/>
                <w:sz w:val="20"/>
                <w:szCs w:val="20"/>
                <w:lang w:eastAsia="en-CA"/>
              </w:rPr>
              <w:t>agency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 xml:space="preserve">Total </w:t>
            </w:r>
            <w:r>
              <w:rPr>
                <w:color w:val="000000"/>
                <w:sz w:val="20"/>
                <w:szCs w:val="20"/>
                <w:lang w:eastAsia="en-CA"/>
              </w:rPr>
              <w:t>proposed</w:t>
            </w:r>
            <w:r w:rsidRPr="00F052B0">
              <w:rPr>
                <w:color w:val="000000"/>
                <w:sz w:val="20"/>
                <w:szCs w:val="20"/>
                <w:lang w:eastAsia="en-CA"/>
              </w:rPr>
              <w:t xml:space="preserve"> funding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Total support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r w:rsidR="00FF6C2E" w:rsidRPr="00F052B0" w:rsidTr="005B04FB">
        <w:tc>
          <w:tcPr>
            <w:tcW w:w="2599"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left"/>
              <w:rPr>
                <w:color w:val="000000"/>
                <w:sz w:val="20"/>
                <w:szCs w:val="20"/>
                <w:lang w:eastAsia="en-CA"/>
              </w:rPr>
            </w:pPr>
            <w:r w:rsidRPr="00F052B0">
              <w:rPr>
                <w:color w:val="000000"/>
                <w:sz w:val="20"/>
                <w:szCs w:val="20"/>
                <w:lang w:eastAsia="en-CA"/>
              </w:rPr>
              <w:t xml:space="preserve">Total </w:t>
            </w:r>
            <w:r>
              <w:rPr>
                <w:color w:val="000000"/>
                <w:sz w:val="20"/>
                <w:szCs w:val="20"/>
                <w:lang w:eastAsia="en-CA"/>
              </w:rPr>
              <w:t>proposed</w:t>
            </w:r>
            <w:r w:rsidRPr="00F052B0">
              <w:rPr>
                <w:color w:val="000000"/>
                <w:sz w:val="20"/>
                <w:szCs w:val="20"/>
                <w:lang w:eastAsia="en-CA"/>
              </w:rPr>
              <w:t xml:space="preserve"> costs (</w:t>
            </w:r>
            <w:r>
              <w:rPr>
                <w:color w:val="000000"/>
                <w:sz w:val="20"/>
                <w:szCs w:val="20"/>
                <w:lang w:eastAsia="en-CA"/>
              </w:rPr>
              <w:t>US $</w:t>
            </w:r>
            <w:r w:rsidRPr="00F052B0">
              <w:rPr>
                <w:color w:val="000000"/>
                <w:sz w:val="20"/>
                <w:szCs w:val="20"/>
                <w:lang w:eastAsia="en-CA"/>
              </w:rPr>
              <w:t>)</w:t>
            </w:r>
          </w:p>
        </w:tc>
        <w:tc>
          <w:tcPr>
            <w:tcW w:w="359"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single" w:sz="4" w:space="0" w:color="auto"/>
              <w:left w:val="single" w:sz="4" w:space="0" w:color="auto"/>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0"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c>
          <w:tcPr>
            <w:tcW w:w="342" w:type="pct"/>
            <w:tcBorders>
              <w:top w:val="nil"/>
              <w:left w:val="nil"/>
              <w:bottom w:val="single" w:sz="4" w:space="0" w:color="auto"/>
              <w:right w:val="single" w:sz="4" w:space="0" w:color="auto"/>
            </w:tcBorders>
            <w:shd w:val="clear" w:color="auto" w:fill="FFFFFF" w:themeFill="background1"/>
          </w:tcPr>
          <w:p w:rsidR="00FF6C2E" w:rsidRPr="00F052B0" w:rsidRDefault="00FF6C2E" w:rsidP="005B04FB">
            <w:pPr>
              <w:jc w:val="right"/>
              <w:rPr>
                <w:color w:val="000000"/>
                <w:sz w:val="20"/>
                <w:szCs w:val="20"/>
                <w:lang w:eastAsia="en-CA"/>
              </w:rPr>
            </w:pPr>
          </w:p>
        </w:tc>
      </w:tr>
    </w:tbl>
    <w:p w:rsidR="00FF6C2E" w:rsidRDefault="00FF6C2E" w:rsidP="005B04FB">
      <w:pPr>
        <w:pStyle w:val="StyleHeader4Para4Left0Firstline0"/>
        <w:numPr>
          <w:ilvl w:val="0"/>
          <w:numId w:val="0"/>
        </w:numPr>
        <w:spacing w:after="0"/>
        <w:jc w:val="left"/>
        <w:rPr>
          <w:sz w:val="22"/>
        </w:rPr>
      </w:pPr>
    </w:p>
    <w:p w:rsidR="00FF6C2E" w:rsidRDefault="00FF6C2E" w:rsidP="005B04FB">
      <w:pPr>
        <w:pStyle w:val="StyleHeader4Para4Left0Firstline0"/>
        <w:numPr>
          <w:ilvl w:val="0"/>
          <w:numId w:val="0"/>
        </w:numPr>
        <w:spacing w:after="0"/>
        <w:jc w:val="left"/>
        <w:rPr>
          <w:sz w:val="22"/>
        </w:rPr>
        <w:sectPr w:rsidR="00FF6C2E" w:rsidSect="005B04FB">
          <w:headerReference w:type="even" r:id="rId37"/>
          <w:headerReference w:type="default" r:id="rId38"/>
          <w:footerReference w:type="even" r:id="rId39"/>
          <w:footerReference w:type="default" r:id="rId40"/>
          <w:headerReference w:type="first" r:id="rId41"/>
          <w:footerReference w:type="first" r:id="rId42"/>
          <w:pgSz w:w="12240" w:h="15840" w:code="1"/>
          <w:pgMar w:top="720" w:right="1440" w:bottom="864" w:left="1440" w:header="720" w:footer="475" w:gutter="0"/>
          <w:pgNumType w:start="1"/>
          <w:cols w:space="720"/>
          <w:docGrid w:linePitch="299"/>
        </w:sectPr>
      </w:pPr>
    </w:p>
    <w:p w:rsidR="00FF6C2E" w:rsidRPr="00134E73" w:rsidRDefault="00FF6C2E" w:rsidP="005B04FB">
      <w:pPr>
        <w:jc w:val="center"/>
        <w:rPr>
          <w:b/>
        </w:rPr>
      </w:pPr>
      <w:r w:rsidRPr="00134E73">
        <w:rPr>
          <w:b/>
        </w:rPr>
        <w:lastRenderedPageBreak/>
        <w:t>Annex I</w:t>
      </w:r>
      <w:r>
        <w:rPr>
          <w:b/>
        </w:rPr>
        <w:t>V</w:t>
      </w:r>
    </w:p>
    <w:p w:rsidR="00FF6C2E" w:rsidRPr="00134E73" w:rsidRDefault="00FF6C2E" w:rsidP="005B04FB">
      <w:pPr>
        <w:jc w:val="center"/>
        <w:rPr>
          <w:b/>
        </w:rPr>
      </w:pPr>
    </w:p>
    <w:p w:rsidR="00FF6C2E" w:rsidRPr="00134E73" w:rsidRDefault="00FF6C2E" w:rsidP="005B04FB">
      <w:pPr>
        <w:jc w:val="center"/>
        <w:rPr>
          <w:b/>
        </w:rPr>
      </w:pPr>
      <w:r w:rsidRPr="00134E73">
        <w:rPr>
          <w:b/>
        </w:rPr>
        <w:t xml:space="preserve">GUIDELINES FOR THE PREPARATION OF </w:t>
      </w:r>
      <w:r>
        <w:rPr>
          <w:b/>
        </w:rPr>
        <w:t xml:space="preserve">THE </w:t>
      </w:r>
      <w:r w:rsidRPr="00134E73">
        <w:rPr>
          <w:b/>
        </w:rPr>
        <w:t>KIGALI HFC IMPLEMENTATION PLANS FOR ARTICLE 5 COUNTRIES (DECISION 87/50)</w:t>
      </w:r>
    </w:p>
    <w:p w:rsidR="00FF6C2E" w:rsidRPr="00134E73" w:rsidRDefault="00FF6C2E" w:rsidP="005B04FB"/>
    <w:p w:rsidR="00FF6C2E" w:rsidRPr="0018022E" w:rsidRDefault="00FF6C2E" w:rsidP="005B04FB">
      <w:pPr>
        <w:pStyle w:val="Heading1"/>
        <w:numPr>
          <w:ilvl w:val="0"/>
          <w:numId w:val="46"/>
        </w:numPr>
        <w:rPr>
          <w:b/>
          <w:u w:val="single"/>
          <w:lang w:val="en-GB"/>
        </w:rPr>
      </w:pPr>
      <w:r w:rsidRPr="0018022E">
        <w:rPr>
          <w:b/>
          <w:lang w:val="en-GB"/>
        </w:rPr>
        <w:t xml:space="preserve">The Executive Committee </w:t>
      </w:r>
      <w:r w:rsidRPr="0018022E">
        <w:rPr>
          <w:b/>
          <w:u w:val="single"/>
          <w:lang w:val="en-GB"/>
        </w:rPr>
        <w:t>decided</w:t>
      </w:r>
      <w:r w:rsidRPr="0018022E">
        <w:rPr>
          <w:b/>
          <w:lang w:val="en-GB"/>
        </w:rPr>
        <w:t>:</w:t>
      </w:r>
    </w:p>
    <w:p w:rsidR="00FF6C2E" w:rsidRPr="002A3896" w:rsidRDefault="00FF6C2E" w:rsidP="005B04FB">
      <w:pPr>
        <w:widowControl w:val="0"/>
        <w:numPr>
          <w:ilvl w:val="1"/>
          <w:numId w:val="1"/>
        </w:numPr>
        <w:spacing w:after="240"/>
        <w:outlineLvl w:val="1"/>
        <w:rPr>
          <w:b/>
        </w:rPr>
      </w:pPr>
      <w:r w:rsidRPr="002A3896">
        <w:rPr>
          <w:b/>
          <w:lang w:val="en-GB"/>
        </w:rPr>
        <w:t>To note the draft guidelines for the preparation of HFC phase-down plans for Article 5 countries, contained in document UNEP/OzL.Pro/ExCom/87/46;</w:t>
      </w:r>
    </w:p>
    <w:p w:rsidR="00FF6C2E" w:rsidRPr="002A3896" w:rsidRDefault="00FF6C2E" w:rsidP="00FF6C2E">
      <w:pPr>
        <w:pStyle w:val="Heading2"/>
        <w:numPr>
          <w:ilvl w:val="1"/>
          <w:numId w:val="1"/>
        </w:numPr>
        <w:rPr>
          <w:b/>
          <w:lang w:val="en-GB"/>
        </w:rPr>
      </w:pPr>
      <w:r w:rsidRPr="002A3896">
        <w:rPr>
          <w:b/>
          <w:lang w:val="en-GB"/>
        </w:rPr>
        <w:t>To include, in the funding for the preparation of an overarching strategy for stage</w:t>
      </w:r>
      <w:r>
        <w:rPr>
          <w:b/>
          <w:lang w:val="en-GB"/>
        </w:rPr>
        <w:t> </w:t>
      </w:r>
      <w:r w:rsidRPr="002A3896">
        <w:rPr>
          <w:b/>
          <w:lang w:val="en-GB"/>
        </w:rPr>
        <w:t>I of the HFC phase-down plan, henceforth referred to as the</w:t>
      </w:r>
      <w:r>
        <w:rPr>
          <w:b/>
          <w:lang w:val="en-GB"/>
        </w:rPr>
        <w:t xml:space="preserve"> Kigali HFC implementation plan </w:t>
      </w:r>
      <w:r w:rsidRPr="002A3896">
        <w:rPr>
          <w:b/>
          <w:lang w:val="en-GB"/>
        </w:rPr>
        <w:t>(KIP), assistance for:</w:t>
      </w:r>
    </w:p>
    <w:p w:rsidR="00FF6C2E" w:rsidRPr="002A3896" w:rsidRDefault="00FF6C2E" w:rsidP="005B04FB">
      <w:pPr>
        <w:widowControl w:val="0"/>
        <w:numPr>
          <w:ilvl w:val="2"/>
          <w:numId w:val="1"/>
        </w:numPr>
        <w:spacing w:after="240"/>
        <w:outlineLvl w:val="2"/>
        <w:rPr>
          <w:b/>
          <w:lang w:val="en-GB"/>
        </w:rPr>
      </w:pPr>
      <w:r w:rsidRPr="002A3896">
        <w:rPr>
          <w:b/>
          <w:lang w:val="en-GB"/>
        </w:rPr>
        <w:t>Extending existing or developing new legislation, policies and regulations as required for the import/export licensing and quota systems for controlled substances under Annex F (HFCs) of the Montreal Protocol;</w:t>
      </w:r>
    </w:p>
    <w:p w:rsidR="00FF6C2E" w:rsidRPr="002A3896" w:rsidRDefault="00FF6C2E" w:rsidP="005B04FB">
      <w:pPr>
        <w:widowControl w:val="0"/>
        <w:numPr>
          <w:ilvl w:val="2"/>
          <w:numId w:val="1"/>
        </w:numPr>
        <w:tabs>
          <w:tab w:val="clear" w:pos="0"/>
          <w:tab w:val="num" w:pos="-270"/>
        </w:tabs>
        <w:spacing w:after="240"/>
        <w:outlineLvl w:val="2"/>
        <w:rPr>
          <w:b/>
          <w:lang w:val="en-GB"/>
        </w:rPr>
      </w:pPr>
      <w:r w:rsidRPr="002A3896">
        <w:rPr>
          <w:b/>
          <w:lang w:val="en-GB"/>
        </w:rPr>
        <w:t>The conduct of a survey of HFC consumption and its sectoral distribution, surveys of enterprises in the manufacturing and servicing sectors, with analysis of the data to estimate the HFC baselines for compliance, and taking into account any HFC surveys conducted;</w:t>
      </w:r>
    </w:p>
    <w:p w:rsidR="00FF6C2E" w:rsidRPr="002A3896" w:rsidRDefault="00FF6C2E" w:rsidP="005B04FB">
      <w:pPr>
        <w:widowControl w:val="0"/>
        <w:numPr>
          <w:ilvl w:val="2"/>
          <w:numId w:val="1"/>
        </w:numPr>
        <w:tabs>
          <w:tab w:val="clear" w:pos="0"/>
          <w:tab w:val="num" w:pos="-270"/>
        </w:tabs>
        <w:spacing w:after="240"/>
        <w:outlineLvl w:val="2"/>
        <w:rPr>
          <w:b/>
          <w:lang w:val="en-GB"/>
        </w:rPr>
      </w:pPr>
      <w:r w:rsidRPr="002A3896">
        <w:rPr>
          <w:b/>
          <w:lang w:val="en-GB"/>
        </w:rPr>
        <w:t>The development of the overarching strategy for the phase-down of HFCs and a plan of action that would include the refrigeration servicing sector for stage</w:t>
      </w:r>
      <w:r>
        <w:rPr>
          <w:b/>
          <w:lang w:val="en-GB"/>
        </w:rPr>
        <w:t> </w:t>
      </w:r>
      <w:r w:rsidRPr="002A3896">
        <w:rPr>
          <w:b/>
          <w:lang w:val="en-GB"/>
        </w:rPr>
        <w:t>I of the KIPs to address the freeze and 10 per cent reduction in HFC</w:t>
      </w:r>
      <w:r>
        <w:rPr>
          <w:b/>
          <w:lang w:val="en-GB"/>
        </w:rPr>
        <w:t> </w:t>
      </w:r>
      <w:r w:rsidRPr="002A3896">
        <w:rPr>
          <w:b/>
          <w:lang w:val="en-GB"/>
        </w:rPr>
        <w:t>consumption;</w:t>
      </w:r>
    </w:p>
    <w:p w:rsidR="00FF6C2E" w:rsidRPr="002A3896" w:rsidRDefault="00FF6C2E" w:rsidP="005B04FB">
      <w:pPr>
        <w:widowControl w:val="0"/>
        <w:numPr>
          <w:ilvl w:val="2"/>
          <w:numId w:val="1"/>
        </w:numPr>
        <w:tabs>
          <w:tab w:val="clear" w:pos="0"/>
          <w:tab w:val="num" w:pos="-270"/>
        </w:tabs>
        <w:spacing w:after="240"/>
        <w:outlineLvl w:val="2"/>
        <w:rPr>
          <w:b/>
          <w:lang w:val="en-GB"/>
        </w:rPr>
      </w:pPr>
      <w:r w:rsidRPr="002A3896">
        <w:rPr>
          <w:b/>
          <w:lang w:val="en-GB"/>
        </w:rPr>
        <w:t>For those countries that wished to do so, consideration of integrating HFC phase</w:t>
      </w:r>
      <w:r w:rsidRPr="002A3896">
        <w:rPr>
          <w:b/>
          <w:lang w:val="en-GB"/>
        </w:rPr>
        <w:noBreakHyphen/>
        <w:t>down activities with HCFC phase-out management plan activities;</w:t>
      </w:r>
    </w:p>
    <w:p w:rsidR="00FF6C2E" w:rsidRPr="002A3896" w:rsidRDefault="00FF6C2E" w:rsidP="005B04FB">
      <w:pPr>
        <w:numPr>
          <w:ilvl w:val="2"/>
          <w:numId w:val="1"/>
        </w:numPr>
        <w:spacing w:after="240"/>
        <w:outlineLvl w:val="2"/>
        <w:rPr>
          <w:b/>
          <w:lang w:val="en-GB"/>
        </w:rPr>
      </w:pPr>
      <w:r w:rsidRPr="002A3896">
        <w:rPr>
          <w:b/>
          <w:lang w:val="en-GB"/>
        </w:rPr>
        <w:t>For those countries that wished to do so, a description of relevant national initiatives, policies, regulations, and standards associated with maintaining and/or enhancing energy efficiency;</w:t>
      </w:r>
    </w:p>
    <w:p w:rsidR="00FF6C2E" w:rsidRPr="002A3896" w:rsidRDefault="00FF6C2E" w:rsidP="005B04FB">
      <w:pPr>
        <w:keepNext/>
        <w:numPr>
          <w:ilvl w:val="1"/>
          <w:numId w:val="1"/>
        </w:numPr>
        <w:spacing w:after="240"/>
        <w:outlineLvl w:val="1"/>
        <w:rPr>
          <w:b/>
          <w:lang w:val="en-GB"/>
        </w:rPr>
      </w:pPr>
      <w:r w:rsidRPr="002A3896">
        <w:rPr>
          <w:b/>
          <w:lang w:val="en-GB"/>
        </w:rPr>
        <w:t>To provide funding for the elements described in sub-paragraphs (b)(</w:t>
      </w:r>
      <w:proofErr w:type="spellStart"/>
      <w:r w:rsidRPr="002A3896">
        <w:rPr>
          <w:b/>
          <w:lang w:val="en-GB"/>
        </w:rPr>
        <w:t>i</w:t>
      </w:r>
      <w:proofErr w:type="spellEnd"/>
      <w:r w:rsidRPr="002A3896">
        <w:rPr>
          <w:b/>
          <w:lang w:val="en-GB"/>
        </w:rPr>
        <w:t>) to (v) above, as specified in the table below, based on the country’s HCFC consumption baseline:</w:t>
      </w:r>
    </w:p>
    <w:tbl>
      <w:tblPr>
        <w:tblW w:w="7920" w:type="dxa"/>
        <w:tblInd w:w="1495" w:type="dxa"/>
        <w:tblLayout w:type="fixed"/>
        <w:tblLook w:val="04A0" w:firstRow="1" w:lastRow="0" w:firstColumn="1" w:lastColumn="0" w:noHBand="0" w:noVBand="1"/>
      </w:tblPr>
      <w:tblGrid>
        <w:gridCol w:w="3839"/>
        <w:gridCol w:w="4081"/>
      </w:tblGrid>
      <w:tr w:rsidR="00FF6C2E" w:rsidRPr="002A3896" w:rsidTr="005B04FB">
        <w:trPr>
          <w:tblHeader/>
        </w:trPr>
        <w:tc>
          <w:tcPr>
            <w:tcW w:w="3810" w:type="dxa"/>
            <w:tcBorders>
              <w:top w:val="single" w:sz="4" w:space="0" w:color="auto"/>
              <w:left w:val="single" w:sz="4" w:space="0" w:color="auto"/>
              <w:bottom w:val="single" w:sz="4" w:space="0" w:color="auto"/>
              <w:right w:val="single" w:sz="4" w:space="0" w:color="auto"/>
            </w:tcBorders>
            <w:vAlign w:val="center"/>
            <w:hideMark/>
          </w:tcPr>
          <w:p w:rsidR="00FF6C2E" w:rsidRPr="00BF56A5" w:rsidRDefault="00FF6C2E" w:rsidP="005B04FB">
            <w:pPr>
              <w:keepNext/>
              <w:jc w:val="center"/>
              <w:rPr>
                <w:b/>
                <w:bCs/>
                <w:color w:val="000000"/>
                <w:sz w:val="20"/>
                <w:szCs w:val="20"/>
                <w:lang w:val="en-US"/>
              </w:rPr>
            </w:pPr>
            <w:r w:rsidRPr="00BF56A5">
              <w:rPr>
                <w:b/>
                <w:bCs/>
                <w:color w:val="000000"/>
                <w:sz w:val="20"/>
                <w:szCs w:val="20"/>
                <w:lang w:val="en-US"/>
              </w:rPr>
              <w:t xml:space="preserve">HCFC baseline (ODP </w:t>
            </w:r>
            <w:proofErr w:type="spellStart"/>
            <w:r w:rsidRPr="00BF56A5">
              <w:rPr>
                <w:b/>
                <w:bCs/>
                <w:color w:val="000000"/>
                <w:sz w:val="20"/>
                <w:szCs w:val="20"/>
                <w:lang w:val="en-US"/>
              </w:rPr>
              <w:t>tonnes</w:t>
            </w:r>
            <w:proofErr w:type="spellEnd"/>
            <w:r w:rsidRPr="00BF56A5">
              <w:rPr>
                <w:b/>
                <w:bCs/>
                <w:color w:val="000000"/>
                <w:sz w:val="20"/>
                <w:szCs w:val="20"/>
                <w:lang w:val="en-US"/>
              </w:rPr>
              <w:t>)</w:t>
            </w:r>
          </w:p>
        </w:tc>
        <w:tc>
          <w:tcPr>
            <w:tcW w:w="4050" w:type="dxa"/>
            <w:tcBorders>
              <w:top w:val="single" w:sz="4" w:space="0" w:color="auto"/>
              <w:left w:val="single" w:sz="4" w:space="0" w:color="auto"/>
              <w:bottom w:val="single" w:sz="4" w:space="0" w:color="auto"/>
              <w:right w:val="single" w:sz="4" w:space="0" w:color="auto"/>
            </w:tcBorders>
            <w:vAlign w:val="center"/>
            <w:hideMark/>
          </w:tcPr>
          <w:p w:rsidR="00FF6C2E" w:rsidRDefault="00FF6C2E" w:rsidP="005B04FB">
            <w:pPr>
              <w:widowControl w:val="0"/>
              <w:jc w:val="center"/>
              <w:rPr>
                <w:b/>
                <w:bCs/>
                <w:color w:val="000000"/>
                <w:sz w:val="20"/>
                <w:szCs w:val="20"/>
                <w:lang w:val="en-US"/>
              </w:rPr>
            </w:pPr>
            <w:r w:rsidRPr="00BF56A5">
              <w:rPr>
                <w:b/>
                <w:bCs/>
                <w:color w:val="000000"/>
                <w:sz w:val="20"/>
                <w:szCs w:val="20"/>
                <w:lang w:val="en-US"/>
              </w:rPr>
              <w:t xml:space="preserve">Funding for preparation of stage I </w:t>
            </w:r>
          </w:p>
          <w:p w:rsidR="00FF6C2E" w:rsidRPr="00BF56A5" w:rsidRDefault="00FF6C2E" w:rsidP="005B04FB">
            <w:pPr>
              <w:widowControl w:val="0"/>
              <w:jc w:val="center"/>
              <w:rPr>
                <w:b/>
                <w:bCs/>
                <w:color w:val="000000"/>
                <w:sz w:val="20"/>
                <w:szCs w:val="20"/>
                <w:lang w:val="en-US"/>
              </w:rPr>
            </w:pPr>
            <w:r w:rsidRPr="00BF56A5">
              <w:rPr>
                <w:b/>
                <w:bCs/>
                <w:color w:val="000000"/>
                <w:sz w:val="20"/>
                <w:szCs w:val="20"/>
                <w:lang w:val="en-US"/>
              </w:rPr>
              <w:t>of the KIPs (US $)</w:t>
            </w:r>
          </w:p>
        </w:tc>
      </w:tr>
      <w:tr w:rsidR="00FF6C2E" w:rsidRPr="002A3896" w:rsidTr="005B04FB">
        <w:tc>
          <w:tcPr>
            <w:tcW w:w="3810"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keepNext/>
              <w:ind w:left="102"/>
              <w:rPr>
                <w:b/>
                <w:color w:val="000000"/>
                <w:sz w:val="20"/>
                <w:szCs w:val="20"/>
                <w:lang w:val="en-US"/>
              </w:rPr>
            </w:pPr>
            <w:r w:rsidRPr="00BF56A5">
              <w:rPr>
                <w:b/>
                <w:sz w:val="20"/>
                <w:szCs w:val="20"/>
                <w:lang w:val="en-GB"/>
              </w:rPr>
              <w:t xml:space="preserve">Below 1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FF6C2E" w:rsidRPr="00BF56A5" w:rsidRDefault="00FF6C2E" w:rsidP="005B04FB">
            <w:pPr>
              <w:widowControl w:val="0"/>
              <w:ind w:right="1242"/>
              <w:jc w:val="right"/>
              <w:rPr>
                <w:b/>
                <w:color w:val="000000"/>
                <w:sz w:val="20"/>
                <w:szCs w:val="20"/>
                <w:lang w:val="en-US"/>
              </w:rPr>
            </w:pPr>
            <w:r w:rsidRPr="00BF56A5">
              <w:rPr>
                <w:b/>
                <w:sz w:val="20"/>
                <w:szCs w:val="20"/>
                <w:lang w:val="en-GB"/>
              </w:rPr>
              <w:t>100,000</w:t>
            </w:r>
          </w:p>
        </w:tc>
      </w:tr>
      <w:tr w:rsidR="00FF6C2E" w:rsidRPr="002A3896" w:rsidTr="005B04FB">
        <w:tc>
          <w:tcPr>
            <w:tcW w:w="3810" w:type="dxa"/>
            <w:tcBorders>
              <w:top w:val="nil"/>
              <w:left w:val="single" w:sz="4" w:space="0" w:color="auto"/>
              <w:bottom w:val="single" w:sz="4" w:space="0" w:color="auto"/>
              <w:right w:val="single" w:sz="4" w:space="0" w:color="auto"/>
            </w:tcBorders>
            <w:hideMark/>
          </w:tcPr>
          <w:p w:rsidR="00FF6C2E" w:rsidRPr="00BF56A5" w:rsidRDefault="00FF6C2E" w:rsidP="005B04FB">
            <w:pPr>
              <w:keepNext/>
              <w:ind w:left="102"/>
              <w:rPr>
                <w:b/>
                <w:color w:val="000000"/>
                <w:sz w:val="20"/>
                <w:szCs w:val="20"/>
                <w:lang w:val="en-US"/>
              </w:rPr>
            </w:pPr>
            <w:r w:rsidRPr="00BF56A5">
              <w:rPr>
                <w:b/>
                <w:sz w:val="20"/>
                <w:szCs w:val="20"/>
                <w:lang w:val="en-GB"/>
              </w:rPr>
              <w:t>1 and up to 6</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FF6C2E" w:rsidRPr="00BF56A5" w:rsidRDefault="00FF6C2E" w:rsidP="005B04FB">
            <w:pPr>
              <w:widowControl w:val="0"/>
              <w:ind w:right="1242"/>
              <w:jc w:val="right"/>
              <w:rPr>
                <w:b/>
                <w:color w:val="000000"/>
                <w:sz w:val="20"/>
                <w:szCs w:val="20"/>
                <w:lang w:val="en-US"/>
              </w:rPr>
            </w:pPr>
            <w:r w:rsidRPr="00BF56A5">
              <w:rPr>
                <w:b/>
                <w:sz w:val="20"/>
                <w:szCs w:val="20"/>
                <w:lang w:val="en-GB"/>
              </w:rPr>
              <w:t>130,000</w:t>
            </w:r>
          </w:p>
        </w:tc>
      </w:tr>
      <w:tr w:rsidR="00FF6C2E" w:rsidRPr="002A3896" w:rsidTr="005B04FB">
        <w:tc>
          <w:tcPr>
            <w:tcW w:w="3810" w:type="dxa"/>
            <w:tcBorders>
              <w:top w:val="nil"/>
              <w:left w:val="single" w:sz="4" w:space="0" w:color="auto"/>
              <w:bottom w:val="single" w:sz="4" w:space="0" w:color="auto"/>
              <w:right w:val="single" w:sz="4" w:space="0" w:color="auto"/>
            </w:tcBorders>
            <w:hideMark/>
          </w:tcPr>
          <w:p w:rsidR="00FF6C2E" w:rsidRPr="00BF56A5" w:rsidRDefault="00FF6C2E" w:rsidP="005B04FB">
            <w:pPr>
              <w:widowControl w:val="0"/>
              <w:ind w:left="102"/>
              <w:rPr>
                <w:b/>
                <w:color w:val="000000"/>
                <w:sz w:val="20"/>
                <w:szCs w:val="20"/>
                <w:lang w:val="en-US"/>
              </w:rPr>
            </w:pPr>
            <w:r w:rsidRPr="00BF56A5">
              <w:rPr>
                <w:b/>
                <w:sz w:val="20"/>
                <w:szCs w:val="20"/>
                <w:lang w:val="en-GB"/>
              </w:rPr>
              <w:t xml:space="preserve">Above 6 and up to 20 </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FF6C2E" w:rsidRPr="00BF56A5" w:rsidRDefault="00FF6C2E" w:rsidP="005B04FB">
            <w:pPr>
              <w:widowControl w:val="0"/>
              <w:ind w:right="1242"/>
              <w:jc w:val="right"/>
              <w:rPr>
                <w:b/>
                <w:color w:val="000000"/>
                <w:sz w:val="20"/>
                <w:szCs w:val="20"/>
                <w:lang w:val="en-US"/>
              </w:rPr>
            </w:pPr>
            <w:r w:rsidRPr="00BF56A5">
              <w:rPr>
                <w:b/>
                <w:sz w:val="20"/>
                <w:szCs w:val="20"/>
                <w:lang w:val="en-GB"/>
              </w:rPr>
              <w:t>170,000</w:t>
            </w:r>
          </w:p>
        </w:tc>
      </w:tr>
      <w:tr w:rsidR="00FF6C2E" w:rsidRPr="002A3896" w:rsidTr="005B04FB">
        <w:tc>
          <w:tcPr>
            <w:tcW w:w="3810" w:type="dxa"/>
            <w:tcBorders>
              <w:top w:val="nil"/>
              <w:left w:val="single" w:sz="4" w:space="0" w:color="auto"/>
              <w:bottom w:val="single" w:sz="4" w:space="0" w:color="auto"/>
              <w:right w:val="single" w:sz="4" w:space="0" w:color="auto"/>
            </w:tcBorders>
            <w:hideMark/>
          </w:tcPr>
          <w:p w:rsidR="00FF6C2E" w:rsidRPr="00BF56A5" w:rsidRDefault="00FF6C2E" w:rsidP="005B04FB">
            <w:pPr>
              <w:widowControl w:val="0"/>
              <w:ind w:left="102"/>
              <w:rPr>
                <w:b/>
                <w:color w:val="000000"/>
                <w:sz w:val="20"/>
                <w:szCs w:val="20"/>
                <w:lang w:val="en-US"/>
              </w:rPr>
            </w:pPr>
            <w:r w:rsidRPr="00BF56A5">
              <w:rPr>
                <w:b/>
                <w:sz w:val="20"/>
                <w:szCs w:val="20"/>
                <w:lang w:val="en-GB"/>
              </w:rPr>
              <w:t>Above 20 and up to 100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FF6C2E" w:rsidRPr="00BF56A5" w:rsidRDefault="00FF6C2E" w:rsidP="005B04FB">
            <w:pPr>
              <w:widowControl w:val="0"/>
              <w:ind w:right="1242"/>
              <w:jc w:val="right"/>
              <w:rPr>
                <w:b/>
                <w:color w:val="000000"/>
                <w:sz w:val="20"/>
                <w:szCs w:val="20"/>
                <w:lang w:val="en-US"/>
              </w:rPr>
            </w:pPr>
            <w:r w:rsidRPr="00BF56A5">
              <w:rPr>
                <w:b/>
                <w:sz w:val="20"/>
                <w:szCs w:val="20"/>
                <w:lang w:val="en-GB"/>
              </w:rPr>
              <w:t>190,000</w:t>
            </w:r>
          </w:p>
        </w:tc>
      </w:tr>
      <w:tr w:rsidR="00FF6C2E" w:rsidRPr="002A3896" w:rsidTr="005B04FB">
        <w:tc>
          <w:tcPr>
            <w:tcW w:w="3810" w:type="dxa"/>
            <w:tcBorders>
              <w:top w:val="nil"/>
              <w:left w:val="single" w:sz="4" w:space="0" w:color="auto"/>
              <w:bottom w:val="single" w:sz="4" w:space="0" w:color="auto"/>
              <w:right w:val="single" w:sz="4" w:space="0" w:color="auto"/>
            </w:tcBorders>
            <w:hideMark/>
          </w:tcPr>
          <w:p w:rsidR="00FF6C2E" w:rsidRPr="00BF56A5" w:rsidRDefault="00FF6C2E" w:rsidP="005B04FB">
            <w:pPr>
              <w:widowControl w:val="0"/>
              <w:ind w:left="102"/>
              <w:rPr>
                <w:b/>
                <w:color w:val="000000"/>
                <w:sz w:val="20"/>
                <w:szCs w:val="20"/>
                <w:lang w:val="en-US"/>
              </w:rPr>
            </w:pPr>
            <w:r w:rsidRPr="00BF56A5">
              <w:rPr>
                <w:b/>
                <w:sz w:val="20"/>
                <w:szCs w:val="20"/>
                <w:lang w:val="en-GB"/>
              </w:rPr>
              <w:t>Above 100 and up to 1,000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FF6C2E" w:rsidRPr="00BF56A5" w:rsidRDefault="00FF6C2E" w:rsidP="005B04FB">
            <w:pPr>
              <w:widowControl w:val="0"/>
              <w:ind w:right="1242"/>
              <w:jc w:val="right"/>
              <w:rPr>
                <w:b/>
                <w:color w:val="000000"/>
                <w:sz w:val="20"/>
                <w:szCs w:val="20"/>
                <w:lang w:val="en-US"/>
              </w:rPr>
            </w:pPr>
            <w:r w:rsidRPr="00BF56A5">
              <w:rPr>
                <w:b/>
                <w:sz w:val="20"/>
                <w:szCs w:val="20"/>
                <w:lang w:val="en-GB"/>
              </w:rPr>
              <w:t>220,000</w:t>
            </w:r>
          </w:p>
        </w:tc>
      </w:tr>
      <w:tr w:rsidR="00FF6C2E" w:rsidRPr="002A3896" w:rsidTr="005B04FB">
        <w:tc>
          <w:tcPr>
            <w:tcW w:w="3810" w:type="dxa"/>
            <w:tcBorders>
              <w:top w:val="nil"/>
              <w:left w:val="single" w:sz="4" w:space="0" w:color="auto"/>
              <w:bottom w:val="single" w:sz="4" w:space="0" w:color="auto"/>
              <w:right w:val="single" w:sz="4" w:space="0" w:color="auto"/>
            </w:tcBorders>
            <w:hideMark/>
          </w:tcPr>
          <w:p w:rsidR="00FF6C2E" w:rsidRPr="00BF56A5" w:rsidRDefault="00FF6C2E" w:rsidP="005B04FB">
            <w:pPr>
              <w:widowControl w:val="0"/>
              <w:ind w:left="102"/>
              <w:rPr>
                <w:b/>
                <w:color w:val="000000"/>
                <w:sz w:val="20"/>
                <w:szCs w:val="20"/>
                <w:lang w:val="en-US"/>
              </w:rPr>
            </w:pPr>
            <w:r w:rsidRPr="00BF56A5">
              <w:rPr>
                <w:b/>
                <w:sz w:val="20"/>
                <w:szCs w:val="20"/>
                <w:lang w:val="en-GB"/>
              </w:rPr>
              <w:t>Above 1,000 and up to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hideMark/>
          </w:tcPr>
          <w:p w:rsidR="00FF6C2E" w:rsidRPr="00BF56A5" w:rsidRDefault="00FF6C2E" w:rsidP="005B04FB">
            <w:pPr>
              <w:widowControl w:val="0"/>
              <w:ind w:right="1242"/>
              <w:jc w:val="right"/>
              <w:rPr>
                <w:b/>
                <w:color w:val="000000"/>
                <w:sz w:val="20"/>
                <w:szCs w:val="20"/>
                <w:lang w:val="en-US"/>
              </w:rPr>
            </w:pPr>
            <w:r w:rsidRPr="00BF56A5">
              <w:rPr>
                <w:b/>
                <w:sz w:val="20"/>
                <w:szCs w:val="20"/>
                <w:lang w:val="en-GB"/>
              </w:rPr>
              <w:t>230,000</w:t>
            </w:r>
          </w:p>
        </w:tc>
      </w:tr>
      <w:tr w:rsidR="00FF6C2E" w:rsidRPr="002A3896" w:rsidTr="005B04FB">
        <w:tc>
          <w:tcPr>
            <w:tcW w:w="3810" w:type="dxa"/>
            <w:tcBorders>
              <w:top w:val="nil"/>
              <w:left w:val="single" w:sz="4" w:space="0" w:color="auto"/>
              <w:bottom w:val="single" w:sz="4" w:space="0" w:color="auto"/>
              <w:right w:val="single" w:sz="4" w:space="0" w:color="auto"/>
            </w:tcBorders>
            <w:hideMark/>
          </w:tcPr>
          <w:p w:rsidR="00FF6C2E" w:rsidRPr="00BF56A5" w:rsidRDefault="00FF6C2E" w:rsidP="005B04FB">
            <w:pPr>
              <w:widowControl w:val="0"/>
              <w:ind w:left="102"/>
              <w:rPr>
                <w:b/>
                <w:color w:val="000000"/>
                <w:sz w:val="20"/>
                <w:szCs w:val="20"/>
                <w:lang w:val="en-US"/>
              </w:rPr>
            </w:pPr>
            <w:r w:rsidRPr="00BF56A5">
              <w:rPr>
                <w:b/>
                <w:sz w:val="20"/>
                <w:szCs w:val="20"/>
                <w:lang w:val="en-GB"/>
              </w:rPr>
              <w:t>Above 2,000</w:t>
            </w:r>
          </w:p>
        </w:tc>
        <w:tc>
          <w:tcPr>
            <w:tcW w:w="4050" w:type="dxa"/>
            <w:tcBorders>
              <w:top w:val="nil"/>
              <w:left w:val="nil"/>
              <w:bottom w:val="single" w:sz="4" w:space="0" w:color="auto"/>
              <w:right w:val="single" w:sz="4" w:space="0" w:color="auto"/>
            </w:tcBorders>
            <w:tcMar>
              <w:top w:w="0" w:type="dxa"/>
              <w:left w:w="115" w:type="dxa"/>
              <w:bottom w:w="0" w:type="dxa"/>
              <w:right w:w="288" w:type="dxa"/>
            </w:tcMar>
            <w:vAlign w:val="center"/>
            <w:hideMark/>
          </w:tcPr>
          <w:p w:rsidR="00FF6C2E" w:rsidRPr="00BF56A5" w:rsidRDefault="00FF6C2E" w:rsidP="005B04FB">
            <w:pPr>
              <w:widowControl w:val="0"/>
              <w:ind w:right="1242"/>
              <w:jc w:val="right"/>
              <w:rPr>
                <w:b/>
                <w:color w:val="000000"/>
                <w:sz w:val="20"/>
                <w:szCs w:val="20"/>
                <w:lang w:val="en-US"/>
              </w:rPr>
            </w:pPr>
            <w:r w:rsidRPr="00BF56A5">
              <w:rPr>
                <w:b/>
                <w:color w:val="000000"/>
                <w:sz w:val="20"/>
                <w:szCs w:val="20"/>
                <w:lang w:val="en-US"/>
              </w:rPr>
              <w:t>case-by-case</w:t>
            </w:r>
          </w:p>
        </w:tc>
      </w:tr>
    </w:tbl>
    <w:p w:rsidR="00FF6C2E" w:rsidRPr="002A3896" w:rsidRDefault="00FF6C2E" w:rsidP="005B04FB">
      <w:pPr>
        <w:rPr>
          <w:b/>
        </w:rPr>
      </w:pPr>
    </w:p>
    <w:p w:rsidR="00FF6C2E" w:rsidRPr="002A3896" w:rsidRDefault="00FF6C2E" w:rsidP="005B04FB">
      <w:pPr>
        <w:widowControl w:val="0"/>
        <w:numPr>
          <w:ilvl w:val="1"/>
          <w:numId w:val="1"/>
        </w:numPr>
        <w:spacing w:after="240"/>
        <w:outlineLvl w:val="1"/>
        <w:rPr>
          <w:b/>
          <w:lang w:val="en-GB"/>
        </w:rPr>
      </w:pPr>
      <w:r w:rsidRPr="002A3896">
        <w:rPr>
          <w:b/>
          <w:lang w:val="en-GB"/>
        </w:rPr>
        <w:t>To determine and provide funding for, on a case-by-case basis, the preparation of stage I of any regional KIPs and those countries with an HCFC b</w:t>
      </w:r>
      <w:r>
        <w:rPr>
          <w:b/>
          <w:lang w:val="en-GB"/>
        </w:rPr>
        <w:t xml:space="preserve">aseline consumption above 2,000 </w:t>
      </w:r>
      <w:r w:rsidRPr="002A3896">
        <w:rPr>
          <w:b/>
          <w:lang w:val="en-GB"/>
        </w:rPr>
        <w:t>ODP tonnes;</w:t>
      </w:r>
    </w:p>
    <w:p w:rsidR="00FF6C2E" w:rsidRPr="002A3896" w:rsidRDefault="00FF6C2E" w:rsidP="005B04FB">
      <w:pPr>
        <w:keepNext/>
        <w:numPr>
          <w:ilvl w:val="1"/>
          <w:numId w:val="1"/>
        </w:numPr>
        <w:spacing w:after="240"/>
        <w:outlineLvl w:val="1"/>
        <w:rPr>
          <w:b/>
          <w:lang w:val="en-GB"/>
        </w:rPr>
      </w:pPr>
      <w:r w:rsidRPr="002A3896">
        <w:rPr>
          <w:b/>
          <w:lang w:val="en-GB"/>
        </w:rPr>
        <w:lastRenderedPageBreak/>
        <w:t>That, for countries that chose to implement individual HFC investment projects or sector plans in advance of submission of stage I of the KIPs, the approval of each project should result in a phase-out of HFCs to count against the eligible consumption identified in the KIPs and should indicate how the investment project would relate to meeting the overarching strategy for the country and when the KIPs would be submitted;</w:t>
      </w:r>
    </w:p>
    <w:p w:rsidR="00FF6C2E" w:rsidRPr="002A3896" w:rsidRDefault="00FF6C2E" w:rsidP="005B04FB">
      <w:pPr>
        <w:widowControl w:val="0"/>
        <w:numPr>
          <w:ilvl w:val="1"/>
          <w:numId w:val="1"/>
        </w:numPr>
        <w:spacing w:after="240"/>
        <w:outlineLvl w:val="1"/>
        <w:rPr>
          <w:b/>
          <w:lang w:val="en-GB"/>
        </w:rPr>
      </w:pPr>
      <w:r w:rsidRPr="002A3896">
        <w:rPr>
          <w:b/>
          <w:lang w:val="en-GB"/>
        </w:rPr>
        <w:t xml:space="preserve">To provide funding for any Article 5 country with a manufacturing sector using HFCs according to the number of manufacturing enterprises to be converted in line with decision 56/16(d) and (f), as follows: </w:t>
      </w:r>
    </w:p>
    <w:p w:rsidR="00FF6C2E" w:rsidRPr="002A3896" w:rsidRDefault="00FF6C2E" w:rsidP="005B04FB">
      <w:pPr>
        <w:widowControl w:val="0"/>
        <w:numPr>
          <w:ilvl w:val="2"/>
          <w:numId w:val="1"/>
        </w:numPr>
        <w:tabs>
          <w:tab w:val="clear" w:pos="0"/>
          <w:tab w:val="num" w:pos="-270"/>
        </w:tabs>
        <w:spacing w:after="240"/>
        <w:outlineLvl w:val="2"/>
        <w:rPr>
          <w:b/>
          <w:lang w:val="en-GB"/>
        </w:rPr>
      </w:pPr>
      <w:r w:rsidRPr="002A3896">
        <w:rPr>
          <w:b/>
          <w:lang w:val="en-GB"/>
        </w:rPr>
        <w:t xml:space="preserve">One enterprise to be converted in a manufacturing sector: US $30,000; </w:t>
      </w:r>
    </w:p>
    <w:p w:rsidR="00FF6C2E" w:rsidRPr="002A3896" w:rsidRDefault="00FF6C2E" w:rsidP="005B04FB">
      <w:pPr>
        <w:widowControl w:val="0"/>
        <w:numPr>
          <w:ilvl w:val="2"/>
          <w:numId w:val="1"/>
        </w:numPr>
        <w:spacing w:after="240"/>
        <w:outlineLvl w:val="2"/>
        <w:rPr>
          <w:b/>
          <w:lang w:val="en-GB"/>
        </w:rPr>
      </w:pPr>
      <w:r w:rsidRPr="002A3896">
        <w:rPr>
          <w:b/>
          <w:lang w:val="en-GB"/>
        </w:rPr>
        <w:t xml:space="preserve">Two enterprises to be converted in a manufacturing sector: US $60,000; </w:t>
      </w:r>
    </w:p>
    <w:p w:rsidR="00FF6C2E" w:rsidRPr="002A3896" w:rsidRDefault="00FF6C2E" w:rsidP="005B04FB">
      <w:pPr>
        <w:widowControl w:val="0"/>
        <w:numPr>
          <w:ilvl w:val="2"/>
          <w:numId w:val="1"/>
        </w:numPr>
        <w:tabs>
          <w:tab w:val="clear" w:pos="0"/>
          <w:tab w:val="num" w:pos="-270"/>
        </w:tabs>
        <w:spacing w:after="240"/>
        <w:outlineLvl w:val="2"/>
        <w:rPr>
          <w:b/>
          <w:lang w:val="en-GB"/>
        </w:rPr>
      </w:pPr>
      <w:r w:rsidRPr="002A3896">
        <w:rPr>
          <w:b/>
          <w:lang w:val="en-GB"/>
        </w:rPr>
        <w:t>Three to 14 enterprises to be converted in a manufacturing sector: US $80,000;</w:t>
      </w:r>
    </w:p>
    <w:p w:rsidR="00FF6C2E" w:rsidRPr="002A3896" w:rsidRDefault="00FF6C2E" w:rsidP="005B04FB">
      <w:pPr>
        <w:widowControl w:val="0"/>
        <w:numPr>
          <w:ilvl w:val="2"/>
          <w:numId w:val="1"/>
        </w:numPr>
        <w:tabs>
          <w:tab w:val="clear" w:pos="0"/>
          <w:tab w:val="num" w:pos="-270"/>
        </w:tabs>
        <w:spacing w:after="240"/>
        <w:outlineLvl w:val="2"/>
        <w:rPr>
          <w:b/>
          <w:lang w:val="en-GB"/>
        </w:rPr>
      </w:pPr>
      <w:r w:rsidRPr="002A3896">
        <w:rPr>
          <w:b/>
          <w:lang w:val="en-GB"/>
        </w:rPr>
        <w:t>Fifteen or more enterprises to be converted in a manufacturing sector: US $150,000;</w:t>
      </w:r>
    </w:p>
    <w:p w:rsidR="00FF6C2E" w:rsidRPr="002A3896" w:rsidRDefault="00FF6C2E" w:rsidP="005B04FB">
      <w:pPr>
        <w:widowControl w:val="0"/>
        <w:numPr>
          <w:ilvl w:val="2"/>
          <w:numId w:val="1"/>
        </w:numPr>
        <w:tabs>
          <w:tab w:val="clear" w:pos="0"/>
          <w:tab w:val="num" w:pos="-270"/>
        </w:tabs>
        <w:spacing w:after="240"/>
        <w:outlineLvl w:val="2"/>
        <w:rPr>
          <w:b/>
          <w:lang w:val="en-GB"/>
        </w:rPr>
      </w:pPr>
      <w:r w:rsidRPr="002A3896">
        <w:rPr>
          <w:b/>
          <w:lang w:val="en-GB"/>
        </w:rPr>
        <w:t>To limit the maximum funding provided for the preparation of the investment component for any country according to the table below:</w:t>
      </w:r>
    </w:p>
    <w:tbl>
      <w:tblPr>
        <w:tblStyle w:val="TableGrid"/>
        <w:tblW w:w="7200" w:type="dxa"/>
        <w:tblInd w:w="2155" w:type="dxa"/>
        <w:tblLook w:val="01E0" w:firstRow="1" w:lastRow="1" w:firstColumn="1" w:lastColumn="1" w:noHBand="0" w:noVBand="0"/>
      </w:tblPr>
      <w:tblGrid>
        <w:gridCol w:w="3983"/>
        <w:gridCol w:w="3217"/>
      </w:tblGrid>
      <w:tr w:rsidR="00FF6C2E" w:rsidRPr="002A3896" w:rsidTr="005B04FB">
        <w:tc>
          <w:tcPr>
            <w:tcW w:w="3983"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keepNext/>
              <w:jc w:val="center"/>
              <w:rPr>
                <w:b/>
                <w:bCs/>
                <w:sz w:val="20"/>
                <w:szCs w:val="20"/>
                <w:lang w:val="en-GB"/>
              </w:rPr>
            </w:pPr>
            <w:r w:rsidRPr="00BF56A5">
              <w:rPr>
                <w:b/>
                <w:bCs/>
                <w:sz w:val="20"/>
                <w:szCs w:val="20"/>
                <w:lang w:val="en-GB"/>
              </w:rPr>
              <w:t>HCFC baseline (ODP tonnes)</w:t>
            </w:r>
          </w:p>
        </w:tc>
        <w:tc>
          <w:tcPr>
            <w:tcW w:w="3217"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keepNext/>
              <w:jc w:val="center"/>
              <w:rPr>
                <w:b/>
                <w:bCs/>
                <w:sz w:val="20"/>
                <w:szCs w:val="20"/>
                <w:lang w:val="en-GB"/>
              </w:rPr>
            </w:pPr>
            <w:r w:rsidRPr="00BF56A5">
              <w:rPr>
                <w:b/>
                <w:bCs/>
                <w:sz w:val="20"/>
                <w:szCs w:val="20"/>
                <w:lang w:val="en-GB"/>
              </w:rPr>
              <w:t>Funding limit (US $)</w:t>
            </w:r>
          </w:p>
        </w:tc>
      </w:tr>
      <w:tr w:rsidR="00FF6C2E" w:rsidRPr="002A3896" w:rsidTr="005B04FB">
        <w:tc>
          <w:tcPr>
            <w:tcW w:w="3983"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rPr>
                <w:b/>
                <w:sz w:val="20"/>
                <w:szCs w:val="20"/>
                <w:lang w:val="en-GB"/>
              </w:rPr>
            </w:pPr>
            <w:r w:rsidRPr="00BF56A5">
              <w:rPr>
                <w:b/>
                <w:sz w:val="20"/>
                <w:szCs w:val="20"/>
                <w:lang w:val="en-GB"/>
              </w:rPr>
              <w:t xml:space="preserve">Up to 100 </w:t>
            </w:r>
          </w:p>
        </w:tc>
        <w:tc>
          <w:tcPr>
            <w:tcW w:w="3217"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ind w:right="976"/>
              <w:jc w:val="right"/>
              <w:rPr>
                <w:b/>
                <w:sz w:val="20"/>
                <w:szCs w:val="20"/>
                <w:lang w:val="en-GB"/>
              </w:rPr>
            </w:pPr>
            <w:r w:rsidRPr="00BF56A5">
              <w:rPr>
                <w:b/>
                <w:sz w:val="20"/>
                <w:szCs w:val="20"/>
                <w:lang w:val="en-GB"/>
              </w:rPr>
              <w:t>100,000</w:t>
            </w:r>
          </w:p>
        </w:tc>
      </w:tr>
      <w:tr w:rsidR="00FF6C2E" w:rsidRPr="002A3896" w:rsidTr="005B04FB">
        <w:tc>
          <w:tcPr>
            <w:tcW w:w="3983"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rPr>
                <w:b/>
                <w:sz w:val="20"/>
                <w:szCs w:val="20"/>
                <w:lang w:val="en-GB"/>
              </w:rPr>
            </w:pPr>
            <w:r w:rsidRPr="00BF56A5">
              <w:rPr>
                <w:b/>
                <w:sz w:val="20"/>
                <w:szCs w:val="20"/>
                <w:lang w:val="en-GB"/>
              </w:rPr>
              <w:t xml:space="preserve">101–300 </w:t>
            </w:r>
          </w:p>
        </w:tc>
        <w:tc>
          <w:tcPr>
            <w:tcW w:w="3217"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ind w:right="976"/>
              <w:jc w:val="right"/>
              <w:rPr>
                <w:b/>
                <w:sz w:val="20"/>
                <w:szCs w:val="20"/>
                <w:lang w:val="en-GB"/>
              </w:rPr>
            </w:pPr>
            <w:r w:rsidRPr="00BF56A5">
              <w:rPr>
                <w:b/>
                <w:sz w:val="20"/>
                <w:szCs w:val="20"/>
                <w:lang w:val="en-GB"/>
              </w:rPr>
              <w:t>200,000</w:t>
            </w:r>
          </w:p>
        </w:tc>
      </w:tr>
      <w:tr w:rsidR="00FF6C2E" w:rsidRPr="002A3896" w:rsidTr="005B04FB">
        <w:trPr>
          <w:trHeight w:val="179"/>
        </w:trPr>
        <w:tc>
          <w:tcPr>
            <w:tcW w:w="3983"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rPr>
                <w:b/>
                <w:sz w:val="20"/>
                <w:szCs w:val="20"/>
                <w:lang w:val="en-GB"/>
              </w:rPr>
            </w:pPr>
            <w:r w:rsidRPr="00BF56A5">
              <w:rPr>
                <w:b/>
                <w:sz w:val="20"/>
                <w:szCs w:val="20"/>
                <w:lang w:val="en-GB"/>
              </w:rPr>
              <w:t>301–500</w:t>
            </w:r>
          </w:p>
        </w:tc>
        <w:tc>
          <w:tcPr>
            <w:tcW w:w="3217" w:type="dxa"/>
            <w:tcBorders>
              <w:top w:val="single" w:sz="4" w:space="0" w:color="auto"/>
              <w:left w:val="single" w:sz="4" w:space="0" w:color="auto"/>
              <w:bottom w:val="single" w:sz="4" w:space="0" w:color="auto"/>
              <w:right w:val="single" w:sz="4" w:space="0" w:color="auto"/>
            </w:tcBorders>
            <w:hideMark/>
          </w:tcPr>
          <w:p w:rsidR="00FF6C2E" w:rsidRPr="00BF56A5" w:rsidRDefault="00FF6C2E" w:rsidP="005B04FB">
            <w:pPr>
              <w:ind w:right="976"/>
              <w:jc w:val="right"/>
              <w:rPr>
                <w:b/>
                <w:sz w:val="20"/>
                <w:szCs w:val="20"/>
                <w:lang w:val="en-GB"/>
              </w:rPr>
            </w:pPr>
            <w:r w:rsidRPr="00BF56A5">
              <w:rPr>
                <w:b/>
                <w:sz w:val="20"/>
                <w:szCs w:val="20"/>
                <w:lang w:val="en-GB"/>
              </w:rPr>
              <w:t>250,000</w:t>
            </w:r>
          </w:p>
        </w:tc>
      </w:tr>
      <w:tr w:rsidR="00FF6C2E" w:rsidRPr="002A3896" w:rsidTr="005B04FB">
        <w:tc>
          <w:tcPr>
            <w:tcW w:w="3983" w:type="dxa"/>
            <w:tcBorders>
              <w:top w:val="single" w:sz="4" w:space="0" w:color="auto"/>
              <w:left w:val="single" w:sz="4" w:space="0" w:color="auto"/>
              <w:bottom w:val="single" w:sz="2" w:space="0" w:color="auto"/>
              <w:right w:val="single" w:sz="4" w:space="0" w:color="auto"/>
            </w:tcBorders>
            <w:hideMark/>
          </w:tcPr>
          <w:p w:rsidR="00FF6C2E" w:rsidRPr="00BF56A5" w:rsidRDefault="00FF6C2E" w:rsidP="005B04FB">
            <w:pPr>
              <w:rPr>
                <w:b/>
                <w:sz w:val="20"/>
                <w:szCs w:val="20"/>
                <w:lang w:val="en-GB"/>
              </w:rPr>
            </w:pPr>
            <w:r w:rsidRPr="00BF56A5">
              <w:rPr>
                <w:b/>
                <w:sz w:val="20"/>
                <w:szCs w:val="20"/>
                <w:lang w:val="en-GB"/>
              </w:rPr>
              <w:t xml:space="preserve">501–1,000 </w:t>
            </w:r>
          </w:p>
        </w:tc>
        <w:tc>
          <w:tcPr>
            <w:tcW w:w="3217" w:type="dxa"/>
            <w:tcBorders>
              <w:top w:val="single" w:sz="4" w:space="0" w:color="auto"/>
              <w:left w:val="single" w:sz="4" w:space="0" w:color="auto"/>
              <w:bottom w:val="single" w:sz="2" w:space="0" w:color="auto"/>
              <w:right w:val="single" w:sz="4" w:space="0" w:color="auto"/>
            </w:tcBorders>
            <w:hideMark/>
          </w:tcPr>
          <w:p w:rsidR="00FF6C2E" w:rsidRPr="00BF56A5" w:rsidRDefault="00FF6C2E" w:rsidP="005B04FB">
            <w:pPr>
              <w:ind w:right="976"/>
              <w:jc w:val="right"/>
              <w:rPr>
                <w:b/>
                <w:sz w:val="20"/>
                <w:szCs w:val="20"/>
                <w:lang w:val="en-GB"/>
              </w:rPr>
            </w:pPr>
            <w:r w:rsidRPr="00BF56A5">
              <w:rPr>
                <w:b/>
                <w:sz w:val="20"/>
                <w:szCs w:val="20"/>
                <w:lang w:val="en-GB"/>
              </w:rPr>
              <w:t>300,000</w:t>
            </w:r>
          </w:p>
        </w:tc>
      </w:tr>
      <w:tr w:rsidR="00FF6C2E" w:rsidRPr="002A3896" w:rsidTr="005B04FB">
        <w:tc>
          <w:tcPr>
            <w:tcW w:w="3983" w:type="dxa"/>
            <w:tcBorders>
              <w:top w:val="single" w:sz="2" w:space="0" w:color="auto"/>
              <w:left w:val="single" w:sz="2" w:space="0" w:color="auto"/>
              <w:bottom w:val="single" w:sz="2" w:space="0" w:color="auto"/>
              <w:right w:val="single" w:sz="2" w:space="0" w:color="auto"/>
            </w:tcBorders>
            <w:hideMark/>
          </w:tcPr>
          <w:p w:rsidR="00FF6C2E" w:rsidRPr="00BF56A5" w:rsidRDefault="00FF6C2E" w:rsidP="005B04FB">
            <w:pPr>
              <w:rPr>
                <w:b/>
                <w:sz w:val="20"/>
                <w:szCs w:val="20"/>
                <w:lang w:val="en-GB"/>
              </w:rPr>
            </w:pPr>
            <w:r w:rsidRPr="00BF56A5">
              <w:rPr>
                <w:b/>
                <w:sz w:val="20"/>
                <w:szCs w:val="20"/>
                <w:lang w:val="en-GB"/>
              </w:rPr>
              <w:t>1,001 and above</w:t>
            </w:r>
          </w:p>
        </w:tc>
        <w:tc>
          <w:tcPr>
            <w:tcW w:w="3217" w:type="dxa"/>
            <w:tcBorders>
              <w:top w:val="single" w:sz="2" w:space="0" w:color="auto"/>
              <w:left w:val="single" w:sz="2" w:space="0" w:color="auto"/>
              <w:bottom w:val="single" w:sz="2" w:space="0" w:color="auto"/>
              <w:right w:val="single" w:sz="2" w:space="0" w:color="auto"/>
            </w:tcBorders>
            <w:hideMark/>
          </w:tcPr>
          <w:p w:rsidR="00FF6C2E" w:rsidRPr="00BF56A5" w:rsidRDefault="00FF6C2E" w:rsidP="005B04FB">
            <w:pPr>
              <w:ind w:right="976"/>
              <w:jc w:val="right"/>
              <w:rPr>
                <w:b/>
                <w:sz w:val="20"/>
                <w:szCs w:val="20"/>
                <w:lang w:val="en-GB"/>
              </w:rPr>
            </w:pPr>
            <w:r w:rsidRPr="00BF56A5">
              <w:rPr>
                <w:b/>
                <w:sz w:val="20"/>
                <w:szCs w:val="20"/>
                <w:lang w:val="en-GB"/>
              </w:rPr>
              <w:t>400,000</w:t>
            </w:r>
          </w:p>
        </w:tc>
      </w:tr>
    </w:tbl>
    <w:p w:rsidR="00FF6C2E" w:rsidRPr="002A3896" w:rsidRDefault="00FF6C2E" w:rsidP="005B04FB">
      <w:pPr>
        <w:ind w:left="1440"/>
        <w:outlineLvl w:val="1"/>
        <w:rPr>
          <w:b/>
          <w:lang w:val="en-US"/>
        </w:rPr>
      </w:pPr>
    </w:p>
    <w:p w:rsidR="00FF6C2E" w:rsidRPr="002A3896" w:rsidRDefault="00FF6C2E" w:rsidP="005B04FB">
      <w:pPr>
        <w:numPr>
          <w:ilvl w:val="1"/>
          <w:numId w:val="1"/>
        </w:numPr>
        <w:spacing w:after="240"/>
        <w:outlineLvl w:val="1"/>
        <w:rPr>
          <w:b/>
          <w:lang w:val="en-US"/>
        </w:rPr>
      </w:pPr>
      <w:r w:rsidRPr="002A3896">
        <w:rPr>
          <w:b/>
          <w:lang w:val="en-US"/>
        </w:rPr>
        <w:t>To r</w:t>
      </w:r>
      <w:r w:rsidRPr="002A3896">
        <w:rPr>
          <w:b/>
          <w:lang w:val="en-GB"/>
        </w:rPr>
        <w:t>e</w:t>
      </w:r>
      <w:r w:rsidRPr="002A3896">
        <w:rPr>
          <w:b/>
          <w:lang w:val="en-US"/>
        </w:rPr>
        <w:t>quest bilateral and implementing agencies, when submitting stage I of the KIPs on behalf of Article 5 countries, to include:</w:t>
      </w:r>
    </w:p>
    <w:p w:rsidR="00FF6C2E" w:rsidRPr="002A3896" w:rsidRDefault="00FF6C2E" w:rsidP="005B04FB">
      <w:pPr>
        <w:numPr>
          <w:ilvl w:val="2"/>
          <w:numId w:val="1"/>
        </w:numPr>
        <w:tabs>
          <w:tab w:val="clear" w:pos="0"/>
          <w:tab w:val="num" w:pos="-270"/>
        </w:tabs>
        <w:spacing w:after="240"/>
        <w:outlineLvl w:val="2"/>
        <w:rPr>
          <w:b/>
        </w:rPr>
      </w:pPr>
      <w:r w:rsidRPr="002A3896">
        <w:rPr>
          <w:b/>
          <w:lang w:val="en-GB"/>
        </w:rPr>
        <w:t xml:space="preserve">Confirmation that the country had an established and enforceable national system of licensing and quotas for monitoring HFC imports/exports in place, consistent with decision 63/17; </w:t>
      </w:r>
    </w:p>
    <w:p w:rsidR="00FF6C2E" w:rsidRPr="002A3896" w:rsidRDefault="00FF6C2E" w:rsidP="005B04FB">
      <w:pPr>
        <w:numPr>
          <w:ilvl w:val="2"/>
          <w:numId w:val="1"/>
        </w:numPr>
        <w:tabs>
          <w:tab w:val="clear" w:pos="0"/>
          <w:tab w:val="num" w:pos="-270"/>
        </w:tabs>
        <w:spacing w:after="240"/>
        <w:outlineLvl w:val="2"/>
        <w:rPr>
          <w:b/>
          <w:lang w:val="en-GB"/>
        </w:rPr>
      </w:pPr>
      <w:r w:rsidRPr="002A3896">
        <w:rPr>
          <w:b/>
          <w:lang w:val="en-GB"/>
        </w:rPr>
        <w:t>The Government’s commitment and actions to ensure that funded HFC phase</w:t>
      </w:r>
      <w:r w:rsidRPr="002A3896">
        <w:rPr>
          <w:b/>
          <w:lang w:val="en-GB"/>
        </w:rPr>
        <w:noBreakHyphen/>
        <w:t>out would be sustained over time;</w:t>
      </w:r>
    </w:p>
    <w:p w:rsidR="00FF6C2E" w:rsidRPr="002A3896" w:rsidRDefault="00FF6C2E" w:rsidP="005B04FB">
      <w:pPr>
        <w:widowControl w:val="0"/>
        <w:numPr>
          <w:ilvl w:val="2"/>
          <w:numId w:val="1"/>
        </w:numPr>
        <w:spacing w:after="240"/>
        <w:outlineLvl w:val="2"/>
        <w:rPr>
          <w:b/>
          <w:lang w:val="en-GB"/>
        </w:rPr>
      </w:pPr>
      <w:r w:rsidRPr="002A3896">
        <w:rPr>
          <w:b/>
          <w:lang w:val="en-GB"/>
        </w:rPr>
        <w:t>An overview of any early actions to control HFC consumption;</w:t>
      </w:r>
    </w:p>
    <w:p w:rsidR="00FF6C2E" w:rsidRPr="002A3896" w:rsidRDefault="00FF6C2E" w:rsidP="005B04FB">
      <w:pPr>
        <w:widowControl w:val="0"/>
        <w:numPr>
          <w:ilvl w:val="1"/>
          <w:numId w:val="1"/>
        </w:numPr>
        <w:spacing w:after="240"/>
        <w:outlineLvl w:val="1"/>
        <w:rPr>
          <w:b/>
          <w:lang w:val="en-GB"/>
        </w:rPr>
      </w:pPr>
      <w:r w:rsidRPr="002A3896">
        <w:rPr>
          <w:b/>
          <w:lang w:val="en-GB"/>
        </w:rPr>
        <w:t>To agree that institutions and capacities in Article 5 countries developed through Multilateral Fund assistance for the phase-out of ODS should be used to the extent practicable for the phase</w:t>
      </w:r>
      <w:r w:rsidRPr="002A3896">
        <w:rPr>
          <w:b/>
          <w:lang w:val="en-GB"/>
        </w:rPr>
        <w:noBreakHyphen/>
        <w:t>down of HFCs, as appropriate; and</w:t>
      </w:r>
    </w:p>
    <w:p w:rsidR="00FF6C2E" w:rsidRPr="002A3896" w:rsidRDefault="00FF6C2E" w:rsidP="005B04FB">
      <w:pPr>
        <w:widowControl w:val="0"/>
        <w:numPr>
          <w:ilvl w:val="1"/>
          <w:numId w:val="1"/>
        </w:numPr>
        <w:spacing w:after="240"/>
        <w:outlineLvl w:val="1"/>
        <w:rPr>
          <w:b/>
          <w:lang w:val="en-GB"/>
        </w:rPr>
      </w:pPr>
      <w:r w:rsidRPr="002A3896">
        <w:rPr>
          <w:b/>
          <w:lang w:val="en-US"/>
        </w:rPr>
        <w:t>To request the Secretariat to prepare, with the assistance of the bilateral and implementing agencies, a guide for preparation of stage I of KIP</w:t>
      </w:r>
      <w:r>
        <w:rPr>
          <w:b/>
          <w:lang w:val="en-US"/>
        </w:rPr>
        <w:t xml:space="preserve">s that could be used by Article </w:t>
      </w:r>
      <w:r w:rsidRPr="002A3896">
        <w:rPr>
          <w:b/>
          <w:lang w:val="en-US"/>
        </w:rPr>
        <w:t>5 countries.</w:t>
      </w:r>
    </w:p>
    <w:p w:rsidR="00FF6C2E" w:rsidRDefault="00FF6C2E" w:rsidP="005B04FB">
      <w:pPr>
        <w:pStyle w:val="StyleHeader4Para4Left0Firstline0"/>
        <w:numPr>
          <w:ilvl w:val="0"/>
          <w:numId w:val="0"/>
        </w:numPr>
        <w:spacing w:after="0"/>
        <w:jc w:val="left"/>
        <w:rPr>
          <w:sz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FF6C2E" w:rsidTr="005B04FB">
        <w:tc>
          <w:tcPr>
            <w:tcW w:w="1870" w:type="dxa"/>
          </w:tcPr>
          <w:p w:rsidR="00FF6C2E" w:rsidRDefault="00FF6C2E" w:rsidP="005B04FB">
            <w:pPr>
              <w:pStyle w:val="StyleHeader4Para4Left0Firstline0"/>
              <w:numPr>
                <w:ilvl w:val="0"/>
                <w:numId w:val="0"/>
              </w:numPr>
              <w:spacing w:after="0"/>
              <w:jc w:val="left"/>
              <w:rPr>
                <w:sz w:val="22"/>
              </w:rPr>
            </w:pPr>
          </w:p>
        </w:tc>
        <w:tc>
          <w:tcPr>
            <w:tcW w:w="1870" w:type="dxa"/>
          </w:tcPr>
          <w:p w:rsidR="00FF6C2E" w:rsidRDefault="00FF6C2E" w:rsidP="005B04FB">
            <w:pPr>
              <w:pStyle w:val="StyleHeader4Para4Left0Firstline0"/>
              <w:numPr>
                <w:ilvl w:val="0"/>
                <w:numId w:val="0"/>
              </w:numPr>
              <w:spacing w:after="0"/>
              <w:jc w:val="left"/>
              <w:rPr>
                <w:sz w:val="22"/>
              </w:rPr>
            </w:pPr>
          </w:p>
        </w:tc>
        <w:tc>
          <w:tcPr>
            <w:tcW w:w="1870" w:type="dxa"/>
            <w:tcBorders>
              <w:bottom w:val="single" w:sz="2" w:space="0" w:color="auto"/>
            </w:tcBorders>
          </w:tcPr>
          <w:p w:rsidR="00FF6C2E" w:rsidRDefault="00FF6C2E" w:rsidP="005B04FB">
            <w:pPr>
              <w:pStyle w:val="StyleHeader4Para4Left0Firstline0"/>
              <w:numPr>
                <w:ilvl w:val="0"/>
                <w:numId w:val="0"/>
              </w:numPr>
              <w:spacing w:after="0"/>
              <w:jc w:val="left"/>
              <w:rPr>
                <w:sz w:val="22"/>
              </w:rPr>
            </w:pPr>
          </w:p>
        </w:tc>
        <w:tc>
          <w:tcPr>
            <w:tcW w:w="1870" w:type="dxa"/>
          </w:tcPr>
          <w:p w:rsidR="00FF6C2E" w:rsidRDefault="00FF6C2E" w:rsidP="005B04FB">
            <w:pPr>
              <w:pStyle w:val="StyleHeader4Para4Left0Firstline0"/>
              <w:numPr>
                <w:ilvl w:val="0"/>
                <w:numId w:val="0"/>
              </w:numPr>
              <w:spacing w:after="0"/>
              <w:jc w:val="left"/>
              <w:rPr>
                <w:sz w:val="22"/>
              </w:rPr>
            </w:pPr>
          </w:p>
        </w:tc>
        <w:tc>
          <w:tcPr>
            <w:tcW w:w="1870" w:type="dxa"/>
          </w:tcPr>
          <w:p w:rsidR="00FF6C2E" w:rsidRDefault="00FF6C2E" w:rsidP="005B04FB">
            <w:pPr>
              <w:pStyle w:val="StyleHeader4Para4Left0Firstline0"/>
              <w:numPr>
                <w:ilvl w:val="0"/>
                <w:numId w:val="0"/>
              </w:numPr>
              <w:spacing w:after="0"/>
              <w:jc w:val="left"/>
              <w:rPr>
                <w:sz w:val="22"/>
              </w:rPr>
            </w:pPr>
          </w:p>
        </w:tc>
      </w:tr>
    </w:tbl>
    <w:p w:rsidR="00E85409" w:rsidRPr="009B0D30" w:rsidRDefault="00E85409" w:rsidP="004E7F9C"/>
    <w:sectPr w:rsidR="00E85409" w:rsidRPr="009B0D30" w:rsidSect="00FF6C2E">
      <w:headerReference w:type="even" r:id="rId43"/>
      <w:headerReference w:type="default" r:id="rId44"/>
      <w:footerReference w:type="even" r:id="rId45"/>
      <w:footerReference w:type="default" r:id="rId46"/>
      <w:headerReference w:type="first" r:id="rId47"/>
      <w:footerReference w:type="first" r:id="rId48"/>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04FB" w:rsidRDefault="005B04FB" w:rsidP="004A504B">
      <w:r>
        <w:separator/>
      </w:r>
    </w:p>
  </w:endnote>
  <w:endnote w:type="continuationSeparator" w:id="0">
    <w:p w:rsidR="005B04FB" w:rsidRDefault="005B04FB"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iryo">
    <w:charset w:val="80"/>
    <w:family w:val="swiss"/>
    <w:pitch w:val="variable"/>
    <w:sig w:usb0="E00002FF" w:usb1="6AC7FFFF" w:usb2="08000012" w:usb3="00000000" w:csb0="0002009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2</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3</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B04FB" w:rsidRDefault="005B04F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A635F">
      <w:rPr>
        <w:noProof/>
      </w:rPr>
      <w:t>8</w:t>
    </w:r>
    <w:r>
      <w:rPr>
        <w:noProof/>
      </w:rPr>
      <w:fldChar w:fldCharType="end"/>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A635F">
      <w:rPr>
        <w:noProof/>
      </w:rPr>
      <w:t>7</w:t>
    </w:r>
    <w:r>
      <w:rPr>
        <w:noProof/>
      </w:rPr>
      <w:fldChar w:fldCharType="end"/>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rsidR="005B04FB" w:rsidRDefault="005B04FB"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6</w:t>
    </w:r>
    <w:r>
      <w:rPr>
        <w:noProof/>
      </w:rPr>
      <w:fldChar w:fldCharType="end"/>
    </w: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5</w:t>
    </w:r>
    <w:r>
      <w:rPr>
        <w:noProof/>
      </w:rPr>
      <w:fldChar w:fldCharType="end"/>
    </w:r>
  </w:p>
</w:ftr>
</file>

<file path=word/footer9.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592815"/>
      <w:docPartObj>
        <w:docPartGallery w:val="Page Numbers (Bottom of Page)"/>
        <w:docPartUnique/>
      </w:docPartObj>
    </w:sdtPr>
    <w:sdtEndPr>
      <w:rPr>
        <w:noProof/>
      </w:rPr>
    </w:sdtEndPr>
    <w:sdtContent>
      <w:p w:rsidR="005B04FB" w:rsidRDefault="005B04FB">
        <w:pPr>
          <w:pStyle w:val="Footer"/>
          <w:jc w:val="center"/>
        </w:pPr>
      </w:p>
      <w:p w:rsidR="005B04FB" w:rsidRDefault="005B04F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5B04FB" w:rsidRPr="008A6DB6" w:rsidRDefault="005B04FB" w:rsidP="005B04FB">
    <w:pPr>
      <w:pStyle w:val="Footer"/>
    </w:pPr>
  </w:p>
</w:ftr>
</file>

<file path=word/footer10.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2</w:t>
    </w:r>
    <w:r>
      <w:rPr>
        <w:noProof/>
      </w:rPr>
      <w:fldChar w:fldCharType="end"/>
    </w:r>
  </w:p>
</w:ftr>
</file>

<file path=word/footer1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1</w:t>
    </w:r>
    <w:r>
      <w:rPr>
        <w:noProof/>
      </w:rPr>
      <w:fldChar w:fldCharType="end"/>
    </w:r>
  </w:p>
</w:ftr>
</file>

<file path=word/footer1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223021"/>
      <w:docPartObj>
        <w:docPartGallery w:val="Page Numbers (Bottom of Page)"/>
        <w:docPartUnique/>
      </w:docPartObj>
    </w:sdtPr>
    <w:sdtEndPr>
      <w:rPr>
        <w:noProof/>
      </w:rPr>
    </w:sdtEndPr>
    <w:sdtContent>
      <w:p w:rsidR="005B04FB" w:rsidRDefault="005B04FB">
        <w:pPr>
          <w:pStyle w:val="Footer"/>
          <w:jc w:val="center"/>
        </w:pPr>
      </w:p>
      <w:p w:rsidR="005B04FB" w:rsidRDefault="005B04F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5B04FB" w:rsidRPr="008A6DB6" w:rsidRDefault="005B04FB" w:rsidP="005B04FB">
    <w:pPr>
      <w:pStyle w:val="Footer"/>
    </w:pPr>
  </w:p>
</w:ftr>
</file>

<file path=word/footer1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t>2</w:t>
    </w:r>
  </w:p>
</w:ftr>
</file>

<file path=word/footer1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1</w:t>
    </w:r>
    <w:r>
      <w:rPr>
        <w:noProof/>
      </w:rPr>
      <w:fldChar w:fldCharType="end"/>
    </w:r>
  </w:p>
</w:ftr>
</file>

<file path=word/footer1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926871"/>
      <w:docPartObj>
        <w:docPartGallery w:val="Page Numbers (Bottom of Page)"/>
        <w:docPartUnique/>
      </w:docPartObj>
    </w:sdtPr>
    <w:sdtEndPr>
      <w:rPr>
        <w:noProof/>
      </w:rPr>
    </w:sdtEndPr>
    <w:sdtContent>
      <w:p w:rsidR="005B04FB" w:rsidRDefault="005B04FB">
        <w:pPr>
          <w:pStyle w:val="Footer"/>
          <w:jc w:val="center"/>
        </w:pPr>
        <w:r>
          <w:t>1</w:t>
        </w:r>
      </w:p>
    </w:sdtContent>
  </w:sdt>
  <w:p w:rsidR="005B04FB" w:rsidRPr="00545963" w:rsidRDefault="005B04FB" w:rsidP="005B04FB">
    <w:pPr>
      <w:pStyle w:val="Footer"/>
    </w:pPr>
  </w:p>
</w:ftr>
</file>

<file path=word/footer1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2</w:t>
    </w:r>
    <w:r>
      <w:rPr>
        <w:noProof/>
      </w:rPr>
      <w:fldChar w:fldCharType="end"/>
    </w:r>
  </w:p>
</w:ftr>
</file>

<file path=word/footer1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center"/>
    </w:pPr>
    <w:r>
      <w:fldChar w:fldCharType="begin"/>
    </w:r>
    <w:r>
      <w:instrText xml:space="preserve"> PAGE </w:instrText>
    </w:r>
    <w:r>
      <w:fldChar w:fldCharType="separate"/>
    </w:r>
    <w:r w:rsidR="00E314E4">
      <w:rPr>
        <w:noProof/>
      </w:rPr>
      <w:t>1</w:t>
    </w:r>
    <w:r>
      <w:rPr>
        <w:noProof/>
      </w:rPr>
      <w:fldChar w:fldCharType="end"/>
    </w:r>
  </w:p>
</w:ftr>
</file>

<file path=word/footer1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FF6C2E" w:rsidRDefault="005B04FB" w:rsidP="00FF6C2E">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04FB" w:rsidRDefault="005B04FB" w:rsidP="004A504B">
      <w:r>
        <w:separator/>
      </w:r>
    </w:p>
  </w:footnote>
  <w:footnote w:type="continuationSeparator" w:id="0">
    <w:p w:rsidR="005B04FB" w:rsidRDefault="005B04FB" w:rsidP="004A504B">
      <w:r>
        <w:continuationSeparator/>
      </w:r>
    </w:p>
  </w:footnote>
  <w:footnote w:id="1">
    <w:p w:rsidR="005B04FB" w:rsidRPr="007F7D65" w:rsidRDefault="005B04FB" w:rsidP="00BC314A">
      <w:pPr>
        <w:pStyle w:val="FootnoteText"/>
        <w:rPr>
          <w:lang w:val="en-US"/>
        </w:rPr>
      </w:pPr>
      <w:r w:rsidRPr="00C07B3E">
        <w:rPr>
          <w:rStyle w:val="FootnoteReference"/>
        </w:rPr>
        <w:footnoteRef/>
      </w:r>
      <w:r w:rsidRPr="00C07B3E">
        <w:t xml:space="preserve"> Due to</w:t>
      </w:r>
      <w:r>
        <w:t xml:space="preserve"> coronavirus disease (COVID-19), </w:t>
      </w:r>
      <w:r w:rsidRPr="00C07B3E">
        <w:t>part I of the 89</w:t>
      </w:r>
      <w:r w:rsidRPr="00C07B3E">
        <w:rPr>
          <w:vertAlign w:val="superscript"/>
        </w:rPr>
        <w:t>th</w:t>
      </w:r>
      <w:r w:rsidRPr="00C07B3E">
        <w:t xml:space="preserve"> meeting will be held </w:t>
      </w:r>
      <w:r>
        <w:t>o</w:t>
      </w:r>
      <w:r w:rsidRPr="00C07B3E">
        <w:t xml:space="preserve">nline while part II </w:t>
      </w:r>
      <w:r>
        <w:t>will be held in</w:t>
      </w:r>
      <w:r>
        <w:noBreakHyphen/>
        <w:t>person</w:t>
      </w:r>
      <w:r w:rsidRPr="00C07B3E">
        <w:t>.</w:t>
      </w:r>
      <w:r w:rsidRPr="007F7D65">
        <w:t xml:space="preserve"> </w:t>
      </w:r>
    </w:p>
    <w:p w:rsidR="005B04FB" w:rsidRPr="00B86471" w:rsidRDefault="005B04FB" w:rsidP="001F53FD">
      <w:pPr>
        <w:pStyle w:val="FootnoteText"/>
        <w:tabs>
          <w:tab w:val="left" w:pos="4110"/>
        </w:tabs>
        <w:rPr>
          <w:lang w:val="en-US"/>
        </w:rPr>
      </w:pPr>
      <w:r>
        <w:rPr>
          <w:lang w:val="en-US"/>
        </w:rPr>
        <w:tab/>
      </w:r>
    </w:p>
  </w:footnote>
  <w:footnote w:id="2">
    <w:p w:rsidR="005B04FB" w:rsidRPr="00C30398" w:rsidRDefault="005B04FB" w:rsidP="005B04FB">
      <w:pPr>
        <w:pStyle w:val="FootnoteText"/>
      </w:pPr>
      <w:r>
        <w:rPr>
          <w:rStyle w:val="FootnoteReference"/>
        </w:rPr>
        <w:footnoteRef/>
      </w:r>
      <w:r>
        <w:t xml:space="preserve"> </w:t>
      </w:r>
      <w:r w:rsidRPr="00C30398">
        <w:t>The document should have been submitted to the 85</w:t>
      </w:r>
      <w:r w:rsidRPr="00C30398">
        <w:rPr>
          <w:vertAlign w:val="superscript"/>
        </w:rPr>
        <w:t>th</w:t>
      </w:r>
      <w:r w:rsidRPr="00C30398">
        <w:t xml:space="preserve"> meeting; consideration of the document was deferred to the 87</w:t>
      </w:r>
      <w:r w:rsidRPr="00C30398">
        <w:rPr>
          <w:vertAlign w:val="superscript"/>
        </w:rPr>
        <w:t>th</w:t>
      </w:r>
      <w:r w:rsidR="00BA11CC">
        <w:t> </w:t>
      </w:r>
      <w:r w:rsidRPr="00C30398">
        <w:t>meeting in accordance with the agreed procedures for conducting the 85</w:t>
      </w:r>
      <w:r w:rsidRPr="00C30398">
        <w:rPr>
          <w:vertAlign w:val="superscript"/>
        </w:rPr>
        <w:t>th</w:t>
      </w:r>
      <w:r w:rsidRPr="00C30398">
        <w:t xml:space="preserve"> and 86</w:t>
      </w:r>
      <w:r w:rsidRPr="00C30398">
        <w:rPr>
          <w:vertAlign w:val="superscript"/>
        </w:rPr>
        <w:t>th</w:t>
      </w:r>
      <w:r w:rsidRPr="00C30398">
        <w:t xml:space="preserve"> meetings in light of the COVID</w:t>
      </w:r>
      <w:r w:rsidR="00BA11CC">
        <w:noBreakHyphen/>
      </w:r>
      <w:r w:rsidRPr="00C30398">
        <w:t>19 pandemic.</w:t>
      </w:r>
    </w:p>
  </w:footnote>
  <w:footnote w:id="3">
    <w:p w:rsidR="005B04FB" w:rsidRPr="00CE477B" w:rsidRDefault="005B04FB">
      <w:pPr>
        <w:pStyle w:val="FootnoteText"/>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footnote>
  <w:footnote w:id="4">
    <w:p w:rsidR="005B04FB" w:rsidRPr="00A513E6" w:rsidRDefault="005B04FB" w:rsidP="005B04FB">
      <w:pPr>
        <w:pStyle w:val="FootnoteText"/>
      </w:pPr>
      <w:r>
        <w:rPr>
          <w:rStyle w:val="FootnoteReference"/>
        </w:rPr>
        <w:footnoteRef/>
      </w:r>
      <w:r>
        <w:t xml:space="preserve"> The issue is contained in paragraphs 16 to 20 of document UNEP/OzL.Pro/ExCom/84/32, “Overview of issues identified during project review.”</w:t>
      </w:r>
    </w:p>
  </w:footnote>
  <w:footnote w:id="5">
    <w:p w:rsidR="005B04FB" w:rsidRPr="00656CBB" w:rsidRDefault="005B04FB" w:rsidP="005B04FB">
      <w:pPr>
        <w:pStyle w:val="FootnoteText"/>
      </w:pPr>
      <w:r>
        <w:rPr>
          <w:rStyle w:val="FootnoteReference"/>
        </w:rPr>
        <w:footnoteRef/>
      </w:r>
      <w:r>
        <w:t xml:space="preserve"> </w:t>
      </w:r>
      <w:r w:rsidRPr="00656CBB">
        <w:t>UNEP/OzL.Pro/ExCom/84/65</w:t>
      </w:r>
    </w:p>
  </w:footnote>
  <w:footnote w:id="6">
    <w:p w:rsidR="005B04FB" w:rsidRPr="00C30398" w:rsidRDefault="005B04FB" w:rsidP="005B04FB">
      <w:pPr>
        <w:pStyle w:val="FootnoteText"/>
      </w:pPr>
      <w:r>
        <w:rPr>
          <w:rStyle w:val="FootnoteReference"/>
        </w:rPr>
        <w:footnoteRef/>
      </w:r>
      <w:r>
        <w:t xml:space="preserve"> </w:t>
      </w:r>
      <w:r w:rsidRPr="00C30398">
        <w:t>The document should have been submitted to the 85</w:t>
      </w:r>
      <w:r w:rsidRPr="00C30398">
        <w:rPr>
          <w:vertAlign w:val="superscript"/>
        </w:rPr>
        <w:t>th</w:t>
      </w:r>
      <w:r w:rsidRPr="00C30398">
        <w:t xml:space="preserve"> meeting; consideration of the document was deferred to the 87</w:t>
      </w:r>
      <w:r w:rsidRPr="00C30398">
        <w:rPr>
          <w:vertAlign w:val="superscript"/>
        </w:rPr>
        <w:t>th</w:t>
      </w:r>
      <w:r w:rsidRPr="00C30398">
        <w:t xml:space="preserve"> meeting in accordance with the agreed procedures for conducting the 85</w:t>
      </w:r>
      <w:r w:rsidRPr="00C30398">
        <w:rPr>
          <w:vertAlign w:val="superscript"/>
        </w:rPr>
        <w:t>th</w:t>
      </w:r>
      <w:r w:rsidRPr="00C30398">
        <w:t xml:space="preserve"> and 86</w:t>
      </w:r>
      <w:r w:rsidRPr="00C30398">
        <w:rPr>
          <w:vertAlign w:val="superscript"/>
        </w:rPr>
        <w:t>th</w:t>
      </w:r>
      <w:r w:rsidRPr="00C30398">
        <w:t xml:space="preserve"> meetings in light of the COVID</w:t>
      </w:r>
      <w:r>
        <w:noBreakHyphen/>
      </w:r>
      <w:r w:rsidRPr="00C30398">
        <w:t>19 pandemic.</w:t>
      </w:r>
    </w:p>
  </w:footnote>
  <w:footnote w:id="7">
    <w:p w:rsidR="005B04FB" w:rsidRPr="00C30398" w:rsidRDefault="005B04FB" w:rsidP="005B04FB">
      <w:pPr>
        <w:pStyle w:val="FootnoteText"/>
      </w:pPr>
      <w:r w:rsidRPr="00C30398">
        <w:rPr>
          <w:rStyle w:val="FootnoteReference"/>
        </w:rPr>
        <w:footnoteRef/>
      </w:r>
      <w:r w:rsidRPr="00C30398">
        <w:t xml:space="preserve"> UNEP/OzL.Pro/ExCom/84/65</w:t>
      </w:r>
    </w:p>
  </w:footnote>
  <w:footnote w:id="8">
    <w:p w:rsidR="005B04FB" w:rsidRPr="00C30398" w:rsidRDefault="005B04FB" w:rsidP="005B04FB">
      <w:pPr>
        <w:pStyle w:val="FootnoteText"/>
      </w:pPr>
      <w:r w:rsidRPr="00C30398">
        <w:rPr>
          <w:rStyle w:val="FootnoteReference"/>
        </w:rPr>
        <w:footnoteRef/>
      </w:r>
      <w:r w:rsidRPr="00C30398">
        <w:t xml:space="preserve"> During the discussion of document UNEP/OzL.Pro/ExCom/84/65, Committee members highlighted the potential for synergies in the HCFC phase-out and HFC phase-down in the refrigeration servicing sector, while noting opportunities in the foam, room air conditioner, commercial refrigeration and chiller manufacturing sectors.; and also expressed an interest in further discussion of ways to support a cost-effective approach to HCFC phase-out and HFC phase</w:t>
      </w:r>
      <w:r w:rsidRPr="00C30398">
        <w:noBreakHyphen/>
        <w:t>down activities.</w:t>
      </w:r>
    </w:p>
  </w:footnote>
  <w:footnote w:id="9">
    <w:p w:rsidR="005B04FB" w:rsidRPr="00C30398" w:rsidRDefault="005B04FB" w:rsidP="005B04FB">
      <w:pPr>
        <w:pStyle w:val="FootnoteText"/>
      </w:pPr>
      <w:r w:rsidRPr="00C30398">
        <w:rPr>
          <w:rStyle w:val="FootnoteReference"/>
        </w:rPr>
        <w:footnoteRef/>
      </w:r>
      <w:r w:rsidRPr="00C30398">
        <w:t xml:space="preserve"> UNEP/OzL.Pro/ExCom/86/88</w:t>
      </w:r>
    </w:p>
  </w:footnote>
  <w:footnote w:id="10">
    <w:p w:rsidR="005B04FB" w:rsidRPr="00C30398" w:rsidRDefault="005B04FB">
      <w:pPr>
        <w:pStyle w:val="FootnoteText"/>
      </w:pPr>
      <w:r w:rsidRPr="00C30398">
        <w:rPr>
          <w:rStyle w:val="FootnoteReference"/>
        </w:rPr>
        <w:footnoteRef/>
      </w:r>
      <w:r w:rsidRPr="00C30398">
        <w:t xml:space="preserve"> At its 86</w:t>
      </w:r>
      <w:r w:rsidRPr="00C30398">
        <w:rPr>
          <w:vertAlign w:val="superscript"/>
        </w:rPr>
        <w:t>th</w:t>
      </w:r>
      <w:r w:rsidRPr="00C30398">
        <w:t xml:space="preserve"> meeting, the Executive Committee discussed the draft guidelines document first in plenary and then in contact group meetings. As the contact group was unable to conclude its deliberations, the Executive Committee decided to continue consideration of the draft guidelines for the preparation of HFC phase-down plans for Article 5 countries at its 87</w:t>
      </w:r>
      <w:r w:rsidRPr="00C30398">
        <w:rPr>
          <w:vertAlign w:val="superscript"/>
        </w:rPr>
        <w:t>th</w:t>
      </w:r>
      <w:r w:rsidRPr="00C30398">
        <w:t> meeting, on the basis of the working document produced by the contact group formed at the 86</w:t>
      </w:r>
      <w:r w:rsidRPr="00C30398">
        <w:rPr>
          <w:vertAlign w:val="superscript"/>
        </w:rPr>
        <w:t>th</w:t>
      </w:r>
      <w:r w:rsidRPr="00C30398">
        <w:t> meeting, as contained in Annex XLVII to the report of the 86</w:t>
      </w:r>
      <w:r w:rsidRPr="00C30398">
        <w:rPr>
          <w:vertAlign w:val="superscript"/>
        </w:rPr>
        <w:t>th</w:t>
      </w:r>
      <w:r w:rsidRPr="00C30398">
        <w:t xml:space="preserve"> meeting (decision 86/93). </w:t>
      </w:r>
      <w:r w:rsidRPr="0072339F">
        <w:t>The draft guidelines document was submitted to the 87</w:t>
      </w:r>
      <w:r w:rsidRPr="0072339F">
        <w:rPr>
          <w:vertAlign w:val="superscript"/>
        </w:rPr>
        <w:t>th</w:t>
      </w:r>
      <w:r w:rsidRPr="0072339F">
        <w:t xml:space="preserve"> meeting (UNEP/OzL.Pro/ExCom/87/46) and discussed by the Executive Committee; further to a discussion the Committee adopted decision </w:t>
      </w:r>
      <w:r w:rsidRPr="0072339F">
        <w:t>87/</w:t>
      </w:r>
      <w:bookmarkStart w:id="0" w:name="_GoBack"/>
      <w:bookmarkEnd w:id="0"/>
      <w:r w:rsidR="00E314E4" w:rsidRPr="0072339F">
        <w:t>50.</w:t>
      </w:r>
    </w:p>
  </w:footnote>
  <w:footnote w:id="11">
    <w:p w:rsidR="005B04FB" w:rsidRPr="00DC71E4" w:rsidRDefault="005B04FB" w:rsidP="005B04FB">
      <w:pPr>
        <w:pStyle w:val="FootnoteText"/>
      </w:pPr>
      <w:r w:rsidRPr="00C30398">
        <w:rPr>
          <w:rStyle w:val="FootnoteReference"/>
        </w:rPr>
        <w:footnoteRef/>
      </w:r>
      <w:r w:rsidRPr="00C30398">
        <w:t xml:space="preserve"> UNEP/OzL.Pro/ExCom/78/6</w:t>
      </w:r>
    </w:p>
  </w:footnote>
  <w:footnote w:id="12">
    <w:p w:rsidR="005B04FB" w:rsidRPr="00F27953" w:rsidRDefault="005B04FB" w:rsidP="005B04FB">
      <w:pPr>
        <w:pStyle w:val="FootnoteText"/>
      </w:pPr>
      <w:r>
        <w:rPr>
          <w:rStyle w:val="FootnoteReference"/>
        </w:rPr>
        <w:footnoteRef/>
      </w:r>
      <w:r>
        <w:t xml:space="preserve"> </w:t>
      </w:r>
      <w:r w:rsidRPr="002D76C3">
        <w:t>UNEP/OzL.Pro/</w:t>
      </w:r>
      <w:r w:rsidRPr="00F27953">
        <w:t>ExCom/82/64</w:t>
      </w:r>
    </w:p>
  </w:footnote>
  <w:footnote w:id="13">
    <w:p w:rsidR="005B04FB" w:rsidRPr="009B5A0D" w:rsidRDefault="005B04FB" w:rsidP="005B04FB">
      <w:pPr>
        <w:pStyle w:val="FootnoteText"/>
      </w:pPr>
      <w:r>
        <w:rPr>
          <w:rStyle w:val="FootnoteReference"/>
        </w:rPr>
        <w:footnoteRef/>
      </w:r>
      <w:r>
        <w:t xml:space="preserve"> </w:t>
      </w:r>
      <w:r w:rsidRPr="009B5A0D">
        <w:t>UNEP/OzL.Pro/ExCom/86/89</w:t>
      </w:r>
      <w:r w:rsidRPr="002E0BA7">
        <w:t>, resubmitted to the 87</w:t>
      </w:r>
      <w:r w:rsidRPr="002E0BA7">
        <w:rPr>
          <w:vertAlign w:val="superscript"/>
        </w:rPr>
        <w:t>th</w:t>
      </w:r>
      <w:r w:rsidRPr="002E0BA7">
        <w:t> meeting as document UNEP/OzL.Pro/ExCom/87/47</w:t>
      </w:r>
      <w:r>
        <w:t>, and to the 88</w:t>
      </w:r>
      <w:r w:rsidRPr="003749E5">
        <w:rPr>
          <w:vertAlign w:val="superscript"/>
        </w:rPr>
        <w:t>th</w:t>
      </w:r>
      <w:r>
        <w:t xml:space="preserve"> meeting as document </w:t>
      </w:r>
      <w:r w:rsidRPr="003749E5">
        <w:t>UNEP/OzL.Pro/ExCom/88/72</w:t>
      </w:r>
    </w:p>
  </w:footnote>
  <w:footnote w:id="14">
    <w:p w:rsidR="005B04FB" w:rsidRPr="00BF6DBC" w:rsidRDefault="005B04FB" w:rsidP="005B04FB">
      <w:pPr>
        <w:pStyle w:val="FootnoteText"/>
      </w:pPr>
      <w:r>
        <w:rPr>
          <w:rStyle w:val="FootnoteReference"/>
        </w:rPr>
        <w:footnoteRef/>
      </w:r>
      <w:r>
        <w:t xml:space="preserve"> </w:t>
      </w:r>
      <w:r w:rsidRPr="002D76C3">
        <w:t>UNEP/OzL.Pro/</w:t>
      </w:r>
      <w:r w:rsidRPr="00BF6DBC">
        <w:t>ExCom/82/66</w:t>
      </w:r>
    </w:p>
  </w:footnote>
  <w:footnote w:id="15">
    <w:p w:rsidR="005B04FB" w:rsidRPr="004C6F9C" w:rsidRDefault="005B04FB" w:rsidP="005B04FB">
      <w:pPr>
        <w:pStyle w:val="FootnoteText"/>
      </w:pPr>
      <w:r>
        <w:rPr>
          <w:rStyle w:val="FootnoteReference"/>
        </w:rPr>
        <w:footnoteRef/>
      </w:r>
      <w:r>
        <w:t xml:space="preserve"> </w:t>
      </w:r>
      <w:r w:rsidRPr="004C6F9C">
        <w:t>UNEP/OzL.Pro/ExCom/86/8</w:t>
      </w:r>
    </w:p>
  </w:footnote>
  <w:footnote w:id="16">
    <w:p w:rsidR="005B04FB" w:rsidRPr="00C61C9D" w:rsidRDefault="005B04FB" w:rsidP="005B04FB">
      <w:pPr>
        <w:pStyle w:val="FootnoteText"/>
      </w:pPr>
      <w:r>
        <w:rPr>
          <w:rStyle w:val="FootnoteReference"/>
        </w:rPr>
        <w:footnoteRef/>
      </w:r>
      <w:r>
        <w:t xml:space="preserve"> </w:t>
      </w:r>
      <w:r w:rsidRPr="00C61C9D">
        <w:t>At its 74</w:t>
      </w:r>
      <w:r w:rsidRPr="00C61C9D">
        <w:rPr>
          <w:vertAlign w:val="superscript"/>
        </w:rPr>
        <w:t>th</w:t>
      </w:r>
      <w:r>
        <w:t xml:space="preserve"> </w:t>
      </w:r>
      <w:r w:rsidRPr="00C61C9D">
        <w:t>meeting, the Executive Committee agreed on the funding modalities for undertak</w:t>
      </w:r>
      <w:r>
        <w:t>ing</w:t>
      </w:r>
      <w:r w:rsidRPr="00C61C9D">
        <w:t xml:space="preserve"> national surveys of alternatives to ODS, approved the requests for funding surveys of ODS alternatives submitted by Article 5 countries to that meeting, and allowed the submission of funding requests for surveys from countries that had not submitted a request to the 74</w:t>
      </w:r>
      <w:r w:rsidRPr="00C61C9D">
        <w:rPr>
          <w:vertAlign w:val="superscript"/>
        </w:rPr>
        <w:t>th</w:t>
      </w:r>
      <w:r>
        <w:t xml:space="preserve"> </w:t>
      </w:r>
      <w:r w:rsidRPr="00C61C9D">
        <w:t>meeting (decision 74/53)</w:t>
      </w:r>
      <w:r>
        <w:t>.</w:t>
      </w:r>
    </w:p>
  </w:footnote>
  <w:footnote w:id="17">
    <w:p w:rsidR="005B04FB" w:rsidRPr="00845FB3" w:rsidRDefault="005B04FB" w:rsidP="005B04FB">
      <w:pPr>
        <w:pStyle w:val="FootnoteText"/>
      </w:pPr>
      <w:r>
        <w:rPr>
          <w:rStyle w:val="FootnoteReference"/>
        </w:rPr>
        <w:footnoteRef/>
      </w:r>
      <w:r>
        <w:t xml:space="preserve"> </w:t>
      </w:r>
      <w:r w:rsidRPr="00845FB3">
        <w:t>UNEP/OzL.Pro/ExCom/80/54</w:t>
      </w:r>
    </w:p>
  </w:footnote>
  <w:footnote w:id="18">
    <w:p w:rsidR="005B04FB" w:rsidRPr="002D76C3" w:rsidRDefault="005B04FB" w:rsidP="005B04FB">
      <w:pPr>
        <w:pStyle w:val="FootnoteText"/>
      </w:pPr>
      <w:r>
        <w:rPr>
          <w:rStyle w:val="FootnoteReference"/>
        </w:rPr>
        <w:footnoteRef/>
      </w:r>
      <w:r>
        <w:t xml:space="preserve"> </w:t>
      </w:r>
      <w:r w:rsidRPr="002D76C3">
        <w:t>UNEP/OzL.Pro/ExCom/79/47</w:t>
      </w:r>
    </w:p>
  </w:footnote>
  <w:footnote w:id="19">
    <w:p w:rsidR="005B04FB" w:rsidRPr="00814550" w:rsidRDefault="005B04FB" w:rsidP="005B04FB">
      <w:pPr>
        <w:pStyle w:val="FootnoteText"/>
      </w:pPr>
      <w:r>
        <w:rPr>
          <w:rStyle w:val="FootnoteReference"/>
        </w:rPr>
        <w:footnoteRef/>
      </w:r>
      <w:r>
        <w:t xml:space="preserve"> These activities </w:t>
      </w:r>
      <w:r w:rsidRPr="00814550">
        <w:t xml:space="preserve">include </w:t>
      </w:r>
      <w:r w:rsidRPr="00814550">
        <w:rPr>
          <w:i/>
        </w:rPr>
        <w:t>inter alia</w:t>
      </w:r>
      <w:r w:rsidRPr="00814550">
        <w:t xml:space="preserve"> country</w:t>
      </w:r>
      <w:r>
        <w:t>-</w:t>
      </w:r>
      <w:r w:rsidRPr="00814550">
        <w:t>specific activities aimed at supporting institutional arrangements, the review of licensing systems, data reporting on HFC consumption and production, and demonstration of non</w:t>
      </w:r>
      <w:r>
        <w:noBreakHyphen/>
      </w:r>
      <w:r w:rsidRPr="00814550">
        <w:t>investment activities; development and enforcement of policies and regulations to avoid market penetration of energy</w:t>
      </w:r>
      <w:r>
        <w:noBreakHyphen/>
      </w:r>
      <w:r w:rsidRPr="00814550">
        <w:t xml:space="preserve">inefficient </w:t>
      </w:r>
      <w:r>
        <w:t>RAC</w:t>
      </w:r>
      <w:r w:rsidRPr="00814550">
        <w:t xml:space="preserve"> and heat-pump equipment; promotion of access to energy</w:t>
      </w:r>
      <w:r>
        <w:noBreakHyphen/>
      </w:r>
      <w:r w:rsidRPr="00814550">
        <w:t>efficient technologies in those sectors; and targeted training on certification, safety and standards, awareness</w:t>
      </w:r>
      <w:r>
        <w:noBreakHyphen/>
      </w:r>
      <w:r w:rsidRPr="00814550">
        <w:t>raising and capacity building aimed at maintaining and enhancing the energy efficiency.</w:t>
      </w:r>
    </w:p>
  </w:footnote>
  <w:footnote w:id="20">
    <w:p w:rsidR="005B04FB" w:rsidRPr="003F0F5E" w:rsidRDefault="005B04FB" w:rsidP="005B04FB">
      <w:pPr>
        <w:pStyle w:val="FootnoteText"/>
        <w:rPr>
          <w:lang w:val="en-US"/>
        </w:rPr>
      </w:pPr>
      <w:r>
        <w:rPr>
          <w:rStyle w:val="FootnoteReference"/>
        </w:rPr>
        <w:footnoteRef/>
      </w:r>
      <w:r>
        <w:t xml:space="preserve"> </w:t>
      </w:r>
      <w:r>
        <w:rPr>
          <w:lang w:val="en-US"/>
        </w:rPr>
        <w:t>The surveys of ODS alternatives completed in 119 Article 5 countries provided preliminary information on their levels of HFC consumption, for the years 2012-2015.</w:t>
      </w:r>
    </w:p>
  </w:footnote>
  <w:footnote w:id="21">
    <w:p w:rsidR="005B04FB" w:rsidRDefault="005B04FB">
      <w:pPr>
        <w:pStyle w:val="FootnoteText"/>
      </w:pPr>
      <w:r>
        <w:rPr>
          <w:rStyle w:val="FootnoteReference"/>
        </w:rPr>
        <w:footnoteRef/>
      </w:r>
      <w:r>
        <w:t xml:space="preserve"> A</w:t>
      </w:r>
      <w:r w:rsidRPr="003749E5">
        <w:t xml:space="preserve">s at </w:t>
      </w:r>
      <w:r>
        <w:t xml:space="preserve">27 September </w:t>
      </w:r>
      <w:r w:rsidRPr="003749E5">
        <w:t xml:space="preserve">2021, </w:t>
      </w:r>
      <w:r>
        <w:t xml:space="preserve">108 </w:t>
      </w:r>
      <w:r w:rsidRPr="003749E5">
        <w:t>Article 5 countries (</w:t>
      </w:r>
      <w:r>
        <w:t xml:space="preserve">82 </w:t>
      </w:r>
      <w:r w:rsidRPr="003749E5">
        <w:t>of which have ratified the Kigali Amendment), had reported consumption of HFCs</w:t>
      </w:r>
      <w:r>
        <w:t xml:space="preserve"> for 2018, 2019 or 2020 (UNEP/OzL.Pro/ExCom/88/8).</w:t>
      </w:r>
    </w:p>
  </w:footnote>
  <w:footnote w:id="22">
    <w:p w:rsidR="005B04FB" w:rsidRDefault="005B04FB">
      <w:pPr>
        <w:pStyle w:val="FootnoteText"/>
      </w:pPr>
      <w:r>
        <w:rPr>
          <w:rStyle w:val="FootnoteReference"/>
        </w:rPr>
        <w:footnoteRef/>
      </w:r>
      <w:r>
        <w:t xml:space="preserve"> </w:t>
      </w:r>
      <w:r w:rsidRPr="0045282B">
        <w:t>In preparation for the present meeting, the Secretariat considered updating the model presented at the 87</w:t>
      </w:r>
      <w:r w:rsidRPr="00DE3F14">
        <w:rPr>
          <w:vertAlign w:val="superscript"/>
        </w:rPr>
        <w:t>th</w:t>
      </w:r>
      <w:r>
        <w:t> </w:t>
      </w:r>
      <w:r w:rsidRPr="0045282B">
        <w:t>meeting using 2020 data. However, it was noted that: the number of Article 5 countries that reported HFC data for 2020 was lower that those that reported in 2019; other Article 5 countries that did not report HFC data in 2019 reported in 2020; in many cases the level of consumption in 2020 was lower than in 2019 (possibly due to the impact of COVID</w:t>
      </w:r>
      <w:r>
        <w:noBreakHyphen/>
      </w:r>
      <w:r w:rsidRPr="0045282B">
        <w:t>19 pandemic); a few countries the reported consumption in 2020 was substantially higher than in 2019. Under these circumstances, and for the purpose of the present document, the Secretariat considered prudent not to update the model with date reported for 2020.</w:t>
      </w:r>
    </w:p>
  </w:footnote>
  <w:footnote w:id="23">
    <w:p w:rsidR="005B04FB" w:rsidRPr="008424A6" w:rsidRDefault="005B04FB" w:rsidP="005B04FB">
      <w:pPr>
        <w:pStyle w:val="FootnoteText"/>
      </w:pPr>
      <w:r>
        <w:rPr>
          <w:rStyle w:val="FootnoteReference"/>
        </w:rPr>
        <w:footnoteRef/>
      </w:r>
      <w:r>
        <w:t xml:space="preserve"> As explained in document UNEP/OzL.Pro/ExCom/84/65, i</w:t>
      </w:r>
      <w:r w:rsidRPr="008424A6">
        <w:t>n line with the implementation modalities under the Multilateral Fund, for the purposes of this document, “parallel” implementation refers to HFC phase</w:t>
      </w:r>
      <w:r>
        <w:noBreakHyphen/>
      </w:r>
      <w:r w:rsidRPr="008424A6">
        <w:t>down activities that will have to be implemented simultaneously with ongoing HCFC phase-out activities with separate actions and sometimes with different stakeholders. On the other hand, “integrated” implementation refers to the HFC phase</w:t>
      </w:r>
      <w:r>
        <w:noBreakHyphen/>
      </w:r>
      <w:r w:rsidRPr="008424A6">
        <w:t>down activities that can be incorporated into ongoing or planned HCFC phase-out activities, sharing specific actions and with common stakeholders.</w:t>
      </w:r>
    </w:p>
  </w:footnote>
  <w:footnote w:id="24">
    <w:p w:rsidR="005B04FB" w:rsidRPr="00BB4BBE" w:rsidRDefault="005B04FB" w:rsidP="005B04FB">
      <w:pPr>
        <w:pStyle w:val="FootnoteText"/>
      </w:pPr>
      <w:r>
        <w:rPr>
          <w:rStyle w:val="FootnoteReference"/>
        </w:rPr>
        <w:footnoteRef/>
      </w:r>
      <w:r>
        <w:t xml:space="preserve"> Excluding Croatia, which became a non-Article 5 country in 2014.</w:t>
      </w:r>
    </w:p>
  </w:footnote>
  <w:footnote w:id="25">
    <w:p w:rsidR="005B04FB" w:rsidRPr="0069182C" w:rsidRDefault="005B04FB" w:rsidP="005B04FB">
      <w:pPr>
        <w:pStyle w:val="FootnoteText"/>
      </w:pPr>
      <w:r>
        <w:rPr>
          <w:rStyle w:val="FootnoteReference"/>
        </w:rPr>
        <w:footnoteRef/>
      </w:r>
      <w:r>
        <w:t xml:space="preserve"> Table 2 of document UNEP/OzL.Pro/ExCom/82/66</w:t>
      </w:r>
    </w:p>
  </w:footnote>
  <w:footnote w:id="26">
    <w:p w:rsidR="005B04FB" w:rsidRPr="00481D21" w:rsidRDefault="005B04FB" w:rsidP="005B04FB">
      <w:pPr>
        <w:pStyle w:val="FootnoteText"/>
      </w:pPr>
      <w:r>
        <w:rPr>
          <w:rStyle w:val="FootnoteReference"/>
        </w:rPr>
        <w:footnoteRef/>
      </w:r>
      <w:r>
        <w:t xml:space="preserve"> Paragraph 4 of decision XXVI/9 requested the Executive Committee to consider providing additional funding to conduct inventories or surveys on alternatives to ODS in interested Article 5 parties upon their request. On this basis, funding for 127 surveys was approved. At the 80</w:t>
      </w:r>
      <w:r w:rsidRPr="00EE70F9">
        <w:rPr>
          <w:vertAlign w:val="superscript"/>
        </w:rPr>
        <w:t>th</w:t>
      </w:r>
      <w:r>
        <w:t xml:space="preserve"> meeting, the results from surveys in 119 countries (42 non</w:t>
      </w:r>
      <w:r>
        <w:noBreakHyphen/>
        <w:t>LVC and 77 LVC countries) were presented in document UNEP/OzL.Pro/ExCom/80/</w:t>
      </w:r>
      <w:r w:rsidRPr="00481D21">
        <w:t xml:space="preserve">54. </w:t>
      </w:r>
    </w:p>
  </w:footnote>
  <w:footnote w:id="27">
    <w:p w:rsidR="005B04FB" w:rsidRDefault="005B04FB" w:rsidP="005B04FB">
      <w:pPr>
        <w:pStyle w:val="FootnoteText"/>
      </w:pPr>
      <w:r w:rsidRPr="00481D21">
        <w:rPr>
          <w:rStyle w:val="FootnoteReference"/>
        </w:rPr>
        <w:footnoteRef/>
      </w:r>
      <w:r w:rsidRPr="00481D21">
        <w:t xml:space="preserve"> The aggregate HCFC baseline of the 42 non-LVC countries represents 24 per cent of the aggregate baseline of all</w:t>
      </w:r>
      <w:r w:rsidRPr="00224062">
        <w:t xml:space="preserve"> non</w:t>
      </w:r>
      <w:r>
        <w:noBreakHyphen/>
      </w:r>
      <w:r w:rsidRPr="00224062">
        <w:t>LVC countries, while the aggregate HCFC baseline of the 77 LVC countries represents 91 per cent</w:t>
      </w:r>
      <w:r>
        <w:t xml:space="preserve"> of the aggregate baseline of all LVC countries. Surveys were not submitted by the largest consuming countries, including Brazil, China and India.</w:t>
      </w:r>
    </w:p>
  </w:footnote>
  <w:footnote w:id="28">
    <w:p w:rsidR="005B04FB" w:rsidRPr="00773AD9" w:rsidRDefault="005B04FB" w:rsidP="005B04FB">
      <w:pPr>
        <w:pStyle w:val="FootnoteText"/>
      </w:pPr>
      <w:r>
        <w:rPr>
          <w:rStyle w:val="FootnoteReference"/>
        </w:rPr>
        <w:footnoteRef/>
      </w:r>
      <w:r>
        <w:t xml:space="preserve"> </w:t>
      </w:r>
      <w:r w:rsidRPr="00773AD9">
        <w:t xml:space="preserve">Each Party shall, by </w:t>
      </w:r>
      <w:r>
        <w:t>1 January 20</w:t>
      </w:r>
      <w:r w:rsidRPr="00773AD9">
        <w:t xml:space="preserve">19 or within three months of the date of entry into force of this paragraph for it, whichever is later, establish and implement a system for licensing the import and export of new, used, recycled and reclaimed controlled substances in Annex F. Any Party operating under paragraph 1 of </w:t>
      </w:r>
      <w:r>
        <w:t>Article 5</w:t>
      </w:r>
      <w:r w:rsidRPr="00773AD9">
        <w:t xml:space="preserve"> that decides it is not in a position to establish and implement such a system by </w:t>
      </w:r>
      <w:r>
        <w:t>1 January 20</w:t>
      </w:r>
      <w:r w:rsidRPr="00773AD9">
        <w:t xml:space="preserve">19 may delay taking those actions until </w:t>
      </w:r>
      <w:r>
        <w:t>1 January 20</w:t>
      </w:r>
      <w:r w:rsidRPr="00773AD9">
        <w:t>21.</w:t>
      </w:r>
      <w:r>
        <w:t xml:space="preserve"> In addition, Article 5</w:t>
      </w:r>
      <w:r w:rsidRPr="00BF0336">
        <w:t xml:space="preserve"> countries that produce HCFC-22 will have reporting obligations related to the generation, control and emissions of HFC-23 by-product, as well as obligations related to the control of emissions of HFC</w:t>
      </w:r>
      <w:r>
        <w:noBreakHyphen/>
      </w:r>
      <w:r w:rsidRPr="00BF0336">
        <w:t>23 by</w:t>
      </w:r>
      <w:r>
        <w:noBreakHyphen/>
      </w:r>
      <w:r w:rsidRPr="00BF0336">
        <w:t>product</w:t>
      </w:r>
      <w:r>
        <w:t>.</w:t>
      </w:r>
    </w:p>
  </w:footnote>
  <w:footnote w:id="29">
    <w:p w:rsidR="005B04FB" w:rsidRPr="00C2591D" w:rsidRDefault="005B04FB" w:rsidP="005B04FB">
      <w:pPr>
        <w:pStyle w:val="FootnoteText"/>
        <w:rPr>
          <w:lang w:val="en-US"/>
        </w:rPr>
      </w:pPr>
      <w:r>
        <w:rPr>
          <w:rStyle w:val="FootnoteReference"/>
        </w:rPr>
        <w:footnoteRef/>
      </w:r>
      <w:r>
        <w:t xml:space="preserve"> I</w:t>
      </w:r>
      <w:r w:rsidRPr="00C2591D">
        <w:t>n the past, the establishment of HCFC licensing systems after the baseline years in several countries resulted in inaccuracies in the estimation of baselines and starting points for sustained reductions of HCFC consumption that were s</w:t>
      </w:r>
      <w:r>
        <w:t>ubsequently revised.</w:t>
      </w:r>
    </w:p>
  </w:footnote>
  <w:footnote w:id="30">
    <w:p w:rsidR="005B04FB" w:rsidRPr="00DB07F5" w:rsidRDefault="005B04FB" w:rsidP="005B04FB">
      <w:pPr>
        <w:pStyle w:val="FootnoteText"/>
      </w:pPr>
      <w:r w:rsidRPr="00D463BB">
        <w:rPr>
          <w:rStyle w:val="FootnoteReference"/>
        </w:rPr>
        <w:footnoteRef/>
      </w:r>
      <w:r w:rsidRPr="00D463BB">
        <w:t xml:space="preserve"> For the purpose</w:t>
      </w:r>
      <w:r>
        <w:t xml:space="preserve"> of the analysis,</w:t>
      </w:r>
      <w:r w:rsidRPr="00D463BB">
        <w:t xml:space="preserve"> it was assumed that the first control measure for all countries in the model is 2024, even though there are few group 2 countries. In developing the model, the Secretariat also noted that the HFC consumption reported by several countries, in particular LVC countries, was proportionally higher than their HCFC consumption.</w:t>
      </w:r>
    </w:p>
  </w:footnote>
  <w:footnote w:id="31">
    <w:p w:rsidR="005B04FB" w:rsidRPr="007B0F6B" w:rsidRDefault="005B04FB" w:rsidP="005B04FB">
      <w:pPr>
        <w:pStyle w:val="FootnoteText"/>
      </w:pPr>
      <w:r>
        <w:rPr>
          <w:rStyle w:val="FootnoteReference"/>
        </w:rPr>
        <w:footnoteRef/>
      </w:r>
      <w:r>
        <w:t xml:space="preserve"> T</w:t>
      </w:r>
      <w:r w:rsidRPr="007B0F6B">
        <w:t>he majority of the stand-alone investment projects approved pursuant to decision 78/3(g) have involved domestic and commercial</w:t>
      </w:r>
      <w:r>
        <w:t xml:space="preserve"> stand-alone refrigeration equipment.</w:t>
      </w:r>
    </w:p>
  </w:footnote>
  <w:footnote w:id="32">
    <w:p w:rsidR="005B04FB" w:rsidRPr="00CC6EA2" w:rsidRDefault="005B04FB" w:rsidP="005B04FB">
      <w:pPr>
        <w:pStyle w:val="FootnoteText"/>
        <w:rPr>
          <w:lang w:val="en-US"/>
        </w:rPr>
      </w:pPr>
      <w:r>
        <w:rPr>
          <w:rStyle w:val="FootnoteReference"/>
        </w:rPr>
        <w:footnoteRef/>
      </w:r>
      <w:r>
        <w:t xml:space="preserve"> I</w:t>
      </w:r>
      <w:r w:rsidRPr="00CC6EA2">
        <w:t>.e., c</w:t>
      </w:r>
      <w:r>
        <w:t>apacity installed after the cut-</w:t>
      </w:r>
      <w:r w:rsidRPr="00CC6EA2">
        <w:t>off date or new HFC consumption by enterprises assisted to replace HCFC-141b by low-GWP alternatives</w:t>
      </w:r>
      <w:r>
        <w:t>.</w:t>
      </w:r>
    </w:p>
  </w:footnote>
  <w:footnote w:id="33">
    <w:p w:rsidR="005B04FB" w:rsidRPr="00272234" w:rsidRDefault="005B04FB" w:rsidP="005B04FB">
      <w:pPr>
        <w:pStyle w:val="FootnoteText"/>
      </w:pPr>
      <w:r>
        <w:rPr>
          <w:rStyle w:val="FootnoteReference"/>
        </w:rPr>
        <w:footnoteRef/>
      </w:r>
      <w:r>
        <w:t xml:space="preserve"> Decisions 61/47 and 63/15.</w:t>
      </w:r>
    </w:p>
  </w:footnote>
  <w:footnote w:id="34">
    <w:p w:rsidR="005B04FB" w:rsidRPr="00287574" w:rsidRDefault="005B04FB" w:rsidP="005B04FB">
      <w:pPr>
        <w:pStyle w:val="FootnoteText"/>
        <w:rPr>
          <w:lang w:val="en-US"/>
        </w:rPr>
      </w:pPr>
      <w:r>
        <w:rPr>
          <w:rStyle w:val="FootnoteReference"/>
        </w:rPr>
        <w:footnoteRef/>
      </w:r>
      <w:r>
        <w:t xml:space="preserve"> </w:t>
      </w:r>
      <w:r>
        <w:rPr>
          <w:lang w:val="en-US"/>
        </w:rPr>
        <w:t>This application, also referred to as room AC, comprises the manufacturing of mostly split AC units with a capacity of up to three tons of refrigeration (TR).</w:t>
      </w:r>
    </w:p>
  </w:footnote>
  <w:footnote w:id="35">
    <w:p w:rsidR="005B04FB" w:rsidRPr="00C96663" w:rsidRDefault="005B04FB" w:rsidP="005B04FB">
      <w:pPr>
        <w:pStyle w:val="FootnoteText"/>
      </w:pPr>
      <w:r>
        <w:rPr>
          <w:rStyle w:val="FootnoteReference"/>
        </w:rPr>
        <w:footnoteRef/>
      </w:r>
      <w:r>
        <w:t xml:space="preserve"> The 2019 country programme report for China indicates the use of 1,656 </w:t>
      </w:r>
      <w:proofErr w:type="spellStart"/>
      <w:r>
        <w:t>mt</w:t>
      </w:r>
      <w:proofErr w:type="spellEnd"/>
      <w:r>
        <w:t xml:space="preserve"> of HCFC-22 and 580 </w:t>
      </w:r>
      <w:proofErr w:type="spellStart"/>
      <w:r>
        <w:t>mt</w:t>
      </w:r>
      <w:proofErr w:type="spellEnd"/>
      <w:r>
        <w:t xml:space="preserve"> of HCFC</w:t>
      </w:r>
      <w:r>
        <w:noBreakHyphen/>
        <w:t>141b in the aerosol sector. This sector has not been addressed in stage I or II of the HPMP.</w:t>
      </w:r>
    </w:p>
  </w:footnote>
  <w:footnote w:id="36">
    <w:p w:rsidR="005B04FB" w:rsidRPr="006C5EE4" w:rsidRDefault="005B04FB" w:rsidP="005B04FB">
      <w:pPr>
        <w:pStyle w:val="FootnoteText"/>
      </w:pPr>
      <w:r>
        <w:rPr>
          <w:rStyle w:val="FootnoteReference"/>
        </w:rPr>
        <w:footnoteRef/>
      </w:r>
      <w:r>
        <w:t xml:space="preserve"> </w:t>
      </w:r>
      <w:r w:rsidRPr="006C5EE4">
        <w:t>These activities include training and certification of technicians, strengthening technical/vocational schools and refrigeration associations, refrigerant containment strategies, the distribution of basic equipment and service tools including recovery/recycling units, and the adoption of standards and codes of practice to facilitate the safe adoption of flammable and/or toxic low-GWP refrigerants.</w:t>
      </w:r>
    </w:p>
  </w:footnote>
  <w:footnote w:id="37">
    <w:p w:rsidR="005B04FB" w:rsidRPr="005C5637" w:rsidRDefault="005B04FB" w:rsidP="005B04FB">
      <w:pPr>
        <w:pStyle w:val="FootnoteText"/>
        <w:rPr>
          <w:lang w:val="en-US"/>
        </w:rPr>
      </w:pPr>
      <w:r>
        <w:rPr>
          <w:rStyle w:val="FootnoteReference"/>
        </w:rPr>
        <w:footnoteRef/>
      </w:r>
      <w:r>
        <w:t xml:space="preserve"> P</w:t>
      </w:r>
      <w:proofErr w:type="spellStart"/>
      <w:r>
        <w:rPr>
          <w:lang w:val="en-US"/>
        </w:rPr>
        <w:t>aragraph</w:t>
      </w:r>
      <w:proofErr w:type="spellEnd"/>
      <w:r>
        <w:rPr>
          <w:lang w:val="en-US"/>
        </w:rPr>
        <w:t xml:space="preserve"> 92 of document UNEP/OzL.Pro/ExCom/82/64</w:t>
      </w:r>
    </w:p>
  </w:footnote>
  <w:footnote w:id="38">
    <w:p w:rsidR="005B04FB" w:rsidRPr="00AA4BFF" w:rsidRDefault="005B04FB" w:rsidP="005B04FB">
      <w:pPr>
        <w:pStyle w:val="FootnoteText"/>
        <w:rPr>
          <w:lang w:val="en-US"/>
        </w:rPr>
      </w:pPr>
      <w:r>
        <w:rPr>
          <w:rStyle w:val="FootnoteReference"/>
        </w:rPr>
        <w:footnoteRef/>
      </w:r>
      <w:r>
        <w:t xml:space="preserve"> </w:t>
      </w:r>
      <w:r w:rsidRPr="00AA4BFF">
        <w:t>Currently, implementation and monitoring of overlapping stages I and II of HPMPs has proven challenging in several countries; adding HFC phase down plans will increase the administrative burden even though in many countries most of the activities in these plans are in the same sector (i.e., refrigeration ser</w:t>
      </w:r>
      <w:r>
        <w:t>vicing sector in LVC countries.</w:t>
      </w:r>
    </w:p>
  </w:footnote>
  <w:footnote w:id="39">
    <w:p w:rsidR="005B04FB" w:rsidRPr="00534E96" w:rsidRDefault="005B04FB" w:rsidP="005B04FB">
      <w:pPr>
        <w:pStyle w:val="FootnoteText"/>
      </w:pPr>
      <w:r>
        <w:rPr>
          <w:rStyle w:val="FootnoteReference"/>
        </w:rPr>
        <w:footnoteRef/>
      </w:r>
      <w:r>
        <w:t xml:space="preserve"> </w:t>
      </w:r>
      <w:r w:rsidRPr="00534E96">
        <w:t>Most LVC countries have implemented stage I of their HPMP up to 2020 and are submitting stage II proposals in many cases for total HCFC phase-out by 2030</w:t>
      </w:r>
      <w:r>
        <w:t>; m</w:t>
      </w:r>
      <w:r w:rsidRPr="00534E96">
        <w:t>any non-LVC countries have implemented stage II of their HPMPs up to the 2020-2023 period and have started to submit their stage III proposals, some of them for total HCFC phase</w:t>
      </w:r>
      <w:r>
        <w:noBreakHyphen/>
      </w:r>
      <w:r w:rsidRPr="00534E96">
        <w:t>out in 2030.</w:t>
      </w:r>
    </w:p>
  </w:footnote>
  <w:footnote w:id="40">
    <w:p w:rsidR="005B04FB" w:rsidRPr="008A1E90" w:rsidRDefault="005B04FB" w:rsidP="005B04FB">
      <w:pPr>
        <w:pStyle w:val="FootnoteText"/>
        <w:rPr>
          <w:lang w:val="en-US"/>
        </w:rPr>
      </w:pPr>
      <w:r>
        <w:rPr>
          <w:rStyle w:val="FootnoteReference"/>
        </w:rPr>
        <w:footnoteRef/>
      </w:r>
      <w:r>
        <w:t xml:space="preserve"> In line with paragraph 8 </w:t>
      </w:r>
      <w:proofErr w:type="spellStart"/>
      <w:r>
        <w:t>ter</w:t>
      </w:r>
      <w:proofErr w:type="spellEnd"/>
      <w:r>
        <w:t>(e)(</w:t>
      </w:r>
      <w:proofErr w:type="spellStart"/>
      <w:r>
        <w:t>i</w:t>
      </w:r>
      <w:proofErr w:type="spellEnd"/>
      <w:r>
        <w:t xml:space="preserve">) of the Montreal Protocol, Article 5 countries </w:t>
      </w:r>
      <w:r w:rsidRPr="00C60276">
        <w:rPr>
          <w:lang w:val="en-US"/>
        </w:rPr>
        <w:t xml:space="preserve">may exceed </w:t>
      </w:r>
      <w:r>
        <w:rPr>
          <w:lang w:val="en-US"/>
        </w:rPr>
        <w:t xml:space="preserve">zero </w:t>
      </w:r>
      <w:r w:rsidRPr="00C60276">
        <w:rPr>
          <w:lang w:val="en-US"/>
        </w:rPr>
        <w:t>consumption in any twelve‑month period from 1 January 2030 to 1 January 2040</w:t>
      </w:r>
      <w:r>
        <w:rPr>
          <w:lang w:val="en-US"/>
        </w:rPr>
        <w:t xml:space="preserve"> </w:t>
      </w:r>
      <w:r w:rsidRPr="00C60276">
        <w:rPr>
          <w:lang w:val="en-US"/>
        </w:rPr>
        <w:t>so long as the sum of its calculated levels of consumption over the ten-year period, divided by ten, does not exceed two point five per cent of the average of its calculated levels of consumption in 2009 and 2010, and provided that such consumption shall be restricted to: the servicing of refrigeration and air-conditioning equipment existing on 1 January 2030; the servicing of fire suppression and fire protection equipment existing on 1 January 2030; solvent applications in rocket engine manufacturing; and topical medical aerosol applications for the specialized treatment of burns</w:t>
      </w:r>
      <w:r>
        <w:rPr>
          <w:lang w:val="en-US"/>
        </w:rPr>
        <w:t>.</w:t>
      </w:r>
    </w:p>
  </w:footnote>
  <w:footnote w:id="41">
    <w:p w:rsidR="005B04FB" w:rsidRPr="00653AB7" w:rsidRDefault="005B04FB" w:rsidP="005B04FB">
      <w:pPr>
        <w:pStyle w:val="FootnoteText"/>
      </w:pPr>
      <w:r>
        <w:rPr>
          <w:rStyle w:val="FootnoteReference"/>
        </w:rPr>
        <w:footnoteRef/>
      </w:r>
      <w:r>
        <w:t xml:space="preserve"> UNEP/OzL.Pro/ExCom/3/18/Rev.1, Annex III, Section II.1.1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r>
      <w:fldChar w:fldCharType="begin"/>
    </w:r>
    <w:r>
      <w:instrText xml:space="preserve"> DOCPROPERTY "Document number"  \* MERGEFORMAT </w:instrText>
    </w:r>
    <w:r>
      <w:fldChar w:fldCharType="separate"/>
    </w:r>
    <w:r w:rsidR="009F18B9">
      <w:t>UNEP/</w:t>
    </w:r>
    <w:proofErr w:type="spellStart"/>
    <w:r w:rsidR="009F18B9">
      <w:t>OzL.Pro</w:t>
    </w:r>
    <w:proofErr w:type="spellEnd"/>
    <w:r w:rsidR="009F18B9">
      <w:t>/</w:t>
    </w:r>
    <w:proofErr w:type="spellStart"/>
    <w:r w:rsidR="009F18B9">
      <w:t>ExCom</w:t>
    </w:r>
    <w:proofErr w:type="spellEnd"/>
    <w:r w:rsidR="009F18B9">
      <w:t>/89/7</w:t>
    </w:r>
    <w:r>
      <w:fldChar w:fldCharType="end"/>
    </w:r>
  </w:p>
  <w:p w:rsidR="005B04FB" w:rsidRPr="0033525D" w:rsidRDefault="005B04FB"/>
  <w:p w:rsidR="005B04FB" w:rsidRPr="0033525D" w:rsidRDefault="005B04FB"/>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pPr>
      <w:jc w:val="right"/>
    </w:pPr>
    <w:r>
      <w:fldChar w:fldCharType="begin"/>
    </w:r>
    <w:r>
      <w:instrText xml:space="preserve"> DOCPROPERTY "Document number"  \* MERGEFORMAT </w:instrText>
    </w:r>
    <w:r>
      <w:fldChar w:fldCharType="separate"/>
    </w:r>
    <w:r w:rsidR="009F18B9">
      <w:t>UNEP/</w:t>
    </w:r>
    <w:proofErr w:type="spellStart"/>
    <w:r w:rsidR="009F18B9">
      <w:t>OzL.Pro</w:t>
    </w:r>
    <w:proofErr w:type="spellEnd"/>
    <w:r w:rsidR="009F18B9">
      <w:t>/</w:t>
    </w:r>
    <w:proofErr w:type="spellStart"/>
    <w:r w:rsidR="009F18B9">
      <w:t>ExCom</w:t>
    </w:r>
    <w:proofErr w:type="spellEnd"/>
    <w:r w:rsidR="009F18B9">
      <w:t>/89/7</w:t>
    </w:r>
    <w:r>
      <w:fldChar w:fldCharType="end"/>
    </w:r>
  </w:p>
  <w:p w:rsidR="005B04FB" w:rsidRPr="0033525D" w:rsidRDefault="005B04FB" w:rsidP="005B04FB">
    <w:pPr>
      <w:jc w:val="right"/>
    </w:pPr>
  </w:p>
  <w:p w:rsidR="005B04FB" w:rsidRPr="0033525D" w:rsidRDefault="005B04FB" w:rsidP="005B04FB">
    <w:pPr>
      <w:pStyle w:val="Header"/>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r>
      <w:t>UNEP/</w:t>
    </w:r>
    <w:proofErr w:type="spellStart"/>
    <w:r>
      <w:t>OzL.Pro</w:t>
    </w:r>
    <w:proofErr w:type="spellEnd"/>
    <w:r>
      <w:t>/</w:t>
    </w:r>
    <w:proofErr w:type="spellStart"/>
    <w:r>
      <w:t>ExCom</w:t>
    </w:r>
    <w:proofErr w:type="spellEnd"/>
    <w:r>
      <w:t>/88/71</w:t>
    </w:r>
  </w:p>
  <w:p w:rsidR="005B04FB" w:rsidRDefault="005B04FB"/>
  <w:p w:rsidR="005B04FB" w:rsidRPr="0033525D" w:rsidRDefault="005B04FB"/>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rsidP="005B04FB">
    <w:pPr>
      <w:jc w:val="right"/>
    </w:pPr>
    <w:r>
      <w:t>UNEP/</w:t>
    </w:r>
    <w:proofErr w:type="spellStart"/>
    <w:r>
      <w:t>OzL.Pro</w:t>
    </w:r>
    <w:proofErr w:type="spellEnd"/>
    <w:r>
      <w:t>/</w:t>
    </w:r>
    <w:proofErr w:type="spellStart"/>
    <w:r>
      <w:t>ExCom</w:t>
    </w:r>
    <w:proofErr w:type="spellEnd"/>
    <w:r>
      <w:t>/88/71</w:t>
    </w:r>
  </w:p>
  <w:p w:rsidR="005B04FB" w:rsidRDefault="005B04FB" w:rsidP="005B04FB">
    <w:pPr>
      <w:pStyle w:val="Header"/>
      <w:jc w:val="right"/>
    </w:pPr>
  </w:p>
  <w:p w:rsidR="005B04FB" w:rsidRPr="0033525D" w:rsidRDefault="005B04FB" w:rsidP="005B04FB">
    <w:pPr>
      <w:pStyle w:val="Header"/>
      <w:jc w:val="right"/>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BA11CC" w:rsidRDefault="005B04FB" w:rsidP="00BA11CC">
    <w:pPr>
      <w:pStyle w:val="Header"/>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r>
      <w:t>UNEP/</w:t>
    </w:r>
    <w:proofErr w:type="spellStart"/>
    <w:r>
      <w:t>OzL.Pro</w:t>
    </w:r>
    <w:proofErr w:type="spellEnd"/>
    <w:r>
      <w:t>/</w:t>
    </w:r>
    <w:proofErr w:type="spellStart"/>
    <w:r>
      <w:t>ExCom</w:t>
    </w:r>
    <w:proofErr w:type="spellEnd"/>
    <w:r>
      <w:t>/88/71</w:t>
    </w:r>
  </w:p>
  <w:p w:rsidR="005B04FB" w:rsidRPr="0033525D" w:rsidRDefault="005B04FB">
    <w:r>
      <w:t>Annex I</w:t>
    </w:r>
  </w:p>
  <w:p w:rsidR="005B04FB" w:rsidRPr="0033525D" w:rsidRDefault="005B04FB"/>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pPr>
      <w:jc w:val="right"/>
    </w:pPr>
    <w:r>
      <w:t>UNEP/</w:t>
    </w:r>
    <w:proofErr w:type="spellStart"/>
    <w:r>
      <w:t>OzL.Pro</w:t>
    </w:r>
    <w:proofErr w:type="spellEnd"/>
    <w:r>
      <w:t>/</w:t>
    </w:r>
    <w:proofErr w:type="spellStart"/>
    <w:r>
      <w:t>ExCom</w:t>
    </w:r>
    <w:proofErr w:type="spellEnd"/>
    <w:r>
      <w:t>/88/71</w:t>
    </w:r>
  </w:p>
  <w:p w:rsidR="005B04FB" w:rsidRPr="0033525D" w:rsidRDefault="005B04FB">
    <w:pPr>
      <w:jc w:val="right"/>
    </w:pPr>
    <w:r>
      <w:t>Annex I</w:t>
    </w:r>
  </w:p>
  <w:p w:rsidR="005B04FB" w:rsidRPr="0033525D" w:rsidRDefault="005B04FB" w:rsidP="005B04FB">
    <w:pPr>
      <w:pStyle w:val="Header"/>
      <w:jc w:val="right"/>
    </w:pPr>
  </w:p>
</w:hdr>
</file>

<file path=word/header8.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rsidP="005B04FB">
    <w:pPr>
      <w:pStyle w:val="Header"/>
      <w:jc w:val="right"/>
    </w:pPr>
    <w:r>
      <w:t>UNEP/OzL.Pro/ExCom/86/87</w:t>
    </w:r>
  </w:p>
  <w:p w:rsidR="005B04FB" w:rsidRDefault="005B04FB" w:rsidP="005B04FB">
    <w:pPr>
      <w:pStyle w:val="Header"/>
      <w:jc w:val="right"/>
    </w:pPr>
    <w:r>
      <w:t>Annex I</w:t>
    </w:r>
  </w:p>
  <w:p w:rsidR="005B04FB" w:rsidRDefault="005B04FB" w:rsidP="005B04FB">
    <w:pPr>
      <w:pStyle w:val="Header"/>
      <w:jc w:val="right"/>
    </w:pPr>
  </w:p>
</w:hdr>
</file>

<file path=word/header9.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r>
      <w:t>UNEP/</w:t>
    </w:r>
    <w:proofErr w:type="spellStart"/>
    <w:r>
      <w:t>OzL.Pro</w:t>
    </w:r>
    <w:proofErr w:type="spellEnd"/>
    <w:r>
      <w:t>/</w:t>
    </w:r>
    <w:proofErr w:type="spellStart"/>
    <w:r>
      <w:t>ExCom</w:t>
    </w:r>
    <w:proofErr w:type="spellEnd"/>
    <w:r>
      <w:t>/88/71</w:t>
    </w:r>
  </w:p>
  <w:p w:rsidR="005B04FB" w:rsidRPr="0033525D" w:rsidRDefault="005B04FB">
    <w:r>
      <w:t>Annex II</w:t>
    </w:r>
  </w:p>
  <w:p w:rsidR="005B04FB" w:rsidRPr="0033525D" w:rsidRDefault="005B04FB"/>
</w:hdr>
</file>

<file path=word/header10.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pPr>
      <w:jc w:val="right"/>
    </w:pPr>
    <w:r>
      <w:t>UNEP/</w:t>
    </w:r>
    <w:proofErr w:type="spellStart"/>
    <w:r>
      <w:t>OzL.Pro</w:t>
    </w:r>
    <w:proofErr w:type="spellEnd"/>
    <w:r>
      <w:t>/</w:t>
    </w:r>
    <w:proofErr w:type="spellStart"/>
    <w:r>
      <w:t>ExCom</w:t>
    </w:r>
    <w:proofErr w:type="spellEnd"/>
    <w:r>
      <w:t>/88/71</w:t>
    </w:r>
  </w:p>
  <w:p w:rsidR="005B04FB" w:rsidRPr="0033525D" w:rsidRDefault="005B04FB">
    <w:pPr>
      <w:jc w:val="right"/>
    </w:pPr>
    <w:r>
      <w:t>Annex II</w:t>
    </w:r>
  </w:p>
  <w:p w:rsidR="005B04FB" w:rsidRPr="0033525D" w:rsidRDefault="005B04FB" w:rsidP="005B04FB">
    <w:pPr>
      <w:pStyle w:val="Header"/>
      <w:jc w:val="right"/>
    </w:pPr>
  </w:p>
</w:hdr>
</file>

<file path=word/header1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rsidP="005B04FB">
    <w:pPr>
      <w:pStyle w:val="Header"/>
      <w:jc w:val="right"/>
    </w:pPr>
    <w:r>
      <w:t>UNEP/OzL.Pro/ExCom/88/71</w:t>
    </w:r>
  </w:p>
  <w:p w:rsidR="005B04FB" w:rsidRDefault="005B04FB" w:rsidP="005B04FB">
    <w:pPr>
      <w:pStyle w:val="Header"/>
      <w:jc w:val="right"/>
    </w:pPr>
    <w:r>
      <w:t>Annex III</w:t>
    </w:r>
  </w:p>
  <w:p w:rsidR="005B04FB" w:rsidRDefault="005B04FB" w:rsidP="005B04FB">
    <w:pPr>
      <w:pStyle w:val="Header"/>
      <w:jc w:val="right"/>
    </w:pPr>
  </w:p>
</w:hdr>
</file>

<file path=word/header1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Pr="0033525D" w:rsidRDefault="005B04FB">
    <w:r>
      <w:t>UNEP/</w:t>
    </w:r>
    <w:proofErr w:type="spellStart"/>
    <w:r>
      <w:t>OzL.Pro</w:t>
    </w:r>
    <w:proofErr w:type="spellEnd"/>
    <w:r>
      <w:t>/</w:t>
    </w:r>
    <w:proofErr w:type="spellStart"/>
    <w:r>
      <w:t>ExCom</w:t>
    </w:r>
    <w:proofErr w:type="spellEnd"/>
    <w:r>
      <w:t>/88/71</w:t>
    </w:r>
  </w:p>
  <w:p w:rsidR="005B04FB" w:rsidRPr="0033525D" w:rsidRDefault="005B04FB">
    <w:r>
      <w:t>Annex III</w:t>
    </w:r>
  </w:p>
  <w:p w:rsidR="005B04FB" w:rsidRPr="0033525D" w:rsidRDefault="005B04FB"/>
</w:hdr>
</file>

<file path=word/header1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pPr>
      <w:jc w:val="right"/>
    </w:pPr>
    <w:r>
      <w:t>UNEP/</w:t>
    </w:r>
    <w:proofErr w:type="spellStart"/>
    <w:r>
      <w:t>OzL.Pro</w:t>
    </w:r>
    <w:proofErr w:type="spellEnd"/>
    <w:r>
      <w:t>/</w:t>
    </w:r>
    <w:proofErr w:type="spellStart"/>
    <w:r>
      <w:t>ExCom</w:t>
    </w:r>
    <w:proofErr w:type="spellEnd"/>
    <w:r>
      <w:t>/88/71</w:t>
    </w:r>
  </w:p>
  <w:p w:rsidR="005B04FB" w:rsidRPr="0033525D" w:rsidRDefault="005B04FB">
    <w:pPr>
      <w:jc w:val="right"/>
    </w:pPr>
    <w:r>
      <w:t>Annex III</w:t>
    </w:r>
  </w:p>
  <w:p w:rsidR="005B04FB" w:rsidRPr="0033525D" w:rsidRDefault="005B04FB" w:rsidP="005B04FB">
    <w:pPr>
      <w:jc w:val="right"/>
    </w:pPr>
  </w:p>
</w:hdr>
</file>

<file path=word/header1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rsidP="005B04FB">
    <w:pPr>
      <w:pStyle w:val="Header"/>
      <w:jc w:val="right"/>
    </w:pPr>
    <w:r>
      <w:t>UNEP/OzL.Pro/ExCom/88/71</w:t>
    </w:r>
  </w:p>
  <w:p w:rsidR="005B04FB" w:rsidRDefault="005B04FB" w:rsidP="005B04FB">
    <w:pPr>
      <w:pStyle w:val="Header"/>
      <w:jc w:val="right"/>
    </w:pPr>
    <w:r>
      <w:t>Annex III</w:t>
    </w:r>
  </w:p>
  <w:p w:rsidR="005B04FB" w:rsidRDefault="005B04FB" w:rsidP="005B04FB">
    <w:pPr>
      <w:pStyle w:val="Header"/>
      <w:jc w:val="right"/>
    </w:pPr>
  </w:p>
</w:hdr>
</file>

<file path=word/header1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8EC" w:rsidRPr="0033525D" w:rsidRDefault="009578EC">
    <w:r>
      <w:t>UNEP/</w:t>
    </w:r>
    <w:proofErr w:type="spellStart"/>
    <w:r>
      <w:t>OzL.Pro</w:t>
    </w:r>
    <w:proofErr w:type="spellEnd"/>
    <w:r>
      <w:t>/</w:t>
    </w:r>
    <w:proofErr w:type="spellStart"/>
    <w:r>
      <w:t>ExCom</w:t>
    </w:r>
    <w:proofErr w:type="spellEnd"/>
    <w:r>
      <w:t>/88/71</w:t>
    </w:r>
  </w:p>
  <w:p w:rsidR="005B04FB" w:rsidRPr="0033525D" w:rsidRDefault="005B04FB">
    <w:r>
      <w:t>Annex IV</w:t>
    </w:r>
  </w:p>
  <w:p w:rsidR="005B04FB" w:rsidRPr="0033525D" w:rsidRDefault="005B04FB"/>
</w:hdr>
</file>

<file path=word/header1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578EC" w:rsidRPr="0033525D" w:rsidRDefault="009578EC">
    <w:pPr>
      <w:jc w:val="right"/>
    </w:pPr>
    <w:r>
      <w:t>UNEP/</w:t>
    </w:r>
    <w:proofErr w:type="spellStart"/>
    <w:r>
      <w:t>OzL.Pro</w:t>
    </w:r>
    <w:proofErr w:type="spellEnd"/>
    <w:r>
      <w:t>/</w:t>
    </w:r>
    <w:proofErr w:type="spellStart"/>
    <w:r>
      <w:t>ExCom</w:t>
    </w:r>
    <w:proofErr w:type="spellEnd"/>
    <w:r>
      <w:t>/88/71</w:t>
    </w:r>
  </w:p>
  <w:p w:rsidR="005B04FB" w:rsidRPr="0033525D" w:rsidRDefault="005B04FB" w:rsidP="00FF6C2E">
    <w:pPr>
      <w:jc w:val="right"/>
    </w:pPr>
    <w:r>
      <w:t>Annex IV</w:t>
    </w:r>
  </w:p>
  <w:p w:rsidR="005B04FB" w:rsidRPr="0033525D" w:rsidRDefault="005B04FB" w:rsidP="00FF6C2E">
    <w:pPr>
      <w:pStyle w:val="Header"/>
      <w:jc w:val="right"/>
    </w:pPr>
  </w:p>
</w:hdr>
</file>

<file path=word/header1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04FB" w:rsidRDefault="005B04FB" w:rsidP="005B04FB">
    <w:pPr>
      <w:pStyle w:val="Header"/>
      <w:jc w:val="right"/>
    </w:pPr>
    <w:r>
      <w:t>UNEP/OzL.Pro/ExCom/88/71</w:t>
    </w:r>
  </w:p>
  <w:p w:rsidR="005B04FB" w:rsidRDefault="005B04FB" w:rsidP="005B04FB">
    <w:pPr>
      <w:pStyle w:val="Header"/>
      <w:jc w:val="right"/>
    </w:pPr>
    <w:r>
      <w:t>Annex IV</w:t>
    </w:r>
  </w:p>
  <w:p w:rsidR="005B04FB" w:rsidRDefault="005B04FB" w:rsidP="005B04FB">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48A8DE2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BD4F0B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B747D3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566A76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75A9A7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35477F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78A7C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D5C792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79433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A4226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171A7D92"/>
    <w:lvl w:ilvl="0">
      <w:start w:val="1"/>
      <w:numFmt w:val="decimal"/>
      <w:pStyle w:val="Heading1"/>
      <w:lvlText w:val="%1."/>
      <w:lvlJc w:val="left"/>
      <w:pPr>
        <w:tabs>
          <w:tab w:val="num" w:pos="0"/>
        </w:tabs>
        <w:ind w:left="0" w:firstLine="0"/>
      </w:pPr>
      <w:rPr>
        <w:b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417906"/>
    <w:multiLevelType w:val="hybridMultilevel"/>
    <w:tmpl w:val="67DCE3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A592740"/>
    <w:multiLevelType w:val="hybridMultilevel"/>
    <w:tmpl w:val="151426FC"/>
    <w:lvl w:ilvl="0" w:tplc="EB384E7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0E131C82"/>
    <w:multiLevelType w:val="hybridMultilevel"/>
    <w:tmpl w:val="6D5845E6"/>
    <w:lvl w:ilvl="0" w:tplc="229AF4D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28109A0"/>
    <w:multiLevelType w:val="hybridMultilevel"/>
    <w:tmpl w:val="2AEC2232"/>
    <w:lvl w:ilvl="0" w:tplc="BE50B41C">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5422693"/>
    <w:multiLevelType w:val="hybridMultilevel"/>
    <w:tmpl w:val="1BB40F0E"/>
    <w:lvl w:ilvl="0" w:tplc="E13ECB7E">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2BAB7BEB"/>
    <w:multiLevelType w:val="hybridMultilevel"/>
    <w:tmpl w:val="9510EB1E"/>
    <w:lvl w:ilvl="0" w:tplc="1009000F">
      <w:start w:val="12"/>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2FF91B0D"/>
    <w:multiLevelType w:val="hybridMultilevel"/>
    <w:tmpl w:val="2618D7B0"/>
    <w:lvl w:ilvl="0" w:tplc="5336BCE4">
      <w:start w:val="2022"/>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0E4D7E"/>
    <w:multiLevelType w:val="hybridMultilevel"/>
    <w:tmpl w:val="203ABBB8"/>
    <w:lvl w:ilvl="0" w:tplc="D8E20CFC">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1" w15:restartNumberingAfterBreak="0">
    <w:nsid w:val="3A760553"/>
    <w:multiLevelType w:val="hybridMultilevel"/>
    <w:tmpl w:val="D0DE63C8"/>
    <w:lvl w:ilvl="0" w:tplc="852EDF44">
      <w:start w:val="18"/>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3CA36786"/>
    <w:multiLevelType w:val="hybridMultilevel"/>
    <w:tmpl w:val="1BB0B04A"/>
    <w:lvl w:ilvl="0" w:tplc="236410D4">
      <w:start w:val="1"/>
      <w:numFmt w:val="upperRoman"/>
      <w:lvlText w:val="%1."/>
      <w:lvlJc w:val="left"/>
      <w:pPr>
        <w:ind w:left="28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1D93B8E"/>
    <w:multiLevelType w:val="hybridMultilevel"/>
    <w:tmpl w:val="0E10C748"/>
    <w:lvl w:ilvl="0" w:tplc="6B04D2E4">
      <w:start w:val="1"/>
      <w:numFmt w:val="upperRoman"/>
      <w:lvlText w:val="%1."/>
      <w:lvlJc w:val="left"/>
      <w:pPr>
        <w:ind w:left="1080" w:hanging="720"/>
      </w:pPr>
      <w:rPr>
        <w:rFonts w:hint="default"/>
      </w:r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26" w15:restartNumberingAfterBreak="0">
    <w:nsid w:val="580C05CF"/>
    <w:multiLevelType w:val="hybridMultilevel"/>
    <w:tmpl w:val="081208E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7" w15:restartNumberingAfterBreak="0">
    <w:nsid w:val="586D1872"/>
    <w:multiLevelType w:val="hybridMultilevel"/>
    <w:tmpl w:val="269EDA46"/>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8" w15:restartNumberingAfterBreak="0">
    <w:nsid w:val="5F661BA5"/>
    <w:multiLevelType w:val="hybridMultilevel"/>
    <w:tmpl w:val="972881E8"/>
    <w:lvl w:ilvl="0" w:tplc="FE024456">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1465737"/>
    <w:multiLevelType w:val="hybridMultilevel"/>
    <w:tmpl w:val="58181146"/>
    <w:lvl w:ilvl="0" w:tplc="229AF4DE">
      <w:start w:val="3"/>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15:restartNumberingAfterBreak="0">
    <w:nsid w:val="719531EE"/>
    <w:multiLevelType w:val="multilevel"/>
    <w:tmpl w:val="83C238A8"/>
    <w:lvl w:ilvl="0">
      <w:start w:val="1"/>
      <w:numFmt w:val="decimal"/>
      <w:lvlText w:val="%1."/>
      <w:lvlJc w:val="left"/>
      <w:pPr>
        <w:tabs>
          <w:tab w:val="num" w:pos="0"/>
        </w:tabs>
        <w:ind w:left="0" w:firstLine="0"/>
      </w:pPr>
      <w:rPr>
        <w:rFonts w:hint="default"/>
      </w:rPr>
    </w:lvl>
    <w:lvl w:ilvl="1">
      <w:start w:val="1"/>
      <w:numFmt w:val="bullet"/>
      <w:lvlText w:val=""/>
      <w:lvlJc w:val="left"/>
      <w:pPr>
        <w:tabs>
          <w:tab w:val="num" w:pos="0"/>
        </w:tabs>
        <w:ind w:left="1440" w:hanging="720"/>
      </w:pPr>
      <w:rPr>
        <w:rFonts w:ascii="Symbol" w:hAnsi="Symbol"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76AB5FBF"/>
    <w:multiLevelType w:val="hybridMultilevel"/>
    <w:tmpl w:val="C3C4C5C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23"/>
  </w:num>
  <w:num w:numId="18">
    <w:abstractNumId w:val="24"/>
  </w:num>
  <w:num w:numId="19">
    <w:abstractNumId w:val="32"/>
  </w:num>
  <w:num w:numId="20">
    <w:abstractNumId w:val="19"/>
  </w:num>
  <w:num w:numId="2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8"/>
  </w:num>
  <w:num w:numId="25">
    <w:abstractNumId w:val="14"/>
  </w:num>
  <w:num w:numId="26">
    <w:abstractNumId w:val="20"/>
  </w:num>
  <w:num w:numId="27">
    <w:abstractNumId w:val="22"/>
  </w:num>
  <w:num w:numId="28">
    <w:abstractNumId w:val="30"/>
  </w:num>
  <w:num w:numId="2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num>
  <w:num w:numId="34">
    <w:abstractNumId w:val="15"/>
  </w:num>
  <w:num w:numId="35">
    <w:abstractNumId w:val="26"/>
  </w:num>
  <w:num w:numId="36">
    <w:abstractNumId w:val="31"/>
  </w:num>
  <w:num w:numId="37">
    <w:abstractNumId w:val="21"/>
  </w:num>
  <w:num w:numId="38">
    <w:abstractNumId w:val="25"/>
  </w:num>
  <w:num w:numId="39">
    <w:abstractNumId w:val="12"/>
  </w:num>
  <w:num w:numId="4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3"/>
  </w:num>
  <w:num w:numId="43">
    <w:abstractNumId w:val="29"/>
  </w:num>
  <w:num w:numId="44">
    <w:abstractNumId w:val="11"/>
  </w:num>
  <w:num w:numId="4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666D9B"/>
    <w:rsid w:val="00000FED"/>
    <w:rsid w:val="0000434E"/>
    <w:rsid w:val="000211A9"/>
    <w:rsid w:val="00021238"/>
    <w:rsid w:val="00031260"/>
    <w:rsid w:val="0003681A"/>
    <w:rsid w:val="000372B7"/>
    <w:rsid w:val="00050F6E"/>
    <w:rsid w:val="00061EC2"/>
    <w:rsid w:val="00066CE8"/>
    <w:rsid w:val="00080ED0"/>
    <w:rsid w:val="00085B8F"/>
    <w:rsid w:val="00090481"/>
    <w:rsid w:val="000A3826"/>
    <w:rsid w:val="000A6C26"/>
    <w:rsid w:val="000D52A4"/>
    <w:rsid w:val="000E07BC"/>
    <w:rsid w:val="000F1CD4"/>
    <w:rsid w:val="000F4103"/>
    <w:rsid w:val="000F70A7"/>
    <w:rsid w:val="00111931"/>
    <w:rsid w:val="00113CCA"/>
    <w:rsid w:val="00122F25"/>
    <w:rsid w:val="00135980"/>
    <w:rsid w:val="00164719"/>
    <w:rsid w:val="00166FC4"/>
    <w:rsid w:val="001677AC"/>
    <w:rsid w:val="001804EA"/>
    <w:rsid w:val="00190A61"/>
    <w:rsid w:val="001A2215"/>
    <w:rsid w:val="001A3342"/>
    <w:rsid w:val="001A3E3D"/>
    <w:rsid w:val="001A7049"/>
    <w:rsid w:val="001B1E40"/>
    <w:rsid w:val="001C764E"/>
    <w:rsid w:val="001E1052"/>
    <w:rsid w:val="001E21B1"/>
    <w:rsid w:val="001E2F93"/>
    <w:rsid w:val="001E4554"/>
    <w:rsid w:val="001E61E5"/>
    <w:rsid w:val="001F2159"/>
    <w:rsid w:val="001F53FD"/>
    <w:rsid w:val="00210B8B"/>
    <w:rsid w:val="00214863"/>
    <w:rsid w:val="002156B4"/>
    <w:rsid w:val="00224FCD"/>
    <w:rsid w:val="00253222"/>
    <w:rsid w:val="00262847"/>
    <w:rsid w:val="00281BB2"/>
    <w:rsid w:val="002B254E"/>
    <w:rsid w:val="002B72E9"/>
    <w:rsid w:val="002C7998"/>
    <w:rsid w:val="002F1E53"/>
    <w:rsid w:val="002F2CAA"/>
    <w:rsid w:val="0030052C"/>
    <w:rsid w:val="003306E1"/>
    <w:rsid w:val="003320E4"/>
    <w:rsid w:val="0033525D"/>
    <w:rsid w:val="003414F3"/>
    <w:rsid w:val="00345A62"/>
    <w:rsid w:val="0035613E"/>
    <w:rsid w:val="00363EE9"/>
    <w:rsid w:val="00376128"/>
    <w:rsid w:val="0037742E"/>
    <w:rsid w:val="00377D56"/>
    <w:rsid w:val="0038245A"/>
    <w:rsid w:val="003840E6"/>
    <w:rsid w:val="00385CFC"/>
    <w:rsid w:val="0039337A"/>
    <w:rsid w:val="003A3189"/>
    <w:rsid w:val="003A3CA7"/>
    <w:rsid w:val="003B33BD"/>
    <w:rsid w:val="003B569D"/>
    <w:rsid w:val="003C3C0E"/>
    <w:rsid w:val="003D42A6"/>
    <w:rsid w:val="003D4F21"/>
    <w:rsid w:val="003D4FAC"/>
    <w:rsid w:val="003E7906"/>
    <w:rsid w:val="003F3C50"/>
    <w:rsid w:val="00406202"/>
    <w:rsid w:val="00406A6A"/>
    <w:rsid w:val="00406B22"/>
    <w:rsid w:val="004328A7"/>
    <w:rsid w:val="00434C74"/>
    <w:rsid w:val="00450D40"/>
    <w:rsid w:val="00456EB4"/>
    <w:rsid w:val="004718F3"/>
    <w:rsid w:val="00475040"/>
    <w:rsid w:val="00493D40"/>
    <w:rsid w:val="004967B6"/>
    <w:rsid w:val="004A504B"/>
    <w:rsid w:val="004A6911"/>
    <w:rsid w:val="004B54E0"/>
    <w:rsid w:val="004B7384"/>
    <w:rsid w:val="004C4269"/>
    <w:rsid w:val="004D6236"/>
    <w:rsid w:val="004D7F90"/>
    <w:rsid w:val="004E4DBB"/>
    <w:rsid w:val="004E4E41"/>
    <w:rsid w:val="004E73DB"/>
    <w:rsid w:val="004E7F9C"/>
    <w:rsid w:val="004F3493"/>
    <w:rsid w:val="004F5143"/>
    <w:rsid w:val="00512B09"/>
    <w:rsid w:val="005220ED"/>
    <w:rsid w:val="00533796"/>
    <w:rsid w:val="00537343"/>
    <w:rsid w:val="00555D75"/>
    <w:rsid w:val="00560DF0"/>
    <w:rsid w:val="0056759C"/>
    <w:rsid w:val="0059513E"/>
    <w:rsid w:val="005A6AA4"/>
    <w:rsid w:val="005A6D9F"/>
    <w:rsid w:val="005B04FB"/>
    <w:rsid w:val="005B48FF"/>
    <w:rsid w:val="005D363F"/>
    <w:rsid w:val="00604C15"/>
    <w:rsid w:val="006158D5"/>
    <w:rsid w:val="00625D83"/>
    <w:rsid w:val="006623E7"/>
    <w:rsid w:val="00662B80"/>
    <w:rsid w:val="00666D9B"/>
    <w:rsid w:val="00670F6C"/>
    <w:rsid w:val="006852C7"/>
    <w:rsid w:val="006852CE"/>
    <w:rsid w:val="00692D14"/>
    <w:rsid w:val="006B65C7"/>
    <w:rsid w:val="006C1727"/>
    <w:rsid w:val="006C32FD"/>
    <w:rsid w:val="006C39CE"/>
    <w:rsid w:val="006D0FCC"/>
    <w:rsid w:val="006D21F5"/>
    <w:rsid w:val="006D3089"/>
    <w:rsid w:val="006E126D"/>
    <w:rsid w:val="006E1FC3"/>
    <w:rsid w:val="00704CE9"/>
    <w:rsid w:val="0070616B"/>
    <w:rsid w:val="00706295"/>
    <w:rsid w:val="00706FDA"/>
    <w:rsid w:val="00711F9A"/>
    <w:rsid w:val="00713810"/>
    <w:rsid w:val="007303A5"/>
    <w:rsid w:val="00730B3E"/>
    <w:rsid w:val="0073420B"/>
    <w:rsid w:val="00736367"/>
    <w:rsid w:val="0074760E"/>
    <w:rsid w:val="00754ABA"/>
    <w:rsid w:val="00782B0D"/>
    <w:rsid w:val="007A1546"/>
    <w:rsid w:val="007A228C"/>
    <w:rsid w:val="007A368E"/>
    <w:rsid w:val="007A5868"/>
    <w:rsid w:val="007B04CE"/>
    <w:rsid w:val="007B6871"/>
    <w:rsid w:val="007B7A2F"/>
    <w:rsid w:val="007C3D33"/>
    <w:rsid w:val="007D294A"/>
    <w:rsid w:val="007D47D2"/>
    <w:rsid w:val="007D6EC0"/>
    <w:rsid w:val="007D7E1D"/>
    <w:rsid w:val="00831979"/>
    <w:rsid w:val="00851352"/>
    <w:rsid w:val="00857077"/>
    <w:rsid w:val="00863230"/>
    <w:rsid w:val="00865BD0"/>
    <w:rsid w:val="008717D8"/>
    <w:rsid w:val="0087215C"/>
    <w:rsid w:val="00875D25"/>
    <w:rsid w:val="00880E35"/>
    <w:rsid w:val="008875FE"/>
    <w:rsid w:val="00887F8E"/>
    <w:rsid w:val="00896234"/>
    <w:rsid w:val="00897E43"/>
    <w:rsid w:val="008C5738"/>
    <w:rsid w:val="008C7EAD"/>
    <w:rsid w:val="008D0CFE"/>
    <w:rsid w:val="008D6152"/>
    <w:rsid w:val="008E7BA9"/>
    <w:rsid w:val="008F0F81"/>
    <w:rsid w:val="008F27BF"/>
    <w:rsid w:val="009142EC"/>
    <w:rsid w:val="009154C3"/>
    <w:rsid w:val="00923540"/>
    <w:rsid w:val="00926767"/>
    <w:rsid w:val="009361D5"/>
    <w:rsid w:val="009428A4"/>
    <w:rsid w:val="009578EC"/>
    <w:rsid w:val="009659F4"/>
    <w:rsid w:val="00970D60"/>
    <w:rsid w:val="0099390E"/>
    <w:rsid w:val="009960E5"/>
    <w:rsid w:val="009A7ADC"/>
    <w:rsid w:val="009B0D30"/>
    <w:rsid w:val="009C19B7"/>
    <w:rsid w:val="009C5ABB"/>
    <w:rsid w:val="009D7C51"/>
    <w:rsid w:val="009E196C"/>
    <w:rsid w:val="009F18B9"/>
    <w:rsid w:val="009F36BF"/>
    <w:rsid w:val="00A111B6"/>
    <w:rsid w:val="00A26D27"/>
    <w:rsid w:val="00A376EE"/>
    <w:rsid w:val="00A42A99"/>
    <w:rsid w:val="00A5151A"/>
    <w:rsid w:val="00A57E0A"/>
    <w:rsid w:val="00A823F6"/>
    <w:rsid w:val="00A8719E"/>
    <w:rsid w:val="00AA0A89"/>
    <w:rsid w:val="00AA5368"/>
    <w:rsid w:val="00AA6429"/>
    <w:rsid w:val="00AC01AA"/>
    <w:rsid w:val="00AC4F72"/>
    <w:rsid w:val="00AF741A"/>
    <w:rsid w:val="00B01ADB"/>
    <w:rsid w:val="00B04161"/>
    <w:rsid w:val="00B056F9"/>
    <w:rsid w:val="00B11E3D"/>
    <w:rsid w:val="00B17E82"/>
    <w:rsid w:val="00B4575A"/>
    <w:rsid w:val="00B575BA"/>
    <w:rsid w:val="00B71608"/>
    <w:rsid w:val="00B76429"/>
    <w:rsid w:val="00B86471"/>
    <w:rsid w:val="00B956D4"/>
    <w:rsid w:val="00B97446"/>
    <w:rsid w:val="00BA11CC"/>
    <w:rsid w:val="00BA7432"/>
    <w:rsid w:val="00BB2764"/>
    <w:rsid w:val="00BC1AA0"/>
    <w:rsid w:val="00BC2495"/>
    <w:rsid w:val="00BC314A"/>
    <w:rsid w:val="00BC7EB9"/>
    <w:rsid w:val="00BD2643"/>
    <w:rsid w:val="00BD56B1"/>
    <w:rsid w:val="00BD6558"/>
    <w:rsid w:val="00BF2F76"/>
    <w:rsid w:val="00BF3022"/>
    <w:rsid w:val="00BF3214"/>
    <w:rsid w:val="00BF5573"/>
    <w:rsid w:val="00C15867"/>
    <w:rsid w:val="00C2296D"/>
    <w:rsid w:val="00C23155"/>
    <w:rsid w:val="00C40C41"/>
    <w:rsid w:val="00C45885"/>
    <w:rsid w:val="00C50F22"/>
    <w:rsid w:val="00C57971"/>
    <w:rsid w:val="00C65BD7"/>
    <w:rsid w:val="00C76BA4"/>
    <w:rsid w:val="00C83A48"/>
    <w:rsid w:val="00C85865"/>
    <w:rsid w:val="00C85E85"/>
    <w:rsid w:val="00CA2EAE"/>
    <w:rsid w:val="00CA4AC1"/>
    <w:rsid w:val="00CB0316"/>
    <w:rsid w:val="00CB0B11"/>
    <w:rsid w:val="00CB426A"/>
    <w:rsid w:val="00CB5354"/>
    <w:rsid w:val="00CC3C9E"/>
    <w:rsid w:val="00CC6A14"/>
    <w:rsid w:val="00CC70A3"/>
    <w:rsid w:val="00CD4442"/>
    <w:rsid w:val="00CD53C3"/>
    <w:rsid w:val="00CD574E"/>
    <w:rsid w:val="00CE4C22"/>
    <w:rsid w:val="00CE76E5"/>
    <w:rsid w:val="00CF41EC"/>
    <w:rsid w:val="00CF5D04"/>
    <w:rsid w:val="00D04DE4"/>
    <w:rsid w:val="00D063F1"/>
    <w:rsid w:val="00D14F22"/>
    <w:rsid w:val="00D4741C"/>
    <w:rsid w:val="00D57918"/>
    <w:rsid w:val="00D73DC6"/>
    <w:rsid w:val="00D74C1A"/>
    <w:rsid w:val="00D754C1"/>
    <w:rsid w:val="00D77393"/>
    <w:rsid w:val="00D77A35"/>
    <w:rsid w:val="00D81B3E"/>
    <w:rsid w:val="00D90C70"/>
    <w:rsid w:val="00D90E49"/>
    <w:rsid w:val="00D96ADE"/>
    <w:rsid w:val="00DA0CE2"/>
    <w:rsid w:val="00DC6A10"/>
    <w:rsid w:val="00DE657E"/>
    <w:rsid w:val="00DF4704"/>
    <w:rsid w:val="00E024AA"/>
    <w:rsid w:val="00E15C77"/>
    <w:rsid w:val="00E250F1"/>
    <w:rsid w:val="00E314E4"/>
    <w:rsid w:val="00E3550D"/>
    <w:rsid w:val="00E52838"/>
    <w:rsid w:val="00E614E0"/>
    <w:rsid w:val="00E73F7F"/>
    <w:rsid w:val="00E85409"/>
    <w:rsid w:val="00EA429F"/>
    <w:rsid w:val="00EA4F9E"/>
    <w:rsid w:val="00EA635F"/>
    <w:rsid w:val="00EA63CA"/>
    <w:rsid w:val="00EA6D3B"/>
    <w:rsid w:val="00EB00AD"/>
    <w:rsid w:val="00EB136C"/>
    <w:rsid w:val="00EB480E"/>
    <w:rsid w:val="00EB5EC6"/>
    <w:rsid w:val="00EB7FC9"/>
    <w:rsid w:val="00ED27E8"/>
    <w:rsid w:val="00ED7137"/>
    <w:rsid w:val="00EF06EA"/>
    <w:rsid w:val="00F21088"/>
    <w:rsid w:val="00F327E7"/>
    <w:rsid w:val="00F35746"/>
    <w:rsid w:val="00F447C7"/>
    <w:rsid w:val="00F459B4"/>
    <w:rsid w:val="00F5211B"/>
    <w:rsid w:val="00F554A9"/>
    <w:rsid w:val="00F716FD"/>
    <w:rsid w:val="00F80355"/>
    <w:rsid w:val="00F87C43"/>
    <w:rsid w:val="00FA5722"/>
    <w:rsid w:val="00FB0C81"/>
    <w:rsid w:val="00FC2200"/>
    <w:rsid w:val="00FC2540"/>
    <w:rsid w:val="00FF0204"/>
    <w:rsid w:val="00FF3AED"/>
    <w:rsid w:val="00FF6C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0D54B30B-DD9E-435A-BB4C-7D6789E114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link w:val="PlainTextChar"/>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Geneva 9,Font: Geneva 9,Boston 10,f,Fußnotentextf,-E Fußnotentext,Fußnotentext Ursprung,-E Fußnotentext1,-E Fußnotentext2,-E Fußnotentext3,Fußnotentext Char1,Fußnotentext Char Char,Fußnotentext Char1 Char Char,Char1,Char1 Char Char, Char1"/>
    <w:basedOn w:val="Normal"/>
    <w:link w:val="FootnoteTextChar"/>
    <w:uiPriority w:val="99"/>
    <w:unhideWhenUsed/>
    <w:qFormat/>
    <w:rsid w:val="006E126D"/>
    <w:rPr>
      <w:sz w:val="20"/>
      <w:szCs w:val="20"/>
    </w:rPr>
  </w:style>
  <w:style w:type="character" w:customStyle="1" w:styleId="FootnoteTextChar">
    <w:name w:val="Footnote Text Char"/>
    <w:aliases w:val="Geneva 9 Char,Font: Geneva 9 Char,Boston 10 Char,f Char,Fußnotentextf Char,-E Fußnotentext Char,Fußnotentext Ursprung Char,-E Fußnotentext1 Char,-E Fußnotentext2 Char,-E Fußnotentext3 Char,Fußnotentext Char1 Char,Char1 Char"/>
    <w:basedOn w:val="DefaultParagraphFont"/>
    <w:link w:val="FootnoteText"/>
    <w:uiPriority w:val="99"/>
    <w:rsid w:val="006E126D"/>
    <w:rPr>
      <w:lang w:val="en-GB"/>
    </w:rPr>
  </w:style>
  <w:style w:type="character" w:styleId="FootnoteReference">
    <w:name w:val="footnote reference"/>
    <w:aliases w:val="Footnote text,16 Point,Superscript 6 Point,number,Footnote reference number,Footnote symbol,note TESI,-E Fußnotenzeichen,SUPERS,stylish,ftref,Footnote Reference Superscript,-E Fuﬂnotenzeichen,-E Fuûnotenzeichen,fr,Footnote Text1"/>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FF6C2E"/>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FF6C2E"/>
    <w:pPr>
      <w:spacing w:after="160" w:line="240" w:lineRule="exact"/>
    </w:pPr>
    <w:rPr>
      <w:sz w:val="20"/>
      <w:szCs w:val="20"/>
      <w:vertAlign w:val="superscript"/>
      <w:lang w:val="en-US"/>
    </w:rPr>
  </w:style>
  <w:style w:type="character" w:customStyle="1" w:styleId="FooterChar">
    <w:name w:val="Footer Char"/>
    <w:basedOn w:val="DefaultParagraphFont"/>
    <w:link w:val="Footer"/>
    <w:uiPriority w:val="99"/>
    <w:rsid w:val="00FF6C2E"/>
    <w:rPr>
      <w:sz w:val="22"/>
      <w:szCs w:val="22"/>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FF6C2E"/>
    <w:rPr>
      <w:sz w:val="22"/>
      <w:szCs w:val="22"/>
      <w:lang w:val="en-CA"/>
    </w:rPr>
  </w:style>
  <w:style w:type="paragraph" w:customStyle="1" w:styleId="Default">
    <w:name w:val="Default"/>
    <w:rsid w:val="00FF6C2E"/>
    <w:pPr>
      <w:autoSpaceDE w:val="0"/>
      <w:autoSpaceDN w:val="0"/>
      <w:adjustRightInd w:val="0"/>
    </w:pPr>
    <w:rPr>
      <w:rFonts w:ascii="Meiryo" w:eastAsia="Meiryo" w:cs="Meiryo"/>
      <w:color w:val="000000"/>
      <w:sz w:val="24"/>
      <w:szCs w:val="24"/>
    </w:rPr>
  </w:style>
  <w:style w:type="character" w:customStyle="1" w:styleId="apple-converted-space">
    <w:name w:val="apple-converted-space"/>
    <w:basedOn w:val="DefaultParagraphFont"/>
    <w:rsid w:val="00FF6C2E"/>
  </w:style>
  <w:style w:type="character" w:styleId="Hyperlink">
    <w:name w:val="Hyperlink"/>
    <w:basedOn w:val="DefaultParagraphFont"/>
    <w:uiPriority w:val="99"/>
    <w:unhideWhenUsed/>
    <w:rsid w:val="00FF6C2E"/>
    <w:rPr>
      <w:color w:val="0000FF"/>
      <w:u w:val="single"/>
    </w:rPr>
  </w:style>
  <w:style w:type="character" w:customStyle="1" w:styleId="HeaderChar">
    <w:name w:val="Header Char"/>
    <w:basedOn w:val="DefaultParagraphFont"/>
    <w:link w:val="Header"/>
    <w:uiPriority w:val="99"/>
    <w:rsid w:val="00FF6C2E"/>
    <w:rPr>
      <w:sz w:val="22"/>
      <w:szCs w:val="22"/>
      <w:lang w:val="en-CA"/>
    </w:rPr>
  </w:style>
  <w:style w:type="character" w:customStyle="1" w:styleId="PlainTextChar">
    <w:name w:val="Plain Text Char"/>
    <w:basedOn w:val="DefaultParagraphFont"/>
    <w:link w:val="PlainText"/>
    <w:rsid w:val="00FF6C2E"/>
    <w:rPr>
      <w:rFonts w:ascii="Courier New" w:hAnsi="Courier New" w:cs="Courier New"/>
      <w:szCs w:val="22"/>
      <w:lang w:val="en-CA"/>
    </w:rPr>
  </w:style>
  <w:style w:type="paragraph" w:styleId="ListParagraph">
    <w:name w:val="List Paragraph"/>
    <w:basedOn w:val="Normal"/>
    <w:uiPriority w:val="34"/>
    <w:qFormat/>
    <w:rsid w:val="00FF6C2E"/>
    <w:pPr>
      <w:ind w:left="720"/>
      <w:contextualSpacing/>
    </w:pPr>
    <w:rPr>
      <w:lang w:val="en-GB"/>
    </w:rPr>
  </w:style>
  <w:style w:type="character" w:styleId="Strong">
    <w:name w:val="Strong"/>
    <w:basedOn w:val="DefaultParagraphFont"/>
    <w:qFormat/>
    <w:rsid w:val="00FF6C2E"/>
    <w:rPr>
      <w:b/>
      <w:bCs/>
    </w:rPr>
  </w:style>
  <w:style w:type="paragraph" w:styleId="NormalWeb">
    <w:name w:val="Normal (Web)"/>
    <w:basedOn w:val="Normal"/>
    <w:unhideWhenUsed/>
    <w:rsid w:val="00FF6C2E"/>
    <w:pPr>
      <w:spacing w:before="100" w:beforeAutospacing="1" w:after="100" w:afterAutospacing="1"/>
      <w:jc w:val="left"/>
    </w:pPr>
    <w:rPr>
      <w:sz w:val="24"/>
      <w:szCs w:val="24"/>
      <w:lang w:eastAsia="en-CA"/>
    </w:rPr>
  </w:style>
  <w:style w:type="paragraph" w:styleId="Revision">
    <w:name w:val="Revision"/>
    <w:hidden/>
    <w:uiPriority w:val="99"/>
    <w:semiHidden/>
    <w:rsid w:val="00FF6C2E"/>
    <w:rPr>
      <w:sz w:val="22"/>
      <w:szCs w:val="22"/>
      <w:lang w:val="en-GB"/>
    </w:rPr>
  </w:style>
  <w:style w:type="table" w:customStyle="1" w:styleId="TableGrid10">
    <w:name w:val="Table Grid1"/>
    <w:basedOn w:val="TableNormal"/>
    <w:next w:val="TableGrid"/>
    <w:rsid w:val="00FF6C2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ool">
    <w:name w:val="Normal_pool"/>
    <w:link w:val="NormalpoolChar"/>
    <w:rsid w:val="00FF6C2E"/>
    <w:pPr>
      <w:tabs>
        <w:tab w:val="left" w:pos="1247"/>
        <w:tab w:val="left" w:pos="1814"/>
        <w:tab w:val="left" w:pos="2381"/>
        <w:tab w:val="left" w:pos="2948"/>
        <w:tab w:val="left" w:pos="3515"/>
        <w:tab w:val="left" w:pos="4082"/>
      </w:tabs>
    </w:pPr>
    <w:rPr>
      <w:lang w:val="fr-FR"/>
    </w:rPr>
  </w:style>
  <w:style w:type="character" w:customStyle="1" w:styleId="NormalpoolChar">
    <w:name w:val="Normal_pool Char"/>
    <w:link w:val="Normalpool"/>
    <w:locked/>
    <w:rsid w:val="00FF6C2E"/>
    <w:rPr>
      <w:lang w:val="fr-FR"/>
    </w:rPr>
  </w:style>
  <w:style w:type="paragraph" w:customStyle="1" w:styleId="CH2">
    <w:name w:val="CH2"/>
    <w:basedOn w:val="Normal"/>
    <w:next w:val="Normal"/>
    <w:link w:val="CH2Char"/>
    <w:rsid w:val="00FF6C2E"/>
    <w:pPr>
      <w:keepNext/>
      <w:keepLines/>
      <w:tabs>
        <w:tab w:val="right" w:pos="851"/>
        <w:tab w:val="left" w:pos="1247"/>
        <w:tab w:val="left" w:pos="1814"/>
        <w:tab w:val="left" w:pos="2381"/>
        <w:tab w:val="left" w:pos="2948"/>
        <w:tab w:val="left" w:pos="3515"/>
      </w:tabs>
      <w:suppressAutoHyphens/>
      <w:spacing w:before="80" w:after="120"/>
      <w:ind w:left="1247" w:right="284" w:hanging="1247"/>
      <w:jc w:val="left"/>
    </w:pPr>
    <w:rPr>
      <w:b/>
      <w:sz w:val="24"/>
      <w:szCs w:val="24"/>
      <w:lang w:val="en-GB"/>
    </w:rPr>
  </w:style>
  <w:style w:type="character" w:customStyle="1" w:styleId="CH2Char">
    <w:name w:val="CH2 Char"/>
    <w:link w:val="CH2"/>
    <w:locked/>
    <w:rsid w:val="00FF6C2E"/>
    <w:rPr>
      <w:b/>
      <w:sz w:val="24"/>
      <w:szCs w:val="24"/>
      <w:lang w:val="en-GB"/>
    </w:rPr>
  </w:style>
  <w:style w:type="character" w:styleId="FollowedHyperlink">
    <w:name w:val="FollowedHyperlink"/>
    <w:basedOn w:val="DefaultParagraphFont"/>
    <w:uiPriority w:val="99"/>
    <w:semiHidden/>
    <w:unhideWhenUsed/>
    <w:rsid w:val="00FF6C2E"/>
    <w:rPr>
      <w:color w:val="954F72"/>
      <w:u w:val="single"/>
    </w:rPr>
  </w:style>
  <w:style w:type="paragraph" w:customStyle="1" w:styleId="msonormal0">
    <w:name w:val="msonormal"/>
    <w:basedOn w:val="Normal"/>
    <w:rsid w:val="00FF6C2E"/>
    <w:pPr>
      <w:spacing w:before="100" w:beforeAutospacing="1" w:after="100" w:afterAutospacing="1"/>
      <w:jc w:val="left"/>
    </w:pPr>
    <w:rPr>
      <w:sz w:val="24"/>
      <w:szCs w:val="24"/>
      <w:lang w:eastAsia="en-CA"/>
    </w:rPr>
  </w:style>
  <w:style w:type="paragraph" w:customStyle="1" w:styleId="xl63">
    <w:name w:val="xl63"/>
    <w:basedOn w:val="Normal"/>
    <w:rsid w:val="00FF6C2E"/>
    <w:pPr>
      <w:spacing w:before="100" w:beforeAutospacing="1" w:after="100" w:afterAutospacing="1"/>
      <w:jc w:val="left"/>
    </w:pPr>
    <w:rPr>
      <w:sz w:val="24"/>
      <w:szCs w:val="24"/>
      <w:lang w:eastAsia="en-CA"/>
    </w:rPr>
  </w:style>
  <w:style w:type="paragraph" w:customStyle="1" w:styleId="xl64">
    <w:name w:val="xl64"/>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5">
    <w:name w:val="xl65"/>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6">
    <w:name w:val="xl66"/>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lang w:eastAsia="en-CA"/>
    </w:rPr>
  </w:style>
  <w:style w:type="paragraph" w:customStyle="1" w:styleId="xl67">
    <w:name w:val="xl67"/>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68">
    <w:name w:val="xl68"/>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24"/>
      <w:szCs w:val="24"/>
      <w:lang w:eastAsia="en-CA"/>
    </w:rPr>
  </w:style>
  <w:style w:type="paragraph" w:customStyle="1" w:styleId="xl69">
    <w:name w:val="xl69"/>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0">
    <w:name w:val="xl70"/>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en-CA"/>
    </w:rPr>
  </w:style>
  <w:style w:type="paragraph" w:customStyle="1" w:styleId="xl71">
    <w:name w:val="xl71"/>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eastAsia="en-CA"/>
    </w:rPr>
  </w:style>
  <w:style w:type="character" w:styleId="PageNumber">
    <w:name w:val="page number"/>
    <w:basedOn w:val="DefaultParagraphFont"/>
    <w:rsid w:val="00FF6C2E"/>
    <w:rPr>
      <w:sz w:val="22"/>
      <w:szCs w:val="22"/>
    </w:rPr>
  </w:style>
  <w:style w:type="paragraph" w:styleId="BodyText">
    <w:name w:val="Body Text"/>
    <w:basedOn w:val="Normal"/>
    <w:link w:val="BodyTextChar"/>
    <w:semiHidden/>
    <w:rsid w:val="00FF6C2E"/>
    <w:pPr>
      <w:spacing w:after="120"/>
    </w:pPr>
    <w:rPr>
      <w:lang w:val="en-GB"/>
    </w:rPr>
  </w:style>
  <w:style w:type="character" w:customStyle="1" w:styleId="BodyTextChar">
    <w:name w:val="Body Text Char"/>
    <w:basedOn w:val="DefaultParagraphFont"/>
    <w:link w:val="BodyText"/>
    <w:semiHidden/>
    <w:rsid w:val="00FF6C2E"/>
    <w:rPr>
      <w:sz w:val="22"/>
      <w:szCs w:val="22"/>
      <w:lang w:val="en-GB"/>
    </w:rPr>
  </w:style>
  <w:style w:type="paragraph" w:styleId="BodyText2">
    <w:name w:val="Body Text 2"/>
    <w:basedOn w:val="Normal"/>
    <w:link w:val="BodyText2Char"/>
    <w:semiHidden/>
    <w:rsid w:val="00FF6C2E"/>
    <w:pPr>
      <w:spacing w:after="120" w:line="480" w:lineRule="auto"/>
    </w:pPr>
    <w:rPr>
      <w:lang w:val="en-GB"/>
    </w:rPr>
  </w:style>
  <w:style w:type="character" w:customStyle="1" w:styleId="BodyText2Char">
    <w:name w:val="Body Text 2 Char"/>
    <w:basedOn w:val="DefaultParagraphFont"/>
    <w:link w:val="BodyText2"/>
    <w:semiHidden/>
    <w:rsid w:val="00FF6C2E"/>
    <w:rPr>
      <w:sz w:val="22"/>
      <w:szCs w:val="22"/>
      <w:lang w:val="en-GB"/>
    </w:rPr>
  </w:style>
  <w:style w:type="paragraph" w:styleId="BodyTextFirstIndent">
    <w:name w:val="Body Text First Indent"/>
    <w:basedOn w:val="BodyText"/>
    <w:link w:val="BodyTextFirstIndentChar"/>
    <w:semiHidden/>
    <w:rsid w:val="00FF6C2E"/>
    <w:pPr>
      <w:ind w:firstLine="210"/>
    </w:pPr>
  </w:style>
  <w:style w:type="character" w:customStyle="1" w:styleId="BodyTextFirstIndentChar">
    <w:name w:val="Body Text First Indent Char"/>
    <w:basedOn w:val="BodyTextChar"/>
    <w:link w:val="BodyTextFirstIndent"/>
    <w:semiHidden/>
    <w:rsid w:val="00FF6C2E"/>
    <w:rPr>
      <w:sz w:val="22"/>
      <w:szCs w:val="22"/>
      <w:lang w:val="en-GB"/>
    </w:rPr>
  </w:style>
  <w:style w:type="paragraph" w:styleId="BodyTextIndent">
    <w:name w:val="Body Text Indent"/>
    <w:basedOn w:val="Normal"/>
    <w:link w:val="BodyTextIndentChar"/>
    <w:semiHidden/>
    <w:rsid w:val="00FF6C2E"/>
    <w:pPr>
      <w:spacing w:after="120"/>
      <w:ind w:left="360"/>
    </w:pPr>
    <w:rPr>
      <w:lang w:val="en-GB"/>
    </w:rPr>
  </w:style>
  <w:style w:type="character" w:customStyle="1" w:styleId="BodyTextIndentChar">
    <w:name w:val="Body Text Indent Char"/>
    <w:basedOn w:val="DefaultParagraphFont"/>
    <w:link w:val="BodyTextIndent"/>
    <w:semiHidden/>
    <w:rsid w:val="00FF6C2E"/>
    <w:rPr>
      <w:sz w:val="22"/>
      <w:szCs w:val="22"/>
      <w:lang w:val="en-GB"/>
    </w:rPr>
  </w:style>
  <w:style w:type="paragraph" w:styleId="BodyTextFirstIndent2">
    <w:name w:val="Body Text First Indent 2"/>
    <w:basedOn w:val="BodyTextIndent"/>
    <w:link w:val="BodyTextFirstIndent2Char"/>
    <w:semiHidden/>
    <w:rsid w:val="00FF6C2E"/>
    <w:pPr>
      <w:ind w:firstLine="210"/>
    </w:pPr>
  </w:style>
  <w:style w:type="character" w:customStyle="1" w:styleId="BodyTextFirstIndent2Char">
    <w:name w:val="Body Text First Indent 2 Char"/>
    <w:basedOn w:val="BodyTextIndentChar"/>
    <w:link w:val="BodyTextFirstIndent2"/>
    <w:semiHidden/>
    <w:rsid w:val="00FF6C2E"/>
    <w:rPr>
      <w:sz w:val="22"/>
      <w:szCs w:val="22"/>
      <w:lang w:val="en-GB"/>
    </w:rPr>
  </w:style>
  <w:style w:type="paragraph" w:styleId="BodyTextIndent2">
    <w:name w:val="Body Text Indent 2"/>
    <w:basedOn w:val="Normal"/>
    <w:link w:val="BodyTextIndent2Char"/>
    <w:semiHidden/>
    <w:rsid w:val="00FF6C2E"/>
    <w:pPr>
      <w:spacing w:after="120" w:line="480" w:lineRule="auto"/>
      <w:ind w:left="360"/>
    </w:pPr>
    <w:rPr>
      <w:lang w:val="en-GB"/>
    </w:rPr>
  </w:style>
  <w:style w:type="character" w:customStyle="1" w:styleId="BodyTextIndent2Char">
    <w:name w:val="Body Text Indent 2 Char"/>
    <w:basedOn w:val="DefaultParagraphFont"/>
    <w:link w:val="BodyTextIndent2"/>
    <w:semiHidden/>
    <w:rsid w:val="00FF6C2E"/>
    <w:rPr>
      <w:sz w:val="22"/>
      <w:szCs w:val="22"/>
      <w:lang w:val="en-GB"/>
    </w:rPr>
  </w:style>
  <w:style w:type="paragraph" w:styleId="Closing">
    <w:name w:val="Closing"/>
    <w:basedOn w:val="Normal"/>
    <w:link w:val="ClosingChar"/>
    <w:semiHidden/>
    <w:rsid w:val="00FF6C2E"/>
    <w:pPr>
      <w:ind w:left="4320"/>
    </w:pPr>
    <w:rPr>
      <w:lang w:val="en-GB"/>
    </w:rPr>
  </w:style>
  <w:style w:type="character" w:customStyle="1" w:styleId="ClosingChar">
    <w:name w:val="Closing Char"/>
    <w:basedOn w:val="DefaultParagraphFont"/>
    <w:link w:val="Closing"/>
    <w:semiHidden/>
    <w:rsid w:val="00FF6C2E"/>
    <w:rPr>
      <w:sz w:val="22"/>
      <w:szCs w:val="22"/>
      <w:lang w:val="en-GB"/>
    </w:rPr>
  </w:style>
  <w:style w:type="paragraph" w:styleId="E-mailSignature">
    <w:name w:val="E-mail Signature"/>
    <w:basedOn w:val="Normal"/>
    <w:link w:val="E-mailSignatureChar"/>
    <w:semiHidden/>
    <w:rsid w:val="00FF6C2E"/>
    <w:rPr>
      <w:lang w:val="en-GB"/>
    </w:rPr>
  </w:style>
  <w:style w:type="character" w:customStyle="1" w:styleId="E-mailSignatureChar">
    <w:name w:val="E-mail Signature Char"/>
    <w:basedOn w:val="DefaultParagraphFont"/>
    <w:link w:val="E-mailSignature"/>
    <w:semiHidden/>
    <w:rsid w:val="00FF6C2E"/>
    <w:rPr>
      <w:sz w:val="22"/>
      <w:szCs w:val="22"/>
      <w:lang w:val="en-GB"/>
    </w:rPr>
  </w:style>
  <w:style w:type="character" w:styleId="Emphasis">
    <w:name w:val="Emphasis"/>
    <w:basedOn w:val="DefaultParagraphFont"/>
    <w:qFormat/>
    <w:rsid w:val="00FF6C2E"/>
    <w:rPr>
      <w:i/>
      <w:iCs/>
    </w:rPr>
  </w:style>
  <w:style w:type="paragraph" w:styleId="EnvelopeAddress">
    <w:name w:val="envelope address"/>
    <w:basedOn w:val="Normal"/>
    <w:semiHidden/>
    <w:rsid w:val="00FF6C2E"/>
    <w:pPr>
      <w:framePr w:w="7920" w:h="1980" w:hRule="exact" w:hSpace="180" w:wrap="auto" w:hAnchor="page" w:xAlign="center" w:yAlign="bottom"/>
      <w:ind w:left="2880"/>
    </w:pPr>
    <w:rPr>
      <w:rFonts w:ascii="Arial" w:hAnsi="Arial" w:cs="Arial"/>
      <w:szCs w:val="24"/>
      <w:lang w:val="en-GB"/>
    </w:rPr>
  </w:style>
  <w:style w:type="paragraph" w:styleId="EnvelopeReturn">
    <w:name w:val="envelope return"/>
    <w:basedOn w:val="Normal"/>
    <w:semiHidden/>
    <w:rsid w:val="00FF6C2E"/>
    <w:rPr>
      <w:rFonts w:ascii="Arial" w:hAnsi="Arial" w:cs="Arial"/>
      <w:sz w:val="20"/>
      <w:lang w:val="en-GB"/>
    </w:rPr>
  </w:style>
  <w:style w:type="character" w:styleId="HTMLAcronym">
    <w:name w:val="HTML Acronym"/>
    <w:basedOn w:val="DefaultParagraphFont"/>
    <w:semiHidden/>
    <w:rsid w:val="00FF6C2E"/>
  </w:style>
  <w:style w:type="paragraph" w:styleId="HTMLAddress">
    <w:name w:val="HTML Address"/>
    <w:basedOn w:val="Normal"/>
    <w:link w:val="HTMLAddressChar"/>
    <w:semiHidden/>
    <w:rsid w:val="00FF6C2E"/>
    <w:rPr>
      <w:i/>
      <w:iCs/>
      <w:lang w:val="en-GB"/>
    </w:rPr>
  </w:style>
  <w:style w:type="character" w:customStyle="1" w:styleId="HTMLAddressChar">
    <w:name w:val="HTML Address Char"/>
    <w:basedOn w:val="DefaultParagraphFont"/>
    <w:link w:val="HTMLAddress"/>
    <w:semiHidden/>
    <w:rsid w:val="00FF6C2E"/>
    <w:rPr>
      <w:i/>
      <w:iCs/>
      <w:sz w:val="22"/>
      <w:szCs w:val="22"/>
      <w:lang w:val="en-GB"/>
    </w:rPr>
  </w:style>
  <w:style w:type="character" w:styleId="HTMLCite">
    <w:name w:val="HTML Cite"/>
    <w:basedOn w:val="DefaultParagraphFont"/>
    <w:semiHidden/>
    <w:rsid w:val="00FF6C2E"/>
    <w:rPr>
      <w:i/>
      <w:iCs/>
    </w:rPr>
  </w:style>
  <w:style w:type="character" w:styleId="HTMLCode">
    <w:name w:val="HTML Code"/>
    <w:basedOn w:val="DefaultParagraphFont"/>
    <w:semiHidden/>
    <w:rsid w:val="00FF6C2E"/>
    <w:rPr>
      <w:rFonts w:ascii="Courier New" w:hAnsi="Courier New" w:cs="Courier New"/>
      <w:sz w:val="20"/>
      <w:szCs w:val="20"/>
    </w:rPr>
  </w:style>
  <w:style w:type="character" w:styleId="HTMLDefinition">
    <w:name w:val="HTML Definition"/>
    <w:basedOn w:val="DefaultParagraphFont"/>
    <w:semiHidden/>
    <w:rsid w:val="00FF6C2E"/>
    <w:rPr>
      <w:i/>
      <w:iCs/>
    </w:rPr>
  </w:style>
  <w:style w:type="character" w:styleId="HTMLKeyboard">
    <w:name w:val="HTML Keyboard"/>
    <w:basedOn w:val="DefaultParagraphFont"/>
    <w:semiHidden/>
    <w:rsid w:val="00FF6C2E"/>
    <w:rPr>
      <w:rFonts w:ascii="Courier New" w:hAnsi="Courier New" w:cs="Courier New"/>
      <w:sz w:val="20"/>
      <w:szCs w:val="20"/>
    </w:rPr>
  </w:style>
  <w:style w:type="paragraph" w:styleId="HTMLPreformatted">
    <w:name w:val="HTML Preformatted"/>
    <w:basedOn w:val="Normal"/>
    <w:link w:val="HTMLPreformattedChar"/>
    <w:semiHidden/>
    <w:rsid w:val="00FF6C2E"/>
    <w:rPr>
      <w:rFonts w:ascii="Courier New" w:hAnsi="Courier New" w:cs="Courier New"/>
      <w:sz w:val="20"/>
      <w:lang w:val="en-GB"/>
    </w:rPr>
  </w:style>
  <w:style w:type="character" w:customStyle="1" w:styleId="HTMLPreformattedChar">
    <w:name w:val="HTML Preformatted Char"/>
    <w:basedOn w:val="DefaultParagraphFont"/>
    <w:link w:val="HTMLPreformatted"/>
    <w:semiHidden/>
    <w:rsid w:val="00FF6C2E"/>
    <w:rPr>
      <w:rFonts w:ascii="Courier New" w:hAnsi="Courier New" w:cs="Courier New"/>
      <w:szCs w:val="22"/>
      <w:lang w:val="en-GB"/>
    </w:rPr>
  </w:style>
  <w:style w:type="character" w:styleId="HTMLSample">
    <w:name w:val="HTML Sample"/>
    <w:basedOn w:val="DefaultParagraphFont"/>
    <w:semiHidden/>
    <w:rsid w:val="00FF6C2E"/>
    <w:rPr>
      <w:rFonts w:ascii="Courier New" w:hAnsi="Courier New" w:cs="Courier New"/>
    </w:rPr>
  </w:style>
  <w:style w:type="character" w:styleId="HTMLTypewriter">
    <w:name w:val="HTML Typewriter"/>
    <w:basedOn w:val="DefaultParagraphFont"/>
    <w:semiHidden/>
    <w:rsid w:val="00FF6C2E"/>
    <w:rPr>
      <w:rFonts w:ascii="Courier New" w:hAnsi="Courier New" w:cs="Courier New"/>
      <w:sz w:val="20"/>
      <w:szCs w:val="20"/>
    </w:rPr>
  </w:style>
  <w:style w:type="character" w:styleId="HTMLVariable">
    <w:name w:val="HTML Variable"/>
    <w:basedOn w:val="DefaultParagraphFont"/>
    <w:semiHidden/>
    <w:rsid w:val="00FF6C2E"/>
    <w:rPr>
      <w:i/>
      <w:iCs/>
    </w:rPr>
  </w:style>
  <w:style w:type="character" w:styleId="LineNumber">
    <w:name w:val="line number"/>
    <w:basedOn w:val="DefaultParagraphFont"/>
    <w:semiHidden/>
    <w:rsid w:val="00FF6C2E"/>
  </w:style>
  <w:style w:type="paragraph" w:styleId="List">
    <w:name w:val="List"/>
    <w:basedOn w:val="Normal"/>
    <w:semiHidden/>
    <w:rsid w:val="00FF6C2E"/>
    <w:pPr>
      <w:ind w:left="360" w:hanging="360"/>
    </w:pPr>
    <w:rPr>
      <w:lang w:val="en-GB"/>
    </w:rPr>
  </w:style>
  <w:style w:type="paragraph" w:styleId="List2">
    <w:name w:val="List 2"/>
    <w:basedOn w:val="Normal"/>
    <w:semiHidden/>
    <w:rsid w:val="00FF6C2E"/>
    <w:pPr>
      <w:ind w:left="720" w:hanging="360"/>
    </w:pPr>
    <w:rPr>
      <w:lang w:val="en-GB"/>
    </w:rPr>
  </w:style>
  <w:style w:type="paragraph" w:styleId="List3">
    <w:name w:val="List 3"/>
    <w:basedOn w:val="Normal"/>
    <w:semiHidden/>
    <w:rsid w:val="00FF6C2E"/>
    <w:pPr>
      <w:ind w:left="1080" w:hanging="360"/>
    </w:pPr>
    <w:rPr>
      <w:lang w:val="en-GB"/>
    </w:rPr>
  </w:style>
  <w:style w:type="paragraph" w:styleId="List4">
    <w:name w:val="List 4"/>
    <w:basedOn w:val="Normal"/>
    <w:semiHidden/>
    <w:rsid w:val="00FF6C2E"/>
    <w:pPr>
      <w:ind w:left="1440" w:hanging="360"/>
    </w:pPr>
    <w:rPr>
      <w:lang w:val="en-GB"/>
    </w:rPr>
  </w:style>
  <w:style w:type="paragraph" w:styleId="List5">
    <w:name w:val="List 5"/>
    <w:basedOn w:val="Normal"/>
    <w:semiHidden/>
    <w:rsid w:val="00FF6C2E"/>
    <w:pPr>
      <w:ind w:left="1800" w:hanging="360"/>
    </w:pPr>
    <w:rPr>
      <w:lang w:val="en-GB"/>
    </w:rPr>
  </w:style>
  <w:style w:type="paragraph" w:styleId="ListBullet">
    <w:name w:val="List Bullet"/>
    <w:basedOn w:val="Normal"/>
    <w:autoRedefine/>
    <w:semiHidden/>
    <w:rsid w:val="00FF6C2E"/>
    <w:pPr>
      <w:tabs>
        <w:tab w:val="num" w:pos="360"/>
      </w:tabs>
      <w:ind w:left="360" w:hanging="360"/>
    </w:pPr>
    <w:rPr>
      <w:lang w:val="en-GB"/>
    </w:rPr>
  </w:style>
  <w:style w:type="paragraph" w:styleId="ListBullet2">
    <w:name w:val="List Bullet 2"/>
    <w:basedOn w:val="Normal"/>
    <w:autoRedefine/>
    <w:semiHidden/>
    <w:rsid w:val="00FF6C2E"/>
    <w:pPr>
      <w:tabs>
        <w:tab w:val="num" w:pos="720"/>
      </w:tabs>
      <w:ind w:left="720" w:hanging="360"/>
    </w:pPr>
    <w:rPr>
      <w:lang w:val="en-GB"/>
    </w:rPr>
  </w:style>
  <w:style w:type="paragraph" w:styleId="ListBullet3">
    <w:name w:val="List Bullet 3"/>
    <w:basedOn w:val="Normal"/>
    <w:autoRedefine/>
    <w:semiHidden/>
    <w:rsid w:val="00FF6C2E"/>
    <w:pPr>
      <w:tabs>
        <w:tab w:val="num" w:pos="1080"/>
      </w:tabs>
      <w:ind w:left="1080" w:hanging="360"/>
    </w:pPr>
    <w:rPr>
      <w:lang w:val="en-GB"/>
    </w:rPr>
  </w:style>
  <w:style w:type="paragraph" w:styleId="ListBullet4">
    <w:name w:val="List Bullet 4"/>
    <w:basedOn w:val="Normal"/>
    <w:autoRedefine/>
    <w:semiHidden/>
    <w:rsid w:val="00FF6C2E"/>
    <w:pPr>
      <w:tabs>
        <w:tab w:val="num" w:pos="1440"/>
      </w:tabs>
      <w:ind w:left="1440" w:hanging="360"/>
    </w:pPr>
    <w:rPr>
      <w:lang w:val="en-GB"/>
    </w:rPr>
  </w:style>
  <w:style w:type="paragraph" w:styleId="ListBullet5">
    <w:name w:val="List Bullet 5"/>
    <w:basedOn w:val="Normal"/>
    <w:autoRedefine/>
    <w:semiHidden/>
    <w:rsid w:val="00FF6C2E"/>
    <w:pPr>
      <w:tabs>
        <w:tab w:val="num" w:pos="1800"/>
      </w:tabs>
      <w:ind w:left="1800" w:hanging="360"/>
    </w:pPr>
    <w:rPr>
      <w:lang w:val="en-GB"/>
    </w:rPr>
  </w:style>
  <w:style w:type="paragraph" w:styleId="ListContinue">
    <w:name w:val="List Continue"/>
    <w:basedOn w:val="Normal"/>
    <w:semiHidden/>
    <w:rsid w:val="00FF6C2E"/>
    <w:pPr>
      <w:spacing w:after="120"/>
      <w:ind w:left="360"/>
    </w:pPr>
    <w:rPr>
      <w:lang w:val="en-GB"/>
    </w:rPr>
  </w:style>
  <w:style w:type="paragraph" w:styleId="ListContinue2">
    <w:name w:val="List Continue 2"/>
    <w:basedOn w:val="Normal"/>
    <w:semiHidden/>
    <w:rsid w:val="00FF6C2E"/>
    <w:pPr>
      <w:spacing w:after="120"/>
      <w:ind w:left="720"/>
    </w:pPr>
    <w:rPr>
      <w:lang w:val="en-GB"/>
    </w:rPr>
  </w:style>
  <w:style w:type="paragraph" w:styleId="ListContinue3">
    <w:name w:val="List Continue 3"/>
    <w:basedOn w:val="Normal"/>
    <w:semiHidden/>
    <w:rsid w:val="00FF6C2E"/>
    <w:pPr>
      <w:spacing w:after="120"/>
      <w:ind w:left="1080"/>
    </w:pPr>
    <w:rPr>
      <w:lang w:val="en-GB"/>
    </w:rPr>
  </w:style>
  <w:style w:type="paragraph" w:styleId="ListContinue4">
    <w:name w:val="List Continue 4"/>
    <w:basedOn w:val="Normal"/>
    <w:semiHidden/>
    <w:rsid w:val="00FF6C2E"/>
    <w:pPr>
      <w:spacing w:after="120"/>
      <w:ind w:left="1440"/>
    </w:pPr>
    <w:rPr>
      <w:lang w:val="en-GB"/>
    </w:rPr>
  </w:style>
  <w:style w:type="paragraph" w:styleId="ListContinue5">
    <w:name w:val="List Continue 5"/>
    <w:basedOn w:val="Normal"/>
    <w:semiHidden/>
    <w:rsid w:val="00FF6C2E"/>
    <w:pPr>
      <w:spacing w:after="120"/>
      <w:ind w:left="1800"/>
    </w:pPr>
    <w:rPr>
      <w:lang w:val="en-GB"/>
    </w:rPr>
  </w:style>
  <w:style w:type="paragraph" w:styleId="ListNumber">
    <w:name w:val="List Number"/>
    <w:basedOn w:val="Normal"/>
    <w:semiHidden/>
    <w:rsid w:val="00FF6C2E"/>
    <w:pPr>
      <w:tabs>
        <w:tab w:val="num" w:pos="360"/>
      </w:tabs>
      <w:ind w:left="360" w:hanging="360"/>
    </w:pPr>
    <w:rPr>
      <w:lang w:val="en-GB"/>
    </w:rPr>
  </w:style>
  <w:style w:type="paragraph" w:styleId="ListNumber2">
    <w:name w:val="List Number 2"/>
    <w:basedOn w:val="Normal"/>
    <w:semiHidden/>
    <w:rsid w:val="00FF6C2E"/>
    <w:pPr>
      <w:tabs>
        <w:tab w:val="num" w:pos="720"/>
      </w:tabs>
      <w:ind w:left="720" w:hanging="360"/>
    </w:pPr>
    <w:rPr>
      <w:lang w:val="en-GB"/>
    </w:rPr>
  </w:style>
  <w:style w:type="paragraph" w:styleId="ListNumber3">
    <w:name w:val="List Number 3"/>
    <w:basedOn w:val="Normal"/>
    <w:semiHidden/>
    <w:rsid w:val="00FF6C2E"/>
    <w:pPr>
      <w:tabs>
        <w:tab w:val="num" w:pos="1080"/>
      </w:tabs>
      <w:ind w:left="1080" w:hanging="360"/>
    </w:pPr>
    <w:rPr>
      <w:lang w:val="en-GB"/>
    </w:rPr>
  </w:style>
  <w:style w:type="paragraph" w:styleId="ListNumber4">
    <w:name w:val="List Number 4"/>
    <w:basedOn w:val="Normal"/>
    <w:semiHidden/>
    <w:rsid w:val="00FF6C2E"/>
    <w:pPr>
      <w:tabs>
        <w:tab w:val="num" w:pos="1440"/>
      </w:tabs>
      <w:ind w:left="1440" w:hanging="360"/>
    </w:pPr>
    <w:rPr>
      <w:lang w:val="en-GB"/>
    </w:rPr>
  </w:style>
  <w:style w:type="paragraph" w:styleId="ListNumber5">
    <w:name w:val="List Number 5"/>
    <w:basedOn w:val="Normal"/>
    <w:semiHidden/>
    <w:rsid w:val="00FF6C2E"/>
    <w:pPr>
      <w:tabs>
        <w:tab w:val="num" w:pos="1800"/>
      </w:tabs>
      <w:ind w:left="1800" w:hanging="360"/>
    </w:pPr>
    <w:rPr>
      <w:lang w:val="en-GB"/>
    </w:rPr>
  </w:style>
  <w:style w:type="paragraph" w:styleId="MessageHeader">
    <w:name w:val="Message Header"/>
    <w:basedOn w:val="Normal"/>
    <w:link w:val="MessageHeaderChar"/>
    <w:semiHidden/>
    <w:rsid w:val="00FF6C2E"/>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lang w:val="en-GB"/>
    </w:rPr>
  </w:style>
  <w:style w:type="character" w:customStyle="1" w:styleId="MessageHeaderChar">
    <w:name w:val="Message Header Char"/>
    <w:basedOn w:val="DefaultParagraphFont"/>
    <w:link w:val="MessageHeader"/>
    <w:semiHidden/>
    <w:rsid w:val="00FF6C2E"/>
    <w:rPr>
      <w:rFonts w:ascii="Arial" w:hAnsi="Arial" w:cs="Arial"/>
      <w:sz w:val="22"/>
      <w:szCs w:val="24"/>
      <w:shd w:val="pct20" w:color="auto" w:fill="auto"/>
      <w:lang w:val="en-GB"/>
    </w:rPr>
  </w:style>
  <w:style w:type="paragraph" w:styleId="NormalIndent">
    <w:name w:val="Normal Indent"/>
    <w:basedOn w:val="Normal"/>
    <w:semiHidden/>
    <w:rsid w:val="00FF6C2E"/>
    <w:pPr>
      <w:ind w:left="720"/>
    </w:pPr>
    <w:rPr>
      <w:lang w:val="en-GB"/>
    </w:rPr>
  </w:style>
  <w:style w:type="paragraph" w:styleId="NoteHeading">
    <w:name w:val="Note Heading"/>
    <w:basedOn w:val="Normal"/>
    <w:next w:val="Normal"/>
    <w:link w:val="NoteHeadingChar"/>
    <w:semiHidden/>
    <w:rsid w:val="00FF6C2E"/>
    <w:rPr>
      <w:lang w:val="en-GB"/>
    </w:rPr>
  </w:style>
  <w:style w:type="character" w:customStyle="1" w:styleId="NoteHeadingChar">
    <w:name w:val="Note Heading Char"/>
    <w:basedOn w:val="DefaultParagraphFont"/>
    <w:link w:val="NoteHeading"/>
    <w:semiHidden/>
    <w:rsid w:val="00FF6C2E"/>
    <w:rPr>
      <w:sz w:val="22"/>
      <w:szCs w:val="22"/>
      <w:lang w:val="en-GB"/>
    </w:rPr>
  </w:style>
  <w:style w:type="paragraph" w:styleId="Salutation">
    <w:name w:val="Salutation"/>
    <w:basedOn w:val="Normal"/>
    <w:next w:val="Normal"/>
    <w:link w:val="SalutationChar"/>
    <w:semiHidden/>
    <w:rsid w:val="00FF6C2E"/>
    <w:rPr>
      <w:lang w:val="en-GB"/>
    </w:rPr>
  </w:style>
  <w:style w:type="character" w:customStyle="1" w:styleId="SalutationChar">
    <w:name w:val="Salutation Char"/>
    <w:basedOn w:val="DefaultParagraphFont"/>
    <w:link w:val="Salutation"/>
    <w:semiHidden/>
    <w:rsid w:val="00FF6C2E"/>
    <w:rPr>
      <w:sz w:val="22"/>
      <w:szCs w:val="22"/>
      <w:lang w:val="en-GB"/>
    </w:rPr>
  </w:style>
  <w:style w:type="paragraph" w:styleId="Signature">
    <w:name w:val="Signature"/>
    <w:basedOn w:val="Normal"/>
    <w:link w:val="SignatureChar"/>
    <w:semiHidden/>
    <w:rsid w:val="00FF6C2E"/>
    <w:pPr>
      <w:ind w:left="4320"/>
    </w:pPr>
    <w:rPr>
      <w:lang w:val="en-GB"/>
    </w:rPr>
  </w:style>
  <w:style w:type="character" w:customStyle="1" w:styleId="SignatureChar">
    <w:name w:val="Signature Char"/>
    <w:basedOn w:val="DefaultParagraphFont"/>
    <w:link w:val="Signature"/>
    <w:semiHidden/>
    <w:rsid w:val="00FF6C2E"/>
    <w:rPr>
      <w:sz w:val="22"/>
      <w:szCs w:val="22"/>
      <w:lang w:val="en-GB"/>
    </w:rPr>
  </w:style>
  <w:style w:type="paragraph" w:customStyle="1" w:styleId="xl72">
    <w:name w:val="xl72"/>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val="es-419" w:eastAsia="es-419"/>
    </w:rPr>
  </w:style>
  <w:style w:type="paragraph" w:customStyle="1" w:styleId="xl73">
    <w:name w:val="xl73"/>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4">
    <w:name w:val="xl74"/>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 w:type="paragraph" w:customStyle="1" w:styleId="xl75">
    <w:name w:val="xl75"/>
    <w:basedOn w:val="Normal"/>
    <w:rsid w:val="00FF6C2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sz w:val="24"/>
      <w:szCs w:val="24"/>
      <w:lang w:val="es-419" w:eastAsia="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image" Target="media/image6.png"/><Relationship Id="rId26" Type="http://schemas.openxmlformats.org/officeDocument/2006/relationships/header" Target="header7.xml"/><Relationship Id="rId39" Type="http://schemas.openxmlformats.org/officeDocument/2006/relationships/footer" Target="footer13.xml"/><Relationship Id="rId21" Type="http://schemas.openxmlformats.org/officeDocument/2006/relationships/footer" Target="footer4.xml"/><Relationship Id="rId34" Type="http://schemas.openxmlformats.org/officeDocument/2006/relationships/footer" Target="footer11.xml"/><Relationship Id="rId42" Type="http://schemas.openxmlformats.org/officeDocument/2006/relationships/footer" Target="footer15.xml"/><Relationship Id="rId47" Type="http://schemas.openxmlformats.org/officeDocument/2006/relationships/header" Target="header17.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8.xml"/><Relationship Id="rId11" Type="http://schemas.openxmlformats.org/officeDocument/2006/relationships/image" Target="media/image4.png"/><Relationship Id="rId24" Type="http://schemas.openxmlformats.org/officeDocument/2006/relationships/footer" Target="footer6.xml"/><Relationship Id="rId32" Type="http://schemas.openxmlformats.org/officeDocument/2006/relationships/header" Target="header10.xml"/><Relationship Id="rId37" Type="http://schemas.openxmlformats.org/officeDocument/2006/relationships/header" Target="header12.xml"/><Relationship Id="rId40" Type="http://schemas.openxmlformats.org/officeDocument/2006/relationships/footer" Target="footer14.xml"/><Relationship Id="rId45" Type="http://schemas.openxmlformats.org/officeDocument/2006/relationships/footer" Target="footer16.xml"/><Relationship Id="rId53" Type="http://schemas.openxmlformats.org/officeDocument/2006/relationships/customXml" Target="../customXml/item4.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header" Target="header16.xml"/><Relationship Id="rId52"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footer" Target="footer9.xml"/><Relationship Id="rId35" Type="http://schemas.openxmlformats.org/officeDocument/2006/relationships/header" Target="header11.xml"/><Relationship Id="rId43" Type="http://schemas.openxmlformats.org/officeDocument/2006/relationships/header" Target="header15.xml"/><Relationship Id="rId48" Type="http://schemas.openxmlformats.org/officeDocument/2006/relationships/footer" Target="footer18.xml"/><Relationship Id="rId8" Type="http://schemas.openxmlformats.org/officeDocument/2006/relationships/image" Target="media/image1.png"/><Relationship Id="rId51" Type="http://schemas.openxmlformats.org/officeDocument/2006/relationships/customXml" Target="../customXml/item2.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header" Target="header6.xml"/><Relationship Id="rId33" Type="http://schemas.openxmlformats.org/officeDocument/2006/relationships/footer" Target="footer10.xml"/><Relationship Id="rId38" Type="http://schemas.openxmlformats.org/officeDocument/2006/relationships/header" Target="header13.xml"/><Relationship Id="rId46" Type="http://schemas.openxmlformats.org/officeDocument/2006/relationships/footer" Target="footer17.xml"/><Relationship Id="rId20" Type="http://schemas.openxmlformats.org/officeDocument/2006/relationships/header" Target="header4.xml"/><Relationship Id="rId41"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oter" Target="footer12.xml"/><Relationship Id="rId4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J:\89th\Templates\Eec89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53246D93195D448C0B00D06489CC8C" ma:contentTypeVersion="3" ma:contentTypeDescription="Create a new document." ma:contentTypeScope="" ma:versionID="aaf0b8878dfeb222bf92394d7f46a944">
  <xsd:schema xmlns:xsd="http://www.w3.org/2001/XMLSchema" xmlns:p="http://schemas.microsoft.com/office/2006/metadata/properties" xmlns:ns2="2262b6cb-69a8-4d56-bd9a-7edb277f5d96" targetNamespace="http://schemas.microsoft.com/office/2006/metadata/properties" ma:root="true" ma:fieldsID="da7f062334ecc6c944795c2ecc5fc8aa" ns2:_="">
    <xsd:import namespace="2262b6cb-69a8-4d56-bd9a-7edb277f5d96"/>
    <xsd:element name="properties">
      <xsd:complexType>
        <xsd:sequence>
          <xsd:element name="documentManagement">
            <xsd:complexType>
              <xsd:all>
                <xsd:element ref="ns2:Document_x0020_Number" minOccurs="0"/>
                <xsd:element ref="ns2: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2262b6cb-69a8-4d56-bd9a-7edb277f5d96" elementFormDefault="qualified">
    <xsd:import namespace="http://schemas.microsoft.com/office/2006/documentManagement/types"/>
    <xsd:element name="Document_x0020_Number" ma:index="8" nillable="true" ma:displayName="Document Number" ma:default="UNEP/OzL.Pro/ExCom/89/" ma:internalName="Document_x0020_Number">
      <xsd:simpleType>
        <xsd:restriction base="dms:Text">
          <xsd:maxLength value="255"/>
        </xsd:restriction>
      </xsd:simpleType>
    </xsd:element>
    <xsd:element name="Part_x0020_I_x003a__x0020_Online_x002f_Part_x0020_II_x003a__x0020_In_x0020_Person" ma:index="9"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2262b6cb-69a8-4d56-bd9a-7edb277f5d96">UNEP/OzL.Pro/ExCom/89/7               </Document_x0020_Number>
    <Part_x0020_I_x003a__x0020_Online_x002f_Part_x0020_II_x003a__x0020_In_x0020_Person xmlns="2262b6cb-69a8-4d56-bd9a-7edb277f5d96">Part.II</Part_x0020_I_x003a__x0020_Online_x002f_Part_x0020_II_x003a__x0020_In_x0020_Person>
  </documentManagement>
</p:properties>
</file>

<file path=customXml/itemProps1.xml><?xml version="1.0" encoding="utf-8"?>
<ds:datastoreItem xmlns:ds="http://schemas.openxmlformats.org/officeDocument/2006/customXml" ds:itemID="{E776BB7A-B757-4158-90B7-C3E7A2F25EE4}"/>
</file>

<file path=customXml/itemProps2.xml><?xml version="1.0" encoding="utf-8"?>
<ds:datastoreItem xmlns:ds="http://schemas.openxmlformats.org/officeDocument/2006/customXml" ds:itemID="{FE49A86B-32B7-49B9-B2A8-520D981C3155}"/>
</file>

<file path=customXml/itemProps3.xml><?xml version="1.0" encoding="utf-8"?>
<ds:datastoreItem xmlns:ds="http://schemas.openxmlformats.org/officeDocument/2006/customXml" ds:itemID="{9916C518-7792-4F1C-8B0B-FE499C56FF9E}"/>
</file>

<file path=customXml/itemProps4.xml><?xml version="1.0" encoding="utf-8"?>
<ds:datastoreItem xmlns:ds="http://schemas.openxmlformats.org/officeDocument/2006/customXml" ds:itemID="{6DEACD27-4B10-4890-9A10-526598A8BC28}"/>
</file>

<file path=docProps/app.xml><?xml version="1.0" encoding="utf-8"?>
<Properties xmlns="http://schemas.openxmlformats.org/officeDocument/2006/extended-properties" xmlns:vt="http://schemas.openxmlformats.org/officeDocument/2006/docPropsVTypes">
  <Template>Eec89G</Template>
  <TotalTime>0</TotalTime>
  <Pages>40</Pages>
  <Words>17676</Words>
  <Characters>100755</Characters>
  <Application>Microsoft Office Word</Application>
  <DocSecurity>0</DocSecurity>
  <Lines>839</Lines>
  <Paragraphs>236</Paragraphs>
  <ScaleCrop>false</ScaleCrop>
  <HeadingPairs>
    <vt:vector size="2" baseType="variant">
      <vt:variant>
        <vt:lpstr>Title</vt:lpstr>
      </vt:variant>
      <vt:variant>
        <vt:i4>1</vt:i4>
      </vt:variant>
    </vt:vector>
  </HeadingPairs>
  <TitlesOfParts>
    <vt:vector size="1" baseType="lpstr">
      <vt:lpstr>Potential strategies, policy measures and commitments, as well as projects and activities that could be integrated within stage I of HFC phase down plans for Article 5 countries (decision 88/75)</vt:lpstr>
    </vt:vector>
  </TitlesOfParts>
  <Company>UNMFS</Company>
  <LinksUpToDate>false</LinksUpToDate>
  <CharactersWithSpaces>118195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Potential strategies, policy measures and commitments, as well as projects and activities that could be integrated within stage I of HFC phase down plans for Article 5 countries                                  .</dc:title>
  <dc:creator>Dominika Anna Suwik</dc:creator>
  <cp:keywords>89th ExCom</cp:keywords>
  <cp:lastModifiedBy>Dominika Anna Suwik</cp:lastModifiedBy>
  <cp:revision>2</cp:revision>
  <cp:lastPrinted>2001-05-26T16:40:00Z</cp:lastPrinted>
  <dcterms:created xsi:type="dcterms:W3CDTF">2022-02-14T17:14:00Z</dcterms:created>
  <dcterms:modified xsi:type="dcterms:W3CDTF">2022-02-14T17:14:00Z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UNEP/OzL.Pro/ExCom/89/7</vt:lpwstr>
  </property>
  <property fmtid="{D5CDD505-2E9C-101B-9397-08002B2CF9AE}" pid="3" name="Revision date">
    <vt:lpwstr>2/14/2022</vt:lpwstr>
  </property>
  <property fmtid="{D5CDD505-2E9C-101B-9397-08002B2CF9AE}" pid="4" name="ContentTypeId">
    <vt:lpwstr>0x010100C253246D93195D448C0B00D06489CC8C</vt:lpwstr>
  </property>
  <property fmtid="{D5CDD505-2E9C-101B-9397-08002B2CF9AE}" pid="5" name="DocumentType">
    <vt:lpwstr>Pre-session</vt:lpwstr>
  </property>
  <property fmtid="{D5CDD505-2E9C-101B-9397-08002B2CF9AE}" pid="6" name="Part I: Online/Part II: In Person 2">
    <vt:lpwstr>Part II</vt:lpwstr>
  </property>
</Properties>
</file>