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9C018B">
        <w:trPr>
          <w:trHeight w:val="720"/>
        </w:trPr>
        <w:tc>
          <w:tcPr>
            <w:tcW w:w="5490" w:type="dxa"/>
            <w:gridSpan w:val="2"/>
            <w:tcBorders>
              <w:bottom w:val="single" w:sz="18" w:space="0" w:color="auto"/>
            </w:tcBorders>
          </w:tcPr>
          <w:p w14:paraId="09F44EC8" w14:textId="77777777" w:rsidR="00C15867" w:rsidRPr="009B0D30" w:rsidRDefault="00C15867" w:rsidP="009C0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7C7F11B7" w14:textId="77777777" w:rsidR="00C15867" w:rsidRPr="009B0D30" w:rsidRDefault="00C15867" w:rsidP="009C018B">
            <w:pPr>
              <w:jc w:val="right"/>
              <w:rPr>
                <w:sz w:val="52"/>
                <w:szCs w:val="52"/>
              </w:rPr>
            </w:pPr>
            <w:r>
              <w:rPr>
                <w:rFonts w:ascii="Univers Bold" w:hAnsi="Univers Bold"/>
                <w:b/>
                <w:bCs/>
                <w:sz w:val="72"/>
                <w:lang w:val="fr"/>
              </w:rPr>
              <w:t>EP</w:t>
            </w:r>
          </w:p>
        </w:tc>
      </w:tr>
      <w:tr w:rsidR="00C15867" w:rsidRPr="009B0D30" w14:paraId="662E96B9" w14:textId="77777777" w:rsidTr="009C01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1A75902E" w:rsidR="00C15867" w:rsidRPr="009B0D30" w:rsidRDefault="00C16FC7" w:rsidP="009C018B">
            <w:pPr>
              <w:spacing w:before="120"/>
            </w:pPr>
            <w:r>
              <w:rPr>
                <w:noProof/>
                <w:lang w:val="fr"/>
              </w:rPr>
              <mc:AlternateContent>
                <mc:Choice Requires="wpg">
                  <w:drawing>
                    <wp:anchor distT="0" distB="0" distL="114300" distR="114300" simplePos="0" relativeHeight="251660288" behindDoc="0" locked="0" layoutInCell="1" allowOverlap="1" wp14:anchorId="2D571EFB" wp14:editId="72C8BFDE">
                      <wp:simplePos x="0" y="0"/>
                      <wp:positionH relativeFrom="column">
                        <wp:posOffset>2540</wp:posOffset>
                      </wp:positionH>
                      <wp:positionV relativeFrom="paragraph">
                        <wp:posOffset>36195</wp:posOffset>
                      </wp:positionV>
                      <wp:extent cx="844550" cy="1616075"/>
                      <wp:effectExtent l="0" t="0" r="0" b="0"/>
                      <wp:wrapNone/>
                      <wp:docPr id="84417281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PNUE"/>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77DC25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D06072C" w14:textId="77777777" w:rsidR="00E34FC7" w:rsidRDefault="00E34FC7" w:rsidP="009C0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14:paraId="065FC02F" w14:textId="781E49E6" w:rsidR="00C15867" w:rsidRPr="00E34FC7" w:rsidRDefault="00C15867" w:rsidP="009C0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225C8AFD" w14:textId="77777777" w:rsidR="00C15867" w:rsidRPr="00E34FC7" w:rsidRDefault="00C15867" w:rsidP="009C0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534CE36D" w14:textId="77777777" w:rsidR="00C15867" w:rsidRPr="00E34FC7" w:rsidRDefault="00C15867" w:rsidP="009C0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Pr>
                <w:rFonts w:ascii="Univers" w:hAnsi="Univers"/>
                <w:b/>
                <w:bCs/>
                <w:sz w:val="32"/>
                <w:lang w:val="fr"/>
              </w:rPr>
              <w:t>l’environnement</w:t>
            </w:r>
            <w:proofErr w:type="gramEnd"/>
          </w:p>
          <w:p w14:paraId="47BDAC6E" w14:textId="77777777" w:rsidR="00C15867" w:rsidRPr="00E34FC7" w:rsidRDefault="00C15867" w:rsidP="009C018B">
            <w:pPr>
              <w:spacing w:before="720"/>
              <w:ind w:left="158"/>
              <w:rPr>
                <w:lang w:val="fr-FR"/>
              </w:rPr>
            </w:pPr>
          </w:p>
        </w:tc>
        <w:tc>
          <w:tcPr>
            <w:tcW w:w="4590" w:type="dxa"/>
            <w:tcBorders>
              <w:top w:val="nil"/>
              <w:left w:val="nil"/>
              <w:bottom w:val="single" w:sz="36" w:space="0" w:color="auto"/>
              <w:right w:val="nil"/>
            </w:tcBorders>
          </w:tcPr>
          <w:p w14:paraId="528CDE03" w14:textId="77777777" w:rsidR="00C15867" w:rsidRPr="00C50D8B" w:rsidRDefault="00C15867" w:rsidP="009C018B">
            <w:pPr>
              <w:rPr>
                <w:lang w:val="fr-FR"/>
              </w:rPr>
            </w:pPr>
            <w:proofErr w:type="spellStart"/>
            <w:r>
              <w:rPr>
                <w:lang w:val="fr"/>
              </w:rPr>
              <w:t>Distr</w:t>
            </w:r>
            <w:proofErr w:type="spellEnd"/>
            <w:r>
              <w:rPr>
                <w:lang w:val="fr"/>
              </w:rPr>
              <w:t>.</w:t>
            </w:r>
          </w:p>
          <w:p w14:paraId="012E0212" w14:textId="77777777" w:rsidR="00923540" w:rsidRPr="00C50D8B" w:rsidRDefault="00923540" w:rsidP="00923540">
            <w:pPr>
              <w:rPr>
                <w:lang w:val="fr-FR"/>
              </w:rPr>
            </w:pPr>
            <w:r>
              <w:rPr>
                <w:lang w:val="fr"/>
              </w:rPr>
              <w:t>GÉNÉRALE</w:t>
            </w:r>
          </w:p>
          <w:p w14:paraId="5D120C02" w14:textId="77777777" w:rsidR="00C15867" w:rsidRPr="00C50D8B" w:rsidRDefault="00C15867" w:rsidP="009C018B">
            <w:pPr>
              <w:rPr>
                <w:lang w:val="fr-FR"/>
              </w:rPr>
            </w:pPr>
          </w:p>
          <w:p w14:paraId="18638DA9" w14:textId="77777777" w:rsidR="00C15867" w:rsidRPr="00C50D8B" w:rsidRDefault="00C15867" w:rsidP="009C018B">
            <w:pPr>
              <w:rPr>
                <w:lang w:val="fr-FR"/>
              </w:rPr>
            </w:pPr>
          </w:p>
          <w:p w14:paraId="3E3E3EAC" w14:textId="1D68A9F6" w:rsidR="00C15867" w:rsidRPr="00E34FC7" w:rsidRDefault="00575336" w:rsidP="009C018B">
            <w:pPr>
              <w:rPr>
                <w:lang w:val="fr-FR"/>
              </w:rPr>
            </w:pPr>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/93/84</w:t>
            </w:r>
            <w:r>
              <w:rPr>
                <w:lang w:val="fr"/>
              </w:rPr>
              <w:fldChar w:fldCharType="end"/>
            </w:r>
          </w:p>
          <w:p w14:paraId="74F721C0" w14:textId="56C7A854" w:rsidR="00C15867" w:rsidRPr="00E34FC7" w:rsidRDefault="00BC2495" w:rsidP="009C018B">
            <w:pPr>
              <w:rPr>
                <w:lang w:val="fr-FR"/>
              </w:rPr>
            </w:pPr>
            <w:r>
              <w:rPr>
                <w:lang w:val="fr"/>
              </w:rPr>
              <w:fldChar w:fldCharType="begin"/>
            </w:r>
            <w:r>
              <w:rPr>
                <w:lang w:val="fr"/>
              </w:rPr>
              <w:instrText xml:space="preserve"> DOCPROPERTY "Revision date" \@ "d MMMM YYYY"  \* MERGEFORMAT </w:instrText>
            </w:r>
            <w:r>
              <w:rPr>
                <w:lang w:val="fr"/>
              </w:rPr>
              <w:fldChar w:fldCharType="separate"/>
            </w:r>
            <w:r>
              <w:rPr>
                <w:lang w:val="fr"/>
              </w:rPr>
              <w:t>6 novembre 2023</w:t>
            </w:r>
            <w:r>
              <w:rPr>
                <w:lang w:val="fr"/>
              </w:rPr>
              <w:fldChar w:fldCharType="end"/>
            </w:r>
          </w:p>
          <w:p w14:paraId="47D6B7B7" w14:textId="77777777" w:rsidR="00C15867" w:rsidRPr="00E34FC7" w:rsidRDefault="00C15867" w:rsidP="009C018B">
            <w:pPr>
              <w:rPr>
                <w:caps/>
                <w:lang w:val="fr-FR"/>
              </w:rPr>
            </w:pPr>
          </w:p>
          <w:p w14:paraId="02019D4A" w14:textId="77777777" w:rsidR="00E34FC7" w:rsidRDefault="00C15867" w:rsidP="009C018B">
            <w:pPr>
              <w:rPr>
                <w:lang w:val="fr"/>
              </w:rPr>
            </w:pPr>
            <w:r>
              <w:rPr>
                <w:lang w:val="fr"/>
              </w:rPr>
              <w:t xml:space="preserve">FRANÇAIS </w:t>
            </w:r>
          </w:p>
          <w:p w14:paraId="1352AFCA" w14:textId="38391C5B" w:rsidR="00C15867" w:rsidRPr="009B0D30" w:rsidRDefault="00C15867" w:rsidP="009C018B">
            <w:r>
              <w:rPr>
                <w:lang w:val="fr"/>
              </w:rPr>
              <w:t>ORIGINAL : ANGLAIS</w:t>
            </w:r>
          </w:p>
        </w:tc>
      </w:tr>
    </w:tbl>
    <w:p w14:paraId="245915D8" w14:textId="00775D34" w:rsidR="00CA59FB" w:rsidRPr="00E34FC7" w:rsidRDefault="00C15867" w:rsidP="00CA59FB">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Quatre-vingt-treizième réunion</w:t>
      </w:r>
    </w:p>
    <w:p w14:paraId="08A7C2C2" w14:textId="0885AAA3" w:rsidR="00CA59FB" w:rsidRPr="00E34FC7" w:rsidRDefault="00CA59FB" w:rsidP="00CA59FB">
      <w:pPr>
        <w:jc w:val="left"/>
        <w:rPr>
          <w:lang w:val="fr-FR"/>
        </w:rPr>
      </w:pPr>
      <w:r>
        <w:rPr>
          <w:lang w:val="fr"/>
        </w:rPr>
        <w:t>Montréal, 15</w:t>
      </w:r>
      <w:r w:rsidR="00E34FC7" w:rsidRPr="00E34FC7">
        <w:rPr>
          <w:lang w:val="fr"/>
        </w:rPr>
        <w:t>–</w:t>
      </w:r>
      <w:r>
        <w:rPr>
          <w:lang w:val="fr"/>
        </w:rPr>
        <w:t>19</w:t>
      </w:r>
      <w:r w:rsidR="00C50D8B">
        <w:rPr>
          <w:lang w:val="fr"/>
        </w:rPr>
        <w:t> </w:t>
      </w:r>
      <w:r>
        <w:rPr>
          <w:lang w:val="fr"/>
        </w:rPr>
        <w:t>décembre 2023</w:t>
      </w:r>
    </w:p>
    <w:p w14:paraId="40265CA0" w14:textId="22840407" w:rsidR="00954046" w:rsidRPr="00E34FC7" w:rsidRDefault="00954046" w:rsidP="00954046">
      <w:pPr>
        <w:jc w:val="left"/>
        <w:rPr>
          <w:lang w:val="fr-FR"/>
        </w:rPr>
      </w:pPr>
      <w:r>
        <w:rPr>
          <w:lang w:val="fr"/>
        </w:rPr>
        <w:t>Point 9c) de l’ordre du jour provisoire</w:t>
      </w:r>
      <w:r>
        <w:rPr>
          <w:rStyle w:val="FootnoteReference"/>
          <w:lang w:val="fr"/>
        </w:rPr>
        <w:footnoteReference w:id="1"/>
      </w:r>
    </w:p>
    <w:p w14:paraId="26E7444D" w14:textId="77777777" w:rsidR="00C15867" w:rsidRPr="00E34FC7" w:rsidRDefault="00C15867" w:rsidP="00CA59FB">
      <w:pPr>
        <w:jc w:val="left"/>
        <w:rPr>
          <w:lang w:val="fr-FR"/>
        </w:rPr>
      </w:pPr>
    </w:p>
    <w:p w14:paraId="1139B067" w14:textId="77777777" w:rsidR="00954046" w:rsidRPr="00E34FC7" w:rsidRDefault="00954046" w:rsidP="00CA59FB">
      <w:pPr>
        <w:jc w:val="left"/>
        <w:rPr>
          <w:lang w:val="fr-FR"/>
        </w:rPr>
      </w:pPr>
    </w:p>
    <w:p w14:paraId="5FD31D86" w14:textId="652C42EC" w:rsidR="00954046" w:rsidRPr="00E34FC7" w:rsidRDefault="00954046" w:rsidP="009C018B">
      <w:pPr>
        <w:jc w:val="center"/>
        <w:rPr>
          <w:b/>
          <w:lang w:val="fr-FR"/>
        </w:rPr>
      </w:pPr>
      <w:r>
        <w:rPr>
          <w:b/>
          <w:bCs/>
          <w:lang w:val="fr"/>
        </w:rPr>
        <w:t>PROPOSITION DE PROJET : SAINT-KITTS-ET-NEVIS</w:t>
      </w:r>
    </w:p>
    <w:p w14:paraId="412083BB" w14:textId="77777777" w:rsidR="00954046" w:rsidRPr="00E34FC7" w:rsidRDefault="00954046" w:rsidP="009C018B">
      <w:pPr>
        <w:rPr>
          <w:lang w:val="fr-FR"/>
        </w:rPr>
      </w:pPr>
    </w:p>
    <w:p w14:paraId="176A85E9" w14:textId="77777777" w:rsidR="00954046" w:rsidRPr="00E34FC7" w:rsidRDefault="00954046" w:rsidP="009C018B">
      <w:pPr>
        <w:rPr>
          <w:lang w:val="fr-FR"/>
        </w:rPr>
      </w:pPr>
    </w:p>
    <w:p w14:paraId="6CA0017A" w14:textId="05C8B576" w:rsidR="00954046" w:rsidRPr="00E34FC7" w:rsidRDefault="00954046" w:rsidP="009C018B">
      <w:pPr>
        <w:ind w:firstLine="720"/>
        <w:rPr>
          <w:lang w:val="fr-FR"/>
        </w:rPr>
      </w:pPr>
      <w:r>
        <w:rPr>
          <w:lang w:val="fr"/>
        </w:rPr>
        <w:t>Le présent document contient les observations et la recommandation du Secrétariat du Fonds sur la proposition de projet suivante :</w:t>
      </w:r>
    </w:p>
    <w:p w14:paraId="51658A3F" w14:textId="77777777" w:rsidR="00954046" w:rsidRPr="00E34FC7" w:rsidRDefault="00954046" w:rsidP="009C018B">
      <w:pPr>
        <w:rPr>
          <w:lang w:val="fr-FR"/>
        </w:rPr>
      </w:pPr>
    </w:p>
    <w:p w14:paraId="3F758680" w14:textId="77777777" w:rsidR="00954046" w:rsidRPr="0034371D" w:rsidRDefault="00954046" w:rsidP="009C018B">
      <w:pPr>
        <w:rPr>
          <w:u w:val="single"/>
        </w:rPr>
      </w:pPr>
      <w:r>
        <w:rPr>
          <w:u w:val="single"/>
          <w:lang w:val="fr"/>
        </w:rPr>
        <w:t>Élimination</w:t>
      </w:r>
    </w:p>
    <w:p w14:paraId="1AB5C0C2" w14:textId="77777777" w:rsidR="00954046" w:rsidRPr="0034371D" w:rsidRDefault="00954046" w:rsidP="009C01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9C018B">
        <w:tc>
          <w:tcPr>
            <w:tcW w:w="6941" w:type="dxa"/>
          </w:tcPr>
          <w:p w14:paraId="49B0874D" w14:textId="5B2EB599" w:rsidR="00954046" w:rsidRPr="00E34FC7" w:rsidRDefault="00954046" w:rsidP="009C018B">
            <w:pPr>
              <w:pStyle w:val="ListParagraph"/>
              <w:numPr>
                <w:ilvl w:val="0"/>
                <w:numId w:val="22"/>
              </w:numPr>
              <w:ind w:hanging="830"/>
              <w:jc w:val="left"/>
              <w:rPr>
                <w:lang w:val="fr-FR"/>
              </w:rPr>
            </w:pPr>
            <w:r>
              <w:rPr>
                <w:lang w:val="fr"/>
              </w:rPr>
              <w:t>Plan de gestion de l’élimination des HCFC (phase I, troisième tranche)</w:t>
            </w:r>
          </w:p>
        </w:tc>
        <w:tc>
          <w:tcPr>
            <w:tcW w:w="2409" w:type="dxa"/>
          </w:tcPr>
          <w:p w14:paraId="144370FD" w14:textId="696B756F" w:rsidR="00954046" w:rsidRPr="0034371D" w:rsidRDefault="00EB7F73" w:rsidP="009C018B">
            <w:pPr>
              <w:jc w:val="right"/>
            </w:pPr>
            <w:r>
              <w:rPr>
                <w:lang w:val="fr"/>
              </w:rPr>
              <w:t>PNUE et PNUD</w:t>
            </w:r>
          </w:p>
        </w:tc>
      </w:tr>
    </w:tbl>
    <w:p w14:paraId="42C01D04" w14:textId="77777777" w:rsidR="00954046" w:rsidRPr="0034371D" w:rsidRDefault="00954046" w:rsidP="009C018B"/>
    <w:p w14:paraId="5F25FBB1" w14:textId="77777777" w:rsidR="00954046" w:rsidRPr="0034371D" w:rsidRDefault="00954046" w:rsidP="009C018B"/>
    <w:p w14:paraId="4F359BF4" w14:textId="77777777" w:rsidR="00954046" w:rsidRPr="0034371D" w:rsidRDefault="00954046" w:rsidP="009C018B"/>
    <w:p w14:paraId="56ACB3A2" w14:textId="77777777" w:rsidR="00954046" w:rsidRPr="0034371D" w:rsidRDefault="00954046" w:rsidP="009C018B">
      <w:r>
        <w:rPr>
          <w:lang w:val="fr"/>
        </w:rPr>
        <w:br w:type="page"/>
      </w:r>
    </w:p>
    <w:p w14:paraId="3A743F72" w14:textId="424680EF" w:rsidR="00954046" w:rsidRPr="00E34FC7" w:rsidRDefault="00954046" w:rsidP="009C018B">
      <w:pPr>
        <w:jc w:val="center"/>
        <w:rPr>
          <w:b/>
          <w:lang w:val="fr-FR"/>
        </w:rPr>
      </w:pPr>
      <w:r>
        <w:rPr>
          <w:b/>
          <w:bCs/>
          <w:lang w:val="fr"/>
        </w:rPr>
        <w:lastRenderedPageBreak/>
        <w:t>FICHE D’ÉVALUATION DU PROJET – PROJETS PLURIANNUELS</w:t>
      </w:r>
    </w:p>
    <w:p w14:paraId="1B958330" w14:textId="20658DD0" w:rsidR="00954046" w:rsidRPr="00FE10BB" w:rsidRDefault="00EB7F73" w:rsidP="009C018B">
      <w:pPr>
        <w:jc w:val="center"/>
        <w:rPr>
          <w:b/>
          <w:bCs/>
        </w:rPr>
      </w:pPr>
      <w:r>
        <w:rPr>
          <w:b/>
          <w:bCs/>
          <w:lang w:val="fr"/>
        </w:rPr>
        <w:t>Saint-Kitts-et-Nevis</w:t>
      </w:r>
    </w:p>
    <w:tbl>
      <w:tblPr>
        <w:tblStyle w:val="TableGrid"/>
        <w:tblW w:w="10008" w:type="dxa"/>
        <w:tblLook w:val="04A0" w:firstRow="1" w:lastRow="0" w:firstColumn="1" w:lastColumn="0" w:noHBand="0" w:noVBand="1"/>
      </w:tblPr>
      <w:tblGrid>
        <w:gridCol w:w="2830"/>
        <w:gridCol w:w="2127"/>
        <w:gridCol w:w="2409"/>
        <w:gridCol w:w="2642"/>
      </w:tblGrid>
      <w:tr w:rsidR="00954046" w:rsidRPr="00A170BE" w14:paraId="1926A0A8" w14:textId="77777777" w:rsidTr="00731FC5">
        <w:trPr>
          <w:trHeight w:val="240"/>
        </w:trPr>
        <w:tc>
          <w:tcPr>
            <w:tcW w:w="2830" w:type="dxa"/>
            <w:hideMark/>
          </w:tcPr>
          <w:p w14:paraId="30EB9D2D" w14:textId="77777777" w:rsidR="00954046" w:rsidRPr="00A170BE" w:rsidRDefault="00954046">
            <w:pPr>
              <w:jc w:val="left"/>
              <w:rPr>
                <w:b/>
                <w:sz w:val="20"/>
                <w:szCs w:val="20"/>
              </w:rPr>
            </w:pPr>
            <w:r>
              <w:rPr>
                <w:b/>
                <w:bCs/>
                <w:sz w:val="20"/>
                <w:szCs w:val="20"/>
                <w:lang w:val="fr"/>
              </w:rPr>
              <w:t>(I) TITRE DU PROJET</w:t>
            </w:r>
          </w:p>
        </w:tc>
        <w:tc>
          <w:tcPr>
            <w:tcW w:w="2127" w:type="dxa"/>
            <w:hideMark/>
          </w:tcPr>
          <w:p w14:paraId="59F98935" w14:textId="77777777" w:rsidR="00954046" w:rsidRPr="00A170BE" w:rsidRDefault="00954046">
            <w:pPr>
              <w:jc w:val="center"/>
              <w:rPr>
                <w:b/>
                <w:sz w:val="20"/>
                <w:szCs w:val="20"/>
              </w:rPr>
            </w:pPr>
            <w:r>
              <w:rPr>
                <w:b/>
                <w:bCs/>
                <w:sz w:val="20"/>
                <w:szCs w:val="20"/>
                <w:lang w:val="fr"/>
              </w:rPr>
              <w:t>AGENCE</w:t>
            </w:r>
          </w:p>
        </w:tc>
        <w:tc>
          <w:tcPr>
            <w:tcW w:w="2409" w:type="dxa"/>
            <w:hideMark/>
          </w:tcPr>
          <w:p w14:paraId="5511A97E" w14:textId="77777777" w:rsidR="00954046" w:rsidRPr="00A170BE" w:rsidRDefault="00954046">
            <w:pPr>
              <w:jc w:val="center"/>
              <w:rPr>
                <w:b/>
                <w:sz w:val="20"/>
                <w:szCs w:val="20"/>
              </w:rPr>
            </w:pPr>
            <w:r>
              <w:rPr>
                <w:b/>
                <w:bCs/>
                <w:sz w:val="20"/>
                <w:szCs w:val="20"/>
                <w:lang w:val="fr"/>
              </w:rPr>
              <w:t>RÉUNION D’APPROBATION</w:t>
            </w:r>
          </w:p>
        </w:tc>
        <w:tc>
          <w:tcPr>
            <w:tcW w:w="2642" w:type="dxa"/>
            <w:hideMark/>
          </w:tcPr>
          <w:p w14:paraId="21A02E8D" w14:textId="77777777" w:rsidR="00954046" w:rsidRPr="00A170BE" w:rsidRDefault="00954046">
            <w:pPr>
              <w:jc w:val="center"/>
              <w:rPr>
                <w:b/>
                <w:sz w:val="20"/>
                <w:szCs w:val="20"/>
              </w:rPr>
            </w:pPr>
            <w:r>
              <w:rPr>
                <w:b/>
                <w:bCs/>
                <w:sz w:val="20"/>
                <w:szCs w:val="20"/>
                <w:lang w:val="fr"/>
              </w:rPr>
              <w:t>MESURE DE CONTRÔLE</w:t>
            </w:r>
          </w:p>
        </w:tc>
      </w:tr>
      <w:tr w:rsidR="00954046" w:rsidRPr="00A170BE" w14:paraId="6627383C" w14:textId="77777777" w:rsidTr="00731FC5">
        <w:trPr>
          <w:trHeight w:val="240"/>
        </w:trPr>
        <w:tc>
          <w:tcPr>
            <w:tcW w:w="2830" w:type="dxa"/>
            <w:vAlign w:val="center"/>
            <w:hideMark/>
          </w:tcPr>
          <w:p w14:paraId="79EE00CE" w14:textId="7EA76439" w:rsidR="00954046" w:rsidRPr="00E34FC7" w:rsidRDefault="00954046" w:rsidP="009C018B">
            <w:pPr>
              <w:jc w:val="center"/>
              <w:rPr>
                <w:sz w:val="20"/>
                <w:szCs w:val="20"/>
                <w:lang w:val="fr-FR"/>
              </w:rPr>
            </w:pPr>
            <w:r>
              <w:rPr>
                <w:sz w:val="20"/>
                <w:szCs w:val="20"/>
                <w:lang w:val="fr"/>
              </w:rPr>
              <w:t>Plan de gestion de l’élimination des HCFC (phase I)</w:t>
            </w:r>
          </w:p>
        </w:tc>
        <w:tc>
          <w:tcPr>
            <w:tcW w:w="2127" w:type="dxa"/>
            <w:vAlign w:val="center"/>
          </w:tcPr>
          <w:p w14:paraId="3AA1CC62" w14:textId="3C49F669" w:rsidR="00954046" w:rsidRPr="00A170BE" w:rsidRDefault="00EB7F73" w:rsidP="009C018B">
            <w:pPr>
              <w:jc w:val="center"/>
              <w:rPr>
                <w:sz w:val="20"/>
                <w:szCs w:val="20"/>
              </w:rPr>
            </w:pPr>
            <w:r>
              <w:rPr>
                <w:color w:val="000000" w:themeColor="text1"/>
                <w:sz w:val="20"/>
                <w:szCs w:val="20"/>
                <w:lang w:val="fr"/>
              </w:rPr>
              <w:t>PNUE (agence principale), PNUD</w:t>
            </w:r>
          </w:p>
        </w:tc>
        <w:tc>
          <w:tcPr>
            <w:tcW w:w="2409" w:type="dxa"/>
            <w:vAlign w:val="center"/>
          </w:tcPr>
          <w:p w14:paraId="6C2A94A7" w14:textId="1F88FA4B" w:rsidR="00954046" w:rsidRPr="00A170BE" w:rsidRDefault="00E63E4D" w:rsidP="009C018B">
            <w:pPr>
              <w:jc w:val="center"/>
              <w:rPr>
                <w:sz w:val="20"/>
                <w:szCs w:val="20"/>
              </w:rPr>
            </w:pPr>
            <w:r>
              <w:rPr>
                <w:sz w:val="20"/>
                <w:szCs w:val="20"/>
                <w:lang w:val="fr"/>
              </w:rPr>
              <w:t>64</w:t>
            </w:r>
            <w:r>
              <w:rPr>
                <w:sz w:val="20"/>
                <w:szCs w:val="20"/>
                <w:vertAlign w:val="superscript"/>
                <w:lang w:val="fr"/>
              </w:rPr>
              <w:t>e</w:t>
            </w:r>
          </w:p>
        </w:tc>
        <w:tc>
          <w:tcPr>
            <w:tcW w:w="2642" w:type="dxa"/>
            <w:vAlign w:val="center"/>
          </w:tcPr>
          <w:p w14:paraId="3895CEB1" w14:textId="7BC16DFE" w:rsidR="00954046" w:rsidRPr="00A170BE" w:rsidRDefault="00E63E4D" w:rsidP="009C018B">
            <w:pPr>
              <w:jc w:val="center"/>
              <w:rPr>
                <w:sz w:val="20"/>
                <w:szCs w:val="20"/>
              </w:rPr>
            </w:pPr>
            <w:r>
              <w:rPr>
                <w:sz w:val="20"/>
                <w:szCs w:val="20"/>
                <w:lang w:val="fr"/>
              </w:rPr>
              <w:t>Élimination de 35 % d’ici à 2020</w:t>
            </w:r>
          </w:p>
        </w:tc>
      </w:tr>
    </w:tbl>
    <w:p w14:paraId="09A55122" w14:textId="77777777" w:rsidR="00954046" w:rsidRPr="00A170BE" w:rsidRDefault="00954046" w:rsidP="009C01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954046" w:rsidRPr="00830019" w14:paraId="1712D5B7" w14:textId="77777777" w:rsidTr="00731FC5">
        <w:trPr>
          <w:trHeight w:val="43"/>
        </w:trPr>
        <w:tc>
          <w:tcPr>
            <w:tcW w:w="5200" w:type="dxa"/>
            <w:hideMark/>
          </w:tcPr>
          <w:p w14:paraId="26263814" w14:textId="5E2EC45F" w:rsidR="00954046" w:rsidRPr="00E34FC7" w:rsidRDefault="00954046">
            <w:pPr>
              <w:jc w:val="left"/>
              <w:rPr>
                <w:b/>
                <w:sz w:val="20"/>
                <w:szCs w:val="20"/>
                <w:lang w:val="fr-FR"/>
              </w:rPr>
            </w:pPr>
            <w:r>
              <w:rPr>
                <w:b/>
                <w:bCs/>
                <w:sz w:val="20"/>
                <w:szCs w:val="20"/>
                <w:lang w:val="fr"/>
              </w:rPr>
              <w:t xml:space="preserve">(II) DERNIÈRES DONNÉES </w:t>
            </w:r>
            <w:r w:rsidR="00384569">
              <w:rPr>
                <w:b/>
                <w:bCs/>
                <w:sz w:val="20"/>
                <w:szCs w:val="20"/>
                <w:lang w:val="fr"/>
              </w:rPr>
              <w:t>FOURNIES</w:t>
            </w:r>
            <w:r>
              <w:rPr>
                <w:b/>
                <w:bCs/>
                <w:sz w:val="20"/>
                <w:szCs w:val="20"/>
                <w:lang w:val="fr"/>
              </w:rPr>
              <w:t xml:space="preserve"> AU TITRE DE L’ARTICLE 7 (groupe l, annexe C)</w:t>
            </w:r>
          </w:p>
        </w:tc>
        <w:tc>
          <w:tcPr>
            <w:tcW w:w="2400" w:type="dxa"/>
            <w:hideMark/>
          </w:tcPr>
          <w:p w14:paraId="23422FFC" w14:textId="02B0844F" w:rsidR="00954046" w:rsidRPr="002B0AA0" w:rsidRDefault="00954046">
            <w:pPr>
              <w:jc w:val="center"/>
              <w:rPr>
                <w:sz w:val="20"/>
                <w:szCs w:val="20"/>
              </w:rPr>
            </w:pPr>
            <w:r>
              <w:rPr>
                <w:sz w:val="20"/>
                <w:szCs w:val="20"/>
                <w:lang w:val="fr"/>
              </w:rPr>
              <w:t>Année : 2022</w:t>
            </w:r>
          </w:p>
        </w:tc>
        <w:tc>
          <w:tcPr>
            <w:tcW w:w="2400" w:type="dxa"/>
            <w:hideMark/>
          </w:tcPr>
          <w:p w14:paraId="3D378C6C" w14:textId="4DB3589A" w:rsidR="00954046" w:rsidRPr="002B0AA0" w:rsidRDefault="00EA3F87">
            <w:pPr>
              <w:jc w:val="right"/>
              <w:rPr>
                <w:sz w:val="20"/>
                <w:szCs w:val="20"/>
              </w:rPr>
            </w:pPr>
            <w:r>
              <w:rPr>
                <w:color w:val="000000" w:themeColor="text1"/>
                <w:sz w:val="20"/>
                <w:szCs w:val="20"/>
                <w:lang w:val="fr"/>
              </w:rPr>
              <w:t>0,11</w:t>
            </w:r>
            <w:r>
              <w:rPr>
                <w:sz w:val="20"/>
                <w:szCs w:val="20"/>
                <w:lang w:val="fr"/>
              </w:rPr>
              <w:t> tonne PAO</w:t>
            </w:r>
          </w:p>
        </w:tc>
      </w:tr>
    </w:tbl>
    <w:p w14:paraId="489D9616" w14:textId="77777777" w:rsidR="00954046" w:rsidRPr="00830019" w:rsidRDefault="00954046" w:rsidP="009C018B">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54046" w:rsidRPr="00830019" w14:paraId="35FF8191" w14:textId="77777777" w:rsidTr="00731FC5">
        <w:trPr>
          <w:trHeight w:val="249"/>
        </w:trPr>
        <w:tc>
          <w:tcPr>
            <w:tcW w:w="7933" w:type="dxa"/>
            <w:gridSpan w:val="8"/>
            <w:hideMark/>
          </w:tcPr>
          <w:p w14:paraId="6093A434" w14:textId="77777777" w:rsidR="00954046" w:rsidRPr="00E34FC7" w:rsidRDefault="00954046">
            <w:pPr>
              <w:jc w:val="left"/>
              <w:rPr>
                <w:b/>
                <w:sz w:val="20"/>
                <w:szCs w:val="20"/>
                <w:lang w:val="fr-FR"/>
              </w:rPr>
            </w:pPr>
            <w:r>
              <w:rPr>
                <w:b/>
                <w:bCs/>
                <w:sz w:val="20"/>
                <w:szCs w:val="20"/>
                <w:lang w:val="fr"/>
              </w:rPr>
              <w:t>(III) DERNIÈRES DONNÉES SECTORIELLES DU PROGRAMME DE PAYS (tonnes PAO)</w:t>
            </w:r>
          </w:p>
        </w:tc>
        <w:tc>
          <w:tcPr>
            <w:tcW w:w="2072" w:type="dxa"/>
            <w:gridSpan w:val="2"/>
            <w:hideMark/>
          </w:tcPr>
          <w:p w14:paraId="1B0F5368" w14:textId="517BD10B" w:rsidR="00954046" w:rsidRPr="00FE3CD0" w:rsidRDefault="00954046">
            <w:pPr>
              <w:jc w:val="right"/>
              <w:rPr>
                <w:b/>
                <w:sz w:val="20"/>
                <w:szCs w:val="20"/>
              </w:rPr>
            </w:pPr>
            <w:r>
              <w:rPr>
                <w:b/>
                <w:bCs/>
                <w:sz w:val="20"/>
                <w:szCs w:val="20"/>
                <w:lang w:val="fr"/>
              </w:rPr>
              <w:t>Année : 2022</w:t>
            </w:r>
          </w:p>
        </w:tc>
      </w:tr>
      <w:tr w:rsidR="00954046" w:rsidRPr="00830019" w14:paraId="1CC2B65E" w14:textId="77777777" w:rsidTr="00731FC5">
        <w:trPr>
          <w:trHeight w:val="249"/>
        </w:trPr>
        <w:tc>
          <w:tcPr>
            <w:tcW w:w="1273" w:type="dxa"/>
            <w:hideMark/>
          </w:tcPr>
          <w:p w14:paraId="261A67C7" w14:textId="77777777" w:rsidR="00954046" w:rsidRPr="00830019" w:rsidRDefault="00954046">
            <w:pPr>
              <w:jc w:val="center"/>
              <w:rPr>
                <w:sz w:val="20"/>
                <w:szCs w:val="20"/>
              </w:rPr>
            </w:pPr>
            <w:r>
              <w:rPr>
                <w:sz w:val="20"/>
                <w:szCs w:val="20"/>
                <w:lang w:val="fr"/>
              </w:rPr>
              <w:t>Substances chimiques</w:t>
            </w:r>
          </w:p>
        </w:tc>
        <w:tc>
          <w:tcPr>
            <w:tcW w:w="851" w:type="dxa"/>
            <w:hideMark/>
          </w:tcPr>
          <w:p w14:paraId="5E0BF770" w14:textId="77777777" w:rsidR="00954046" w:rsidRPr="00830019" w:rsidRDefault="00954046" w:rsidP="002E5BAB">
            <w:pPr>
              <w:ind w:left="-108" w:right="-106"/>
              <w:jc w:val="center"/>
              <w:rPr>
                <w:sz w:val="20"/>
                <w:szCs w:val="20"/>
              </w:rPr>
            </w:pPr>
            <w:r>
              <w:rPr>
                <w:sz w:val="20"/>
                <w:szCs w:val="20"/>
                <w:lang w:val="fr"/>
              </w:rPr>
              <w:t>Aérosols</w:t>
            </w:r>
          </w:p>
        </w:tc>
        <w:tc>
          <w:tcPr>
            <w:tcW w:w="708" w:type="dxa"/>
            <w:hideMark/>
          </w:tcPr>
          <w:p w14:paraId="0C205BBB" w14:textId="77777777" w:rsidR="00954046" w:rsidRPr="00830019" w:rsidRDefault="00954046" w:rsidP="002E5BAB">
            <w:pPr>
              <w:ind w:left="-106" w:right="-110"/>
              <w:jc w:val="center"/>
              <w:rPr>
                <w:sz w:val="20"/>
                <w:szCs w:val="20"/>
              </w:rPr>
            </w:pPr>
            <w:r>
              <w:rPr>
                <w:sz w:val="20"/>
                <w:szCs w:val="20"/>
                <w:lang w:val="fr"/>
              </w:rPr>
              <w:t>Mousses</w:t>
            </w:r>
          </w:p>
        </w:tc>
        <w:tc>
          <w:tcPr>
            <w:tcW w:w="851" w:type="dxa"/>
            <w:hideMark/>
          </w:tcPr>
          <w:p w14:paraId="506BD8D1" w14:textId="54EE87E9" w:rsidR="00954046" w:rsidRPr="00830019" w:rsidRDefault="00954046">
            <w:pPr>
              <w:jc w:val="center"/>
              <w:rPr>
                <w:sz w:val="20"/>
                <w:szCs w:val="20"/>
              </w:rPr>
            </w:pPr>
            <w:r>
              <w:rPr>
                <w:sz w:val="20"/>
                <w:szCs w:val="20"/>
                <w:lang w:val="fr"/>
              </w:rPr>
              <w:t>Lutte contre l</w:t>
            </w:r>
            <w:r w:rsidR="00366F92">
              <w:rPr>
                <w:sz w:val="20"/>
                <w:szCs w:val="20"/>
                <w:lang w:val="fr"/>
              </w:rPr>
              <w:t>’incendie</w:t>
            </w:r>
          </w:p>
        </w:tc>
        <w:tc>
          <w:tcPr>
            <w:tcW w:w="2549" w:type="dxa"/>
            <w:gridSpan w:val="2"/>
            <w:hideMark/>
          </w:tcPr>
          <w:p w14:paraId="5469B97E" w14:textId="77777777" w:rsidR="00954046" w:rsidRPr="00830019" w:rsidRDefault="00954046">
            <w:pPr>
              <w:jc w:val="center"/>
              <w:rPr>
                <w:sz w:val="20"/>
                <w:szCs w:val="20"/>
              </w:rPr>
            </w:pPr>
            <w:r>
              <w:rPr>
                <w:sz w:val="20"/>
                <w:szCs w:val="20"/>
                <w:lang w:val="fr"/>
              </w:rPr>
              <w:t>Réfrigération</w:t>
            </w:r>
          </w:p>
        </w:tc>
        <w:tc>
          <w:tcPr>
            <w:tcW w:w="851" w:type="dxa"/>
            <w:hideMark/>
          </w:tcPr>
          <w:p w14:paraId="76FE025E" w14:textId="77777777" w:rsidR="00954046" w:rsidRPr="00830019" w:rsidRDefault="00954046" w:rsidP="002E5BAB">
            <w:pPr>
              <w:ind w:right="-110"/>
              <w:jc w:val="center"/>
              <w:rPr>
                <w:sz w:val="20"/>
                <w:szCs w:val="20"/>
              </w:rPr>
            </w:pPr>
            <w:r>
              <w:rPr>
                <w:sz w:val="20"/>
                <w:szCs w:val="20"/>
                <w:lang w:val="fr"/>
              </w:rPr>
              <w:t>Solvants</w:t>
            </w:r>
          </w:p>
        </w:tc>
        <w:tc>
          <w:tcPr>
            <w:tcW w:w="850" w:type="dxa"/>
            <w:hideMark/>
          </w:tcPr>
          <w:p w14:paraId="09ADCA0F" w14:textId="77777777" w:rsidR="00954046" w:rsidRPr="00830019" w:rsidRDefault="00954046">
            <w:pPr>
              <w:jc w:val="center"/>
              <w:rPr>
                <w:sz w:val="20"/>
                <w:szCs w:val="20"/>
              </w:rPr>
            </w:pPr>
            <w:r>
              <w:rPr>
                <w:sz w:val="20"/>
                <w:szCs w:val="20"/>
                <w:lang w:val="fr"/>
              </w:rPr>
              <w:t>Agents de transformation</w:t>
            </w:r>
          </w:p>
        </w:tc>
        <w:tc>
          <w:tcPr>
            <w:tcW w:w="713" w:type="dxa"/>
            <w:hideMark/>
          </w:tcPr>
          <w:p w14:paraId="6B2D694E" w14:textId="77777777" w:rsidR="00954046" w:rsidRPr="00830019" w:rsidRDefault="00954046">
            <w:pPr>
              <w:jc w:val="center"/>
              <w:rPr>
                <w:sz w:val="20"/>
                <w:szCs w:val="20"/>
              </w:rPr>
            </w:pPr>
            <w:r>
              <w:rPr>
                <w:sz w:val="20"/>
                <w:szCs w:val="20"/>
                <w:lang w:val="fr"/>
              </w:rPr>
              <w:t>Utilisation en laboratoire</w:t>
            </w:r>
          </w:p>
        </w:tc>
        <w:tc>
          <w:tcPr>
            <w:tcW w:w="1359" w:type="dxa"/>
            <w:hideMark/>
          </w:tcPr>
          <w:p w14:paraId="482DB698" w14:textId="77777777" w:rsidR="00954046" w:rsidRPr="00FE3CD0" w:rsidRDefault="00954046">
            <w:pPr>
              <w:jc w:val="center"/>
              <w:rPr>
                <w:sz w:val="20"/>
                <w:szCs w:val="20"/>
              </w:rPr>
            </w:pPr>
            <w:r>
              <w:rPr>
                <w:sz w:val="20"/>
                <w:szCs w:val="20"/>
                <w:lang w:val="fr"/>
              </w:rPr>
              <w:t>Consommation totale du secteur</w:t>
            </w:r>
          </w:p>
        </w:tc>
      </w:tr>
      <w:tr w:rsidR="00954046" w:rsidRPr="00830019" w14:paraId="4D17F2A2" w14:textId="77777777" w:rsidTr="00731FC5">
        <w:trPr>
          <w:trHeight w:val="249"/>
        </w:trPr>
        <w:tc>
          <w:tcPr>
            <w:tcW w:w="3683" w:type="dxa"/>
            <w:gridSpan w:val="4"/>
            <w:hideMark/>
          </w:tcPr>
          <w:p w14:paraId="74DB031F" w14:textId="77777777" w:rsidR="00954046" w:rsidRPr="00830019" w:rsidRDefault="00954046">
            <w:pPr>
              <w:jc w:val="center"/>
              <w:rPr>
                <w:sz w:val="20"/>
                <w:szCs w:val="20"/>
              </w:rPr>
            </w:pPr>
            <w:r>
              <w:rPr>
                <w:sz w:val="20"/>
                <w:szCs w:val="20"/>
                <w:lang w:val="fr"/>
              </w:rPr>
              <w:t xml:space="preserve"> </w:t>
            </w:r>
          </w:p>
        </w:tc>
        <w:tc>
          <w:tcPr>
            <w:tcW w:w="1418" w:type="dxa"/>
            <w:hideMark/>
          </w:tcPr>
          <w:p w14:paraId="1113A756" w14:textId="77777777" w:rsidR="00954046" w:rsidRPr="00830019" w:rsidRDefault="00954046">
            <w:pPr>
              <w:jc w:val="center"/>
              <w:rPr>
                <w:sz w:val="20"/>
                <w:szCs w:val="20"/>
              </w:rPr>
            </w:pPr>
            <w:r>
              <w:rPr>
                <w:sz w:val="20"/>
                <w:szCs w:val="20"/>
                <w:lang w:val="fr"/>
              </w:rPr>
              <w:t>Fabrication</w:t>
            </w:r>
          </w:p>
        </w:tc>
        <w:tc>
          <w:tcPr>
            <w:tcW w:w="1131" w:type="dxa"/>
            <w:hideMark/>
          </w:tcPr>
          <w:p w14:paraId="3A075773" w14:textId="77777777" w:rsidR="00954046" w:rsidRPr="00830019" w:rsidRDefault="00954046">
            <w:pPr>
              <w:jc w:val="center"/>
              <w:rPr>
                <w:sz w:val="20"/>
                <w:szCs w:val="20"/>
              </w:rPr>
            </w:pPr>
            <w:r>
              <w:rPr>
                <w:sz w:val="20"/>
                <w:szCs w:val="20"/>
                <w:lang w:val="fr"/>
              </w:rPr>
              <w:t>Entretien</w:t>
            </w:r>
          </w:p>
        </w:tc>
        <w:tc>
          <w:tcPr>
            <w:tcW w:w="3773" w:type="dxa"/>
            <w:gridSpan w:val="4"/>
          </w:tcPr>
          <w:p w14:paraId="46B29C03" w14:textId="77777777" w:rsidR="00954046" w:rsidRPr="00FE3CD0" w:rsidRDefault="00954046">
            <w:pPr>
              <w:jc w:val="center"/>
              <w:rPr>
                <w:sz w:val="20"/>
                <w:szCs w:val="20"/>
              </w:rPr>
            </w:pPr>
          </w:p>
        </w:tc>
      </w:tr>
      <w:tr w:rsidR="00954046" w:rsidRPr="00830019" w14:paraId="6D716EE9" w14:textId="77777777" w:rsidTr="00731FC5">
        <w:trPr>
          <w:trHeight w:val="249"/>
        </w:trPr>
        <w:tc>
          <w:tcPr>
            <w:tcW w:w="1273" w:type="dxa"/>
            <w:hideMark/>
          </w:tcPr>
          <w:p w14:paraId="2AC41EFF" w14:textId="77777777" w:rsidR="00954046" w:rsidRPr="00830019" w:rsidRDefault="00954046" w:rsidP="009C018B">
            <w:pPr>
              <w:jc w:val="left"/>
              <w:rPr>
                <w:sz w:val="20"/>
                <w:szCs w:val="20"/>
              </w:rPr>
            </w:pPr>
            <w:r>
              <w:rPr>
                <w:sz w:val="20"/>
                <w:szCs w:val="20"/>
                <w:lang w:val="fr"/>
              </w:rPr>
              <w:t>HCFC-22</w:t>
            </w:r>
          </w:p>
        </w:tc>
        <w:tc>
          <w:tcPr>
            <w:tcW w:w="851" w:type="dxa"/>
          </w:tcPr>
          <w:p w14:paraId="40E5F6ED" w14:textId="77777777" w:rsidR="00954046" w:rsidRPr="00830019" w:rsidRDefault="00954046" w:rsidP="009C018B">
            <w:pPr>
              <w:jc w:val="right"/>
              <w:rPr>
                <w:sz w:val="20"/>
                <w:szCs w:val="20"/>
              </w:rPr>
            </w:pPr>
          </w:p>
        </w:tc>
        <w:tc>
          <w:tcPr>
            <w:tcW w:w="708" w:type="dxa"/>
          </w:tcPr>
          <w:p w14:paraId="513EB737" w14:textId="77777777" w:rsidR="00954046" w:rsidRPr="00830019" w:rsidRDefault="00954046" w:rsidP="009C018B">
            <w:pPr>
              <w:jc w:val="right"/>
              <w:rPr>
                <w:sz w:val="20"/>
                <w:szCs w:val="20"/>
              </w:rPr>
            </w:pPr>
          </w:p>
        </w:tc>
        <w:tc>
          <w:tcPr>
            <w:tcW w:w="851" w:type="dxa"/>
          </w:tcPr>
          <w:p w14:paraId="6E07A001" w14:textId="77777777" w:rsidR="00954046" w:rsidRPr="00830019" w:rsidRDefault="00954046" w:rsidP="009C018B">
            <w:pPr>
              <w:jc w:val="right"/>
              <w:rPr>
                <w:sz w:val="20"/>
                <w:szCs w:val="20"/>
              </w:rPr>
            </w:pPr>
          </w:p>
        </w:tc>
        <w:tc>
          <w:tcPr>
            <w:tcW w:w="1418" w:type="dxa"/>
          </w:tcPr>
          <w:p w14:paraId="35923D33" w14:textId="77777777" w:rsidR="00954046" w:rsidRPr="00830019" w:rsidRDefault="00954046" w:rsidP="009C018B">
            <w:pPr>
              <w:jc w:val="right"/>
              <w:rPr>
                <w:sz w:val="20"/>
                <w:szCs w:val="20"/>
              </w:rPr>
            </w:pPr>
          </w:p>
        </w:tc>
        <w:tc>
          <w:tcPr>
            <w:tcW w:w="1131" w:type="dxa"/>
          </w:tcPr>
          <w:p w14:paraId="4642AAAA" w14:textId="1925F7CC" w:rsidR="00954046" w:rsidRPr="00830019" w:rsidRDefault="0011569A" w:rsidP="009C018B">
            <w:pPr>
              <w:jc w:val="right"/>
              <w:rPr>
                <w:sz w:val="20"/>
                <w:szCs w:val="20"/>
              </w:rPr>
            </w:pPr>
            <w:r>
              <w:rPr>
                <w:sz w:val="20"/>
                <w:szCs w:val="20"/>
                <w:lang w:val="fr"/>
              </w:rPr>
              <w:t>0,11</w:t>
            </w:r>
          </w:p>
        </w:tc>
        <w:tc>
          <w:tcPr>
            <w:tcW w:w="851" w:type="dxa"/>
          </w:tcPr>
          <w:p w14:paraId="069A0D22" w14:textId="77777777" w:rsidR="00954046" w:rsidRPr="00830019" w:rsidRDefault="00954046" w:rsidP="009C018B">
            <w:pPr>
              <w:jc w:val="right"/>
              <w:rPr>
                <w:sz w:val="20"/>
                <w:szCs w:val="20"/>
              </w:rPr>
            </w:pPr>
          </w:p>
        </w:tc>
        <w:tc>
          <w:tcPr>
            <w:tcW w:w="850" w:type="dxa"/>
          </w:tcPr>
          <w:p w14:paraId="5EF68EDE" w14:textId="77777777" w:rsidR="00954046" w:rsidRPr="00830019" w:rsidRDefault="00954046" w:rsidP="009C018B">
            <w:pPr>
              <w:jc w:val="right"/>
              <w:rPr>
                <w:sz w:val="20"/>
                <w:szCs w:val="20"/>
              </w:rPr>
            </w:pPr>
          </w:p>
        </w:tc>
        <w:tc>
          <w:tcPr>
            <w:tcW w:w="713" w:type="dxa"/>
          </w:tcPr>
          <w:p w14:paraId="33D3B95C" w14:textId="77777777" w:rsidR="00954046" w:rsidRPr="00830019" w:rsidRDefault="00954046" w:rsidP="009C018B">
            <w:pPr>
              <w:jc w:val="right"/>
              <w:rPr>
                <w:sz w:val="20"/>
                <w:szCs w:val="20"/>
              </w:rPr>
            </w:pPr>
          </w:p>
        </w:tc>
        <w:tc>
          <w:tcPr>
            <w:tcW w:w="1359" w:type="dxa"/>
          </w:tcPr>
          <w:p w14:paraId="5C7AC8AD" w14:textId="6970C8DA" w:rsidR="00954046" w:rsidRPr="00FE3CD0" w:rsidRDefault="008F11B7" w:rsidP="009C018B">
            <w:pPr>
              <w:jc w:val="right"/>
              <w:rPr>
                <w:sz w:val="20"/>
                <w:szCs w:val="20"/>
              </w:rPr>
            </w:pPr>
            <w:r>
              <w:rPr>
                <w:color w:val="000000" w:themeColor="text1"/>
                <w:sz w:val="20"/>
                <w:szCs w:val="20"/>
                <w:lang w:val="fr"/>
              </w:rPr>
              <w:t>0,11</w:t>
            </w:r>
          </w:p>
        </w:tc>
      </w:tr>
    </w:tbl>
    <w:p w14:paraId="48EF4C6A" w14:textId="77777777" w:rsidR="00954046" w:rsidRPr="00830019" w:rsidRDefault="00954046" w:rsidP="009C018B">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954046" w:rsidRPr="006E1EDE" w14:paraId="59071BCF" w14:textId="77777777" w:rsidTr="00731FC5">
        <w:trPr>
          <w:trHeight w:val="276"/>
        </w:trPr>
        <w:tc>
          <w:tcPr>
            <w:tcW w:w="0" w:type="auto"/>
            <w:gridSpan w:val="4"/>
            <w:hideMark/>
          </w:tcPr>
          <w:p w14:paraId="1F53483D" w14:textId="77777777" w:rsidR="00954046" w:rsidRPr="00E34FC7" w:rsidRDefault="00954046">
            <w:pPr>
              <w:jc w:val="left"/>
              <w:rPr>
                <w:b/>
                <w:sz w:val="20"/>
                <w:szCs w:val="20"/>
                <w:lang w:val="fr-FR"/>
              </w:rPr>
            </w:pPr>
            <w:r>
              <w:rPr>
                <w:b/>
                <w:bCs/>
                <w:sz w:val="20"/>
                <w:szCs w:val="20"/>
                <w:lang w:val="fr"/>
              </w:rPr>
              <w:t>(IV) DONNÉES SUR LA CONSOMMATION (tonnes PAO)</w:t>
            </w:r>
          </w:p>
        </w:tc>
      </w:tr>
      <w:tr w:rsidR="00954046" w:rsidRPr="00830019" w14:paraId="684663F1" w14:textId="77777777" w:rsidTr="00731FC5">
        <w:trPr>
          <w:trHeight w:val="276"/>
        </w:trPr>
        <w:tc>
          <w:tcPr>
            <w:tcW w:w="2405" w:type="dxa"/>
            <w:hideMark/>
          </w:tcPr>
          <w:p w14:paraId="00C2B144" w14:textId="77777777" w:rsidR="00954046" w:rsidRPr="00830019" w:rsidRDefault="00954046" w:rsidP="00B15983">
            <w:pPr>
              <w:jc w:val="center"/>
              <w:rPr>
                <w:sz w:val="20"/>
                <w:szCs w:val="20"/>
              </w:rPr>
            </w:pPr>
            <w:r>
              <w:rPr>
                <w:sz w:val="20"/>
                <w:szCs w:val="20"/>
                <w:lang w:val="fr"/>
              </w:rPr>
              <w:t>Référence pour 2009-2010 :</w:t>
            </w:r>
          </w:p>
        </w:tc>
        <w:tc>
          <w:tcPr>
            <w:tcW w:w="1701" w:type="dxa"/>
            <w:hideMark/>
          </w:tcPr>
          <w:p w14:paraId="481721BE" w14:textId="0ABC8AA0" w:rsidR="00954046" w:rsidRPr="00830019" w:rsidRDefault="00AD791D">
            <w:pPr>
              <w:jc w:val="right"/>
              <w:rPr>
                <w:sz w:val="20"/>
                <w:szCs w:val="20"/>
              </w:rPr>
            </w:pPr>
            <w:r>
              <w:rPr>
                <w:color w:val="000000" w:themeColor="text1"/>
                <w:sz w:val="20"/>
                <w:szCs w:val="20"/>
                <w:lang w:val="fr"/>
              </w:rPr>
              <w:t>0,50</w:t>
            </w:r>
          </w:p>
        </w:tc>
        <w:tc>
          <w:tcPr>
            <w:tcW w:w="4394" w:type="dxa"/>
            <w:hideMark/>
          </w:tcPr>
          <w:p w14:paraId="3A765E07" w14:textId="77777777" w:rsidR="00954046" w:rsidRPr="00E34FC7" w:rsidRDefault="00954046">
            <w:pPr>
              <w:jc w:val="center"/>
              <w:rPr>
                <w:sz w:val="20"/>
                <w:szCs w:val="20"/>
                <w:lang w:val="fr-FR"/>
              </w:rPr>
            </w:pPr>
            <w:r>
              <w:rPr>
                <w:sz w:val="20"/>
                <w:szCs w:val="20"/>
                <w:lang w:val="fr"/>
              </w:rPr>
              <w:t>Point de départ des réductions globales durables :</w:t>
            </w:r>
          </w:p>
        </w:tc>
        <w:tc>
          <w:tcPr>
            <w:tcW w:w="1483" w:type="dxa"/>
            <w:hideMark/>
          </w:tcPr>
          <w:p w14:paraId="6A01F5FA" w14:textId="3A875009" w:rsidR="00954046" w:rsidRPr="00830019" w:rsidRDefault="00AD791D">
            <w:pPr>
              <w:jc w:val="right"/>
              <w:rPr>
                <w:sz w:val="20"/>
                <w:szCs w:val="20"/>
              </w:rPr>
            </w:pPr>
            <w:r>
              <w:rPr>
                <w:color w:val="000000" w:themeColor="text1"/>
                <w:sz w:val="20"/>
                <w:szCs w:val="20"/>
                <w:lang w:val="fr"/>
              </w:rPr>
              <w:t>0,50</w:t>
            </w:r>
          </w:p>
        </w:tc>
      </w:tr>
      <w:tr w:rsidR="00954046" w:rsidRPr="006E1EDE" w14:paraId="74885CE2" w14:textId="77777777" w:rsidTr="00731FC5">
        <w:trPr>
          <w:trHeight w:val="276"/>
        </w:trPr>
        <w:tc>
          <w:tcPr>
            <w:tcW w:w="0" w:type="auto"/>
            <w:gridSpan w:val="4"/>
            <w:hideMark/>
          </w:tcPr>
          <w:p w14:paraId="6F74F282" w14:textId="77777777" w:rsidR="00954046" w:rsidRPr="00E34FC7" w:rsidRDefault="00954046" w:rsidP="00B15983">
            <w:pPr>
              <w:ind w:left="316"/>
              <w:rPr>
                <w:b/>
                <w:sz w:val="20"/>
                <w:szCs w:val="20"/>
                <w:lang w:val="fr-FR"/>
              </w:rPr>
            </w:pPr>
            <w:r>
              <w:rPr>
                <w:b/>
                <w:bCs/>
                <w:sz w:val="20"/>
                <w:szCs w:val="20"/>
                <w:lang w:val="fr"/>
              </w:rPr>
              <w:t>CONSOMMATION ADMISSIBLE À UN FINANCEMENT</w:t>
            </w:r>
          </w:p>
        </w:tc>
      </w:tr>
      <w:tr w:rsidR="00954046" w:rsidRPr="00830019" w14:paraId="15460015" w14:textId="77777777" w:rsidTr="00731FC5">
        <w:trPr>
          <w:trHeight w:val="276"/>
        </w:trPr>
        <w:tc>
          <w:tcPr>
            <w:tcW w:w="2405" w:type="dxa"/>
            <w:hideMark/>
          </w:tcPr>
          <w:p w14:paraId="2E604D74" w14:textId="77777777" w:rsidR="00954046" w:rsidRPr="00830019" w:rsidRDefault="00954046" w:rsidP="00B15983">
            <w:pPr>
              <w:jc w:val="center"/>
              <w:rPr>
                <w:sz w:val="20"/>
                <w:szCs w:val="20"/>
              </w:rPr>
            </w:pPr>
            <w:r>
              <w:rPr>
                <w:sz w:val="20"/>
                <w:szCs w:val="20"/>
                <w:lang w:val="fr"/>
              </w:rPr>
              <w:t>Déjà approuvée :</w:t>
            </w:r>
          </w:p>
        </w:tc>
        <w:tc>
          <w:tcPr>
            <w:tcW w:w="1701" w:type="dxa"/>
            <w:hideMark/>
          </w:tcPr>
          <w:p w14:paraId="3F881EA7" w14:textId="3A577BFA" w:rsidR="00954046" w:rsidRPr="00830019" w:rsidRDefault="00AD791D">
            <w:pPr>
              <w:jc w:val="right"/>
              <w:rPr>
                <w:sz w:val="20"/>
                <w:szCs w:val="20"/>
              </w:rPr>
            </w:pPr>
            <w:r>
              <w:rPr>
                <w:color w:val="000000" w:themeColor="text1"/>
                <w:sz w:val="20"/>
                <w:szCs w:val="20"/>
                <w:lang w:val="fr"/>
              </w:rPr>
              <w:t>0,18</w:t>
            </w:r>
          </w:p>
        </w:tc>
        <w:tc>
          <w:tcPr>
            <w:tcW w:w="4394" w:type="dxa"/>
            <w:hideMark/>
          </w:tcPr>
          <w:p w14:paraId="640CB965" w14:textId="77777777" w:rsidR="00954046" w:rsidRPr="00830019" w:rsidRDefault="00954046">
            <w:pPr>
              <w:jc w:val="center"/>
              <w:rPr>
                <w:i/>
                <w:sz w:val="20"/>
                <w:szCs w:val="20"/>
              </w:rPr>
            </w:pPr>
            <w:r>
              <w:rPr>
                <w:sz w:val="20"/>
                <w:szCs w:val="20"/>
                <w:lang w:val="fr"/>
              </w:rPr>
              <w:t>Restante :</w:t>
            </w:r>
          </w:p>
        </w:tc>
        <w:tc>
          <w:tcPr>
            <w:tcW w:w="1483" w:type="dxa"/>
            <w:hideMark/>
          </w:tcPr>
          <w:p w14:paraId="57313188" w14:textId="1759AD30" w:rsidR="00954046" w:rsidRPr="00830019" w:rsidRDefault="00AD791D">
            <w:pPr>
              <w:jc w:val="right"/>
              <w:rPr>
                <w:sz w:val="20"/>
                <w:szCs w:val="20"/>
              </w:rPr>
            </w:pPr>
            <w:r>
              <w:rPr>
                <w:color w:val="000000" w:themeColor="text1"/>
                <w:sz w:val="20"/>
                <w:szCs w:val="20"/>
                <w:lang w:val="fr"/>
              </w:rPr>
              <w:t>0,32</w:t>
            </w:r>
          </w:p>
        </w:tc>
      </w:tr>
    </w:tbl>
    <w:p w14:paraId="397DD8A8" w14:textId="77777777" w:rsidR="00954046" w:rsidRPr="00830019" w:rsidRDefault="00954046" w:rsidP="009C018B">
      <w:pPr>
        <w:jc w:val="center"/>
        <w:rPr>
          <w:sz w:val="20"/>
          <w:szCs w:val="20"/>
        </w:rPr>
      </w:pPr>
    </w:p>
    <w:tbl>
      <w:tblPr>
        <w:tblStyle w:val="TableGrid"/>
        <w:tblW w:w="5357" w:type="pct"/>
        <w:tblLook w:val="04A0" w:firstRow="1" w:lastRow="0" w:firstColumn="1" w:lastColumn="0" w:noHBand="0" w:noVBand="1"/>
      </w:tblPr>
      <w:tblGrid>
        <w:gridCol w:w="1446"/>
        <w:gridCol w:w="2719"/>
        <w:gridCol w:w="1493"/>
        <w:gridCol w:w="1493"/>
        <w:gridCol w:w="1493"/>
        <w:gridCol w:w="1374"/>
      </w:tblGrid>
      <w:tr w:rsidR="00954046" w:rsidRPr="00830019" w14:paraId="760DAAF4" w14:textId="77777777" w:rsidTr="00C20304">
        <w:trPr>
          <w:trHeight w:val="332"/>
        </w:trPr>
        <w:tc>
          <w:tcPr>
            <w:tcW w:w="2079" w:type="pct"/>
            <w:gridSpan w:val="2"/>
            <w:hideMark/>
          </w:tcPr>
          <w:p w14:paraId="2BED7342" w14:textId="13A81398" w:rsidR="00954046" w:rsidRPr="00830019" w:rsidRDefault="00954046">
            <w:pPr>
              <w:jc w:val="left"/>
              <w:rPr>
                <w:b/>
                <w:sz w:val="20"/>
                <w:szCs w:val="20"/>
              </w:rPr>
            </w:pPr>
            <w:r>
              <w:rPr>
                <w:b/>
                <w:bCs/>
                <w:sz w:val="20"/>
                <w:szCs w:val="20"/>
                <w:lang w:val="fr"/>
              </w:rPr>
              <w:t>(V) PLAN D’ACTIVITÉ APPROUVÉ</w:t>
            </w:r>
          </w:p>
        </w:tc>
        <w:tc>
          <w:tcPr>
            <w:tcW w:w="745" w:type="pct"/>
            <w:hideMark/>
          </w:tcPr>
          <w:p w14:paraId="4F6B76BA" w14:textId="41539F48" w:rsidR="00954046" w:rsidRPr="00830019" w:rsidRDefault="00954046">
            <w:pPr>
              <w:jc w:val="center"/>
              <w:rPr>
                <w:b/>
                <w:sz w:val="20"/>
                <w:szCs w:val="20"/>
              </w:rPr>
            </w:pPr>
            <w:r>
              <w:rPr>
                <w:b/>
                <w:bCs/>
                <w:sz w:val="20"/>
                <w:szCs w:val="20"/>
                <w:lang w:val="fr"/>
              </w:rPr>
              <w:t>2023</w:t>
            </w:r>
          </w:p>
        </w:tc>
        <w:tc>
          <w:tcPr>
            <w:tcW w:w="745" w:type="pct"/>
            <w:hideMark/>
          </w:tcPr>
          <w:p w14:paraId="68B6AFE9" w14:textId="1CB599EF" w:rsidR="00954046" w:rsidRPr="00830019" w:rsidRDefault="00954046">
            <w:pPr>
              <w:jc w:val="center"/>
              <w:rPr>
                <w:b/>
                <w:sz w:val="20"/>
                <w:szCs w:val="20"/>
              </w:rPr>
            </w:pPr>
            <w:r>
              <w:rPr>
                <w:b/>
                <w:bCs/>
                <w:sz w:val="20"/>
                <w:szCs w:val="20"/>
                <w:lang w:val="fr"/>
              </w:rPr>
              <w:t>2024</w:t>
            </w:r>
          </w:p>
        </w:tc>
        <w:tc>
          <w:tcPr>
            <w:tcW w:w="745" w:type="pct"/>
            <w:hideMark/>
          </w:tcPr>
          <w:p w14:paraId="43875E87" w14:textId="72D4B0E6" w:rsidR="00954046" w:rsidRPr="00830019" w:rsidRDefault="00954046">
            <w:pPr>
              <w:jc w:val="center"/>
              <w:rPr>
                <w:b/>
                <w:sz w:val="20"/>
                <w:szCs w:val="20"/>
              </w:rPr>
            </w:pPr>
            <w:r>
              <w:rPr>
                <w:b/>
                <w:bCs/>
                <w:sz w:val="20"/>
                <w:szCs w:val="20"/>
                <w:lang w:val="fr"/>
              </w:rPr>
              <w:t>2025</w:t>
            </w:r>
          </w:p>
        </w:tc>
        <w:tc>
          <w:tcPr>
            <w:tcW w:w="687" w:type="pct"/>
            <w:hideMark/>
          </w:tcPr>
          <w:p w14:paraId="3B423590" w14:textId="77777777" w:rsidR="00954046" w:rsidRPr="00830019" w:rsidRDefault="00954046">
            <w:pPr>
              <w:jc w:val="center"/>
              <w:rPr>
                <w:b/>
                <w:sz w:val="20"/>
                <w:szCs w:val="20"/>
              </w:rPr>
            </w:pPr>
            <w:r>
              <w:rPr>
                <w:b/>
                <w:bCs/>
                <w:sz w:val="20"/>
                <w:szCs w:val="20"/>
                <w:lang w:val="fr"/>
              </w:rPr>
              <w:t>Total</w:t>
            </w:r>
          </w:p>
        </w:tc>
      </w:tr>
      <w:tr w:rsidR="00954046" w:rsidRPr="00830019" w14:paraId="4093E721" w14:textId="77777777" w:rsidTr="00C20304">
        <w:trPr>
          <w:trHeight w:val="235"/>
        </w:trPr>
        <w:tc>
          <w:tcPr>
            <w:tcW w:w="722" w:type="pct"/>
            <w:vMerge w:val="restart"/>
            <w:vAlign w:val="center"/>
            <w:hideMark/>
          </w:tcPr>
          <w:p w14:paraId="05644416" w14:textId="24CB940F" w:rsidR="00954046" w:rsidRPr="00830019" w:rsidRDefault="00EB7F73" w:rsidP="009C018B">
            <w:pPr>
              <w:jc w:val="center"/>
              <w:rPr>
                <w:sz w:val="20"/>
                <w:szCs w:val="20"/>
              </w:rPr>
            </w:pPr>
            <w:r>
              <w:rPr>
                <w:color w:val="000000" w:themeColor="text1"/>
                <w:sz w:val="20"/>
                <w:szCs w:val="20"/>
                <w:lang w:val="fr"/>
              </w:rPr>
              <w:t>PNUE</w:t>
            </w:r>
          </w:p>
        </w:tc>
        <w:tc>
          <w:tcPr>
            <w:tcW w:w="1357" w:type="pct"/>
            <w:hideMark/>
          </w:tcPr>
          <w:p w14:paraId="7294B3C4" w14:textId="77777777" w:rsidR="00954046" w:rsidRPr="00E34FC7" w:rsidRDefault="00954046" w:rsidP="009C018B">
            <w:pPr>
              <w:jc w:val="left"/>
              <w:rPr>
                <w:sz w:val="20"/>
                <w:szCs w:val="20"/>
                <w:lang w:val="fr-FR"/>
              </w:rPr>
            </w:pPr>
            <w:r>
              <w:rPr>
                <w:sz w:val="20"/>
                <w:szCs w:val="20"/>
                <w:lang w:val="fr"/>
              </w:rPr>
              <w:t>Élimination des SAO (tonnes PAO)</w:t>
            </w:r>
          </w:p>
        </w:tc>
        <w:tc>
          <w:tcPr>
            <w:tcW w:w="745" w:type="pct"/>
          </w:tcPr>
          <w:p w14:paraId="4DC153BF" w14:textId="06C58F0D" w:rsidR="00954046" w:rsidRPr="00830019" w:rsidRDefault="00622AF4" w:rsidP="009C018B">
            <w:pPr>
              <w:jc w:val="right"/>
              <w:rPr>
                <w:sz w:val="20"/>
                <w:szCs w:val="20"/>
              </w:rPr>
            </w:pPr>
            <w:r>
              <w:rPr>
                <w:sz w:val="20"/>
                <w:szCs w:val="20"/>
                <w:lang w:val="fr"/>
              </w:rPr>
              <w:t>0,02</w:t>
            </w:r>
          </w:p>
        </w:tc>
        <w:tc>
          <w:tcPr>
            <w:tcW w:w="745" w:type="pct"/>
          </w:tcPr>
          <w:p w14:paraId="0CB6B5CF" w14:textId="667C5D94" w:rsidR="00954046" w:rsidRPr="00830019" w:rsidRDefault="007E07BC" w:rsidP="009C018B">
            <w:pPr>
              <w:jc w:val="right"/>
              <w:rPr>
                <w:sz w:val="20"/>
                <w:szCs w:val="20"/>
              </w:rPr>
            </w:pPr>
            <w:r>
              <w:rPr>
                <w:sz w:val="20"/>
                <w:szCs w:val="20"/>
                <w:lang w:val="fr"/>
              </w:rPr>
              <w:t>0</w:t>
            </w:r>
          </w:p>
        </w:tc>
        <w:tc>
          <w:tcPr>
            <w:tcW w:w="745" w:type="pct"/>
          </w:tcPr>
          <w:p w14:paraId="58697D7F" w14:textId="4C1ED9E5" w:rsidR="00954046" w:rsidRPr="00830019" w:rsidRDefault="007E07BC" w:rsidP="009C018B">
            <w:pPr>
              <w:jc w:val="right"/>
              <w:rPr>
                <w:sz w:val="20"/>
                <w:szCs w:val="20"/>
              </w:rPr>
            </w:pPr>
            <w:r>
              <w:rPr>
                <w:sz w:val="20"/>
                <w:szCs w:val="20"/>
                <w:lang w:val="fr"/>
              </w:rPr>
              <w:t>0</w:t>
            </w:r>
          </w:p>
        </w:tc>
        <w:tc>
          <w:tcPr>
            <w:tcW w:w="687" w:type="pct"/>
          </w:tcPr>
          <w:p w14:paraId="62004CEC" w14:textId="6EC91003" w:rsidR="00954046" w:rsidRPr="00830019" w:rsidRDefault="00622AF4" w:rsidP="009C018B">
            <w:pPr>
              <w:jc w:val="right"/>
              <w:rPr>
                <w:sz w:val="20"/>
                <w:szCs w:val="20"/>
              </w:rPr>
            </w:pPr>
            <w:r>
              <w:rPr>
                <w:sz w:val="20"/>
                <w:szCs w:val="20"/>
                <w:lang w:val="fr"/>
              </w:rPr>
              <w:t>0,02</w:t>
            </w:r>
          </w:p>
        </w:tc>
      </w:tr>
      <w:tr w:rsidR="00954046" w:rsidRPr="00830019" w14:paraId="1FD63266" w14:textId="77777777" w:rsidTr="00C20304">
        <w:trPr>
          <w:trHeight w:val="69"/>
        </w:trPr>
        <w:tc>
          <w:tcPr>
            <w:tcW w:w="722" w:type="pct"/>
            <w:vMerge/>
            <w:vAlign w:val="center"/>
            <w:hideMark/>
          </w:tcPr>
          <w:p w14:paraId="0516BE53" w14:textId="77777777" w:rsidR="00954046" w:rsidRPr="00830019" w:rsidRDefault="00954046" w:rsidP="009C018B">
            <w:pPr>
              <w:rPr>
                <w:sz w:val="20"/>
                <w:szCs w:val="20"/>
              </w:rPr>
            </w:pPr>
          </w:p>
        </w:tc>
        <w:tc>
          <w:tcPr>
            <w:tcW w:w="1357" w:type="pct"/>
            <w:hideMark/>
          </w:tcPr>
          <w:p w14:paraId="549027C1" w14:textId="77777777" w:rsidR="00954046" w:rsidRPr="00830019" w:rsidRDefault="00954046" w:rsidP="009C018B">
            <w:pPr>
              <w:jc w:val="left"/>
              <w:rPr>
                <w:sz w:val="20"/>
                <w:szCs w:val="20"/>
              </w:rPr>
            </w:pPr>
            <w:r>
              <w:rPr>
                <w:sz w:val="20"/>
                <w:szCs w:val="20"/>
                <w:lang w:val="fr"/>
              </w:rPr>
              <w:t>Financement ($US)</w:t>
            </w:r>
          </w:p>
        </w:tc>
        <w:tc>
          <w:tcPr>
            <w:tcW w:w="745" w:type="pct"/>
          </w:tcPr>
          <w:p w14:paraId="3951FA65" w14:textId="39B1DB5A" w:rsidR="00954046" w:rsidRPr="00830019" w:rsidRDefault="00622AF4" w:rsidP="009C018B">
            <w:pPr>
              <w:jc w:val="right"/>
              <w:rPr>
                <w:sz w:val="20"/>
                <w:szCs w:val="20"/>
              </w:rPr>
            </w:pPr>
            <w:r>
              <w:rPr>
                <w:sz w:val="20"/>
                <w:szCs w:val="20"/>
                <w:lang w:val="fr"/>
              </w:rPr>
              <w:t>19 097</w:t>
            </w:r>
          </w:p>
        </w:tc>
        <w:tc>
          <w:tcPr>
            <w:tcW w:w="745" w:type="pct"/>
          </w:tcPr>
          <w:p w14:paraId="18FFC205" w14:textId="32783FC6" w:rsidR="00954046" w:rsidRPr="00830019" w:rsidRDefault="007E07BC" w:rsidP="009C018B">
            <w:pPr>
              <w:jc w:val="right"/>
              <w:rPr>
                <w:sz w:val="20"/>
                <w:szCs w:val="20"/>
              </w:rPr>
            </w:pPr>
            <w:r>
              <w:rPr>
                <w:sz w:val="20"/>
                <w:szCs w:val="20"/>
                <w:lang w:val="fr"/>
              </w:rPr>
              <w:t>0</w:t>
            </w:r>
          </w:p>
        </w:tc>
        <w:tc>
          <w:tcPr>
            <w:tcW w:w="745" w:type="pct"/>
          </w:tcPr>
          <w:p w14:paraId="26C2FEAD" w14:textId="4A334BFF" w:rsidR="00954046" w:rsidRPr="00830019" w:rsidRDefault="007E07BC" w:rsidP="009C018B">
            <w:pPr>
              <w:jc w:val="right"/>
              <w:rPr>
                <w:sz w:val="20"/>
                <w:szCs w:val="20"/>
              </w:rPr>
            </w:pPr>
            <w:r>
              <w:rPr>
                <w:sz w:val="20"/>
                <w:szCs w:val="20"/>
                <w:lang w:val="fr"/>
              </w:rPr>
              <w:t>0</w:t>
            </w:r>
          </w:p>
        </w:tc>
        <w:tc>
          <w:tcPr>
            <w:tcW w:w="687" w:type="pct"/>
          </w:tcPr>
          <w:p w14:paraId="21B109EB" w14:textId="7B31182B" w:rsidR="00954046" w:rsidRPr="00830019" w:rsidRDefault="007E07BC" w:rsidP="009C018B">
            <w:pPr>
              <w:jc w:val="right"/>
              <w:rPr>
                <w:sz w:val="20"/>
                <w:szCs w:val="20"/>
              </w:rPr>
            </w:pPr>
            <w:r>
              <w:rPr>
                <w:sz w:val="20"/>
                <w:szCs w:val="20"/>
                <w:lang w:val="fr"/>
              </w:rPr>
              <w:t>19 097</w:t>
            </w:r>
          </w:p>
        </w:tc>
      </w:tr>
    </w:tbl>
    <w:p w14:paraId="5A66E433" w14:textId="77777777" w:rsidR="00954046" w:rsidRPr="00830019" w:rsidRDefault="00954046" w:rsidP="00DD1E14">
      <w:pPr>
        <w:rPr>
          <w:sz w:val="20"/>
          <w:szCs w:val="20"/>
        </w:rPr>
      </w:pPr>
    </w:p>
    <w:tbl>
      <w:tblPr>
        <w:tblW w:w="9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Look w:val="04A0" w:firstRow="1" w:lastRow="0" w:firstColumn="1" w:lastColumn="0" w:noHBand="0" w:noVBand="1"/>
      </w:tblPr>
      <w:tblGrid>
        <w:gridCol w:w="1038"/>
        <w:gridCol w:w="675"/>
        <w:gridCol w:w="898"/>
        <w:gridCol w:w="658"/>
        <w:gridCol w:w="608"/>
        <w:gridCol w:w="608"/>
        <w:gridCol w:w="608"/>
        <w:gridCol w:w="659"/>
        <w:gridCol w:w="978"/>
        <w:gridCol w:w="658"/>
        <w:gridCol w:w="608"/>
        <w:gridCol w:w="608"/>
        <w:gridCol w:w="656"/>
        <w:gridCol w:w="738"/>
      </w:tblGrid>
      <w:tr w:rsidR="00520C12" w:rsidRPr="007416FD" w14:paraId="5A4DF89B" w14:textId="77777777" w:rsidTr="00731FC5">
        <w:trPr>
          <w:trHeight w:val="270"/>
        </w:trPr>
        <w:tc>
          <w:tcPr>
            <w:tcW w:w="2642" w:type="dxa"/>
            <w:gridSpan w:val="3"/>
            <w:shd w:val="clear" w:color="auto" w:fill="auto"/>
            <w:hideMark/>
          </w:tcPr>
          <w:p w14:paraId="4A87D439" w14:textId="77777777" w:rsidR="00520C12" w:rsidRPr="007416FD" w:rsidRDefault="00520C12" w:rsidP="00520C12">
            <w:pPr>
              <w:jc w:val="left"/>
              <w:textAlignment w:val="baseline"/>
              <w:rPr>
                <w:rFonts w:ascii="Segoe UI" w:hAnsi="Segoe UI" w:cs="Segoe UI"/>
                <w:sz w:val="18"/>
                <w:szCs w:val="18"/>
              </w:rPr>
            </w:pPr>
            <w:r>
              <w:rPr>
                <w:b/>
                <w:bCs/>
                <w:sz w:val="18"/>
                <w:szCs w:val="18"/>
                <w:lang w:val="fr"/>
              </w:rPr>
              <w:t>(VI) DONNÉES DU PROJET</w:t>
            </w:r>
            <w:r>
              <w:rPr>
                <w:sz w:val="18"/>
                <w:szCs w:val="18"/>
                <w:lang w:val="fr"/>
              </w:rPr>
              <w:t> </w:t>
            </w:r>
          </w:p>
        </w:tc>
        <w:tc>
          <w:tcPr>
            <w:tcW w:w="665" w:type="dxa"/>
            <w:shd w:val="clear" w:color="auto" w:fill="auto"/>
            <w:hideMark/>
          </w:tcPr>
          <w:p w14:paraId="57E55DE8" w14:textId="77777777" w:rsidR="00520C12" w:rsidRPr="007416FD" w:rsidRDefault="00520C12" w:rsidP="00520C12">
            <w:pPr>
              <w:jc w:val="center"/>
              <w:textAlignment w:val="baseline"/>
              <w:rPr>
                <w:rFonts w:ascii="Segoe UI" w:hAnsi="Segoe UI" w:cs="Segoe UI"/>
                <w:sz w:val="18"/>
                <w:szCs w:val="18"/>
              </w:rPr>
            </w:pPr>
            <w:r>
              <w:rPr>
                <w:b/>
                <w:bCs/>
                <w:sz w:val="18"/>
                <w:szCs w:val="18"/>
                <w:lang w:val="fr"/>
              </w:rPr>
              <w:t>2011</w:t>
            </w:r>
            <w:r>
              <w:rPr>
                <w:sz w:val="18"/>
                <w:szCs w:val="18"/>
                <w:lang w:val="fr"/>
              </w:rPr>
              <w:t> </w:t>
            </w:r>
          </w:p>
        </w:tc>
        <w:tc>
          <w:tcPr>
            <w:tcW w:w="660" w:type="dxa"/>
            <w:shd w:val="clear" w:color="auto" w:fill="auto"/>
            <w:hideMark/>
          </w:tcPr>
          <w:p w14:paraId="155066E6" w14:textId="77777777" w:rsidR="00520C12" w:rsidRPr="007416FD" w:rsidRDefault="00520C12" w:rsidP="00520C12">
            <w:pPr>
              <w:jc w:val="center"/>
              <w:textAlignment w:val="baseline"/>
              <w:rPr>
                <w:rFonts w:ascii="Segoe UI" w:hAnsi="Segoe UI" w:cs="Segoe UI"/>
                <w:sz w:val="18"/>
                <w:szCs w:val="18"/>
              </w:rPr>
            </w:pPr>
            <w:r>
              <w:rPr>
                <w:b/>
                <w:bCs/>
                <w:sz w:val="18"/>
                <w:szCs w:val="18"/>
                <w:lang w:val="fr"/>
              </w:rPr>
              <w:t>2012</w:t>
            </w:r>
            <w:r>
              <w:rPr>
                <w:sz w:val="18"/>
                <w:szCs w:val="18"/>
                <w:lang w:val="fr"/>
              </w:rPr>
              <w:t> </w:t>
            </w:r>
          </w:p>
        </w:tc>
        <w:tc>
          <w:tcPr>
            <w:tcW w:w="660" w:type="dxa"/>
            <w:shd w:val="clear" w:color="auto" w:fill="auto"/>
            <w:hideMark/>
          </w:tcPr>
          <w:p w14:paraId="48884252" w14:textId="77777777" w:rsidR="00520C12" w:rsidRPr="007416FD" w:rsidRDefault="00520C12" w:rsidP="00520C12">
            <w:pPr>
              <w:jc w:val="center"/>
              <w:textAlignment w:val="baseline"/>
              <w:rPr>
                <w:rFonts w:ascii="Segoe UI" w:hAnsi="Segoe UI" w:cs="Segoe UI"/>
                <w:sz w:val="18"/>
                <w:szCs w:val="18"/>
              </w:rPr>
            </w:pPr>
            <w:r>
              <w:rPr>
                <w:b/>
                <w:bCs/>
                <w:sz w:val="18"/>
                <w:szCs w:val="18"/>
                <w:lang w:val="fr"/>
              </w:rPr>
              <w:t>2013</w:t>
            </w:r>
            <w:r>
              <w:rPr>
                <w:sz w:val="18"/>
                <w:szCs w:val="18"/>
                <w:lang w:val="fr"/>
              </w:rPr>
              <w:t> </w:t>
            </w:r>
          </w:p>
        </w:tc>
        <w:tc>
          <w:tcPr>
            <w:tcW w:w="660" w:type="dxa"/>
            <w:shd w:val="clear" w:color="auto" w:fill="auto"/>
            <w:hideMark/>
          </w:tcPr>
          <w:p w14:paraId="2E65298B" w14:textId="77777777" w:rsidR="00520C12" w:rsidRPr="007416FD" w:rsidRDefault="00520C12" w:rsidP="00520C12">
            <w:pPr>
              <w:jc w:val="center"/>
              <w:textAlignment w:val="baseline"/>
              <w:rPr>
                <w:rFonts w:ascii="Segoe UI" w:hAnsi="Segoe UI" w:cs="Segoe UI"/>
                <w:sz w:val="18"/>
                <w:szCs w:val="18"/>
              </w:rPr>
            </w:pPr>
            <w:r>
              <w:rPr>
                <w:b/>
                <w:bCs/>
                <w:sz w:val="18"/>
                <w:szCs w:val="18"/>
                <w:lang w:val="fr"/>
              </w:rPr>
              <w:t>2014</w:t>
            </w:r>
            <w:r>
              <w:rPr>
                <w:sz w:val="18"/>
                <w:szCs w:val="18"/>
                <w:lang w:val="fr"/>
              </w:rPr>
              <w:t> </w:t>
            </w:r>
          </w:p>
        </w:tc>
        <w:tc>
          <w:tcPr>
            <w:tcW w:w="665" w:type="dxa"/>
            <w:shd w:val="clear" w:color="auto" w:fill="auto"/>
            <w:hideMark/>
          </w:tcPr>
          <w:p w14:paraId="79F78698" w14:textId="77777777" w:rsidR="00520C12" w:rsidRPr="007416FD" w:rsidRDefault="00520C12" w:rsidP="00520C12">
            <w:pPr>
              <w:jc w:val="center"/>
              <w:textAlignment w:val="baseline"/>
              <w:rPr>
                <w:rFonts w:ascii="Segoe UI" w:hAnsi="Segoe UI" w:cs="Segoe UI"/>
                <w:sz w:val="18"/>
                <w:szCs w:val="18"/>
              </w:rPr>
            </w:pPr>
            <w:r>
              <w:rPr>
                <w:b/>
                <w:bCs/>
                <w:sz w:val="18"/>
                <w:szCs w:val="18"/>
                <w:lang w:val="fr"/>
              </w:rPr>
              <w:t>2015</w:t>
            </w:r>
            <w:r>
              <w:rPr>
                <w:sz w:val="18"/>
                <w:szCs w:val="18"/>
                <w:lang w:val="fr"/>
              </w:rPr>
              <w:t> </w:t>
            </w:r>
          </w:p>
        </w:tc>
        <w:tc>
          <w:tcPr>
            <w:tcW w:w="665" w:type="dxa"/>
            <w:shd w:val="clear" w:color="auto" w:fill="auto"/>
            <w:hideMark/>
          </w:tcPr>
          <w:p w14:paraId="27F371E7" w14:textId="0546DAE2" w:rsidR="00520C12" w:rsidRPr="00523952" w:rsidRDefault="00520C12" w:rsidP="00520C12">
            <w:pPr>
              <w:jc w:val="center"/>
              <w:textAlignment w:val="baseline"/>
              <w:rPr>
                <w:rFonts w:ascii="Segoe UI" w:hAnsi="Segoe UI" w:cs="Segoe UI"/>
                <w:b/>
                <w:bCs/>
                <w:sz w:val="18"/>
                <w:szCs w:val="18"/>
              </w:rPr>
            </w:pPr>
            <w:r>
              <w:rPr>
                <w:b/>
                <w:bCs/>
                <w:sz w:val="18"/>
                <w:szCs w:val="18"/>
                <w:lang w:val="fr"/>
              </w:rPr>
              <w:t>2016 </w:t>
            </w:r>
            <w:r>
              <w:rPr>
                <w:b/>
                <w:bCs/>
                <w:sz w:val="18"/>
                <w:szCs w:val="18"/>
                <w:lang w:val="fr"/>
              </w:rPr>
              <w:noBreakHyphen/>
              <w:t xml:space="preserve"> 2019</w:t>
            </w:r>
          </w:p>
        </w:tc>
        <w:tc>
          <w:tcPr>
            <w:tcW w:w="663" w:type="dxa"/>
          </w:tcPr>
          <w:p w14:paraId="0F59F90F" w14:textId="039230CC" w:rsidR="00520C12" w:rsidRPr="00523952" w:rsidRDefault="00520C12" w:rsidP="00520C12">
            <w:pPr>
              <w:jc w:val="center"/>
              <w:textAlignment w:val="baseline"/>
              <w:rPr>
                <w:b/>
                <w:bCs/>
                <w:sz w:val="18"/>
                <w:szCs w:val="18"/>
              </w:rPr>
            </w:pPr>
            <w:r>
              <w:rPr>
                <w:b/>
                <w:bCs/>
                <w:sz w:val="18"/>
                <w:szCs w:val="18"/>
                <w:lang w:val="fr"/>
              </w:rPr>
              <w:t>2020</w:t>
            </w:r>
            <w:r>
              <w:rPr>
                <w:sz w:val="18"/>
                <w:szCs w:val="18"/>
                <w:lang w:val="fr"/>
              </w:rPr>
              <w:t> </w:t>
            </w:r>
          </w:p>
        </w:tc>
        <w:tc>
          <w:tcPr>
            <w:tcW w:w="660" w:type="dxa"/>
            <w:shd w:val="clear" w:color="auto" w:fill="auto"/>
            <w:hideMark/>
          </w:tcPr>
          <w:p w14:paraId="416567FC" w14:textId="2D06A913" w:rsidR="00520C12" w:rsidRPr="00523952" w:rsidRDefault="00520C12" w:rsidP="00520C12">
            <w:pPr>
              <w:jc w:val="center"/>
              <w:textAlignment w:val="baseline"/>
              <w:rPr>
                <w:rFonts w:ascii="Segoe UI" w:hAnsi="Segoe UI" w:cs="Segoe UI"/>
                <w:sz w:val="18"/>
                <w:szCs w:val="18"/>
              </w:rPr>
            </w:pPr>
            <w:r>
              <w:rPr>
                <w:b/>
                <w:bCs/>
                <w:sz w:val="18"/>
                <w:szCs w:val="18"/>
                <w:lang w:val="fr"/>
              </w:rPr>
              <w:t>2021</w:t>
            </w:r>
            <w:r>
              <w:rPr>
                <w:sz w:val="18"/>
                <w:szCs w:val="18"/>
                <w:lang w:val="fr"/>
              </w:rPr>
              <w:t> </w:t>
            </w:r>
          </w:p>
        </w:tc>
        <w:tc>
          <w:tcPr>
            <w:tcW w:w="660" w:type="dxa"/>
            <w:shd w:val="clear" w:color="auto" w:fill="auto"/>
            <w:hideMark/>
          </w:tcPr>
          <w:p w14:paraId="6A5309CF" w14:textId="41E4A192" w:rsidR="00520C12" w:rsidRPr="00523952" w:rsidRDefault="00520C12" w:rsidP="00520C12">
            <w:pPr>
              <w:jc w:val="center"/>
              <w:textAlignment w:val="baseline"/>
              <w:rPr>
                <w:rFonts w:ascii="Segoe UI" w:hAnsi="Segoe UI" w:cs="Segoe UI"/>
                <w:sz w:val="18"/>
                <w:szCs w:val="18"/>
              </w:rPr>
            </w:pPr>
            <w:r>
              <w:rPr>
                <w:b/>
                <w:bCs/>
                <w:sz w:val="18"/>
                <w:szCs w:val="18"/>
                <w:lang w:val="fr"/>
              </w:rPr>
              <w:t>2022</w:t>
            </w:r>
            <w:r>
              <w:rPr>
                <w:sz w:val="18"/>
                <w:szCs w:val="18"/>
                <w:lang w:val="fr"/>
              </w:rPr>
              <w:t> </w:t>
            </w:r>
          </w:p>
        </w:tc>
        <w:tc>
          <w:tcPr>
            <w:tcW w:w="660" w:type="dxa"/>
            <w:shd w:val="clear" w:color="auto" w:fill="auto"/>
            <w:hideMark/>
          </w:tcPr>
          <w:p w14:paraId="0EAC2D2F" w14:textId="094DC025" w:rsidR="00520C12" w:rsidRPr="00523952" w:rsidRDefault="00520C12" w:rsidP="00520C12">
            <w:pPr>
              <w:jc w:val="center"/>
              <w:textAlignment w:val="baseline"/>
              <w:rPr>
                <w:rFonts w:ascii="Segoe UI" w:hAnsi="Segoe UI" w:cs="Segoe UI"/>
                <w:sz w:val="18"/>
                <w:szCs w:val="18"/>
              </w:rPr>
            </w:pPr>
            <w:r>
              <w:rPr>
                <w:b/>
                <w:bCs/>
                <w:sz w:val="18"/>
                <w:szCs w:val="18"/>
                <w:lang w:val="fr"/>
              </w:rPr>
              <w:t>2023*</w:t>
            </w:r>
          </w:p>
        </w:tc>
        <w:tc>
          <w:tcPr>
            <w:tcW w:w="738" w:type="dxa"/>
            <w:shd w:val="clear" w:color="auto" w:fill="auto"/>
            <w:hideMark/>
          </w:tcPr>
          <w:p w14:paraId="149CB164" w14:textId="77777777" w:rsidR="00520C12" w:rsidRPr="007416FD" w:rsidRDefault="00520C12" w:rsidP="00520C12">
            <w:pPr>
              <w:jc w:val="center"/>
              <w:textAlignment w:val="baseline"/>
              <w:rPr>
                <w:rFonts w:ascii="Segoe UI" w:hAnsi="Segoe UI" w:cs="Segoe UI"/>
                <w:sz w:val="18"/>
                <w:szCs w:val="18"/>
              </w:rPr>
            </w:pPr>
            <w:r>
              <w:rPr>
                <w:b/>
                <w:bCs/>
                <w:sz w:val="18"/>
                <w:szCs w:val="18"/>
                <w:lang w:val="fr"/>
              </w:rPr>
              <w:t>Total</w:t>
            </w:r>
            <w:r>
              <w:rPr>
                <w:sz w:val="18"/>
                <w:szCs w:val="18"/>
                <w:lang w:val="fr"/>
              </w:rPr>
              <w:t> </w:t>
            </w:r>
          </w:p>
        </w:tc>
      </w:tr>
      <w:tr w:rsidR="00B90D36" w:rsidRPr="007416FD" w14:paraId="03B47B09" w14:textId="77777777" w:rsidTr="00731FC5">
        <w:trPr>
          <w:trHeight w:val="465"/>
        </w:trPr>
        <w:tc>
          <w:tcPr>
            <w:tcW w:w="2642" w:type="dxa"/>
            <w:gridSpan w:val="3"/>
            <w:shd w:val="clear" w:color="auto" w:fill="auto"/>
            <w:hideMark/>
          </w:tcPr>
          <w:p w14:paraId="7C4743BF" w14:textId="5975852E" w:rsidR="00B90D36" w:rsidRPr="00E34FC7" w:rsidRDefault="00B90D36" w:rsidP="00B90D36">
            <w:pPr>
              <w:jc w:val="left"/>
              <w:textAlignment w:val="baseline"/>
              <w:rPr>
                <w:rFonts w:ascii="Segoe UI" w:hAnsi="Segoe UI" w:cs="Segoe UI"/>
                <w:sz w:val="18"/>
                <w:szCs w:val="18"/>
                <w:lang w:val="fr-FR"/>
              </w:rPr>
            </w:pPr>
            <w:r>
              <w:rPr>
                <w:sz w:val="18"/>
                <w:szCs w:val="18"/>
                <w:lang w:val="fr"/>
              </w:rPr>
              <w:t>Limites de consommation aux termes du Protocole de Montréal (tonnes PAO)</w:t>
            </w:r>
          </w:p>
        </w:tc>
        <w:tc>
          <w:tcPr>
            <w:tcW w:w="665" w:type="dxa"/>
            <w:shd w:val="clear" w:color="auto" w:fill="auto"/>
            <w:hideMark/>
          </w:tcPr>
          <w:p w14:paraId="54FEF6BD" w14:textId="77777777" w:rsidR="00B90D36" w:rsidRPr="007416FD" w:rsidRDefault="00B90D36" w:rsidP="00B90D36">
            <w:pPr>
              <w:jc w:val="center"/>
              <w:textAlignment w:val="baseline"/>
              <w:rPr>
                <w:rFonts w:ascii="Segoe UI" w:hAnsi="Segoe UI" w:cs="Segoe UI"/>
                <w:sz w:val="18"/>
                <w:szCs w:val="18"/>
              </w:rPr>
            </w:pPr>
            <w:r>
              <w:rPr>
                <w:sz w:val="18"/>
                <w:szCs w:val="18"/>
                <w:lang w:val="fr"/>
              </w:rPr>
              <w:t>s. o. </w:t>
            </w:r>
          </w:p>
        </w:tc>
        <w:tc>
          <w:tcPr>
            <w:tcW w:w="660" w:type="dxa"/>
            <w:shd w:val="clear" w:color="auto" w:fill="auto"/>
            <w:hideMark/>
          </w:tcPr>
          <w:p w14:paraId="544C9058" w14:textId="77777777" w:rsidR="00B90D36" w:rsidRPr="007416FD" w:rsidRDefault="00B90D36" w:rsidP="00B90D36">
            <w:pPr>
              <w:jc w:val="center"/>
              <w:textAlignment w:val="baseline"/>
              <w:rPr>
                <w:rFonts w:ascii="Segoe UI" w:hAnsi="Segoe UI" w:cs="Segoe UI"/>
                <w:sz w:val="18"/>
                <w:szCs w:val="18"/>
              </w:rPr>
            </w:pPr>
            <w:r>
              <w:rPr>
                <w:sz w:val="18"/>
                <w:szCs w:val="18"/>
                <w:lang w:val="fr"/>
              </w:rPr>
              <w:t>s. o. </w:t>
            </w:r>
          </w:p>
        </w:tc>
        <w:tc>
          <w:tcPr>
            <w:tcW w:w="660" w:type="dxa"/>
            <w:shd w:val="clear" w:color="auto" w:fill="auto"/>
            <w:hideMark/>
          </w:tcPr>
          <w:p w14:paraId="184A5816" w14:textId="77777777" w:rsidR="00B90D36" w:rsidRPr="007416FD" w:rsidRDefault="00B90D36" w:rsidP="00B90D36">
            <w:pPr>
              <w:jc w:val="right"/>
              <w:textAlignment w:val="baseline"/>
              <w:rPr>
                <w:rFonts w:ascii="Segoe UI" w:hAnsi="Segoe UI" w:cs="Segoe UI"/>
                <w:sz w:val="18"/>
                <w:szCs w:val="18"/>
              </w:rPr>
            </w:pPr>
            <w:r>
              <w:rPr>
                <w:sz w:val="18"/>
                <w:szCs w:val="18"/>
                <w:lang w:val="fr"/>
              </w:rPr>
              <w:t>0,5 </w:t>
            </w:r>
          </w:p>
        </w:tc>
        <w:tc>
          <w:tcPr>
            <w:tcW w:w="660" w:type="dxa"/>
            <w:shd w:val="clear" w:color="auto" w:fill="auto"/>
            <w:hideMark/>
          </w:tcPr>
          <w:p w14:paraId="77220ED8" w14:textId="77777777" w:rsidR="00B90D36" w:rsidRPr="007416FD" w:rsidRDefault="00B90D36" w:rsidP="00B90D36">
            <w:pPr>
              <w:jc w:val="right"/>
              <w:textAlignment w:val="baseline"/>
              <w:rPr>
                <w:rFonts w:ascii="Segoe UI" w:hAnsi="Segoe UI" w:cs="Segoe UI"/>
                <w:sz w:val="18"/>
                <w:szCs w:val="18"/>
              </w:rPr>
            </w:pPr>
            <w:r>
              <w:rPr>
                <w:sz w:val="18"/>
                <w:szCs w:val="18"/>
                <w:lang w:val="fr"/>
              </w:rPr>
              <w:t>0,5 </w:t>
            </w:r>
          </w:p>
        </w:tc>
        <w:tc>
          <w:tcPr>
            <w:tcW w:w="665" w:type="dxa"/>
            <w:shd w:val="clear" w:color="auto" w:fill="auto"/>
            <w:hideMark/>
          </w:tcPr>
          <w:p w14:paraId="70A05FEA" w14:textId="77777777" w:rsidR="00B90D36" w:rsidRPr="007416FD" w:rsidRDefault="00B90D36" w:rsidP="00B90D36">
            <w:pPr>
              <w:jc w:val="right"/>
              <w:textAlignment w:val="baseline"/>
              <w:rPr>
                <w:rFonts w:ascii="Segoe UI" w:hAnsi="Segoe UI" w:cs="Segoe UI"/>
                <w:sz w:val="18"/>
                <w:szCs w:val="18"/>
              </w:rPr>
            </w:pPr>
            <w:r>
              <w:rPr>
                <w:sz w:val="18"/>
                <w:szCs w:val="18"/>
                <w:lang w:val="fr"/>
              </w:rPr>
              <w:t>0,45 </w:t>
            </w:r>
          </w:p>
        </w:tc>
        <w:tc>
          <w:tcPr>
            <w:tcW w:w="665" w:type="dxa"/>
            <w:shd w:val="clear" w:color="auto" w:fill="auto"/>
            <w:hideMark/>
          </w:tcPr>
          <w:p w14:paraId="538C8021" w14:textId="77777777" w:rsidR="00B90D36" w:rsidRPr="007416FD" w:rsidRDefault="00B90D36" w:rsidP="00B90D36">
            <w:pPr>
              <w:jc w:val="right"/>
              <w:textAlignment w:val="baseline"/>
              <w:rPr>
                <w:rFonts w:ascii="Segoe UI" w:hAnsi="Segoe UI" w:cs="Segoe UI"/>
                <w:sz w:val="18"/>
                <w:szCs w:val="18"/>
              </w:rPr>
            </w:pPr>
            <w:r>
              <w:rPr>
                <w:sz w:val="18"/>
                <w:szCs w:val="18"/>
                <w:lang w:val="fr"/>
              </w:rPr>
              <w:t>0,45 </w:t>
            </w:r>
          </w:p>
        </w:tc>
        <w:tc>
          <w:tcPr>
            <w:tcW w:w="663" w:type="dxa"/>
          </w:tcPr>
          <w:p w14:paraId="758D2E7D" w14:textId="53DF216B" w:rsidR="00B90D36" w:rsidRPr="007416FD" w:rsidRDefault="00B90D36" w:rsidP="00B90D36">
            <w:pPr>
              <w:jc w:val="right"/>
              <w:textAlignment w:val="baseline"/>
              <w:rPr>
                <w:sz w:val="18"/>
                <w:szCs w:val="18"/>
              </w:rPr>
            </w:pPr>
            <w:r>
              <w:rPr>
                <w:sz w:val="18"/>
                <w:szCs w:val="18"/>
                <w:lang w:val="fr"/>
              </w:rPr>
              <w:t>0,32 </w:t>
            </w:r>
          </w:p>
        </w:tc>
        <w:tc>
          <w:tcPr>
            <w:tcW w:w="660" w:type="dxa"/>
            <w:shd w:val="clear" w:color="auto" w:fill="auto"/>
            <w:hideMark/>
          </w:tcPr>
          <w:p w14:paraId="501C5006" w14:textId="40F2351C" w:rsidR="00B90D36" w:rsidRPr="007416FD" w:rsidRDefault="00B90D36" w:rsidP="00B90D36">
            <w:pPr>
              <w:jc w:val="right"/>
              <w:textAlignment w:val="baseline"/>
              <w:rPr>
                <w:rFonts w:ascii="Segoe UI" w:hAnsi="Segoe UI" w:cs="Segoe UI"/>
                <w:sz w:val="18"/>
                <w:szCs w:val="18"/>
              </w:rPr>
            </w:pPr>
            <w:r>
              <w:rPr>
                <w:sz w:val="18"/>
                <w:szCs w:val="18"/>
                <w:lang w:val="fr"/>
              </w:rPr>
              <w:t>0,32 </w:t>
            </w:r>
          </w:p>
        </w:tc>
        <w:tc>
          <w:tcPr>
            <w:tcW w:w="660" w:type="dxa"/>
            <w:shd w:val="clear" w:color="auto" w:fill="auto"/>
            <w:hideMark/>
          </w:tcPr>
          <w:p w14:paraId="6936CE71" w14:textId="6E72FAE0" w:rsidR="00B90D36" w:rsidRPr="007416FD" w:rsidRDefault="00B90D36" w:rsidP="00B90D36">
            <w:pPr>
              <w:jc w:val="right"/>
              <w:textAlignment w:val="baseline"/>
              <w:rPr>
                <w:rFonts w:ascii="Segoe UI" w:hAnsi="Segoe UI" w:cs="Segoe UI"/>
                <w:sz w:val="18"/>
                <w:szCs w:val="18"/>
              </w:rPr>
            </w:pPr>
            <w:r>
              <w:rPr>
                <w:sz w:val="18"/>
                <w:szCs w:val="18"/>
                <w:lang w:val="fr"/>
              </w:rPr>
              <w:t>0,32 </w:t>
            </w:r>
          </w:p>
        </w:tc>
        <w:tc>
          <w:tcPr>
            <w:tcW w:w="660" w:type="dxa"/>
            <w:shd w:val="clear" w:color="auto" w:fill="auto"/>
            <w:hideMark/>
          </w:tcPr>
          <w:p w14:paraId="769AC433" w14:textId="0560AAB4" w:rsidR="00B90D36" w:rsidRPr="007416FD" w:rsidRDefault="00B90D36" w:rsidP="00B90D36">
            <w:pPr>
              <w:jc w:val="right"/>
              <w:textAlignment w:val="baseline"/>
              <w:rPr>
                <w:rFonts w:ascii="Segoe UI" w:hAnsi="Segoe UI" w:cs="Segoe UI"/>
                <w:sz w:val="18"/>
                <w:szCs w:val="18"/>
              </w:rPr>
            </w:pPr>
            <w:r>
              <w:rPr>
                <w:sz w:val="18"/>
                <w:szCs w:val="18"/>
                <w:lang w:val="fr"/>
              </w:rPr>
              <w:t>0,32 </w:t>
            </w:r>
          </w:p>
        </w:tc>
        <w:tc>
          <w:tcPr>
            <w:tcW w:w="738" w:type="dxa"/>
            <w:shd w:val="clear" w:color="auto" w:fill="auto"/>
            <w:hideMark/>
          </w:tcPr>
          <w:p w14:paraId="219F9F71" w14:textId="77777777" w:rsidR="00B90D36" w:rsidRPr="007416FD" w:rsidRDefault="00B90D36" w:rsidP="00B90D36">
            <w:pPr>
              <w:jc w:val="right"/>
              <w:textAlignment w:val="baseline"/>
              <w:rPr>
                <w:rFonts w:ascii="Segoe UI" w:hAnsi="Segoe UI" w:cs="Segoe UI"/>
                <w:sz w:val="18"/>
                <w:szCs w:val="18"/>
              </w:rPr>
            </w:pPr>
            <w:r>
              <w:rPr>
                <w:sz w:val="18"/>
                <w:szCs w:val="18"/>
                <w:lang w:val="fr"/>
              </w:rPr>
              <w:t>s. o. </w:t>
            </w:r>
          </w:p>
        </w:tc>
      </w:tr>
      <w:tr w:rsidR="00B90D36" w:rsidRPr="007416FD" w14:paraId="0945899E" w14:textId="77777777" w:rsidTr="00731FC5">
        <w:trPr>
          <w:trHeight w:val="489"/>
        </w:trPr>
        <w:tc>
          <w:tcPr>
            <w:tcW w:w="2642" w:type="dxa"/>
            <w:gridSpan w:val="3"/>
            <w:shd w:val="clear" w:color="auto" w:fill="auto"/>
            <w:hideMark/>
          </w:tcPr>
          <w:p w14:paraId="3DE0B899" w14:textId="484BC776" w:rsidR="00B90D36" w:rsidRPr="00E34FC7" w:rsidRDefault="00B90D36" w:rsidP="00B90D36">
            <w:pPr>
              <w:jc w:val="left"/>
              <w:textAlignment w:val="baseline"/>
              <w:rPr>
                <w:rFonts w:ascii="Segoe UI" w:hAnsi="Segoe UI" w:cs="Segoe UI"/>
                <w:sz w:val="18"/>
                <w:szCs w:val="18"/>
                <w:lang w:val="fr-FR"/>
              </w:rPr>
            </w:pPr>
            <w:r>
              <w:rPr>
                <w:sz w:val="18"/>
                <w:szCs w:val="18"/>
                <w:lang w:val="fr"/>
              </w:rPr>
              <w:t>Consommation maximale admissible (tonnes PAO)</w:t>
            </w:r>
          </w:p>
        </w:tc>
        <w:tc>
          <w:tcPr>
            <w:tcW w:w="665" w:type="dxa"/>
            <w:shd w:val="clear" w:color="auto" w:fill="auto"/>
            <w:hideMark/>
          </w:tcPr>
          <w:p w14:paraId="7116A57D" w14:textId="77777777" w:rsidR="00B90D36" w:rsidRPr="007416FD" w:rsidRDefault="00B90D36" w:rsidP="00B90D36">
            <w:pPr>
              <w:jc w:val="center"/>
              <w:textAlignment w:val="baseline"/>
              <w:rPr>
                <w:rFonts w:ascii="Segoe UI" w:hAnsi="Segoe UI" w:cs="Segoe UI"/>
                <w:sz w:val="18"/>
                <w:szCs w:val="18"/>
              </w:rPr>
            </w:pPr>
            <w:r>
              <w:rPr>
                <w:sz w:val="18"/>
                <w:szCs w:val="18"/>
                <w:lang w:val="fr"/>
              </w:rPr>
              <w:t>s. o. </w:t>
            </w:r>
          </w:p>
        </w:tc>
        <w:tc>
          <w:tcPr>
            <w:tcW w:w="660" w:type="dxa"/>
            <w:shd w:val="clear" w:color="auto" w:fill="auto"/>
            <w:hideMark/>
          </w:tcPr>
          <w:p w14:paraId="0CD7996F" w14:textId="77777777" w:rsidR="00B90D36" w:rsidRPr="007416FD" w:rsidRDefault="00B90D36" w:rsidP="00B90D36">
            <w:pPr>
              <w:jc w:val="center"/>
              <w:textAlignment w:val="baseline"/>
              <w:rPr>
                <w:rFonts w:ascii="Segoe UI" w:hAnsi="Segoe UI" w:cs="Segoe UI"/>
                <w:sz w:val="18"/>
                <w:szCs w:val="18"/>
              </w:rPr>
            </w:pPr>
            <w:r>
              <w:rPr>
                <w:sz w:val="18"/>
                <w:szCs w:val="18"/>
                <w:lang w:val="fr"/>
              </w:rPr>
              <w:t>s. o. </w:t>
            </w:r>
          </w:p>
        </w:tc>
        <w:tc>
          <w:tcPr>
            <w:tcW w:w="660" w:type="dxa"/>
            <w:shd w:val="clear" w:color="auto" w:fill="auto"/>
            <w:hideMark/>
          </w:tcPr>
          <w:p w14:paraId="4625F5E4" w14:textId="77777777" w:rsidR="00B90D36" w:rsidRPr="007416FD" w:rsidRDefault="00B90D36" w:rsidP="00B90D36">
            <w:pPr>
              <w:jc w:val="right"/>
              <w:textAlignment w:val="baseline"/>
              <w:rPr>
                <w:rFonts w:ascii="Segoe UI" w:hAnsi="Segoe UI" w:cs="Segoe UI"/>
                <w:sz w:val="18"/>
                <w:szCs w:val="18"/>
              </w:rPr>
            </w:pPr>
            <w:r>
              <w:rPr>
                <w:sz w:val="18"/>
                <w:szCs w:val="18"/>
                <w:lang w:val="fr"/>
              </w:rPr>
              <w:t>0,5 </w:t>
            </w:r>
          </w:p>
        </w:tc>
        <w:tc>
          <w:tcPr>
            <w:tcW w:w="660" w:type="dxa"/>
            <w:shd w:val="clear" w:color="auto" w:fill="auto"/>
            <w:hideMark/>
          </w:tcPr>
          <w:p w14:paraId="3956F901" w14:textId="77777777" w:rsidR="00B90D36" w:rsidRPr="007416FD" w:rsidRDefault="00B90D36" w:rsidP="00B90D36">
            <w:pPr>
              <w:jc w:val="right"/>
              <w:textAlignment w:val="baseline"/>
              <w:rPr>
                <w:rFonts w:ascii="Segoe UI" w:hAnsi="Segoe UI" w:cs="Segoe UI"/>
                <w:sz w:val="18"/>
                <w:szCs w:val="18"/>
              </w:rPr>
            </w:pPr>
            <w:r>
              <w:rPr>
                <w:sz w:val="18"/>
                <w:szCs w:val="18"/>
                <w:lang w:val="fr"/>
              </w:rPr>
              <w:t>0,5 </w:t>
            </w:r>
          </w:p>
        </w:tc>
        <w:tc>
          <w:tcPr>
            <w:tcW w:w="665" w:type="dxa"/>
            <w:shd w:val="clear" w:color="auto" w:fill="auto"/>
            <w:hideMark/>
          </w:tcPr>
          <w:p w14:paraId="589B78A6" w14:textId="77777777" w:rsidR="00B90D36" w:rsidRPr="007416FD" w:rsidRDefault="00B90D36" w:rsidP="00B90D36">
            <w:pPr>
              <w:jc w:val="right"/>
              <w:textAlignment w:val="baseline"/>
              <w:rPr>
                <w:rFonts w:ascii="Segoe UI" w:hAnsi="Segoe UI" w:cs="Segoe UI"/>
                <w:sz w:val="18"/>
                <w:szCs w:val="18"/>
              </w:rPr>
            </w:pPr>
            <w:r>
              <w:rPr>
                <w:sz w:val="18"/>
                <w:szCs w:val="18"/>
                <w:lang w:val="fr"/>
              </w:rPr>
              <w:t>0,45 </w:t>
            </w:r>
          </w:p>
        </w:tc>
        <w:tc>
          <w:tcPr>
            <w:tcW w:w="665" w:type="dxa"/>
            <w:shd w:val="clear" w:color="auto" w:fill="auto"/>
            <w:hideMark/>
          </w:tcPr>
          <w:p w14:paraId="5F70579D" w14:textId="77777777" w:rsidR="00B90D36" w:rsidRPr="007416FD" w:rsidRDefault="00B90D36" w:rsidP="00B90D36">
            <w:pPr>
              <w:jc w:val="right"/>
              <w:textAlignment w:val="baseline"/>
              <w:rPr>
                <w:rFonts w:ascii="Segoe UI" w:hAnsi="Segoe UI" w:cs="Segoe UI"/>
                <w:sz w:val="18"/>
                <w:szCs w:val="18"/>
              </w:rPr>
            </w:pPr>
            <w:r>
              <w:rPr>
                <w:sz w:val="18"/>
                <w:szCs w:val="18"/>
                <w:lang w:val="fr"/>
              </w:rPr>
              <w:t>0,45 </w:t>
            </w:r>
          </w:p>
        </w:tc>
        <w:tc>
          <w:tcPr>
            <w:tcW w:w="663" w:type="dxa"/>
          </w:tcPr>
          <w:p w14:paraId="74ACD652" w14:textId="3211F537" w:rsidR="00B90D36" w:rsidRPr="007416FD" w:rsidRDefault="00B90D36" w:rsidP="00B90D36">
            <w:pPr>
              <w:jc w:val="right"/>
              <w:textAlignment w:val="baseline"/>
              <w:rPr>
                <w:sz w:val="18"/>
                <w:szCs w:val="18"/>
              </w:rPr>
            </w:pPr>
            <w:r>
              <w:rPr>
                <w:sz w:val="18"/>
                <w:szCs w:val="18"/>
                <w:lang w:val="fr"/>
              </w:rPr>
              <w:t>0,32 </w:t>
            </w:r>
          </w:p>
        </w:tc>
        <w:tc>
          <w:tcPr>
            <w:tcW w:w="660" w:type="dxa"/>
            <w:shd w:val="clear" w:color="auto" w:fill="auto"/>
            <w:hideMark/>
          </w:tcPr>
          <w:p w14:paraId="73DDFDAB" w14:textId="51F741E6" w:rsidR="00B90D36" w:rsidRPr="007416FD" w:rsidRDefault="00B90D36" w:rsidP="00B90D36">
            <w:pPr>
              <w:jc w:val="right"/>
              <w:textAlignment w:val="baseline"/>
              <w:rPr>
                <w:rFonts w:ascii="Segoe UI" w:hAnsi="Segoe UI" w:cs="Segoe UI"/>
                <w:sz w:val="18"/>
                <w:szCs w:val="18"/>
              </w:rPr>
            </w:pPr>
            <w:r>
              <w:rPr>
                <w:sz w:val="18"/>
                <w:szCs w:val="18"/>
                <w:lang w:val="fr"/>
              </w:rPr>
              <w:t>0,32 </w:t>
            </w:r>
          </w:p>
        </w:tc>
        <w:tc>
          <w:tcPr>
            <w:tcW w:w="660" w:type="dxa"/>
            <w:shd w:val="clear" w:color="auto" w:fill="auto"/>
            <w:hideMark/>
          </w:tcPr>
          <w:p w14:paraId="26598EF2" w14:textId="03A5CAF3" w:rsidR="00B90D36" w:rsidRPr="007416FD" w:rsidRDefault="00B90D36" w:rsidP="00B90D36">
            <w:pPr>
              <w:jc w:val="right"/>
              <w:textAlignment w:val="baseline"/>
              <w:rPr>
                <w:rFonts w:ascii="Segoe UI" w:hAnsi="Segoe UI" w:cs="Segoe UI"/>
                <w:sz w:val="18"/>
                <w:szCs w:val="18"/>
              </w:rPr>
            </w:pPr>
            <w:r>
              <w:rPr>
                <w:sz w:val="18"/>
                <w:szCs w:val="18"/>
                <w:lang w:val="fr"/>
              </w:rPr>
              <w:t>0,32 </w:t>
            </w:r>
          </w:p>
        </w:tc>
        <w:tc>
          <w:tcPr>
            <w:tcW w:w="660" w:type="dxa"/>
            <w:shd w:val="clear" w:color="auto" w:fill="auto"/>
            <w:hideMark/>
          </w:tcPr>
          <w:p w14:paraId="54CD9D46" w14:textId="48D1C8F5" w:rsidR="00B90D36" w:rsidRPr="007416FD" w:rsidRDefault="00B90D36" w:rsidP="00B90D36">
            <w:pPr>
              <w:jc w:val="right"/>
              <w:textAlignment w:val="baseline"/>
              <w:rPr>
                <w:rFonts w:ascii="Segoe UI" w:hAnsi="Segoe UI" w:cs="Segoe UI"/>
                <w:sz w:val="18"/>
                <w:szCs w:val="18"/>
              </w:rPr>
            </w:pPr>
            <w:r>
              <w:rPr>
                <w:sz w:val="18"/>
                <w:szCs w:val="18"/>
                <w:lang w:val="fr"/>
              </w:rPr>
              <w:t>0,32 </w:t>
            </w:r>
          </w:p>
        </w:tc>
        <w:tc>
          <w:tcPr>
            <w:tcW w:w="738" w:type="dxa"/>
            <w:shd w:val="clear" w:color="auto" w:fill="auto"/>
            <w:hideMark/>
          </w:tcPr>
          <w:p w14:paraId="70871535" w14:textId="77777777" w:rsidR="00B90D36" w:rsidRPr="007416FD" w:rsidRDefault="00B90D36" w:rsidP="00B90D36">
            <w:pPr>
              <w:jc w:val="right"/>
              <w:textAlignment w:val="baseline"/>
              <w:rPr>
                <w:rFonts w:ascii="Segoe UI" w:hAnsi="Segoe UI" w:cs="Segoe UI"/>
                <w:sz w:val="18"/>
                <w:szCs w:val="18"/>
              </w:rPr>
            </w:pPr>
            <w:r>
              <w:rPr>
                <w:sz w:val="18"/>
                <w:szCs w:val="18"/>
                <w:lang w:val="fr"/>
              </w:rPr>
              <w:t>s. o. </w:t>
            </w:r>
          </w:p>
        </w:tc>
      </w:tr>
      <w:tr w:rsidR="00520C12" w:rsidRPr="007416FD" w14:paraId="53304B99" w14:textId="77777777" w:rsidTr="00731FC5">
        <w:trPr>
          <w:trHeight w:val="75"/>
        </w:trPr>
        <w:tc>
          <w:tcPr>
            <w:tcW w:w="891" w:type="dxa"/>
            <w:vMerge w:val="restart"/>
            <w:shd w:val="clear" w:color="auto" w:fill="auto"/>
            <w:hideMark/>
          </w:tcPr>
          <w:p w14:paraId="4BBD3383" w14:textId="1E2FC7DF" w:rsidR="00520C12" w:rsidRPr="00E34FC7" w:rsidRDefault="00520C12" w:rsidP="00520C12">
            <w:pPr>
              <w:jc w:val="left"/>
              <w:textAlignment w:val="baseline"/>
              <w:rPr>
                <w:rFonts w:ascii="Segoe UI" w:hAnsi="Segoe UI" w:cs="Segoe UI"/>
                <w:sz w:val="18"/>
                <w:szCs w:val="18"/>
                <w:lang w:val="fr-FR"/>
              </w:rPr>
            </w:pPr>
            <w:r>
              <w:rPr>
                <w:sz w:val="18"/>
                <w:szCs w:val="18"/>
                <w:lang w:val="fr"/>
              </w:rPr>
              <w:t>Financement approuvé en principe ($US)</w:t>
            </w:r>
          </w:p>
        </w:tc>
        <w:tc>
          <w:tcPr>
            <w:tcW w:w="719" w:type="dxa"/>
            <w:vMerge w:val="restart"/>
            <w:shd w:val="clear" w:color="auto" w:fill="auto"/>
            <w:hideMark/>
          </w:tcPr>
          <w:p w14:paraId="346DFC83" w14:textId="1AB5D7EF" w:rsidR="00520C12" w:rsidRPr="007416FD" w:rsidRDefault="00520C12" w:rsidP="00520C12">
            <w:pPr>
              <w:jc w:val="left"/>
              <w:textAlignment w:val="baseline"/>
              <w:rPr>
                <w:rFonts w:ascii="Segoe UI" w:hAnsi="Segoe UI" w:cs="Segoe UI"/>
                <w:sz w:val="18"/>
                <w:szCs w:val="18"/>
              </w:rPr>
            </w:pPr>
            <w:r>
              <w:rPr>
                <w:sz w:val="18"/>
                <w:szCs w:val="18"/>
                <w:lang w:val="fr"/>
              </w:rPr>
              <w:t>PNUD</w:t>
            </w:r>
          </w:p>
        </w:tc>
        <w:tc>
          <w:tcPr>
            <w:tcW w:w="1032" w:type="dxa"/>
            <w:shd w:val="clear" w:color="auto" w:fill="auto"/>
            <w:hideMark/>
          </w:tcPr>
          <w:p w14:paraId="7A7CF1D9" w14:textId="7246BDC3" w:rsidR="00520C12" w:rsidRPr="007416FD" w:rsidRDefault="00520C12" w:rsidP="00520C12">
            <w:pPr>
              <w:jc w:val="left"/>
              <w:textAlignment w:val="baseline"/>
              <w:rPr>
                <w:rFonts w:ascii="Segoe UI" w:hAnsi="Segoe UI" w:cs="Segoe UI"/>
                <w:sz w:val="18"/>
                <w:szCs w:val="18"/>
              </w:rPr>
            </w:pPr>
            <w:r>
              <w:rPr>
                <w:sz w:val="18"/>
                <w:szCs w:val="18"/>
                <w:lang w:val="fr"/>
              </w:rPr>
              <w:t>Coûts du projet</w:t>
            </w:r>
          </w:p>
        </w:tc>
        <w:tc>
          <w:tcPr>
            <w:tcW w:w="665" w:type="dxa"/>
            <w:shd w:val="clear" w:color="auto" w:fill="auto"/>
            <w:hideMark/>
          </w:tcPr>
          <w:p w14:paraId="2656FDE1" w14:textId="77777777" w:rsidR="00520C12" w:rsidRPr="007416FD" w:rsidRDefault="00520C12" w:rsidP="00520C12">
            <w:pPr>
              <w:jc w:val="right"/>
              <w:textAlignment w:val="baseline"/>
              <w:rPr>
                <w:rFonts w:ascii="Segoe UI" w:hAnsi="Segoe UI" w:cs="Segoe UI"/>
                <w:sz w:val="18"/>
                <w:szCs w:val="18"/>
              </w:rPr>
            </w:pPr>
            <w:r>
              <w:rPr>
                <w:sz w:val="18"/>
                <w:szCs w:val="18"/>
                <w:lang w:val="fr"/>
              </w:rPr>
              <w:t>40 000 </w:t>
            </w:r>
          </w:p>
        </w:tc>
        <w:tc>
          <w:tcPr>
            <w:tcW w:w="660" w:type="dxa"/>
            <w:shd w:val="clear" w:color="auto" w:fill="auto"/>
            <w:hideMark/>
          </w:tcPr>
          <w:p w14:paraId="725677E1"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7A41D617"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4ABF2B2A"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5" w:type="dxa"/>
          </w:tcPr>
          <w:p w14:paraId="20F20D0E" w14:textId="75F915AB" w:rsidR="00520C12" w:rsidRPr="007416FD" w:rsidRDefault="00520C12" w:rsidP="00520C12">
            <w:pPr>
              <w:jc w:val="right"/>
              <w:textAlignment w:val="baseline"/>
              <w:rPr>
                <w:sz w:val="18"/>
                <w:szCs w:val="18"/>
              </w:rPr>
            </w:pPr>
            <w:r>
              <w:rPr>
                <w:sz w:val="18"/>
                <w:szCs w:val="18"/>
                <w:lang w:val="fr"/>
              </w:rPr>
              <w:t>0 </w:t>
            </w:r>
          </w:p>
        </w:tc>
        <w:tc>
          <w:tcPr>
            <w:tcW w:w="665" w:type="dxa"/>
            <w:shd w:val="clear" w:color="auto" w:fill="auto"/>
            <w:hideMark/>
          </w:tcPr>
          <w:p w14:paraId="22E7B902" w14:textId="52DA6F70"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3" w:type="dxa"/>
            <w:shd w:val="clear" w:color="auto" w:fill="auto"/>
            <w:hideMark/>
          </w:tcPr>
          <w:p w14:paraId="2EB157E5"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6485C1AF"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7A643A13"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7214F37E"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738" w:type="dxa"/>
            <w:shd w:val="clear" w:color="auto" w:fill="auto"/>
            <w:hideMark/>
          </w:tcPr>
          <w:p w14:paraId="08CA47C7" w14:textId="77777777" w:rsidR="00520C12" w:rsidRPr="007416FD" w:rsidRDefault="00520C12" w:rsidP="00520C12">
            <w:pPr>
              <w:jc w:val="right"/>
              <w:textAlignment w:val="baseline"/>
              <w:rPr>
                <w:rFonts w:ascii="Segoe UI" w:hAnsi="Segoe UI" w:cs="Segoe UI"/>
                <w:sz w:val="18"/>
                <w:szCs w:val="18"/>
              </w:rPr>
            </w:pPr>
            <w:r>
              <w:rPr>
                <w:sz w:val="18"/>
                <w:szCs w:val="18"/>
                <w:lang w:val="fr"/>
              </w:rPr>
              <w:t>40 000 </w:t>
            </w:r>
          </w:p>
        </w:tc>
      </w:tr>
      <w:tr w:rsidR="00520C12" w:rsidRPr="007416FD" w14:paraId="5D05549F" w14:textId="77777777" w:rsidTr="00731FC5">
        <w:trPr>
          <w:trHeight w:val="135"/>
        </w:trPr>
        <w:tc>
          <w:tcPr>
            <w:tcW w:w="891" w:type="dxa"/>
            <w:vMerge/>
            <w:shd w:val="clear" w:color="auto" w:fill="auto"/>
            <w:vAlign w:val="center"/>
            <w:hideMark/>
          </w:tcPr>
          <w:p w14:paraId="7ED11029" w14:textId="77777777" w:rsidR="00520C12" w:rsidRPr="007416FD" w:rsidRDefault="00520C12" w:rsidP="00520C12">
            <w:pPr>
              <w:jc w:val="left"/>
              <w:rPr>
                <w:rFonts w:ascii="Segoe UI" w:hAnsi="Segoe UI" w:cs="Segoe UI"/>
                <w:sz w:val="18"/>
                <w:szCs w:val="18"/>
              </w:rPr>
            </w:pPr>
          </w:p>
        </w:tc>
        <w:tc>
          <w:tcPr>
            <w:tcW w:w="719" w:type="dxa"/>
            <w:vMerge/>
            <w:shd w:val="clear" w:color="auto" w:fill="auto"/>
            <w:vAlign w:val="center"/>
            <w:hideMark/>
          </w:tcPr>
          <w:p w14:paraId="3565DE18" w14:textId="77777777" w:rsidR="00520C12" w:rsidRPr="007416FD" w:rsidRDefault="00520C12" w:rsidP="00520C12">
            <w:pPr>
              <w:jc w:val="left"/>
              <w:rPr>
                <w:rFonts w:ascii="Segoe UI" w:hAnsi="Segoe UI" w:cs="Segoe UI"/>
                <w:sz w:val="18"/>
                <w:szCs w:val="18"/>
              </w:rPr>
            </w:pPr>
          </w:p>
        </w:tc>
        <w:tc>
          <w:tcPr>
            <w:tcW w:w="1032" w:type="dxa"/>
            <w:shd w:val="clear" w:color="auto" w:fill="auto"/>
            <w:hideMark/>
          </w:tcPr>
          <w:p w14:paraId="20061976" w14:textId="1EEAE08C" w:rsidR="00520C12" w:rsidRPr="007416FD" w:rsidRDefault="00520C12" w:rsidP="00520C12">
            <w:pPr>
              <w:jc w:val="left"/>
              <w:textAlignment w:val="baseline"/>
              <w:rPr>
                <w:rFonts w:ascii="Segoe UI" w:hAnsi="Segoe UI" w:cs="Segoe UI"/>
                <w:sz w:val="18"/>
                <w:szCs w:val="18"/>
              </w:rPr>
            </w:pPr>
            <w:r>
              <w:rPr>
                <w:sz w:val="18"/>
                <w:szCs w:val="18"/>
                <w:lang w:val="fr"/>
              </w:rPr>
              <w:t>Coûts d’appui</w:t>
            </w:r>
          </w:p>
        </w:tc>
        <w:tc>
          <w:tcPr>
            <w:tcW w:w="665" w:type="dxa"/>
            <w:shd w:val="clear" w:color="auto" w:fill="auto"/>
            <w:hideMark/>
          </w:tcPr>
          <w:p w14:paraId="250B7612" w14:textId="77777777" w:rsidR="00520C12" w:rsidRPr="007416FD" w:rsidRDefault="00520C12" w:rsidP="00520C12">
            <w:pPr>
              <w:jc w:val="right"/>
              <w:textAlignment w:val="baseline"/>
              <w:rPr>
                <w:rFonts w:ascii="Segoe UI" w:hAnsi="Segoe UI" w:cs="Segoe UI"/>
                <w:sz w:val="18"/>
                <w:szCs w:val="18"/>
              </w:rPr>
            </w:pPr>
            <w:r>
              <w:rPr>
                <w:sz w:val="18"/>
                <w:szCs w:val="18"/>
                <w:lang w:val="fr"/>
              </w:rPr>
              <w:t>3 600 </w:t>
            </w:r>
          </w:p>
        </w:tc>
        <w:tc>
          <w:tcPr>
            <w:tcW w:w="660" w:type="dxa"/>
            <w:shd w:val="clear" w:color="auto" w:fill="auto"/>
            <w:hideMark/>
          </w:tcPr>
          <w:p w14:paraId="43BD5ED7"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52EC30D3"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4A19FCDF"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5" w:type="dxa"/>
          </w:tcPr>
          <w:p w14:paraId="1D4F4852" w14:textId="6FC14764" w:rsidR="00520C12" w:rsidRPr="007416FD" w:rsidRDefault="00520C12" w:rsidP="00520C12">
            <w:pPr>
              <w:jc w:val="right"/>
              <w:textAlignment w:val="baseline"/>
              <w:rPr>
                <w:sz w:val="18"/>
                <w:szCs w:val="18"/>
              </w:rPr>
            </w:pPr>
            <w:r>
              <w:rPr>
                <w:sz w:val="18"/>
                <w:szCs w:val="18"/>
                <w:lang w:val="fr"/>
              </w:rPr>
              <w:t>0 </w:t>
            </w:r>
          </w:p>
        </w:tc>
        <w:tc>
          <w:tcPr>
            <w:tcW w:w="665" w:type="dxa"/>
            <w:shd w:val="clear" w:color="auto" w:fill="auto"/>
            <w:hideMark/>
          </w:tcPr>
          <w:p w14:paraId="6206D844" w14:textId="4097DEE8"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3" w:type="dxa"/>
            <w:shd w:val="clear" w:color="auto" w:fill="auto"/>
            <w:hideMark/>
          </w:tcPr>
          <w:p w14:paraId="3BA3A011"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0F406D38"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35AAA3EF"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6E5FD034" w14:textId="77777777" w:rsidR="00520C12" w:rsidRPr="007416FD" w:rsidRDefault="00520C12" w:rsidP="00520C12">
            <w:pPr>
              <w:jc w:val="right"/>
              <w:textAlignment w:val="baseline"/>
              <w:rPr>
                <w:rFonts w:ascii="Segoe UI" w:hAnsi="Segoe UI" w:cs="Segoe UI"/>
                <w:sz w:val="18"/>
                <w:szCs w:val="18"/>
              </w:rPr>
            </w:pPr>
            <w:r>
              <w:rPr>
                <w:sz w:val="18"/>
                <w:szCs w:val="18"/>
                <w:lang w:val="fr"/>
              </w:rPr>
              <w:t>0 </w:t>
            </w:r>
          </w:p>
        </w:tc>
        <w:tc>
          <w:tcPr>
            <w:tcW w:w="738" w:type="dxa"/>
            <w:shd w:val="clear" w:color="auto" w:fill="auto"/>
            <w:hideMark/>
          </w:tcPr>
          <w:p w14:paraId="1A76DCE7" w14:textId="77777777" w:rsidR="00520C12" w:rsidRPr="007416FD" w:rsidRDefault="00520C12" w:rsidP="00520C12">
            <w:pPr>
              <w:jc w:val="right"/>
              <w:textAlignment w:val="baseline"/>
              <w:rPr>
                <w:rFonts w:ascii="Segoe UI" w:hAnsi="Segoe UI" w:cs="Segoe UI"/>
                <w:sz w:val="18"/>
                <w:szCs w:val="18"/>
              </w:rPr>
            </w:pPr>
            <w:r>
              <w:rPr>
                <w:sz w:val="18"/>
                <w:szCs w:val="18"/>
                <w:lang w:val="fr"/>
              </w:rPr>
              <w:t>3 600 </w:t>
            </w:r>
          </w:p>
        </w:tc>
      </w:tr>
      <w:tr w:rsidR="00A77E3B" w:rsidRPr="007416FD" w14:paraId="1570DC9A" w14:textId="77777777" w:rsidTr="00731FC5">
        <w:trPr>
          <w:trHeight w:val="135"/>
        </w:trPr>
        <w:tc>
          <w:tcPr>
            <w:tcW w:w="891" w:type="dxa"/>
            <w:vMerge/>
            <w:shd w:val="clear" w:color="auto" w:fill="auto"/>
            <w:vAlign w:val="center"/>
            <w:hideMark/>
          </w:tcPr>
          <w:p w14:paraId="308C3546" w14:textId="77777777" w:rsidR="00A77E3B" w:rsidRPr="007416FD" w:rsidRDefault="00A77E3B" w:rsidP="00A77E3B">
            <w:pPr>
              <w:jc w:val="left"/>
              <w:rPr>
                <w:rFonts w:ascii="Segoe UI" w:hAnsi="Segoe UI" w:cs="Segoe UI"/>
                <w:sz w:val="18"/>
                <w:szCs w:val="18"/>
              </w:rPr>
            </w:pPr>
          </w:p>
        </w:tc>
        <w:tc>
          <w:tcPr>
            <w:tcW w:w="719" w:type="dxa"/>
            <w:vMerge w:val="restart"/>
            <w:shd w:val="clear" w:color="auto" w:fill="auto"/>
            <w:hideMark/>
          </w:tcPr>
          <w:p w14:paraId="0DE48C49" w14:textId="6F627C62" w:rsidR="00A77E3B" w:rsidRPr="007416FD" w:rsidRDefault="00A77E3B" w:rsidP="00A77E3B">
            <w:pPr>
              <w:jc w:val="center"/>
              <w:textAlignment w:val="baseline"/>
              <w:rPr>
                <w:rFonts w:ascii="Segoe UI" w:hAnsi="Segoe UI" w:cs="Segoe UI"/>
                <w:sz w:val="18"/>
                <w:szCs w:val="18"/>
              </w:rPr>
            </w:pPr>
            <w:r>
              <w:rPr>
                <w:sz w:val="18"/>
                <w:szCs w:val="18"/>
                <w:lang w:val="fr"/>
              </w:rPr>
              <w:t>PNUE</w:t>
            </w:r>
          </w:p>
        </w:tc>
        <w:tc>
          <w:tcPr>
            <w:tcW w:w="1032" w:type="dxa"/>
            <w:shd w:val="clear" w:color="auto" w:fill="auto"/>
            <w:hideMark/>
          </w:tcPr>
          <w:p w14:paraId="13E6756F" w14:textId="33B51455" w:rsidR="00A77E3B" w:rsidRPr="007416FD" w:rsidRDefault="00A77E3B" w:rsidP="00A77E3B">
            <w:pPr>
              <w:jc w:val="left"/>
              <w:textAlignment w:val="baseline"/>
              <w:rPr>
                <w:rFonts w:ascii="Segoe UI" w:hAnsi="Segoe UI" w:cs="Segoe UI"/>
                <w:sz w:val="18"/>
                <w:szCs w:val="18"/>
              </w:rPr>
            </w:pPr>
            <w:r>
              <w:rPr>
                <w:sz w:val="18"/>
                <w:szCs w:val="18"/>
                <w:lang w:val="fr"/>
              </w:rPr>
              <w:t>Coûts du projet</w:t>
            </w:r>
          </w:p>
        </w:tc>
        <w:tc>
          <w:tcPr>
            <w:tcW w:w="665" w:type="dxa"/>
            <w:shd w:val="clear" w:color="auto" w:fill="auto"/>
            <w:hideMark/>
          </w:tcPr>
          <w:p w14:paraId="0B33DD8C" w14:textId="77777777" w:rsidR="00A77E3B" w:rsidRPr="007416FD" w:rsidRDefault="00A77E3B" w:rsidP="00A77E3B">
            <w:pPr>
              <w:jc w:val="right"/>
              <w:textAlignment w:val="baseline"/>
              <w:rPr>
                <w:rFonts w:ascii="Segoe UI" w:hAnsi="Segoe UI" w:cs="Segoe UI"/>
                <w:sz w:val="18"/>
                <w:szCs w:val="18"/>
              </w:rPr>
            </w:pPr>
            <w:r>
              <w:rPr>
                <w:sz w:val="18"/>
                <w:szCs w:val="18"/>
                <w:lang w:val="fr"/>
              </w:rPr>
              <w:t>58 400 </w:t>
            </w:r>
          </w:p>
        </w:tc>
        <w:tc>
          <w:tcPr>
            <w:tcW w:w="660" w:type="dxa"/>
            <w:shd w:val="clear" w:color="auto" w:fill="auto"/>
            <w:hideMark/>
          </w:tcPr>
          <w:p w14:paraId="5FC6FC81"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6FD1C6FD"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5DCBC7DA"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5" w:type="dxa"/>
          </w:tcPr>
          <w:p w14:paraId="610281AB" w14:textId="338DB368" w:rsidR="00A77E3B" w:rsidRPr="007416FD" w:rsidRDefault="00A77E3B" w:rsidP="00A77E3B">
            <w:pPr>
              <w:jc w:val="right"/>
              <w:textAlignment w:val="baseline"/>
              <w:rPr>
                <w:sz w:val="18"/>
                <w:szCs w:val="18"/>
              </w:rPr>
            </w:pPr>
            <w:r>
              <w:rPr>
                <w:sz w:val="18"/>
                <w:szCs w:val="18"/>
                <w:lang w:val="fr"/>
              </w:rPr>
              <w:t>49 200 </w:t>
            </w:r>
          </w:p>
        </w:tc>
        <w:tc>
          <w:tcPr>
            <w:tcW w:w="665" w:type="dxa"/>
            <w:shd w:val="clear" w:color="auto" w:fill="auto"/>
          </w:tcPr>
          <w:p w14:paraId="6DBEDE6B" w14:textId="7C7461B2" w:rsidR="00A77E3B" w:rsidRPr="007416FD" w:rsidRDefault="00A77E3B" w:rsidP="00A77E3B">
            <w:pPr>
              <w:jc w:val="right"/>
              <w:textAlignment w:val="baseline"/>
              <w:rPr>
                <w:rFonts w:ascii="Segoe UI" w:hAnsi="Segoe UI" w:cs="Segoe UI"/>
                <w:sz w:val="18"/>
                <w:szCs w:val="18"/>
              </w:rPr>
            </w:pPr>
            <w:r>
              <w:rPr>
                <w:rFonts w:ascii="Segoe UI" w:hAnsi="Segoe UI" w:cs="Segoe UI"/>
                <w:sz w:val="18"/>
                <w:szCs w:val="18"/>
                <w:lang w:val="fr"/>
              </w:rPr>
              <w:t>0</w:t>
            </w:r>
          </w:p>
        </w:tc>
        <w:tc>
          <w:tcPr>
            <w:tcW w:w="663" w:type="dxa"/>
            <w:shd w:val="clear" w:color="auto" w:fill="auto"/>
            <w:hideMark/>
          </w:tcPr>
          <w:p w14:paraId="4E67A21C" w14:textId="2EDA92C7" w:rsidR="00A77E3B" w:rsidRPr="007416FD" w:rsidRDefault="00A77E3B" w:rsidP="00A77E3B">
            <w:pPr>
              <w:jc w:val="right"/>
              <w:textAlignment w:val="baseline"/>
              <w:rPr>
                <w:rFonts w:ascii="Segoe UI" w:hAnsi="Segoe UI" w:cs="Segoe UI"/>
                <w:sz w:val="18"/>
                <w:szCs w:val="18"/>
              </w:rPr>
            </w:pPr>
            <w:r>
              <w:rPr>
                <w:sz w:val="18"/>
                <w:szCs w:val="18"/>
                <w:lang w:val="fr"/>
              </w:rPr>
              <w:t>16 900 </w:t>
            </w:r>
          </w:p>
        </w:tc>
        <w:tc>
          <w:tcPr>
            <w:tcW w:w="660" w:type="dxa"/>
            <w:shd w:val="clear" w:color="auto" w:fill="auto"/>
            <w:hideMark/>
          </w:tcPr>
          <w:p w14:paraId="78C2F418"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6A1B3A72"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319E1FD3"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738" w:type="dxa"/>
            <w:shd w:val="clear" w:color="auto" w:fill="auto"/>
            <w:hideMark/>
          </w:tcPr>
          <w:p w14:paraId="6688494C" w14:textId="77777777" w:rsidR="00A77E3B" w:rsidRPr="007416FD" w:rsidRDefault="00A77E3B" w:rsidP="00A77E3B">
            <w:pPr>
              <w:jc w:val="right"/>
              <w:textAlignment w:val="baseline"/>
              <w:rPr>
                <w:rFonts w:ascii="Segoe UI" w:hAnsi="Segoe UI" w:cs="Segoe UI"/>
                <w:sz w:val="18"/>
                <w:szCs w:val="18"/>
              </w:rPr>
            </w:pPr>
            <w:r>
              <w:rPr>
                <w:sz w:val="18"/>
                <w:szCs w:val="18"/>
                <w:lang w:val="fr"/>
              </w:rPr>
              <w:t>124 500 </w:t>
            </w:r>
          </w:p>
        </w:tc>
      </w:tr>
      <w:tr w:rsidR="00A77E3B" w:rsidRPr="007416FD" w14:paraId="71E4FDC9" w14:textId="77777777" w:rsidTr="00731FC5">
        <w:trPr>
          <w:trHeight w:val="135"/>
        </w:trPr>
        <w:tc>
          <w:tcPr>
            <w:tcW w:w="891" w:type="dxa"/>
            <w:vMerge/>
            <w:shd w:val="clear" w:color="auto" w:fill="auto"/>
            <w:vAlign w:val="center"/>
            <w:hideMark/>
          </w:tcPr>
          <w:p w14:paraId="25CBBA51" w14:textId="77777777" w:rsidR="00A77E3B" w:rsidRPr="007416FD" w:rsidRDefault="00A77E3B" w:rsidP="00A77E3B">
            <w:pPr>
              <w:jc w:val="left"/>
              <w:rPr>
                <w:rFonts w:ascii="Segoe UI" w:hAnsi="Segoe UI" w:cs="Segoe UI"/>
                <w:sz w:val="18"/>
                <w:szCs w:val="18"/>
              </w:rPr>
            </w:pPr>
          </w:p>
        </w:tc>
        <w:tc>
          <w:tcPr>
            <w:tcW w:w="719" w:type="dxa"/>
            <w:vMerge/>
            <w:shd w:val="clear" w:color="auto" w:fill="auto"/>
            <w:vAlign w:val="center"/>
            <w:hideMark/>
          </w:tcPr>
          <w:p w14:paraId="13B77C03" w14:textId="77777777" w:rsidR="00A77E3B" w:rsidRPr="007416FD" w:rsidRDefault="00A77E3B" w:rsidP="00A77E3B">
            <w:pPr>
              <w:jc w:val="left"/>
              <w:rPr>
                <w:rFonts w:ascii="Segoe UI" w:hAnsi="Segoe UI" w:cs="Segoe UI"/>
                <w:sz w:val="18"/>
                <w:szCs w:val="18"/>
              </w:rPr>
            </w:pPr>
          </w:p>
        </w:tc>
        <w:tc>
          <w:tcPr>
            <w:tcW w:w="1032" w:type="dxa"/>
            <w:shd w:val="clear" w:color="auto" w:fill="auto"/>
            <w:hideMark/>
          </w:tcPr>
          <w:p w14:paraId="011D369E" w14:textId="1A4E49B4" w:rsidR="00A77E3B" w:rsidRPr="007416FD" w:rsidRDefault="00A77E3B" w:rsidP="00A77E3B">
            <w:pPr>
              <w:jc w:val="left"/>
              <w:textAlignment w:val="baseline"/>
              <w:rPr>
                <w:rFonts w:ascii="Segoe UI" w:hAnsi="Segoe UI" w:cs="Segoe UI"/>
                <w:sz w:val="18"/>
                <w:szCs w:val="18"/>
              </w:rPr>
            </w:pPr>
            <w:r>
              <w:rPr>
                <w:sz w:val="18"/>
                <w:szCs w:val="18"/>
                <w:lang w:val="fr"/>
              </w:rPr>
              <w:t>Coûts d’appui</w:t>
            </w:r>
          </w:p>
        </w:tc>
        <w:tc>
          <w:tcPr>
            <w:tcW w:w="665" w:type="dxa"/>
            <w:shd w:val="clear" w:color="auto" w:fill="auto"/>
            <w:hideMark/>
          </w:tcPr>
          <w:p w14:paraId="58C4EF5D" w14:textId="77777777" w:rsidR="00A77E3B" w:rsidRPr="007416FD" w:rsidRDefault="00A77E3B" w:rsidP="00A77E3B">
            <w:pPr>
              <w:jc w:val="right"/>
              <w:textAlignment w:val="baseline"/>
              <w:rPr>
                <w:rFonts w:ascii="Segoe UI" w:hAnsi="Segoe UI" w:cs="Segoe UI"/>
                <w:sz w:val="18"/>
                <w:szCs w:val="18"/>
              </w:rPr>
            </w:pPr>
            <w:r>
              <w:rPr>
                <w:sz w:val="18"/>
                <w:szCs w:val="18"/>
                <w:lang w:val="fr"/>
              </w:rPr>
              <w:t>7 592 </w:t>
            </w:r>
          </w:p>
        </w:tc>
        <w:tc>
          <w:tcPr>
            <w:tcW w:w="660" w:type="dxa"/>
            <w:shd w:val="clear" w:color="auto" w:fill="auto"/>
            <w:hideMark/>
          </w:tcPr>
          <w:p w14:paraId="161FA3D2"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56DC76D8"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62C82837"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5" w:type="dxa"/>
          </w:tcPr>
          <w:p w14:paraId="0278089A" w14:textId="5E28628A" w:rsidR="00A77E3B" w:rsidRPr="007416FD" w:rsidRDefault="00A77E3B" w:rsidP="00A77E3B">
            <w:pPr>
              <w:jc w:val="right"/>
              <w:textAlignment w:val="baseline"/>
              <w:rPr>
                <w:sz w:val="18"/>
                <w:szCs w:val="18"/>
              </w:rPr>
            </w:pPr>
            <w:r>
              <w:rPr>
                <w:sz w:val="18"/>
                <w:szCs w:val="18"/>
                <w:lang w:val="fr"/>
              </w:rPr>
              <w:t>6 396 </w:t>
            </w:r>
          </w:p>
        </w:tc>
        <w:tc>
          <w:tcPr>
            <w:tcW w:w="665" w:type="dxa"/>
            <w:shd w:val="clear" w:color="auto" w:fill="auto"/>
          </w:tcPr>
          <w:p w14:paraId="33BBA777" w14:textId="2B523881" w:rsidR="00A77E3B" w:rsidRPr="007416FD" w:rsidRDefault="00A77E3B" w:rsidP="00A77E3B">
            <w:pPr>
              <w:jc w:val="right"/>
              <w:textAlignment w:val="baseline"/>
              <w:rPr>
                <w:rFonts w:ascii="Segoe UI" w:hAnsi="Segoe UI" w:cs="Segoe UI"/>
                <w:sz w:val="18"/>
                <w:szCs w:val="18"/>
              </w:rPr>
            </w:pPr>
          </w:p>
        </w:tc>
        <w:tc>
          <w:tcPr>
            <w:tcW w:w="663" w:type="dxa"/>
            <w:shd w:val="clear" w:color="auto" w:fill="auto"/>
            <w:hideMark/>
          </w:tcPr>
          <w:p w14:paraId="41143FC5" w14:textId="1D6C4FE7" w:rsidR="00A77E3B" w:rsidRPr="007416FD" w:rsidRDefault="00A77E3B" w:rsidP="00A77E3B">
            <w:pPr>
              <w:jc w:val="right"/>
              <w:textAlignment w:val="baseline"/>
              <w:rPr>
                <w:rFonts w:ascii="Segoe UI" w:hAnsi="Segoe UI" w:cs="Segoe UI"/>
                <w:sz w:val="18"/>
                <w:szCs w:val="18"/>
              </w:rPr>
            </w:pPr>
            <w:r>
              <w:rPr>
                <w:sz w:val="18"/>
                <w:szCs w:val="18"/>
                <w:lang w:val="fr"/>
              </w:rPr>
              <w:t>2 197 </w:t>
            </w:r>
          </w:p>
        </w:tc>
        <w:tc>
          <w:tcPr>
            <w:tcW w:w="660" w:type="dxa"/>
            <w:shd w:val="clear" w:color="auto" w:fill="auto"/>
            <w:hideMark/>
          </w:tcPr>
          <w:p w14:paraId="40DF439B"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50315F62"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112516C9"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738" w:type="dxa"/>
            <w:shd w:val="clear" w:color="auto" w:fill="auto"/>
            <w:hideMark/>
          </w:tcPr>
          <w:p w14:paraId="155ED383" w14:textId="77777777" w:rsidR="00A77E3B" w:rsidRPr="007416FD" w:rsidRDefault="00A77E3B" w:rsidP="00A77E3B">
            <w:pPr>
              <w:jc w:val="right"/>
              <w:textAlignment w:val="baseline"/>
              <w:rPr>
                <w:rFonts w:ascii="Segoe UI" w:hAnsi="Segoe UI" w:cs="Segoe UI"/>
                <w:sz w:val="18"/>
                <w:szCs w:val="18"/>
              </w:rPr>
            </w:pPr>
            <w:r>
              <w:rPr>
                <w:sz w:val="18"/>
                <w:szCs w:val="18"/>
                <w:lang w:val="fr"/>
              </w:rPr>
              <w:t>16 185 </w:t>
            </w:r>
          </w:p>
        </w:tc>
      </w:tr>
      <w:tr w:rsidR="00A77E3B" w:rsidRPr="007416FD" w14:paraId="37F249FE" w14:textId="77777777" w:rsidTr="00731FC5">
        <w:trPr>
          <w:trHeight w:val="309"/>
        </w:trPr>
        <w:tc>
          <w:tcPr>
            <w:tcW w:w="1610" w:type="dxa"/>
            <w:gridSpan w:val="2"/>
            <w:vMerge w:val="restart"/>
            <w:shd w:val="clear" w:color="auto" w:fill="auto"/>
            <w:hideMark/>
          </w:tcPr>
          <w:p w14:paraId="78E906DF" w14:textId="486E5083" w:rsidR="00A77E3B" w:rsidRPr="00E34FC7" w:rsidRDefault="00A77E3B" w:rsidP="00A77E3B">
            <w:pPr>
              <w:jc w:val="left"/>
              <w:textAlignment w:val="baseline"/>
              <w:rPr>
                <w:rFonts w:ascii="Segoe UI" w:hAnsi="Segoe UI" w:cs="Segoe UI"/>
                <w:sz w:val="18"/>
                <w:szCs w:val="18"/>
                <w:lang w:val="fr-FR"/>
              </w:rPr>
            </w:pPr>
            <w:r>
              <w:rPr>
                <w:sz w:val="18"/>
                <w:szCs w:val="18"/>
                <w:lang w:val="fr"/>
              </w:rPr>
              <w:t>Fonds approuvés par le Comité exécutif ($US)</w:t>
            </w:r>
          </w:p>
        </w:tc>
        <w:tc>
          <w:tcPr>
            <w:tcW w:w="1032" w:type="dxa"/>
            <w:shd w:val="clear" w:color="auto" w:fill="auto"/>
            <w:hideMark/>
          </w:tcPr>
          <w:p w14:paraId="1EB986C9" w14:textId="44D9C091" w:rsidR="00A77E3B" w:rsidRPr="007416FD" w:rsidRDefault="00A77E3B" w:rsidP="00A77E3B">
            <w:pPr>
              <w:jc w:val="left"/>
              <w:textAlignment w:val="baseline"/>
              <w:rPr>
                <w:rFonts w:ascii="Segoe UI" w:hAnsi="Segoe UI" w:cs="Segoe UI"/>
                <w:sz w:val="18"/>
                <w:szCs w:val="18"/>
              </w:rPr>
            </w:pPr>
            <w:r>
              <w:rPr>
                <w:sz w:val="18"/>
                <w:szCs w:val="18"/>
                <w:lang w:val="fr"/>
              </w:rPr>
              <w:t>Coûts du projet</w:t>
            </w:r>
          </w:p>
        </w:tc>
        <w:tc>
          <w:tcPr>
            <w:tcW w:w="665" w:type="dxa"/>
            <w:shd w:val="clear" w:color="auto" w:fill="auto"/>
            <w:hideMark/>
          </w:tcPr>
          <w:p w14:paraId="4E74848A" w14:textId="77777777" w:rsidR="00A77E3B" w:rsidRPr="007416FD" w:rsidRDefault="00A77E3B" w:rsidP="00A77E3B">
            <w:pPr>
              <w:jc w:val="right"/>
              <w:textAlignment w:val="baseline"/>
              <w:rPr>
                <w:rFonts w:ascii="Segoe UI" w:hAnsi="Segoe UI" w:cs="Segoe UI"/>
                <w:sz w:val="18"/>
                <w:szCs w:val="18"/>
              </w:rPr>
            </w:pPr>
            <w:r>
              <w:rPr>
                <w:sz w:val="18"/>
                <w:szCs w:val="18"/>
                <w:lang w:val="fr"/>
              </w:rPr>
              <w:t>98 400 </w:t>
            </w:r>
          </w:p>
        </w:tc>
        <w:tc>
          <w:tcPr>
            <w:tcW w:w="660" w:type="dxa"/>
            <w:shd w:val="clear" w:color="auto" w:fill="auto"/>
            <w:hideMark/>
          </w:tcPr>
          <w:p w14:paraId="670D92D3"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0EC689B0"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719CE107"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5" w:type="dxa"/>
            <w:shd w:val="clear" w:color="auto" w:fill="auto"/>
            <w:hideMark/>
          </w:tcPr>
          <w:p w14:paraId="2A71BD4F" w14:textId="2F8743DA" w:rsidR="00A77E3B" w:rsidRPr="007416FD" w:rsidRDefault="00A77E3B" w:rsidP="00A77E3B">
            <w:pPr>
              <w:jc w:val="right"/>
              <w:textAlignment w:val="baseline"/>
              <w:rPr>
                <w:rFonts w:ascii="Segoe UI" w:hAnsi="Segoe UI" w:cs="Segoe UI"/>
                <w:sz w:val="18"/>
                <w:szCs w:val="18"/>
              </w:rPr>
            </w:pPr>
            <w:r>
              <w:rPr>
                <w:sz w:val="18"/>
                <w:szCs w:val="18"/>
                <w:lang w:val="fr"/>
              </w:rPr>
              <w:t>49 200 </w:t>
            </w:r>
          </w:p>
        </w:tc>
        <w:tc>
          <w:tcPr>
            <w:tcW w:w="665" w:type="dxa"/>
          </w:tcPr>
          <w:p w14:paraId="772B8ECF" w14:textId="468D9A84" w:rsidR="00A77E3B" w:rsidRPr="007416FD" w:rsidRDefault="00A77E3B" w:rsidP="00A77E3B">
            <w:pPr>
              <w:jc w:val="right"/>
              <w:textAlignment w:val="baseline"/>
              <w:rPr>
                <w:sz w:val="18"/>
                <w:szCs w:val="18"/>
              </w:rPr>
            </w:pPr>
            <w:r>
              <w:rPr>
                <w:sz w:val="18"/>
                <w:szCs w:val="18"/>
                <w:lang w:val="fr"/>
              </w:rPr>
              <w:t>0 </w:t>
            </w:r>
          </w:p>
        </w:tc>
        <w:tc>
          <w:tcPr>
            <w:tcW w:w="663" w:type="dxa"/>
            <w:shd w:val="clear" w:color="auto" w:fill="auto"/>
            <w:hideMark/>
          </w:tcPr>
          <w:p w14:paraId="68784B99" w14:textId="31C1E99A"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69F92CDB"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173ACC91"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45C68595"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738" w:type="dxa"/>
            <w:shd w:val="clear" w:color="auto" w:fill="auto"/>
          </w:tcPr>
          <w:p w14:paraId="4207952A" w14:textId="1F855A45" w:rsidR="00A77E3B" w:rsidRPr="007416FD" w:rsidRDefault="00A77E3B" w:rsidP="00A77E3B">
            <w:pPr>
              <w:jc w:val="right"/>
              <w:textAlignment w:val="baseline"/>
              <w:rPr>
                <w:sz w:val="18"/>
                <w:szCs w:val="18"/>
              </w:rPr>
            </w:pPr>
            <w:r>
              <w:rPr>
                <w:sz w:val="18"/>
                <w:szCs w:val="18"/>
                <w:lang w:val="fr"/>
              </w:rPr>
              <w:fldChar w:fldCharType="begin"/>
            </w:r>
            <w:r>
              <w:rPr>
                <w:sz w:val="18"/>
                <w:szCs w:val="18"/>
                <w:lang w:val="fr"/>
              </w:rPr>
              <w:instrText xml:space="preserve"> =SUM(left) </w:instrText>
            </w:r>
            <w:r>
              <w:rPr>
                <w:sz w:val="18"/>
                <w:szCs w:val="18"/>
                <w:lang w:val="fr"/>
              </w:rPr>
              <w:fldChar w:fldCharType="separate"/>
            </w:r>
            <w:r>
              <w:rPr>
                <w:noProof/>
                <w:sz w:val="18"/>
                <w:szCs w:val="18"/>
                <w:lang w:val="fr"/>
              </w:rPr>
              <w:t>147 600</w:t>
            </w:r>
            <w:r>
              <w:rPr>
                <w:sz w:val="18"/>
                <w:szCs w:val="18"/>
                <w:lang w:val="fr"/>
              </w:rPr>
              <w:fldChar w:fldCharType="end"/>
            </w:r>
          </w:p>
        </w:tc>
      </w:tr>
      <w:tr w:rsidR="00A77E3B" w:rsidRPr="007416FD" w14:paraId="01C40174" w14:textId="77777777" w:rsidTr="00731FC5">
        <w:trPr>
          <w:trHeight w:val="135"/>
        </w:trPr>
        <w:tc>
          <w:tcPr>
            <w:tcW w:w="1610" w:type="dxa"/>
            <w:gridSpan w:val="2"/>
            <w:vMerge/>
            <w:shd w:val="clear" w:color="auto" w:fill="auto"/>
            <w:vAlign w:val="center"/>
            <w:hideMark/>
          </w:tcPr>
          <w:p w14:paraId="650D7807" w14:textId="77777777" w:rsidR="00A77E3B" w:rsidRPr="007416FD" w:rsidRDefault="00A77E3B" w:rsidP="00A77E3B">
            <w:pPr>
              <w:jc w:val="left"/>
              <w:rPr>
                <w:rFonts w:ascii="Segoe UI" w:hAnsi="Segoe UI" w:cs="Segoe UI"/>
                <w:sz w:val="18"/>
                <w:szCs w:val="18"/>
              </w:rPr>
            </w:pPr>
          </w:p>
        </w:tc>
        <w:tc>
          <w:tcPr>
            <w:tcW w:w="1032" w:type="dxa"/>
            <w:shd w:val="clear" w:color="auto" w:fill="auto"/>
            <w:hideMark/>
          </w:tcPr>
          <w:p w14:paraId="50C28DD1" w14:textId="1BF73B93" w:rsidR="00A77E3B" w:rsidRPr="007416FD" w:rsidRDefault="00A77E3B" w:rsidP="00A77E3B">
            <w:pPr>
              <w:jc w:val="left"/>
              <w:textAlignment w:val="baseline"/>
              <w:rPr>
                <w:rFonts w:ascii="Segoe UI" w:hAnsi="Segoe UI" w:cs="Segoe UI"/>
                <w:sz w:val="18"/>
                <w:szCs w:val="18"/>
              </w:rPr>
            </w:pPr>
            <w:r>
              <w:rPr>
                <w:sz w:val="18"/>
                <w:szCs w:val="18"/>
                <w:lang w:val="fr"/>
              </w:rPr>
              <w:t>Coûts d’appui</w:t>
            </w:r>
          </w:p>
        </w:tc>
        <w:tc>
          <w:tcPr>
            <w:tcW w:w="665" w:type="dxa"/>
            <w:shd w:val="clear" w:color="auto" w:fill="auto"/>
            <w:hideMark/>
          </w:tcPr>
          <w:p w14:paraId="52C76CA2" w14:textId="77777777" w:rsidR="00A77E3B" w:rsidRPr="007416FD" w:rsidRDefault="00A77E3B" w:rsidP="00A77E3B">
            <w:pPr>
              <w:jc w:val="right"/>
              <w:textAlignment w:val="baseline"/>
              <w:rPr>
                <w:rFonts w:ascii="Segoe UI" w:hAnsi="Segoe UI" w:cs="Segoe UI"/>
                <w:sz w:val="18"/>
                <w:szCs w:val="18"/>
              </w:rPr>
            </w:pPr>
            <w:r>
              <w:rPr>
                <w:sz w:val="18"/>
                <w:szCs w:val="18"/>
                <w:lang w:val="fr"/>
              </w:rPr>
              <w:t>11 192 </w:t>
            </w:r>
          </w:p>
        </w:tc>
        <w:tc>
          <w:tcPr>
            <w:tcW w:w="660" w:type="dxa"/>
            <w:shd w:val="clear" w:color="auto" w:fill="auto"/>
            <w:hideMark/>
          </w:tcPr>
          <w:p w14:paraId="479F574C"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46E4CD49"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52A438B8"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5" w:type="dxa"/>
            <w:shd w:val="clear" w:color="auto" w:fill="auto"/>
            <w:hideMark/>
          </w:tcPr>
          <w:p w14:paraId="0120C476" w14:textId="66F1B796" w:rsidR="00A77E3B" w:rsidRPr="007416FD" w:rsidRDefault="00A77E3B" w:rsidP="00A77E3B">
            <w:pPr>
              <w:jc w:val="right"/>
              <w:textAlignment w:val="baseline"/>
              <w:rPr>
                <w:rFonts w:ascii="Segoe UI" w:hAnsi="Segoe UI" w:cs="Segoe UI"/>
                <w:sz w:val="18"/>
                <w:szCs w:val="18"/>
              </w:rPr>
            </w:pPr>
            <w:r>
              <w:rPr>
                <w:sz w:val="18"/>
                <w:szCs w:val="18"/>
                <w:lang w:val="fr"/>
              </w:rPr>
              <w:t>6 396 </w:t>
            </w:r>
          </w:p>
        </w:tc>
        <w:tc>
          <w:tcPr>
            <w:tcW w:w="665" w:type="dxa"/>
          </w:tcPr>
          <w:p w14:paraId="178FD722" w14:textId="416D973E" w:rsidR="00A77E3B" w:rsidRPr="007416FD" w:rsidRDefault="00A77E3B" w:rsidP="00A77E3B">
            <w:pPr>
              <w:jc w:val="right"/>
              <w:textAlignment w:val="baseline"/>
              <w:rPr>
                <w:sz w:val="18"/>
                <w:szCs w:val="18"/>
              </w:rPr>
            </w:pPr>
            <w:r>
              <w:rPr>
                <w:sz w:val="18"/>
                <w:szCs w:val="18"/>
                <w:lang w:val="fr"/>
              </w:rPr>
              <w:t>0 </w:t>
            </w:r>
          </w:p>
        </w:tc>
        <w:tc>
          <w:tcPr>
            <w:tcW w:w="663" w:type="dxa"/>
            <w:shd w:val="clear" w:color="auto" w:fill="auto"/>
            <w:hideMark/>
          </w:tcPr>
          <w:p w14:paraId="611D9FA2" w14:textId="6D9566A6"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4881EF9B"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3BD1E5E0"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660" w:type="dxa"/>
            <w:shd w:val="clear" w:color="auto" w:fill="auto"/>
            <w:hideMark/>
          </w:tcPr>
          <w:p w14:paraId="7E6C90AC" w14:textId="77777777" w:rsidR="00A77E3B" w:rsidRPr="007416FD" w:rsidRDefault="00A77E3B" w:rsidP="00A77E3B">
            <w:pPr>
              <w:jc w:val="right"/>
              <w:textAlignment w:val="baseline"/>
              <w:rPr>
                <w:rFonts w:ascii="Segoe UI" w:hAnsi="Segoe UI" w:cs="Segoe UI"/>
                <w:sz w:val="18"/>
                <w:szCs w:val="18"/>
              </w:rPr>
            </w:pPr>
            <w:r>
              <w:rPr>
                <w:sz w:val="18"/>
                <w:szCs w:val="18"/>
                <w:lang w:val="fr"/>
              </w:rPr>
              <w:t>0 </w:t>
            </w:r>
          </w:p>
        </w:tc>
        <w:tc>
          <w:tcPr>
            <w:tcW w:w="738" w:type="dxa"/>
            <w:shd w:val="clear" w:color="auto" w:fill="auto"/>
          </w:tcPr>
          <w:p w14:paraId="121D1BE6" w14:textId="6A69C11C" w:rsidR="00A77E3B" w:rsidRPr="007416FD" w:rsidRDefault="00A77E3B" w:rsidP="00A77E3B">
            <w:pPr>
              <w:jc w:val="right"/>
              <w:textAlignment w:val="baseline"/>
              <w:rPr>
                <w:sz w:val="18"/>
                <w:szCs w:val="18"/>
              </w:rPr>
            </w:pPr>
            <w:r>
              <w:rPr>
                <w:sz w:val="18"/>
                <w:szCs w:val="18"/>
                <w:lang w:val="fr"/>
              </w:rPr>
              <w:fldChar w:fldCharType="begin"/>
            </w:r>
            <w:r>
              <w:rPr>
                <w:sz w:val="18"/>
                <w:szCs w:val="18"/>
                <w:lang w:val="fr"/>
              </w:rPr>
              <w:instrText xml:space="preserve"> =SUM(left) </w:instrText>
            </w:r>
            <w:r>
              <w:rPr>
                <w:sz w:val="18"/>
                <w:szCs w:val="18"/>
                <w:lang w:val="fr"/>
              </w:rPr>
              <w:fldChar w:fldCharType="separate"/>
            </w:r>
            <w:r>
              <w:rPr>
                <w:noProof/>
                <w:sz w:val="18"/>
                <w:szCs w:val="18"/>
                <w:lang w:val="fr"/>
              </w:rPr>
              <w:t>17 588</w:t>
            </w:r>
            <w:r>
              <w:rPr>
                <w:sz w:val="18"/>
                <w:szCs w:val="18"/>
                <w:lang w:val="fr"/>
              </w:rPr>
              <w:fldChar w:fldCharType="end"/>
            </w:r>
          </w:p>
        </w:tc>
      </w:tr>
      <w:tr w:rsidR="00345024" w:rsidRPr="007416FD" w14:paraId="46AB57DE" w14:textId="77777777" w:rsidTr="00731FC5">
        <w:trPr>
          <w:trHeight w:val="273"/>
        </w:trPr>
        <w:tc>
          <w:tcPr>
            <w:tcW w:w="1610" w:type="dxa"/>
            <w:gridSpan w:val="2"/>
            <w:vMerge w:val="restart"/>
            <w:shd w:val="clear" w:color="auto" w:fill="auto"/>
            <w:hideMark/>
          </w:tcPr>
          <w:p w14:paraId="577869C6" w14:textId="4B138E6D" w:rsidR="00345024" w:rsidRPr="00E34FC7" w:rsidRDefault="00345024" w:rsidP="00345024">
            <w:pPr>
              <w:jc w:val="left"/>
              <w:textAlignment w:val="baseline"/>
              <w:rPr>
                <w:rFonts w:ascii="Segoe UI" w:hAnsi="Segoe UI" w:cs="Segoe UI"/>
                <w:sz w:val="18"/>
                <w:szCs w:val="18"/>
                <w:lang w:val="fr-FR"/>
              </w:rPr>
            </w:pPr>
            <w:r>
              <w:rPr>
                <w:sz w:val="18"/>
                <w:szCs w:val="18"/>
                <w:lang w:val="fr"/>
              </w:rPr>
              <w:t>Financement total recommandé pour approbation à la présente réunion ($US)</w:t>
            </w:r>
          </w:p>
        </w:tc>
        <w:tc>
          <w:tcPr>
            <w:tcW w:w="1032" w:type="dxa"/>
            <w:shd w:val="clear" w:color="auto" w:fill="auto"/>
            <w:hideMark/>
          </w:tcPr>
          <w:p w14:paraId="417EB855" w14:textId="76B54321" w:rsidR="00345024" w:rsidRPr="007416FD" w:rsidRDefault="00345024" w:rsidP="00345024">
            <w:pPr>
              <w:jc w:val="left"/>
              <w:textAlignment w:val="baseline"/>
              <w:rPr>
                <w:rFonts w:ascii="Segoe UI" w:hAnsi="Segoe UI" w:cs="Segoe UI"/>
                <w:sz w:val="18"/>
                <w:szCs w:val="18"/>
              </w:rPr>
            </w:pPr>
            <w:r>
              <w:rPr>
                <w:sz w:val="18"/>
                <w:szCs w:val="18"/>
                <w:lang w:val="fr"/>
              </w:rPr>
              <w:t>Coûts du projet</w:t>
            </w:r>
          </w:p>
        </w:tc>
        <w:tc>
          <w:tcPr>
            <w:tcW w:w="665" w:type="dxa"/>
            <w:shd w:val="clear" w:color="auto" w:fill="auto"/>
            <w:hideMark/>
          </w:tcPr>
          <w:p w14:paraId="357278D6"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03926910"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22D52A96"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66CF7091"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5" w:type="dxa"/>
            <w:shd w:val="clear" w:color="auto" w:fill="auto"/>
          </w:tcPr>
          <w:p w14:paraId="3F1E4DBB" w14:textId="3D361226" w:rsidR="00345024" w:rsidRPr="007416FD" w:rsidRDefault="00345024" w:rsidP="00345024">
            <w:pPr>
              <w:jc w:val="right"/>
              <w:textAlignment w:val="baseline"/>
              <w:rPr>
                <w:rFonts w:ascii="Segoe UI" w:hAnsi="Segoe UI" w:cs="Segoe UI"/>
                <w:sz w:val="18"/>
                <w:szCs w:val="18"/>
              </w:rPr>
            </w:pPr>
          </w:p>
        </w:tc>
        <w:tc>
          <w:tcPr>
            <w:tcW w:w="665" w:type="dxa"/>
          </w:tcPr>
          <w:p w14:paraId="765229E7" w14:textId="6632D534" w:rsidR="00345024" w:rsidRPr="007416FD" w:rsidRDefault="00345024" w:rsidP="00345024">
            <w:pPr>
              <w:jc w:val="right"/>
              <w:textAlignment w:val="baseline"/>
              <w:rPr>
                <w:sz w:val="18"/>
                <w:szCs w:val="18"/>
              </w:rPr>
            </w:pPr>
          </w:p>
        </w:tc>
        <w:tc>
          <w:tcPr>
            <w:tcW w:w="663" w:type="dxa"/>
            <w:shd w:val="clear" w:color="auto" w:fill="auto"/>
            <w:hideMark/>
          </w:tcPr>
          <w:p w14:paraId="0898DDB9" w14:textId="54BD1EC4"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6B7EAD10"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75C23B1E"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3762D4ED" w14:textId="6831FF38" w:rsidR="00345024" w:rsidRPr="007416FD" w:rsidRDefault="00345024" w:rsidP="00345024">
            <w:pPr>
              <w:jc w:val="right"/>
              <w:textAlignment w:val="baseline"/>
              <w:rPr>
                <w:rFonts w:ascii="Segoe UI" w:hAnsi="Segoe UI" w:cs="Segoe UI"/>
                <w:sz w:val="18"/>
                <w:szCs w:val="18"/>
              </w:rPr>
            </w:pPr>
            <w:r>
              <w:rPr>
                <w:sz w:val="18"/>
                <w:szCs w:val="18"/>
                <w:lang w:val="fr"/>
              </w:rPr>
              <w:t>16 900 </w:t>
            </w:r>
          </w:p>
        </w:tc>
        <w:tc>
          <w:tcPr>
            <w:tcW w:w="738" w:type="dxa"/>
            <w:shd w:val="clear" w:color="auto" w:fill="auto"/>
            <w:hideMark/>
          </w:tcPr>
          <w:p w14:paraId="474895E5" w14:textId="23C65058" w:rsidR="00345024" w:rsidRPr="007416FD" w:rsidRDefault="00345024" w:rsidP="00345024">
            <w:pPr>
              <w:jc w:val="right"/>
              <w:textAlignment w:val="baseline"/>
              <w:rPr>
                <w:rFonts w:ascii="Segoe UI" w:hAnsi="Segoe UI" w:cs="Segoe UI"/>
                <w:sz w:val="18"/>
                <w:szCs w:val="18"/>
              </w:rPr>
            </w:pPr>
            <w:r>
              <w:rPr>
                <w:sz w:val="18"/>
                <w:szCs w:val="18"/>
                <w:lang w:val="fr"/>
              </w:rPr>
              <w:t>16 900 </w:t>
            </w:r>
          </w:p>
        </w:tc>
      </w:tr>
      <w:tr w:rsidR="00345024" w:rsidRPr="007416FD" w14:paraId="08F409B1" w14:textId="77777777" w:rsidTr="00731FC5">
        <w:trPr>
          <w:trHeight w:val="135"/>
        </w:trPr>
        <w:tc>
          <w:tcPr>
            <w:tcW w:w="1610" w:type="dxa"/>
            <w:gridSpan w:val="2"/>
            <w:vMerge/>
            <w:shd w:val="clear" w:color="auto" w:fill="auto"/>
            <w:vAlign w:val="center"/>
            <w:hideMark/>
          </w:tcPr>
          <w:p w14:paraId="3656CC25" w14:textId="77777777" w:rsidR="00345024" w:rsidRPr="007416FD" w:rsidRDefault="00345024" w:rsidP="00345024">
            <w:pPr>
              <w:jc w:val="left"/>
              <w:rPr>
                <w:rFonts w:ascii="Segoe UI" w:hAnsi="Segoe UI" w:cs="Segoe UI"/>
                <w:sz w:val="18"/>
                <w:szCs w:val="18"/>
              </w:rPr>
            </w:pPr>
          </w:p>
        </w:tc>
        <w:tc>
          <w:tcPr>
            <w:tcW w:w="1032" w:type="dxa"/>
            <w:shd w:val="clear" w:color="auto" w:fill="auto"/>
            <w:hideMark/>
          </w:tcPr>
          <w:p w14:paraId="3AE281E1" w14:textId="22DD3137" w:rsidR="00345024" w:rsidRPr="007416FD" w:rsidRDefault="00345024" w:rsidP="00345024">
            <w:pPr>
              <w:jc w:val="left"/>
              <w:textAlignment w:val="baseline"/>
              <w:rPr>
                <w:rFonts w:ascii="Segoe UI" w:hAnsi="Segoe UI" w:cs="Segoe UI"/>
                <w:sz w:val="18"/>
                <w:szCs w:val="18"/>
              </w:rPr>
            </w:pPr>
            <w:r>
              <w:rPr>
                <w:sz w:val="18"/>
                <w:szCs w:val="18"/>
                <w:lang w:val="fr"/>
              </w:rPr>
              <w:t>Coûts d’appui</w:t>
            </w:r>
          </w:p>
        </w:tc>
        <w:tc>
          <w:tcPr>
            <w:tcW w:w="665" w:type="dxa"/>
            <w:shd w:val="clear" w:color="auto" w:fill="auto"/>
            <w:hideMark/>
          </w:tcPr>
          <w:p w14:paraId="1E9D77CC"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1A098588"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7A5483A0"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174A8D6F"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5" w:type="dxa"/>
            <w:shd w:val="clear" w:color="auto" w:fill="auto"/>
          </w:tcPr>
          <w:p w14:paraId="22209BFD" w14:textId="5E630036" w:rsidR="00345024" w:rsidRPr="007416FD" w:rsidRDefault="00345024" w:rsidP="00345024">
            <w:pPr>
              <w:jc w:val="right"/>
              <w:textAlignment w:val="baseline"/>
              <w:rPr>
                <w:rFonts w:ascii="Segoe UI" w:hAnsi="Segoe UI" w:cs="Segoe UI"/>
                <w:sz w:val="18"/>
                <w:szCs w:val="18"/>
              </w:rPr>
            </w:pPr>
          </w:p>
        </w:tc>
        <w:tc>
          <w:tcPr>
            <w:tcW w:w="665" w:type="dxa"/>
          </w:tcPr>
          <w:p w14:paraId="621D7A12" w14:textId="472A1C95" w:rsidR="00345024" w:rsidRPr="007416FD" w:rsidRDefault="00345024" w:rsidP="00345024">
            <w:pPr>
              <w:jc w:val="right"/>
              <w:textAlignment w:val="baseline"/>
              <w:rPr>
                <w:sz w:val="18"/>
                <w:szCs w:val="18"/>
              </w:rPr>
            </w:pPr>
          </w:p>
        </w:tc>
        <w:tc>
          <w:tcPr>
            <w:tcW w:w="663" w:type="dxa"/>
            <w:shd w:val="clear" w:color="auto" w:fill="auto"/>
            <w:hideMark/>
          </w:tcPr>
          <w:p w14:paraId="580D0962" w14:textId="4655BC16"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072DD197"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03CE514C" w14:textId="77777777" w:rsidR="00345024" w:rsidRPr="007416FD" w:rsidRDefault="00345024" w:rsidP="00345024">
            <w:pPr>
              <w:jc w:val="right"/>
              <w:textAlignment w:val="baseline"/>
              <w:rPr>
                <w:rFonts w:ascii="Segoe UI" w:hAnsi="Segoe UI" w:cs="Segoe UI"/>
                <w:sz w:val="18"/>
                <w:szCs w:val="18"/>
              </w:rPr>
            </w:pPr>
            <w:r>
              <w:rPr>
                <w:sz w:val="18"/>
                <w:szCs w:val="18"/>
                <w:lang w:val="fr"/>
              </w:rPr>
              <w:t> </w:t>
            </w:r>
          </w:p>
        </w:tc>
        <w:tc>
          <w:tcPr>
            <w:tcW w:w="660" w:type="dxa"/>
            <w:shd w:val="clear" w:color="auto" w:fill="auto"/>
            <w:hideMark/>
          </w:tcPr>
          <w:p w14:paraId="1D117002" w14:textId="14440593" w:rsidR="00345024" w:rsidRPr="007416FD" w:rsidRDefault="00345024" w:rsidP="00345024">
            <w:pPr>
              <w:jc w:val="right"/>
              <w:textAlignment w:val="baseline"/>
              <w:rPr>
                <w:rFonts w:ascii="Segoe UI" w:hAnsi="Segoe UI" w:cs="Segoe UI"/>
                <w:sz w:val="18"/>
                <w:szCs w:val="18"/>
              </w:rPr>
            </w:pPr>
            <w:r>
              <w:rPr>
                <w:sz w:val="18"/>
                <w:szCs w:val="18"/>
                <w:lang w:val="fr"/>
              </w:rPr>
              <w:t>2 197 </w:t>
            </w:r>
          </w:p>
        </w:tc>
        <w:tc>
          <w:tcPr>
            <w:tcW w:w="738" w:type="dxa"/>
            <w:shd w:val="clear" w:color="auto" w:fill="auto"/>
            <w:hideMark/>
          </w:tcPr>
          <w:p w14:paraId="1FCCA574" w14:textId="7AD9AFA2" w:rsidR="00345024" w:rsidRPr="007416FD" w:rsidRDefault="00345024" w:rsidP="00345024">
            <w:pPr>
              <w:jc w:val="right"/>
              <w:textAlignment w:val="baseline"/>
              <w:rPr>
                <w:rFonts w:ascii="Segoe UI" w:hAnsi="Segoe UI" w:cs="Segoe UI"/>
                <w:sz w:val="18"/>
                <w:szCs w:val="18"/>
              </w:rPr>
            </w:pPr>
            <w:r>
              <w:rPr>
                <w:sz w:val="18"/>
                <w:szCs w:val="18"/>
                <w:lang w:val="fr"/>
              </w:rPr>
              <w:t>2 197 </w:t>
            </w:r>
          </w:p>
        </w:tc>
      </w:tr>
    </w:tbl>
    <w:p w14:paraId="1E4E39B9" w14:textId="3D5CEF3C" w:rsidR="00BE7C12" w:rsidRPr="00E34FC7" w:rsidRDefault="00D8505B" w:rsidP="009C018B">
      <w:pPr>
        <w:jc w:val="left"/>
        <w:rPr>
          <w:sz w:val="16"/>
          <w:szCs w:val="16"/>
          <w:lang w:val="fr-FR"/>
        </w:rPr>
      </w:pPr>
      <w:r>
        <w:rPr>
          <w:sz w:val="16"/>
          <w:szCs w:val="16"/>
          <w:lang w:val="fr"/>
        </w:rPr>
        <w:t>*La troisième et dernière tranche était attendue en 2020.</w:t>
      </w:r>
    </w:p>
    <w:p w14:paraId="75C0189A" w14:textId="77777777" w:rsidR="00D8505B" w:rsidRPr="00E34FC7" w:rsidRDefault="00D8505B" w:rsidP="009C018B">
      <w:pPr>
        <w:jc w:val="left"/>
        <w:rPr>
          <w:sz w:val="20"/>
          <w:szCs w:val="20"/>
          <w:lang w:val="fr-FR"/>
        </w:rPr>
      </w:pPr>
    </w:p>
    <w:tbl>
      <w:tblPr>
        <w:tblStyle w:val="TableGrid"/>
        <w:tblW w:w="10000" w:type="dxa"/>
        <w:tblLook w:val="04A0" w:firstRow="1" w:lastRow="0" w:firstColumn="1" w:lastColumn="0" w:noHBand="0" w:noVBand="1"/>
      </w:tblPr>
      <w:tblGrid>
        <w:gridCol w:w="4945"/>
        <w:gridCol w:w="5055"/>
      </w:tblGrid>
      <w:tr w:rsidR="00954046" w:rsidRPr="00830019" w14:paraId="26354F18" w14:textId="77777777" w:rsidTr="00731FC5">
        <w:trPr>
          <w:trHeight w:val="42"/>
        </w:trPr>
        <w:tc>
          <w:tcPr>
            <w:tcW w:w="4945" w:type="dxa"/>
            <w:hideMark/>
          </w:tcPr>
          <w:p w14:paraId="2313ECB2" w14:textId="77777777" w:rsidR="00954046" w:rsidRPr="00830019" w:rsidRDefault="00954046">
            <w:pPr>
              <w:spacing w:after="60"/>
              <w:jc w:val="left"/>
              <w:rPr>
                <w:b/>
                <w:sz w:val="20"/>
                <w:szCs w:val="20"/>
              </w:rPr>
            </w:pPr>
            <w:r>
              <w:rPr>
                <w:b/>
                <w:bCs/>
                <w:sz w:val="20"/>
                <w:szCs w:val="20"/>
                <w:lang w:val="fr"/>
              </w:rPr>
              <w:t>Recommandation du Secrétariat :</w:t>
            </w:r>
          </w:p>
        </w:tc>
        <w:tc>
          <w:tcPr>
            <w:tcW w:w="5055" w:type="dxa"/>
            <w:hideMark/>
          </w:tcPr>
          <w:p w14:paraId="4E6C2787" w14:textId="2518480E" w:rsidR="00954046" w:rsidRPr="00F2569B" w:rsidRDefault="00954046">
            <w:pPr>
              <w:spacing w:after="60"/>
              <w:jc w:val="center"/>
              <w:rPr>
                <w:sz w:val="20"/>
                <w:szCs w:val="20"/>
              </w:rPr>
            </w:pPr>
            <w:r>
              <w:rPr>
                <w:sz w:val="20"/>
                <w:szCs w:val="20"/>
                <w:lang w:val="fr"/>
              </w:rPr>
              <w:t>Approbation globale</w:t>
            </w:r>
          </w:p>
        </w:tc>
      </w:tr>
    </w:tbl>
    <w:p w14:paraId="2B418720" w14:textId="77777777" w:rsidR="00954046" w:rsidRPr="0034371D" w:rsidRDefault="00954046" w:rsidP="009C018B">
      <w:pPr>
        <w:jc w:val="center"/>
        <w:rPr>
          <w:b/>
        </w:rPr>
      </w:pPr>
      <w:r>
        <w:rPr>
          <w:b/>
          <w:bCs/>
          <w:lang w:val="fr"/>
        </w:rPr>
        <w:lastRenderedPageBreak/>
        <w:t>DESCRIPTION DU PROJET</w:t>
      </w:r>
    </w:p>
    <w:p w14:paraId="0BE9A42E" w14:textId="77777777" w:rsidR="00954046" w:rsidRPr="0034371D" w:rsidRDefault="00954046" w:rsidP="009C018B"/>
    <w:p w14:paraId="1D4C2C1D" w14:textId="39BC0808" w:rsidR="00954046" w:rsidRPr="00E34FC7" w:rsidRDefault="00954046" w:rsidP="009C018B">
      <w:pPr>
        <w:pStyle w:val="Heading1"/>
        <w:rPr>
          <w:lang w:val="fr-FR"/>
        </w:rPr>
      </w:pPr>
      <w:r>
        <w:rPr>
          <w:lang w:val="fr"/>
        </w:rPr>
        <w:t>Au nom du gouvernement de Saint-Kitts-et-Nevis, le PNUE, à titre d’agence d’exécution principale, a soumis une demande de financement pour la troisième et dernière tranche de la phase I de son plan de gestion de l’élimination des HCFC (PGEH), d’un montant de 16 900 $US, plus 2 197 $US de coûts d’appui d’agence pour le PNUE uniquement.</w:t>
      </w:r>
      <w:r>
        <w:rPr>
          <w:rStyle w:val="FootnoteReference"/>
          <w:lang w:val="fr"/>
        </w:rPr>
        <w:footnoteReference w:id="2"/>
      </w:r>
      <w:r>
        <w:rPr>
          <w:lang w:val="fr"/>
        </w:rPr>
        <w:t xml:space="preserve"> La demande comprend le rapport périodique sur la mise en œuvre de la deuxième tranche, le rapport de vérification de la consommation de HCFC pour 2015 à 2022 et le plan de mise en œuvre de la tranche pour 2023 à 2024.</w:t>
      </w:r>
    </w:p>
    <w:p w14:paraId="18B286B4" w14:textId="171F3D03" w:rsidR="00737907" w:rsidRPr="00652F42" w:rsidRDefault="007E2825" w:rsidP="00EB5443">
      <w:pPr>
        <w:pStyle w:val="Heading1"/>
      </w:pPr>
      <w:r>
        <w:rPr>
          <w:lang w:val="fr"/>
        </w:rPr>
        <w:t>Une demande relative à la troisième tranche de la phase I du PGEH a été soumise à l’examen du Secrétariat lors de la 92</w:t>
      </w:r>
      <w:r>
        <w:rPr>
          <w:vertAlign w:val="superscript"/>
          <w:lang w:val="fr"/>
        </w:rPr>
        <w:t>e</w:t>
      </w:r>
      <w:r>
        <w:rPr>
          <w:lang w:val="fr"/>
        </w:rPr>
        <w:t> réunion du Comité exécutif. Lors de l’examen de la demande, le Secrétariat a noté que, malgré les progrès réalisés dans la mise en œuvre de la phase I du PGEH, d’importants problèmes liés au système d’autorisations et de quotas, évoqués dans le rapport de vérification, devraient être abordés pour s’assurer que le système soit applicable et capable de veiller au respect par le pays du calendrier d’élimination des HCFC fixé par le Protocole de Montréal, conformément à la décision 63/17. Le Secrétariat a donc demandé que la proposition soit reportée à la 93</w:t>
      </w:r>
      <w:r>
        <w:rPr>
          <w:vertAlign w:val="superscript"/>
          <w:lang w:val="fr"/>
        </w:rPr>
        <w:t>e</w:t>
      </w:r>
      <w:r>
        <w:rPr>
          <w:lang w:val="fr"/>
        </w:rPr>
        <w:t> réunion, lorsqu’un plan d’action révisé sera présenté. Le PNUE a donc retiré sa demande.</w:t>
      </w:r>
    </w:p>
    <w:p w14:paraId="0E451F3E" w14:textId="702C3B96" w:rsidR="00954046" w:rsidRPr="00E34FC7" w:rsidRDefault="00954046" w:rsidP="009C018B">
      <w:pPr>
        <w:rPr>
          <w:u w:val="single"/>
          <w:lang w:val="fr-FR"/>
        </w:rPr>
      </w:pPr>
      <w:r>
        <w:rPr>
          <w:u w:val="single"/>
          <w:lang w:val="fr"/>
        </w:rPr>
        <w:t>Rapport sur la consommation de HCFC</w:t>
      </w:r>
    </w:p>
    <w:p w14:paraId="0CCC44AD" w14:textId="77777777" w:rsidR="00954046" w:rsidRPr="00E34FC7" w:rsidRDefault="00954046" w:rsidP="009C018B">
      <w:pPr>
        <w:rPr>
          <w:lang w:val="fr-FR"/>
        </w:rPr>
      </w:pPr>
    </w:p>
    <w:p w14:paraId="13734857" w14:textId="70775D10" w:rsidR="00954046" w:rsidRPr="00E34FC7" w:rsidRDefault="00954046" w:rsidP="001661A7">
      <w:pPr>
        <w:pStyle w:val="Heading1"/>
        <w:rPr>
          <w:lang w:val="fr-FR"/>
        </w:rPr>
      </w:pPr>
      <w:r>
        <w:rPr>
          <w:lang w:val="fr"/>
        </w:rPr>
        <w:t>Le gouvernement de Saint-Kitts-et-Nevis a déclaré une consommation de 0,11 tonne PAO de HCFC en 2022, soit 78 % de moins que le niveau de référence établi pour les HCFC aux fins de conformité.</w:t>
      </w:r>
      <w:bookmarkStart w:id="0" w:name="_Hlk149678194"/>
      <w:r>
        <w:rPr>
          <w:lang w:val="fr"/>
        </w:rPr>
        <w:t xml:space="preserve"> La consommation de HCFC pour 2018-2022 est indiquée dans le tableau 1. </w:t>
      </w:r>
    </w:p>
    <w:p w14:paraId="260598C8" w14:textId="7CC6A480" w:rsidR="00954046" w:rsidRPr="00E34FC7" w:rsidRDefault="00954046" w:rsidP="009C018B">
      <w:pPr>
        <w:rPr>
          <w:b/>
          <w:lang w:val="fr-FR"/>
        </w:rPr>
      </w:pPr>
      <w:r>
        <w:rPr>
          <w:b/>
          <w:bCs/>
          <w:lang w:val="fr"/>
        </w:rPr>
        <w:t>Tableau 1. Consommation de HCFC à Saint-Kitts-et-Nevis (données fournies au titre de l’article 7 pour 2018-2022)</w:t>
      </w:r>
    </w:p>
    <w:tbl>
      <w:tblPr>
        <w:tblW w:w="5000" w:type="pct"/>
        <w:tblLook w:val="04A0" w:firstRow="1" w:lastRow="0" w:firstColumn="1" w:lastColumn="0" w:noHBand="0" w:noVBand="1"/>
      </w:tblPr>
      <w:tblGrid>
        <w:gridCol w:w="2926"/>
        <w:gridCol w:w="900"/>
        <w:gridCol w:w="903"/>
        <w:gridCol w:w="901"/>
        <w:gridCol w:w="903"/>
        <w:gridCol w:w="901"/>
        <w:gridCol w:w="1916"/>
      </w:tblGrid>
      <w:tr w:rsidR="00954046" w:rsidRPr="0034371D" w14:paraId="525E2995" w14:textId="77777777" w:rsidTr="003975C2">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2F06C" w14:textId="77777777" w:rsidR="00954046" w:rsidRPr="0034371D" w:rsidRDefault="00954046" w:rsidP="009C018B">
            <w:pPr>
              <w:widowControl w:val="0"/>
              <w:jc w:val="left"/>
              <w:rPr>
                <w:b/>
                <w:bCs/>
                <w:color w:val="000000"/>
                <w:sz w:val="20"/>
                <w:szCs w:val="20"/>
              </w:rPr>
            </w:pPr>
            <w:r>
              <w:rPr>
                <w:b/>
                <w:bCs/>
                <w:color w:val="000000"/>
                <w:sz w:val="20"/>
                <w:szCs w:val="20"/>
                <w:lang w:val="fr"/>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348E28D1" w14:textId="68D22FF2" w:rsidR="00954046" w:rsidRPr="0034371D" w:rsidRDefault="00954046" w:rsidP="009C018B">
            <w:pPr>
              <w:widowControl w:val="0"/>
              <w:jc w:val="center"/>
              <w:rPr>
                <w:b/>
                <w:bCs/>
                <w:color w:val="000000"/>
                <w:sz w:val="20"/>
                <w:szCs w:val="20"/>
              </w:rPr>
            </w:pPr>
            <w:r>
              <w:rPr>
                <w:b/>
                <w:bCs/>
                <w:color w:val="000000"/>
                <w:sz w:val="20"/>
                <w:szCs w:val="20"/>
                <w:lang w:val="fr"/>
              </w:rPr>
              <w:t>2018</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4CC09BA3" w14:textId="556A3B59" w:rsidR="00954046" w:rsidRPr="0034371D" w:rsidRDefault="00954046" w:rsidP="009C018B">
            <w:pPr>
              <w:widowControl w:val="0"/>
              <w:jc w:val="center"/>
              <w:rPr>
                <w:b/>
                <w:bCs/>
                <w:color w:val="000000"/>
                <w:sz w:val="20"/>
                <w:szCs w:val="20"/>
              </w:rPr>
            </w:pPr>
            <w:r>
              <w:rPr>
                <w:b/>
                <w:bCs/>
                <w:color w:val="000000"/>
                <w:sz w:val="20"/>
                <w:szCs w:val="20"/>
                <w:lang w:val="fr"/>
              </w:rPr>
              <w:t>2019</w:t>
            </w:r>
          </w:p>
        </w:tc>
        <w:tc>
          <w:tcPr>
            <w:tcW w:w="559" w:type="pct"/>
            <w:tcBorders>
              <w:top w:val="single" w:sz="4" w:space="0" w:color="auto"/>
              <w:left w:val="nil"/>
              <w:bottom w:val="single" w:sz="4" w:space="0" w:color="auto"/>
              <w:right w:val="single" w:sz="4" w:space="0" w:color="auto"/>
            </w:tcBorders>
          </w:tcPr>
          <w:p w14:paraId="141FA185" w14:textId="0F5CC132" w:rsidR="00954046" w:rsidRPr="0034371D" w:rsidRDefault="00954046" w:rsidP="009C018B">
            <w:pPr>
              <w:widowControl w:val="0"/>
              <w:jc w:val="center"/>
              <w:rPr>
                <w:b/>
                <w:bCs/>
                <w:color w:val="000000"/>
                <w:sz w:val="20"/>
                <w:szCs w:val="20"/>
              </w:rPr>
            </w:pPr>
            <w:r>
              <w:rPr>
                <w:b/>
                <w:bCs/>
                <w:color w:val="000000"/>
                <w:sz w:val="20"/>
                <w:szCs w:val="20"/>
                <w:lang w:val="fr"/>
              </w:rPr>
              <w:t>2020</w:t>
            </w:r>
          </w:p>
        </w:tc>
        <w:tc>
          <w:tcPr>
            <w:tcW w:w="560" w:type="pct"/>
            <w:tcBorders>
              <w:top w:val="single" w:sz="4" w:space="0" w:color="auto"/>
              <w:left w:val="single" w:sz="4" w:space="0" w:color="auto"/>
              <w:bottom w:val="single" w:sz="4" w:space="0" w:color="auto"/>
              <w:right w:val="single" w:sz="4" w:space="0" w:color="auto"/>
            </w:tcBorders>
          </w:tcPr>
          <w:p w14:paraId="1C8434F9" w14:textId="7B5F2C3F" w:rsidR="00954046" w:rsidRPr="0034371D" w:rsidRDefault="00954046" w:rsidP="009C018B">
            <w:pPr>
              <w:widowControl w:val="0"/>
              <w:jc w:val="center"/>
              <w:rPr>
                <w:b/>
                <w:bCs/>
                <w:color w:val="000000"/>
                <w:sz w:val="20"/>
                <w:szCs w:val="20"/>
              </w:rPr>
            </w:pPr>
            <w:r>
              <w:rPr>
                <w:b/>
                <w:bCs/>
                <w:color w:val="000000"/>
                <w:sz w:val="20"/>
                <w:szCs w:val="20"/>
                <w:lang w:val="fr"/>
              </w:rPr>
              <w:t>2021</w:t>
            </w:r>
          </w:p>
        </w:tc>
        <w:tc>
          <w:tcPr>
            <w:tcW w:w="559" w:type="pct"/>
            <w:tcBorders>
              <w:top w:val="single" w:sz="4" w:space="0" w:color="auto"/>
              <w:left w:val="single" w:sz="4" w:space="0" w:color="auto"/>
              <w:bottom w:val="single" w:sz="4" w:space="0" w:color="auto"/>
              <w:right w:val="single" w:sz="4" w:space="0" w:color="auto"/>
            </w:tcBorders>
          </w:tcPr>
          <w:p w14:paraId="16F0FD24" w14:textId="0D5F2B6B" w:rsidR="00954046" w:rsidRPr="0034371D" w:rsidRDefault="00954046" w:rsidP="009C018B">
            <w:pPr>
              <w:widowControl w:val="0"/>
              <w:jc w:val="center"/>
              <w:rPr>
                <w:b/>
                <w:bCs/>
                <w:color w:val="000000"/>
                <w:sz w:val="20"/>
                <w:szCs w:val="20"/>
              </w:rPr>
            </w:pPr>
            <w:r>
              <w:rPr>
                <w:b/>
                <w:bCs/>
                <w:color w:val="000000"/>
                <w:sz w:val="20"/>
                <w:szCs w:val="20"/>
                <w:lang w:val="fr"/>
              </w:rPr>
              <w:t>2022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C08E6" w14:textId="77777777" w:rsidR="00954046" w:rsidRPr="0034371D" w:rsidRDefault="00954046" w:rsidP="009C018B">
            <w:pPr>
              <w:widowControl w:val="0"/>
              <w:jc w:val="center"/>
              <w:rPr>
                <w:b/>
                <w:bCs/>
                <w:color w:val="000000"/>
                <w:sz w:val="20"/>
                <w:szCs w:val="20"/>
              </w:rPr>
            </w:pPr>
            <w:r>
              <w:rPr>
                <w:b/>
                <w:bCs/>
                <w:color w:val="000000"/>
                <w:sz w:val="20"/>
                <w:szCs w:val="20"/>
                <w:lang w:val="fr"/>
              </w:rPr>
              <w:t>Niveau de référence</w:t>
            </w:r>
          </w:p>
        </w:tc>
      </w:tr>
      <w:tr w:rsidR="00954046" w:rsidRPr="0034371D" w14:paraId="59A813CC" w14:textId="77777777" w:rsidTr="003975C2">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E24A8" w14:textId="77777777" w:rsidR="00954046" w:rsidRPr="0034371D" w:rsidRDefault="00954046" w:rsidP="009C018B">
            <w:pPr>
              <w:widowControl w:val="0"/>
              <w:jc w:val="left"/>
              <w:rPr>
                <w:bCs/>
                <w:color w:val="000000"/>
                <w:sz w:val="20"/>
                <w:szCs w:val="20"/>
              </w:rPr>
            </w:pPr>
            <w:r>
              <w:rPr>
                <w:color w:val="000000"/>
                <w:sz w:val="20"/>
                <w:szCs w:val="20"/>
                <w:lang w:val="fr"/>
              </w:rPr>
              <w:t>Tonnes métriques (</w:t>
            </w:r>
            <w:proofErr w:type="spellStart"/>
            <w:r>
              <w:rPr>
                <w:color w:val="000000"/>
                <w:sz w:val="20"/>
                <w:szCs w:val="20"/>
                <w:lang w:val="fr"/>
              </w:rPr>
              <w:t>tm</w:t>
            </w:r>
            <w:proofErr w:type="spellEnd"/>
            <w:r>
              <w:rPr>
                <w:color w:val="000000"/>
                <w:sz w:val="20"/>
                <w:szCs w:val="20"/>
                <w:lang w:val="fr"/>
              </w:rPr>
              <w:t>)</w:t>
            </w:r>
          </w:p>
        </w:tc>
        <w:tc>
          <w:tcPr>
            <w:tcW w:w="559" w:type="pct"/>
            <w:tcBorders>
              <w:top w:val="nil"/>
              <w:left w:val="nil"/>
              <w:bottom w:val="single" w:sz="4" w:space="0" w:color="auto"/>
              <w:right w:val="single" w:sz="4" w:space="0" w:color="auto"/>
            </w:tcBorders>
            <w:shd w:val="clear" w:color="auto" w:fill="auto"/>
            <w:noWrap/>
            <w:vAlign w:val="bottom"/>
          </w:tcPr>
          <w:p w14:paraId="7980E73E" w14:textId="5B0AEEF3" w:rsidR="00954046" w:rsidRPr="0034371D" w:rsidRDefault="00290FE5" w:rsidP="009C018B">
            <w:pPr>
              <w:jc w:val="right"/>
              <w:rPr>
                <w:color w:val="000000"/>
                <w:sz w:val="20"/>
                <w:szCs w:val="20"/>
              </w:rPr>
            </w:pPr>
            <w:r>
              <w:rPr>
                <w:color w:val="000000"/>
                <w:sz w:val="20"/>
                <w:szCs w:val="20"/>
                <w:lang w:val="fr"/>
              </w:rPr>
              <w:t>2,04</w:t>
            </w:r>
          </w:p>
        </w:tc>
        <w:tc>
          <w:tcPr>
            <w:tcW w:w="560" w:type="pct"/>
            <w:tcBorders>
              <w:top w:val="nil"/>
              <w:left w:val="nil"/>
              <w:bottom w:val="single" w:sz="4" w:space="0" w:color="auto"/>
              <w:right w:val="single" w:sz="4" w:space="0" w:color="auto"/>
            </w:tcBorders>
            <w:shd w:val="clear" w:color="auto" w:fill="auto"/>
            <w:noWrap/>
          </w:tcPr>
          <w:p w14:paraId="613427CA" w14:textId="068B61C3" w:rsidR="00954046" w:rsidRPr="0034371D" w:rsidRDefault="00EB708C" w:rsidP="009C018B">
            <w:pPr>
              <w:jc w:val="right"/>
              <w:rPr>
                <w:color w:val="000000"/>
                <w:sz w:val="20"/>
                <w:szCs w:val="20"/>
              </w:rPr>
            </w:pPr>
            <w:r>
              <w:rPr>
                <w:color w:val="000000"/>
                <w:sz w:val="20"/>
                <w:szCs w:val="20"/>
                <w:lang w:val="fr"/>
              </w:rPr>
              <w:t>0,83</w:t>
            </w:r>
          </w:p>
        </w:tc>
        <w:tc>
          <w:tcPr>
            <w:tcW w:w="559" w:type="pct"/>
            <w:tcBorders>
              <w:top w:val="single" w:sz="4" w:space="0" w:color="auto"/>
              <w:left w:val="nil"/>
              <w:bottom w:val="single" w:sz="4" w:space="0" w:color="auto"/>
              <w:right w:val="single" w:sz="4" w:space="0" w:color="auto"/>
            </w:tcBorders>
          </w:tcPr>
          <w:p w14:paraId="28E755EA" w14:textId="5B515788" w:rsidR="00954046" w:rsidRPr="0034371D" w:rsidRDefault="0044291B" w:rsidP="009C018B">
            <w:pPr>
              <w:widowControl w:val="0"/>
              <w:jc w:val="right"/>
              <w:rPr>
                <w:bCs/>
                <w:color w:val="000000"/>
                <w:sz w:val="20"/>
                <w:szCs w:val="20"/>
              </w:rPr>
            </w:pPr>
            <w:r>
              <w:rPr>
                <w:color w:val="000000"/>
                <w:sz w:val="20"/>
                <w:szCs w:val="20"/>
                <w:lang w:val="fr"/>
              </w:rPr>
              <w:t>0,61</w:t>
            </w:r>
          </w:p>
        </w:tc>
        <w:tc>
          <w:tcPr>
            <w:tcW w:w="560" w:type="pct"/>
            <w:tcBorders>
              <w:top w:val="nil"/>
              <w:left w:val="single" w:sz="4" w:space="0" w:color="auto"/>
              <w:bottom w:val="single" w:sz="4" w:space="0" w:color="auto"/>
              <w:right w:val="single" w:sz="4" w:space="0" w:color="auto"/>
            </w:tcBorders>
          </w:tcPr>
          <w:p w14:paraId="4DD7AA34" w14:textId="3A3740E5" w:rsidR="00954046" w:rsidRPr="0034371D" w:rsidRDefault="0044291B" w:rsidP="009C018B">
            <w:pPr>
              <w:widowControl w:val="0"/>
              <w:jc w:val="right"/>
              <w:rPr>
                <w:bCs/>
                <w:color w:val="000000"/>
                <w:sz w:val="20"/>
                <w:szCs w:val="20"/>
              </w:rPr>
            </w:pPr>
            <w:r>
              <w:rPr>
                <w:color w:val="000000"/>
                <w:sz w:val="20"/>
                <w:szCs w:val="20"/>
                <w:lang w:val="fr"/>
              </w:rPr>
              <w:t>0,68</w:t>
            </w:r>
          </w:p>
        </w:tc>
        <w:tc>
          <w:tcPr>
            <w:tcW w:w="559" w:type="pct"/>
            <w:tcBorders>
              <w:top w:val="nil"/>
              <w:left w:val="single" w:sz="4" w:space="0" w:color="auto"/>
              <w:bottom w:val="single" w:sz="4" w:space="0" w:color="auto"/>
              <w:right w:val="single" w:sz="4" w:space="0" w:color="auto"/>
            </w:tcBorders>
          </w:tcPr>
          <w:p w14:paraId="65A96F92" w14:textId="7F9F2713" w:rsidR="00954046" w:rsidRPr="0034371D" w:rsidRDefault="007F6888" w:rsidP="009C018B">
            <w:pPr>
              <w:widowControl w:val="0"/>
              <w:jc w:val="right"/>
              <w:rPr>
                <w:rFonts w:eastAsiaTheme="minorHAnsi"/>
                <w:color w:val="000000"/>
                <w:sz w:val="20"/>
                <w:szCs w:val="20"/>
              </w:rPr>
            </w:pPr>
            <w:r>
              <w:rPr>
                <w:rFonts w:eastAsiaTheme="minorHAnsi"/>
                <w:color w:val="000000"/>
                <w:sz w:val="20"/>
                <w:szCs w:val="20"/>
                <w:lang w:val="fr"/>
              </w:rPr>
              <w:t>2,04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302A1659" w14:textId="110B4967" w:rsidR="00954046" w:rsidRPr="009C7EF0" w:rsidRDefault="009C7EF0" w:rsidP="009C018B">
            <w:pPr>
              <w:widowControl w:val="0"/>
              <w:jc w:val="right"/>
              <w:rPr>
                <w:color w:val="000000"/>
                <w:sz w:val="20"/>
                <w:szCs w:val="20"/>
              </w:rPr>
            </w:pPr>
            <w:r>
              <w:rPr>
                <w:color w:val="000000"/>
                <w:sz w:val="20"/>
                <w:szCs w:val="20"/>
                <w:lang w:val="fr"/>
              </w:rPr>
              <w:t>9,09</w:t>
            </w:r>
          </w:p>
        </w:tc>
      </w:tr>
      <w:tr w:rsidR="00954046" w:rsidRPr="00652F42" w14:paraId="1954F543" w14:textId="77777777" w:rsidTr="003975C2">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0C4D2E" w14:textId="77777777" w:rsidR="00954046" w:rsidRPr="00652F42" w:rsidRDefault="00954046" w:rsidP="009C018B">
            <w:pPr>
              <w:widowControl w:val="0"/>
              <w:jc w:val="left"/>
              <w:rPr>
                <w:color w:val="000000"/>
                <w:sz w:val="20"/>
                <w:szCs w:val="20"/>
              </w:rPr>
            </w:pPr>
            <w:r>
              <w:rPr>
                <w:color w:val="000000"/>
                <w:sz w:val="20"/>
                <w:szCs w:val="20"/>
                <w:lang w:val="fr"/>
              </w:rPr>
              <w:t>Tonnes PAO</w:t>
            </w:r>
          </w:p>
        </w:tc>
        <w:tc>
          <w:tcPr>
            <w:tcW w:w="559" w:type="pct"/>
            <w:tcBorders>
              <w:top w:val="nil"/>
              <w:left w:val="nil"/>
              <w:bottom w:val="single" w:sz="4" w:space="0" w:color="auto"/>
              <w:right w:val="single" w:sz="4" w:space="0" w:color="auto"/>
            </w:tcBorders>
            <w:shd w:val="clear" w:color="auto" w:fill="auto"/>
            <w:noWrap/>
          </w:tcPr>
          <w:p w14:paraId="12F9AFE9" w14:textId="67A39EB0" w:rsidR="00954046" w:rsidRPr="00652F42" w:rsidRDefault="00FF6E39" w:rsidP="009C018B">
            <w:pPr>
              <w:jc w:val="right"/>
              <w:rPr>
                <w:rFonts w:eastAsiaTheme="minorHAnsi"/>
                <w:color w:val="000000"/>
                <w:sz w:val="20"/>
                <w:szCs w:val="20"/>
              </w:rPr>
            </w:pPr>
            <w:r>
              <w:rPr>
                <w:rFonts w:eastAsiaTheme="minorHAnsi"/>
                <w:color w:val="000000"/>
                <w:sz w:val="20"/>
                <w:szCs w:val="20"/>
                <w:lang w:val="fr"/>
              </w:rPr>
              <w:t>0,11</w:t>
            </w:r>
          </w:p>
        </w:tc>
        <w:tc>
          <w:tcPr>
            <w:tcW w:w="560" w:type="pct"/>
            <w:tcBorders>
              <w:top w:val="nil"/>
              <w:left w:val="nil"/>
              <w:bottom w:val="single" w:sz="4" w:space="0" w:color="auto"/>
              <w:right w:val="single" w:sz="4" w:space="0" w:color="auto"/>
            </w:tcBorders>
            <w:shd w:val="clear" w:color="auto" w:fill="auto"/>
            <w:noWrap/>
          </w:tcPr>
          <w:p w14:paraId="0FDE3B17" w14:textId="2C3234EE" w:rsidR="00954046" w:rsidRPr="00652F42" w:rsidRDefault="00FF6E39" w:rsidP="009C018B">
            <w:pPr>
              <w:jc w:val="right"/>
              <w:rPr>
                <w:color w:val="000000"/>
                <w:sz w:val="20"/>
                <w:szCs w:val="20"/>
              </w:rPr>
            </w:pPr>
            <w:r>
              <w:rPr>
                <w:color w:val="000000"/>
                <w:sz w:val="20"/>
                <w:szCs w:val="20"/>
                <w:lang w:val="fr"/>
              </w:rPr>
              <w:t>0,05</w:t>
            </w:r>
          </w:p>
        </w:tc>
        <w:tc>
          <w:tcPr>
            <w:tcW w:w="559" w:type="pct"/>
            <w:tcBorders>
              <w:top w:val="single" w:sz="4" w:space="0" w:color="auto"/>
              <w:left w:val="nil"/>
              <w:bottom w:val="single" w:sz="4" w:space="0" w:color="auto"/>
              <w:right w:val="single" w:sz="4" w:space="0" w:color="auto"/>
            </w:tcBorders>
          </w:tcPr>
          <w:p w14:paraId="5B8D92BB" w14:textId="2274956F" w:rsidR="00954046" w:rsidRPr="00652F42" w:rsidRDefault="00FF6E39" w:rsidP="009C018B">
            <w:pPr>
              <w:jc w:val="right"/>
              <w:rPr>
                <w:color w:val="000000"/>
                <w:sz w:val="20"/>
                <w:szCs w:val="20"/>
              </w:rPr>
            </w:pPr>
            <w:r>
              <w:rPr>
                <w:color w:val="000000"/>
                <w:sz w:val="20"/>
                <w:szCs w:val="20"/>
                <w:lang w:val="fr"/>
              </w:rPr>
              <w:t>0,03</w:t>
            </w:r>
          </w:p>
        </w:tc>
        <w:tc>
          <w:tcPr>
            <w:tcW w:w="560" w:type="pct"/>
            <w:tcBorders>
              <w:top w:val="nil"/>
              <w:left w:val="single" w:sz="4" w:space="0" w:color="auto"/>
              <w:bottom w:val="single" w:sz="4" w:space="0" w:color="auto"/>
              <w:right w:val="single" w:sz="4" w:space="0" w:color="auto"/>
            </w:tcBorders>
          </w:tcPr>
          <w:p w14:paraId="614304AC" w14:textId="5064DE1F" w:rsidR="00954046" w:rsidRPr="00652F42" w:rsidRDefault="00FF6E39" w:rsidP="009C018B">
            <w:pPr>
              <w:jc w:val="right"/>
              <w:rPr>
                <w:sz w:val="20"/>
                <w:szCs w:val="20"/>
              </w:rPr>
            </w:pPr>
            <w:r>
              <w:rPr>
                <w:sz w:val="20"/>
                <w:szCs w:val="20"/>
                <w:lang w:val="fr"/>
              </w:rPr>
              <w:t>0,04</w:t>
            </w:r>
          </w:p>
        </w:tc>
        <w:tc>
          <w:tcPr>
            <w:tcW w:w="559" w:type="pct"/>
            <w:tcBorders>
              <w:top w:val="nil"/>
              <w:left w:val="single" w:sz="4" w:space="0" w:color="auto"/>
              <w:bottom w:val="single" w:sz="4" w:space="0" w:color="auto"/>
              <w:right w:val="single" w:sz="4" w:space="0" w:color="auto"/>
            </w:tcBorders>
          </w:tcPr>
          <w:p w14:paraId="6317142C" w14:textId="248CCF14" w:rsidR="00954046" w:rsidRPr="00652F42" w:rsidRDefault="00D8643F" w:rsidP="009C018B">
            <w:pPr>
              <w:jc w:val="right"/>
              <w:rPr>
                <w:rFonts w:eastAsiaTheme="minorHAnsi"/>
                <w:color w:val="000000"/>
                <w:sz w:val="20"/>
                <w:szCs w:val="20"/>
              </w:rPr>
            </w:pPr>
            <w:r>
              <w:rPr>
                <w:rFonts w:eastAsiaTheme="minorHAnsi"/>
                <w:color w:val="000000"/>
                <w:sz w:val="20"/>
                <w:szCs w:val="20"/>
                <w:lang w:val="fr"/>
              </w:rPr>
              <w:t>0,11</w:t>
            </w:r>
          </w:p>
        </w:tc>
        <w:tc>
          <w:tcPr>
            <w:tcW w:w="560" w:type="pct"/>
            <w:tcBorders>
              <w:top w:val="nil"/>
              <w:left w:val="single" w:sz="4" w:space="0" w:color="auto"/>
              <w:bottom w:val="single" w:sz="4" w:space="0" w:color="auto"/>
              <w:right w:val="single" w:sz="4" w:space="0" w:color="auto"/>
            </w:tcBorders>
            <w:shd w:val="clear" w:color="auto" w:fill="auto"/>
            <w:noWrap/>
          </w:tcPr>
          <w:p w14:paraId="076DC616" w14:textId="09872E67" w:rsidR="00954046" w:rsidRPr="00652F42" w:rsidRDefault="00FF6E39" w:rsidP="009C018B">
            <w:pPr>
              <w:jc w:val="right"/>
              <w:rPr>
                <w:rFonts w:eastAsiaTheme="minorHAnsi"/>
                <w:color w:val="000000"/>
                <w:sz w:val="20"/>
                <w:szCs w:val="20"/>
              </w:rPr>
            </w:pPr>
            <w:r>
              <w:rPr>
                <w:rFonts w:eastAsiaTheme="minorHAnsi"/>
                <w:color w:val="000000"/>
                <w:sz w:val="20"/>
                <w:szCs w:val="20"/>
                <w:lang w:val="fr"/>
              </w:rPr>
              <w:t>0,50</w:t>
            </w:r>
          </w:p>
        </w:tc>
      </w:tr>
    </w:tbl>
    <w:p w14:paraId="68314F1F" w14:textId="77777777" w:rsidR="00954046" w:rsidRPr="00652F42" w:rsidRDefault="00954046" w:rsidP="009C018B"/>
    <w:bookmarkEnd w:id="0"/>
    <w:p w14:paraId="54B264C5" w14:textId="101DAEBB" w:rsidR="00861344" w:rsidRPr="00E34FC7" w:rsidRDefault="00861344" w:rsidP="00701AFF">
      <w:pPr>
        <w:pStyle w:val="Heading1"/>
        <w:rPr>
          <w:rFonts w:eastAsia="SimSun"/>
          <w:lang w:val="fr-FR"/>
        </w:rPr>
      </w:pPr>
      <w:r>
        <w:rPr>
          <w:lang w:val="fr"/>
        </w:rPr>
        <w:t>La consommation de HCFC a considérablement diminué au fil des ans en raison de la mise en œuvre du PGEH, de l’augmentation des prix des HCFC et de la baisse des importations d’équipements à base de HCFC. Les niveaux de consommation ont continué de diminuer au cours de la période 2019-2021, mais la relance de l’économie en 2022, après la pandémie de COVID-19, a ramené la consommation au niveau de 2018. Les HCFC sont nécessaires pour l’entretien des équipements existants de réfrigération et de climatisation.</w:t>
      </w:r>
    </w:p>
    <w:p w14:paraId="31F94DFA" w14:textId="6B73D98B" w:rsidR="00954046" w:rsidRPr="00E34FC7" w:rsidRDefault="00954046" w:rsidP="009C018B">
      <w:pPr>
        <w:rPr>
          <w:i/>
          <w:lang w:val="fr-FR"/>
        </w:rPr>
      </w:pPr>
      <w:r>
        <w:rPr>
          <w:i/>
          <w:iCs/>
          <w:lang w:val="fr"/>
        </w:rPr>
        <w:t>Rapport de mise en œuvre du programme de pays</w:t>
      </w:r>
    </w:p>
    <w:p w14:paraId="44314D1B" w14:textId="77777777" w:rsidR="00954046" w:rsidRPr="00E34FC7" w:rsidRDefault="00954046" w:rsidP="009C018B">
      <w:pPr>
        <w:rPr>
          <w:lang w:val="fr-FR"/>
        </w:rPr>
      </w:pPr>
    </w:p>
    <w:p w14:paraId="3267E41E" w14:textId="3E66CE5B" w:rsidR="00954046" w:rsidRPr="00E34FC7" w:rsidRDefault="00954046" w:rsidP="009C018B">
      <w:pPr>
        <w:pStyle w:val="Heading1"/>
        <w:rPr>
          <w:lang w:val="fr-FR"/>
        </w:rPr>
      </w:pPr>
      <w:r>
        <w:rPr>
          <w:lang w:val="fr"/>
        </w:rPr>
        <w:t xml:space="preserve">Les données de consommation de HCFC communiquées par le gouvernement de Saint-Kitts-et-Nevis dans son rapport de mise en œuvre du programme de pays pour 2022 correspondent à celles fournies au titre de l’article 7 du Protocole de Montréal. </w:t>
      </w:r>
    </w:p>
    <w:p w14:paraId="66B11D3A" w14:textId="0FD7E5CF" w:rsidR="00954046" w:rsidRPr="0034371D" w:rsidRDefault="00954046" w:rsidP="009C018B">
      <w:pPr>
        <w:rPr>
          <w:i/>
        </w:rPr>
      </w:pPr>
      <w:r>
        <w:rPr>
          <w:i/>
          <w:iCs/>
          <w:lang w:val="fr"/>
        </w:rPr>
        <w:t xml:space="preserve">Rapport de vérification </w:t>
      </w:r>
    </w:p>
    <w:p w14:paraId="33BB23A5" w14:textId="77777777" w:rsidR="00954046" w:rsidRPr="0034371D" w:rsidRDefault="00954046" w:rsidP="009C018B"/>
    <w:p w14:paraId="12ED04F3" w14:textId="46285255" w:rsidR="006A009E" w:rsidRPr="00E34FC7" w:rsidRDefault="00954046" w:rsidP="00FD516D">
      <w:pPr>
        <w:pStyle w:val="Heading1"/>
        <w:rPr>
          <w:lang w:val="fr-FR"/>
        </w:rPr>
      </w:pPr>
      <w:r>
        <w:rPr>
          <w:lang w:val="fr"/>
        </w:rPr>
        <w:t>Le rapport de vérification pour les années 2015-2022, inclus dans la demande présentée à la 92</w:t>
      </w:r>
      <w:r>
        <w:rPr>
          <w:vertAlign w:val="superscript"/>
          <w:lang w:val="fr"/>
        </w:rPr>
        <w:t>e</w:t>
      </w:r>
      <w:r>
        <w:rPr>
          <w:lang w:val="fr"/>
        </w:rPr>
        <w:t> réunion, a confirmé que le gouvernement respecte les limites fixées par le Protocole de Montréal et que la consommation de HCFC pour 2015-2022 est inférieure à la consommation maximale admissible établie à l’annexe 2-A de l’accord de PGEH entre le Comité exécutif et le gouvernement de Saint-Kitts-et-Nevis.</w:t>
      </w:r>
      <w:r>
        <w:rPr>
          <w:color w:val="000000" w:themeColor="text1"/>
          <w:lang w:val="fr"/>
        </w:rPr>
        <w:t xml:space="preserve"> </w:t>
      </w:r>
      <w:r>
        <w:rPr>
          <w:color w:val="000000" w:themeColor="text1"/>
          <w:lang w:val="fr"/>
        </w:rPr>
        <w:lastRenderedPageBreak/>
        <w:t>Toutefois, le rapport identifie plusieurs problèmes importants, qui requièrent une attention immédiate et urgente, concernant le système d’autorisations et de quotas et les importations des SAO.</w:t>
      </w:r>
    </w:p>
    <w:p w14:paraId="31FE125E" w14:textId="00BC2DA9" w:rsidR="006D7CE5" w:rsidRPr="00E34FC7" w:rsidRDefault="00737907" w:rsidP="00785597">
      <w:pPr>
        <w:pStyle w:val="Heading1"/>
        <w:rPr>
          <w:color w:val="424242"/>
          <w:bdr w:val="none" w:sz="0" w:space="0" w:color="auto" w:frame="1"/>
          <w:lang w:val="fr-FR"/>
        </w:rPr>
      </w:pPr>
      <w:r>
        <w:rPr>
          <w:lang w:val="fr"/>
        </w:rPr>
        <w:t>Le PNUE a été invité à travailler avec le gouvernement sur des actions spécifiques</w:t>
      </w:r>
      <w:r>
        <w:rPr>
          <w:rStyle w:val="FootnoteReference"/>
          <w:lang w:val="fr"/>
        </w:rPr>
        <w:footnoteReference w:id="3"/>
      </w:r>
      <w:r>
        <w:rPr>
          <w:lang w:val="fr"/>
        </w:rPr>
        <w:t xml:space="preserve"> pour donner suite aux recommandations du rapport de vérification afin de garantir un système national d’autorisations et de quotas pleinement opérationnel et applicable, qui permettrait au pays de continuer de respecter le calendrier d’élimination. </w:t>
      </w:r>
    </w:p>
    <w:p w14:paraId="3702F7DD" w14:textId="44F5317B" w:rsidR="00B30CF7" w:rsidRPr="00E34FC7" w:rsidRDefault="005C2D84" w:rsidP="00785597">
      <w:pPr>
        <w:pStyle w:val="Heading1"/>
        <w:rPr>
          <w:color w:val="424242"/>
          <w:bdr w:val="none" w:sz="0" w:space="0" w:color="auto" w:frame="1"/>
          <w:lang w:val="fr-FR"/>
        </w:rPr>
      </w:pPr>
      <w:r>
        <w:rPr>
          <w:lang w:val="fr"/>
        </w:rPr>
        <w:t>Le PNUE a joint à la présente demande un rapport spécial abordant chacune des actions spécifiques qu’il a été prié d’entreprendre. Le PNUE a pu corroborer, dans le cadre d’une mission dans le pays effectuée en juillet 2023, qu’aucune SAO éliminée n’a été utilisée à Saint-Kitts-et-Nevis et que tous les frigorigènes importés en 2016 et 2019 étaient des HCFC malgré les codes du système harmonisé (SH) erronément saisis dans le système. Les rapports sur le programme national et les données fournies au titre de l’article 7 ont été corrigés en conséquence. Le PNUE a affirmé que la mise en œuvre continue des recommandations contenues dans le rapport de vérification permettrait d’éviter de nouvelles erreurs de déclaration.</w:t>
      </w:r>
    </w:p>
    <w:p w14:paraId="03FDC33C" w14:textId="17BA70C2" w:rsidR="00B257D7" w:rsidRPr="00E34FC7" w:rsidRDefault="00B06D26" w:rsidP="00FD516D">
      <w:pPr>
        <w:pStyle w:val="Heading1"/>
        <w:rPr>
          <w:lang w:val="fr-FR"/>
        </w:rPr>
      </w:pPr>
      <w:r>
        <w:rPr>
          <w:lang w:val="fr"/>
        </w:rPr>
        <w:t>À la suite de la mission, des alertes ont été incluses dans le système des douanes sur les importations en ligne en cas d’utilisation de codes SH correspondant à des substances qui ont été éliminées, et l’unité nationale de l’ozone (UNO) a entrepris des activités pour faire respecter les quotas individuels d’importation de HCFC et la publication des quotas dans la Gazette.</w:t>
      </w:r>
    </w:p>
    <w:p w14:paraId="6F0410DA" w14:textId="5636B6E3" w:rsidR="00954046" w:rsidRPr="00E34FC7" w:rsidRDefault="00954046" w:rsidP="00FD516D">
      <w:pPr>
        <w:rPr>
          <w:u w:val="single"/>
          <w:lang w:val="fr-FR"/>
        </w:rPr>
      </w:pPr>
      <w:r>
        <w:rPr>
          <w:u w:val="single"/>
          <w:lang w:val="fr"/>
        </w:rPr>
        <w:t>Rapport périodique de mise en œuvre de la deuxième tranche de la phase I du plan de gestion de l’élimination des HCFC</w:t>
      </w:r>
    </w:p>
    <w:p w14:paraId="73546CAF" w14:textId="77777777" w:rsidR="00413328" w:rsidRPr="00E34FC7" w:rsidRDefault="00413328" w:rsidP="00FD516D">
      <w:pPr>
        <w:rPr>
          <w:u w:val="single"/>
          <w:lang w:val="fr-FR"/>
        </w:rPr>
      </w:pPr>
    </w:p>
    <w:p w14:paraId="54296218" w14:textId="632EF04C" w:rsidR="00413328" w:rsidRPr="00E34FC7" w:rsidRDefault="00326375" w:rsidP="00326375">
      <w:pPr>
        <w:pStyle w:val="Heading1"/>
        <w:rPr>
          <w:lang w:val="fr-FR"/>
        </w:rPr>
      </w:pPr>
      <w:r>
        <w:rPr>
          <w:lang w:val="fr"/>
        </w:rPr>
        <w:t>Lors de sa mission de novembre 2022 à Saint-Kitts-et-Nevis, le PNUE a notamment organisé deux réunions. L’une d’entre elles a ciblé les principaux importateurs de frigorigènes et d’équipements et s’est concentrée sur le système d’autorisations et de quotas et les questions soulevées dans le rapport de vérification, la coopération avec l’UNO, la revitalisation de l’association de la réfrigération et de la climatisation, et l’importance de la certification et de la formation des techniciens en réfrigération et climatisation. L’autre était destinée au département des douanes et portait sur des sujets tels que le commerce illégal, la collaboration avec l’UNO et l’accès au système douanier automatisé (SYDONIA) et aux codes SH 2022 pour faciliter la vérification des importations, ainsi que sur les moyens de renforcer les fonctions de surveillance, de notification, de vérification et d’évaluation.</w:t>
      </w:r>
    </w:p>
    <w:p w14:paraId="5AA2FA8F" w14:textId="77777777" w:rsidR="00954046" w:rsidRDefault="00954046" w:rsidP="009C018B">
      <w:pPr>
        <w:rPr>
          <w:i/>
        </w:rPr>
      </w:pPr>
      <w:r>
        <w:rPr>
          <w:i/>
          <w:iCs/>
          <w:lang w:val="fr"/>
        </w:rPr>
        <w:t>Cadre juridique</w:t>
      </w:r>
    </w:p>
    <w:p w14:paraId="397321CE" w14:textId="77777777" w:rsidR="00954046" w:rsidRPr="00286F32" w:rsidRDefault="00954046" w:rsidP="009C018B">
      <w:pPr>
        <w:rPr>
          <w:iCs/>
        </w:rPr>
      </w:pPr>
    </w:p>
    <w:p w14:paraId="233A7689" w14:textId="23563ECB" w:rsidR="00A606EC" w:rsidRPr="00E34FC7" w:rsidRDefault="004A4611">
      <w:pPr>
        <w:pStyle w:val="Heading1"/>
        <w:keepNext/>
        <w:rPr>
          <w:lang w:val="fr-FR"/>
        </w:rPr>
      </w:pPr>
      <w:r>
        <w:rPr>
          <w:lang w:val="fr"/>
        </w:rPr>
        <w:t xml:space="preserve">Saint-Kitts-et-Nevis applique un système d’autorisations et de quotas, une interdiction d’exportation des SAO, un système d’enregistrement pour les importateurs et un système d’étiquetage pour les SAO et les équipements utilisant ces substances. Le gouvernement a entamé la modification des règlements existants sur les SAO en vue de l’adoption de l’Amendement de Kigali.  </w:t>
      </w:r>
    </w:p>
    <w:p w14:paraId="76396864" w14:textId="51AC59B8" w:rsidR="00B06D26" w:rsidRPr="00E34FC7" w:rsidRDefault="009C018B" w:rsidP="004766B2">
      <w:pPr>
        <w:pStyle w:val="Heading1"/>
        <w:rPr>
          <w:lang w:val="fr-FR"/>
        </w:rPr>
      </w:pPr>
      <w:r>
        <w:rPr>
          <w:lang w:val="fr"/>
        </w:rPr>
        <w:t xml:space="preserve">Au cours de la deuxième tranche, 36 agents des douanes, dont 50 % de femmes, ont été formés à la surveillance et au contrôle du commerce des SAO et des équipements contenant des SAO ; trois réunions </w:t>
      </w:r>
      <w:r>
        <w:rPr>
          <w:lang w:val="fr"/>
        </w:rPr>
        <w:lastRenderedPageBreak/>
        <w:t xml:space="preserve">de consultation ont été organisées avec le département des douanes et accises sur le développement d’un système électronique d’autorisations et de quotas ; deux sessions de sensibilisation à l’intention des magistrats ont été organisées en 2020 sur les réglementations du Protocole de Montréal ; et trois appareils d’identification des frigorigènes ont été achetés et </w:t>
      </w:r>
      <w:r>
        <w:rPr>
          <w:kern w:val="36"/>
          <w:lang w:val="fr"/>
        </w:rPr>
        <w:t>seront utilisés par les douanes pour la formation continue et l’amélioration de la surveillance aux frontières.</w:t>
      </w:r>
    </w:p>
    <w:p w14:paraId="1070BB88" w14:textId="6B973789" w:rsidR="00954046" w:rsidRPr="00E34FC7" w:rsidRDefault="00954046" w:rsidP="00326375">
      <w:pPr>
        <w:keepNext/>
        <w:rPr>
          <w:i/>
          <w:iCs/>
          <w:lang w:val="fr-FR"/>
        </w:rPr>
      </w:pPr>
      <w:r>
        <w:rPr>
          <w:i/>
          <w:iCs/>
          <w:lang w:val="fr"/>
        </w:rPr>
        <w:t>Secteur de l’entretien des équipements de réfrigération</w:t>
      </w:r>
    </w:p>
    <w:p w14:paraId="4FD7193C" w14:textId="65EB0FD7" w:rsidR="00954046" w:rsidRPr="00E34FC7" w:rsidRDefault="00954046" w:rsidP="009752C8">
      <w:pPr>
        <w:keepNext/>
        <w:rPr>
          <w:lang w:val="fr-FR"/>
        </w:rPr>
      </w:pPr>
    </w:p>
    <w:p w14:paraId="57865628" w14:textId="083770CE" w:rsidR="00954046" w:rsidRPr="00E34FC7" w:rsidRDefault="00C1454C" w:rsidP="005D67B0">
      <w:pPr>
        <w:pStyle w:val="Heading1"/>
        <w:rPr>
          <w:lang w:val="fr-FR"/>
        </w:rPr>
      </w:pPr>
      <w:r>
        <w:rPr>
          <w:lang w:val="fr"/>
        </w:rPr>
        <w:t>Entre l’approbation de la deuxième tranche, en mai 2015, et septembre 2023, les activités suivantes ont été mises en œuvre :</w:t>
      </w:r>
    </w:p>
    <w:p w14:paraId="1B46E5EF" w14:textId="7D36F8EE" w:rsidR="00A66E5C" w:rsidRPr="00E34FC7" w:rsidRDefault="00B06C53" w:rsidP="002E5BAB">
      <w:pPr>
        <w:pStyle w:val="Heading2"/>
        <w:rPr>
          <w:lang w:val="fr-FR"/>
        </w:rPr>
      </w:pPr>
      <w:r>
        <w:rPr>
          <w:lang w:val="fr"/>
        </w:rPr>
        <w:t>En quatre sessions, 21 techniciens en réfrigération et climatisation ont été formés aux bonnes pratiques d’entretien des équipements de réfrigération, à la récupération, à la réutilisation et à la manipulation sécuritaire des frigorigènes naturels ; deux appareils d’identification des frigorigènes ont été achetés à des fins de formation pour l’UNO</w:t>
      </w:r>
      <w:r>
        <w:rPr>
          <w:kern w:val="36"/>
          <w:lang w:val="fr"/>
        </w:rPr>
        <w:t xml:space="preserve"> et seront utilisés pour la formation continue des techniciens ; </w:t>
      </w:r>
    </w:p>
    <w:p w14:paraId="15A0269D" w14:textId="54F16803" w:rsidR="009C018B" w:rsidRPr="00E34FC7" w:rsidRDefault="009C018B" w:rsidP="009C018B">
      <w:pPr>
        <w:pStyle w:val="Heading2"/>
        <w:rPr>
          <w:i/>
          <w:lang w:val="fr-FR"/>
        </w:rPr>
      </w:pPr>
      <w:r>
        <w:rPr>
          <w:lang w:val="fr"/>
        </w:rPr>
        <w:t>Les équipements</w:t>
      </w:r>
      <w:r>
        <w:rPr>
          <w:rStyle w:val="FootnoteReference"/>
          <w:lang w:val="fr"/>
        </w:rPr>
        <w:footnoteReference w:id="4"/>
      </w:r>
      <w:r>
        <w:rPr>
          <w:lang w:val="fr"/>
        </w:rPr>
        <w:t xml:space="preserve"> ont été achetés et livrés par le PNUD à la division </w:t>
      </w:r>
      <w:proofErr w:type="spellStart"/>
      <w:r>
        <w:rPr>
          <w:lang w:val="fr"/>
        </w:rPr>
        <w:t>Technical</w:t>
      </w:r>
      <w:proofErr w:type="spellEnd"/>
      <w:r>
        <w:rPr>
          <w:lang w:val="fr"/>
        </w:rPr>
        <w:t xml:space="preserve"> </w:t>
      </w:r>
      <w:proofErr w:type="spellStart"/>
      <w:r>
        <w:rPr>
          <w:lang w:val="fr"/>
        </w:rPr>
        <w:t>Vocational</w:t>
      </w:r>
      <w:proofErr w:type="spellEnd"/>
      <w:r>
        <w:rPr>
          <w:lang w:val="fr"/>
        </w:rPr>
        <w:t xml:space="preserve"> Education and Management </w:t>
      </w:r>
      <w:proofErr w:type="spellStart"/>
      <w:r>
        <w:rPr>
          <w:lang w:val="fr"/>
        </w:rPr>
        <w:t>Studies</w:t>
      </w:r>
      <w:proofErr w:type="spellEnd"/>
      <w:r>
        <w:rPr>
          <w:lang w:val="fr"/>
        </w:rPr>
        <w:t xml:space="preserve"> du Clarence Fitzroy Bryant </w:t>
      </w:r>
      <w:proofErr w:type="spellStart"/>
      <w:r>
        <w:rPr>
          <w:lang w:val="fr"/>
        </w:rPr>
        <w:t>College</w:t>
      </w:r>
      <w:proofErr w:type="spellEnd"/>
      <w:r>
        <w:rPr>
          <w:lang w:val="fr"/>
        </w:rPr>
        <w:t> ; et</w:t>
      </w:r>
    </w:p>
    <w:p w14:paraId="3B866B81" w14:textId="7615FF5B" w:rsidR="00C17163" w:rsidRPr="00E34FC7" w:rsidRDefault="00115306" w:rsidP="00D16424">
      <w:pPr>
        <w:pStyle w:val="Heading2"/>
        <w:rPr>
          <w:lang w:val="fr-FR"/>
        </w:rPr>
      </w:pPr>
      <w:r>
        <w:rPr>
          <w:lang w:val="fr"/>
        </w:rPr>
        <w:t>Plusieurs activités de sensibilisation du public sur l’élimination des HCFC ont été organisées : annonces radiophoniques et expositions ; exposés et présentations sur diverses questions relatives à l’ozone, notamment l’élimination des HCFC, à des élèves de 23 écoles primaires et de cinq écoles secondaires ; discussions avec le sous-secteur de la navigation de plaisance sur l’élimination des HCFC et la transition vers des solutions de remplacement à faible potentiel de réchauffement de la planète.</w:t>
      </w:r>
    </w:p>
    <w:p w14:paraId="57A428CD" w14:textId="2070E2B3" w:rsidR="00954046" w:rsidRPr="00E34FC7" w:rsidRDefault="00954046" w:rsidP="000D5086">
      <w:pPr>
        <w:pStyle w:val="Heading2"/>
        <w:numPr>
          <w:ilvl w:val="0"/>
          <w:numId w:val="0"/>
        </w:numPr>
        <w:rPr>
          <w:i/>
          <w:lang w:val="fr-FR"/>
        </w:rPr>
      </w:pPr>
      <w:r>
        <w:rPr>
          <w:i/>
          <w:iCs/>
          <w:lang w:val="fr"/>
        </w:rPr>
        <w:t xml:space="preserve">Mise en œuvre et suivi du projet </w:t>
      </w:r>
    </w:p>
    <w:p w14:paraId="4DB90191" w14:textId="379B80FB" w:rsidR="00954046" w:rsidRPr="00E34FC7" w:rsidRDefault="00B12893" w:rsidP="009C018B">
      <w:pPr>
        <w:pStyle w:val="Heading1"/>
        <w:rPr>
          <w:lang w:val="fr-FR"/>
        </w:rPr>
      </w:pPr>
      <w:r>
        <w:rPr>
          <w:lang w:val="fr"/>
        </w:rPr>
        <w:t>L’UNO est placée sous la tutelle du Département de l’environnement, qui dépend du ministère de l’Environnement, de l’Action climatique et de l’Autonomisation des collectivités locales. Elle supervise la mise en œuvre du PGEH, évalue les progrès et produit des rapports, tout en veillant au respect des politiques et procédures du Fonds multilatéral et du gouvernement. L’UNO a élaboré et mis en œuvre un mécanisme pour s’assurer que les activités se déroulent comme prévu et que les objectifs d’élimination sont atteints.</w:t>
      </w:r>
    </w:p>
    <w:p w14:paraId="212F64C9" w14:textId="77777777" w:rsidR="00F61F20" w:rsidRPr="00F61F20" w:rsidRDefault="00954046" w:rsidP="009C018B">
      <w:r>
        <w:rPr>
          <w:u w:val="single"/>
          <w:lang w:val="fr"/>
        </w:rPr>
        <w:t>État des décaissements</w:t>
      </w:r>
      <w:r>
        <w:rPr>
          <w:lang w:val="fr"/>
        </w:rPr>
        <w:t xml:space="preserve"> </w:t>
      </w:r>
    </w:p>
    <w:p w14:paraId="7439C007" w14:textId="77777777" w:rsidR="00954046" w:rsidRPr="0034371D" w:rsidRDefault="00954046" w:rsidP="009C018B"/>
    <w:p w14:paraId="26520D85" w14:textId="2A5DA43F" w:rsidR="00954046" w:rsidRPr="00346830" w:rsidRDefault="00954046" w:rsidP="009C018B">
      <w:pPr>
        <w:pStyle w:val="Heading1"/>
      </w:pPr>
      <w:r>
        <w:rPr>
          <w:lang w:val="fr"/>
        </w:rPr>
        <w:t>En octobre 2023, sur les 147 600 $US approuvés à ce jour, 127 941 $US avaient été décaissés (87 999 $US au PNUE et 39 942 $US au PNUD), comme indiqué au tableau 2. Le solde de 19 601 $US sera décaissé en 2023.</w:t>
      </w:r>
    </w:p>
    <w:p w14:paraId="414B9339" w14:textId="3B8B3B22" w:rsidR="00954046" w:rsidRPr="00E34FC7" w:rsidRDefault="00954046" w:rsidP="00B10333">
      <w:pPr>
        <w:keepNext/>
        <w:rPr>
          <w:b/>
          <w:lang w:val="fr-FR"/>
        </w:rPr>
      </w:pPr>
      <w:r>
        <w:rPr>
          <w:b/>
          <w:bCs/>
          <w:lang w:val="fr"/>
        </w:rPr>
        <w:t>Tableau 2. Rapport financier de la phase I du PGEH pour Saint-Kitts-et-Nevis ($US)</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954046" w:rsidRPr="00346830" w14:paraId="4B015F11" w14:textId="77777777" w:rsidTr="009C018B">
        <w:trPr>
          <w:tblHeader/>
        </w:trPr>
        <w:tc>
          <w:tcPr>
            <w:tcW w:w="833" w:type="pct"/>
            <w:vMerge w:val="restart"/>
            <w:vAlign w:val="center"/>
          </w:tcPr>
          <w:p w14:paraId="0B5BDBCF" w14:textId="77777777" w:rsidR="00954046" w:rsidRPr="00346830" w:rsidRDefault="00954046" w:rsidP="009C018B">
            <w:pPr>
              <w:keepNext/>
              <w:jc w:val="center"/>
              <w:rPr>
                <w:b/>
                <w:sz w:val="20"/>
                <w:szCs w:val="20"/>
              </w:rPr>
            </w:pPr>
            <w:r>
              <w:rPr>
                <w:b/>
                <w:bCs/>
                <w:sz w:val="20"/>
                <w:szCs w:val="20"/>
                <w:lang w:val="fr"/>
              </w:rPr>
              <w:t>Agence</w:t>
            </w:r>
          </w:p>
        </w:tc>
        <w:tc>
          <w:tcPr>
            <w:tcW w:w="1212" w:type="pct"/>
            <w:gridSpan w:val="2"/>
            <w:vAlign w:val="center"/>
          </w:tcPr>
          <w:p w14:paraId="5E0C4F77" w14:textId="77777777" w:rsidR="00954046" w:rsidRPr="00346830" w:rsidRDefault="00954046" w:rsidP="009C018B">
            <w:pPr>
              <w:keepNext/>
              <w:jc w:val="center"/>
              <w:rPr>
                <w:b/>
                <w:sz w:val="20"/>
                <w:szCs w:val="20"/>
              </w:rPr>
            </w:pPr>
            <w:r>
              <w:rPr>
                <w:b/>
                <w:bCs/>
                <w:sz w:val="20"/>
                <w:szCs w:val="20"/>
                <w:lang w:val="fr"/>
              </w:rPr>
              <w:t>Première tranche</w:t>
            </w:r>
          </w:p>
        </w:tc>
        <w:tc>
          <w:tcPr>
            <w:tcW w:w="1212" w:type="pct"/>
            <w:gridSpan w:val="2"/>
            <w:vAlign w:val="center"/>
          </w:tcPr>
          <w:p w14:paraId="19517C13" w14:textId="77777777" w:rsidR="00954046" w:rsidRPr="00346830" w:rsidRDefault="00954046" w:rsidP="009C018B">
            <w:pPr>
              <w:keepNext/>
              <w:jc w:val="center"/>
              <w:rPr>
                <w:b/>
                <w:sz w:val="20"/>
                <w:szCs w:val="20"/>
              </w:rPr>
            </w:pPr>
            <w:r>
              <w:rPr>
                <w:b/>
                <w:bCs/>
                <w:sz w:val="20"/>
                <w:szCs w:val="20"/>
                <w:lang w:val="fr"/>
              </w:rPr>
              <w:t>Deuxième tranche</w:t>
            </w:r>
          </w:p>
        </w:tc>
        <w:tc>
          <w:tcPr>
            <w:tcW w:w="1743" w:type="pct"/>
            <w:gridSpan w:val="3"/>
            <w:vAlign w:val="center"/>
          </w:tcPr>
          <w:p w14:paraId="66119155" w14:textId="77777777" w:rsidR="00954046" w:rsidRPr="00346830" w:rsidRDefault="00954046" w:rsidP="009C018B">
            <w:pPr>
              <w:keepNext/>
              <w:jc w:val="center"/>
              <w:rPr>
                <w:b/>
                <w:sz w:val="20"/>
                <w:szCs w:val="20"/>
              </w:rPr>
            </w:pPr>
            <w:r>
              <w:rPr>
                <w:b/>
                <w:bCs/>
                <w:sz w:val="20"/>
                <w:szCs w:val="20"/>
                <w:lang w:val="fr"/>
              </w:rPr>
              <w:t>Total</w:t>
            </w:r>
          </w:p>
        </w:tc>
      </w:tr>
      <w:tr w:rsidR="00954046" w:rsidRPr="00346830" w14:paraId="55FDBDDE" w14:textId="77777777" w:rsidTr="009C018B">
        <w:trPr>
          <w:tblHeader/>
        </w:trPr>
        <w:tc>
          <w:tcPr>
            <w:tcW w:w="833" w:type="pct"/>
            <w:vMerge/>
            <w:vAlign w:val="center"/>
          </w:tcPr>
          <w:p w14:paraId="0EA8EC51" w14:textId="77777777" w:rsidR="00954046" w:rsidRPr="00346830" w:rsidRDefault="00954046" w:rsidP="009C018B">
            <w:pPr>
              <w:keepNext/>
              <w:jc w:val="center"/>
              <w:rPr>
                <w:b/>
                <w:sz w:val="20"/>
                <w:szCs w:val="20"/>
              </w:rPr>
            </w:pPr>
          </w:p>
        </w:tc>
        <w:tc>
          <w:tcPr>
            <w:tcW w:w="610" w:type="pct"/>
            <w:vAlign w:val="center"/>
          </w:tcPr>
          <w:p w14:paraId="017E8A70" w14:textId="77777777" w:rsidR="00954046" w:rsidRPr="00346830" w:rsidRDefault="00954046" w:rsidP="009C018B">
            <w:pPr>
              <w:keepNext/>
              <w:jc w:val="center"/>
              <w:rPr>
                <w:b/>
                <w:sz w:val="20"/>
                <w:szCs w:val="20"/>
              </w:rPr>
            </w:pPr>
            <w:r>
              <w:rPr>
                <w:b/>
                <w:bCs/>
                <w:sz w:val="20"/>
                <w:szCs w:val="20"/>
                <w:lang w:val="fr"/>
              </w:rPr>
              <w:t>Approuvés</w:t>
            </w:r>
          </w:p>
        </w:tc>
        <w:tc>
          <w:tcPr>
            <w:tcW w:w="602" w:type="pct"/>
            <w:vAlign w:val="center"/>
          </w:tcPr>
          <w:p w14:paraId="6E91A833" w14:textId="77777777" w:rsidR="00954046" w:rsidRPr="00346830" w:rsidRDefault="00954046" w:rsidP="009C018B">
            <w:pPr>
              <w:keepNext/>
              <w:jc w:val="center"/>
              <w:rPr>
                <w:b/>
                <w:sz w:val="20"/>
                <w:szCs w:val="20"/>
              </w:rPr>
            </w:pPr>
            <w:r>
              <w:rPr>
                <w:b/>
                <w:bCs/>
                <w:sz w:val="20"/>
                <w:szCs w:val="20"/>
                <w:lang w:val="fr"/>
              </w:rPr>
              <w:t>Décaissés</w:t>
            </w:r>
          </w:p>
        </w:tc>
        <w:tc>
          <w:tcPr>
            <w:tcW w:w="605" w:type="pct"/>
            <w:vAlign w:val="center"/>
          </w:tcPr>
          <w:p w14:paraId="64EEB199" w14:textId="77777777" w:rsidR="00954046" w:rsidRPr="00346830" w:rsidRDefault="00954046" w:rsidP="009C018B">
            <w:pPr>
              <w:keepNext/>
              <w:jc w:val="center"/>
              <w:rPr>
                <w:b/>
                <w:sz w:val="20"/>
                <w:szCs w:val="20"/>
              </w:rPr>
            </w:pPr>
            <w:r>
              <w:rPr>
                <w:b/>
                <w:bCs/>
                <w:sz w:val="20"/>
                <w:szCs w:val="20"/>
                <w:lang w:val="fr"/>
              </w:rPr>
              <w:t>Approuvés</w:t>
            </w:r>
          </w:p>
        </w:tc>
        <w:tc>
          <w:tcPr>
            <w:tcW w:w="607" w:type="pct"/>
            <w:vAlign w:val="center"/>
          </w:tcPr>
          <w:p w14:paraId="342036BD" w14:textId="77777777" w:rsidR="00954046" w:rsidRPr="00346830" w:rsidRDefault="00954046" w:rsidP="009C018B">
            <w:pPr>
              <w:keepNext/>
              <w:jc w:val="center"/>
              <w:rPr>
                <w:b/>
                <w:sz w:val="20"/>
                <w:szCs w:val="20"/>
              </w:rPr>
            </w:pPr>
            <w:r>
              <w:rPr>
                <w:b/>
                <w:bCs/>
                <w:sz w:val="20"/>
                <w:szCs w:val="20"/>
                <w:lang w:val="fr"/>
              </w:rPr>
              <w:t>Décaissés</w:t>
            </w:r>
          </w:p>
        </w:tc>
        <w:tc>
          <w:tcPr>
            <w:tcW w:w="606" w:type="pct"/>
            <w:vAlign w:val="center"/>
          </w:tcPr>
          <w:p w14:paraId="52E0C9AD" w14:textId="77777777" w:rsidR="00954046" w:rsidRPr="00346830" w:rsidRDefault="00954046" w:rsidP="009C018B">
            <w:pPr>
              <w:keepNext/>
              <w:jc w:val="center"/>
              <w:rPr>
                <w:b/>
                <w:sz w:val="20"/>
                <w:szCs w:val="20"/>
              </w:rPr>
            </w:pPr>
            <w:r>
              <w:rPr>
                <w:b/>
                <w:bCs/>
                <w:sz w:val="20"/>
                <w:szCs w:val="20"/>
                <w:lang w:val="fr"/>
              </w:rPr>
              <w:t>Approuvés</w:t>
            </w:r>
          </w:p>
        </w:tc>
        <w:tc>
          <w:tcPr>
            <w:tcW w:w="607" w:type="pct"/>
            <w:vAlign w:val="center"/>
          </w:tcPr>
          <w:p w14:paraId="14A5C399" w14:textId="77777777" w:rsidR="00954046" w:rsidRPr="00346830" w:rsidRDefault="00954046" w:rsidP="009C018B">
            <w:pPr>
              <w:keepNext/>
              <w:jc w:val="center"/>
              <w:rPr>
                <w:b/>
                <w:sz w:val="20"/>
                <w:szCs w:val="20"/>
              </w:rPr>
            </w:pPr>
            <w:r>
              <w:rPr>
                <w:b/>
                <w:bCs/>
                <w:sz w:val="20"/>
                <w:szCs w:val="20"/>
                <w:lang w:val="fr"/>
              </w:rPr>
              <w:t>Décaissés</w:t>
            </w:r>
          </w:p>
        </w:tc>
        <w:tc>
          <w:tcPr>
            <w:tcW w:w="530" w:type="pct"/>
          </w:tcPr>
          <w:p w14:paraId="364D7E94" w14:textId="77777777" w:rsidR="00954046" w:rsidRPr="00346830" w:rsidRDefault="00954046" w:rsidP="009C018B">
            <w:pPr>
              <w:keepNext/>
              <w:jc w:val="center"/>
              <w:rPr>
                <w:b/>
                <w:sz w:val="20"/>
                <w:szCs w:val="20"/>
              </w:rPr>
            </w:pPr>
            <w:r>
              <w:rPr>
                <w:b/>
                <w:bCs/>
                <w:sz w:val="20"/>
                <w:szCs w:val="20"/>
                <w:lang w:val="fr"/>
              </w:rPr>
              <w:t>Solde</w:t>
            </w:r>
          </w:p>
        </w:tc>
      </w:tr>
      <w:tr w:rsidR="00954046" w:rsidRPr="00346830" w14:paraId="525D41CD" w14:textId="77777777" w:rsidTr="009C018B">
        <w:tc>
          <w:tcPr>
            <w:tcW w:w="833" w:type="pct"/>
          </w:tcPr>
          <w:p w14:paraId="0269E025" w14:textId="30E78EE4" w:rsidR="00954046" w:rsidRPr="00346830" w:rsidRDefault="00EB7F73" w:rsidP="009C018B">
            <w:pPr>
              <w:keepNext/>
              <w:rPr>
                <w:sz w:val="20"/>
                <w:szCs w:val="20"/>
              </w:rPr>
            </w:pPr>
            <w:r>
              <w:rPr>
                <w:sz w:val="20"/>
                <w:szCs w:val="20"/>
                <w:lang w:val="fr"/>
              </w:rPr>
              <w:t>PNUE</w:t>
            </w:r>
          </w:p>
        </w:tc>
        <w:tc>
          <w:tcPr>
            <w:tcW w:w="610" w:type="pct"/>
          </w:tcPr>
          <w:p w14:paraId="32C88D89" w14:textId="23ACFE9F" w:rsidR="00954046" w:rsidRPr="00346830" w:rsidRDefault="009E7D8C" w:rsidP="009C018B">
            <w:pPr>
              <w:keepNext/>
              <w:jc w:val="right"/>
              <w:rPr>
                <w:sz w:val="20"/>
                <w:szCs w:val="20"/>
              </w:rPr>
            </w:pPr>
            <w:r>
              <w:rPr>
                <w:sz w:val="20"/>
                <w:szCs w:val="20"/>
                <w:lang w:val="fr"/>
              </w:rPr>
              <w:t>58 400</w:t>
            </w:r>
          </w:p>
        </w:tc>
        <w:tc>
          <w:tcPr>
            <w:tcW w:w="602" w:type="pct"/>
          </w:tcPr>
          <w:p w14:paraId="52EA8D0C" w14:textId="0012A1C1" w:rsidR="00954046" w:rsidRPr="00346830" w:rsidRDefault="009E7D8C" w:rsidP="009C018B">
            <w:pPr>
              <w:keepNext/>
              <w:jc w:val="right"/>
              <w:rPr>
                <w:sz w:val="20"/>
                <w:szCs w:val="20"/>
              </w:rPr>
            </w:pPr>
            <w:r>
              <w:rPr>
                <w:sz w:val="20"/>
                <w:szCs w:val="20"/>
                <w:lang w:val="fr"/>
              </w:rPr>
              <w:t>58 400</w:t>
            </w:r>
          </w:p>
        </w:tc>
        <w:tc>
          <w:tcPr>
            <w:tcW w:w="605" w:type="pct"/>
          </w:tcPr>
          <w:p w14:paraId="0B31F2C2" w14:textId="372959EC" w:rsidR="00954046" w:rsidRPr="00346830" w:rsidRDefault="00A65BAD" w:rsidP="009C018B">
            <w:pPr>
              <w:keepNext/>
              <w:jc w:val="right"/>
              <w:rPr>
                <w:sz w:val="20"/>
                <w:szCs w:val="20"/>
              </w:rPr>
            </w:pPr>
            <w:r>
              <w:rPr>
                <w:sz w:val="20"/>
                <w:szCs w:val="20"/>
                <w:lang w:val="fr"/>
              </w:rPr>
              <w:t>49 200</w:t>
            </w:r>
          </w:p>
        </w:tc>
        <w:tc>
          <w:tcPr>
            <w:tcW w:w="607" w:type="pct"/>
          </w:tcPr>
          <w:p w14:paraId="163AB773" w14:textId="6D969607" w:rsidR="00954046" w:rsidRPr="00AF4351" w:rsidRDefault="00A65BAD" w:rsidP="009C018B">
            <w:pPr>
              <w:keepNext/>
              <w:jc w:val="right"/>
              <w:rPr>
                <w:sz w:val="20"/>
                <w:szCs w:val="20"/>
              </w:rPr>
            </w:pPr>
            <w:r>
              <w:rPr>
                <w:sz w:val="20"/>
                <w:szCs w:val="20"/>
                <w:lang w:val="fr"/>
              </w:rPr>
              <w:t>29 599</w:t>
            </w:r>
          </w:p>
        </w:tc>
        <w:tc>
          <w:tcPr>
            <w:tcW w:w="606" w:type="pct"/>
          </w:tcPr>
          <w:p w14:paraId="659C6861" w14:textId="54DE73C0" w:rsidR="00954046" w:rsidRPr="00346830" w:rsidRDefault="00310937" w:rsidP="009C018B">
            <w:pPr>
              <w:keepNext/>
              <w:jc w:val="right"/>
              <w:rPr>
                <w:sz w:val="20"/>
                <w:szCs w:val="20"/>
              </w:rPr>
            </w:pPr>
            <w:r>
              <w:rPr>
                <w:sz w:val="20"/>
                <w:szCs w:val="20"/>
                <w:lang w:val="fr"/>
              </w:rPr>
              <w:t>107 600</w:t>
            </w:r>
          </w:p>
        </w:tc>
        <w:tc>
          <w:tcPr>
            <w:tcW w:w="607" w:type="pct"/>
          </w:tcPr>
          <w:p w14:paraId="3C5D3485" w14:textId="18204B14" w:rsidR="00954046" w:rsidRPr="00346830" w:rsidRDefault="00310937" w:rsidP="009C018B">
            <w:pPr>
              <w:keepNext/>
              <w:jc w:val="right"/>
              <w:rPr>
                <w:sz w:val="20"/>
                <w:szCs w:val="20"/>
              </w:rPr>
            </w:pPr>
            <w:r>
              <w:rPr>
                <w:sz w:val="20"/>
                <w:szCs w:val="20"/>
                <w:lang w:val="fr"/>
              </w:rPr>
              <w:t>87 999</w:t>
            </w:r>
          </w:p>
        </w:tc>
        <w:tc>
          <w:tcPr>
            <w:tcW w:w="530" w:type="pct"/>
          </w:tcPr>
          <w:p w14:paraId="5EB49FA4" w14:textId="56A8CD13" w:rsidR="00954046" w:rsidRPr="00346830" w:rsidRDefault="00FE10BB" w:rsidP="009C018B">
            <w:pPr>
              <w:keepNext/>
              <w:jc w:val="right"/>
              <w:rPr>
                <w:sz w:val="20"/>
                <w:szCs w:val="20"/>
              </w:rPr>
            </w:pPr>
            <w:r>
              <w:rPr>
                <w:sz w:val="20"/>
                <w:szCs w:val="20"/>
                <w:lang w:val="fr"/>
              </w:rPr>
              <w:t>19 601</w:t>
            </w:r>
          </w:p>
        </w:tc>
      </w:tr>
      <w:tr w:rsidR="00954046" w:rsidRPr="00346830" w14:paraId="7168CF37" w14:textId="77777777" w:rsidTr="009C018B">
        <w:tc>
          <w:tcPr>
            <w:tcW w:w="833" w:type="pct"/>
          </w:tcPr>
          <w:p w14:paraId="5EB22C8A" w14:textId="1C9727D2" w:rsidR="00954046" w:rsidRPr="00346830" w:rsidRDefault="00EB7F73" w:rsidP="009C018B">
            <w:pPr>
              <w:rPr>
                <w:sz w:val="20"/>
                <w:szCs w:val="20"/>
              </w:rPr>
            </w:pPr>
            <w:r>
              <w:rPr>
                <w:sz w:val="20"/>
                <w:szCs w:val="20"/>
                <w:lang w:val="fr"/>
              </w:rPr>
              <w:t>PNUD</w:t>
            </w:r>
          </w:p>
        </w:tc>
        <w:tc>
          <w:tcPr>
            <w:tcW w:w="610" w:type="pct"/>
          </w:tcPr>
          <w:p w14:paraId="74638684" w14:textId="5B800710" w:rsidR="00954046" w:rsidRPr="00346830" w:rsidRDefault="002E6BFE" w:rsidP="009C018B">
            <w:pPr>
              <w:jc w:val="right"/>
              <w:rPr>
                <w:sz w:val="20"/>
                <w:szCs w:val="20"/>
              </w:rPr>
            </w:pPr>
            <w:r>
              <w:rPr>
                <w:sz w:val="20"/>
                <w:szCs w:val="20"/>
                <w:lang w:val="fr"/>
              </w:rPr>
              <w:t>40 000</w:t>
            </w:r>
          </w:p>
        </w:tc>
        <w:tc>
          <w:tcPr>
            <w:tcW w:w="602" w:type="pct"/>
          </w:tcPr>
          <w:p w14:paraId="292C74BC" w14:textId="04586733" w:rsidR="00954046" w:rsidRPr="00346830" w:rsidRDefault="002E6BFE" w:rsidP="009C018B">
            <w:pPr>
              <w:jc w:val="right"/>
              <w:rPr>
                <w:sz w:val="20"/>
                <w:szCs w:val="20"/>
              </w:rPr>
            </w:pPr>
            <w:r>
              <w:rPr>
                <w:sz w:val="20"/>
                <w:szCs w:val="20"/>
                <w:lang w:val="fr"/>
              </w:rPr>
              <w:t>39 942</w:t>
            </w:r>
          </w:p>
        </w:tc>
        <w:tc>
          <w:tcPr>
            <w:tcW w:w="605" w:type="pct"/>
          </w:tcPr>
          <w:p w14:paraId="298710A9" w14:textId="4C650C49" w:rsidR="00954046" w:rsidRPr="00346830" w:rsidRDefault="00A65BAD" w:rsidP="009C018B">
            <w:pPr>
              <w:jc w:val="right"/>
              <w:rPr>
                <w:sz w:val="20"/>
                <w:szCs w:val="20"/>
              </w:rPr>
            </w:pPr>
            <w:r>
              <w:rPr>
                <w:sz w:val="20"/>
                <w:szCs w:val="20"/>
                <w:lang w:val="fr"/>
              </w:rPr>
              <w:t>0</w:t>
            </w:r>
          </w:p>
        </w:tc>
        <w:tc>
          <w:tcPr>
            <w:tcW w:w="607" w:type="pct"/>
          </w:tcPr>
          <w:p w14:paraId="3D96FE5C" w14:textId="5B952F6C" w:rsidR="00954046" w:rsidRPr="00AF4351" w:rsidRDefault="00A65BAD" w:rsidP="009C018B">
            <w:pPr>
              <w:jc w:val="right"/>
              <w:rPr>
                <w:sz w:val="20"/>
                <w:szCs w:val="20"/>
              </w:rPr>
            </w:pPr>
            <w:r>
              <w:rPr>
                <w:sz w:val="20"/>
                <w:szCs w:val="20"/>
                <w:lang w:val="fr"/>
              </w:rPr>
              <w:t>0</w:t>
            </w:r>
          </w:p>
        </w:tc>
        <w:tc>
          <w:tcPr>
            <w:tcW w:w="606" w:type="pct"/>
          </w:tcPr>
          <w:p w14:paraId="64A8D687" w14:textId="07E5B74F" w:rsidR="00954046" w:rsidRPr="00346830" w:rsidRDefault="001A5604" w:rsidP="009C018B">
            <w:pPr>
              <w:jc w:val="right"/>
              <w:rPr>
                <w:sz w:val="20"/>
                <w:szCs w:val="20"/>
              </w:rPr>
            </w:pPr>
            <w:r>
              <w:rPr>
                <w:sz w:val="20"/>
                <w:szCs w:val="20"/>
                <w:lang w:val="fr"/>
              </w:rPr>
              <w:t>40 000</w:t>
            </w:r>
          </w:p>
        </w:tc>
        <w:tc>
          <w:tcPr>
            <w:tcW w:w="607" w:type="pct"/>
          </w:tcPr>
          <w:p w14:paraId="3C3AE158" w14:textId="262762E3" w:rsidR="00954046" w:rsidRPr="00346830" w:rsidRDefault="001A5604" w:rsidP="009C018B">
            <w:pPr>
              <w:jc w:val="right"/>
              <w:rPr>
                <w:sz w:val="20"/>
                <w:szCs w:val="20"/>
              </w:rPr>
            </w:pPr>
            <w:r>
              <w:rPr>
                <w:sz w:val="20"/>
                <w:szCs w:val="20"/>
                <w:lang w:val="fr"/>
              </w:rPr>
              <w:t>39 942</w:t>
            </w:r>
          </w:p>
        </w:tc>
        <w:tc>
          <w:tcPr>
            <w:tcW w:w="530" w:type="pct"/>
          </w:tcPr>
          <w:p w14:paraId="39E3C0D0" w14:textId="29E20C92" w:rsidR="00954046" w:rsidRPr="00346830" w:rsidRDefault="001A5604" w:rsidP="009C018B">
            <w:pPr>
              <w:jc w:val="right"/>
              <w:rPr>
                <w:sz w:val="20"/>
                <w:szCs w:val="20"/>
              </w:rPr>
            </w:pPr>
            <w:r>
              <w:rPr>
                <w:sz w:val="20"/>
                <w:szCs w:val="20"/>
                <w:lang w:val="fr"/>
              </w:rPr>
              <w:t>58*</w:t>
            </w:r>
          </w:p>
        </w:tc>
      </w:tr>
      <w:tr w:rsidR="00954046" w:rsidRPr="00346830" w14:paraId="5CC9E9E0" w14:textId="77777777" w:rsidTr="009C018B">
        <w:tc>
          <w:tcPr>
            <w:tcW w:w="833" w:type="pct"/>
          </w:tcPr>
          <w:p w14:paraId="51C878AF" w14:textId="77777777" w:rsidR="00954046" w:rsidRPr="00346830" w:rsidRDefault="00954046" w:rsidP="009C018B">
            <w:pPr>
              <w:rPr>
                <w:b/>
                <w:sz w:val="20"/>
                <w:szCs w:val="20"/>
              </w:rPr>
            </w:pPr>
            <w:r>
              <w:rPr>
                <w:b/>
                <w:bCs/>
                <w:sz w:val="20"/>
                <w:szCs w:val="20"/>
                <w:lang w:val="fr"/>
              </w:rPr>
              <w:t>Total</w:t>
            </w:r>
          </w:p>
        </w:tc>
        <w:tc>
          <w:tcPr>
            <w:tcW w:w="610" w:type="pct"/>
          </w:tcPr>
          <w:p w14:paraId="12CAB947" w14:textId="24447CF2" w:rsidR="00954046" w:rsidRPr="00346830" w:rsidRDefault="002E6BFE" w:rsidP="009C018B">
            <w:pPr>
              <w:jc w:val="right"/>
              <w:rPr>
                <w:b/>
                <w:bCs/>
                <w:sz w:val="20"/>
                <w:szCs w:val="20"/>
              </w:rPr>
            </w:pPr>
            <w:r>
              <w:rPr>
                <w:b/>
                <w:bCs/>
                <w:sz w:val="20"/>
                <w:szCs w:val="20"/>
                <w:lang w:val="fr"/>
              </w:rPr>
              <w:t>98 400</w:t>
            </w:r>
          </w:p>
        </w:tc>
        <w:tc>
          <w:tcPr>
            <w:tcW w:w="602" w:type="pct"/>
          </w:tcPr>
          <w:p w14:paraId="06329B42" w14:textId="2CD6EE29" w:rsidR="00954046" w:rsidRPr="00346830" w:rsidRDefault="00A65BAD" w:rsidP="009C018B">
            <w:pPr>
              <w:jc w:val="right"/>
              <w:rPr>
                <w:b/>
                <w:bCs/>
                <w:sz w:val="20"/>
                <w:szCs w:val="20"/>
              </w:rPr>
            </w:pPr>
            <w:r>
              <w:rPr>
                <w:b/>
                <w:bCs/>
                <w:sz w:val="20"/>
                <w:szCs w:val="20"/>
                <w:lang w:val="fr"/>
              </w:rPr>
              <w:t>98 342</w:t>
            </w:r>
          </w:p>
        </w:tc>
        <w:tc>
          <w:tcPr>
            <w:tcW w:w="605" w:type="pct"/>
          </w:tcPr>
          <w:p w14:paraId="5E7AEADF" w14:textId="0D09D5F9" w:rsidR="00954046" w:rsidRPr="00346830" w:rsidRDefault="00A65BAD" w:rsidP="009C018B">
            <w:pPr>
              <w:jc w:val="right"/>
              <w:rPr>
                <w:b/>
                <w:bCs/>
                <w:sz w:val="20"/>
                <w:szCs w:val="20"/>
              </w:rPr>
            </w:pPr>
            <w:r>
              <w:rPr>
                <w:b/>
                <w:bCs/>
                <w:sz w:val="20"/>
                <w:szCs w:val="20"/>
                <w:lang w:val="fr"/>
              </w:rPr>
              <w:t>49 200</w:t>
            </w:r>
          </w:p>
        </w:tc>
        <w:tc>
          <w:tcPr>
            <w:tcW w:w="607" w:type="pct"/>
          </w:tcPr>
          <w:p w14:paraId="2C915A2F" w14:textId="0AED18DF" w:rsidR="00954046" w:rsidRPr="00AF4351" w:rsidRDefault="00A65BAD" w:rsidP="009C018B">
            <w:pPr>
              <w:jc w:val="right"/>
              <w:rPr>
                <w:b/>
                <w:bCs/>
                <w:sz w:val="20"/>
                <w:szCs w:val="20"/>
              </w:rPr>
            </w:pPr>
            <w:r>
              <w:rPr>
                <w:b/>
                <w:bCs/>
                <w:sz w:val="20"/>
                <w:szCs w:val="20"/>
                <w:lang w:val="fr"/>
              </w:rPr>
              <w:t>29 599</w:t>
            </w:r>
          </w:p>
        </w:tc>
        <w:tc>
          <w:tcPr>
            <w:tcW w:w="606" w:type="pct"/>
          </w:tcPr>
          <w:p w14:paraId="5F3D8980" w14:textId="712F12DD" w:rsidR="00954046" w:rsidRPr="00346830" w:rsidRDefault="00303EC9" w:rsidP="009C018B">
            <w:pPr>
              <w:jc w:val="right"/>
              <w:rPr>
                <w:b/>
                <w:bCs/>
                <w:sz w:val="20"/>
                <w:szCs w:val="20"/>
              </w:rPr>
            </w:pPr>
            <w:r>
              <w:rPr>
                <w:b/>
                <w:bCs/>
                <w:sz w:val="20"/>
                <w:szCs w:val="20"/>
                <w:lang w:val="fr"/>
              </w:rPr>
              <w:t>147 600</w:t>
            </w:r>
          </w:p>
        </w:tc>
        <w:tc>
          <w:tcPr>
            <w:tcW w:w="607" w:type="pct"/>
          </w:tcPr>
          <w:p w14:paraId="56D0D7D4" w14:textId="28B92A15" w:rsidR="00954046" w:rsidRPr="00346830" w:rsidRDefault="00303EC9" w:rsidP="009C018B">
            <w:pPr>
              <w:jc w:val="right"/>
              <w:rPr>
                <w:b/>
                <w:bCs/>
                <w:sz w:val="20"/>
                <w:szCs w:val="20"/>
              </w:rPr>
            </w:pPr>
            <w:r>
              <w:rPr>
                <w:b/>
                <w:bCs/>
                <w:sz w:val="20"/>
                <w:szCs w:val="20"/>
                <w:lang w:val="fr"/>
              </w:rPr>
              <w:t>127 941</w:t>
            </w:r>
          </w:p>
        </w:tc>
        <w:tc>
          <w:tcPr>
            <w:tcW w:w="530" w:type="pct"/>
          </w:tcPr>
          <w:p w14:paraId="24F4C22C" w14:textId="2A6F5B32" w:rsidR="00954046" w:rsidRPr="00346830" w:rsidRDefault="00FE10BB" w:rsidP="009C018B">
            <w:pPr>
              <w:jc w:val="right"/>
              <w:rPr>
                <w:b/>
                <w:bCs/>
                <w:sz w:val="20"/>
                <w:szCs w:val="20"/>
              </w:rPr>
            </w:pPr>
            <w:r>
              <w:rPr>
                <w:b/>
                <w:bCs/>
                <w:sz w:val="20"/>
                <w:szCs w:val="20"/>
                <w:lang w:val="fr"/>
              </w:rPr>
              <w:t>19 601</w:t>
            </w:r>
          </w:p>
        </w:tc>
      </w:tr>
      <w:tr w:rsidR="00954046" w:rsidRPr="0034371D" w14:paraId="0F816FC8" w14:textId="77777777" w:rsidTr="009C018B">
        <w:tc>
          <w:tcPr>
            <w:tcW w:w="833" w:type="pct"/>
          </w:tcPr>
          <w:p w14:paraId="491E12B0" w14:textId="77777777" w:rsidR="00954046" w:rsidRPr="00346830" w:rsidRDefault="00954046" w:rsidP="009C018B">
            <w:pPr>
              <w:jc w:val="left"/>
              <w:rPr>
                <w:b/>
                <w:sz w:val="20"/>
                <w:szCs w:val="20"/>
              </w:rPr>
            </w:pPr>
            <w:r>
              <w:rPr>
                <w:b/>
                <w:bCs/>
                <w:sz w:val="20"/>
                <w:szCs w:val="20"/>
                <w:lang w:val="fr"/>
              </w:rPr>
              <w:t>Taux de décaissement (%)</w:t>
            </w:r>
          </w:p>
        </w:tc>
        <w:tc>
          <w:tcPr>
            <w:tcW w:w="1212" w:type="pct"/>
            <w:gridSpan w:val="2"/>
            <w:vAlign w:val="center"/>
          </w:tcPr>
          <w:p w14:paraId="21BFBB63" w14:textId="7A6A5F91" w:rsidR="00954046" w:rsidRPr="00346830" w:rsidRDefault="003D31D9" w:rsidP="009C018B">
            <w:pPr>
              <w:jc w:val="center"/>
              <w:rPr>
                <w:sz w:val="20"/>
                <w:szCs w:val="20"/>
              </w:rPr>
            </w:pPr>
            <w:r>
              <w:rPr>
                <w:sz w:val="20"/>
                <w:szCs w:val="20"/>
                <w:lang w:val="fr"/>
              </w:rPr>
              <w:t>99</w:t>
            </w:r>
          </w:p>
        </w:tc>
        <w:tc>
          <w:tcPr>
            <w:tcW w:w="1212" w:type="pct"/>
            <w:gridSpan w:val="2"/>
            <w:vAlign w:val="center"/>
          </w:tcPr>
          <w:p w14:paraId="53848973" w14:textId="42B497BF" w:rsidR="00954046" w:rsidRPr="00AF4351" w:rsidRDefault="00F279B2" w:rsidP="009C018B">
            <w:pPr>
              <w:jc w:val="center"/>
              <w:rPr>
                <w:sz w:val="20"/>
                <w:szCs w:val="20"/>
              </w:rPr>
            </w:pPr>
            <w:r>
              <w:rPr>
                <w:sz w:val="20"/>
                <w:szCs w:val="20"/>
                <w:lang w:val="fr"/>
              </w:rPr>
              <w:t>60</w:t>
            </w:r>
          </w:p>
        </w:tc>
        <w:tc>
          <w:tcPr>
            <w:tcW w:w="1743" w:type="pct"/>
            <w:gridSpan w:val="3"/>
            <w:vAlign w:val="center"/>
          </w:tcPr>
          <w:p w14:paraId="1E99DB5E" w14:textId="03B58A69" w:rsidR="00954046" w:rsidRPr="00346830" w:rsidRDefault="003D31D9" w:rsidP="009C018B">
            <w:pPr>
              <w:jc w:val="center"/>
              <w:rPr>
                <w:sz w:val="20"/>
                <w:szCs w:val="20"/>
              </w:rPr>
            </w:pPr>
            <w:r>
              <w:rPr>
                <w:sz w:val="20"/>
                <w:szCs w:val="20"/>
                <w:lang w:val="fr"/>
              </w:rPr>
              <w:t>87</w:t>
            </w:r>
          </w:p>
        </w:tc>
      </w:tr>
    </w:tbl>
    <w:p w14:paraId="73A9FBD5" w14:textId="03E610B9" w:rsidR="00954046" w:rsidRPr="00E34FC7" w:rsidRDefault="009E7D8C" w:rsidP="009C018B">
      <w:pPr>
        <w:rPr>
          <w:sz w:val="16"/>
          <w:szCs w:val="16"/>
          <w:lang w:val="fr-FR"/>
        </w:rPr>
      </w:pPr>
      <w:r>
        <w:rPr>
          <w:sz w:val="16"/>
          <w:szCs w:val="16"/>
          <w:lang w:val="fr"/>
        </w:rPr>
        <w:lastRenderedPageBreak/>
        <w:t>*Les 58 $US restants ont été restitués ; le reliquat s’élève donc à 19 601 $US.</w:t>
      </w:r>
    </w:p>
    <w:p w14:paraId="2A8A7BB4" w14:textId="77777777" w:rsidR="009E7D8C" w:rsidRPr="00E34FC7" w:rsidRDefault="009E7D8C" w:rsidP="009C018B">
      <w:pPr>
        <w:rPr>
          <w:sz w:val="20"/>
          <w:szCs w:val="20"/>
          <w:lang w:val="fr-FR"/>
        </w:rPr>
      </w:pPr>
    </w:p>
    <w:p w14:paraId="21C7A97C" w14:textId="4F3FE0AB" w:rsidR="00954046" w:rsidRPr="00E34FC7" w:rsidRDefault="00954046" w:rsidP="00DB1520">
      <w:pPr>
        <w:keepNext/>
        <w:keepLines/>
        <w:rPr>
          <w:u w:val="single"/>
          <w:lang w:val="fr-FR"/>
        </w:rPr>
      </w:pPr>
      <w:bookmarkStart w:id="1" w:name="_Hlk148735313"/>
      <w:r>
        <w:rPr>
          <w:u w:val="single"/>
          <w:lang w:val="fr"/>
        </w:rPr>
        <w:t>Plan de mise en œuvre de la troisième et dernière tranche de la phase I du plan de gestion de l’élimination des HCFC</w:t>
      </w:r>
    </w:p>
    <w:bookmarkEnd w:id="1"/>
    <w:p w14:paraId="03BDC44E" w14:textId="3B91AF44" w:rsidR="00954046" w:rsidRPr="00E34FC7" w:rsidRDefault="00954046" w:rsidP="00DB1520">
      <w:pPr>
        <w:keepNext/>
        <w:keepLines/>
        <w:rPr>
          <w:lang w:val="fr-FR"/>
        </w:rPr>
      </w:pPr>
    </w:p>
    <w:p w14:paraId="5CD8A237" w14:textId="01D104A0" w:rsidR="003854DA" w:rsidRPr="00E34FC7" w:rsidRDefault="003854DA" w:rsidP="00DB1520">
      <w:pPr>
        <w:pStyle w:val="Heading1"/>
        <w:keepNext/>
        <w:keepLines/>
        <w:rPr>
          <w:lang w:val="fr-FR"/>
        </w:rPr>
      </w:pPr>
      <w:bookmarkStart w:id="2" w:name="_Hlk126934425"/>
      <w:bookmarkStart w:id="3" w:name="_Hlk126663552"/>
      <w:r>
        <w:rPr>
          <w:lang w:val="fr"/>
        </w:rPr>
        <w:t>Les activités suivantes seront mises en œuvre par le PNUE entre janvier et juin 2024 :</w:t>
      </w:r>
    </w:p>
    <w:p w14:paraId="6E7CECB4" w14:textId="617A321C" w:rsidR="00670C68" w:rsidRPr="00E34FC7" w:rsidRDefault="001C6E1D" w:rsidP="00DB1520">
      <w:pPr>
        <w:pStyle w:val="Heading2"/>
        <w:keepNext/>
        <w:keepLines/>
        <w:widowControl/>
        <w:rPr>
          <w:lang w:val="fr-FR"/>
        </w:rPr>
      </w:pPr>
      <w:r>
        <w:rPr>
          <w:i/>
          <w:iCs/>
          <w:lang w:val="fr"/>
        </w:rPr>
        <w:t>Mise à jour de la réglementation et des politiques :</w:t>
      </w:r>
      <w:r>
        <w:rPr>
          <w:lang w:val="fr"/>
        </w:rPr>
        <w:t xml:space="preserve"> Les formulaires relatifs aux certificats d’enregistrement et aux autorisations seront mis à jour ; les normes régionales d’étiquetage des conteneurs de frigorigènes seront examinées ; et les normes sélectionnées seront incorporées dans la politique nationale (1 500 $US plus les soldes des fonds de la tranche précédente) ;</w:t>
      </w:r>
    </w:p>
    <w:p w14:paraId="781F3A44" w14:textId="15CF852E" w:rsidR="003854DA" w:rsidRPr="00E34FC7" w:rsidRDefault="00790B6A" w:rsidP="003854DA">
      <w:pPr>
        <w:pStyle w:val="Heading2"/>
        <w:rPr>
          <w:lang w:val="fr-FR"/>
        </w:rPr>
      </w:pPr>
      <w:r>
        <w:rPr>
          <w:i/>
          <w:iCs/>
          <w:lang w:val="fr"/>
        </w:rPr>
        <w:t>Amélioration du système d’autorisations :</w:t>
      </w:r>
      <w:r>
        <w:rPr>
          <w:lang w:val="fr"/>
        </w:rPr>
        <w:t xml:space="preserve"> Une campagne de sensibilisation du public sur le système d’autorisations et de quotas sera menée ; des ateliers seront organisés pour les importateurs (10 de Saint-Kitts et cinq de Nevis) sur les autorisations et le commerce illégal, y compris sur des thèmes tels que la nécessité pour les importateurs de demander une autorisation avant de passer des commandes, le besoin de communiquer annuellement des données sur les importations de HCFC (en y subordonnant les autorisations), et le recouvrement des amendes. Un plan initial en vue de la mise en place d’un système d’autorisations électroniques sera élaboré ; et un protocole d’accord entre les douanes et l’UNO sera signé afin de mettre en œuvre le cadre lié à l’amélioration de la surveillance et à la dénonciation du commerce illégal (5 500 $US) ;</w:t>
      </w:r>
    </w:p>
    <w:p w14:paraId="119874D8" w14:textId="3079C302" w:rsidR="003B3546" w:rsidRPr="00E34FC7" w:rsidRDefault="003B3546" w:rsidP="003B3546">
      <w:pPr>
        <w:pStyle w:val="Heading2"/>
        <w:rPr>
          <w:lang w:val="fr-FR"/>
        </w:rPr>
      </w:pPr>
      <w:r>
        <w:rPr>
          <w:i/>
          <w:iCs/>
          <w:lang w:val="fr"/>
        </w:rPr>
        <w:t>Renforcement des capacités :</w:t>
      </w:r>
      <w:r>
        <w:rPr>
          <w:lang w:val="fr"/>
        </w:rPr>
        <w:t xml:space="preserve"> Actualisation des connaissances sur l’élimination des SAO et l’importation illégale, pour 45 douaniers et formateurs (25 à Saint-Kitts et 20 à Nevis) ; consultations avec le bureau des douanes à Nevis ; formation sur les codes SH, axée sur l’importation illégale et les substances éliminées, pour 45 courtiers en douane (25 à Saint-Kitts et 20 à Nevis) (8 500 $US) ;</w:t>
      </w:r>
    </w:p>
    <w:p w14:paraId="3E2740A8" w14:textId="123B945A" w:rsidR="003B3546" w:rsidRPr="00E34FC7" w:rsidRDefault="003B3546" w:rsidP="003B3546">
      <w:pPr>
        <w:pStyle w:val="Heading2"/>
        <w:rPr>
          <w:rFonts w:eastAsiaTheme="minorHAnsi"/>
          <w:lang w:val="fr-FR"/>
        </w:rPr>
      </w:pPr>
      <w:r>
        <w:rPr>
          <w:i/>
          <w:iCs/>
          <w:lang w:val="fr"/>
        </w:rPr>
        <w:t>Soutien technique au secteur de l’entretien – formation des techniciens aux bonnes pratiques, à la récupération, à la réutilisation et à la manipulation des frigorigènes naturels :</w:t>
      </w:r>
      <w:r>
        <w:rPr>
          <w:lang w:val="fr"/>
        </w:rPr>
        <w:t xml:space="preserve"> Les 30 techniciens des secteurs de l’hôtellerie, de la pêche et de la navigation de plaisance qui n’ont pas pu être formés dans le cadre de la deuxième tranche le seront dans le cadre de la troisième tranche (solde des fonds de la tranche précédente) ; et</w:t>
      </w:r>
    </w:p>
    <w:p w14:paraId="6431285E" w14:textId="26A87935" w:rsidR="00F20059" w:rsidRPr="00E34FC7" w:rsidRDefault="003854DA" w:rsidP="009C018B">
      <w:pPr>
        <w:pStyle w:val="Heading2"/>
        <w:rPr>
          <w:lang w:val="fr-FR"/>
        </w:rPr>
      </w:pPr>
      <w:r>
        <w:rPr>
          <w:lang w:val="fr"/>
        </w:rPr>
        <w:t xml:space="preserve">Le </w:t>
      </w:r>
      <w:r>
        <w:rPr>
          <w:i/>
          <w:iCs/>
          <w:lang w:val="fr"/>
        </w:rPr>
        <w:t xml:space="preserve">suivi du projet </w:t>
      </w:r>
      <w:r>
        <w:rPr>
          <w:lang w:val="fr"/>
        </w:rPr>
        <w:t xml:space="preserve">comprendra un consultant qui aidera l’UNO à assurer le suivi, l’évaluation et le compte rendu des activités (1 400 $US). </w:t>
      </w:r>
      <w:bookmarkStart w:id="4" w:name="_Hlk126934504"/>
      <w:bookmarkEnd w:id="2"/>
      <w:bookmarkEnd w:id="3"/>
    </w:p>
    <w:bookmarkEnd w:id="4"/>
    <w:p w14:paraId="00970161" w14:textId="77777777" w:rsidR="00D90E56" w:rsidRPr="00E34FC7" w:rsidRDefault="00D90E56" w:rsidP="00B10333">
      <w:pPr>
        <w:keepNext/>
        <w:keepLines/>
        <w:jc w:val="center"/>
        <w:rPr>
          <w:b/>
          <w:lang w:val="fr-FR"/>
        </w:rPr>
      </w:pPr>
    </w:p>
    <w:p w14:paraId="25086FA2" w14:textId="102F45D7" w:rsidR="00954046" w:rsidRPr="00E34FC7" w:rsidRDefault="00954046" w:rsidP="00B10333">
      <w:pPr>
        <w:keepNext/>
        <w:keepLines/>
        <w:jc w:val="center"/>
        <w:rPr>
          <w:b/>
          <w:lang w:val="fr-FR"/>
        </w:rPr>
      </w:pPr>
      <w:r>
        <w:rPr>
          <w:b/>
          <w:bCs/>
          <w:lang w:val="fr"/>
        </w:rPr>
        <w:t>OBSERVATIONS ET RECOMMANDATION DU SECRÉTARIAT</w:t>
      </w:r>
    </w:p>
    <w:p w14:paraId="2CA34F8B" w14:textId="77777777" w:rsidR="00D90E56" w:rsidRPr="00E34FC7" w:rsidRDefault="00D90E56" w:rsidP="00B10333">
      <w:pPr>
        <w:keepNext/>
        <w:keepLines/>
        <w:rPr>
          <w:b/>
          <w:lang w:val="fr-FR"/>
        </w:rPr>
      </w:pPr>
    </w:p>
    <w:p w14:paraId="15360A2C" w14:textId="178A386C" w:rsidR="00954046" w:rsidRPr="00E34FC7" w:rsidRDefault="00954046" w:rsidP="00B10333">
      <w:pPr>
        <w:keepNext/>
        <w:keepLines/>
        <w:rPr>
          <w:b/>
          <w:lang w:val="fr-FR"/>
        </w:rPr>
      </w:pPr>
      <w:r>
        <w:rPr>
          <w:b/>
          <w:bCs/>
          <w:lang w:val="fr"/>
        </w:rPr>
        <w:t>OBSERVATIONS</w:t>
      </w:r>
    </w:p>
    <w:p w14:paraId="5530E85D" w14:textId="77777777" w:rsidR="00954046" w:rsidRPr="00E34FC7" w:rsidRDefault="00954046" w:rsidP="00B10333">
      <w:pPr>
        <w:keepNext/>
        <w:keepLines/>
        <w:rPr>
          <w:lang w:val="fr-FR"/>
        </w:rPr>
      </w:pPr>
    </w:p>
    <w:p w14:paraId="0A0B27E3" w14:textId="6F3D8F4A" w:rsidR="00975522" w:rsidRPr="00E34FC7" w:rsidRDefault="00954046" w:rsidP="00975522">
      <w:pPr>
        <w:keepNext/>
        <w:keepLines/>
        <w:rPr>
          <w:lang w:val="fr-FR"/>
        </w:rPr>
      </w:pPr>
      <w:r>
        <w:rPr>
          <w:u w:val="single"/>
          <w:lang w:val="fr"/>
        </w:rPr>
        <w:t>Rapport sur la consommation de HCFC et vérification</w:t>
      </w:r>
    </w:p>
    <w:p w14:paraId="1FFA3F15" w14:textId="77777777" w:rsidR="00975522" w:rsidRPr="00E34FC7" w:rsidRDefault="00975522" w:rsidP="00975522">
      <w:pPr>
        <w:keepNext/>
        <w:keepLines/>
        <w:rPr>
          <w:lang w:val="fr-FR"/>
        </w:rPr>
      </w:pPr>
    </w:p>
    <w:p w14:paraId="083EBFEE" w14:textId="2E1C5BCE" w:rsidR="00975522" w:rsidRPr="00E34FC7" w:rsidRDefault="00A80532" w:rsidP="00975522">
      <w:pPr>
        <w:pStyle w:val="Heading1"/>
        <w:rPr>
          <w:lang w:val="fr-FR"/>
        </w:rPr>
      </w:pPr>
      <w:r>
        <w:rPr>
          <w:lang w:val="fr"/>
        </w:rPr>
        <w:t>Le Secrétariat estime que, bien que le système d’autorisations et de quotas de Saint-Kitts-et-Nevis soit opérationnel, la prise en compte des recommandations de la vérification aidera le gouvernement à améliorer la précision des données recueillies et à réduire les erreurs de notification. Le Secrétariat recommande donc que, pendant la mise en œuvre de la troisième tranche de la phase I, le PNUE continue d’aider le gouvernement à mettre pleinement en œuvre ces recommandations, et qu’il rende compte des progrès accomplis, lors de la soumission de la phase II du PGEH.</w:t>
      </w:r>
    </w:p>
    <w:p w14:paraId="21112351" w14:textId="6A55BF5C" w:rsidR="00954046" w:rsidRPr="00E34FC7" w:rsidRDefault="00954046" w:rsidP="00975522">
      <w:pPr>
        <w:pStyle w:val="Heading1"/>
        <w:numPr>
          <w:ilvl w:val="0"/>
          <w:numId w:val="0"/>
        </w:numPr>
        <w:rPr>
          <w:highlight w:val="darkGray"/>
          <w:lang w:val="fr-FR"/>
        </w:rPr>
      </w:pPr>
      <w:r>
        <w:rPr>
          <w:u w:val="single"/>
          <w:lang w:val="fr"/>
        </w:rPr>
        <w:t>Rapport périodique de mise en œuvre de la deuxième tranche de la phase I du plan de gestion de l’élimination des HCFC</w:t>
      </w:r>
    </w:p>
    <w:p w14:paraId="603006F7" w14:textId="6922EC07" w:rsidR="00954046" w:rsidRPr="0034371D" w:rsidRDefault="00975522" w:rsidP="0027190E">
      <w:pPr>
        <w:keepNext/>
        <w:keepLines/>
        <w:rPr>
          <w:i/>
        </w:rPr>
      </w:pPr>
      <w:r>
        <w:rPr>
          <w:i/>
          <w:iCs/>
          <w:lang w:val="fr"/>
        </w:rPr>
        <w:lastRenderedPageBreak/>
        <w:t>Cadre juridique</w:t>
      </w:r>
    </w:p>
    <w:p w14:paraId="580B7A1A" w14:textId="77777777" w:rsidR="00954046" w:rsidRPr="0034371D" w:rsidRDefault="00954046" w:rsidP="009C018B"/>
    <w:p w14:paraId="4B5821EB" w14:textId="77497508" w:rsidR="00954046" w:rsidRPr="00E34FC7" w:rsidRDefault="00954046" w:rsidP="00E51308">
      <w:pPr>
        <w:pStyle w:val="Heading1"/>
        <w:rPr>
          <w:lang w:val="fr-FR"/>
        </w:rPr>
      </w:pPr>
      <w:r>
        <w:rPr>
          <w:lang w:val="fr"/>
        </w:rPr>
        <w:t>Le gouvernement de Saint-Kitts-et-Nevis a fixé des quotas d’importation de HCFC pour 2023 à 4,64 </w:t>
      </w:r>
      <w:proofErr w:type="spellStart"/>
      <w:r>
        <w:rPr>
          <w:lang w:val="fr"/>
        </w:rPr>
        <w:t>tm</w:t>
      </w:r>
      <w:proofErr w:type="spellEnd"/>
      <w:r>
        <w:rPr>
          <w:lang w:val="fr"/>
        </w:rPr>
        <w:t xml:space="preserve"> (0,255 tonne PAO), soit à un niveau inférieur aux objectifs de réglementation du Protocole de Montréal.</w:t>
      </w:r>
    </w:p>
    <w:p w14:paraId="0167BCA4" w14:textId="4E7E4C98" w:rsidR="00B724F6" w:rsidRPr="001F62C2" w:rsidRDefault="00B724F6" w:rsidP="00B724F6">
      <w:pPr>
        <w:rPr>
          <w:i/>
          <w:iCs/>
        </w:rPr>
      </w:pPr>
      <w:r>
        <w:rPr>
          <w:i/>
          <w:iCs/>
          <w:lang w:val="fr"/>
        </w:rPr>
        <w:t>Retards de mise en œuvre</w:t>
      </w:r>
    </w:p>
    <w:p w14:paraId="52604ED0" w14:textId="77777777" w:rsidR="00B724F6" w:rsidRDefault="00B724F6" w:rsidP="00B724F6"/>
    <w:p w14:paraId="7D0E0472" w14:textId="45066C53" w:rsidR="00B724F6" w:rsidRPr="00E34FC7" w:rsidRDefault="00D90E56" w:rsidP="00434871">
      <w:pPr>
        <w:pStyle w:val="Heading1"/>
        <w:rPr>
          <w:lang w:val="fr-FR"/>
        </w:rPr>
      </w:pPr>
      <w:r>
        <w:rPr>
          <w:lang w:val="fr"/>
        </w:rPr>
        <w:t>La deuxième tranche n’a pas pu être mise en œuvre comme prévu. Le PNUE a noté que les activités ont été retardées pour de multiples raisons, notamment des changements au sein de l’Autorité nationale de l’ozone et de l’UNO, des changements administratifs au sein du gouvernement et la pandémie de COVID-19. Une nouvelle administration et un nouveau responsable national pour l’ozone, formé en mars 2023, sont aujourd’hui en place. Ces changements et les résultats des missions du PNUE dans le pays en 2022 et 2023 devraient se traduire par une amélioration de la mise en œuvre.</w:t>
      </w:r>
    </w:p>
    <w:p w14:paraId="77498E5C" w14:textId="3C1CA986" w:rsidR="00954046" w:rsidRPr="00E34FC7" w:rsidRDefault="00954046" w:rsidP="00317DEC">
      <w:pPr>
        <w:widowControl w:val="0"/>
        <w:rPr>
          <w:i/>
          <w:lang w:val="fr-FR"/>
        </w:rPr>
      </w:pPr>
      <w:r>
        <w:rPr>
          <w:i/>
          <w:iCs/>
          <w:lang w:val="fr"/>
        </w:rPr>
        <w:t>Secteur de l’entretien des équipements de réfrigération</w:t>
      </w:r>
    </w:p>
    <w:p w14:paraId="5BE7568E" w14:textId="77777777" w:rsidR="00954046" w:rsidRPr="00E34FC7" w:rsidRDefault="00954046" w:rsidP="00317DEC">
      <w:pPr>
        <w:widowControl w:val="0"/>
        <w:rPr>
          <w:lang w:val="fr-FR"/>
        </w:rPr>
      </w:pPr>
    </w:p>
    <w:p w14:paraId="5417AA42" w14:textId="115BD906" w:rsidR="005771DB" w:rsidRPr="00E34FC7" w:rsidRDefault="005771DB" w:rsidP="00B63EE8">
      <w:pPr>
        <w:pStyle w:val="Heading1"/>
        <w:rPr>
          <w:lang w:val="fr-FR"/>
        </w:rPr>
      </w:pPr>
      <w:r>
        <w:rPr>
          <w:lang w:val="fr"/>
        </w:rPr>
        <w:t>En ce qui concerne la formation des techniciens, le PNUE a confirmé que le gouvernement prévoit, comme indiqué dans le plan d’action révisé pour la troisième tranche de la phase I, de former d’ici à décembre 2023 les 30 techniciens non formés dans le cadre de la deuxième tranche. Les retards enregistrés sont liés aux difficultés rencontrées pour recruter un formateur approprié.</w:t>
      </w:r>
    </w:p>
    <w:p w14:paraId="262725F7" w14:textId="4E67E7CC" w:rsidR="005771DB" w:rsidRPr="00E34FC7" w:rsidRDefault="005771DB" w:rsidP="00B63EE8">
      <w:pPr>
        <w:pStyle w:val="Heading1"/>
        <w:rPr>
          <w:lang w:val="fr-FR"/>
        </w:rPr>
      </w:pPr>
      <w:r>
        <w:rPr>
          <w:lang w:val="fr"/>
        </w:rPr>
        <w:t>En ce qui concerne les politiques et les réglementations relatives à l’étiquetage des conteneurs de frigorigènes, devant être élaborées au cours de la deuxième tranche, le PNUE a indiqué que le gouvernement, reconnaissant que la région des Caraïbes a progressé dans ce domaine, prévoit d’examiner les normes déjà élaborées et établies par les pays de la région et de les adapter pour tenir compte de la situation du pays.</w:t>
      </w:r>
      <w:r w:rsidR="00C50D8B">
        <w:rPr>
          <w:lang w:val="fr"/>
        </w:rPr>
        <w:t xml:space="preserve"> </w:t>
      </w:r>
      <w:r>
        <w:rPr>
          <w:lang w:val="fr"/>
        </w:rPr>
        <w:t>Cette activité a été incluse dans le plan d’action révisé.</w:t>
      </w:r>
    </w:p>
    <w:p w14:paraId="43B8C912" w14:textId="42128137" w:rsidR="00A5249B" w:rsidRPr="00E34FC7" w:rsidRDefault="00A5249B" w:rsidP="00135256">
      <w:pPr>
        <w:keepNext/>
        <w:keepLines/>
        <w:spacing w:after="240"/>
        <w:rPr>
          <w:u w:val="single"/>
          <w:lang w:val="fr-FR"/>
        </w:rPr>
      </w:pPr>
      <w:r>
        <w:rPr>
          <w:u w:val="single"/>
          <w:lang w:val="fr"/>
        </w:rPr>
        <w:t>Plan de mise en œuvre de la troisième tranche de la phase I du plan de gestion de l’élimination des HCFC</w:t>
      </w:r>
    </w:p>
    <w:p w14:paraId="4A2DD67B" w14:textId="10AB1050" w:rsidR="00F76C30" w:rsidRPr="00E34FC7" w:rsidRDefault="008F7F08" w:rsidP="00B63EE8">
      <w:pPr>
        <w:pStyle w:val="Heading1"/>
        <w:rPr>
          <w:u w:val="single"/>
          <w:lang w:val="fr-FR"/>
        </w:rPr>
      </w:pPr>
      <w:r>
        <w:rPr>
          <w:rFonts w:eastAsia="SimSun"/>
          <w:lang w:val="fr"/>
        </w:rPr>
        <w:t>Le plan d’action pour la troisième tranche de la phase I, qui doit être achevée en juin 2024, a été révisé afin de se concentrer sur la mise en œuvre des recommandations du rapport de vérification et d’inclure des activités qui permettront de combler les lacunes indiquées dans ce rapport.</w:t>
      </w:r>
    </w:p>
    <w:p w14:paraId="78571585" w14:textId="227687A4" w:rsidR="004F69F9" w:rsidRPr="00E34FC7" w:rsidRDefault="00281612" w:rsidP="00D90E56">
      <w:pPr>
        <w:pStyle w:val="Heading1"/>
        <w:numPr>
          <w:ilvl w:val="0"/>
          <w:numId w:val="0"/>
        </w:numPr>
        <w:rPr>
          <w:lang w:val="fr-FR"/>
        </w:rPr>
      </w:pPr>
      <w:r>
        <w:rPr>
          <w:u w:val="single"/>
          <w:lang w:val="fr"/>
        </w:rPr>
        <w:t>Mise en œuvre de la politique en faveur de l’égalité des genres</w:t>
      </w:r>
    </w:p>
    <w:p w14:paraId="51CAE02D" w14:textId="634E430B" w:rsidR="00281612" w:rsidRPr="00E34FC7" w:rsidRDefault="009D244D" w:rsidP="00D90E56">
      <w:pPr>
        <w:pStyle w:val="Heading1"/>
        <w:rPr>
          <w:lang w:val="fr-FR"/>
        </w:rPr>
      </w:pPr>
      <w:r>
        <w:rPr>
          <w:lang w:val="fr"/>
        </w:rPr>
        <w:t>Saint-Kitts-et-Nevis est doté d’une politique nationale et d’un plan d’action en faveur de l’égalité des genres. Au cours de la deuxième tranche, la politique en faveur de l’égalité des genres a été promue grâce à la conception et à la mise en œuvre d’activités de formation et de renforcement des capacités nationales, ainsi que grâce à la sélection de consultants recrutés sur place. L’UNO prépare un plan d’action pour augmenter le nombre de femmes dans le secteur de la réfrigération et de l’entretien, car il n’y a qu’une seule technicienne connue dans le pays. En revanche, 50 % de femmes ont participé au programme de formation des douanes. L’UNO continuera d’appliquer la politique nationale d’égalité des genres et le plan d’action associé au cours de la troisième tranche.</w:t>
      </w:r>
    </w:p>
    <w:p w14:paraId="7799C45F" w14:textId="0FA0AA6E" w:rsidR="00954046" w:rsidRPr="00E34FC7" w:rsidRDefault="00954046" w:rsidP="009C018B">
      <w:pPr>
        <w:rPr>
          <w:u w:val="single"/>
          <w:lang w:val="fr-FR"/>
        </w:rPr>
      </w:pPr>
      <w:bookmarkStart w:id="5" w:name="_Hlk149927163"/>
      <w:r>
        <w:rPr>
          <w:u w:val="single"/>
          <w:lang w:val="fr"/>
        </w:rPr>
        <w:t>Achèvement de la phase I du plan de gestion de l’élimination des HCFC</w:t>
      </w:r>
    </w:p>
    <w:p w14:paraId="610F7881" w14:textId="77777777" w:rsidR="00954046" w:rsidRPr="00E34FC7" w:rsidRDefault="00954046" w:rsidP="009C018B">
      <w:pPr>
        <w:rPr>
          <w:i/>
          <w:lang w:val="fr-FR"/>
        </w:rPr>
      </w:pPr>
    </w:p>
    <w:p w14:paraId="54869144" w14:textId="3232584B" w:rsidR="00373BF4" w:rsidRPr="00E34FC7" w:rsidRDefault="00D74DD6" w:rsidP="00552C85">
      <w:pPr>
        <w:pStyle w:val="Heading1"/>
        <w:rPr>
          <w:lang w:val="fr-FR"/>
        </w:rPr>
      </w:pPr>
      <w:r>
        <w:rPr>
          <w:lang w:val="fr"/>
        </w:rPr>
        <w:t xml:space="preserve">La phase I du PGEH devait être achevée au 30 décembre 2021, conformément au paragraphe 14 de l’accord conclu avec le Comité exécutif. La deuxième tranche a été approuvée en 2015. Comme indiqué ci-dessus, les résultats de la deuxième tranche et la demande relative à la troisième tranche ont été retardés en raison de changements administratifs au sein du gouvernement et de l’UNO. Le gouvernement de Saint-Kitts-et-Nevis demande le report de la date d’achèvement de la phase I jusqu’au 30 juin 2024. </w:t>
      </w:r>
    </w:p>
    <w:bookmarkEnd w:id="5"/>
    <w:p w14:paraId="2DE356AA" w14:textId="7B8D14B6" w:rsidR="00814FA6" w:rsidRPr="00E34FC7" w:rsidRDefault="00814FA6" w:rsidP="00537CE9">
      <w:pPr>
        <w:pStyle w:val="Heading1"/>
        <w:widowControl w:val="0"/>
        <w:numPr>
          <w:ilvl w:val="0"/>
          <w:numId w:val="0"/>
        </w:numPr>
        <w:rPr>
          <w:u w:val="single"/>
          <w:lang w:val="fr-FR"/>
        </w:rPr>
      </w:pPr>
      <w:r>
        <w:rPr>
          <w:u w:val="single"/>
          <w:lang w:val="fr"/>
        </w:rPr>
        <w:lastRenderedPageBreak/>
        <w:t>Pérennité de l’élimination des HCFC et évaluation des risques</w:t>
      </w:r>
    </w:p>
    <w:p w14:paraId="4493EE8C" w14:textId="52254F94" w:rsidR="00E34266" w:rsidRPr="00E34FC7" w:rsidRDefault="00A52738" w:rsidP="00480F7F">
      <w:pPr>
        <w:pStyle w:val="Heading1"/>
        <w:rPr>
          <w:lang w:val="fr-FR"/>
        </w:rPr>
      </w:pPr>
      <w:r>
        <w:rPr>
          <w:lang w:val="fr"/>
        </w:rPr>
        <w:t xml:space="preserve">Le Secrétariat a abordé avec le PNUE les risques susceptibles d’entraver l’élimination totale des HCFC ainsi que la pérennité des résultats obtenus dans le cadre du PGEH. Le PNUE prévoit que les objectifs du PGEH continueront d’être atteints. Les activités mises en œuvre à ce jour ont contribué à renforcer le secteur de l’entretien des équipements de réfrigération et de climatisation en général, en améliorant les pratiques d’entretien des techniciens et en renforçant les capacités des agents des douanes et des services chargés de l’application de la loi. L’assistance technique et les équipements fournis visent à assurer la pérennité de la formation des techniciens et des agents des douanes, qui sera complétée par la mise en place d’un système de certification des techniciens en réfrigération et climatisation au cours de la phase II. </w:t>
      </w:r>
    </w:p>
    <w:p w14:paraId="591E52BA" w14:textId="5E1B831B" w:rsidR="00A52738" w:rsidRPr="00E34FC7" w:rsidRDefault="00E34266" w:rsidP="00480F7F">
      <w:pPr>
        <w:pStyle w:val="Heading1"/>
        <w:rPr>
          <w:lang w:val="fr-FR"/>
        </w:rPr>
      </w:pPr>
      <w:r>
        <w:rPr>
          <w:lang w:val="fr"/>
        </w:rPr>
        <w:t>Les activités entreprises par l’UNO depuis les missions du PNUE dans le pays en 2023 donnent l’assurance que le système national d’autorisations et de quotas pour les importations de HCFC sera dûment appliqué et pleinement opérationnel, et permettra donc d’assurer le respect du calendrier d’élimination des HCFC fixé par le Protocole de Montréal. La collaboration établie entre l’autorité douanière et la nouvelle UNO a créé un environnement propice à la pérennité des résultats au-delà du PGEH. Le pays a affirmé qu’il assumerait ses responsabilités à cet égard.</w:t>
      </w:r>
    </w:p>
    <w:p w14:paraId="0947176A" w14:textId="676EA4A6" w:rsidR="00954046" w:rsidRPr="00434871" w:rsidRDefault="00954046" w:rsidP="001108F8">
      <w:pPr>
        <w:rPr>
          <w:u w:val="single"/>
        </w:rPr>
      </w:pPr>
      <w:r>
        <w:rPr>
          <w:u w:val="single"/>
          <w:lang w:val="fr"/>
        </w:rPr>
        <w:t xml:space="preserve">Conclusion </w:t>
      </w:r>
    </w:p>
    <w:p w14:paraId="4C305AC9" w14:textId="77777777" w:rsidR="00225CDE" w:rsidRPr="0034371D" w:rsidRDefault="00225CDE" w:rsidP="001108F8"/>
    <w:p w14:paraId="19C1583B" w14:textId="3D221588" w:rsidR="00A84466" w:rsidRPr="00E34FC7" w:rsidRDefault="00A84466" w:rsidP="00FF5722">
      <w:pPr>
        <w:pStyle w:val="Heading1"/>
        <w:rPr>
          <w:lang w:val="fr-FR"/>
        </w:rPr>
      </w:pPr>
      <w:r>
        <w:rPr>
          <w:lang w:val="fr"/>
        </w:rPr>
        <w:t>Le rapport de vérification pour les années 2015-2022 a confirmé que le gouvernement respecte les limites fixées par le Protocole de Montréal et que la consommation de HCFC pour 2015-2022 est inférieure à la consommation maximale admissible prévue par l’accord conclu avec le Comité exécutif pour cette période. Le système national d’autorisations et de quotas pour les importations et les exportations de HCFC est en mesure de garantir le respect du Protocole de Montréal. Le quota pour 2023 est inférieur à l’objectif de réglementation. La présentation tardive de la demande relative à la troisième tranche sera sans incidence sur le respect des obligations du pays au titre du Protocole de Montréal. Les retards dans la mise en œuvre ont été palliés et la nouvelle administration et le nouveau responsable national pour l’ozone devraient améliorer la mise en œuvre. Une formation a été dispensée aux techniciens pour leur permettre d’assurer un meilleur entretien des équipements, et des activités de renforcement des capacités ont été proposées aux agents des douanes et des services chargés de l’application de la loi. Le gouvernement n’ayant pas pu donner suite à toutes les recommandations formulées dans le rapport de vérification au titre de la deuxième tranche de la phase I, le Secrétariat recommande que le PNUE continue de fournir une assistance en vue de la pleine mise en œuvre de ces recommandations et fournisse une mise à jour sur les progrès accomplis à cet égard lors de la soumission de la phase II du PGEH.</w:t>
      </w:r>
      <w:r>
        <w:rPr>
          <w:rStyle w:val="cf01"/>
          <w:rFonts w:ascii="Times New Roman" w:hAnsi="Times New Roman" w:cs="Times New Roman"/>
          <w:sz w:val="22"/>
          <w:szCs w:val="22"/>
          <w:lang w:val="fr"/>
        </w:rPr>
        <w:t xml:space="preserve"> </w:t>
      </w:r>
      <w:r>
        <w:rPr>
          <w:lang w:val="fr"/>
        </w:rPr>
        <w:t>Compte tenu des progrès réalisés dans la mise en œuvre du PGEH, le Secrétariat recommande d’approuver le financement de la troisième tranche et la prorogation de la phase I du PGEH jusqu’au 30 juin 2024.</w:t>
      </w:r>
      <w:r>
        <w:rPr>
          <w:rStyle w:val="cf01"/>
          <w:rFonts w:ascii="Times New Roman" w:hAnsi="Times New Roman" w:cs="Times New Roman"/>
          <w:sz w:val="22"/>
          <w:szCs w:val="22"/>
          <w:lang w:val="fr"/>
        </w:rPr>
        <w:t xml:space="preserve"> Cette prorogation devrait permettre au pays d’achever toutes les activités prévues pour la phase I et de soumettre la phase II.</w:t>
      </w:r>
    </w:p>
    <w:p w14:paraId="61A176D5" w14:textId="4D8BA2EC" w:rsidR="00376611" w:rsidRDefault="00954046" w:rsidP="00244DC0">
      <w:pPr>
        <w:spacing w:before="360"/>
        <w:rPr>
          <w:b/>
        </w:rPr>
      </w:pPr>
      <w:r>
        <w:rPr>
          <w:b/>
          <w:bCs/>
          <w:lang w:val="fr"/>
        </w:rPr>
        <w:t>RECOMMANDATION</w:t>
      </w:r>
    </w:p>
    <w:p w14:paraId="05550EB3" w14:textId="77777777" w:rsidR="00376611" w:rsidRDefault="00376611" w:rsidP="009C018B">
      <w:pPr>
        <w:rPr>
          <w:b/>
        </w:rPr>
      </w:pPr>
    </w:p>
    <w:p w14:paraId="5AB1FD02" w14:textId="77777777" w:rsidR="00ED3EF8" w:rsidRPr="00E34FC7" w:rsidRDefault="00954046" w:rsidP="00157877">
      <w:pPr>
        <w:pStyle w:val="Heading1"/>
        <w:keepNext/>
        <w:keepLines/>
        <w:rPr>
          <w:lang w:val="fr-FR"/>
        </w:rPr>
      </w:pPr>
      <w:bookmarkStart w:id="6" w:name="_Hlk122622077"/>
      <w:r>
        <w:rPr>
          <w:lang w:val="fr"/>
        </w:rPr>
        <w:t xml:space="preserve">Le Secrétariat du Fonds recommande au Comité exécutif de bien vouloir : </w:t>
      </w:r>
    </w:p>
    <w:p w14:paraId="0B6A4512" w14:textId="259848F3" w:rsidR="002A3EED" w:rsidRPr="00E34FC7" w:rsidRDefault="00CD1320" w:rsidP="00FA540C">
      <w:pPr>
        <w:pStyle w:val="Heading2"/>
        <w:rPr>
          <w:lang w:val="fr-FR"/>
        </w:rPr>
      </w:pPr>
      <w:r>
        <w:rPr>
          <w:lang w:val="fr"/>
        </w:rPr>
        <w:t xml:space="preserve">Prendre note du rapport périodique sur la mise en œuvre de la deuxième tranche de la phase I du plan de gestion de l’élimination des HCFC (PGEH) pour Saint-Kitts-et-Nevis ; </w:t>
      </w:r>
    </w:p>
    <w:p w14:paraId="181BC271" w14:textId="60C94BB1" w:rsidR="009E4F42" w:rsidRPr="00E34FC7" w:rsidRDefault="00FA540C" w:rsidP="009E4F42">
      <w:pPr>
        <w:pStyle w:val="Heading2"/>
        <w:rPr>
          <w:lang w:val="fr-FR"/>
        </w:rPr>
      </w:pPr>
      <w:r>
        <w:rPr>
          <w:lang w:val="fr"/>
        </w:rPr>
        <w:t>Approuver, à titre exceptionnel, la prorogation de la première phase du PGEH pour Saint-Kitts-et-Nevis jusqu’au 30 juin 2024, compte tenu des retards de mise en œuvre dus à la pandémie de COVID-19 et des changements intervenus au sein de l’administration gouvernementale, étant entendu qu’aucun autre report ne sera demandé ; et</w:t>
      </w:r>
    </w:p>
    <w:p w14:paraId="4141E495" w14:textId="571B657F" w:rsidR="009E4F42" w:rsidRPr="00E34FC7" w:rsidRDefault="009E4F42" w:rsidP="009E4F42">
      <w:pPr>
        <w:pStyle w:val="Heading2"/>
        <w:rPr>
          <w:lang w:val="fr-FR"/>
        </w:rPr>
      </w:pPr>
      <w:r>
        <w:rPr>
          <w:lang w:val="fr"/>
        </w:rPr>
        <w:t xml:space="preserve">Demander au PNUE de continuer d’aider le gouvernement de Saint-Kitts-et-Nevis, pendant la </w:t>
      </w:r>
      <w:r>
        <w:rPr>
          <w:lang w:val="fr"/>
        </w:rPr>
        <w:lastRenderedPageBreak/>
        <w:t>mise en œuvre de la troisième tranche de la phase I, à mettre pleinement en œuvre les recommandations formulées dans le rapport de vérification, et d’inclure, dans le cadre de la phase II du PGEH, une mise à jour des progrès accomplis.</w:t>
      </w:r>
    </w:p>
    <w:p w14:paraId="004DF463" w14:textId="1F8862CE" w:rsidR="0054533D" w:rsidRPr="00E34FC7" w:rsidRDefault="00DB62E1" w:rsidP="007649CA">
      <w:pPr>
        <w:pStyle w:val="Heading1"/>
        <w:keepNext/>
        <w:keepLines/>
        <w:rPr>
          <w:lang w:val="fr-FR"/>
        </w:rPr>
      </w:pPr>
      <w:r>
        <w:rPr>
          <w:lang w:val="fr"/>
        </w:rPr>
        <w:t xml:space="preserve">Le Secrétariat du Fonds recommande en outre l’approbation globale de la troisième et dernière tranche de la phase I du PGEH pour Saint-Kitts-et-Nevis et du plan de mise en œuvre de la tranche 2023-2024 correspondante au niveau de financement indiqué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54046" w:rsidRPr="00FD6409" w14:paraId="7C8400A3" w14:textId="77777777" w:rsidTr="00F565E0">
        <w:trPr>
          <w:tblHeader/>
        </w:trPr>
        <w:tc>
          <w:tcPr>
            <w:tcW w:w="293" w:type="pct"/>
          </w:tcPr>
          <w:p w14:paraId="5956269B" w14:textId="77777777" w:rsidR="00954046" w:rsidRPr="00E34FC7" w:rsidRDefault="00954046" w:rsidP="007649CA">
            <w:pPr>
              <w:keepNext/>
              <w:keepLines/>
              <w:jc w:val="center"/>
              <w:rPr>
                <w:b/>
                <w:bCs/>
                <w:sz w:val="20"/>
                <w:szCs w:val="20"/>
                <w:lang w:val="fr-FR"/>
              </w:rPr>
            </w:pPr>
          </w:p>
        </w:tc>
        <w:tc>
          <w:tcPr>
            <w:tcW w:w="2337" w:type="pct"/>
          </w:tcPr>
          <w:p w14:paraId="5913DE7A" w14:textId="77777777" w:rsidR="00954046" w:rsidRPr="00FD6409" w:rsidRDefault="00954046" w:rsidP="007649CA">
            <w:pPr>
              <w:keepNext/>
              <w:keepLines/>
              <w:jc w:val="center"/>
              <w:rPr>
                <w:b/>
                <w:bCs/>
                <w:sz w:val="20"/>
                <w:szCs w:val="20"/>
              </w:rPr>
            </w:pPr>
            <w:r>
              <w:rPr>
                <w:b/>
                <w:bCs/>
                <w:sz w:val="20"/>
                <w:szCs w:val="20"/>
                <w:lang w:val="fr"/>
              </w:rPr>
              <w:t>Titre du projet</w:t>
            </w:r>
          </w:p>
        </w:tc>
        <w:tc>
          <w:tcPr>
            <w:tcW w:w="790" w:type="pct"/>
            <w:tcMar>
              <w:left w:w="29" w:type="dxa"/>
              <w:right w:w="29" w:type="dxa"/>
            </w:tcMar>
          </w:tcPr>
          <w:p w14:paraId="6A4AC3D0" w14:textId="77777777" w:rsidR="00954046" w:rsidRPr="00FD6409" w:rsidRDefault="00954046" w:rsidP="007649CA">
            <w:pPr>
              <w:keepNext/>
              <w:keepLines/>
              <w:jc w:val="center"/>
              <w:rPr>
                <w:b/>
                <w:bCs/>
                <w:sz w:val="20"/>
                <w:szCs w:val="20"/>
              </w:rPr>
            </w:pPr>
            <w:r>
              <w:rPr>
                <w:b/>
                <w:bCs/>
                <w:sz w:val="20"/>
                <w:szCs w:val="20"/>
                <w:lang w:val="fr"/>
              </w:rPr>
              <w:t>Financement du projet ($US)</w:t>
            </w:r>
          </w:p>
        </w:tc>
        <w:tc>
          <w:tcPr>
            <w:tcW w:w="747" w:type="pct"/>
            <w:tcMar>
              <w:left w:w="29" w:type="dxa"/>
              <w:right w:w="29" w:type="dxa"/>
            </w:tcMar>
          </w:tcPr>
          <w:p w14:paraId="5146E611" w14:textId="77777777" w:rsidR="00954046" w:rsidRPr="00FD6409" w:rsidRDefault="00954046" w:rsidP="007649CA">
            <w:pPr>
              <w:keepNext/>
              <w:keepLines/>
              <w:jc w:val="center"/>
              <w:rPr>
                <w:b/>
                <w:bCs/>
                <w:sz w:val="20"/>
                <w:szCs w:val="20"/>
              </w:rPr>
            </w:pPr>
            <w:r>
              <w:rPr>
                <w:b/>
                <w:bCs/>
                <w:sz w:val="20"/>
                <w:szCs w:val="20"/>
                <w:lang w:val="fr"/>
              </w:rPr>
              <w:t>Coûts d’appui ($US)</w:t>
            </w:r>
          </w:p>
        </w:tc>
        <w:tc>
          <w:tcPr>
            <w:tcW w:w="833" w:type="pct"/>
            <w:tcBorders>
              <w:bottom w:val="single" w:sz="4" w:space="0" w:color="auto"/>
            </w:tcBorders>
            <w:tcMar>
              <w:left w:w="29" w:type="dxa"/>
              <w:right w:w="29" w:type="dxa"/>
            </w:tcMar>
          </w:tcPr>
          <w:p w14:paraId="27F4FC69" w14:textId="77777777" w:rsidR="00954046" w:rsidRPr="00FD6409" w:rsidRDefault="00954046" w:rsidP="007649CA">
            <w:pPr>
              <w:keepNext/>
              <w:keepLines/>
              <w:jc w:val="center"/>
              <w:rPr>
                <w:b/>
                <w:bCs/>
                <w:sz w:val="20"/>
                <w:szCs w:val="20"/>
              </w:rPr>
            </w:pPr>
            <w:r>
              <w:rPr>
                <w:b/>
                <w:bCs/>
                <w:sz w:val="20"/>
                <w:szCs w:val="20"/>
                <w:lang w:val="fr"/>
              </w:rPr>
              <w:t>Agence d’exécution</w:t>
            </w:r>
          </w:p>
        </w:tc>
      </w:tr>
      <w:tr w:rsidR="00954046" w:rsidRPr="0034371D" w14:paraId="3F1E3CB2" w14:textId="77777777" w:rsidTr="005B6429">
        <w:tc>
          <w:tcPr>
            <w:tcW w:w="293" w:type="pct"/>
          </w:tcPr>
          <w:p w14:paraId="6F196BC4" w14:textId="77777777" w:rsidR="00954046" w:rsidRPr="00FD6409" w:rsidRDefault="00954046" w:rsidP="009C018B">
            <w:pPr>
              <w:rPr>
                <w:sz w:val="20"/>
                <w:szCs w:val="20"/>
              </w:rPr>
            </w:pPr>
            <w:proofErr w:type="gramStart"/>
            <w:r>
              <w:rPr>
                <w:sz w:val="20"/>
                <w:szCs w:val="20"/>
                <w:lang w:val="fr"/>
              </w:rPr>
              <w:t>a</w:t>
            </w:r>
            <w:proofErr w:type="gramEnd"/>
            <w:r>
              <w:rPr>
                <w:sz w:val="20"/>
                <w:szCs w:val="20"/>
                <w:lang w:val="fr"/>
              </w:rPr>
              <w:t>)</w:t>
            </w:r>
          </w:p>
        </w:tc>
        <w:tc>
          <w:tcPr>
            <w:tcW w:w="2337" w:type="pct"/>
          </w:tcPr>
          <w:p w14:paraId="3D483677" w14:textId="7ADE6C95" w:rsidR="00954046" w:rsidRPr="00E34FC7" w:rsidRDefault="00954046" w:rsidP="009C018B">
            <w:pPr>
              <w:jc w:val="left"/>
              <w:rPr>
                <w:sz w:val="20"/>
                <w:szCs w:val="20"/>
                <w:lang w:val="fr-FR"/>
              </w:rPr>
            </w:pPr>
            <w:r>
              <w:rPr>
                <w:sz w:val="20"/>
                <w:szCs w:val="20"/>
                <w:lang w:val="fr"/>
              </w:rPr>
              <w:t>Plan de gestion de l’élimination des HCFC (phase I, troisième tranche)</w:t>
            </w:r>
          </w:p>
        </w:tc>
        <w:tc>
          <w:tcPr>
            <w:tcW w:w="790" w:type="pct"/>
          </w:tcPr>
          <w:p w14:paraId="165E3B3D" w14:textId="0432E3B2" w:rsidR="00954046" w:rsidRPr="00FD6409" w:rsidRDefault="00AE5D0E" w:rsidP="009C018B">
            <w:pPr>
              <w:jc w:val="right"/>
              <w:rPr>
                <w:sz w:val="20"/>
                <w:szCs w:val="20"/>
              </w:rPr>
            </w:pPr>
            <w:r>
              <w:rPr>
                <w:sz w:val="20"/>
                <w:szCs w:val="20"/>
                <w:lang w:val="fr"/>
              </w:rPr>
              <w:t>16 900</w:t>
            </w:r>
          </w:p>
        </w:tc>
        <w:tc>
          <w:tcPr>
            <w:tcW w:w="747" w:type="pct"/>
          </w:tcPr>
          <w:p w14:paraId="38135BFE" w14:textId="315BBC52" w:rsidR="00954046" w:rsidRPr="00FD6409" w:rsidRDefault="00E73C56" w:rsidP="009C018B">
            <w:pPr>
              <w:jc w:val="right"/>
            </w:pPr>
            <w:r>
              <w:rPr>
                <w:sz w:val="20"/>
                <w:szCs w:val="20"/>
                <w:lang w:val="fr"/>
              </w:rPr>
              <w:t>2 197</w:t>
            </w:r>
          </w:p>
        </w:tc>
        <w:tc>
          <w:tcPr>
            <w:tcW w:w="833" w:type="pct"/>
            <w:tcBorders>
              <w:top w:val="single" w:sz="4" w:space="0" w:color="auto"/>
            </w:tcBorders>
          </w:tcPr>
          <w:p w14:paraId="59BCE807" w14:textId="5686E6D7" w:rsidR="00954046" w:rsidRPr="0034371D" w:rsidRDefault="00EB7F73" w:rsidP="009C018B">
            <w:pPr>
              <w:jc w:val="center"/>
              <w:rPr>
                <w:sz w:val="20"/>
                <w:szCs w:val="20"/>
              </w:rPr>
            </w:pPr>
            <w:r>
              <w:rPr>
                <w:sz w:val="20"/>
                <w:szCs w:val="20"/>
                <w:lang w:val="fr"/>
              </w:rPr>
              <w:t>PNUE</w:t>
            </w:r>
          </w:p>
        </w:tc>
      </w:tr>
      <w:bookmarkEnd w:id="6"/>
    </w:tbl>
    <w:p w14:paraId="2D01D7B9" w14:textId="16551BB7" w:rsidR="00954046" w:rsidRDefault="00954046" w:rsidP="009C018B"/>
    <w:p w14:paraId="499253AC" w14:textId="77777777" w:rsidR="00721F9F" w:rsidRDefault="00721F9F" w:rsidP="009C018B"/>
    <w:p w14:paraId="6D647D4D" w14:textId="77777777" w:rsidR="00721F9F" w:rsidRDefault="00721F9F" w:rsidP="009C01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7DAD9AFA" w14:textId="77777777" w:rsidTr="000107F8">
        <w:tc>
          <w:tcPr>
            <w:tcW w:w="1871" w:type="dxa"/>
          </w:tcPr>
          <w:p w14:paraId="285F8AD5" w14:textId="77777777" w:rsidR="00954046" w:rsidRPr="009B0D30" w:rsidRDefault="00954046" w:rsidP="009C018B"/>
        </w:tc>
        <w:tc>
          <w:tcPr>
            <w:tcW w:w="1872" w:type="dxa"/>
          </w:tcPr>
          <w:p w14:paraId="745DD2D6" w14:textId="77777777" w:rsidR="00954046" w:rsidRPr="009B0D30" w:rsidRDefault="00954046" w:rsidP="009C018B"/>
        </w:tc>
        <w:tc>
          <w:tcPr>
            <w:tcW w:w="1872" w:type="dxa"/>
            <w:tcBorders>
              <w:bottom w:val="single" w:sz="4" w:space="0" w:color="auto"/>
            </w:tcBorders>
          </w:tcPr>
          <w:p w14:paraId="4E6E4431" w14:textId="77777777" w:rsidR="00954046" w:rsidRPr="009B0D30" w:rsidRDefault="00954046" w:rsidP="009C018B"/>
        </w:tc>
        <w:tc>
          <w:tcPr>
            <w:tcW w:w="1872" w:type="dxa"/>
          </w:tcPr>
          <w:p w14:paraId="773AEDBB" w14:textId="77777777" w:rsidR="00954046" w:rsidRPr="009B0D30" w:rsidRDefault="00954046" w:rsidP="009C018B"/>
        </w:tc>
        <w:tc>
          <w:tcPr>
            <w:tcW w:w="1873" w:type="dxa"/>
          </w:tcPr>
          <w:p w14:paraId="2ABF0849" w14:textId="77777777" w:rsidR="00954046" w:rsidRPr="009B0D30" w:rsidRDefault="00954046" w:rsidP="009C018B"/>
        </w:tc>
      </w:tr>
    </w:tbl>
    <w:p w14:paraId="1133FDD1" w14:textId="70592DF0"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8DFA1" w14:textId="77777777" w:rsidR="00CC2D4C" w:rsidRDefault="00CC2D4C" w:rsidP="004A504B">
      <w:r>
        <w:separator/>
      </w:r>
    </w:p>
  </w:endnote>
  <w:endnote w:type="continuationSeparator" w:id="0">
    <w:p w14:paraId="5B51BDFD" w14:textId="77777777" w:rsidR="00CC2D4C" w:rsidRDefault="00CC2D4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4CA13279" w:rsidR="004E7F9C" w:rsidRPr="00E34FC7" w:rsidRDefault="004E7F9C" w:rsidP="00E34FC7">
    <w:pPr>
      <w:pBdr>
        <w:top w:val="single" w:sz="4" w:space="1" w:color="auto"/>
        <w:left w:val="single" w:sz="4" w:space="4" w:color="auto"/>
        <w:bottom w:val="single" w:sz="4" w:space="1" w:color="auto"/>
        <w:right w:val="single" w:sz="4" w:space="4" w:color="auto"/>
      </w:pBdr>
      <w:jc w:val="center"/>
      <w:rPr>
        <w:sz w:val="18"/>
        <w:szCs w:val="18"/>
        <w:lang w:val="fr"/>
      </w:rPr>
    </w:pPr>
    <w:r>
      <w:rPr>
        <w:sz w:val="18"/>
        <w:szCs w:val="18"/>
        <w:lang w:val="fr"/>
      </w:rPr>
      <w:t xml:space="preserve">Les documents de présession du Comité exécutif du Fonds multilatéral aux fins d’application du Protocole de </w:t>
    </w:r>
    <w:r w:rsidR="00E34FC7">
      <w:rPr>
        <w:sz w:val="18"/>
        <w:szCs w:val="18"/>
        <w:lang w:val="fr"/>
      </w:rPr>
      <w:br/>
    </w:r>
    <w:r>
      <w:rPr>
        <w:sz w:val="18"/>
        <w:szCs w:val="18"/>
        <w:lang w:val="fr"/>
      </w:rPr>
      <w:t>Montréal sont présentés sous réserve des décisions pouvant être prises par le Comité exécutif après leur publication.</w:t>
    </w:r>
  </w:p>
  <w:p w14:paraId="0699D03C" w14:textId="77777777" w:rsidR="004E7F9C" w:rsidRPr="00E34FC7"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CB852" w14:textId="77777777" w:rsidR="00CC2D4C" w:rsidRDefault="00CC2D4C" w:rsidP="004A504B">
      <w:r>
        <w:separator/>
      </w:r>
    </w:p>
  </w:footnote>
  <w:footnote w:type="continuationSeparator" w:id="0">
    <w:p w14:paraId="2F95FB16" w14:textId="77777777" w:rsidR="00CC2D4C" w:rsidRDefault="00CC2D4C" w:rsidP="004A504B">
      <w:r>
        <w:continuationSeparator/>
      </w:r>
    </w:p>
  </w:footnote>
  <w:footnote w:id="1">
    <w:p w14:paraId="1ABC4570" w14:textId="161BAC3B" w:rsidR="00954046" w:rsidRPr="00E34FC7" w:rsidRDefault="00954046" w:rsidP="00954046">
      <w:pPr>
        <w:pStyle w:val="FootnoteText"/>
        <w:spacing w:after="60"/>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/93/1</w:t>
      </w:r>
    </w:p>
  </w:footnote>
  <w:footnote w:id="2">
    <w:p w14:paraId="473225F9" w14:textId="15AC6084" w:rsidR="002338FC" w:rsidRPr="00E34FC7" w:rsidRDefault="002338FC" w:rsidP="002338FC">
      <w:pPr>
        <w:pStyle w:val="FootnoteText"/>
        <w:rPr>
          <w:lang w:val="fr-FR"/>
        </w:rPr>
      </w:pPr>
      <w:r>
        <w:rPr>
          <w:rStyle w:val="FootnoteReference"/>
          <w:lang w:val="fr"/>
        </w:rPr>
        <w:footnoteRef/>
      </w:r>
      <w:r>
        <w:rPr>
          <w:lang w:val="fr"/>
        </w:rPr>
        <w:t xml:space="preserve"> Conformément à la lettre adressée au Secrétariat le 5 octobre 2023 par le ministère de l’Environnement, de l’Action climatique et de l’Autonomisation des collectivités locales de Saint-Kitts-et-Nevis.</w:t>
      </w:r>
    </w:p>
  </w:footnote>
  <w:footnote w:id="3">
    <w:p w14:paraId="17848200" w14:textId="1EB67E6C" w:rsidR="006D7CE5" w:rsidRPr="00E34FC7" w:rsidRDefault="006D7CE5" w:rsidP="006D7CE5">
      <w:pPr>
        <w:pStyle w:val="FootnoteText"/>
        <w:rPr>
          <w:lang w:val="fr-FR"/>
        </w:rPr>
      </w:pPr>
      <w:r>
        <w:rPr>
          <w:rStyle w:val="FootnoteReference"/>
          <w:lang w:val="fr"/>
        </w:rPr>
        <w:footnoteRef/>
      </w:r>
      <w:r>
        <w:rPr>
          <w:lang w:val="fr"/>
        </w:rPr>
        <w:t xml:space="preserve"> Comme indiqué à l’annexe VIII du document UNEP/</w:t>
      </w:r>
      <w:proofErr w:type="spellStart"/>
      <w:r>
        <w:rPr>
          <w:lang w:val="fr"/>
        </w:rPr>
        <w:t>OzL.Pro</w:t>
      </w:r>
      <w:proofErr w:type="spellEnd"/>
      <w:r>
        <w:rPr>
          <w:lang w:val="fr"/>
        </w:rPr>
        <w:t>/</w:t>
      </w:r>
      <w:proofErr w:type="spellStart"/>
      <w:r>
        <w:rPr>
          <w:lang w:val="fr"/>
        </w:rPr>
        <w:t>ExCom</w:t>
      </w:r>
      <w:proofErr w:type="spellEnd"/>
      <w:r>
        <w:rPr>
          <w:lang w:val="fr"/>
        </w:rPr>
        <w:t>/92/56 : a) Approfondir l’enquête et fournir des conclusions fermes sur ce qui a réellement été importé dans le cadre des 19 entrées utilisant des codes CFC identifiés dans le rapport de vérification. Dans le cas où des HCFC ont été importés en utilisant ces codes, ajouter les quantités correspondantes à la consommation réelle de HCFC et remettre les données corrigées au titre de l’Article 7 au Secrétariat de l’ozone ainsi que les données du programme de pays au Secrétariat du Fonds multilatéral pour les années 2015, 2016, 2017, 2018 et 2021 ; b) Introduire des mesures d’alerte en cas d’utilisation des codes correspondant à des substances faisant l’objet d’une élimination progressive ; c) Entreprendre des inspections afin d’identifier toute utilisation potentielle de CFC à Saint-Kitts et à Nevis ; d) Entamer les préparatifs en vue de l’application des quotas individuels d’importation de HCFC et de la publication des quotas dans la Gazette ; et e) Inclure dans le plan d’action révisé des activités qui mettront en œuvre les recommandations tirées de la vérification.</w:t>
      </w:r>
    </w:p>
  </w:footnote>
  <w:footnote w:id="4">
    <w:p w14:paraId="3BF619F8" w14:textId="1ADACEDC" w:rsidR="009C018B" w:rsidRPr="00E34FC7" w:rsidRDefault="009C018B" w:rsidP="009C018B">
      <w:pPr>
        <w:pStyle w:val="FootnoteText"/>
        <w:rPr>
          <w:lang w:val="fr-FR"/>
        </w:rPr>
      </w:pPr>
      <w:r>
        <w:rPr>
          <w:rStyle w:val="FootnoteReference"/>
          <w:lang w:val="fr"/>
        </w:rPr>
        <w:footnoteRef/>
      </w:r>
      <w:r>
        <w:rPr>
          <w:lang w:val="fr"/>
        </w:rPr>
        <w:t xml:space="preserve"> Dont des pompes à vide, des capacimètres à double écran, des cylindres, des balances, des machines de récupération, des bancs de réfrigération, des bancs de climatisation, des manomètres.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1C360BA1" w:rsidR="00DC6A10" w:rsidRPr="0033525D" w:rsidRDefault="00575336">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/93/84</w:t>
    </w:r>
    <w:r>
      <w:rPr>
        <w:lang w:val="fr"/>
      </w:rPr>
      <w:fldChar w:fldCharType="end"/>
    </w:r>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1EFF3724" w:rsidR="00DC6A10" w:rsidRPr="0033525D" w:rsidRDefault="00575336">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/93/84</w:t>
    </w:r>
    <w:r>
      <w:rPr>
        <w:lang w:val="fr"/>
      </w:rPr>
      <w:fldChar w:fldCharType="end"/>
    </w:r>
  </w:p>
  <w:p w14:paraId="7108C47B" w14:textId="77777777" w:rsidR="00DC6A10" w:rsidRPr="0033525D" w:rsidRDefault="00DC6A10" w:rsidP="008B0A68">
    <w:pPr>
      <w:jc w:val="right"/>
    </w:pPr>
  </w:p>
  <w:p w14:paraId="78668583" w14:textId="77777777" w:rsidR="00DC6A10" w:rsidRPr="0033525D" w:rsidRDefault="00DC6A10"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7A281C"/>
    <w:lvl w:ilvl="0">
      <w:start w:val="1"/>
      <w:numFmt w:val="decimal"/>
      <w:pStyle w:val="Heading1"/>
      <w:lvlText w:val="%1."/>
      <w:lvlJc w:val="left"/>
      <w:pPr>
        <w:tabs>
          <w:tab w:val="num" w:pos="0"/>
        </w:tabs>
        <w:ind w:left="0" w:firstLine="0"/>
      </w:pPr>
      <w:rPr>
        <w:i w:val="0"/>
        <w:iCs/>
        <w:color w:val="auto"/>
      </w:rPr>
    </w:lvl>
    <w:lvl w:ilvl="1">
      <w:start w:val="1"/>
      <w:numFmt w:val="lowerLetter"/>
      <w:pStyle w:val="Heading2"/>
      <w:lvlText w:val="%2)"/>
      <w:lvlJc w:val="left"/>
      <w:pPr>
        <w:ind w:left="1211" w:hanging="36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94C73ED"/>
    <w:multiLevelType w:val="multilevel"/>
    <w:tmpl w:val="450A1C70"/>
    <w:lvl w:ilvl="0">
      <w:start w:val="1"/>
      <w:numFmt w:val="decimal"/>
      <w:lvlText w:val="%1."/>
      <w:lvlJc w:val="left"/>
      <w:pPr>
        <w:ind w:left="360" w:hanging="360"/>
      </w:pPr>
    </w:lvl>
    <w:lvl w:ilvl="1">
      <w:start w:val="1"/>
      <w:numFmt w:val="decimal"/>
      <w:isLgl/>
      <w:lvlText w:val="%1.%2"/>
      <w:lvlJc w:val="left"/>
      <w:pPr>
        <w:ind w:left="720" w:hanging="360"/>
      </w:pPr>
      <w:rPr>
        <w:rFonts w:eastAsia="SimSun"/>
      </w:rPr>
    </w:lvl>
    <w:lvl w:ilvl="2">
      <w:start w:val="1"/>
      <w:numFmt w:val="decimal"/>
      <w:isLgl/>
      <w:lvlText w:val="%1.%2.%3"/>
      <w:lvlJc w:val="left"/>
      <w:pPr>
        <w:ind w:left="1440" w:hanging="720"/>
      </w:pPr>
      <w:rPr>
        <w:rFonts w:eastAsia="SimSun"/>
      </w:rPr>
    </w:lvl>
    <w:lvl w:ilvl="3">
      <w:start w:val="1"/>
      <w:numFmt w:val="decimal"/>
      <w:isLgl/>
      <w:lvlText w:val="%1.%2.%3.%4"/>
      <w:lvlJc w:val="left"/>
      <w:pPr>
        <w:ind w:left="1800" w:hanging="720"/>
      </w:pPr>
      <w:rPr>
        <w:rFonts w:eastAsia="SimSun"/>
      </w:rPr>
    </w:lvl>
    <w:lvl w:ilvl="4">
      <w:start w:val="1"/>
      <w:numFmt w:val="decimal"/>
      <w:isLgl/>
      <w:lvlText w:val="%1.%2.%3.%4.%5"/>
      <w:lvlJc w:val="left"/>
      <w:pPr>
        <w:ind w:left="2520" w:hanging="1080"/>
      </w:pPr>
      <w:rPr>
        <w:rFonts w:eastAsia="SimSun"/>
      </w:rPr>
    </w:lvl>
    <w:lvl w:ilvl="5">
      <w:start w:val="1"/>
      <w:numFmt w:val="decimal"/>
      <w:isLgl/>
      <w:lvlText w:val="%1.%2.%3.%4.%5.%6"/>
      <w:lvlJc w:val="left"/>
      <w:pPr>
        <w:ind w:left="2880" w:hanging="1080"/>
      </w:pPr>
      <w:rPr>
        <w:rFonts w:eastAsia="SimSun"/>
      </w:rPr>
    </w:lvl>
    <w:lvl w:ilvl="6">
      <w:start w:val="1"/>
      <w:numFmt w:val="decimal"/>
      <w:isLgl/>
      <w:lvlText w:val="%1.%2.%3.%4.%5.%6.%7"/>
      <w:lvlJc w:val="left"/>
      <w:pPr>
        <w:ind w:left="3600" w:hanging="1440"/>
      </w:pPr>
      <w:rPr>
        <w:rFonts w:eastAsia="SimSun"/>
      </w:rPr>
    </w:lvl>
    <w:lvl w:ilvl="7">
      <w:start w:val="1"/>
      <w:numFmt w:val="decimal"/>
      <w:isLgl/>
      <w:lvlText w:val="%1.%2.%3.%4.%5.%6.%7.%8"/>
      <w:lvlJc w:val="left"/>
      <w:pPr>
        <w:ind w:left="3960" w:hanging="1440"/>
      </w:pPr>
      <w:rPr>
        <w:rFonts w:eastAsia="SimSun"/>
      </w:rPr>
    </w:lvl>
    <w:lvl w:ilvl="8">
      <w:start w:val="1"/>
      <w:numFmt w:val="decimal"/>
      <w:isLgl/>
      <w:lvlText w:val="%1.%2.%3.%4.%5.%6.%7.%8.%9"/>
      <w:lvlJc w:val="left"/>
      <w:pPr>
        <w:ind w:left="4320" w:hanging="1440"/>
      </w:pPr>
      <w:rPr>
        <w:rFonts w:eastAsia="SimSu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DF758C"/>
    <w:multiLevelType w:val="hybridMultilevel"/>
    <w:tmpl w:val="F94EAD52"/>
    <w:lvl w:ilvl="0" w:tplc="DD0490A2">
      <w:start w:val="2019"/>
      <w:numFmt w:val="bullet"/>
      <w:lvlText w:val="-"/>
      <w:lvlJc w:val="left"/>
      <w:pPr>
        <w:ind w:left="720" w:hanging="360"/>
      </w:pPr>
      <w:rPr>
        <w:rFonts w:ascii="Times New Roman" w:eastAsia="Times New Roman" w:hAnsi="Times New Roman" w:cs="Times New Roman"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8" w15:restartNumberingAfterBreak="0">
    <w:nsid w:val="517A7EF3"/>
    <w:multiLevelType w:val="hybridMultilevel"/>
    <w:tmpl w:val="1B32B478"/>
    <w:lvl w:ilvl="0" w:tplc="960CADE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5ED061A"/>
    <w:multiLevelType w:val="hybridMultilevel"/>
    <w:tmpl w:val="27D44A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9BB6772"/>
    <w:multiLevelType w:val="multilevel"/>
    <w:tmpl w:val="450A1C70"/>
    <w:lvl w:ilvl="0">
      <w:start w:val="1"/>
      <w:numFmt w:val="decimal"/>
      <w:lvlText w:val="%1."/>
      <w:lvlJc w:val="left"/>
      <w:pPr>
        <w:ind w:left="360" w:hanging="360"/>
      </w:pPr>
    </w:lvl>
    <w:lvl w:ilvl="1">
      <w:start w:val="1"/>
      <w:numFmt w:val="decimal"/>
      <w:isLgl/>
      <w:lvlText w:val="%1.%2"/>
      <w:lvlJc w:val="left"/>
      <w:pPr>
        <w:ind w:left="720" w:hanging="360"/>
      </w:pPr>
      <w:rPr>
        <w:rFonts w:eastAsia="SimSun"/>
      </w:rPr>
    </w:lvl>
    <w:lvl w:ilvl="2">
      <w:start w:val="1"/>
      <w:numFmt w:val="decimal"/>
      <w:isLgl/>
      <w:lvlText w:val="%1.%2.%3"/>
      <w:lvlJc w:val="left"/>
      <w:pPr>
        <w:ind w:left="1440" w:hanging="720"/>
      </w:pPr>
      <w:rPr>
        <w:rFonts w:eastAsia="SimSun"/>
      </w:rPr>
    </w:lvl>
    <w:lvl w:ilvl="3">
      <w:start w:val="1"/>
      <w:numFmt w:val="decimal"/>
      <w:isLgl/>
      <w:lvlText w:val="%1.%2.%3.%4"/>
      <w:lvlJc w:val="left"/>
      <w:pPr>
        <w:ind w:left="1800" w:hanging="720"/>
      </w:pPr>
      <w:rPr>
        <w:rFonts w:eastAsia="SimSun"/>
      </w:rPr>
    </w:lvl>
    <w:lvl w:ilvl="4">
      <w:start w:val="1"/>
      <w:numFmt w:val="decimal"/>
      <w:isLgl/>
      <w:lvlText w:val="%1.%2.%3.%4.%5"/>
      <w:lvlJc w:val="left"/>
      <w:pPr>
        <w:ind w:left="2520" w:hanging="1080"/>
      </w:pPr>
      <w:rPr>
        <w:rFonts w:eastAsia="SimSun"/>
      </w:rPr>
    </w:lvl>
    <w:lvl w:ilvl="5">
      <w:start w:val="1"/>
      <w:numFmt w:val="decimal"/>
      <w:isLgl/>
      <w:lvlText w:val="%1.%2.%3.%4.%5.%6"/>
      <w:lvlJc w:val="left"/>
      <w:pPr>
        <w:ind w:left="2880" w:hanging="1080"/>
      </w:pPr>
      <w:rPr>
        <w:rFonts w:eastAsia="SimSun"/>
      </w:rPr>
    </w:lvl>
    <w:lvl w:ilvl="6">
      <w:start w:val="1"/>
      <w:numFmt w:val="decimal"/>
      <w:isLgl/>
      <w:lvlText w:val="%1.%2.%3.%4.%5.%6.%7"/>
      <w:lvlJc w:val="left"/>
      <w:pPr>
        <w:ind w:left="3600" w:hanging="1440"/>
      </w:pPr>
      <w:rPr>
        <w:rFonts w:eastAsia="SimSun"/>
      </w:rPr>
    </w:lvl>
    <w:lvl w:ilvl="7">
      <w:start w:val="1"/>
      <w:numFmt w:val="decimal"/>
      <w:isLgl/>
      <w:lvlText w:val="%1.%2.%3.%4.%5.%6.%7.%8"/>
      <w:lvlJc w:val="left"/>
      <w:pPr>
        <w:ind w:left="3960" w:hanging="1440"/>
      </w:pPr>
      <w:rPr>
        <w:rFonts w:eastAsia="SimSun"/>
      </w:rPr>
    </w:lvl>
    <w:lvl w:ilvl="8">
      <w:start w:val="1"/>
      <w:numFmt w:val="decimal"/>
      <w:isLgl/>
      <w:lvlText w:val="%1.%2.%3.%4.%5.%6.%7.%8.%9"/>
      <w:lvlJc w:val="left"/>
      <w:pPr>
        <w:ind w:left="4320" w:hanging="1440"/>
      </w:pPr>
      <w:rPr>
        <w:rFonts w:eastAsia="SimSun"/>
      </w:rPr>
    </w:lvl>
  </w:abstractNum>
  <w:abstractNum w:abstractNumId="23" w15:restartNumberingAfterBreak="0">
    <w:nsid w:val="74C44B19"/>
    <w:multiLevelType w:val="hybridMultilevel"/>
    <w:tmpl w:val="2514F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2C7BC1"/>
    <w:multiLevelType w:val="multilevel"/>
    <w:tmpl w:val="87A4356C"/>
    <w:lvl w:ilvl="0">
      <w:start w:val="1"/>
      <w:numFmt w:val="decimal"/>
      <w:lvlText w:val="%1."/>
      <w:lvlJc w:val="left"/>
      <w:pPr>
        <w:ind w:left="720" w:hanging="360"/>
      </w:pPr>
      <w:rPr>
        <w:rFonts w:ascii="Calibri" w:hAnsi="Calibri" w:cs="Calibri" w:hint="default"/>
        <w:color w:val="000000"/>
      </w:rPr>
    </w:lvl>
    <w:lvl w:ilvl="1">
      <w:start w:val="1"/>
      <w:numFmt w:val="decimal"/>
      <w:isLgl/>
      <w:lvlText w:val="%1.%2"/>
      <w:lvlJc w:val="left"/>
      <w:pPr>
        <w:ind w:left="1080" w:hanging="360"/>
      </w:pPr>
      <w:rPr>
        <w:rFonts w:ascii="Calibri" w:eastAsia="Times New Roman" w:hAnsi="Calibri" w:cs="Calibri" w:hint="default"/>
      </w:rPr>
    </w:lvl>
    <w:lvl w:ilvl="2">
      <w:start w:val="1"/>
      <w:numFmt w:val="decimal"/>
      <w:isLgl/>
      <w:lvlText w:val="%1.%2.%3"/>
      <w:lvlJc w:val="left"/>
      <w:pPr>
        <w:ind w:left="1800" w:hanging="720"/>
      </w:pPr>
      <w:rPr>
        <w:rFonts w:ascii="Calibri" w:eastAsia="Times New Roman" w:hAnsi="Calibri" w:cs="Calibri" w:hint="default"/>
      </w:rPr>
    </w:lvl>
    <w:lvl w:ilvl="3">
      <w:start w:val="1"/>
      <w:numFmt w:val="decimal"/>
      <w:isLgl/>
      <w:lvlText w:val="%1.%2.%3.%4"/>
      <w:lvlJc w:val="left"/>
      <w:pPr>
        <w:ind w:left="2160" w:hanging="720"/>
      </w:pPr>
      <w:rPr>
        <w:rFonts w:ascii="Calibri" w:eastAsia="Times New Roman" w:hAnsi="Calibri" w:cs="Calibri" w:hint="default"/>
      </w:rPr>
    </w:lvl>
    <w:lvl w:ilvl="4">
      <w:start w:val="1"/>
      <w:numFmt w:val="decimal"/>
      <w:isLgl/>
      <w:lvlText w:val="%1.%2.%3.%4.%5"/>
      <w:lvlJc w:val="left"/>
      <w:pPr>
        <w:ind w:left="2880" w:hanging="1080"/>
      </w:pPr>
      <w:rPr>
        <w:rFonts w:ascii="Calibri" w:eastAsia="Times New Roman" w:hAnsi="Calibri" w:cs="Calibri" w:hint="default"/>
      </w:rPr>
    </w:lvl>
    <w:lvl w:ilvl="5">
      <w:start w:val="1"/>
      <w:numFmt w:val="decimal"/>
      <w:isLgl/>
      <w:lvlText w:val="%1.%2.%3.%4.%5.%6"/>
      <w:lvlJc w:val="left"/>
      <w:pPr>
        <w:ind w:left="3240" w:hanging="1080"/>
      </w:pPr>
      <w:rPr>
        <w:rFonts w:ascii="Calibri" w:eastAsia="Times New Roman" w:hAnsi="Calibri" w:cs="Calibri" w:hint="default"/>
      </w:rPr>
    </w:lvl>
    <w:lvl w:ilvl="6">
      <w:start w:val="1"/>
      <w:numFmt w:val="decimal"/>
      <w:isLgl/>
      <w:lvlText w:val="%1.%2.%3.%4.%5.%6.%7"/>
      <w:lvlJc w:val="left"/>
      <w:pPr>
        <w:ind w:left="3960" w:hanging="1440"/>
      </w:pPr>
      <w:rPr>
        <w:rFonts w:ascii="Calibri" w:eastAsia="Times New Roman" w:hAnsi="Calibri" w:cs="Calibri" w:hint="default"/>
      </w:rPr>
    </w:lvl>
    <w:lvl w:ilvl="7">
      <w:start w:val="1"/>
      <w:numFmt w:val="decimal"/>
      <w:isLgl/>
      <w:lvlText w:val="%1.%2.%3.%4.%5.%6.%7.%8"/>
      <w:lvlJc w:val="left"/>
      <w:pPr>
        <w:ind w:left="4320" w:hanging="1440"/>
      </w:pPr>
      <w:rPr>
        <w:rFonts w:ascii="Calibri" w:eastAsia="Times New Roman" w:hAnsi="Calibri" w:cs="Calibri" w:hint="default"/>
      </w:rPr>
    </w:lvl>
    <w:lvl w:ilvl="8">
      <w:start w:val="1"/>
      <w:numFmt w:val="decimal"/>
      <w:isLgl/>
      <w:lvlText w:val="%1.%2.%3.%4.%5.%6.%7.%8.%9"/>
      <w:lvlJc w:val="left"/>
      <w:pPr>
        <w:ind w:left="4680" w:hanging="1440"/>
      </w:pPr>
      <w:rPr>
        <w:rFonts w:ascii="Calibri" w:eastAsia="Times New Roman" w:hAnsi="Calibri" w:cs="Calibri" w:hint="default"/>
      </w:rPr>
    </w:lvl>
  </w:abstractNum>
  <w:abstractNum w:abstractNumId="25" w15:restartNumberingAfterBreak="0">
    <w:nsid w:val="78024601"/>
    <w:multiLevelType w:val="hybridMultilevel"/>
    <w:tmpl w:val="42366644"/>
    <w:lvl w:ilvl="0" w:tplc="D494E00C">
      <w:start w:val="1"/>
      <w:numFmt w:val="lowerLetter"/>
      <w:lvlText w:val="(%1)"/>
      <w:lvlJc w:val="left"/>
      <w:pPr>
        <w:ind w:left="360" w:hanging="360"/>
      </w:pPr>
      <w:rPr>
        <w:rFonts w:ascii="Times New Roman" w:eastAsia="Times New Roman" w:hAnsi="Times New Roman" w:cs="Times New Roman"/>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9"/>
  </w:num>
  <w:num w:numId="19" w16cid:durableId="1488010068">
    <w:abstractNumId w:val="26"/>
  </w:num>
  <w:num w:numId="20" w16cid:durableId="444007775">
    <w:abstractNumId w:val="13"/>
  </w:num>
  <w:num w:numId="21" w16cid:durableId="1667897804">
    <w:abstractNumId w:val="15"/>
  </w:num>
  <w:num w:numId="22" w16cid:durableId="1502428486">
    <w:abstractNumId w:val="20"/>
  </w:num>
  <w:num w:numId="23" w16cid:durableId="574825859">
    <w:abstractNumId w:val="14"/>
  </w:num>
  <w:num w:numId="24" w16cid:durableId="1707022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2195942">
    <w:abstractNumId w:val="23"/>
  </w:num>
  <w:num w:numId="26" w16cid:durableId="6532656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94343392">
    <w:abstractNumId w:val="17"/>
  </w:num>
  <w:num w:numId="28" w16cid:durableId="1071929728">
    <w:abstractNumId w:val="25"/>
  </w:num>
  <w:num w:numId="29" w16cid:durableId="1104883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2461638">
    <w:abstractNumId w:val="10"/>
    <w:lvlOverride w:ilvl="0">
      <w:startOverride w:val="33"/>
    </w:lvlOverride>
  </w:num>
  <w:num w:numId="31" w16cid:durableId="1371955405">
    <w:abstractNumId w:val="22"/>
  </w:num>
  <w:num w:numId="32" w16cid:durableId="1112820376">
    <w:abstractNumId w:val="10"/>
  </w:num>
  <w:num w:numId="33" w16cid:durableId="17371695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6548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87488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7507083">
    <w:abstractNumId w:val="10"/>
    <w:lvlOverride w:ilvl="0">
      <w:startOverride w:val="14"/>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530"/>
    <w:rsid w:val="0000434E"/>
    <w:rsid w:val="000052B5"/>
    <w:rsid w:val="00010246"/>
    <w:rsid w:val="000107F8"/>
    <w:rsid w:val="000211A9"/>
    <w:rsid w:val="00021238"/>
    <w:rsid w:val="00021A1A"/>
    <w:rsid w:val="000223B7"/>
    <w:rsid w:val="00022579"/>
    <w:rsid w:val="000262D9"/>
    <w:rsid w:val="00027332"/>
    <w:rsid w:val="00027B4A"/>
    <w:rsid w:val="00027ED9"/>
    <w:rsid w:val="000305C8"/>
    <w:rsid w:val="00030F8D"/>
    <w:rsid w:val="00031260"/>
    <w:rsid w:val="0003681A"/>
    <w:rsid w:val="000372B7"/>
    <w:rsid w:val="00040DF9"/>
    <w:rsid w:val="00045094"/>
    <w:rsid w:val="00050F2A"/>
    <w:rsid w:val="00050F6E"/>
    <w:rsid w:val="00051AF2"/>
    <w:rsid w:val="00055377"/>
    <w:rsid w:val="00057403"/>
    <w:rsid w:val="0006062E"/>
    <w:rsid w:val="00061EC2"/>
    <w:rsid w:val="00063741"/>
    <w:rsid w:val="000666F0"/>
    <w:rsid w:val="00066CE8"/>
    <w:rsid w:val="00071230"/>
    <w:rsid w:val="00072CB9"/>
    <w:rsid w:val="000730CA"/>
    <w:rsid w:val="0007432F"/>
    <w:rsid w:val="0007572B"/>
    <w:rsid w:val="00075E6F"/>
    <w:rsid w:val="00080ED0"/>
    <w:rsid w:val="0008458E"/>
    <w:rsid w:val="000855E4"/>
    <w:rsid w:val="00085B06"/>
    <w:rsid w:val="00085B8F"/>
    <w:rsid w:val="000860A1"/>
    <w:rsid w:val="00090481"/>
    <w:rsid w:val="0009233E"/>
    <w:rsid w:val="000958DD"/>
    <w:rsid w:val="00095CBC"/>
    <w:rsid w:val="000A3826"/>
    <w:rsid w:val="000A611C"/>
    <w:rsid w:val="000A6C26"/>
    <w:rsid w:val="000A77BC"/>
    <w:rsid w:val="000A7996"/>
    <w:rsid w:val="000B1808"/>
    <w:rsid w:val="000B1A91"/>
    <w:rsid w:val="000B4C84"/>
    <w:rsid w:val="000B5F49"/>
    <w:rsid w:val="000C3418"/>
    <w:rsid w:val="000C6185"/>
    <w:rsid w:val="000C63F9"/>
    <w:rsid w:val="000C6955"/>
    <w:rsid w:val="000C7E3D"/>
    <w:rsid w:val="000D2A2A"/>
    <w:rsid w:val="000D4116"/>
    <w:rsid w:val="000D5086"/>
    <w:rsid w:val="000D52A4"/>
    <w:rsid w:val="000D7226"/>
    <w:rsid w:val="000D72F9"/>
    <w:rsid w:val="000E07BC"/>
    <w:rsid w:val="000E112F"/>
    <w:rsid w:val="000E2E21"/>
    <w:rsid w:val="000E388A"/>
    <w:rsid w:val="000F1CD4"/>
    <w:rsid w:val="000F32EE"/>
    <w:rsid w:val="000F4103"/>
    <w:rsid w:val="000F70A7"/>
    <w:rsid w:val="0010264F"/>
    <w:rsid w:val="001028A0"/>
    <w:rsid w:val="001045DD"/>
    <w:rsid w:val="00105D11"/>
    <w:rsid w:val="001108F8"/>
    <w:rsid w:val="00111D21"/>
    <w:rsid w:val="00113CCA"/>
    <w:rsid w:val="001143FA"/>
    <w:rsid w:val="00115306"/>
    <w:rsid w:val="0011569A"/>
    <w:rsid w:val="00122F25"/>
    <w:rsid w:val="00124006"/>
    <w:rsid w:val="001274C7"/>
    <w:rsid w:val="00134C75"/>
    <w:rsid w:val="00135256"/>
    <w:rsid w:val="00135334"/>
    <w:rsid w:val="00135980"/>
    <w:rsid w:val="0013786F"/>
    <w:rsid w:val="00137B6C"/>
    <w:rsid w:val="001402C7"/>
    <w:rsid w:val="00142636"/>
    <w:rsid w:val="00146A20"/>
    <w:rsid w:val="00152D8B"/>
    <w:rsid w:val="00154067"/>
    <w:rsid w:val="001560A0"/>
    <w:rsid w:val="00156500"/>
    <w:rsid w:val="00157877"/>
    <w:rsid w:val="00157A56"/>
    <w:rsid w:val="00164719"/>
    <w:rsid w:val="00165C3D"/>
    <w:rsid w:val="001661A7"/>
    <w:rsid w:val="00166FC4"/>
    <w:rsid w:val="00167183"/>
    <w:rsid w:val="001677AC"/>
    <w:rsid w:val="00171D6F"/>
    <w:rsid w:val="00172019"/>
    <w:rsid w:val="001735E1"/>
    <w:rsid w:val="00174581"/>
    <w:rsid w:val="00175C4F"/>
    <w:rsid w:val="00177CAB"/>
    <w:rsid w:val="001804EA"/>
    <w:rsid w:val="00184D55"/>
    <w:rsid w:val="001901C9"/>
    <w:rsid w:val="00190A61"/>
    <w:rsid w:val="001910AF"/>
    <w:rsid w:val="0019137E"/>
    <w:rsid w:val="00191E76"/>
    <w:rsid w:val="001A0B1E"/>
    <w:rsid w:val="001A2215"/>
    <w:rsid w:val="001A3342"/>
    <w:rsid w:val="001A3E3D"/>
    <w:rsid w:val="001A5604"/>
    <w:rsid w:val="001A58F7"/>
    <w:rsid w:val="001A7049"/>
    <w:rsid w:val="001B1E40"/>
    <w:rsid w:val="001B36ED"/>
    <w:rsid w:val="001B3771"/>
    <w:rsid w:val="001C5E79"/>
    <w:rsid w:val="001C6E1D"/>
    <w:rsid w:val="001C764E"/>
    <w:rsid w:val="001D40F9"/>
    <w:rsid w:val="001E084D"/>
    <w:rsid w:val="001E1052"/>
    <w:rsid w:val="001E1550"/>
    <w:rsid w:val="001E21B1"/>
    <w:rsid w:val="001E229E"/>
    <w:rsid w:val="001E2F93"/>
    <w:rsid w:val="001E4554"/>
    <w:rsid w:val="001E61E5"/>
    <w:rsid w:val="001F2159"/>
    <w:rsid w:val="001F4427"/>
    <w:rsid w:val="001F4DA5"/>
    <w:rsid w:val="001F53FD"/>
    <w:rsid w:val="001F62C2"/>
    <w:rsid w:val="00200445"/>
    <w:rsid w:val="002057FF"/>
    <w:rsid w:val="00206052"/>
    <w:rsid w:val="002067CD"/>
    <w:rsid w:val="002074C0"/>
    <w:rsid w:val="00210B8B"/>
    <w:rsid w:val="0021120E"/>
    <w:rsid w:val="00211690"/>
    <w:rsid w:val="00211B40"/>
    <w:rsid w:val="002126F3"/>
    <w:rsid w:val="00214863"/>
    <w:rsid w:val="002156B4"/>
    <w:rsid w:val="00221575"/>
    <w:rsid w:val="00224FCD"/>
    <w:rsid w:val="00225CDE"/>
    <w:rsid w:val="0022757E"/>
    <w:rsid w:val="002338FC"/>
    <w:rsid w:val="00241642"/>
    <w:rsid w:val="00241771"/>
    <w:rsid w:val="00243A33"/>
    <w:rsid w:val="00243D62"/>
    <w:rsid w:val="00244590"/>
    <w:rsid w:val="00244DC0"/>
    <w:rsid w:val="00247452"/>
    <w:rsid w:val="00252804"/>
    <w:rsid w:val="00253222"/>
    <w:rsid w:val="00261C13"/>
    <w:rsid w:val="00262847"/>
    <w:rsid w:val="00262A27"/>
    <w:rsid w:val="002630D1"/>
    <w:rsid w:val="00264399"/>
    <w:rsid w:val="00267EBB"/>
    <w:rsid w:val="0027190E"/>
    <w:rsid w:val="0027475E"/>
    <w:rsid w:val="00281612"/>
    <w:rsid w:val="00281BB2"/>
    <w:rsid w:val="00286F32"/>
    <w:rsid w:val="00290FE5"/>
    <w:rsid w:val="00292243"/>
    <w:rsid w:val="00297742"/>
    <w:rsid w:val="002A03C3"/>
    <w:rsid w:val="002A1070"/>
    <w:rsid w:val="002A1729"/>
    <w:rsid w:val="002A20ED"/>
    <w:rsid w:val="002A3EED"/>
    <w:rsid w:val="002A43BA"/>
    <w:rsid w:val="002B0AA0"/>
    <w:rsid w:val="002B0E6F"/>
    <w:rsid w:val="002B254E"/>
    <w:rsid w:val="002B56ED"/>
    <w:rsid w:val="002B72E9"/>
    <w:rsid w:val="002C3460"/>
    <w:rsid w:val="002C3AD2"/>
    <w:rsid w:val="002C5CDA"/>
    <w:rsid w:val="002C60BE"/>
    <w:rsid w:val="002C67A5"/>
    <w:rsid w:val="002C7998"/>
    <w:rsid w:val="002D2A53"/>
    <w:rsid w:val="002E0A63"/>
    <w:rsid w:val="002E2618"/>
    <w:rsid w:val="002E5BAB"/>
    <w:rsid w:val="002E6BFE"/>
    <w:rsid w:val="002F1E53"/>
    <w:rsid w:val="002F2CAA"/>
    <w:rsid w:val="002F4DBE"/>
    <w:rsid w:val="002F704D"/>
    <w:rsid w:val="0030052C"/>
    <w:rsid w:val="00303EC9"/>
    <w:rsid w:val="00310937"/>
    <w:rsid w:val="00314AFB"/>
    <w:rsid w:val="00314F80"/>
    <w:rsid w:val="00317DEC"/>
    <w:rsid w:val="00326375"/>
    <w:rsid w:val="00330615"/>
    <w:rsid w:val="003306E1"/>
    <w:rsid w:val="00330E94"/>
    <w:rsid w:val="003320E4"/>
    <w:rsid w:val="0033325C"/>
    <w:rsid w:val="0033525D"/>
    <w:rsid w:val="003414F3"/>
    <w:rsid w:val="00345024"/>
    <w:rsid w:val="00345729"/>
    <w:rsid w:val="00346830"/>
    <w:rsid w:val="003538F2"/>
    <w:rsid w:val="00355953"/>
    <w:rsid w:val="00355B8F"/>
    <w:rsid w:val="0035613E"/>
    <w:rsid w:val="00357766"/>
    <w:rsid w:val="00360B62"/>
    <w:rsid w:val="00362580"/>
    <w:rsid w:val="00363EE9"/>
    <w:rsid w:val="00366C80"/>
    <w:rsid w:val="00366F92"/>
    <w:rsid w:val="0036722F"/>
    <w:rsid w:val="003729E9"/>
    <w:rsid w:val="00373BF4"/>
    <w:rsid w:val="00373DFC"/>
    <w:rsid w:val="00376128"/>
    <w:rsid w:val="0037649B"/>
    <w:rsid w:val="00376611"/>
    <w:rsid w:val="00376ED3"/>
    <w:rsid w:val="0037742E"/>
    <w:rsid w:val="00377D56"/>
    <w:rsid w:val="00380D91"/>
    <w:rsid w:val="0038245A"/>
    <w:rsid w:val="003840E6"/>
    <w:rsid w:val="00384569"/>
    <w:rsid w:val="00385144"/>
    <w:rsid w:val="003854DA"/>
    <w:rsid w:val="00385CFC"/>
    <w:rsid w:val="003875DF"/>
    <w:rsid w:val="0039337A"/>
    <w:rsid w:val="003958A6"/>
    <w:rsid w:val="003975C2"/>
    <w:rsid w:val="003A3189"/>
    <w:rsid w:val="003A35EB"/>
    <w:rsid w:val="003A3CA7"/>
    <w:rsid w:val="003A3CD8"/>
    <w:rsid w:val="003A6431"/>
    <w:rsid w:val="003A7858"/>
    <w:rsid w:val="003B219A"/>
    <w:rsid w:val="003B33BD"/>
    <w:rsid w:val="003B3546"/>
    <w:rsid w:val="003B569D"/>
    <w:rsid w:val="003B59F1"/>
    <w:rsid w:val="003C03FF"/>
    <w:rsid w:val="003C0CDA"/>
    <w:rsid w:val="003C3C0E"/>
    <w:rsid w:val="003C7148"/>
    <w:rsid w:val="003D0082"/>
    <w:rsid w:val="003D1565"/>
    <w:rsid w:val="003D31D9"/>
    <w:rsid w:val="003D42A6"/>
    <w:rsid w:val="003D4F21"/>
    <w:rsid w:val="003D4FAC"/>
    <w:rsid w:val="003D7CD6"/>
    <w:rsid w:val="003E0599"/>
    <w:rsid w:val="003E7906"/>
    <w:rsid w:val="003F000F"/>
    <w:rsid w:val="003F0C3B"/>
    <w:rsid w:val="003F3C50"/>
    <w:rsid w:val="003F4117"/>
    <w:rsid w:val="003F704D"/>
    <w:rsid w:val="00400324"/>
    <w:rsid w:val="00406202"/>
    <w:rsid w:val="00406A6A"/>
    <w:rsid w:val="00406B22"/>
    <w:rsid w:val="00407411"/>
    <w:rsid w:val="004078FA"/>
    <w:rsid w:val="00413328"/>
    <w:rsid w:val="00413C4B"/>
    <w:rsid w:val="00414BF9"/>
    <w:rsid w:val="00415BC9"/>
    <w:rsid w:val="004168D5"/>
    <w:rsid w:val="00416904"/>
    <w:rsid w:val="00420FD9"/>
    <w:rsid w:val="00422DB9"/>
    <w:rsid w:val="004244DA"/>
    <w:rsid w:val="00424535"/>
    <w:rsid w:val="00424BE4"/>
    <w:rsid w:val="00427860"/>
    <w:rsid w:val="00427FB9"/>
    <w:rsid w:val="00432078"/>
    <w:rsid w:val="004328A7"/>
    <w:rsid w:val="00432B7F"/>
    <w:rsid w:val="00432D33"/>
    <w:rsid w:val="004332B7"/>
    <w:rsid w:val="00434871"/>
    <w:rsid w:val="00434C74"/>
    <w:rsid w:val="00436CE8"/>
    <w:rsid w:val="00437FD9"/>
    <w:rsid w:val="00442639"/>
    <w:rsid w:val="00442684"/>
    <w:rsid w:val="0044291B"/>
    <w:rsid w:val="00444AF8"/>
    <w:rsid w:val="00447B9C"/>
    <w:rsid w:val="00453FDB"/>
    <w:rsid w:val="00454538"/>
    <w:rsid w:val="00456EB4"/>
    <w:rsid w:val="00457827"/>
    <w:rsid w:val="00467614"/>
    <w:rsid w:val="00470CB4"/>
    <w:rsid w:val="004718F3"/>
    <w:rsid w:val="00471D37"/>
    <w:rsid w:val="00473EE6"/>
    <w:rsid w:val="00475040"/>
    <w:rsid w:val="00475463"/>
    <w:rsid w:val="00475ACF"/>
    <w:rsid w:val="004766B2"/>
    <w:rsid w:val="00477C33"/>
    <w:rsid w:val="00480F7F"/>
    <w:rsid w:val="00484E1E"/>
    <w:rsid w:val="004862BA"/>
    <w:rsid w:val="00487572"/>
    <w:rsid w:val="00487CE7"/>
    <w:rsid w:val="00490C06"/>
    <w:rsid w:val="00492840"/>
    <w:rsid w:val="00493D40"/>
    <w:rsid w:val="00493EE3"/>
    <w:rsid w:val="004967B6"/>
    <w:rsid w:val="004A4611"/>
    <w:rsid w:val="004A504B"/>
    <w:rsid w:val="004A6911"/>
    <w:rsid w:val="004A6FD3"/>
    <w:rsid w:val="004A7B5C"/>
    <w:rsid w:val="004A7EEE"/>
    <w:rsid w:val="004B54E0"/>
    <w:rsid w:val="004B674C"/>
    <w:rsid w:val="004B7384"/>
    <w:rsid w:val="004C1B5C"/>
    <w:rsid w:val="004C4269"/>
    <w:rsid w:val="004C651F"/>
    <w:rsid w:val="004C7C38"/>
    <w:rsid w:val="004D2195"/>
    <w:rsid w:val="004D2DA6"/>
    <w:rsid w:val="004D49B8"/>
    <w:rsid w:val="004D4AE7"/>
    <w:rsid w:val="004D6236"/>
    <w:rsid w:val="004D7F90"/>
    <w:rsid w:val="004E314F"/>
    <w:rsid w:val="004E44DD"/>
    <w:rsid w:val="004E4DBB"/>
    <w:rsid w:val="004E4E41"/>
    <w:rsid w:val="004E6AD7"/>
    <w:rsid w:val="004E73DB"/>
    <w:rsid w:val="004E7F9C"/>
    <w:rsid w:val="004F1FF8"/>
    <w:rsid w:val="004F225C"/>
    <w:rsid w:val="004F2E45"/>
    <w:rsid w:val="004F3493"/>
    <w:rsid w:val="004F3A58"/>
    <w:rsid w:val="004F3D0C"/>
    <w:rsid w:val="004F5143"/>
    <w:rsid w:val="004F69F9"/>
    <w:rsid w:val="0050029C"/>
    <w:rsid w:val="005003CA"/>
    <w:rsid w:val="005033D3"/>
    <w:rsid w:val="005044A5"/>
    <w:rsid w:val="00505B34"/>
    <w:rsid w:val="00512B09"/>
    <w:rsid w:val="00514B75"/>
    <w:rsid w:val="0052008D"/>
    <w:rsid w:val="00520C12"/>
    <w:rsid w:val="00521310"/>
    <w:rsid w:val="005220ED"/>
    <w:rsid w:val="00523952"/>
    <w:rsid w:val="00527ED1"/>
    <w:rsid w:val="00527FD9"/>
    <w:rsid w:val="00533611"/>
    <w:rsid w:val="00533796"/>
    <w:rsid w:val="005357EE"/>
    <w:rsid w:val="00536848"/>
    <w:rsid w:val="00537343"/>
    <w:rsid w:val="00537CE9"/>
    <w:rsid w:val="0054533D"/>
    <w:rsid w:val="005514CB"/>
    <w:rsid w:val="0055249C"/>
    <w:rsid w:val="00552913"/>
    <w:rsid w:val="00552C85"/>
    <w:rsid w:val="00554DC1"/>
    <w:rsid w:val="00555690"/>
    <w:rsid w:val="00555D75"/>
    <w:rsid w:val="00557B2F"/>
    <w:rsid w:val="00560DF0"/>
    <w:rsid w:val="005614BC"/>
    <w:rsid w:val="00562B23"/>
    <w:rsid w:val="0056335D"/>
    <w:rsid w:val="00563910"/>
    <w:rsid w:val="0056759C"/>
    <w:rsid w:val="005707C4"/>
    <w:rsid w:val="00571D99"/>
    <w:rsid w:val="00575336"/>
    <w:rsid w:val="005771D4"/>
    <w:rsid w:val="005771DB"/>
    <w:rsid w:val="00577F64"/>
    <w:rsid w:val="005854E0"/>
    <w:rsid w:val="00587024"/>
    <w:rsid w:val="00590E43"/>
    <w:rsid w:val="0059513E"/>
    <w:rsid w:val="0059664C"/>
    <w:rsid w:val="00596FA2"/>
    <w:rsid w:val="005A0B73"/>
    <w:rsid w:val="005A2B73"/>
    <w:rsid w:val="005A532E"/>
    <w:rsid w:val="005A6AA4"/>
    <w:rsid w:val="005A6D9F"/>
    <w:rsid w:val="005B24EF"/>
    <w:rsid w:val="005B48FF"/>
    <w:rsid w:val="005B4EB5"/>
    <w:rsid w:val="005B6429"/>
    <w:rsid w:val="005C1E32"/>
    <w:rsid w:val="005C2D84"/>
    <w:rsid w:val="005C5A04"/>
    <w:rsid w:val="005C670D"/>
    <w:rsid w:val="005D1E53"/>
    <w:rsid w:val="005D2216"/>
    <w:rsid w:val="005D2D35"/>
    <w:rsid w:val="005D363F"/>
    <w:rsid w:val="005D6314"/>
    <w:rsid w:val="005D67B0"/>
    <w:rsid w:val="005D6DDD"/>
    <w:rsid w:val="005E126A"/>
    <w:rsid w:val="005E56F8"/>
    <w:rsid w:val="005E5731"/>
    <w:rsid w:val="005F15D4"/>
    <w:rsid w:val="005F2331"/>
    <w:rsid w:val="005F2702"/>
    <w:rsid w:val="005F3634"/>
    <w:rsid w:val="005F48E2"/>
    <w:rsid w:val="005F66F5"/>
    <w:rsid w:val="006000B4"/>
    <w:rsid w:val="00600380"/>
    <w:rsid w:val="00600D6B"/>
    <w:rsid w:val="006014D9"/>
    <w:rsid w:val="0060390A"/>
    <w:rsid w:val="006045CA"/>
    <w:rsid w:val="00604C15"/>
    <w:rsid w:val="00605ECB"/>
    <w:rsid w:val="00613865"/>
    <w:rsid w:val="0061427F"/>
    <w:rsid w:val="006158D5"/>
    <w:rsid w:val="00617796"/>
    <w:rsid w:val="0062138E"/>
    <w:rsid w:val="00622104"/>
    <w:rsid w:val="00622AF4"/>
    <w:rsid w:val="006240D1"/>
    <w:rsid w:val="00625D83"/>
    <w:rsid w:val="00631B94"/>
    <w:rsid w:val="00632E3B"/>
    <w:rsid w:val="00640DCA"/>
    <w:rsid w:val="00642D3F"/>
    <w:rsid w:val="00643423"/>
    <w:rsid w:val="006438B4"/>
    <w:rsid w:val="00643D3E"/>
    <w:rsid w:val="00651984"/>
    <w:rsid w:val="00652F42"/>
    <w:rsid w:val="00654334"/>
    <w:rsid w:val="0065511C"/>
    <w:rsid w:val="0065539B"/>
    <w:rsid w:val="006553DB"/>
    <w:rsid w:val="00661B10"/>
    <w:rsid w:val="006623E7"/>
    <w:rsid w:val="00662B80"/>
    <w:rsid w:val="0066768F"/>
    <w:rsid w:val="006706B0"/>
    <w:rsid w:val="00670C68"/>
    <w:rsid w:val="00670F6C"/>
    <w:rsid w:val="00671612"/>
    <w:rsid w:val="00675D07"/>
    <w:rsid w:val="00676E58"/>
    <w:rsid w:val="00683A20"/>
    <w:rsid w:val="006847F1"/>
    <w:rsid w:val="006852C7"/>
    <w:rsid w:val="006852CE"/>
    <w:rsid w:val="00685552"/>
    <w:rsid w:val="006917DB"/>
    <w:rsid w:val="00692D14"/>
    <w:rsid w:val="00695C19"/>
    <w:rsid w:val="006A009E"/>
    <w:rsid w:val="006A19AA"/>
    <w:rsid w:val="006B65C7"/>
    <w:rsid w:val="006C1727"/>
    <w:rsid w:val="006C1746"/>
    <w:rsid w:val="006C2EA5"/>
    <w:rsid w:val="006C32FD"/>
    <w:rsid w:val="006C39CE"/>
    <w:rsid w:val="006D0FCC"/>
    <w:rsid w:val="006D21F5"/>
    <w:rsid w:val="006D2DC5"/>
    <w:rsid w:val="006D3089"/>
    <w:rsid w:val="006D76D5"/>
    <w:rsid w:val="006D7CE5"/>
    <w:rsid w:val="006E126D"/>
    <w:rsid w:val="006E14EA"/>
    <w:rsid w:val="006E1EDE"/>
    <w:rsid w:val="006E1FC3"/>
    <w:rsid w:val="006E3FBD"/>
    <w:rsid w:val="006E4768"/>
    <w:rsid w:val="006E66E0"/>
    <w:rsid w:val="006F2915"/>
    <w:rsid w:val="006F65C5"/>
    <w:rsid w:val="007005B8"/>
    <w:rsid w:val="00701AFF"/>
    <w:rsid w:val="00704CE9"/>
    <w:rsid w:val="00705772"/>
    <w:rsid w:val="00706025"/>
    <w:rsid w:val="0070616B"/>
    <w:rsid w:val="00706295"/>
    <w:rsid w:val="00706351"/>
    <w:rsid w:val="00706FDA"/>
    <w:rsid w:val="00710D85"/>
    <w:rsid w:val="00711F9A"/>
    <w:rsid w:val="00712C8B"/>
    <w:rsid w:val="00713810"/>
    <w:rsid w:val="007152EA"/>
    <w:rsid w:val="00716C7E"/>
    <w:rsid w:val="00717633"/>
    <w:rsid w:val="00717F97"/>
    <w:rsid w:val="00721F9F"/>
    <w:rsid w:val="0072229B"/>
    <w:rsid w:val="007236C0"/>
    <w:rsid w:val="00726452"/>
    <w:rsid w:val="007275B5"/>
    <w:rsid w:val="007303A5"/>
    <w:rsid w:val="00730B3E"/>
    <w:rsid w:val="00730C02"/>
    <w:rsid w:val="00730EBB"/>
    <w:rsid w:val="00731FC5"/>
    <w:rsid w:val="0073420B"/>
    <w:rsid w:val="0073461A"/>
    <w:rsid w:val="00734A49"/>
    <w:rsid w:val="00735E64"/>
    <w:rsid w:val="00736367"/>
    <w:rsid w:val="007378CF"/>
    <w:rsid w:val="00737907"/>
    <w:rsid w:val="007416FD"/>
    <w:rsid w:val="0074255C"/>
    <w:rsid w:val="00742DCE"/>
    <w:rsid w:val="007437F7"/>
    <w:rsid w:val="00746342"/>
    <w:rsid w:val="0074760E"/>
    <w:rsid w:val="00750C1A"/>
    <w:rsid w:val="0075193E"/>
    <w:rsid w:val="00753D71"/>
    <w:rsid w:val="00754ABA"/>
    <w:rsid w:val="0076111C"/>
    <w:rsid w:val="007649CA"/>
    <w:rsid w:val="00764D3E"/>
    <w:rsid w:val="00767B48"/>
    <w:rsid w:val="00771438"/>
    <w:rsid w:val="007719A1"/>
    <w:rsid w:val="00773627"/>
    <w:rsid w:val="00775330"/>
    <w:rsid w:val="00777BB2"/>
    <w:rsid w:val="00781579"/>
    <w:rsid w:val="00782B0D"/>
    <w:rsid w:val="00785597"/>
    <w:rsid w:val="007855F0"/>
    <w:rsid w:val="00790B6A"/>
    <w:rsid w:val="00795F80"/>
    <w:rsid w:val="00797932"/>
    <w:rsid w:val="007A1546"/>
    <w:rsid w:val="007A228C"/>
    <w:rsid w:val="007A368E"/>
    <w:rsid w:val="007A5868"/>
    <w:rsid w:val="007B04CE"/>
    <w:rsid w:val="007B14E4"/>
    <w:rsid w:val="007B6871"/>
    <w:rsid w:val="007B7814"/>
    <w:rsid w:val="007B7A2F"/>
    <w:rsid w:val="007C3D33"/>
    <w:rsid w:val="007C5DFC"/>
    <w:rsid w:val="007C5E88"/>
    <w:rsid w:val="007C6728"/>
    <w:rsid w:val="007D0FEA"/>
    <w:rsid w:val="007D20D4"/>
    <w:rsid w:val="007D294A"/>
    <w:rsid w:val="007D2EBB"/>
    <w:rsid w:val="007D41E5"/>
    <w:rsid w:val="007D450E"/>
    <w:rsid w:val="007D47D2"/>
    <w:rsid w:val="007D4EBF"/>
    <w:rsid w:val="007D6EC0"/>
    <w:rsid w:val="007D7E1D"/>
    <w:rsid w:val="007E0634"/>
    <w:rsid w:val="007E07BC"/>
    <w:rsid w:val="007E1D4B"/>
    <w:rsid w:val="007E2825"/>
    <w:rsid w:val="007E29DA"/>
    <w:rsid w:val="007E3215"/>
    <w:rsid w:val="007E3A39"/>
    <w:rsid w:val="007E5F7D"/>
    <w:rsid w:val="007E6505"/>
    <w:rsid w:val="007F1094"/>
    <w:rsid w:val="007F4AA9"/>
    <w:rsid w:val="007F4FF3"/>
    <w:rsid w:val="007F5A73"/>
    <w:rsid w:val="007F5E90"/>
    <w:rsid w:val="007F6888"/>
    <w:rsid w:val="008021D8"/>
    <w:rsid w:val="00803FFD"/>
    <w:rsid w:val="00804B2E"/>
    <w:rsid w:val="00814B7C"/>
    <w:rsid w:val="00814FA6"/>
    <w:rsid w:val="008224B9"/>
    <w:rsid w:val="008265F0"/>
    <w:rsid w:val="00830263"/>
    <w:rsid w:val="00831270"/>
    <w:rsid w:val="00831689"/>
    <w:rsid w:val="00831979"/>
    <w:rsid w:val="00831DA7"/>
    <w:rsid w:val="00835D88"/>
    <w:rsid w:val="00840BF8"/>
    <w:rsid w:val="008430BD"/>
    <w:rsid w:val="00851352"/>
    <w:rsid w:val="00851A89"/>
    <w:rsid w:val="00852E9A"/>
    <w:rsid w:val="00852F5C"/>
    <w:rsid w:val="00853DCF"/>
    <w:rsid w:val="00857077"/>
    <w:rsid w:val="00861344"/>
    <w:rsid w:val="00863230"/>
    <w:rsid w:val="00865BD0"/>
    <w:rsid w:val="008673B4"/>
    <w:rsid w:val="008717D8"/>
    <w:rsid w:val="0087215C"/>
    <w:rsid w:val="00875D25"/>
    <w:rsid w:val="00875FD3"/>
    <w:rsid w:val="008776EF"/>
    <w:rsid w:val="00880E35"/>
    <w:rsid w:val="008875FE"/>
    <w:rsid w:val="00887F8E"/>
    <w:rsid w:val="00890C61"/>
    <w:rsid w:val="00891922"/>
    <w:rsid w:val="00896234"/>
    <w:rsid w:val="00897E43"/>
    <w:rsid w:val="008A2144"/>
    <w:rsid w:val="008A4ADF"/>
    <w:rsid w:val="008B0A68"/>
    <w:rsid w:val="008B0B8D"/>
    <w:rsid w:val="008B1451"/>
    <w:rsid w:val="008B252D"/>
    <w:rsid w:val="008B33A8"/>
    <w:rsid w:val="008B7943"/>
    <w:rsid w:val="008C222B"/>
    <w:rsid w:val="008C26B8"/>
    <w:rsid w:val="008C3251"/>
    <w:rsid w:val="008C5738"/>
    <w:rsid w:val="008C7EAD"/>
    <w:rsid w:val="008D0CFE"/>
    <w:rsid w:val="008D16A7"/>
    <w:rsid w:val="008D3587"/>
    <w:rsid w:val="008D3BA7"/>
    <w:rsid w:val="008D4E76"/>
    <w:rsid w:val="008D6152"/>
    <w:rsid w:val="008E3886"/>
    <w:rsid w:val="008E4FDC"/>
    <w:rsid w:val="008E508D"/>
    <w:rsid w:val="008E65E2"/>
    <w:rsid w:val="008E7BA9"/>
    <w:rsid w:val="008F0F81"/>
    <w:rsid w:val="008F11B7"/>
    <w:rsid w:val="008F27BF"/>
    <w:rsid w:val="008F5A24"/>
    <w:rsid w:val="008F6903"/>
    <w:rsid w:val="008F7F08"/>
    <w:rsid w:val="00901636"/>
    <w:rsid w:val="00902365"/>
    <w:rsid w:val="00902A28"/>
    <w:rsid w:val="0090321E"/>
    <w:rsid w:val="0090568B"/>
    <w:rsid w:val="00905B9C"/>
    <w:rsid w:val="009142EC"/>
    <w:rsid w:val="00914478"/>
    <w:rsid w:val="009154C3"/>
    <w:rsid w:val="00922787"/>
    <w:rsid w:val="009227C0"/>
    <w:rsid w:val="00923540"/>
    <w:rsid w:val="00926767"/>
    <w:rsid w:val="009319FA"/>
    <w:rsid w:val="009361D5"/>
    <w:rsid w:val="00942342"/>
    <w:rsid w:val="0094289D"/>
    <w:rsid w:val="009428A4"/>
    <w:rsid w:val="00944A37"/>
    <w:rsid w:val="00946E4A"/>
    <w:rsid w:val="00952DEC"/>
    <w:rsid w:val="00954046"/>
    <w:rsid w:val="00960C24"/>
    <w:rsid w:val="009659F4"/>
    <w:rsid w:val="00967ECA"/>
    <w:rsid w:val="00970D60"/>
    <w:rsid w:val="0097466D"/>
    <w:rsid w:val="009752C8"/>
    <w:rsid w:val="00975522"/>
    <w:rsid w:val="0098083E"/>
    <w:rsid w:val="00980BD7"/>
    <w:rsid w:val="00983644"/>
    <w:rsid w:val="00985E30"/>
    <w:rsid w:val="00990398"/>
    <w:rsid w:val="00991221"/>
    <w:rsid w:val="0099204D"/>
    <w:rsid w:val="00993049"/>
    <w:rsid w:val="0099390E"/>
    <w:rsid w:val="00993CBC"/>
    <w:rsid w:val="009957FF"/>
    <w:rsid w:val="009960E5"/>
    <w:rsid w:val="00996FB6"/>
    <w:rsid w:val="009975CB"/>
    <w:rsid w:val="009A2D29"/>
    <w:rsid w:val="009A56D3"/>
    <w:rsid w:val="009A62CD"/>
    <w:rsid w:val="009A7213"/>
    <w:rsid w:val="009A7ADC"/>
    <w:rsid w:val="009B0D30"/>
    <w:rsid w:val="009B3FBA"/>
    <w:rsid w:val="009C018B"/>
    <w:rsid w:val="009C19B7"/>
    <w:rsid w:val="009C5ABB"/>
    <w:rsid w:val="009C6A71"/>
    <w:rsid w:val="009C7467"/>
    <w:rsid w:val="009C7EF0"/>
    <w:rsid w:val="009D0249"/>
    <w:rsid w:val="009D244D"/>
    <w:rsid w:val="009D2579"/>
    <w:rsid w:val="009D2E22"/>
    <w:rsid w:val="009D418A"/>
    <w:rsid w:val="009D5032"/>
    <w:rsid w:val="009D584F"/>
    <w:rsid w:val="009D7C51"/>
    <w:rsid w:val="009D7F55"/>
    <w:rsid w:val="009E196C"/>
    <w:rsid w:val="009E4F42"/>
    <w:rsid w:val="009E50A8"/>
    <w:rsid w:val="009E6A0A"/>
    <w:rsid w:val="009E7D8C"/>
    <w:rsid w:val="009F36BF"/>
    <w:rsid w:val="009F4350"/>
    <w:rsid w:val="009F4A8C"/>
    <w:rsid w:val="009F6FCC"/>
    <w:rsid w:val="009F788A"/>
    <w:rsid w:val="009F7F5A"/>
    <w:rsid w:val="00A04507"/>
    <w:rsid w:val="00A04572"/>
    <w:rsid w:val="00A100A2"/>
    <w:rsid w:val="00A111B6"/>
    <w:rsid w:val="00A12098"/>
    <w:rsid w:val="00A1494C"/>
    <w:rsid w:val="00A170BE"/>
    <w:rsid w:val="00A172ED"/>
    <w:rsid w:val="00A205D4"/>
    <w:rsid w:val="00A2629B"/>
    <w:rsid w:val="00A26D27"/>
    <w:rsid w:val="00A27876"/>
    <w:rsid w:val="00A31B42"/>
    <w:rsid w:val="00A353F0"/>
    <w:rsid w:val="00A35754"/>
    <w:rsid w:val="00A36EE6"/>
    <w:rsid w:val="00A376EE"/>
    <w:rsid w:val="00A37C2F"/>
    <w:rsid w:val="00A37F91"/>
    <w:rsid w:val="00A41AD5"/>
    <w:rsid w:val="00A42755"/>
    <w:rsid w:val="00A42A99"/>
    <w:rsid w:val="00A436FC"/>
    <w:rsid w:val="00A449E9"/>
    <w:rsid w:val="00A50C67"/>
    <w:rsid w:val="00A5151A"/>
    <w:rsid w:val="00A5249B"/>
    <w:rsid w:val="00A524D5"/>
    <w:rsid w:val="00A52738"/>
    <w:rsid w:val="00A55EBA"/>
    <w:rsid w:val="00A5619C"/>
    <w:rsid w:val="00A57E0A"/>
    <w:rsid w:val="00A606EC"/>
    <w:rsid w:val="00A63834"/>
    <w:rsid w:val="00A65BAD"/>
    <w:rsid w:val="00A66E5C"/>
    <w:rsid w:val="00A71242"/>
    <w:rsid w:val="00A7133D"/>
    <w:rsid w:val="00A76451"/>
    <w:rsid w:val="00A77E3B"/>
    <w:rsid w:val="00A80532"/>
    <w:rsid w:val="00A823F6"/>
    <w:rsid w:val="00A84466"/>
    <w:rsid w:val="00A84A1D"/>
    <w:rsid w:val="00A85838"/>
    <w:rsid w:val="00A8719E"/>
    <w:rsid w:val="00A914E7"/>
    <w:rsid w:val="00AA0919"/>
    <w:rsid w:val="00AA0A89"/>
    <w:rsid w:val="00AA137C"/>
    <w:rsid w:val="00AA15A3"/>
    <w:rsid w:val="00AA45FB"/>
    <w:rsid w:val="00AA503F"/>
    <w:rsid w:val="00AA522D"/>
    <w:rsid w:val="00AA5368"/>
    <w:rsid w:val="00AA6429"/>
    <w:rsid w:val="00AB2E98"/>
    <w:rsid w:val="00AB36D3"/>
    <w:rsid w:val="00AB645E"/>
    <w:rsid w:val="00AB780B"/>
    <w:rsid w:val="00AC01AA"/>
    <w:rsid w:val="00AC1DBE"/>
    <w:rsid w:val="00AC4F72"/>
    <w:rsid w:val="00AC6001"/>
    <w:rsid w:val="00AC6B72"/>
    <w:rsid w:val="00AD1334"/>
    <w:rsid w:val="00AD1663"/>
    <w:rsid w:val="00AD3E07"/>
    <w:rsid w:val="00AD4CDC"/>
    <w:rsid w:val="00AD791D"/>
    <w:rsid w:val="00AE2A7D"/>
    <w:rsid w:val="00AE2C23"/>
    <w:rsid w:val="00AE5D0E"/>
    <w:rsid w:val="00AE7B3F"/>
    <w:rsid w:val="00AF4205"/>
    <w:rsid w:val="00AF4351"/>
    <w:rsid w:val="00AF741A"/>
    <w:rsid w:val="00AF7655"/>
    <w:rsid w:val="00B003B1"/>
    <w:rsid w:val="00B00C8B"/>
    <w:rsid w:val="00B01ADB"/>
    <w:rsid w:val="00B02537"/>
    <w:rsid w:val="00B04161"/>
    <w:rsid w:val="00B056F9"/>
    <w:rsid w:val="00B05FA1"/>
    <w:rsid w:val="00B06C53"/>
    <w:rsid w:val="00B06D26"/>
    <w:rsid w:val="00B10333"/>
    <w:rsid w:val="00B11E3D"/>
    <w:rsid w:val="00B12893"/>
    <w:rsid w:val="00B14B0B"/>
    <w:rsid w:val="00B14D2C"/>
    <w:rsid w:val="00B15983"/>
    <w:rsid w:val="00B15DFD"/>
    <w:rsid w:val="00B1653E"/>
    <w:rsid w:val="00B17E82"/>
    <w:rsid w:val="00B2111A"/>
    <w:rsid w:val="00B22D19"/>
    <w:rsid w:val="00B23368"/>
    <w:rsid w:val="00B24BC6"/>
    <w:rsid w:val="00B24DC9"/>
    <w:rsid w:val="00B257D7"/>
    <w:rsid w:val="00B25D38"/>
    <w:rsid w:val="00B30A51"/>
    <w:rsid w:val="00B30CF7"/>
    <w:rsid w:val="00B3264D"/>
    <w:rsid w:val="00B378B6"/>
    <w:rsid w:val="00B4374B"/>
    <w:rsid w:val="00B439DA"/>
    <w:rsid w:val="00B440EA"/>
    <w:rsid w:val="00B44A8C"/>
    <w:rsid w:val="00B4575A"/>
    <w:rsid w:val="00B522CF"/>
    <w:rsid w:val="00B544F8"/>
    <w:rsid w:val="00B575BA"/>
    <w:rsid w:val="00B578D6"/>
    <w:rsid w:val="00B61D4C"/>
    <w:rsid w:val="00B62F96"/>
    <w:rsid w:val="00B63261"/>
    <w:rsid w:val="00B63EE8"/>
    <w:rsid w:val="00B66D0F"/>
    <w:rsid w:val="00B6722E"/>
    <w:rsid w:val="00B714BF"/>
    <w:rsid w:val="00B71608"/>
    <w:rsid w:val="00B724F6"/>
    <w:rsid w:val="00B752CD"/>
    <w:rsid w:val="00B76429"/>
    <w:rsid w:val="00B823D2"/>
    <w:rsid w:val="00B82E16"/>
    <w:rsid w:val="00B852DE"/>
    <w:rsid w:val="00B86471"/>
    <w:rsid w:val="00B90D36"/>
    <w:rsid w:val="00B9210C"/>
    <w:rsid w:val="00B956D4"/>
    <w:rsid w:val="00B97446"/>
    <w:rsid w:val="00BA139A"/>
    <w:rsid w:val="00BA3945"/>
    <w:rsid w:val="00BA7432"/>
    <w:rsid w:val="00BB096F"/>
    <w:rsid w:val="00BB1D3F"/>
    <w:rsid w:val="00BB208A"/>
    <w:rsid w:val="00BB2764"/>
    <w:rsid w:val="00BB3A57"/>
    <w:rsid w:val="00BB3F9D"/>
    <w:rsid w:val="00BB4206"/>
    <w:rsid w:val="00BC1AA0"/>
    <w:rsid w:val="00BC2495"/>
    <w:rsid w:val="00BC2989"/>
    <w:rsid w:val="00BC2E65"/>
    <w:rsid w:val="00BC314A"/>
    <w:rsid w:val="00BC4E13"/>
    <w:rsid w:val="00BC7425"/>
    <w:rsid w:val="00BC7972"/>
    <w:rsid w:val="00BC7EB9"/>
    <w:rsid w:val="00BD22C8"/>
    <w:rsid w:val="00BD23CC"/>
    <w:rsid w:val="00BD2643"/>
    <w:rsid w:val="00BD40A0"/>
    <w:rsid w:val="00BD5668"/>
    <w:rsid w:val="00BD56B1"/>
    <w:rsid w:val="00BD6558"/>
    <w:rsid w:val="00BD6D57"/>
    <w:rsid w:val="00BD79DA"/>
    <w:rsid w:val="00BE0E08"/>
    <w:rsid w:val="00BE7C12"/>
    <w:rsid w:val="00BF0033"/>
    <w:rsid w:val="00BF2AD7"/>
    <w:rsid w:val="00BF2C86"/>
    <w:rsid w:val="00BF2F76"/>
    <w:rsid w:val="00BF3022"/>
    <w:rsid w:val="00BF3214"/>
    <w:rsid w:val="00BF385B"/>
    <w:rsid w:val="00BF4B9D"/>
    <w:rsid w:val="00BF5573"/>
    <w:rsid w:val="00C001EF"/>
    <w:rsid w:val="00C00370"/>
    <w:rsid w:val="00C00FC1"/>
    <w:rsid w:val="00C05952"/>
    <w:rsid w:val="00C118DE"/>
    <w:rsid w:val="00C132D2"/>
    <w:rsid w:val="00C13CFE"/>
    <w:rsid w:val="00C1454C"/>
    <w:rsid w:val="00C153CB"/>
    <w:rsid w:val="00C15867"/>
    <w:rsid w:val="00C16AAF"/>
    <w:rsid w:val="00C16FC7"/>
    <w:rsid w:val="00C17163"/>
    <w:rsid w:val="00C20304"/>
    <w:rsid w:val="00C2296D"/>
    <w:rsid w:val="00C23155"/>
    <w:rsid w:val="00C238CF"/>
    <w:rsid w:val="00C26128"/>
    <w:rsid w:val="00C270F0"/>
    <w:rsid w:val="00C27A44"/>
    <w:rsid w:val="00C34B14"/>
    <w:rsid w:val="00C401EA"/>
    <w:rsid w:val="00C40C41"/>
    <w:rsid w:val="00C42B07"/>
    <w:rsid w:val="00C42B88"/>
    <w:rsid w:val="00C43544"/>
    <w:rsid w:val="00C455D2"/>
    <w:rsid w:val="00C45885"/>
    <w:rsid w:val="00C50D8B"/>
    <w:rsid w:val="00C50F22"/>
    <w:rsid w:val="00C50FD5"/>
    <w:rsid w:val="00C51DF1"/>
    <w:rsid w:val="00C57971"/>
    <w:rsid w:val="00C61C71"/>
    <w:rsid w:val="00C63B9D"/>
    <w:rsid w:val="00C65BD7"/>
    <w:rsid w:val="00C73242"/>
    <w:rsid w:val="00C745C5"/>
    <w:rsid w:val="00C757C8"/>
    <w:rsid w:val="00C76815"/>
    <w:rsid w:val="00C76BA4"/>
    <w:rsid w:val="00C832C0"/>
    <w:rsid w:val="00C838D3"/>
    <w:rsid w:val="00C83A48"/>
    <w:rsid w:val="00C857E4"/>
    <w:rsid w:val="00C85865"/>
    <w:rsid w:val="00C85E85"/>
    <w:rsid w:val="00C85EE1"/>
    <w:rsid w:val="00C87E5A"/>
    <w:rsid w:val="00C87F79"/>
    <w:rsid w:val="00C96E6D"/>
    <w:rsid w:val="00C974B6"/>
    <w:rsid w:val="00CA0C9D"/>
    <w:rsid w:val="00CA27FF"/>
    <w:rsid w:val="00CA2EAE"/>
    <w:rsid w:val="00CA4AC1"/>
    <w:rsid w:val="00CA5098"/>
    <w:rsid w:val="00CA59FB"/>
    <w:rsid w:val="00CA7FA1"/>
    <w:rsid w:val="00CB0316"/>
    <w:rsid w:val="00CB050B"/>
    <w:rsid w:val="00CB0B11"/>
    <w:rsid w:val="00CB353E"/>
    <w:rsid w:val="00CB426A"/>
    <w:rsid w:val="00CB5354"/>
    <w:rsid w:val="00CC0FAC"/>
    <w:rsid w:val="00CC12A7"/>
    <w:rsid w:val="00CC14E8"/>
    <w:rsid w:val="00CC2D4C"/>
    <w:rsid w:val="00CC3B1E"/>
    <w:rsid w:val="00CC3C9E"/>
    <w:rsid w:val="00CC6A14"/>
    <w:rsid w:val="00CC70A3"/>
    <w:rsid w:val="00CD1320"/>
    <w:rsid w:val="00CD2752"/>
    <w:rsid w:val="00CD4442"/>
    <w:rsid w:val="00CD53C3"/>
    <w:rsid w:val="00CD574E"/>
    <w:rsid w:val="00CD71A1"/>
    <w:rsid w:val="00CE12D0"/>
    <w:rsid w:val="00CE1444"/>
    <w:rsid w:val="00CE2457"/>
    <w:rsid w:val="00CE298E"/>
    <w:rsid w:val="00CE4C22"/>
    <w:rsid w:val="00CE5EF2"/>
    <w:rsid w:val="00CE6FC6"/>
    <w:rsid w:val="00CE76E5"/>
    <w:rsid w:val="00CF41EC"/>
    <w:rsid w:val="00CF4587"/>
    <w:rsid w:val="00CF5D04"/>
    <w:rsid w:val="00CF74F0"/>
    <w:rsid w:val="00D00F87"/>
    <w:rsid w:val="00D037EB"/>
    <w:rsid w:val="00D04DE4"/>
    <w:rsid w:val="00D063F1"/>
    <w:rsid w:val="00D07F25"/>
    <w:rsid w:val="00D11A0E"/>
    <w:rsid w:val="00D13123"/>
    <w:rsid w:val="00D1313D"/>
    <w:rsid w:val="00D14F22"/>
    <w:rsid w:val="00D15A6F"/>
    <w:rsid w:val="00D16424"/>
    <w:rsid w:val="00D25FBE"/>
    <w:rsid w:val="00D26230"/>
    <w:rsid w:val="00D3604C"/>
    <w:rsid w:val="00D4102B"/>
    <w:rsid w:val="00D41857"/>
    <w:rsid w:val="00D4741C"/>
    <w:rsid w:val="00D541ED"/>
    <w:rsid w:val="00D5479F"/>
    <w:rsid w:val="00D54F12"/>
    <w:rsid w:val="00D5573A"/>
    <w:rsid w:val="00D560DD"/>
    <w:rsid w:val="00D5723E"/>
    <w:rsid w:val="00D57918"/>
    <w:rsid w:val="00D60597"/>
    <w:rsid w:val="00D63A2F"/>
    <w:rsid w:val="00D648C5"/>
    <w:rsid w:val="00D668A3"/>
    <w:rsid w:val="00D701CD"/>
    <w:rsid w:val="00D715C8"/>
    <w:rsid w:val="00D71BC3"/>
    <w:rsid w:val="00D72FC5"/>
    <w:rsid w:val="00D73DC6"/>
    <w:rsid w:val="00D74C1A"/>
    <w:rsid w:val="00D74DD6"/>
    <w:rsid w:val="00D754C1"/>
    <w:rsid w:val="00D77393"/>
    <w:rsid w:val="00D77A35"/>
    <w:rsid w:val="00D77E51"/>
    <w:rsid w:val="00D8001A"/>
    <w:rsid w:val="00D8093C"/>
    <w:rsid w:val="00D80DAB"/>
    <w:rsid w:val="00D81B3E"/>
    <w:rsid w:val="00D837A4"/>
    <w:rsid w:val="00D8505B"/>
    <w:rsid w:val="00D8643F"/>
    <w:rsid w:val="00D865BF"/>
    <w:rsid w:val="00D90C70"/>
    <w:rsid w:val="00D90E49"/>
    <w:rsid w:val="00D90E56"/>
    <w:rsid w:val="00D91291"/>
    <w:rsid w:val="00D91C50"/>
    <w:rsid w:val="00D96ADE"/>
    <w:rsid w:val="00DA0CE2"/>
    <w:rsid w:val="00DA1C37"/>
    <w:rsid w:val="00DA2387"/>
    <w:rsid w:val="00DA36E6"/>
    <w:rsid w:val="00DB12FD"/>
    <w:rsid w:val="00DB1520"/>
    <w:rsid w:val="00DB48D1"/>
    <w:rsid w:val="00DB5D83"/>
    <w:rsid w:val="00DB62E1"/>
    <w:rsid w:val="00DC1FB3"/>
    <w:rsid w:val="00DC2241"/>
    <w:rsid w:val="00DC6214"/>
    <w:rsid w:val="00DC6A10"/>
    <w:rsid w:val="00DC7875"/>
    <w:rsid w:val="00DD1E14"/>
    <w:rsid w:val="00DD2411"/>
    <w:rsid w:val="00DD6878"/>
    <w:rsid w:val="00DE1922"/>
    <w:rsid w:val="00DE221C"/>
    <w:rsid w:val="00DE59E0"/>
    <w:rsid w:val="00DE657E"/>
    <w:rsid w:val="00DE660B"/>
    <w:rsid w:val="00DE68B7"/>
    <w:rsid w:val="00DF4704"/>
    <w:rsid w:val="00DF5D2A"/>
    <w:rsid w:val="00E00EBC"/>
    <w:rsid w:val="00E024AA"/>
    <w:rsid w:val="00E10927"/>
    <w:rsid w:val="00E140AD"/>
    <w:rsid w:val="00E15C77"/>
    <w:rsid w:val="00E250F1"/>
    <w:rsid w:val="00E311B9"/>
    <w:rsid w:val="00E34266"/>
    <w:rsid w:val="00E342CB"/>
    <w:rsid w:val="00E34FC7"/>
    <w:rsid w:val="00E3550D"/>
    <w:rsid w:val="00E44098"/>
    <w:rsid w:val="00E4610D"/>
    <w:rsid w:val="00E51308"/>
    <w:rsid w:val="00E520B1"/>
    <w:rsid w:val="00E52838"/>
    <w:rsid w:val="00E54848"/>
    <w:rsid w:val="00E54861"/>
    <w:rsid w:val="00E56F1A"/>
    <w:rsid w:val="00E572DD"/>
    <w:rsid w:val="00E60BFB"/>
    <w:rsid w:val="00E614E0"/>
    <w:rsid w:val="00E63271"/>
    <w:rsid w:val="00E63E4D"/>
    <w:rsid w:val="00E66E14"/>
    <w:rsid w:val="00E6720E"/>
    <w:rsid w:val="00E6799E"/>
    <w:rsid w:val="00E7071B"/>
    <w:rsid w:val="00E70C11"/>
    <w:rsid w:val="00E73C56"/>
    <w:rsid w:val="00E73F7F"/>
    <w:rsid w:val="00E753E8"/>
    <w:rsid w:val="00E80325"/>
    <w:rsid w:val="00E80836"/>
    <w:rsid w:val="00E80B28"/>
    <w:rsid w:val="00E82294"/>
    <w:rsid w:val="00E8360A"/>
    <w:rsid w:val="00E85409"/>
    <w:rsid w:val="00E93ADB"/>
    <w:rsid w:val="00E94DB8"/>
    <w:rsid w:val="00E97BE8"/>
    <w:rsid w:val="00EA1CAD"/>
    <w:rsid w:val="00EA3F87"/>
    <w:rsid w:val="00EA429F"/>
    <w:rsid w:val="00EA4F9E"/>
    <w:rsid w:val="00EA5239"/>
    <w:rsid w:val="00EA63CA"/>
    <w:rsid w:val="00EA6D3B"/>
    <w:rsid w:val="00EB00AD"/>
    <w:rsid w:val="00EB136C"/>
    <w:rsid w:val="00EB480E"/>
    <w:rsid w:val="00EB5443"/>
    <w:rsid w:val="00EB5EC6"/>
    <w:rsid w:val="00EB5FF9"/>
    <w:rsid w:val="00EB708C"/>
    <w:rsid w:val="00EB7F73"/>
    <w:rsid w:val="00EB7FC9"/>
    <w:rsid w:val="00ED006F"/>
    <w:rsid w:val="00ED27E8"/>
    <w:rsid w:val="00ED3EF8"/>
    <w:rsid w:val="00ED6D90"/>
    <w:rsid w:val="00ED7137"/>
    <w:rsid w:val="00ED7144"/>
    <w:rsid w:val="00ED71C0"/>
    <w:rsid w:val="00ED721A"/>
    <w:rsid w:val="00ED7805"/>
    <w:rsid w:val="00EE0ACB"/>
    <w:rsid w:val="00EE57F4"/>
    <w:rsid w:val="00EE719A"/>
    <w:rsid w:val="00EE7F5E"/>
    <w:rsid w:val="00EF06EA"/>
    <w:rsid w:val="00EF4D05"/>
    <w:rsid w:val="00F03628"/>
    <w:rsid w:val="00F054DD"/>
    <w:rsid w:val="00F073D9"/>
    <w:rsid w:val="00F10E01"/>
    <w:rsid w:val="00F17BA9"/>
    <w:rsid w:val="00F20059"/>
    <w:rsid w:val="00F20B82"/>
    <w:rsid w:val="00F21088"/>
    <w:rsid w:val="00F21504"/>
    <w:rsid w:val="00F241E9"/>
    <w:rsid w:val="00F24AEE"/>
    <w:rsid w:val="00F25697"/>
    <w:rsid w:val="00F2569B"/>
    <w:rsid w:val="00F279B2"/>
    <w:rsid w:val="00F31A13"/>
    <w:rsid w:val="00F327E7"/>
    <w:rsid w:val="00F35647"/>
    <w:rsid w:val="00F35746"/>
    <w:rsid w:val="00F36F4A"/>
    <w:rsid w:val="00F43477"/>
    <w:rsid w:val="00F43A8A"/>
    <w:rsid w:val="00F447C7"/>
    <w:rsid w:val="00F4524B"/>
    <w:rsid w:val="00F459B4"/>
    <w:rsid w:val="00F472E7"/>
    <w:rsid w:val="00F47AB6"/>
    <w:rsid w:val="00F5211B"/>
    <w:rsid w:val="00F554A9"/>
    <w:rsid w:val="00F565E0"/>
    <w:rsid w:val="00F61F20"/>
    <w:rsid w:val="00F65539"/>
    <w:rsid w:val="00F65932"/>
    <w:rsid w:val="00F716FD"/>
    <w:rsid w:val="00F721DF"/>
    <w:rsid w:val="00F739D0"/>
    <w:rsid w:val="00F75055"/>
    <w:rsid w:val="00F76194"/>
    <w:rsid w:val="00F76C30"/>
    <w:rsid w:val="00F80355"/>
    <w:rsid w:val="00F87C40"/>
    <w:rsid w:val="00F87C43"/>
    <w:rsid w:val="00F929BC"/>
    <w:rsid w:val="00FA00EE"/>
    <w:rsid w:val="00FA27E4"/>
    <w:rsid w:val="00FA3626"/>
    <w:rsid w:val="00FA3836"/>
    <w:rsid w:val="00FA540C"/>
    <w:rsid w:val="00FA5722"/>
    <w:rsid w:val="00FB0C81"/>
    <w:rsid w:val="00FB1B49"/>
    <w:rsid w:val="00FB3F2B"/>
    <w:rsid w:val="00FB4AF5"/>
    <w:rsid w:val="00FB68A7"/>
    <w:rsid w:val="00FC2200"/>
    <w:rsid w:val="00FC2540"/>
    <w:rsid w:val="00FC5DBE"/>
    <w:rsid w:val="00FC6AC2"/>
    <w:rsid w:val="00FC7272"/>
    <w:rsid w:val="00FD516D"/>
    <w:rsid w:val="00FD6409"/>
    <w:rsid w:val="00FD6693"/>
    <w:rsid w:val="00FE10BB"/>
    <w:rsid w:val="00FE3CD0"/>
    <w:rsid w:val="00FF0204"/>
    <w:rsid w:val="00FF08C3"/>
    <w:rsid w:val="00FF098D"/>
    <w:rsid w:val="00FF0A3E"/>
    <w:rsid w:val="00FF0E64"/>
    <w:rsid w:val="00FF3AED"/>
    <w:rsid w:val="00FF48CE"/>
    <w:rsid w:val="00FF560B"/>
    <w:rsid w:val="00FF5722"/>
    <w:rsid w:val="00FF6E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AA1B1952-CE89-4348-86BD-32088F3D0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ind w:left="108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Resume Title,Citation List,Ha,Graphic,Lettre d'introduction,Body"/>
    <w:basedOn w:val="Normal"/>
    <w:link w:val="ListParagraphChar"/>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link w:val="NormalWebChar"/>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paragraph" w:customStyle="1" w:styleId="paragraph">
    <w:name w:val="paragraph"/>
    <w:basedOn w:val="Normal"/>
    <w:rsid w:val="007416FD"/>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rsid w:val="007416FD"/>
  </w:style>
  <w:style w:type="character" w:customStyle="1" w:styleId="eop">
    <w:name w:val="eop"/>
    <w:basedOn w:val="DefaultParagraphFont"/>
    <w:rsid w:val="007416FD"/>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B257D7"/>
    <w:rPr>
      <w:sz w:val="22"/>
      <w:szCs w:val="22"/>
      <w:lang w:val="en-GB"/>
    </w:rPr>
  </w:style>
  <w:style w:type="character" w:customStyle="1" w:styleId="NormalWebChar">
    <w:name w:val="Normal (Web) Char"/>
    <w:link w:val="NormalWeb"/>
    <w:rsid w:val="00A52738"/>
    <w:rPr>
      <w:sz w:val="24"/>
      <w:szCs w:val="24"/>
      <w:lang w:val="en-CA" w:eastAsia="en-CA"/>
    </w:rPr>
  </w:style>
  <w:style w:type="character" w:customStyle="1" w:styleId="cf01">
    <w:name w:val="cf01"/>
    <w:basedOn w:val="DefaultParagraphFont"/>
    <w:rsid w:val="0043487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6492">
      <w:bodyDiv w:val="1"/>
      <w:marLeft w:val="0"/>
      <w:marRight w:val="0"/>
      <w:marTop w:val="0"/>
      <w:marBottom w:val="0"/>
      <w:divBdr>
        <w:top w:val="none" w:sz="0" w:space="0" w:color="auto"/>
        <w:left w:val="none" w:sz="0" w:space="0" w:color="auto"/>
        <w:bottom w:val="none" w:sz="0" w:space="0" w:color="auto"/>
        <w:right w:val="none" w:sz="0" w:space="0" w:color="auto"/>
      </w:divBdr>
    </w:div>
    <w:div w:id="14143250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7529965">
      <w:bodyDiv w:val="1"/>
      <w:marLeft w:val="0"/>
      <w:marRight w:val="0"/>
      <w:marTop w:val="0"/>
      <w:marBottom w:val="0"/>
      <w:divBdr>
        <w:top w:val="none" w:sz="0" w:space="0" w:color="auto"/>
        <w:left w:val="none" w:sz="0" w:space="0" w:color="auto"/>
        <w:bottom w:val="none" w:sz="0" w:space="0" w:color="auto"/>
        <w:right w:val="none" w:sz="0" w:space="0" w:color="auto"/>
      </w:divBdr>
    </w:div>
    <w:div w:id="666247954">
      <w:bodyDiv w:val="1"/>
      <w:marLeft w:val="0"/>
      <w:marRight w:val="0"/>
      <w:marTop w:val="0"/>
      <w:marBottom w:val="0"/>
      <w:divBdr>
        <w:top w:val="none" w:sz="0" w:space="0" w:color="auto"/>
        <w:left w:val="none" w:sz="0" w:space="0" w:color="auto"/>
        <w:bottom w:val="none" w:sz="0" w:space="0" w:color="auto"/>
        <w:right w:val="none" w:sz="0" w:space="0" w:color="auto"/>
      </w:divBdr>
      <w:divsChild>
        <w:div w:id="18749804">
          <w:marLeft w:val="0"/>
          <w:marRight w:val="0"/>
          <w:marTop w:val="0"/>
          <w:marBottom w:val="0"/>
          <w:divBdr>
            <w:top w:val="none" w:sz="0" w:space="0" w:color="auto"/>
            <w:left w:val="none" w:sz="0" w:space="0" w:color="auto"/>
            <w:bottom w:val="none" w:sz="0" w:space="0" w:color="auto"/>
            <w:right w:val="none" w:sz="0" w:space="0" w:color="auto"/>
          </w:divBdr>
          <w:divsChild>
            <w:div w:id="568732271">
              <w:marLeft w:val="0"/>
              <w:marRight w:val="0"/>
              <w:marTop w:val="0"/>
              <w:marBottom w:val="0"/>
              <w:divBdr>
                <w:top w:val="none" w:sz="0" w:space="0" w:color="auto"/>
                <w:left w:val="none" w:sz="0" w:space="0" w:color="auto"/>
                <w:bottom w:val="none" w:sz="0" w:space="0" w:color="auto"/>
                <w:right w:val="none" w:sz="0" w:space="0" w:color="auto"/>
              </w:divBdr>
            </w:div>
          </w:divsChild>
        </w:div>
        <w:div w:id="26563583">
          <w:marLeft w:val="0"/>
          <w:marRight w:val="0"/>
          <w:marTop w:val="0"/>
          <w:marBottom w:val="0"/>
          <w:divBdr>
            <w:top w:val="none" w:sz="0" w:space="0" w:color="auto"/>
            <w:left w:val="none" w:sz="0" w:space="0" w:color="auto"/>
            <w:bottom w:val="none" w:sz="0" w:space="0" w:color="auto"/>
            <w:right w:val="none" w:sz="0" w:space="0" w:color="auto"/>
          </w:divBdr>
          <w:divsChild>
            <w:div w:id="1452432824">
              <w:marLeft w:val="0"/>
              <w:marRight w:val="0"/>
              <w:marTop w:val="0"/>
              <w:marBottom w:val="0"/>
              <w:divBdr>
                <w:top w:val="none" w:sz="0" w:space="0" w:color="auto"/>
                <w:left w:val="none" w:sz="0" w:space="0" w:color="auto"/>
                <w:bottom w:val="none" w:sz="0" w:space="0" w:color="auto"/>
                <w:right w:val="none" w:sz="0" w:space="0" w:color="auto"/>
              </w:divBdr>
            </w:div>
          </w:divsChild>
        </w:div>
        <w:div w:id="35738816">
          <w:marLeft w:val="0"/>
          <w:marRight w:val="0"/>
          <w:marTop w:val="0"/>
          <w:marBottom w:val="0"/>
          <w:divBdr>
            <w:top w:val="none" w:sz="0" w:space="0" w:color="auto"/>
            <w:left w:val="none" w:sz="0" w:space="0" w:color="auto"/>
            <w:bottom w:val="none" w:sz="0" w:space="0" w:color="auto"/>
            <w:right w:val="none" w:sz="0" w:space="0" w:color="auto"/>
          </w:divBdr>
          <w:divsChild>
            <w:div w:id="1797218618">
              <w:marLeft w:val="0"/>
              <w:marRight w:val="0"/>
              <w:marTop w:val="0"/>
              <w:marBottom w:val="0"/>
              <w:divBdr>
                <w:top w:val="none" w:sz="0" w:space="0" w:color="auto"/>
                <w:left w:val="none" w:sz="0" w:space="0" w:color="auto"/>
                <w:bottom w:val="none" w:sz="0" w:space="0" w:color="auto"/>
                <w:right w:val="none" w:sz="0" w:space="0" w:color="auto"/>
              </w:divBdr>
            </w:div>
          </w:divsChild>
        </w:div>
        <w:div w:id="54396124">
          <w:marLeft w:val="0"/>
          <w:marRight w:val="0"/>
          <w:marTop w:val="0"/>
          <w:marBottom w:val="0"/>
          <w:divBdr>
            <w:top w:val="none" w:sz="0" w:space="0" w:color="auto"/>
            <w:left w:val="none" w:sz="0" w:space="0" w:color="auto"/>
            <w:bottom w:val="none" w:sz="0" w:space="0" w:color="auto"/>
            <w:right w:val="none" w:sz="0" w:space="0" w:color="auto"/>
          </w:divBdr>
          <w:divsChild>
            <w:div w:id="312831674">
              <w:marLeft w:val="0"/>
              <w:marRight w:val="0"/>
              <w:marTop w:val="0"/>
              <w:marBottom w:val="0"/>
              <w:divBdr>
                <w:top w:val="none" w:sz="0" w:space="0" w:color="auto"/>
                <w:left w:val="none" w:sz="0" w:space="0" w:color="auto"/>
                <w:bottom w:val="none" w:sz="0" w:space="0" w:color="auto"/>
                <w:right w:val="none" w:sz="0" w:space="0" w:color="auto"/>
              </w:divBdr>
            </w:div>
          </w:divsChild>
        </w:div>
        <w:div w:id="56827014">
          <w:marLeft w:val="0"/>
          <w:marRight w:val="0"/>
          <w:marTop w:val="0"/>
          <w:marBottom w:val="0"/>
          <w:divBdr>
            <w:top w:val="none" w:sz="0" w:space="0" w:color="auto"/>
            <w:left w:val="none" w:sz="0" w:space="0" w:color="auto"/>
            <w:bottom w:val="none" w:sz="0" w:space="0" w:color="auto"/>
            <w:right w:val="none" w:sz="0" w:space="0" w:color="auto"/>
          </w:divBdr>
          <w:divsChild>
            <w:div w:id="2021346589">
              <w:marLeft w:val="0"/>
              <w:marRight w:val="0"/>
              <w:marTop w:val="0"/>
              <w:marBottom w:val="0"/>
              <w:divBdr>
                <w:top w:val="none" w:sz="0" w:space="0" w:color="auto"/>
                <w:left w:val="none" w:sz="0" w:space="0" w:color="auto"/>
                <w:bottom w:val="none" w:sz="0" w:space="0" w:color="auto"/>
                <w:right w:val="none" w:sz="0" w:space="0" w:color="auto"/>
              </w:divBdr>
            </w:div>
          </w:divsChild>
        </w:div>
        <w:div w:id="65273940">
          <w:marLeft w:val="0"/>
          <w:marRight w:val="0"/>
          <w:marTop w:val="0"/>
          <w:marBottom w:val="0"/>
          <w:divBdr>
            <w:top w:val="none" w:sz="0" w:space="0" w:color="auto"/>
            <w:left w:val="none" w:sz="0" w:space="0" w:color="auto"/>
            <w:bottom w:val="none" w:sz="0" w:space="0" w:color="auto"/>
            <w:right w:val="none" w:sz="0" w:space="0" w:color="auto"/>
          </w:divBdr>
          <w:divsChild>
            <w:div w:id="1704212220">
              <w:marLeft w:val="0"/>
              <w:marRight w:val="0"/>
              <w:marTop w:val="0"/>
              <w:marBottom w:val="0"/>
              <w:divBdr>
                <w:top w:val="none" w:sz="0" w:space="0" w:color="auto"/>
                <w:left w:val="none" w:sz="0" w:space="0" w:color="auto"/>
                <w:bottom w:val="none" w:sz="0" w:space="0" w:color="auto"/>
                <w:right w:val="none" w:sz="0" w:space="0" w:color="auto"/>
              </w:divBdr>
            </w:div>
          </w:divsChild>
        </w:div>
        <w:div w:id="70154199">
          <w:marLeft w:val="0"/>
          <w:marRight w:val="0"/>
          <w:marTop w:val="0"/>
          <w:marBottom w:val="0"/>
          <w:divBdr>
            <w:top w:val="none" w:sz="0" w:space="0" w:color="auto"/>
            <w:left w:val="none" w:sz="0" w:space="0" w:color="auto"/>
            <w:bottom w:val="none" w:sz="0" w:space="0" w:color="auto"/>
            <w:right w:val="none" w:sz="0" w:space="0" w:color="auto"/>
          </w:divBdr>
          <w:divsChild>
            <w:div w:id="1025054071">
              <w:marLeft w:val="0"/>
              <w:marRight w:val="0"/>
              <w:marTop w:val="0"/>
              <w:marBottom w:val="0"/>
              <w:divBdr>
                <w:top w:val="none" w:sz="0" w:space="0" w:color="auto"/>
                <w:left w:val="none" w:sz="0" w:space="0" w:color="auto"/>
                <w:bottom w:val="none" w:sz="0" w:space="0" w:color="auto"/>
                <w:right w:val="none" w:sz="0" w:space="0" w:color="auto"/>
              </w:divBdr>
            </w:div>
          </w:divsChild>
        </w:div>
        <w:div w:id="72899608">
          <w:marLeft w:val="0"/>
          <w:marRight w:val="0"/>
          <w:marTop w:val="0"/>
          <w:marBottom w:val="0"/>
          <w:divBdr>
            <w:top w:val="none" w:sz="0" w:space="0" w:color="auto"/>
            <w:left w:val="none" w:sz="0" w:space="0" w:color="auto"/>
            <w:bottom w:val="none" w:sz="0" w:space="0" w:color="auto"/>
            <w:right w:val="none" w:sz="0" w:space="0" w:color="auto"/>
          </w:divBdr>
          <w:divsChild>
            <w:div w:id="72893134">
              <w:marLeft w:val="0"/>
              <w:marRight w:val="0"/>
              <w:marTop w:val="0"/>
              <w:marBottom w:val="0"/>
              <w:divBdr>
                <w:top w:val="none" w:sz="0" w:space="0" w:color="auto"/>
                <w:left w:val="none" w:sz="0" w:space="0" w:color="auto"/>
                <w:bottom w:val="none" w:sz="0" w:space="0" w:color="auto"/>
                <w:right w:val="none" w:sz="0" w:space="0" w:color="auto"/>
              </w:divBdr>
            </w:div>
          </w:divsChild>
        </w:div>
        <w:div w:id="77291616">
          <w:marLeft w:val="0"/>
          <w:marRight w:val="0"/>
          <w:marTop w:val="0"/>
          <w:marBottom w:val="0"/>
          <w:divBdr>
            <w:top w:val="none" w:sz="0" w:space="0" w:color="auto"/>
            <w:left w:val="none" w:sz="0" w:space="0" w:color="auto"/>
            <w:bottom w:val="none" w:sz="0" w:space="0" w:color="auto"/>
            <w:right w:val="none" w:sz="0" w:space="0" w:color="auto"/>
          </w:divBdr>
          <w:divsChild>
            <w:div w:id="200942014">
              <w:marLeft w:val="0"/>
              <w:marRight w:val="0"/>
              <w:marTop w:val="0"/>
              <w:marBottom w:val="0"/>
              <w:divBdr>
                <w:top w:val="none" w:sz="0" w:space="0" w:color="auto"/>
                <w:left w:val="none" w:sz="0" w:space="0" w:color="auto"/>
                <w:bottom w:val="none" w:sz="0" w:space="0" w:color="auto"/>
                <w:right w:val="none" w:sz="0" w:space="0" w:color="auto"/>
              </w:divBdr>
            </w:div>
          </w:divsChild>
        </w:div>
        <w:div w:id="87846747">
          <w:marLeft w:val="0"/>
          <w:marRight w:val="0"/>
          <w:marTop w:val="0"/>
          <w:marBottom w:val="0"/>
          <w:divBdr>
            <w:top w:val="none" w:sz="0" w:space="0" w:color="auto"/>
            <w:left w:val="none" w:sz="0" w:space="0" w:color="auto"/>
            <w:bottom w:val="none" w:sz="0" w:space="0" w:color="auto"/>
            <w:right w:val="none" w:sz="0" w:space="0" w:color="auto"/>
          </w:divBdr>
          <w:divsChild>
            <w:div w:id="361319036">
              <w:marLeft w:val="0"/>
              <w:marRight w:val="0"/>
              <w:marTop w:val="0"/>
              <w:marBottom w:val="0"/>
              <w:divBdr>
                <w:top w:val="none" w:sz="0" w:space="0" w:color="auto"/>
                <w:left w:val="none" w:sz="0" w:space="0" w:color="auto"/>
                <w:bottom w:val="none" w:sz="0" w:space="0" w:color="auto"/>
                <w:right w:val="none" w:sz="0" w:space="0" w:color="auto"/>
              </w:divBdr>
            </w:div>
          </w:divsChild>
        </w:div>
        <w:div w:id="88238258">
          <w:marLeft w:val="0"/>
          <w:marRight w:val="0"/>
          <w:marTop w:val="0"/>
          <w:marBottom w:val="0"/>
          <w:divBdr>
            <w:top w:val="none" w:sz="0" w:space="0" w:color="auto"/>
            <w:left w:val="none" w:sz="0" w:space="0" w:color="auto"/>
            <w:bottom w:val="none" w:sz="0" w:space="0" w:color="auto"/>
            <w:right w:val="none" w:sz="0" w:space="0" w:color="auto"/>
          </w:divBdr>
          <w:divsChild>
            <w:div w:id="1722051725">
              <w:marLeft w:val="0"/>
              <w:marRight w:val="0"/>
              <w:marTop w:val="0"/>
              <w:marBottom w:val="0"/>
              <w:divBdr>
                <w:top w:val="none" w:sz="0" w:space="0" w:color="auto"/>
                <w:left w:val="none" w:sz="0" w:space="0" w:color="auto"/>
                <w:bottom w:val="none" w:sz="0" w:space="0" w:color="auto"/>
                <w:right w:val="none" w:sz="0" w:space="0" w:color="auto"/>
              </w:divBdr>
            </w:div>
          </w:divsChild>
        </w:div>
        <w:div w:id="91439614">
          <w:marLeft w:val="0"/>
          <w:marRight w:val="0"/>
          <w:marTop w:val="0"/>
          <w:marBottom w:val="0"/>
          <w:divBdr>
            <w:top w:val="none" w:sz="0" w:space="0" w:color="auto"/>
            <w:left w:val="none" w:sz="0" w:space="0" w:color="auto"/>
            <w:bottom w:val="none" w:sz="0" w:space="0" w:color="auto"/>
            <w:right w:val="none" w:sz="0" w:space="0" w:color="auto"/>
          </w:divBdr>
          <w:divsChild>
            <w:div w:id="1574663563">
              <w:marLeft w:val="0"/>
              <w:marRight w:val="0"/>
              <w:marTop w:val="0"/>
              <w:marBottom w:val="0"/>
              <w:divBdr>
                <w:top w:val="none" w:sz="0" w:space="0" w:color="auto"/>
                <w:left w:val="none" w:sz="0" w:space="0" w:color="auto"/>
                <w:bottom w:val="none" w:sz="0" w:space="0" w:color="auto"/>
                <w:right w:val="none" w:sz="0" w:space="0" w:color="auto"/>
              </w:divBdr>
            </w:div>
          </w:divsChild>
        </w:div>
        <w:div w:id="99616578">
          <w:marLeft w:val="0"/>
          <w:marRight w:val="0"/>
          <w:marTop w:val="0"/>
          <w:marBottom w:val="0"/>
          <w:divBdr>
            <w:top w:val="none" w:sz="0" w:space="0" w:color="auto"/>
            <w:left w:val="none" w:sz="0" w:space="0" w:color="auto"/>
            <w:bottom w:val="none" w:sz="0" w:space="0" w:color="auto"/>
            <w:right w:val="none" w:sz="0" w:space="0" w:color="auto"/>
          </w:divBdr>
          <w:divsChild>
            <w:div w:id="1611668435">
              <w:marLeft w:val="0"/>
              <w:marRight w:val="0"/>
              <w:marTop w:val="0"/>
              <w:marBottom w:val="0"/>
              <w:divBdr>
                <w:top w:val="none" w:sz="0" w:space="0" w:color="auto"/>
                <w:left w:val="none" w:sz="0" w:space="0" w:color="auto"/>
                <w:bottom w:val="none" w:sz="0" w:space="0" w:color="auto"/>
                <w:right w:val="none" w:sz="0" w:space="0" w:color="auto"/>
              </w:divBdr>
            </w:div>
          </w:divsChild>
        </w:div>
        <w:div w:id="115833318">
          <w:marLeft w:val="0"/>
          <w:marRight w:val="0"/>
          <w:marTop w:val="0"/>
          <w:marBottom w:val="0"/>
          <w:divBdr>
            <w:top w:val="none" w:sz="0" w:space="0" w:color="auto"/>
            <w:left w:val="none" w:sz="0" w:space="0" w:color="auto"/>
            <w:bottom w:val="none" w:sz="0" w:space="0" w:color="auto"/>
            <w:right w:val="none" w:sz="0" w:space="0" w:color="auto"/>
          </w:divBdr>
          <w:divsChild>
            <w:div w:id="584847641">
              <w:marLeft w:val="0"/>
              <w:marRight w:val="0"/>
              <w:marTop w:val="0"/>
              <w:marBottom w:val="0"/>
              <w:divBdr>
                <w:top w:val="none" w:sz="0" w:space="0" w:color="auto"/>
                <w:left w:val="none" w:sz="0" w:space="0" w:color="auto"/>
                <w:bottom w:val="none" w:sz="0" w:space="0" w:color="auto"/>
                <w:right w:val="none" w:sz="0" w:space="0" w:color="auto"/>
              </w:divBdr>
            </w:div>
          </w:divsChild>
        </w:div>
        <w:div w:id="148332563">
          <w:marLeft w:val="0"/>
          <w:marRight w:val="0"/>
          <w:marTop w:val="0"/>
          <w:marBottom w:val="0"/>
          <w:divBdr>
            <w:top w:val="none" w:sz="0" w:space="0" w:color="auto"/>
            <w:left w:val="none" w:sz="0" w:space="0" w:color="auto"/>
            <w:bottom w:val="none" w:sz="0" w:space="0" w:color="auto"/>
            <w:right w:val="none" w:sz="0" w:space="0" w:color="auto"/>
          </w:divBdr>
          <w:divsChild>
            <w:div w:id="1164782468">
              <w:marLeft w:val="0"/>
              <w:marRight w:val="0"/>
              <w:marTop w:val="0"/>
              <w:marBottom w:val="0"/>
              <w:divBdr>
                <w:top w:val="none" w:sz="0" w:space="0" w:color="auto"/>
                <w:left w:val="none" w:sz="0" w:space="0" w:color="auto"/>
                <w:bottom w:val="none" w:sz="0" w:space="0" w:color="auto"/>
                <w:right w:val="none" w:sz="0" w:space="0" w:color="auto"/>
              </w:divBdr>
            </w:div>
          </w:divsChild>
        </w:div>
        <w:div w:id="189614272">
          <w:marLeft w:val="0"/>
          <w:marRight w:val="0"/>
          <w:marTop w:val="0"/>
          <w:marBottom w:val="0"/>
          <w:divBdr>
            <w:top w:val="none" w:sz="0" w:space="0" w:color="auto"/>
            <w:left w:val="none" w:sz="0" w:space="0" w:color="auto"/>
            <w:bottom w:val="none" w:sz="0" w:space="0" w:color="auto"/>
            <w:right w:val="none" w:sz="0" w:space="0" w:color="auto"/>
          </w:divBdr>
          <w:divsChild>
            <w:div w:id="257175422">
              <w:marLeft w:val="0"/>
              <w:marRight w:val="0"/>
              <w:marTop w:val="0"/>
              <w:marBottom w:val="0"/>
              <w:divBdr>
                <w:top w:val="none" w:sz="0" w:space="0" w:color="auto"/>
                <w:left w:val="none" w:sz="0" w:space="0" w:color="auto"/>
                <w:bottom w:val="none" w:sz="0" w:space="0" w:color="auto"/>
                <w:right w:val="none" w:sz="0" w:space="0" w:color="auto"/>
              </w:divBdr>
            </w:div>
          </w:divsChild>
        </w:div>
        <w:div w:id="199365359">
          <w:marLeft w:val="0"/>
          <w:marRight w:val="0"/>
          <w:marTop w:val="0"/>
          <w:marBottom w:val="0"/>
          <w:divBdr>
            <w:top w:val="none" w:sz="0" w:space="0" w:color="auto"/>
            <w:left w:val="none" w:sz="0" w:space="0" w:color="auto"/>
            <w:bottom w:val="none" w:sz="0" w:space="0" w:color="auto"/>
            <w:right w:val="none" w:sz="0" w:space="0" w:color="auto"/>
          </w:divBdr>
          <w:divsChild>
            <w:div w:id="245580211">
              <w:marLeft w:val="0"/>
              <w:marRight w:val="0"/>
              <w:marTop w:val="0"/>
              <w:marBottom w:val="0"/>
              <w:divBdr>
                <w:top w:val="none" w:sz="0" w:space="0" w:color="auto"/>
                <w:left w:val="none" w:sz="0" w:space="0" w:color="auto"/>
                <w:bottom w:val="none" w:sz="0" w:space="0" w:color="auto"/>
                <w:right w:val="none" w:sz="0" w:space="0" w:color="auto"/>
              </w:divBdr>
            </w:div>
          </w:divsChild>
        </w:div>
        <w:div w:id="208541429">
          <w:marLeft w:val="0"/>
          <w:marRight w:val="0"/>
          <w:marTop w:val="0"/>
          <w:marBottom w:val="0"/>
          <w:divBdr>
            <w:top w:val="none" w:sz="0" w:space="0" w:color="auto"/>
            <w:left w:val="none" w:sz="0" w:space="0" w:color="auto"/>
            <w:bottom w:val="none" w:sz="0" w:space="0" w:color="auto"/>
            <w:right w:val="none" w:sz="0" w:space="0" w:color="auto"/>
          </w:divBdr>
          <w:divsChild>
            <w:div w:id="911310330">
              <w:marLeft w:val="0"/>
              <w:marRight w:val="0"/>
              <w:marTop w:val="0"/>
              <w:marBottom w:val="0"/>
              <w:divBdr>
                <w:top w:val="none" w:sz="0" w:space="0" w:color="auto"/>
                <w:left w:val="none" w:sz="0" w:space="0" w:color="auto"/>
                <w:bottom w:val="none" w:sz="0" w:space="0" w:color="auto"/>
                <w:right w:val="none" w:sz="0" w:space="0" w:color="auto"/>
              </w:divBdr>
            </w:div>
          </w:divsChild>
        </w:div>
        <w:div w:id="229459337">
          <w:marLeft w:val="0"/>
          <w:marRight w:val="0"/>
          <w:marTop w:val="0"/>
          <w:marBottom w:val="0"/>
          <w:divBdr>
            <w:top w:val="none" w:sz="0" w:space="0" w:color="auto"/>
            <w:left w:val="none" w:sz="0" w:space="0" w:color="auto"/>
            <w:bottom w:val="none" w:sz="0" w:space="0" w:color="auto"/>
            <w:right w:val="none" w:sz="0" w:space="0" w:color="auto"/>
          </w:divBdr>
          <w:divsChild>
            <w:div w:id="1132482379">
              <w:marLeft w:val="0"/>
              <w:marRight w:val="0"/>
              <w:marTop w:val="0"/>
              <w:marBottom w:val="0"/>
              <w:divBdr>
                <w:top w:val="none" w:sz="0" w:space="0" w:color="auto"/>
                <w:left w:val="none" w:sz="0" w:space="0" w:color="auto"/>
                <w:bottom w:val="none" w:sz="0" w:space="0" w:color="auto"/>
                <w:right w:val="none" w:sz="0" w:space="0" w:color="auto"/>
              </w:divBdr>
            </w:div>
          </w:divsChild>
        </w:div>
        <w:div w:id="249893749">
          <w:marLeft w:val="0"/>
          <w:marRight w:val="0"/>
          <w:marTop w:val="0"/>
          <w:marBottom w:val="0"/>
          <w:divBdr>
            <w:top w:val="none" w:sz="0" w:space="0" w:color="auto"/>
            <w:left w:val="none" w:sz="0" w:space="0" w:color="auto"/>
            <w:bottom w:val="none" w:sz="0" w:space="0" w:color="auto"/>
            <w:right w:val="none" w:sz="0" w:space="0" w:color="auto"/>
          </w:divBdr>
          <w:divsChild>
            <w:div w:id="2014723911">
              <w:marLeft w:val="0"/>
              <w:marRight w:val="0"/>
              <w:marTop w:val="0"/>
              <w:marBottom w:val="0"/>
              <w:divBdr>
                <w:top w:val="none" w:sz="0" w:space="0" w:color="auto"/>
                <w:left w:val="none" w:sz="0" w:space="0" w:color="auto"/>
                <w:bottom w:val="none" w:sz="0" w:space="0" w:color="auto"/>
                <w:right w:val="none" w:sz="0" w:space="0" w:color="auto"/>
              </w:divBdr>
            </w:div>
          </w:divsChild>
        </w:div>
        <w:div w:id="307244907">
          <w:marLeft w:val="0"/>
          <w:marRight w:val="0"/>
          <w:marTop w:val="0"/>
          <w:marBottom w:val="0"/>
          <w:divBdr>
            <w:top w:val="none" w:sz="0" w:space="0" w:color="auto"/>
            <w:left w:val="none" w:sz="0" w:space="0" w:color="auto"/>
            <w:bottom w:val="none" w:sz="0" w:space="0" w:color="auto"/>
            <w:right w:val="none" w:sz="0" w:space="0" w:color="auto"/>
          </w:divBdr>
          <w:divsChild>
            <w:div w:id="1049039974">
              <w:marLeft w:val="0"/>
              <w:marRight w:val="0"/>
              <w:marTop w:val="0"/>
              <w:marBottom w:val="0"/>
              <w:divBdr>
                <w:top w:val="none" w:sz="0" w:space="0" w:color="auto"/>
                <w:left w:val="none" w:sz="0" w:space="0" w:color="auto"/>
                <w:bottom w:val="none" w:sz="0" w:space="0" w:color="auto"/>
                <w:right w:val="none" w:sz="0" w:space="0" w:color="auto"/>
              </w:divBdr>
            </w:div>
          </w:divsChild>
        </w:div>
        <w:div w:id="308827042">
          <w:marLeft w:val="0"/>
          <w:marRight w:val="0"/>
          <w:marTop w:val="0"/>
          <w:marBottom w:val="0"/>
          <w:divBdr>
            <w:top w:val="none" w:sz="0" w:space="0" w:color="auto"/>
            <w:left w:val="none" w:sz="0" w:space="0" w:color="auto"/>
            <w:bottom w:val="none" w:sz="0" w:space="0" w:color="auto"/>
            <w:right w:val="none" w:sz="0" w:space="0" w:color="auto"/>
          </w:divBdr>
          <w:divsChild>
            <w:div w:id="435368480">
              <w:marLeft w:val="0"/>
              <w:marRight w:val="0"/>
              <w:marTop w:val="0"/>
              <w:marBottom w:val="0"/>
              <w:divBdr>
                <w:top w:val="none" w:sz="0" w:space="0" w:color="auto"/>
                <w:left w:val="none" w:sz="0" w:space="0" w:color="auto"/>
                <w:bottom w:val="none" w:sz="0" w:space="0" w:color="auto"/>
                <w:right w:val="none" w:sz="0" w:space="0" w:color="auto"/>
              </w:divBdr>
            </w:div>
          </w:divsChild>
        </w:div>
        <w:div w:id="320890175">
          <w:marLeft w:val="0"/>
          <w:marRight w:val="0"/>
          <w:marTop w:val="0"/>
          <w:marBottom w:val="0"/>
          <w:divBdr>
            <w:top w:val="none" w:sz="0" w:space="0" w:color="auto"/>
            <w:left w:val="none" w:sz="0" w:space="0" w:color="auto"/>
            <w:bottom w:val="none" w:sz="0" w:space="0" w:color="auto"/>
            <w:right w:val="none" w:sz="0" w:space="0" w:color="auto"/>
          </w:divBdr>
          <w:divsChild>
            <w:div w:id="1838687582">
              <w:marLeft w:val="0"/>
              <w:marRight w:val="0"/>
              <w:marTop w:val="0"/>
              <w:marBottom w:val="0"/>
              <w:divBdr>
                <w:top w:val="none" w:sz="0" w:space="0" w:color="auto"/>
                <w:left w:val="none" w:sz="0" w:space="0" w:color="auto"/>
                <w:bottom w:val="none" w:sz="0" w:space="0" w:color="auto"/>
                <w:right w:val="none" w:sz="0" w:space="0" w:color="auto"/>
              </w:divBdr>
            </w:div>
          </w:divsChild>
        </w:div>
        <w:div w:id="343481201">
          <w:marLeft w:val="0"/>
          <w:marRight w:val="0"/>
          <w:marTop w:val="0"/>
          <w:marBottom w:val="0"/>
          <w:divBdr>
            <w:top w:val="none" w:sz="0" w:space="0" w:color="auto"/>
            <w:left w:val="none" w:sz="0" w:space="0" w:color="auto"/>
            <w:bottom w:val="none" w:sz="0" w:space="0" w:color="auto"/>
            <w:right w:val="none" w:sz="0" w:space="0" w:color="auto"/>
          </w:divBdr>
          <w:divsChild>
            <w:div w:id="408582490">
              <w:marLeft w:val="0"/>
              <w:marRight w:val="0"/>
              <w:marTop w:val="0"/>
              <w:marBottom w:val="0"/>
              <w:divBdr>
                <w:top w:val="none" w:sz="0" w:space="0" w:color="auto"/>
                <w:left w:val="none" w:sz="0" w:space="0" w:color="auto"/>
                <w:bottom w:val="none" w:sz="0" w:space="0" w:color="auto"/>
                <w:right w:val="none" w:sz="0" w:space="0" w:color="auto"/>
              </w:divBdr>
            </w:div>
          </w:divsChild>
        </w:div>
        <w:div w:id="343633004">
          <w:marLeft w:val="0"/>
          <w:marRight w:val="0"/>
          <w:marTop w:val="0"/>
          <w:marBottom w:val="0"/>
          <w:divBdr>
            <w:top w:val="none" w:sz="0" w:space="0" w:color="auto"/>
            <w:left w:val="none" w:sz="0" w:space="0" w:color="auto"/>
            <w:bottom w:val="none" w:sz="0" w:space="0" w:color="auto"/>
            <w:right w:val="none" w:sz="0" w:space="0" w:color="auto"/>
          </w:divBdr>
          <w:divsChild>
            <w:div w:id="330913508">
              <w:marLeft w:val="0"/>
              <w:marRight w:val="0"/>
              <w:marTop w:val="0"/>
              <w:marBottom w:val="0"/>
              <w:divBdr>
                <w:top w:val="none" w:sz="0" w:space="0" w:color="auto"/>
                <w:left w:val="none" w:sz="0" w:space="0" w:color="auto"/>
                <w:bottom w:val="none" w:sz="0" w:space="0" w:color="auto"/>
                <w:right w:val="none" w:sz="0" w:space="0" w:color="auto"/>
              </w:divBdr>
            </w:div>
          </w:divsChild>
        </w:div>
        <w:div w:id="348987651">
          <w:marLeft w:val="0"/>
          <w:marRight w:val="0"/>
          <w:marTop w:val="0"/>
          <w:marBottom w:val="0"/>
          <w:divBdr>
            <w:top w:val="none" w:sz="0" w:space="0" w:color="auto"/>
            <w:left w:val="none" w:sz="0" w:space="0" w:color="auto"/>
            <w:bottom w:val="none" w:sz="0" w:space="0" w:color="auto"/>
            <w:right w:val="none" w:sz="0" w:space="0" w:color="auto"/>
          </w:divBdr>
          <w:divsChild>
            <w:div w:id="2040810068">
              <w:marLeft w:val="0"/>
              <w:marRight w:val="0"/>
              <w:marTop w:val="0"/>
              <w:marBottom w:val="0"/>
              <w:divBdr>
                <w:top w:val="none" w:sz="0" w:space="0" w:color="auto"/>
                <w:left w:val="none" w:sz="0" w:space="0" w:color="auto"/>
                <w:bottom w:val="none" w:sz="0" w:space="0" w:color="auto"/>
                <w:right w:val="none" w:sz="0" w:space="0" w:color="auto"/>
              </w:divBdr>
            </w:div>
          </w:divsChild>
        </w:div>
        <w:div w:id="382750915">
          <w:marLeft w:val="0"/>
          <w:marRight w:val="0"/>
          <w:marTop w:val="0"/>
          <w:marBottom w:val="0"/>
          <w:divBdr>
            <w:top w:val="none" w:sz="0" w:space="0" w:color="auto"/>
            <w:left w:val="none" w:sz="0" w:space="0" w:color="auto"/>
            <w:bottom w:val="none" w:sz="0" w:space="0" w:color="auto"/>
            <w:right w:val="none" w:sz="0" w:space="0" w:color="auto"/>
          </w:divBdr>
          <w:divsChild>
            <w:div w:id="1551041420">
              <w:marLeft w:val="0"/>
              <w:marRight w:val="0"/>
              <w:marTop w:val="0"/>
              <w:marBottom w:val="0"/>
              <w:divBdr>
                <w:top w:val="none" w:sz="0" w:space="0" w:color="auto"/>
                <w:left w:val="none" w:sz="0" w:space="0" w:color="auto"/>
                <w:bottom w:val="none" w:sz="0" w:space="0" w:color="auto"/>
                <w:right w:val="none" w:sz="0" w:space="0" w:color="auto"/>
              </w:divBdr>
            </w:div>
          </w:divsChild>
        </w:div>
        <w:div w:id="384524358">
          <w:marLeft w:val="0"/>
          <w:marRight w:val="0"/>
          <w:marTop w:val="0"/>
          <w:marBottom w:val="0"/>
          <w:divBdr>
            <w:top w:val="none" w:sz="0" w:space="0" w:color="auto"/>
            <w:left w:val="none" w:sz="0" w:space="0" w:color="auto"/>
            <w:bottom w:val="none" w:sz="0" w:space="0" w:color="auto"/>
            <w:right w:val="none" w:sz="0" w:space="0" w:color="auto"/>
          </w:divBdr>
          <w:divsChild>
            <w:div w:id="411008213">
              <w:marLeft w:val="0"/>
              <w:marRight w:val="0"/>
              <w:marTop w:val="0"/>
              <w:marBottom w:val="0"/>
              <w:divBdr>
                <w:top w:val="none" w:sz="0" w:space="0" w:color="auto"/>
                <w:left w:val="none" w:sz="0" w:space="0" w:color="auto"/>
                <w:bottom w:val="none" w:sz="0" w:space="0" w:color="auto"/>
                <w:right w:val="none" w:sz="0" w:space="0" w:color="auto"/>
              </w:divBdr>
            </w:div>
          </w:divsChild>
        </w:div>
        <w:div w:id="392318996">
          <w:marLeft w:val="0"/>
          <w:marRight w:val="0"/>
          <w:marTop w:val="0"/>
          <w:marBottom w:val="0"/>
          <w:divBdr>
            <w:top w:val="none" w:sz="0" w:space="0" w:color="auto"/>
            <w:left w:val="none" w:sz="0" w:space="0" w:color="auto"/>
            <w:bottom w:val="none" w:sz="0" w:space="0" w:color="auto"/>
            <w:right w:val="none" w:sz="0" w:space="0" w:color="auto"/>
          </w:divBdr>
          <w:divsChild>
            <w:div w:id="1541742448">
              <w:marLeft w:val="0"/>
              <w:marRight w:val="0"/>
              <w:marTop w:val="0"/>
              <w:marBottom w:val="0"/>
              <w:divBdr>
                <w:top w:val="none" w:sz="0" w:space="0" w:color="auto"/>
                <w:left w:val="none" w:sz="0" w:space="0" w:color="auto"/>
                <w:bottom w:val="none" w:sz="0" w:space="0" w:color="auto"/>
                <w:right w:val="none" w:sz="0" w:space="0" w:color="auto"/>
              </w:divBdr>
            </w:div>
          </w:divsChild>
        </w:div>
        <w:div w:id="399596954">
          <w:marLeft w:val="0"/>
          <w:marRight w:val="0"/>
          <w:marTop w:val="0"/>
          <w:marBottom w:val="0"/>
          <w:divBdr>
            <w:top w:val="none" w:sz="0" w:space="0" w:color="auto"/>
            <w:left w:val="none" w:sz="0" w:space="0" w:color="auto"/>
            <w:bottom w:val="none" w:sz="0" w:space="0" w:color="auto"/>
            <w:right w:val="none" w:sz="0" w:space="0" w:color="auto"/>
          </w:divBdr>
          <w:divsChild>
            <w:div w:id="1578441477">
              <w:marLeft w:val="0"/>
              <w:marRight w:val="0"/>
              <w:marTop w:val="0"/>
              <w:marBottom w:val="0"/>
              <w:divBdr>
                <w:top w:val="none" w:sz="0" w:space="0" w:color="auto"/>
                <w:left w:val="none" w:sz="0" w:space="0" w:color="auto"/>
                <w:bottom w:val="none" w:sz="0" w:space="0" w:color="auto"/>
                <w:right w:val="none" w:sz="0" w:space="0" w:color="auto"/>
              </w:divBdr>
            </w:div>
          </w:divsChild>
        </w:div>
        <w:div w:id="399986394">
          <w:marLeft w:val="0"/>
          <w:marRight w:val="0"/>
          <w:marTop w:val="0"/>
          <w:marBottom w:val="0"/>
          <w:divBdr>
            <w:top w:val="none" w:sz="0" w:space="0" w:color="auto"/>
            <w:left w:val="none" w:sz="0" w:space="0" w:color="auto"/>
            <w:bottom w:val="none" w:sz="0" w:space="0" w:color="auto"/>
            <w:right w:val="none" w:sz="0" w:space="0" w:color="auto"/>
          </w:divBdr>
          <w:divsChild>
            <w:div w:id="331681483">
              <w:marLeft w:val="0"/>
              <w:marRight w:val="0"/>
              <w:marTop w:val="0"/>
              <w:marBottom w:val="0"/>
              <w:divBdr>
                <w:top w:val="none" w:sz="0" w:space="0" w:color="auto"/>
                <w:left w:val="none" w:sz="0" w:space="0" w:color="auto"/>
                <w:bottom w:val="none" w:sz="0" w:space="0" w:color="auto"/>
                <w:right w:val="none" w:sz="0" w:space="0" w:color="auto"/>
              </w:divBdr>
            </w:div>
          </w:divsChild>
        </w:div>
        <w:div w:id="420109522">
          <w:marLeft w:val="0"/>
          <w:marRight w:val="0"/>
          <w:marTop w:val="0"/>
          <w:marBottom w:val="0"/>
          <w:divBdr>
            <w:top w:val="none" w:sz="0" w:space="0" w:color="auto"/>
            <w:left w:val="none" w:sz="0" w:space="0" w:color="auto"/>
            <w:bottom w:val="none" w:sz="0" w:space="0" w:color="auto"/>
            <w:right w:val="none" w:sz="0" w:space="0" w:color="auto"/>
          </w:divBdr>
          <w:divsChild>
            <w:div w:id="790781485">
              <w:marLeft w:val="0"/>
              <w:marRight w:val="0"/>
              <w:marTop w:val="0"/>
              <w:marBottom w:val="0"/>
              <w:divBdr>
                <w:top w:val="none" w:sz="0" w:space="0" w:color="auto"/>
                <w:left w:val="none" w:sz="0" w:space="0" w:color="auto"/>
                <w:bottom w:val="none" w:sz="0" w:space="0" w:color="auto"/>
                <w:right w:val="none" w:sz="0" w:space="0" w:color="auto"/>
              </w:divBdr>
            </w:div>
          </w:divsChild>
        </w:div>
        <w:div w:id="432357669">
          <w:marLeft w:val="0"/>
          <w:marRight w:val="0"/>
          <w:marTop w:val="0"/>
          <w:marBottom w:val="0"/>
          <w:divBdr>
            <w:top w:val="none" w:sz="0" w:space="0" w:color="auto"/>
            <w:left w:val="none" w:sz="0" w:space="0" w:color="auto"/>
            <w:bottom w:val="none" w:sz="0" w:space="0" w:color="auto"/>
            <w:right w:val="none" w:sz="0" w:space="0" w:color="auto"/>
          </w:divBdr>
          <w:divsChild>
            <w:div w:id="1747721896">
              <w:marLeft w:val="0"/>
              <w:marRight w:val="0"/>
              <w:marTop w:val="0"/>
              <w:marBottom w:val="0"/>
              <w:divBdr>
                <w:top w:val="none" w:sz="0" w:space="0" w:color="auto"/>
                <w:left w:val="none" w:sz="0" w:space="0" w:color="auto"/>
                <w:bottom w:val="none" w:sz="0" w:space="0" w:color="auto"/>
                <w:right w:val="none" w:sz="0" w:space="0" w:color="auto"/>
              </w:divBdr>
            </w:div>
          </w:divsChild>
        </w:div>
        <w:div w:id="432550438">
          <w:marLeft w:val="0"/>
          <w:marRight w:val="0"/>
          <w:marTop w:val="0"/>
          <w:marBottom w:val="0"/>
          <w:divBdr>
            <w:top w:val="none" w:sz="0" w:space="0" w:color="auto"/>
            <w:left w:val="none" w:sz="0" w:space="0" w:color="auto"/>
            <w:bottom w:val="none" w:sz="0" w:space="0" w:color="auto"/>
            <w:right w:val="none" w:sz="0" w:space="0" w:color="auto"/>
          </w:divBdr>
          <w:divsChild>
            <w:div w:id="2030637798">
              <w:marLeft w:val="0"/>
              <w:marRight w:val="0"/>
              <w:marTop w:val="0"/>
              <w:marBottom w:val="0"/>
              <w:divBdr>
                <w:top w:val="none" w:sz="0" w:space="0" w:color="auto"/>
                <w:left w:val="none" w:sz="0" w:space="0" w:color="auto"/>
                <w:bottom w:val="none" w:sz="0" w:space="0" w:color="auto"/>
                <w:right w:val="none" w:sz="0" w:space="0" w:color="auto"/>
              </w:divBdr>
            </w:div>
          </w:divsChild>
        </w:div>
        <w:div w:id="437795179">
          <w:marLeft w:val="0"/>
          <w:marRight w:val="0"/>
          <w:marTop w:val="0"/>
          <w:marBottom w:val="0"/>
          <w:divBdr>
            <w:top w:val="none" w:sz="0" w:space="0" w:color="auto"/>
            <w:left w:val="none" w:sz="0" w:space="0" w:color="auto"/>
            <w:bottom w:val="none" w:sz="0" w:space="0" w:color="auto"/>
            <w:right w:val="none" w:sz="0" w:space="0" w:color="auto"/>
          </w:divBdr>
          <w:divsChild>
            <w:div w:id="1207986554">
              <w:marLeft w:val="0"/>
              <w:marRight w:val="0"/>
              <w:marTop w:val="0"/>
              <w:marBottom w:val="0"/>
              <w:divBdr>
                <w:top w:val="none" w:sz="0" w:space="0" w:color="auto"/>
                <w:left w:val="none" w:sz="0" w:space="0" w:color="auto"/>
                <w:bottom w:val="none" w:sz="0" w:space="0" w:color="auto"/>
                <w:right w:val="none" w:sz="0" w:space="0" w:color="auto"/>
              </w:divBdr>
            </w:div>
          </w:divsChild>
        </w:div>
        <w:div w:id="443883464">
          <w:marLeft w:val="0"/>
          <w:marRight w:val="0"/>
          <w:marTop w:val="0"/>
          <w:marBottom w:val="0"/>
          <w:divBdr>
            <w:top w:val="none" w:sz="0" w:space="0" w:color="auto"/>
            <w:left w:val="none" w:sz="0" w:space="0" w:color="auto"/>
            <w:bottom w:val="none" w:sz="0" w:space="0" w:color="auto"/>
            <w:right w:val="none" w:sz="0" w:space="0" w:color="auto"/>
          </w:divBdr>
          <w:divsChild>
            <w:div w:id="2096433080">
              <w:marLeft w:val="0"/>
              <w:marRight w:val="0"/>
              <w:marTop w:val="0"/>
              <w:marBottom w:val="0"/>
              <w:divBdr>
                <w:top w:val="none" w:sz="0" w:space="0" w:color="auto"/>
                <w:left w:val="none" w:sz="0" w:space="0" w:color="auto"/>
                <w:bottom w:val="none" w:sz="0" w:space="0" w:color="auto"/>
                <w:right w:val="none" w:sz="0" w:space="0" w:color="auto"/>
              </w:divBdr>
            </w:div>
          </w:divsChild>
        </w:div>
        <w:div w:id="449588602">
          <w:marLeft w:val="0"/>
          <w:marRight w:val="0"/>
          <w:marTop w:val="0"/>
          <w:marBottom w:val="0"/>
          <w:divBdr>
            <w:top w:val="none" w:sz="0" w:space="0" w:color="auto"/>
            <w:left w:val="none" w:sz="0" w:space="0" w:color="auto"/>
            <w:bottom w:val="none" w:sz="0" w:space="0" w:color="auto"/>
            <w:right w:val="none" w:sz="0" w:space="0" w:color="auto"/>
          </w:divBdr>
          <w:divsChild>
            <w:div w:id="973870205">
              <w:marLeft w:val="0"/>
              <w:marRight w:val="0"/>
              <w:marTop w:val="0"/>
              <w:marBottom w:val="0"/>
              <w:divBdr>
                <w:top w:val="none" w:sz="0" w:space="0" w:color="auto"/>
                <w:left w:val="none" w:sz="0" w:space="0" w:color="auto"/>
                <w:bottom w:val="none" w:sz="0" w:space="0" w:color="auto"/>
                <w:right w:val="none" w:sz="0" w:space="0" w:color="auto"/>
              </w:divBdr>
            </w:div>
          </w:divsChild>
        </w:div>
        <w:div w:id="475144372">
          <w:marLeft w:val="0"/>
          <w:marRight w:val="0"/>
          <w:marTop w:val="0"/>
          <w:marBottom w:val="0"/>
          <w:divBdr>
            <w:top w:val="none" w:sz="0" w:space="0" w:color="auto"/>
            <w:left w:val="none" w:sz="0" w:space="0" w:color="auto"/>
            <w:bottom w:val="none" w:sz="0" w:space="0" w:color="auto"/>
            <w:right w:val="none" w:sz="0" w:space="0" w:color="auto"/>
          </w:divBdr>
          <w:divsChild>
            <w:div w:id="1984849881">
              <w:marLeft w:val="0"/>
              <w:marRight w:val="0"/>
              <w:marTop w:val="0"/>
              <w:marBottom w:val="0"/>
              <w:divBdr>
                <w:top w:val="none" w:sz="0" w:space="0" w:color="auto"/>
                <w:left w:val="none" w:sz="0" w:space="0" w:color="auto"/>
                <w:bottom w:val="none" w:sz="0" w:space="0" w:color="auto"/>
                <w:right w:val="none" w:sz="0" w:space="0" w:color="auto"/>
              </w:divBdr>
            </w:div>
          </w:divsChild>
        </w:div>
        <w:div w:id="509682404">
          <w:marLeft w:val="0"/>
          <w:marRight w:val="0"/>
          <w:marTop w:val="0"/>
          <w:marBottom w:val="0"/>
          <w:divBdr>
            <w:top w:val="none" w:sz="0" w:space="0" w:color="auto"/>
            <w:left w:val="none" w:sz="0" w:space="0" w:color="auto"/>
            <w:bottom w:val="none" w:sz="0" w:space="0" w:color="auto"/>
            <w:right w:val="none" w:sz="0" w:space="0" w:color="auto"/>
          </w:divBdr>
          <w:divsChild>
            <w:div w:id="978878240">
              <w:marLeft w:val="0"/>
              <w:marRight w:val="0"/>
              <w:marTop w:val="0"/>
              <w:marBottom w:val="0"/>
              <w:divBdr>
                <w:top w:val="none" w:sz="0" w:space="0" w:color="auto"/>
                <w:left w:val="none" w:sz="0" w:space="0" w:color="auto"/>
                <w:bottom w:val="none" w:sz="0" w:space="0" w:color="auto"/>
                <w:right w:val="none" w:sz="0" w:space="0" w:color="auto"/>
              </w:divBdr>
            </w:div>
          </w:divsChild>
        </w:div>
        <w:div w:id="514271327">
          <w:marLeft w:val="0"/>
          <w:marRight w:val="0"/>
          <w:marTop w:val="0"/>
          <w:marBottom w:val="0"/>
          <w:divBdr>
            <w:top w:val="none" w:sz="0" w:space="0" w:color="auto"/>
            <w:left w:val="none" w:sz="0" w:space="0" w:color="auto"/>
            <w:bottom w:val="none" w:sz="0" w:space="0" w:color="auto"/>
            <w:right w:val="none" w:sz="0" w:space="0" w:color="auto"/>
          </w:divBdr>
          <w:divsChild>
            <w:div w:id="1498770307">
              <w:marLeft w:val="0"/>
              <w:marRight w:val="0"/>
              <w:marTop w:val="0"/>
              <w:marBottom w:val="0"/>
              <w:divBdr>
                <w:top w:val="none" w:sz="0" w:space="0" w:color="auto"/>
                <w:left w:val="none" w:sz="0" w:space="0" w:color="auto"/>
                <w:bottom w:val="none" w:sz="0" w:space="0" w:color="auto"/>
                <w:right w:val="none" w:sz="0" w:space="0" w:color="auto"/>
              </w:divBdr>
            </w:div>
          </w:divsChild>
        </w:div>
        <w:div w:id="542907962">
          <w:marLeft w:val="0"/>
          <w:marRight w:val="0"/>
          <w:marTop w:val="0"/>
          <w:marBottom w:val="0"/>
          <w:divBdr>
            <w:top w:val="none" w:sz="0" w:space="0" w:color="auto"/>
            <w:left w:val="none" w:sz="0" w:space="0" w:color="auto"/>
            <w:bottom w:val="none" w:sz="0" w:space="0" w:color="auto"/>
            <w:right w:val="none" w:sz="0" w:space="0" w:color="auto"/>
          </w:divBdr>
          <w:divsChild>
            <w:div w:id="1981809969">
              <w:marLeft w:val="0"/>
              <w:marRight w:val="0"/>
              <w:marTop w:val="0"/>
              <w:marBottom w:val="0"/>
              <w:divBdr>
                <w:top w:val="none" w:sz="0" w:space="0" w:color="auto"/>
                <w:left w:val="none" w:sz="0" w:space="0" w:color="auto"/>
                <w:bottom w:val="none" w:sz="0" w:space="0" w:color="auto"/>
                <w:right w:val="none" w:sz="0" w:space="0" w:color="auto"/>
              </w:divBdr>
            </w:div>
          </w:divsChild>
        </w:div>
        <w:div w:id="571741331">
          <w:marLeft w:val="0"/>
          <w:marRight w:val="0"/>
          <w:marTop w:val="0"/>
          <w:marBottom w:val="0"/>
          <w:divBdr>
            <w:top w:val="none" w:sz="0" w:space="0" w:color="auto"/>
            <w:left w:val="none" w:sz="0" w:space="0" w:color="auto"/>
            <w:bottom w:val="none" w:sz="0" w:space="0" w:color="auto"/>
            <w:right w:val="none" w:sz="0" w:space="0" w:color="auto"/>
          </w:divBdr>
          <w:divsChild>
            <w:div w:id="352730624">
              <w:marLeft w:val="0"/>
              <w:marRight w:val="0"/>
              <w:marTop w:val="0"/>
              <w:marBottom w:val="0"/>
              <w:divBdr>
                <w:top w:val="none" w:sz="0" w:space="0" w:color="auto"/>
                <w:left w:val="none" w:sz="0" w:space="0" w:color="auto"/>
                <w:bottom w:val="none" w:sz="0" w:space="0" w:color="auto"/>
                <w:right w:val="none" w:sz="0" w:space="0" w:color="auto"/>
              </w:divBdr>
            </w:div>
          </w:divsChild>
        </w:div>
        <w:div w:id="571935032">
          <w:marLeft w:val="0"/>
          <w:marRight w:val="0"/>
          <w:marTop w:val="0"/>
          <w:marBottom w:val="0"/>
          <w:divBdr>
            <w:top w:val="none" w:sz="0" w:space="0" w:color="auto"/>
            <w:left w:val="none" w:sz="0" w:space="0" w:color="auto"/>
            <w:bottom w:val="none" w:sz="0" w:space="0" w:color="auto"/>
            <w:right w:val="none" w:sz="0" w:space="0" w:color="auto"/>
          </w:divBdr>
          <w:divsChild>
            <w:div w:id="1130977357">
              <w:marLeft w:val="0"/>
              <w:marRight w:val="0"/>
              <w:marTop w:val="0"/>
              <w:marBottom w:val="0"/>
              <w:divBdr>
                <w:top w:val="none" w:sz="0" w:space="0" w:color="auto"/>
                <w:left w:val="none" w:sz="0" w:space="0" w:color="auto"/>
                <w:bottom w:val="none" w:sz="0" w:space="0" w:color="auto"/>
                <w:right w:val="none" w:sz="0" w:space="0" w:color="auto"/>
              </w:divBdr>
            </w:div>
          </w:divsChild>
        </w:div>
        <w:div w:id="583223806">
          <w:marLeft w:val="0"/>
          <w:marRight w:val="0"/>
          <w:marTop w:val="0"/>
          <w:marBottom w:val="0"/>
          <w:divBdr>
            <w:top w:val="none" w:sz="0" w:space="0" w:color="auto"/>
            <w:left w:val="none" w:sz="0" w:space="0" w:color="auto"/>
            <w:bottom w:val="none" w:sz="0" w:space="0" w:color="auto"/>
            <w:right w:val="none" w:sz="0" w:space="0" w:color="auto"/>
          </w:divBdr>
          <w:divsChild>
            <w:div w:id="614290258">
              <w:marLeft w:val="0"/>
              <w:marRight w:val="0"/>
              <w:marTop w:val="0"/>
              <w:marBottom w:val="0"/>
              <w:divBdr>
                <w:top w:val="none" w:sz="0" w:space="0" w:color="auto"/>
                <w:left w:val="none" w:sz="0" w:space="0" w:color="auto"/>
                <w:bottom w:val="none" w:sz="0" w:space="0" w:color="auto"/>
                <w:right w:val="none" w:sz="0" w:space="0" w:color="auto"/>
              </w:divBdr>
            </w:div>
          </w:divsChild>
        </w:div>
        <w:div w:id="592668952">
          <w:marLeft w:val="0"/>
          <w:marRight w:val="0"/>
          <w:marTop w:val="0"/>
          <w:marBottom w:val="0"/>
          <w:divBdr>
            <w:top w:val="none" w:sz="0" w:space="0" w:color="auto"/>
            <w:left w:val="none" w:sz="0" w:space="0" w:color="auto"/>
            <w:bottom w:val="none" w:sz="0" w:space="0" w:color="auto"/>
            <w:right w:val="none" w:sz="0" w:space="0" w:color="auto"/>
          </w:divBdr>
          <w:divsChild>
            <w:div w:id="424617290">
              <w:marLeft w:val="0"/>
              <w:marRight w:val="0"/>
              <w:marTop w:val="0"/>
              <w:marBottom w:val="0"/>
              <w:divBdr>
                <w:top w:val="none" w:sz="0" w:space="0" w:color="auto"/>
                <w:left w:val="none" w:sz="0" w:space="0" w:color="auto"/>
                <w:bottom w:val="none" w:sz="0" w:space="0" w:color="auto"/>
                <w:right w:val="none" w:sz="0" w:space="0" w:color="auto"/>
              </w:divBdr>
            </w:div>
          </w:divsChild>
        </w:div>
        <w:div w:id="595090582">
          <w:marLeft w:val="0"/>
          <w:marRight w:val="0"/>
          <w:marTop w:val="0"/>
          <w:marBottom w:val="0"/>
          <w:divBdr>
            <w:top w:val="none" w:sz="0" w:space="0" w:color="auto"/>
            <w:left w:val="none" w:sz="0" w:space="0" w:color="auto"/>
            <w:bottom w:val="none" w:sz="0" w:space="0" w:color="auto"/>
            <w:right w:val="none" w:sz="0" w:space="0" w:color="auto"/>
          </w:divBdr>
          <w:divsChild>
            <w:div w:id="442916755">
              <w:marLeft w:val="0"/>
              <w:marRight w:val="0"/>
              <w:marTop w:val="0"/>
              <w:marBottom w:val="0"/>
              <w:divBdr>
                <w:top w:val="none" w:sz="0" w:space="0" w:color="auto"/>
                <w:left w:val="none" w:sz="0" w:space="0" w:color="auto"/>
                <w:bottom w:val="none" w:sz="0" w:space="0" w:color="auto"/>
                <w:right w:val="none" w:sz="0" w:space="0" w:color="auto"/>
              </w:divBdr>
            </w:div>
          </w:divsChild>
        </w:div>
        <w:div w:id="609776288">
          <w:marLeft w:val="0"/>
          <w:marRight w:val="0"/>
          <w:marTop w:val="0"/>
          <w:marBottom w:val="0"/>
          <w:divBdr>
            <w:top w:val="none" w:sz="0" w:space="0" w:color="auto"/>
            <w:left w:val="none" w:sz="0" w:space="0" w:color="auto"/>
            <w:bottom w:val="none" w:sz="0" w:space="0" w:color="auto"/>
            <w:right w:val="none" w:sz="0" w:space="0" w:color="auto"/>
          </w:divBdr>
          <w:divsChild>
            <w:div w:id="426313859">
              <w:marLeft w:val="0"/>
              <w:marRight w:val="0"/>
              <w:marTop w:val="0"/>
              <w:marBottom w:val="0"/>
              <w:divBdr>
                <w:top w:val="none" w:sz="0" w:space="0" w:color="auto"/>
                <w:left w:val="none" w:sz="0" w:space="0" w:color="auto"/>
                <w:bottom w:val="none" w:sz="0" w:space="0" w:color="auto"/>
                <w:right w:val="none" w:sz="0" w:space="0" w:color="auto"/>
              </w:divBdr>
            </w:div>
          </w:divsChild>
        </w:div>
        <w:div w:id="611059988">
          <w:marLeft w:val="0"/>
          <w:marRight w:val="0"/>
          <w:marTop w:val="0"/>
          <w:marBottom w:val="0"/>
          <w:divBdr>
            <w:top w:val="none" w:sz="0" w:space="0" w:color="auto"/>
            <w:left w:val="none" w:sz="0" w:space="0" w:color="auto"/>
            <w:bottom w:val="none" w:sz="0" w:space="0" w:color="auto"/>
            <w:right w:val="none" w:sz="0" w:space="0" w:color="auto"/>
          </w:divBdr>
          <w:divsChild>
            <w:div w:id="1348678941">
              <w:marLeft w:val="0"/>
              <w:marRight w:val="0"/>
              <w:marTop w:val="0"/>
              <w:marBottom w:val="0"/>
              <w:divBdr>
                <w:top w:val="none" w:sz="0" w:space="0" w:color="auto"/>
                <w:left w:val="none" w:sz="0" w:space="0" w:color="auto"/>
                <w:bottom w:val="none" w:sz="0" w:space="0" w:color="auto"/>
                <w:right w:val="none" w:sz="0" w:space="0" w:color="auto"/>
              </w:divBdr>
            </w:div>
          </w:divsChild>
        </w:div>
        <w:div w:id="612323087">
          <w:marLeft w:val="0"/>
          <w:marRight w:val="0"/>
          <w:marTop w:val="0"/>
          <w:marBottom w:val="0"/>
          <w:divBdr>
            <w:top w:val="none" w:sz="0" w:space="0" w:color="auto"/>
            <w:left w:val="none" w:sz="0" w:space="0" w:color="auto"/>
            <w:bottom w:val="none" w:sz="0" w:space="0" w:color="auto"/>
            <w:right w:val="none" w:sz="0" w:space="0" w:color="auto"/>
          </w:divBdr>
          <w:divsChild>
            <w:div w:id="323046376">
              <w:marLeft w:val="0"/>
              <w:marRight w:val="0"/>
              <w:marTop w:val="0"/>
              <w:marBottom w:val="0"/>
              <w:divBdr>
                <w:top w:val="none" w:sz="0" w:space="0" w:color="auto"/>
                <w:left w:val="none" w:sz="0" w:space="0" w:color="auto"/>
                <w:bottom w:val="none" w:sz="0" w:space="0" w:color="auto"/>
                <w:right w:val="none" w:sz="0" w:space="0" w:color="auto"/>
              </w:divBdr>
            </w:div>
          </w:divsChild>
        </w:div>
        <w:div w:id="652685601">
          <w:marLeft w:val="0"/>
          <w:marRight w:val="0"/>
          <w:marTop w:val="0"/>
          <w:marBottom w:val="0"/>
          <w:divBdr>
            <w:top w:val="none" w:sz="0" w:space="0" w:color="auto"/>
            <w:left w:val="none" w:sz="0" w:space="0" w:color="auto"/>
            <w:bottom w:val="none" w:sz="0" w:space="0" w:color="auto"/>
            <w:right w:val="none" w:sz="0" w:space="0" w:color="auto"/>
          </w:divBdr>
          <w:divsChild>
            <w:div w:id="976374013">
              <w:marLeft w:val="0"/>
              <w:marRight w:val="0"/>
              <w:marTop w:val="0"/>
              <w:marBottom w:val="0"/>
              <w:divBdr>
                <w:top w:val="none" w:sz="0" w:space="0" w:color="auto"/>
                <w:left w:val="none" w:sz="0" w:space="0" w:color="auto"/>
                <w:bottom w:val="none" w:sz="0" w:space="0" w:color="auto"/>
                <w:right w:val="none" w:sz="0" w:space="0" w:color="auto"/>
              </w:divBdr>
            </w:div>
          </w:divsChild>
        </w:div>
        <w:div w:id="663046340">
          <w:marLeft w:val="0"/>
          <w:marRight w:val="0"/>
          <w:marTop w:val="0"/>
          <w:marBottom w:val="0"/>
          <w:divBdr>
            <w:top w:val="none" w:sz="0" w:space="0" w:color="auto"/>
            <w:left w:val="none" w:sz="0" w:space="0" w:color="auto"/>
            <w:bottom w:val="none" w:sz="0" w:space="0" w:color="auto"/>
            <w:right w:val="none" w:sz="0" w:space="0" w:color="auto"/>
          </w:divBdr>
          <w:divsChild>
            <w:div w:id="754982028">
              <w:marLeft w:val="0"/>
              <w:marRight w:val="0"/>
              <w:marTop w:val="0"/>
              <w:marBottom w:val="0"/>
              <w:divBdr>
                <w:top w:val="none" w:sz="0" w:space="0" w:color="auto"/>
                <w:left w:val="none" w:sz="0" w:space="0" w:color="auto"/>
                <w:bottom w:val="none" w:sz="0" w:space="0" w:color="auto"/>
                <w:right w:val="none" w:sz="0" w:space="0" w:color="auto"/>
              </w:divBdr>
            </w:div>
          </w:divsChild>
        </w:div>
        <w:div w:id="688916509">
          <w:marLeft w:val="0"/>
          <w:marRight w:val="0"/>
          <w:marTop w:val="0"/>
          <w:marBottom w:val="0"/>
          <w:divBdr>
            <w:top w:val="none" w:sz="0" w:space="0" w:color="auto"/>
            <w:left w:val="none" w:sz="0" w:space="0" w:color="auto"/>
            <w:bottom w:val="none" w:sz="0" w:space="0" w:color="auto"/>
            <w:right w:val="none" w:sz="0" w:space="0" w:color="auto"/>
          </w:divBdr>
          <w:divsChild>
            <w:div w:id="39862067">
              <w:marLeft w:val="0"/>
              <w:marRight w:val="0"/>
              <w:marTop w:val="0"/>
              <w:marBottom w:val="0"/>
              <w:divBdr>
                <w:top w:val="none" w:sz="0" w:space="0" w:color="auto"/>
                <w:left w:val="none" w:sz="0" w:space="0" w:color="auto"/>
                <w:bottom w:val="none" w:sz="0" w:space="0" w:color="auto"/>
                <w:right w:val="none" w:sz="0" w:space="0" w:color="auto"/>
              </w:divBdr>
            </w:div>
          </w:divsChild>
        </w:div>
        <w:div w:id="704017337">
          <w:marLeft w:val="0"/>
          <w:marRight w:val="0"/>
          <w:marTop w:val="0"/>
          <w:marBottom w:val="0"/>
          <w:divBdr>
            <w:top w:val="none" w:sz="0" w:space="0" w:color="auto"/>
            <w:left w:val="none" w:sz="0" w:space="0" w:color="auto"/>
            <w:bottom w:val="none" w:sz="0" w:space="0" w:color="auto"/>
            <w:right w:val="none" w:sz="0" w:space="0" w:color="auto"/>
          </w:divBdr>
          <w:divsChild>
            <w:div w:id="1948079878">
              <w:marLeft w:val="0"/>
              <w:marRight w:val="0"/>
              <w:marTop w:val="0"/>
              <w:marBottom w:val="0"/>
              <w:divBdr>
                <w:top w:val="none" w:sz="0" w:space="0" w:color="auto"/>
                <w:left w:val="none" w:sz="0" w:space="0" w:color="auto"/>
                <w:bottom w:val="none" w:sz="0" w:space="0" w:color="auto"/>
                <w:right w:val="none" w:sz="0" w:space="0" w:color="auto"/>
              </w:divBdr>
            </w:div>
          </w:divsChild>
        </w:div>
        <w:div w:id="708577429">
          <w:marLeft w:val="0"/>
          <w:marRight w:val="0"/>
          <w:marTop w:val="0"/>
          <w:marBottom w:val="0"/>
          <w:divBdr>
            <w:top w:val="none" w:sz="0" w:space="0" w:color="auto"/>
            <w:left w:val="none" w:sz="0" w:space="0" w:color="auto"/>
            <w:bottom w:val="none" w:sz="0" w:space="0" w:color="auto"/>
            <w:right w:val="none" w:sz="0" w:space="0" w:color="auto"/>
          </w:divBdr>
          <w:divsChild>
            <w:div w:id="823354276">
              <w:marLeft w:val="0"/>
              <w:marRight w:val="0"/>
              <w:marTop w:val="0"/>
              <w:marBottom w:val="0"/>
              <w:divBdr>
                <w:top w:val="none" w:sz="0" w:space="0" w:color="auto"/>
                <w:left w:val="none" w:sz="0" w:space="0" w:color="auto"/>
                <w:bottom w:val="none" w:sz="0" w:space="0" w:color="auto"/>
                <w:right w:val="none" w:sz="0" w:space="0" w:color="auto"/>
              </w:divBdr>
            </w:div>
          </w:divsChild>
        </w:div>
        <w:div w:id="796487960">
          <w:marLeft w:val="0"/>
          <w:marRight w:val="0"/>
          <w:marTop w:val="0"/>
          <w:marBottom w:val="0"/>
          <w:divBdr>
            <w:top w:val="none" w:sz="0" w:space="0" w:color="auto"/>
            <w:left w:val="none" w:sz="0" w:space="0" w:color="auto"/>
            <w:bottom w:val="none" w:sz="0" w:space="0" w:color="auto"/>
            <w:right w:val="none" w:sz="0" w:space="0" w:color="auto"/>
          </w:divBdr>
          <w:divsChild>
            <w:div w:id="421100947">
              <w:marLeft w:val="0"/>
              <w:marRight w:val="0"/>
              <w:marTop w:val="0"/>
              <w:marBottom w:val="0"/>
              <w:divBdr>
                <w:top w:val="none" w:sz="0" w:space="0" w:color="auto"/>
                <w:left w:val="none" w:sz="0" w:space="0" w:color="auto"/>
                <w:bottom w:val="none" w:sz="0" w:space="0" w:color="auto"/>
                <w:right w:val="none" w:sz="0" w:space="0" w:color="auto"/>
              </w:divBdr>
            </w:div>
          </w:divsChild>
        </w:div>
        <w:div w:id="828181093">
          <w:marLeft w:val="0"/>
          <w:marRight w:val="0"/>
          <w:marTop w:val="0"/>
          <w:marBottom w:val="0"/>
          <w:divBdr>
            <w:top w:val="none" w:sz="0" w:space="0" w:color="auto"/>
            <w:left w:val="none" w:sz="0" w:space="0" w:color="auto"/>
            <w:bottom w:val="none" w:sz="0" w:space="0" w:color="auto"/>
            <w:right w:val="none" w:sz="0" w:space="0" w:color="auto"/>
          </w:divBdr>
          <w:divsChild>
            <w:div w:id="1529026730">
              <w:marLeft w:val="0"/>
              <w:marRight w:val="0"/>
              <w:marTop w:val="0"/>
              <w:marBottom w:val="0"/>
              <w:divBdr>
                <w:top w:val="none" w:sz="0" w:space="0" w:color="auto"/>
                <w:left w:val="none" w:sz="0" w:space="0" w:color="auto"/>
                <w:bottom w:val="none" w:sz="0" w:space="0" w:color="auto"/>
                <w:right w:val="none" w:sz="0" w:space="0" w:color="auto"/>
              </w:divBdr>
            </w:div>
          </w:divsChild>
        </w:div>
        <w:div w:id="836505374">
          <w:marLeft w:val="0"/>
          <w:marRight w:val="0"/>
          <w:marTop w:val="0"/>
          <w:marBottom w:val="0"/>
          <w:divBdr>
            <w:top w:val="none" w:sz="0" w:space="0" w:color="auto"/>
            <w:left w:val="none" w:sz="0" w:space="0" w:color="auto"/>
            <w:bottom w:val="none" w:sz="0" w:space="0" w:color="auto"/>
            <w:right w:val="none" w:sz="0" w:space="0" w:color="auto"/>
          </w:divBdr>
          <w:divsChild>
            <w:div w:id="1457291207">
              <w:marLeft w:val="0"/>
              <w:marRight w:val="0"/>
              <w:marTop w:val="0"/>
              <w:marBottom w:val="0"/>
              <w:divBdr>
                <w:top w:val="none" w:sz="0" w:space="0" w:color="auto"/>
                <w:left w:val="none" w:sz="0" w:space="0" w:color="auto"/>
                <w:bottom w:val="none" w:sz="0" w:space="0" w:color="auto"/>
                <w:right w:val="none" w:sz="0" w:space="0" w:color="auto"/>
              </w:divBdr>
            </w:div>
          </w:divsChild>
        </w:div>
        <w:div w:id="847132682">
          <w:marLeft w:val="0"/>
          <w:marRight w:val="0"/>
          <w:marTop w:val="0"/>
          <w:marBottom w:val="0"/>
          <w:divBdr>
            <w:top w:val="none" w:sz="0" w:space="0" w:color="auto"/>
            <w:left w:val="none" w:sz="0" w:space="0" w:color="auto"/>
            <w:bottom w:val="none" w:sz="0" w:space="0" w:color="auto"/>
            <w:right w:val="none" w:sz="0" w:space="0" w:color="auto"/>
          </w:divBdr>
          <w:divsChild>
            <w:div w:id="1055007204">
              <w:marLeft w:val="0"/>
              <w:marRight w:val="0"/>
              <w:marTop w:val="0"/>
              <w:marBottom w:val="0"/>
              <w:divBdr>
                <w:top w:val="none" w:sz="0" w:space="0" w:color="auto"/>
                <w:left w:val="none" w:sz="0" w:space="0" w:color="auto"/>
                <w:bottom w:val="none" w:sz="0" w:space="0" w:color="auto"/>
                <w:right w:val="none" w:sz="0" w:space="0" w:color="auto"/>
              </w:divBdr>
            </w:div>
          </w:divsChild>
        </w:div>
        <w:div w:id="848763529">
          <w:marLeft w:val="0"/>
          <w:marRight w:val="0"/>
          <w:marTop w:val="0"/>
          <w:marBottom w:val="0"/>
          <w:divBdr>
            <w:top w:val="none" w:sz="0" w:space="0" w:color="auto"/>
            <w:left w:val="none" w:sz="0" w:space="0" w:color="auto"/>
            <w:bottom w:val="none" w:sz="0" w:space="0" w:color="auto"/>
            <w:right w:val="none" w:sz="0" w:space="0" w:color="auto"/>
          </w:divBdr>
          <w:divsChild>
            <w:div w:id="2090493754">
              <w:marLeft w:val="0"/>
              <w:marRight w:val="0"/>
              <w:marTop w:val="0"/>
              <w:marBottom w:val="0"/>
              <w:divBdr>
                <w:top w:val="none" w:sz="0" w:space="0" w:color="auto"/>
                <w:left w:val="none" w:sz="0" w:space="0" w:color="auto"/>
                <w:bottom w:val="none" w:sz="0" w:space="0" w:color="auto"/>
                <w:right w:val="none" w:sz="0" w:space="0" w:color="auto"/>
              </w:divBdr>
            </w:div>
          </w:divsChild>
        </w:div>
        <w:div w:id="871848732">
          <w:marLeft w:val="0"/>
          <w:marRight w:val="0"/>
          <w:marTop w:val="0"/>
          <w:marBottom w:val="0"/>
          <w:divBdr>
            <w:top w:val="none" w:sz="0" w:space="0" w:color="auto"/>
            <w:left w:val="none" w:sz="0" w:space="0" w:color="auto"/>
            <w:bottom w:val="none" w:sz="0" w:space="0" w:color="auto"/>
            <w:right w:val="none" w:sz="0" w:space="0" w:color="auto"/>
          </w:divBdr>
          <w:divsChild>
            <w:div w:id="2132746711">
              <w:marLeft w:val="0"/>
              <w:marRight w:val="0"/>
              <w:marTop w:val="0"/>
              <w:marBottom w:val="0"/>
              <w:divBdr>
                <w:top w:val="none" w:sz="0" w:space="0" w:color="auto"/>
                <w:left w:val="none" w:sz="0" w:space="0" w:color="auto"/>
                <w:bottom w:val="none" w:sz="0" w:space="0" w:color="auto"/>
                <w:right w:val="none" w:sz="0" w:space="0" w:color="auto"/>
              </w:divBdr>
            </w:div>
          </w:divsChild>
        </w:div>
        <w:div w:id="888421409">
          <w:marLeft w:val="0"/>
          <w:marRight w:val="0"/>
          <w:marTop w:val="0"/>
          <w:marBottom w:val="0"/>
          <w:divBdr>
            <w:top w:val="none" w:sz="0" w:space="0" w:color="auto"/>
            <w:left w:val="none" w:sz="0" w:space="0" w:color="auto"/>
            <w:bottom w:val="none" w:sz="0" w:space="0" w:color="auto"/>
            <w:right w:val="none" w:sz="0" w:space="0" w:color="auto"/>
          </w:divBdr>
          <w:divsChild>
            <w:div w:id="1725450697">
              <w:marLeft w:val="0"/>
              <w:marRight w:val="0"/>
              <w:marTop w:val="0"/>
              <w:marBottom w:val="0"/>
              <w:divBdr>
                <w:top w:val="none" w:sz="0" w:space="0" w:color="auto"/>
                <w:left w:val="none" w:sz="0" w:space="0" w:color="auto"/>
                <w:bottom w:val="none" w:sz="0" w:space="0" w:color="auto"/>
                <w:right w:val="none" w:sz="0" w:space="0" w:color="auto"/>
              </w:divBdr>
            </w:div>
          </w:divsChild>
        </w:div>
        <w:div w:id="932470697">
          <w:marLeft w:val="0"/>
          <w:marRight w:val="0"/>
          <w:marTop w:val="0"/>
          <w:marBottom w:val="0"/>
          <w:divBdr>
            <w:top w:val="none" w:sz="0" w:space="0" w:color="auto"/>
            <w:left w:val="none" w:sz="0" w:space="0" w:color="auto"/>
            <w:bottom w:val="none" w:sz="0" w:space="0" w:color="auto"/>
            <w:right w:val="none" w:sz="0" w:space="0" w:color="auto"/>
          </w:divBdr>
          <w:divsChild>
            <w:div w:id="59718972">
              <w:marLeft w:val="0"/>
              <w:marRight w:val="0"/>
              <w:marTop w:val="0"/>
              <w:marBottom w:val="0"/>
              <w:divBdr>
                <w:top w:val="none" w:sz="0" w:space="0" w:color="auto"/>
                <w:left w:val="none" w:sz="0" w:space="0" w:color="auto"/>
                <w:bottom w:val="none" w:sz="0" w:space="0" w:color="auto"/>
                <w:right w:val="none" w:sz="0" w:space="0" w:color="auto"/>
              </w:divBdr>
            </w:div>
          </w:divsChild>
        </w:div>
        <w:div w:id="944770790">
          <w:marLeft w:val="0"/>
          <w:marRight w:val="0"/>
          <w:marTop w:val="0"/>
          <w:marBottom w:val="0"/>
          <w:divBdr>
            <w:top w:val="none" w:sz="0" w:space="0" w:color="auto"/>
            <w:left w:val="none" w:sz="0" w:space="0" w:color="auto"/>
            <w:bottom w:val="none" w:sz="0" w:space="0" w:color="auto"/>
            <w:right w:val="none" w:sz="0" w:space="0" w:color="auto"/>
          </w:divBdr>
          <w:divsChild>
            <w:div w:id="861432537">
              <w:marLeft w:val="0"/>
              <w:marRight w:val="0"/>
              <w:marTop w:val="0"/>
              <w:marBottom w:val="0"/>
              <w:divBdr>
                <w:top w:val="none" w:sz="0" w:space="0" w:color="auto"/>
                <w:left w:val="none" w:sz="0" w:space="0" w:color="auto"/>
                <w:bottom w:val="none" w:sz="0" w:space="0" w:color="auto"/>
                <w:right w:val="none" w:sz="0" w:space="0" w:color="auto"/>
              </w:divBdr>
            </w:div>
          </w:divsChild>
        </w:div>
        <w:div w:id="982537378">
          <w:marLeft w:val="0"/>
          <w:marRight w:val="0"/>
          <w:marTop w:val="0"/>
          <w:marBottom w:val="0"/>
          <w:divBdr>
            <w:top w:val="none" w:sz="0" w:space="0" w:color="auto"/>
            <w:left w:val="none" w:sz="0" w:space="0" w:color="auto"/>
            <w:bottom w:val="none" w:sz="0" w:space="0" w:color="auto"/>
            <w:right w:val="none" w:sz="0" w:space="0" w:color="auto"/>
          </w:divBdr>
          <w:divsChild>
            <w:div w:id="1991978275">
              <w:marLeft w:val="0"/>
              <w:marRight w:val="0"/>
              <w:marTop w:val="0"/>
              <w:marBottom w:val="0"/>
              <w:divBdr>
                <w:top w:val="none" w:sz="0" w:space="0" w:color="auto"/>
                <w:left w:val="none" w:sz="0" w:space="0" w:color="auto"/>
                <w:bottom w:val="none" w:sz="0" w:space="0" w:color="auto"/>
                <w:right w:val="none" w:sz="0" w:space="0" w:color="auto"/>
              </w:divBdr>
            </w:div>
          </w:divsChild>
        </w:div>
        <w:div w:id="983196213">
          <w:marLeft w:val="0"/>
          <w:marRight w:val="0"/>
          <w:marTop w:val="0"/>
          <w:marBottom w:val="0"/>
          <w:divBdr>
            <w:top w:val="none" w:sz="0" w:space="0" w:color="auto"/>
            <w:left w:val="none" w:sz="0" w:space="0" w:color="auto"/>
            <w:bottom w:val="none" w:sz="0" w:space="0" w:color="auto"/>
            <w:right w:val="none" w:sz="0" w:space="0" w:color="auto"/>
          </w:divBdr>
          <w:divsChild>
            <w:div w:id="1909726765">
              <w:marLeft w:val="0"/>
              <w:marRight w:val="0"/>
              <w:marTop w:val="0"/>
              <w:marBottom w:val="0"/>
              <w:divBdr>
                <w:top w:val="none" w:sz="0" w:space="0" w:color="auto"/>
                <w:left w:val="none" w:sz="0" w:space="0" w:color="auto"/>
                <w:bottom w:val="none" w:sz="0" w:space="0" w:color="auto"/>
                <w:right w:val="none" w:sz="0" w:space="0" w:color="auto"/>
              </w:divBdr>
            </w:div>
          </w:divsChild>
        </w:div>
        <w:div w:id="1055621105">
          <w:marLeft w:val="0"/>
          <w:marRight w:val="0"/>
          <w:marTop w:val="0"/>
          <w:marBottom w:val="0"/>
          <w:divBdr>
            <w:top w:val="none" w:sz="0" w:space="0" w:color="auto"/>
            <w:left w:val="none" w:sz="0" w:space="0" w:color="auto"/>
            <w:bottom w:val="none" w:sz="0" w:space="0" w:color="auto"/>
            <w:right w:val="none" w:sz="0" w:space="0" w:color="auto"/>
          </w:divBdr>
          <w:divsChild>
            <w:div w:id="1266232732">
              <w:marLeft w:val="0"/>
              <w:marRight w:val="0"/>
              <w:marTop w:val="0"/>
              <w:marBottom w:val="0"/>
              <w:divBdr>
                <w:top w:val="none" w:sz="0" w:space="0" w:color="auto"/>
                <w:left w:val="none" w:sz="0" w:space="0" w:color="auto"/>
                <w:bottom w:val="none" w:sz="0" w:space="0" w:color="auto"/>
                <w:right w:val="none" w:sz="0" w:space="0" w:color="auto"/>
              </w:divBdr>
            </w:div>
          </w:divsChild>
        </w:div>
        <w:div w:id="1074350861">
          <w:marLeft w:val="0"/>
          <w:marRight w:val="0"/>
          <w:marTop w:val="0"/>
          <w:marBottom w:val="0"/>
          <w:divBdr>
            <w:top w:val="none" w:sz="0" w:space="0" w:color="auto"/>
            <w:left w:val="none" w:sz="0" w:space="0" w:color="auto"/>
            <w:bottom w:val="none" w:sz="0" w:space="0" w:color="auto"/>
            <w:right w:val="none" w:sz="0" w:space="0" w:color="auto"/>
          </w:divBdr>
          <w:divsChild>
            <w:div w:id="1220938024">
              <w:marLeft w:val="0"/>
              <w:marRight w:val="0"/>
              <w:marTop w:val="0"/>
              <w:marBottom w:val="0"/>
              <w:divBdr>
                <w:top w:val="none" w:sz="0" w:space="0" w:color="auto"/>
                <w:left w:val="none" w:sz="0" w:space="0" w:color="auto"/>
                <w:bottom w:val="none" w:sz="0" w:space="0" w:color="auto"/>
                <w:right w:val="none" w:sz="0" w:space="0" w:color="auto"/>
              </w:divBdr>
            </w:div>
          </w:divsChild>
        </w:div>
        <w:div w:id="1091851034">
          <w:marLeft w:val="0"/>
          <w:marRight w:val="0"/>
          <w:marTop w:val="0"/>
          <w:marBottom w:val="0"/>
          <w:divBdr>
            <w:top w:val="none" w:sz="0" w:space="0" w:color="auto"/>
            <w:left w:val="none" w:sz="0" w:space="0" w:color="auto"/>
            <w:bottom w:val="none" w:sz="0" w:space="0" w:color="auto"/>
            <w:right w:val="none" w:sz="0" w:space="0" w:color="auto"/>
          </w:divBdr>
          <w:divsChild>
            <w:div w:id="1045103885">
              <w:marLeft w:val="0"/>
              <w:marRight w:val="0"/>
              <w:marTop w:val="0"/>
              <w:marBottom w:val="0"/>
              <w:divBdr>
                <w:top w:val="none" w:sz="0" w:space="0" w:color="auto"/>
                <w:left w:val="none" w:sz="0" w:space="0" w:color="auto"/>
                <w:bottom w:val="none" w:sz="0" w:space="0" w:color="auto"/>
                <w:right w:val="none" w:sz="0" w:space="0" w:color="auto"/>
              </w:divBdr>
            </w:div>
          </w:divsChild>
        </w:div>
        <w:div w:id="1103694595">
          <w:marLeft w:val="0"/>
          <w:marRight w:val="0"/>
          <w:marTop w:val="0"/>
          <w:marBottom w:val="0"/>
          <w:divBdr>
            <w:top w:val="none" w:sz="0" w:space="0" w:color="auto"/>
            <w:left w:val="none" w:sz="0" w:space="0" w:color="auto"/>
            <w:bottom w:val="none" w:sz="0" w:space="0" w:color="auto"/>
            <w:right w:val="none" w:sz="0" w:space="0" w:color="auto"/>
          </w:divBdr>
          <w:divsChild>
            <w:div w:id="385224683">
              <w:marLeft w:val="0"/>
              <w:marRight w:val="0"/>
              <w:marTop w:val="0"/>
              <w:marBottom w:val="0"/>
              <w:divBdr>
                <w:top w:val="none" w:sz="0" w:space="0" w:color="auto"/>
                <w:left w:val="none" w:sz="0" w:space="0" w:color="auto"/>
                <w:bottom w:val="none" w:sz="0" w:space="0" w:color="auto"/>
                <w:right w:val="none" w:sz="0" w:space="0" w:color="auto"/>
              </w:divBdr>
            </w:div>
          </w:divsChild>
        </w:div>
        <w:div w:id="1117525325">
          <w:marLeft w:val="0"/>
          <w:marRight w:val="0"/>
          <w:marTop w:val="0"/>
          <w:marBottom w:val="0"/>
          <w:divBdr>
            <w:top w:val="none" w:sz="0" w:space="0" w:color="auto"/>
            <w:left w:val="none" w:sz="0" w:space="0" w:color="auto"/>
            <w:bottom w:val="none" w:sz="0" w:space="0" w:color="auto"/>
            <w:right w:val="none" w:sz="0" w:space="0" w:color="auto"/>
          </w:divBdr>
          <w:divsChild>
            <w:div w:id="1832287302">
              <w:marLeft w:val="0"/>
              <w:marRight w:val="0"/>
              <w:marTop w:val="0"/>
              <w:marBottom w:val="0"/>
              <w:divBdr>
                <w:top w:val="none" w:sz="0" w:space="0" w:color="auto"/>
                <w:left w:val="none" w:sz="0" w:space="0" w:color="auto"/>
                <w:bottom w:val="none" w:sz="0" w:space="0" w:color="auto"/>
                <w:right w:val="none" w:sz="0" w:space="0" w:color="auto"/>
              </w:divBdr>
            </w:div>
          </w:divsChild>
        </w:div>
        <w:div w:id="1118524744">
          <w:marLeft w:val="0"/>
          <w:marRight w:val="0"/>
          <w:marTop w:val="0"/>
          <w:marBottom w:val="0"/>
          <w:divBdr>
            <w:top w:val="none" w:sz="0" w:space="0" w:color="auto"/>
            <w:left w:val="none" w:sz="0" w:space="0" w:color="auto"/>
            <w:bottom w:val="none" w:sz="0" w:space="0" w:color="auto"/>
            <w:right w:val="none" w:sz="0" w:space="0" w:color="auto"/>
          </w:divBdr>
          <w:divsChild>
            <w:div w:id="1974836">
              <w:marLeft w:val="0"/>
              <w:marRight w:val="0"/>
              <w:marTop w:val="0"/>
              <w:marBottom w:val="0"/>
              <w:divBdr>
                <w:top w:val="none" w:sz="0" w:space="0" w:color="auto"/>
                <w:left w:val="none" w:sz="0" w:space="0" w:color="auto"/>
                <w:bottom w:val="none" w:sz="0" w:space="0" w:color="auto"/>
                <w:right w:val="none" w:sz="0" w:space="0" w:color="auto"/>
              </w:divBdr>
            </w:div>
          </w:divsChild>
        </w:div>
        <w:div w:id="1121412211">
          <w:marLeft w:val="0"/>
          <w:marRight w:val="0"/>
          <w:marTop w:val="0"/>
          <w:marBottom w:val="0"/>
          <w:divBdr>
            <w:top w:val="none" w:sz="0" w:space="0" w:color="auto"/>
            <w:left w:val="none" w:sz="0" w:space="0" w:color="auto"/>
            <w:bottom w:val="none" w:sz="0" w:space="0" w:color="auto"/>
            <w:right w:val="none" w:sz="0" w:space="0" w:color="auto"/>
          </w:divBdr>
          <w:divsChild>
            <w:div w:id="1009019863">
              <w:marLeft w:val="0"/>
              <w:marRight w:val="0"/>
              <w:marTop w:val="0"/>
              <w:marBottom w:val="0"/>
              <w:divBdr>
                <w:top w:val="none" w:sz="0" w:space="0" w:color="auto"/>
                <w:left w:val="none" w:sz="0" w:space="0" w:color="auto"/>
                <w:bottom w:val="none" w:sz="0" w:space="0" w:color="auto"/>
                <w:right w:val="none" w:sz="0" w:space="0" w:color="auto"/>
              </w:divBdr>
            </w:div>
          </w:divsChild>
        </w:div>
        <w:div w:id="1135566762">
          <w:marLeft w:val="0"/>
          <w:marRight w:val="0"/>
          <w:marTop w:val="0"/>
          <w:marBottom w:val="0"/>
          <w:divBdr>
            <w:top w:val="none" w:sz="0" w:space="0" w:color="auto"/>
            <w:left w:val="none" w:sz="0" w:space="0" w:color="auto"/>
            <w:bottom w:val="none" w:sz="0" w:space="0" w:color="auto"/>
            <w:right w:val="none" w:sz="0" w:space="0" w:color="auto"/>
          </w:divBdr>
          <w:divsChild>
            <w:div w:id="459345999">
              <w:marLeft w:val="0"/>
              <w:marRight w:val="0"/>
              <w:marTop w:val="0"/>
              <w:marBottom w:val="0"/>
              <w:divBdr>
                <w:top w:val="none" w:sz="0" w:space="0" w:color="auto"/>
                <w:left w:val="none" w:sz="0" w:space="0" w:color="auto"/>
                <w:bottom w:val="none" w:sz="0" w:space="0" w:color="auto"/>
                <w:right w:val="none" w:sz="0" w:space="0" w:color="auto"/>
              </w:divBdr>
            </w:div>
          </w:divsChild>
        </w:div>
        <w:div w:id="1143353278">
          <w:marLeft w:val="0"/>
          <w:marRight w:val="0"/>
          <w:marTop w:val="0"/>
          <w:marBottom w:val="0"/>
          <w:divBdr>
            <w:top w:val="none" w:sz="0" w:space="0" w:color="auto"/>
            <w:left w:val="none" w:sz="0" w:space="0" w:color="auto"/>
            <w:bottom w:val="none" w:sz="0" w:space="0" w:color="auto"/>
            <w:right w:val="none" w:sz="0" w:space="0" w:color="auto"/>
          </w:divBdr>
          <w:divsChild>
            <w:div w:id="267128808">
              <w:marLeft w:val="0"/>
              <w:marRight w:val="0"/>
              <w:marTop w:val="0"/>
              <w:marBottom w:val="0"/>
              <w:divBdr>
                <w:top w:val="none" w:sz="0" w:space="0" w:color="auto"/>
                <w:left w:val="none" w:sz="0" w:space="0" w:color="auto"/>
                <w:bottom w:val="none" w:sz="0" w:space="0" w:color="auto"/>
                <w:right w:val="none" w:sz="0" w:space="0" w:color="auto"/>
              </w:divBdr>
            </w:div>
          </w:divsChild>
        </w:div>
        <w:div w:id="1170750380">
          <w:marLeft w:val="0"/>
          <w:marRight w:val="0"/>
          <w:marTop w:val="0"/>
          <w:marBottom w:val="0"/>
          <w:divBdr>
            <w:top w:val="none" w:sz="0" w:space="0" w:color="auto"/>
            <w:left w:val="none" w:sz="0" w:space="0" w:color="auto"/>
            <w:bottom w:val="none" w:sz="0" w:space="0" w:color="auto"/>
            <w:right w:val="none" w:sz="0" w:space="0" w:color="auto"/>
          </w:divBdr>
          <w:divsChild>
            <w:div w:id="284699456">
              <w:marLeft w:val="0"/>
              <w:marRight w:val="0"/>
              <w:marTop w:val="0"/>
              <w:marBottom w:val="0"/>
              <w:divBdr>
                <w:top w:val="none" w:sz="0" w:space="0" w:color="auto"/>
                <w:left w:val="none" w:sz="0" w:space="0" w:color="auto"/>
                <w:bottom w:val="none" w:sz="0" w:space="0" w:color="auto"/>
                <w:right w:val="none" w:sz="0" w:space="0" w:color="auto"/>
              </w:divBdr>
            </w:div>
          </w:divsChild>
        </w:div>
        <w:div w:id="1179388471">
          <w:marLeft w:val="0"/>
          <w:marRight w:val="0"/>
          <w:marTop w:val="0"/>
          <w:marBottom w:val="0"/>
          <w:divBdr>
            <w:top w:val="none" w:sz="0" w:space="0" w:color="auto"/>
            <w:left w:val="none" w:sz="0" w:space="0" w:color="auto"/>
            <w:bottom w:val="none" w:sz="0" w:space="0" w:color="auto"/>
            <w:right w:val="none" w:sz="0" w:space="0" w:color="auto"/>
          </w:divBdr>
          <w:divsChild>
            <w:div w:id="1704551009">
              <w:marLeft w:val="0"/>
              <w:marRight w:val="0"/>
              <w:marTop w:val="0"/>
              <w:marBottom w:val="0"/>
              <w:divBdr>
                <w:top w:val="none" w:sz="0" w:space="0" w:color="auto"/>
                <w:left w:val="none" w:sz="0" w:space="0" w:color="auto"/>
                <w:bottom w:val="none" w:sz="0" w:space="0" w:color="auto"/>
                <w:right w:val="none" w:sz="0" w:space="0" w:color="auto"/>
              </w:divBdr>
            </w:div>
          </w:divsChild>
        </w:div>
        <w:div w:id="1198272607">
          <w:marLeft w:val="0"/>
          <w:marRight w:val="0"/>
          <w:marTop w:val="0"/>
          <w:marBottom w:val="0"/>
          <w:divBdr>
            <w:top w:val="none" w:sz="0" w:space="0" w:color="auto"/>
            <w:left w:val="none" w:sz="0" w:space="0" w:color="auto"/>
            <w:bottom w:val="none" w:sz="0" w:space="0" w:color="auto"/>
            <w:right w:val="none" w:sz="0" w:space="0" w:color="auto"/>
          </w:divBdr>
          <w:divsChild>
            <w:div w:id="587036572">
              <w:marLeft w:val="0"/>
              <w:marRight w:val="0"/>
              <w:marTop w:val="0"/>
              <w:marBottom w:val="0"/>
              <w:divBdr>
                <w:top w:val="none" w:sz="0" w:space="0" w:color="auto"/>
                <w:left w:val="none" w:sz="0" w:space="0" w:color="auto"/>
                <w:bottom w:val="none" w:sz="0" w:space="0" w:color="auto"/>
                <w:right w:val="none" w:sz="0" w:space="0" w:color="auto"/>
              </w:divBdr>
            </w:div>
          </w:divsChild>
        </w:div>
        <w:div w:id="1208448063">
          <w:marLeft w:val="0"/>
          <w:marRight w:val="0"/>
          <w:marTop w:val="0"/>
          <w:marBottom w:val="0"/>
          <w:divBdr>
            <w:top w:val="none" w:sz="0" w:space="0" w:color="auto"/>
            <w:left w:val="none" w:sz="0" w:space="0" w:color="auto"/>
            <w:bottom w:val="none" w:sz="0" w:space="0" w:color="auto"/>
            <w:right w:val="none" w:sz="0" w:space="0" w:color="auto"/>
          </w:divBdr>
          <w:divsChild>
            <w:div w:id="654839320">
              <w:marLeft w:val="0"/>
              <w:marRight w:val="0"/>
              <w:marTop w:val="0"/>
              <w:marBottom w:val="0"/>
              <w:divBdr>
                <w:top w:val="none" w:sz="0" w:space="0" w:color="auto"/>
                <w:left w:val="none" w:sz="0" w:space="0" w:color="auto"/>
                <w:bottom w:val="none" w:sz="0" w:space="0" w:color="auto"/>
                <w:right w:val="none" w:sz="0" w:space="0" w:color="auto"/>
              </w:divBdr>
            </w:div>
          </w:divsChild>
        </w:div>
        <w:div w:id="1246959142">
          <w:marLeft w:val="0"/>
          <w:marRight w:val="0"/>
          <w:marTop w:val="0"/>
          <w:marBottom w:val="0"/>
          <w:divBdr>
            <w:top w:val="none" w:sz="0" w:space="0" w:color="auto"/>
            <w:left w:val="none" w:sz="0" w:space="0" w:color="auto"/>
            <w:bottom w:val="none" w:sz="0" w:space="0" w:color="auto"/>
            <w:right w:val="none" w:sz="0" w:space="0" w:color="auto"/>
          </w:divBdr>
          <w:divsChild>
            <w:div w:id="448167056">
              <w:marLeft w:val="0"/>
              <w:marRight w:val="0"/>
              <w:marTop w:val="0"/>
              <w:marBottom w:val="0"/>
              <w:divBdr>
                <w:top w:val="none" w:sz="0" w:space="0" w:color="auto"/>
                <w:left w:val="none" w:sz="0" w:space="0" w:color="auto"/>
                <w:bottom w:val="none" w:sz="0" w:space="0" w:color="auto"/>
                <w:right w:val="none" w:sz="0" w:space="0" w:color="auto"/>
              </w:divBdr>
            </w:div>
          </w:divsChild>
        </w:div>
        <w:div w:id="1277565453">
          <w:marLeft w:val="0"/>
          <w:marRight w:val="0"/>
          <w:marTop w:val="0"/>
          <w:marBottom w:val="0"/>
          <w:divBdr>
            <w:top w:val="none" w:sz="0" w:space="0" w:color="auto"/>
            <w:left w:val="none" w:sz="0" w:space="0" w:color="auto"/>
            <w:bottom w:val="none" w:sz="0" w:space="0" w:color="auto"/>
            <w:right w:val="none" w:sz="0" w:space="0" w:color="auto"/>
          </w:divBdr>
          <w:divsChild>
            <w:div w:id="540289839">
              <w:marLeft w:val="0"/>
              <w:marRight w:val="0"/>
              <w:marTop w:val="0"/>
              <w:marBottom w:val="0"/>
              <w:divBdr>
                <w:top w:val="none" w:sz="0" w:space="0" w:color="auto"/>
                <w:left w:val="none" w:sz="0" w:space="0" w:color="auto"/>
                <w:bottom w:val="none" w:sz="0" w:space="0" w:color="auto"/>
                <w:right w:val="none" w:sz="0" w:space="0" w:color="auto"/>
              </w:divBdr>
            </w:div>
          </w:divsChild>
        </w:div>
        <w:div w:id="1286160820">
          <w:marLeft w:val="0"/>
          <w:marRight w:val="0"/>
          <w:marTop w:val="0"/>
          <w:marBottom w:val="0"/>
          <w:divBdr>
            <w:top w:val="none" w:sz="0" w:space="0" w:color="auto"/>
            <w:left w:val="none" w:sz="0" w:space="0" w:color="auto"/>
            <w:bottom w:val="none" w:sz="0" w:space="0" w:color="auto"/>
            <w:right w:val="none" w:sz="0" w:space="0" w:color="auto"/>
          </w:divBdr>
          <w:divsChild>
            <w:div w:id="1417819362">
              <w:marLeft w:val="0"/>
              <w:marRight w:val="0"/>
              <w:marTop w:val="0"/>
              <w:marBottom w:val="0"/>
              <w:divBdr>
                <w:top w:val="none" w:sz="0" w:space="0" w:color="auto"/>
                <w:left w:val="none" w:sz="0" w:space="0" w:color="auto"/>
                <w:bottom w:val="none" w:sz="0" w:space="0" w:color="auto"/>
                <w:right w:val="none" w:sz="0" w:space="0" w:color="auto"/>
              </w:divBdr>
            </w:div>
          </w:divsChild>
        </w:div>
        <w:div w:id="1304775301">
          <w:marLeft w:val="0"/>
          <w:marRight w:val="0"/>
          <w:marTop w:val="0"/>
          <w:marBottom w:val="0"/>
          <w:divBdr>
            <w:top w:val="none" w:sz="0" w:space="0" w:color="auto"/>
            <w:left w:val="none" w:sz="0" w:space="0" w:color="auto"/>
            <w:bottom w:val="none" w:sz="0" w:space="0" w:color="auto"/>
            <w:right w:val="none" w:sz="0" w:space="0" w:color="auto"/>
          </w:divBdr>
          <w:divsChild>
            <w:div w:id="1581212190">
              <w:marLeft w:val="0"/>
              <w:marRight w:val="0"/>
              <w:marTop w:val="0"/>
              <w:marBottom w:val="0"/>
              <w:divBdr>
                <w:top w:val="none" w:sz="0" w:space="0" w:color="auto"/>
                <w:left w:val="none" w:sz="0" w:space="0" w:color="auto"/>
                <w:bottom w:val="none" w:sz="0" w:space="0" w:color="auto"/>
                <w:right w:val="none" w:sz="0" w:space="0" w:color="auto"/>
              </w:divBdr>
            </w:div>
          </w:divsChild>
        </w:div>
        <w:div w:id="1311406117">
          <w:marLeft w:val="0"/>
          <w:marRight w:val="0"/>
          <w:marTop w:val="0"/>
          <w:marBottom w:val="0"/>
          <w:divBdr>
            <w:top w:val="none" w:sz="0" w:space="0" w:color="auto"/>
            <w:left w:val="none" w:sz="0" w:space="0" w:color="auto"/>
            <w:bottom w:val="none" w:sz="0" w:space="0" w:color="auto"/>
            <w:right w:val="none" w:sz="0" w:space="0" w:color="auto"/>
          </w:divBdr>
          <w:divsChild>
            <w:div w:id="1061169257">
              <w:marLeft w:val="0"/>
              <w:marRight w:val="0"/>
              <w:marTop w:val="0"/>
              <w:marBottom w:val="0"/>
              <w:divBdr>
                <w:top w:val="none" w:sz="0" w:space="0" w:color="auto"/>
                <w:left w:val="none" w:sz="0" w:space="0" w:color="auto"/>
                <w:bottom w:val="none" w:sz="0" w:space="0" w:color="auto"/>
                <w:right w:val="none" w:sz="0" w:space="0" w:color="auto"/>
              </w:divBdr>
            </w:div>
          </w:divsChild>
        </w:div>
        <w:div w:id="1312249070">
          <w:marLeft w:val="0"/>
          <w:marRight w:val="0"/>
          <w:marTop w:val="0"/>
          <w:marBottom w:val="0"/>
          <w:divBdr>
            <w:top w:val="none" w:sz="0" w:space="0" w:color="auto"/>
            <w:left w:val="none" w:sz="0" w:space="0" w:color="auto"/>
            <w:bottom w:val="none" w:sz="0" w:space="0" w:color="auto"/>
            <w:right w:val="none" w:sz="0" w:space="0" w:color="auto"/>
          </w:divBdr>
          <w:divsChild>
            <w:div w:id="283007731">
              <w:marLeft w:val="0"/>
              <w:marRight w:val="0"/>
              <w:marTop w:val="0"/>
              <w:marBottom w:val="0"/>
              <w:divBdr>
                <w:top w:val="none" w:sz="0" w:space="0" w:color="auto"/>
                <w:left w:val="none" w:sz="0" w:space="0" w:color="auto"/>
                <w:bottom w:val="none" w:sz="0" w:space="0" w:color="auto"/>
                <w:right w:val="none" w:sz="0" w:space="0" w:color="auto"/>
              </w:divBdr>
            </w:div>
          </w:divsChild>
        </w:div>
        <w:div w:id="1345547169">
          <w:marLeft w:val="0"/>
          <w:marRight w:val="0"/>
          <w:marTop w:val="0"/>
          <w:marBottom w:val="0"/>
          <w:divBdr>
            <w:top w:val="none" w:sz="0" w:space="0" w:color="auto"/>
            <w:left w:val="none" w:sz="0" w:space="0" w:color="auto"/>
            <w:bottom w:val="none" w:sz="0" w:space="0" w:color="auto"/>
            <w:right w:val="none" w:sz="0" w:space="0" w:color="auto"/>
          </w:divBdr>
          <w:divsChild>
            <w:div w:id="2017491238">
              <w:marLeft w:val="0"/>
              <w:marRight w:val="0"/>
              <w:marTop w:val="0"/>
              <w:marBottom w:val="0"/>
              <w:divBdr>
                <w:top w:val="none" w:sz="0" w:space="0" w:color="auto"/>
                <w:left w:val="none" w:sz="0" w:space="0" w:color="auto"/>
                <w:bottom w:val="none" w:sz="0" w:space="0" w:color="auto"/>
                <w:right w:val="none" w:sz="0" w:space="0" w:color="auto"/>
              </w:divBdr>
            </w:div>
          </w:divsChild>
        </w:div>
        <w:div w:id="1405686696">
          <w:marLeft w:val="0"/>
          <w:marRight w:val="0"/>
          <w:marTop w:val="0"/>
          <w:marBottom w:val="0"/>
          <w:divBdr>
            <w:top w:val="none" w:sz="0" w:space="0" w:color="auto"/>
            <w:left w:val="none" w:sz="0" w:space="0" w:color="auto"/>
            <w:bottom w:val="none" w:sz="0" w:space="0" w:color="auto"/>
            <w:right w:val="none" w:sz="0" w:space="0" w:color="auto"/>
          </w:divBdr>
          <w:divsChild>
            <w:div w:id="1831022667">
              <w:marLeft w:val="0"/>
              <w:marRight w:val="0"/>
              <w:marTop w:val="0"/>
              <w:marBottom w:val="0"/>
              <w:divBdr>
                <w:top w:val="none" w:sz="0" w:space="0" w:color="auto"/>
                <w:left w:val="none" w:sz="0" w:space="0" w:color="auto"/>
                <w:bottom w:val="none" w:sz="0" w:space="0" w:color="auto"/>
                <w:right w:val="none" w:sz="0" w:space="0" w:color="auto"/>
              </w:divBdr>
            </w:div>
          </w:divsChild>
        </w:div>
        <w:div w:id="1433361875">
          <w:marLeft w:val="0"/>
          <w:marRight w:val="0"/>
          <w:marTop w:val="0"/>
          <w:marBottom w:val="0"/>
          <w:divBdr>
            <w:top w:val="none" w:sz="0" w:space="0" w:color="auto"/>
            <w:left w:val="none" w:sz="0" w:space="0" w:color="auto"/>
            <w:bottom w:val="none" w:sz="0" w:space="0" w:color="auto"/>
            <w:right w:val="none" w:sz="0" w:space="0" w:color="auto"/>
          </w:divBdr>
          <w:divsChild>
            <w:div w:id="1500268765">
              <w:marLeft w:val="0"/>
              <w:marRight w:val="0"/>
              <w:marTop w:val="0"/>
              <w:marBottom w:val="0"/>
              <w:divBdr>
                <w:top w:val="none" w:sz="0" w:space="0" w:color="auto"/>
                <w:left w:val="none" w:sz="0" w:space="0" w:color="auto"/>
                <w:bottom w:val="none" w:sz="0" w:space="0" w:color="auto"/>
                <w:right w:val="none" w:sz="0" w:space="0" w:color="auto"/>
              </w:divBdr>
            </w:div>
          </w:divsChild>
        </w:div>
        <w:div w:id="1450397947">
          <w:marLeft w:val="0"/>
          <w:marRight w:val="0"/>
          <w:marTop w:val="0"/>
          <w:marBottom w:val="0"/>
          <w:divBdr>
            <w:top w:val="none" w:sz="0" w:space="0" w:color="auto"/>
            <w:left w:val="none" w:sz="0" w:space="0" w:color="auto"/>
            <w:bottom w:val="none" w:sz="0" w:space="0" w:color="auto"/>
            <w:right w:val="none" w:sz="0" w:space="0" w:color="auto"/>
          </w:divBdr>
          <w:divsChild>
            <w:div w:id="1184854703">
              <w:marLeft w:val="0"/>
              <w:marRight w:val="0"/>
              <w:marTop w:val="0"/>
              <w:marBottom w:val="0"/>
              <w:divBdr>
                <w:top w:val="none" w:sz="0" w:space="0" w:color="auto"/>
                <w:left w:val="none" w:sz="0" w:space="0" w:color="auto"/>
                <w:bottom w:val="none" w:sz="0" w:space="0" w:color="auto"/>
                <w:right w:val="none" w:sz="0" w:space="0" w:color="auto"/>
              </w:divBdr>
            </w:div>
          </w:divsChild>
        </w:div>
        <w:div w:id="1451701103">
          <w:marLeft w:val="0"/>
          <w:marRight w:val="0"/>
          <w:marTop w:val="0"/>
          <w:marBottom w:val="0"/>
          <w:divBdr>
            <w:top w:val="none" w:sz="0" w:space="0" w:color="auto"/>
            <w:left w:val="none" w:sz="0" w:space="0" w:color="auto"/>
            <w:bottom w:val="none" w:sz="0" w:space="0" w:color="auto"/>
            <w:right w:val="none" w:sz="0" w:space="0" w:color="auto"/>
          </w:divBdr>
          <w:divsChild>
            <w:div w:id="827403569">
              <w:marLeft w:val="0"/>
              <w:marRight w:val="0"/>
              <w:marTop w:val="0"/>
              <w:marBottom w:val="0"/>
              <w:divBdr>
                <w:top w:val="none" w:sz="0" w:space="0" w:color="auto"/>
                <w:left w:val="none" w:sz="0" w:space="0" w:color="auto"/>
                <w:bottom w:val="none" w:sz="0" w:space="0" w:color="auto"/>
                <w:right w:val="none" w:sz="0" w:space="0" w:color="auto"/>
              </w:divBdr>
            </w:div>
          </w:divsChild>
        </w:div>
        <w:div w:id="1469972626">
          <w:marLeft w:val="0"/>
          <w:marRight w:val="0"/>
          <w:marTop w:val="0"/>
          <w:marBottom w:val="0"/>
          <w:divBdr>
            <w:top w:val="none" w:sz="0" w:space="0" w:color="auto"/>
            <w:left w:val="none" w:sz="0" w:space="0" w:color="auto"/>
            <w:bottom w:val="none" w:sz="0" w:space="0" w:color="auto"/>
            <w:right w:val="none" w:sz="0" w:space="0" w:color="auto"/>
          </w:divBdr>
          <w:divsChild>
            <w:div w:id="1287083353">
              <w:marLeft w:val="0"/>
              <w:marRight w:val="0"/>
              <w:marTop w:val="0"/>
              <w:marBottom w:val="0"/>
              <w:divBdr>
                <w:top w:val="none" w:sz="0" w:space="0" w:color="auto"/>
                <w:left w:val="none" w:sz="0" w:space="0" w:color="auto"/>
                <w:bottom w:val="none" w:sz="0" w:space="0" w:color="auto"/>
                <w:right w:val="none" w:sz="0" w:space="0" w:color="auto"/>
              </w:divBdr>
            </w:div>
          </w:divsChild>
        </w:div>
        <w:div w:id="1504200806">
          <w:marLeft w:val="0"/>
          <w:marRight w:val="0"/>
          <w:marTop w:val="0"/>
          <w:marBottom w:val="0"/>
          <w:divBdr>
            <w:top w:val="none" w:sz="0" w:space="0" w:color="auto"/>
            <w:left w:val="none" w:sz="0" w:space="0" w:color="auto"/>
            <w:bottom w:val="none" w:sz="0" w:space="0" w:color="auto"/>
            <w:right w:val="none" w:sz="0" w:space="0" w:color="auto"/>
          </w:divBdr>
          <w:divsChild>
            <w:div w:id="1948585854">
              <w:marLeft w:val="0"/>
              <w:marRight w:val="0"/>
              <w:marTop w:val="0"/>
              <w:marBottom w:val="0"/>
              <w:divBdr>
                <w:top w:val="none" w:sz="0" w:space="0" w:color="auto"/>
                <w:left w:val="none" w:sz="0" w:space="0" w:color="auto"/>
                <w:bottom w:val="none" w:sz="0" w:space="0" w:color="auto"/>
                <w:right w:val="none" w:sz="0" w:space="0" w:color="auto"/>
              </w:divBdr>
            </w:div>
          </w:divsChild>
        </w:div>
        <w:div w:id="1510366674">
          <w:marLeft w:val="0"/>
          <w:marRight w:val="0"/>
          <w:marTop w:val="0"/>
          <w:marBottom w:val="0"/>
          <w:divBdr>
            <w:top w:val="none" w:sz="0" w:space="0" w:color="auto"/>
            <w:left w:val="none" w:sz="0" w:space="0" w:color="auto"/>
            <w:bottom w:val="none" w:sz="0" w:space="0" w:color="auto"/>
            <w:right w:val="none" w:sz="0" w:space="0" w:color="auto"/>
          </w:divBdr>
          <w:divsChild>
            <w:div w:id="1041708915">
              <w:marLeft w:val="0"/>
              <w:marRight w:val="0"/>
              <w:marTop w:val="0"/>
              <w:marBottom w:val="0"/>
              <w:divBdr>
                <w:top w:val="none" w:sz="0" w:space="0" w:color="auto"/>
                <w:left w:val="none" w:sz="0" w:space="0" w:color="auto"/>
                <w:bottom w:val="none" w:sz="0" w:space="0" w:color="auto"/>
                <w:right w:val="none" w:sz="0" w:space="0" w:color="auto"/>
              </w:divBdr>
            </w:div>
          </w:divsChild>
        </w:div>
        <w:div w:id="1514225280">
          <w:marLeft w:val="0"/>
          <w:marRight w:val="0"/>
          <w:marTop w:val="0"/>
          <w:marBottom w:val="0"/>
          <w:divBdr>
            <w:top w:val="none" w:sz="0" w:space="0" w:color="auto"/>
            <w:left w:val="none" w:sz="0" w:space="0" w:color="auto"/>
            <w:bottom w:val="none" w:sz="0" w:space="0" w:color="auto"/>
            <w:right w:val="none" w:sz="0" w:space="0" w:color="auto"/>
          </w:divBdr>
          <w:divsChild>
            <w:div w:id="653027004">
              <w:marLeft w:val="0"/>
              <w:marRight w:val="0"/>
              <w:marTop w:val="0"/>
              <w:marBottom w:val="0"/>
              <w:divBdr>
                <w:top w:val="none" w:sz="0" w:space="0" w:color="auto"/>
                <w:left w:val="none" w:sz="0" w:space="0" w:color="auto"/>
                <w:bottom w:val="none" w:sz="0" w:space="0" w:color="auto"/>
                <w:right w:val="none" w:sz="0" w:space="0" w:color="auto"/>
              </w:divBdr>
            </w:div>
          </w:divsChild>
        </w:div>
        <w:div w:id="1533617892">
          <w:marLeft w:val="0"/>
          <w:marRight w:val="0"/>
          <w:marTop w:val="0"/>
          <w:marBottom w:val="0"/>
          <w:divBdr>
            <w:top w:val="none" w:sz="0" w:space="0" w:color="auto"/>
            <w:left w:val="none" w:sz="0" w:space="0" w:color="auto"/>
            <w:bottom w:val="none" w:sz="0" w:space="0" w:color="auto"/>
            <w:right w:val="none" w:sz="0" w:space="0" w:color="auto"/>
          </w:divBdr>
          <w:divsChild>
            <w:div w:id="1456100547">
              <w:marLeft w:val="0"/>
              <w:marRight w:val="0"/>
              <w:marTop w:val="0"/>
              <w:marBottom w:val="0"/>
              <w:divBdr>
                <w:top w:val="none" w:sz="0" w:space="0" w:color="auto"/>
                <w:left w:val="none" w:sz="0" w:space="0" w:color="auto"/>
                <w:bottom w:val="none" w:sz="0" w:space="0" w:color="auto"/>
                <w:right w:val="none" w:sz="0" w:space="0" w:color="auto"/>
              </w:divBdr>
            </w:div>
          </w:divsChild>
        </w:div>
        <w:div w:id="1552233542">
          <w:marLeft w:val="0"/>
          <w:marRight w:val="0"/>
          <w:marTop w:val="0"/>
          <w:marBottom w:val="0"/>
          <w:divBdr>
            <w:top w:val="none" w:sz="0" w:space="0" w:color="auto"/>
            <w:left w:val="none" w:sz="0" w:space="0" w:color="auto"/>
            <w:bottom w:val="none" w:sz="0" w:space="0" w:color="auto"/>
            <w:right w:val="none" w:sz="0" w:space="0" w:color="auto"/>
          </w:divBdr>
          <w:divsChild>
            <w:div w:id="1034189428">
              <w:marLeft w:val="0"/>
              <w:marRight w:val="0"/>
              <w:marTop w:val="0"/>
              <w:marBottom w:val="0"/>
              <w:divBdr>
                <w:top w:val="none" w:sz="0" w:space="0" w:color="auto"/>
                <w:left w:val="none" w:sz="0" w:space="0" w:color="auto"/>
                <w:bottom w:val="none" w:sz="0" w:space="0" w:color="auto"/>
                <w:right w:val="none" w:sz="0" w:space="0" w:color="auto"/>
              </w:divBdr>
            </w:div>
          </w:divsChild>
        </w:div>
        <w:div w:id="1563717176">
          <w:marLeft w:val="0"/>
          <w:marRight w:val="0"/>
          <w:marTop w:val="0"/>
          <w:marBottom w:val="0"/>
          <w:divBdr>
            <w:top w:val="none" w:sz="0" w:space="0" w:color="auto"/>
            <w:left w:val="none" w:sz="0" w:space="0" w:color="auto"/>
            <w:bottom w:val="none" w:sz="0" w:space="0" w:color="auto"/>
            <w:right w:val="none" w:sz="0" w:space="0" w:color="auto"/>
          </w:divBdr>
          <w:divsChild>
            <w:div w:id="301429764">
              <w:marLeft w:val="0"/>
              <w:marRight w:val="0"/>
              <w:marTop w:val="0"/>
              <w:marBottom w:val="0"/>
              <w:divBdr>
                <w:top w:val="none" w:sz="0" w:space="0" w:color="auto"/>
                <w:left w:val="none" w:sz="0" w:space="0" w:color="auto"/>
                <w:bottom w:val="none" w:sz="0" w:space="0" w:color="auto"/>
                <w:right w:val="none" w:sz="0" w:space="0" w:color="auto"/>
              </w:divBdr>
            </w:div>
          </w:divsChild>
        </w:div>
        <w:div w:id="1579746862">
          <w:marLeft w:val="0"/>
          <w:marRight w:val="0"/>
          <w:marTop w:val="0"/>
          <w:marBottom w:val="0"/>
          <w:divBdr>
            <w:top w:val="none" w:sz="0" w:space="0" w:color="auto"/>
            <w:left w:val="none" w:sz="0" w:space="0" w:color="auto"/>
            <w:bottom w:val="none" w:sz="0" w:space="0" w:color="auto"/>
            <w:right w:val="none" w:sz="0" w:space="0" w:color="auto"/>
          </w:divBdr>
          <w:divsChild>
            <w:div w:id="172183697">
              <w:marLeft w:val="0"/>
              <w:marRight w:val="0"/>
              <w:marTop w:val="0"/>
              <w:marBottom w:val="0"/>
              <w:divBdr>
                <w:top w:val="none" w:sz="0" w:space="0" w:color="auto"/>
                <w:left w:val="none" w:sz="0" w:space="0" w:color="auto"/>
                <w:bottom w:val="none" w:sz="0" w:space="0" w:color="auto"/>
                <w:right w:val="none" w:sz="0" w:space="0" w:color="auto"/>
              </w:divBdr>
            </w:div>
          </w:divsChild>
        </w:div>
        <w:div w:id="1581796094">
          <w:marLeft w:val="0"/>
          <w:marRight w:val="0"/>
          <w:marTop w:val="0"/>
          <w:marBottom w:val="0"/>
          <w:divBdr>
            <w:top w:val="none" w:sz="0" w:space="0" w:color="auto"/>
            <w:left w:val="none" w:sz="0" w:space="0" w:color="auto"/>
            <w:bottom w:val="none" w:sz="0" w:space="0" w:color="auto"/>
            <w:right w:val="none" w:sz="0" w:space="0" w:color="auto"/>
          </w:divBdr>
          <w:divsChild>
            <w:div w:id="1916894986">
              <w:marLeft w:val="0"/>
              <w:marRight w:val="0"/>
              <w:marTop w:val="0"/>
              <w:marBottom w:val="0"/>
              <w:divBdr>
                <w:top w:val="none" w:sz="0" w:space="0" w:color="auto"/>
                <w:left w:val="none" w:sz="0" w:space="0" w:color="auto"/>
                <w:bottom w:val="none" w:sz="0" w:space="0" w:color="auto"/>
                <w:right w:val="none" w:sz="0" w:space="0" w:color="auto"/>
              </w:divBdr>
            </w:div>
          </w:divsChild>
        </w:div>
        <w:div w:id="1582181086">
          <w:marLeft w:val="0"/>
          <w:marRight w:val="0"/>
          <w:marTop w:val="0"/>
          <w:marBottom w:val="0"/>
          <w:divBdr>
            <w:top w:val="none" w:sz="0" w:space="0" w:color="auto"/>
            <w:left w:val="none" w:sz="0" w:space="0" w:color="auto"/>
            <w:bottom w:val="none" w:sz="0" w:space="0" w:color="auto"/>
            <w:right w:val="none" w:sz="0" w:space="0" w:color="auto"/>
          </w:divBdr>
          <w:divsChild>
            <w:div w:id="639073158">
              <w:marLeft w:val="0"/>
              <w:marRight w:val="0"/>
              <w:marTop w:val="0"/>
              <w:marBottom w:val="0"/>
              <w:divBdr>
                <w:top w:val="none" w:sz="0" w:space="0" w:color="auto"/>
                <w:left w:val="none" w:sz="0" w:space="0" w:color="auto"/>
                <w:bottom w:val="none" w:sz="0" w:space="0" w:color="auto"/>
                <w:right w:val="none" w:sz="0" w:space="0" w:color="auto"/>
              </w:divBdr>
            </w:div>
          </w:divsChild>
        </w:div>
        <w:div w:id="1584946107">
          <w:marLeft w:val="0"/>
          <w:marRight w:val="0"/>
          <w:marTop w:val="0"/>
          <w:marBottom w:val="0"/>
          <w:divBdr>
            <w:top w:val="none" w:sz="0" w:space="0" w:color="auto"/>
            <w:left w:val="none" w:sz="0" w:space="0" w:color="auto"/>
            <w:bottom w:val="none" w:sz="0" w:space="0" w:color="auto"/>
            <w:right w:val="none" w:sz="0" w:space="0" w:color="auto"/>
          </w:divBdr>
          <w:divsChild>
            <w:div w:id="264963899">
              <w:marLeft w:val="0"/>
              <w:marRight w:val="0"/>
              <w:marTop w:val="0"/>
              <w:marBottom w:val="0"/>
              <w:divBdr>
                <w:top w:val="none" w:sz="0" w:space="0" w:color="auto"/>
                <w:left w:val="none" w:sz="0" w:space="0" w:color="auto"/>
                <w:bottom w:val="none" w:sz="0" w:space="0" w:color="auto"/>
                <w:right w:val="none" w:sz="0" w:space="0" w:color="auto"/>
              </w:divBdr>
            </w:div>
          </w:divsChild>
        </w:div>
        <w:div w:id="1606159372">
          <w:marLeft w:val="0"/>
          <w:marRight w:val="0"/>
          <w:marTop w:val="0"/>
          <w:marBottom w:val="0"/>
          <w:divBdr>
            <w:top w:val="none" w:sz="0" w:space="0" w:color="auto"/>
            <w:left w:val="none" w:sz="0" w:space="0" w:color="auto"/>
            <w:bottom w:val="none" w:sz="0" w:space="0" w:color="auto"/>
            <w:right w:val="none" w:sz="0" w:space="0" w:color="auto"/>
          </w:divBdr>
          <w:divsChild>
            <w:div w:id="1867979637">
              <w:marLeft w:val="0"/>
              <w:marRight w:val="0"/>
              <w:marTop w:val="0"/>
              <w:marBottom w:val="0"/>
              <w:divBdr>
                <w:top w:val="none" w:sz="0" w:space="0" w:color="auto"/>
                <w:left w:val="none" w:sz="0" w:space="0" w:color="auto"/>
                <w:bottom w:val="none" w:sz="0" w:space="0" w:color="auto"/>
                <w:right w:val="none" w:sz="0" w:space="0" w:color="auto"/>
              </w:divBdr>
            </w:div>
          </w:divsChild>
        </w:div>
        <w:div w:id="1611006708">
          <w:marLeft w:val="0"/>
          <w:marRight w:val="0"/>
          <w:marTop w:val="0"/>
          <w:marBottom w:val="0"/>
          <w:divBdr>
            <w:top w:val="none" w:sz="0" w:space="0" w:color="auto"/>
            <w:left w:val="none" w:sz="0" w:space="0" w:color="auto"/>
            <w:bottom w:val="none" w:sz="0" w:space="0" w:color="auto"/>
            <w:right w:val="none" w:sz="0" w:space="0" w:color="auto"/>
          </w:divBdr>
          <w:divsChild>
            <w:div w:id="427579084">
              <w:marLeft w:val="0"/>
              <w:marRight w:val="0"/>
              <w:marTop w:val="0"/>
              <w:marBottom w:val="0"/>
              <w:divBdr>
                <w:top w:val="none" w:sz="0" w:space="0" w:color="auto"/>
                <w:left w:val="none" w:sz="0" w:space="0" w:color="auto"/>
                <w:bottom w:val="none" w:sz="0" w:space="0" w:color="auto"/>
                <w:right w:val="none" w:sz="0" w:space="0" w:color="auto"/>
              </w:divBdr>
            </w:div>
          </w:divsChild>
        </w:div>
        <w:div w:id="1612589059">
          <w:marLeft w:val="0"/>
          <w:marRight w:val="0"/>
          <w:marTop w:val="0"/>
          <w:marBottom w:val="0"/>
          <w:divBdr>
            <w:top w:val="none" w:sz="0" w:space="0" w:color="auto"/>
            <w:left w:val="none" w:sz="0" w:space="0" w:color="auto"/>
            <w:bottom w:val="none" w:sz="0" w:space="0" w:color="auto"/>
            <w:right w:val="none" w:sz="0" w:space="0" w:color="auto"/>
          </w:divBdr>
          <w:divsChild>
            <w:div w:id="1635796446">
              <w:marLeft w:val="0"/>
              <w:marRight w:val="0"/>
              <w:marTop w:val="0"/>
              <w:marBottom w:val="0"/>
              <w:divBdr>
                <w:top w:val="none" w:sz="0" w:space="0" w:color="auto"/>
                <w:left w:val="none" w:sz="0" w:space="0" w:color="auto"/>
                <w:bottom w:val="none" w:sz="0" w:space="0" w:color="auto"/>
                <w:right w:val="none" w:sz="0" w:space="0" w:color="auto"/>
              </w:divBdr>
            </w:div>
          </w:divsChild>
        </w:div>
        <w:div w:id="1634479592">
          <w:marLeft w:val="0"/>
          <w:marRight w:val="0"/>
          <w:marTop w:val="0"/>
          <w:marBottom w:val="0"/>
          <w:divBdr>
            <w:top w:val="none" w:sz="0" w:space="0" w:color="auto"/>
            <w:left w:val="none" w:sz="0" w:space="0" w:color="auto"/>
            <w:bottom w:val="none" w:sz="0" w:space="0" w:color="auto"/>
            <w:right w:val="none" w:sz="0" w:space="0" w:color="auto"/>
          </w:divBdr>
          <w:divsChild>
            <w:div w:id="311182170">
              <w:marLeft w:val="0"/>
              <w:marRight w:val="0"/>
              <w:marTop w:val="0"/>
              <w:marBottom w:val="0"/>
              <w:divBdr>
                <w:top w:val="none" w:sz="0" w:space="0" w:color="auto"/>
                <w:left w:val="none" w:sz="0" w:space="0" w:color="auto"/>
                <w:bottom w:val="none" w:sz="0" w:space="0" w:color="auto"/>
                <w:right w:val="none" w:sz="0" w:space="0" w:color="auto"/>
              </w:divBdr>
            </w:div>
          </w:divsChild>
        </w:div>
        <w:div w:id="1643971253">
          <w:marLeft w:val="0"/>
          <w:marRight w:val="0"/>
          <w:marTop w:val="0"/>
          <w:marBottom w:val="0"/>
          <w:divBdr>
            <w:top w:val="none" w:sz="0" w:space="0" w:color="auto"/>
            <w:left w:val="none" w:sz="0" w:space="0" w:color="auto"/>
            <w:bottom w:val="none" w:sz="0" w:space="0" w:color="auto"/>
            <w:right w:val="none" w:sz="0" w:space="0" w:color="auto"/>
          </w:divBdr>
          <w:divsChild>
            <w:div w:id="700743668">
              <w:marLeft w:val="0"/>
              <w:marRight w:val="0"/>
              <w:marTop w:val="0"/>
              <w:marBottom w:val="0"/>
              <w:divBdr>
                <w:top w:val="none" w:sz="0" w:space="0" w:color="auto"/>
                <w:left w:val="none" w:sz="0" w:space="0" w:color="auto"/>
                <w:bottom w:val="none" w:sz="0" w:space="0" w:color="auto"/>
                <w:right w:val="none" w:sz="0" w:space="0" w:color="auto"/>
              </w:divBdr>
            </w:div>
          </w:divsChild>
        </w:div>
        <w:div w:id="1644039368">
          <w:marLeft w:val="0"/>
          <w:marRight w:val="0"/>
          <w:marTop w:val="0"/>
          <w:marBottom w:val="0"/>
          <w:divBdr>
            <w:top w:val="none" w:sz="0" w:space="0" w:color="auto"/>
            <w:left w:val="none" w:sz="0" w:space="0" w:color="auto"/>
            <w:bottom w:val="none" w:sz="0" w:space="0" w:color="auto"/>
            <w:right w:val="none" w:sz="0" w:space="0" w:color="auto"/>
          </w:divBdr>
          <w:divsChild>
            <w:div w:id="1300300379">
              <w:marLeft w:val="0"/>
              <w:marRight w:val="0"/>
              <w:marTop w:val="0"/>
              <w:marBottom w:val="0"/>
              <w:divBdr>
                <w:top w:val="none" w:sz="0" w:space="0" w:color="auto"/>
                <w:left w:val="none" w:sz="0" w:space="0" w:color="auto"/>
                <w:bottom w:val="none" w:sz="0" w:space="0" w:color="auto"/>
                <w:right w:val="none" w:sz="0" w:space="0" w:color="auto"/>
              </w:divBdr>
            </w:div>
          </w:divsChild>
        </w:div>
        <w:div w:id="1647589453">
          <w:marLeft w:val="0"/>
          <w:marRight w:val="0"/>
          <w:marTop w:val="0"/>
          <w:marBottom w:val="0"/>
          <w:divBdr>
            <w:top w:val="none" w:sz="0" w:space="0" w:color="auto"/>
            <w:left w:val="none" w:sz="0" w:space="0" w:color="auto"/>
            <w:bottom w:val="none" w:sz="0" w:space="0" w:color="auto"/>
            <w:right w:val="none" w:sz="0" w:space="0" w:color="auto"/>
          </w:divBdr>
          <w:divsChild>
            <w:div w:id="1566605130">
              <w:marLeft w:val="0"/>
              <w:marRight w:val="0"/>
              <w:marTop w:val="0"/>
              <w:marBottom w:val="0"/>
              <w:divBdr>
                <w:top w:val="none" w:sz="0" w:space="0" w:color="auto"/>
                <w:left w:val="none" w:sz="0" w:space="0" w:color="auto"/>
                <w:bottom w:val="none" w:sz="0" w:space="0" w:color="auto"/>
                <w:right w:val="none" w:sz="0" w:space="0" w:color="auto"/>
              </w:divBdr>
            </w:div>
          </w:divsChild>
        </w:div>
        <w:div w:id="1654681764">
          <w:marLeft w:val="0"/>
          <w:marRight w:val="0"/>
          <w:marTop w:val="0"/>
          <w:marBottom w:val="0"/>
          <w:divBdr>
            <w:top w:val="none" w:sz="0" w:space="0" w:color="auto"/>
            <w:left w:val="none" w:sz="0" w:space="0" w:color="auto"/>
            <w:bottom w:val="none" w:sz="0" w:space="0" w:color="auto"/>
            <w:right w:val="none" w:sz="0" w:space="0" w:color="auto"/>
          </w:divBdr>
          <w:divsChild>
            <w:div w:id="261497787">
              <w:marLeft w:val="0"/>
              <w:marRight w:val="0"/>
              <w:marTop w:val="0"/>
              <w:marBottom w:val="0"/>
              <w:divBdr>
                <w:top w:val="none" w:sz="0" w:space="0" w:color="auto"/>
                <w:left w:val="none" w:sz="0" w:space="0" w:color="auto"/>
                <w:bottom w:val="none" w:sz="0" w:space="0" w:color="auto"/>
                <w:right w:val="none" w:sz="0" w:space="0" w:color="auto"/>
              </w:divBdr>
            </w:div>
          </w:divsChild>
        </w:div>
        <w:div w:id="1664430469">
          <w:marLeft w:val="0"/>
          <w:marRight w:val="0"/>
          <w:marTop w:val="0"/>
          <w:marBottom w:val="0"/>
          <w:divBdr>
            <w:top w:val="none" w:sz="0" w:space="0" w:color="auto"/>
            <w:left w:val="none" w:sz="0" w:space="0" w:color="auto"/>
            <w:bottom w:val="none" w:sz="0" w:space="0" w:color="auto"/>
            <w:right w:val="none" w:sz="0" w:space="0" w:color="auto"/>
          </w:divBdr>
          <w:divsChild>
            <w:div w:id="1852376457">
              <w:marLeft w:val="0"/>
              <w:marRight w:val="0"/>
              <w:marTop w:val="0"/>
              <w:marBottom w:val="0"/>
              <w:divBdr>
                <w:top w:val="none" w:sz="0" w:space="0" w:color="auto"/>
                <w:left w:val="none" w:sz="0" w:space="0" w:color="auto"/>
                <w:bottom w:val="none" w:sz="0" w:space="0" w:color="auto"/>
                <w:right w:val="none" w:sz="0" w:space="0" w:color="auto"/>
              </w:divBdr>
            </w:div>
          </w:divsChild>
        </w:div>
        <w:div w:id="1676835287">
          <w:marLeft w:val="0"/>
          <w:marRight w:val="0"/>
          <w:marTop w:val="0"/>
          <w:marBottom w:val="0"/>
          <w:divBdr>
            <w:top w:val="none" w:sz="0" w:space="0" w:color="auto"/>
            <w:left w:val="none" w:sz="0" w:space="0" w:color="auto"/>
            <w:bottom w:val="none" w:sz="0" w:space="0" w:color="auto"/>
            <w:right w:val="none" w:sz="0" w:space="0" w:color="auto"/>
          </w:divBdr>
          <w:divsChild>
            <w:div w:id="782067875">
              <w:marLeft w:val="0"/>
              <w:marRight w:val="0"/>
              <w:marTop w:val="0"/>
              <w:marBottom w:val="0"/>
              <w:divBdr>
                <w:top w:val="none" w:sz="0" w:space="0" w:color="auto"/>
                <w:left w:val="none" w:sz="0" w:space="0" w:color="auto"/>
                <w:bottom w:val="none" w:sz="0" w:space="0" w:color="auto"/>
                <w:right w:val="none" w:sz="0" w:space="0" w:color="auto"/>
              </w:divBdr>
            </w:div>
          </w:divsChild>
        </w:div>
        <w:div w:id="1679845905">
          <w:marLeft w:val="0"/>
          <w:marRight w:val="0"/>
          <w:marTop w:val="0"/>
          <w:marBottom w:val="0"/>
          <w:divBdr>
            <w:top w:val="none" w:sz="0" w:space="0" w:color="auto"/>
            <w:left w:val="none" w:sz="0" w:space="0" w:color="auto"/>
            <w:bottom w:val="none" w:sz="0" w:space="0" w:color="auto"/>
            <w:right w:val="none" w:sz="0" w:space="0" w:color="auto"/>
          </w:divBdr>
          <w:divsChild>
            <w:div w:id="1933008001">
              <w:marLeft w:val="0"/>
              <w:marRight w:val="0"/>
              <w:marTop w:val="0"/>
              <w:marBottom w:val="0"/>
              <w:divBdr>
                <w:top w:val="none" w:sz="0" w:space="0" w:color="auto"/>
                <w:left w:val="none" w:sz="0" w:space="0" w:color="auto"/>
                <w:bottom w:val="none" w:sz="0" w:space="0" w:color="auto"/>
                <w:right w:val="none" w:sz="0" w:space="0" w:color="auto"/>
              </w:divBdr>
            </w:div>
          </w:divsChild>
        </w:div>
        <w:div w:id="1704553634">
          <w:marLeft w:val="0"/>
          <w:marRight w:val="0"/>
          <w:marTop w:val="0"/>
          <w:marBottom w:val="0"/>
          <w:divBdr>
            <w:top w:val="none" w:sz="0" w:space="0" w:color="auto"/>
            <w:left w:val="none" w:sz="0" w:space="0" w:color="auto"/>
            <w:bottom w:val="none" w:sz="0" w:space="0" w:color="auto"/>
            <w:right w:val="none" w:sz="0" w:space="0" w:color="auto"/>
          </w:divBdr>
          <w:divsChild>
            <w:div w:id="1737632143">
              <w:marLeft w:val="0"/>
              <w:marRight w:val="0"/>
              <w:marTop w:val="0"/>
              <w:marBottom w:val="0"/>
              <w:divBdr>
                <w:top w:val="none" w:sz="0" w:space="0" w:color="auto"/>
                <w:left w:val="none" w:sz="0" w:space="0" w:color="auto"/>
                <w:bottom w:val="none" w:sz="0" w:space="0" w:color="auto"/>
                <w:right w:val="none" w:sz="0" w:space="0" w:color="auto"/>
              </w:divBdr>
            </w:div>
          </w:divsChild>
        </w:div>
        <w:div w:id="1711491353">
          <w:marLeft w:val="0"/>
          <w:marRight w:val="0"/>
          <w:marTop w:val="0"/>
          <w:marBottom w:val="0"/>
          <w:divBdr>
            <w:top w:val="none" w:sz="0" w:space="0" w:color="auto"/>
            <w:left w:val="none" w:sz="0" w:space="0" w:color="auto"/>
            <w:bottom w:val="none" w:sz="0" w:space="0" w:color="auto"/>
            <w:right w:val="none" w:sz="0" w:space="0" w:color="auto"/>
          </w:divBdr>
          <w:divsChild>
            <w:div w:id="1023165114">
              <w:marLeft w:val="0"/>
              <w:marRight w:val="0"/>
              <w:marTop w:val="0"/>
              <w:marBottom w:val="0"/>
              <w:divBdr>
                <w:top w:val="none" w:sz="0" w:space="0" w:color="auto"/>
                <w:left w:val="none" w:sz="0" w:space="0" w:color="auto"/>
                <w:bottom w:val="none" w:sz="0" w:space="0" w:color="auto"/>
                <w:right w:val="none" w:sz="0" w:space="0" w:color="auto"/>
              </w:divBdr>
            </w:div>
          </w:divsChild>
        </w:div>
        <w:div w:id="1721905123">
          <w:marLeft w:val="0"/>
          <w:marRight w:val="0"/>
          <w:marTop w:val="0"/>
          <w:marBottom w:val="0"/>
          <w:divBdr>
            <w:top w:val="none" w:sz="0" w:space="0" w:color="auto"/>
            <w:left w:val="none" w:sz="0" w:space="0" w:color="auto"/>
            <w:bottom w:val="none" w:sz="0" w:space="0" w:color="auto"/>
            <w:right w:val="none" w:sz="0" w:space="0" w:color="auto"/>
          </w:divBdr>
          <w:divsChild>
            <w:div w:id="1048650196">
              <w:marLeft w:val="0"/>
              <w:marRight w:val="0"/>
              <w:marTop w:val="0"/>
              <w:marBottom w:val="0"/>
              <w:divBdr>
                <w:top w:val="none" w:sz="0" w:space="0" w:color="auto"/>
                <w:left w:val="none" w:sz="0" w:space="0" w:color="auto"/>
                <w:bottom w:val="none" w:sz="0" w:space="0" w:color="auto"/>
                <w:right w:val="none" w:sz="0" w:space="0" w:color="auto"/>
              </w:divBdr>
            </w:div>
          </w:divsChild>
        </w:div>
        <w:div w:id="1723559566">
          <w:marLeft w:val="0"/>
          <w:marRight w:val="0"/>
          <w:marTop w:val="0"/>
          <w:marBottom w:val="0"/>
          <w:divBdr>
            <w:top w:val="none" w:sz="0" w:space="0" w:color="auto"/>
            <w:left w:val="none" w:sz="0" w:space="0" w:color="auto"/>
            <w:bottom w:val="none" w:sz="0" w:space="0" w:color="auto"/>
            <w:right w:val="none" w:sz="0" w:space="0" w:color="auto"/>
          </w:divBdr>
          <w:divsChild>
            <w:div w:id="1572278292">
              <w:marLeft w:val="0"/>
              <w:marRight w:val="0"/>
              <w:marTop w:val="0"/>
              <w:marBottom w:val="0"/>
              <w:divBdr>
                <w:top w:val="none" w:sz="0" w:space="0" w:color="auto"/>
                <w:left w:val="none" w:sz="0" w:space="0" w:color="auto"/>
                <w:bottom w:val="none" w:sz="0" w:space="0" w:color="auto"/>
                <w:right w:val="none" w:sz="0" w:space="0" w:color="auto"/>
              </w:divBdr>
            </w:div>
          </w:divsChild>
        </w:div>
        <w:div w:id="1766419861">
          <w:marLeft w:val="0"/>
          <w:marRight w:val="0"/>
          <w:marTop w:val="0"/>
          <w:marBottom w:val="0"/>
          <w:divBdr>
            <w:top w:val="none" w:sz="0" w:space="0" w:color="auto"/>
            <w:left w:val="none" w:sz="0" w:space="0" w:color="auto"/>
            <w:bottom w:val="none" w:sz="0" w:space="0" w:color="auto"/>
            <w:right w:val="none" w:sz="0" w:space="0" w:color="auto"/>
          </w:divBdr>
          <w:divsChild>
            <w:div w:id="428547964">
              <w:marLeft w:val="0"/>
              <w:marRight w:val="0"/>
              <w:marTop w:val="0"/>
              <w:marBottom w:val="0"/>
              <w:divBdr>
                <w:top w:val="none" w:sz="0" w:space="0" w:color="auto"/>
                <w:left w:val="none" w:sz="0" w:space="0" w:color="auto"/>
                <w:bottom w:val="none" w:sz="0" w:space="0" w:color="auto"/>
                <w:right w:val="none" w:sz="0" w:space="0" w:color="auto"/>
              </w:divBdr>
            </w:div>
          </w:divsChild>
        </w:div>
        <w:div w:id="1767188399">
          <w:marLeft w:val="0"/>
          <w:marRight w:val="0"/>
          <w:marTop w:val="0"/>
          <w:marBottom w:val="0"/>
          <w:divBdr>
            <w:top w:val="none" w:sz="0" w:space="0" w:color="auto"/>
            <w:left w:val="none" w:sz="0" w:space="0" w:color="auto"/>
            <w:bottom w:val="none" w:sz="0" w:space="0" w:color="auto"/>
            <w:right w:val="none" w:sz="0" w:space="0" w:color="auto"/>
          </w:divBdr>
          <w:divsChild>
            <w:div w:id="1218207540">
              <w:marLeft w:val="0"/>
              <w:marRight w:val="0"/>
              <w:marTop w:val="0"/>
              <w:marBottom w:val="0"/>
              <w:divBdr>
                <w:top w:val="none" w:sz="0" w:space="0" w:color="auto"/>
                <w:left w:val="none" w:sz="0" w:space="0" w:color="auto"/>
                <w:bottom w:val="none" w:sz="0" w:space="0" w:color="auto"/>
                <w:right w:val="none" w:sz="0" w:space="0" w:color="auto"/>
              </w:divBdr>
            </w:div>
          </w:divsChild>
        </w:div>
        <w:div w:id="1768236020">
          <w:marLeft w:val="0"/>
          <w:marRight w:val="0"/>
          <w:marTop w:val="0"/>
          <w:marBottom w:val="0"/>
          <w:divBdr>
            <w:top w:val="none" w:sz="0" w:space="0" w:color="auto"/>
            <w:left w:val="none" w:sz="0" w:space="0" w:color="auto"/>
            <w:bottom w:val="none" w:sz="0" w:space="0" w:color="auto"/>
            <w:right w:val="none" w:sz="0" w:space="0" w:color="auto"/>
          </w:divBdr>
          <w:divsChild>
            <w:div w:id="189340853">
              <w:marLeft w:val="0"/>
              <w:marRight w:val="0"/>
              <w:marTop w:val="0"/>
              <w:marBottom w:val="0"/>
              <w:divBdr>
                <w:top w:val="none" w:sz="0" w:space="0" w:color="auto"/>
                <w:left w:val="none" w:sz="0" w:space="0" w:color="auto"/>
                <w:bottom w:val="none" w:sz="0" w:space="0" w:color="auto"/>
                <w:right w:val="none" w:sz="0" w:space="0" w:color="auto"/>
              </w:divBdr>
            </w:div>
          </w:divsChild>
        </w:div>
        <w:div w:id="1785298730">
          <w:marLeft w:val="0"/>
          <w:marRight w:val="0"/>
          <w:marTop w:val="0"/>
          <w:marBottom w:val="0"/>
          <w:divBdr>
            <w:top w:val="none" w:sz="0" w:space="0" w:color="auto"/>
            <w:left w:val="none" w:sz="0" w:space="0" w:color="auto"/>
            <w:bottom w:val="none" w:sz="0" w:space="0" w:color="auto"/>
            <w:right w:val="none" w:sz="0" w:space="0" w:color="auto"/>
          </w:divBdr>
          <w:divsChild>
            <w:div w:id="936790781">
              <w:marLeft w:val="0"/>
              <w:marRight w:val="0"/>
              <w:marTop w:val="0"/>
              <w:marBottom w:val="0"/>
              <w:divBdr>
                <w:top w:val="none" w:sz="0" w:space="0" w:color="auto"/>
                <w:left w:val="none" w:sz="0" w:space="0" w:color="auto"/>
                <w:bottom w:val="none" w:sz="0" w:space="0" w:color="auto"/>
                <w:right w:val="none" w:sz="0" w:space="0" w:color="auto"/>
              </w:divBdr>
            </w:div>
          </w:divsChild>
        </w:div>
        <w:div w:id="1788114521">
          <w:marLeft w:val="0"/>
          <w:marRight w:val="0"/>
          <w:marTop w:val="0"/>
          <w:marBottom w:val="0"/>
          <w:divBdr>
            <w:top w:val="none" w:sz="0" w:space="0" w:color="auto"/>
            <w:left w:val="none" w:sz="0" w:space="0" w:color="auto"/>
            <w:bottom w:val="none" w:sz="0" w:space="0" w:color="auto"/>
            <w:right w:val="none" w:sz="0" w:space="0" w:color="auto"/>
          </w:divBdr>
          <w:divsChild>
            <w:div w:id="1409620446">
              <w:marLeft w:val="0"/>
              <w:marRight w:val="0"/>
              <w:marTop w:val="0"/>
              <w:marBottom w:val="0"/>
              <w:divBdr>
                <w:top w:val="none" w:sz="0" w:space="0" w:color="auto"/>
                <w:left w:val="none" w:sz="0" w:space="0" w:color="auto"/>
                <w:bottom w:val="none" w:sz="0" w:space="0" w:color="auto"/>
                <w:right w:val="none" w:sz="0" w:space="0" w:color="auto"/>
              </w:divBdr>
            </w:div>
          </w:divsChild>
        </w:div>
        <w:div w:id="1820001292">
          <w:marLeft w:val="0"/>
          <w:marRight w:val="0"/>
          <w:marTop w:val="0"/>
          <w:marBottom w:val="0"/>
          <w:divBdr>
            <w:top w:val="none" w:sz="0" w:space="0" w:color="auto"/>
            <w:left w:val="none" w:sz="0" w:space="0" w:color="auto"/>
            <w:bottom w:val="none" w:sz="0" w:space="0" w:color="auto"/>
            <w:right w:val="none" w:sz="0" w:space="0" w:color="auto"/>
          </w:divBdr>
          <w:divsChild>
            <w:div w:id="1448545764">
              <w:marLeft w:val="0"/>
              <w:marRight w:val="0"/>
              <w:marTop w:val="0"/>
              <w:marBottom w:val="0"/>
              <w:divBdr>
                <w:top w:val="none" w:sz="0" w:space="0" w:color="auto"/>
                <w:left w:val="none" w:sz="0" w:space="0" w:color="auto"/>
                <w:bottom w:val="none" w:sz="0" w:space="0" w:color="auto"/>
                <w:right w:val="none" w:sz="0" w:space="0" w:color="auto"/>
              </w:divBdr>
            </w:div>
          </w:divsChild>
        </w:div>
        <w:div w:id="1828862998">
          <w:marLeft w:val="0"/>
          <w:marRight w:val="0"/>
          <w:marTop w:val="0"/>
          <w:marBottom w:val="0"/>
          <w:divBdr>
            <w:top w:val="none" w:sz="0" w:space="0" w:color="auto"/>
            <w:left w:val="none" w:sz="0" w:space="0" w:color="auto"/>
            <w:bottom w:val="none" w:sz="0" w:space="0" w:color="auto"/>
            <w:right w:val="none" w:sz="0" w:space="0" w:color="auto"/>
          </w:divBdr>
          <w:divsChild>
            <w:div w:id="159197770">
              <w:marLeft w:val="0"/>
              <w:marRight w:val="0"/>
              <w:marTop w:val="0"/>
              <w:marBottom w:val="0"/>
              <w:divBdr>
                <w:top w:val="none" w:sz="0" w:space="0" w:color="auto"/>
                <w:left w:val="none" w:sz="0" w:space="0" w:color="auto"/>
                <w:bottom w:val="none" w:sz="0" w:space="0" w:color="auto"/>
                <w:right w:val="none" w:sz="0" w:space="0" w:color="auto"/>
              </w:divBdr>
            </w:div>
          </w:divsChild>
        </w:div>
        <w:div w:id="1832328490">
          <w:marLeft w:val="0"/>
          <w:marRight w:val="0"/>
          <w:marTop w:val="0"/>
          <w:marBottom w:val="0"/>
          <w:divBdr>
            <w:top w:val="none" w:sz="0" w:space="0" w:color="auto"/>
            <w:left w:val="none" w:sz="0" w:space="0" w:color="auto"/>
            <w:bottom w:val="none" w:sz="0" w:space="0" w:color="auto"/>
            <w:right w:val="none" w:sz="0" w:space="0" w:color="auto"/>
          </w:divBdr>
          <w:divsChild>
            <w:div w:id="1251356017">
              <w:marLeft w:val="0"/>
              <w:marRight w:val="0"/>
              <w:marTop w:val="0"/>
              <w:marBottom w:val="0"/>
              <w:divBdr>
                <w:top w:val="none" w:sz="0" w:space="0" w:color="auto"/>
                <w:left w:val="none" w:sz="0" w:space="0" w:color="auto"/>
                <w:bottom w:val="none" w:sz="0" w:space="0" w:color="auto"/>
                <w:right w:val="none" w:sz="0" w:space="0" w:color="auto"/>
              </w:divBdr>
            </w:div>
          </w:divsChild>
        </w:div>
        <w:div w:id="1834025207">
          <w:marLeft w:val="0"/>
          <w:marRight w:val="0"/>
          <w:marTop w:val="0"/>
          <w:marBottom w:val="0"/>
          <w:divBdr>
            <w:top w:val="none" w:sz="0" w:space="0" w:color="auto"/>
            <w:left w:val="none" w:sz="0" w:space="0" w:color="auto"/>
            <w:bottom w:val="none" w:sz="0" w:space="0" w:color="auto"/>
            <w:right w:val="none" w:sz="0" w:space="0" w:color="auto"/>
          </w:divBdr>
          <w:divsChild>
            <w:div w:id="894198330">
              <w:marLeft w:val="0"/>
              <w:marRight w:val="0"/>
              <w:marTop w:val="0"/>
              <w:marBottom w:val="0"/>
              <w:divBdr>
                <w:top w:val="none" w:sz="0" w:space="0" w:color="auto"/>
                <w:left w:val="none" w:sz="0" w:space="0" w:color="auto"/>
                <w:bottom w:val="none" w:sz="0" w:space="0" w:color="auto"/>
                <w:right w:val="none" w:sz="0" w:space="0" w:color="auto"/>
              </w:divBdr>
            </w:div>
          </w:divsChild>
        </w:div>
        <w:div w:id="1868785970">
          <w:marLeft w:val="0"/>
          <w:marRight w:val="0"/>
          <w:marTop w:val="0"/>
          <w:marBottom w:val="0"/>
          <w:divBdr>
            <w:top w:val="none" w:sz="0" w:space="0" w:color="auto"/>
            <w:left w:val="none" w:sz="0" w:space="0" w:color="auto"/>
            <w:bottom w:val="none" w:sz="0" w:space="0" w:color="auto"/>
            <w:right w:val="none" w:sz="0" w:space="0" w:color="auto"/>
          </w:divBdr>
          <w:divsChild>
            <w:div w:id="2133789913">
              <w:marLeft w:val="0"/>
              <w:marRight w:val="0"/>
              <w:marTop w:val="0"/>
              <w:marBottom w:val="0"/>
              <w:divBdr>
                <w:top w:val="none" w:sz="0" w:space="0" w:color="auto"/>
                <w:left w:val="none" w:sz="0" w:space="0" w:color="auto"/>
                <w:bottom w:val="none" w:sz="0" w:space="0" w:color="auto"/>
                <w:right w:val="none" w:sz="0" w:space="0" w:color="auto"/>
              </w:divBdr>
            </w:div>
          </w:divsChild>
        </w:div>
        <w:div w:id="1914461001">
          <w:marLeft w:val="0"/>
          <w:marRight w:val="0"/>
          <w:marTop w:val="0"/>
          <w:marBottom w:val="0"/>
          <w:divBdr>
            <w:top w:val="none" w:sz="0" w:space="0" w:color="auto"/>
            <w:left w:val="none" w:sz="0" w:space="0" w:color="auto"/>
            <w:bottom w:val="none" w:sz="0" w:space="0" w:color="auto"/>
            <w:right w:val="none" w:sz="0" w:space="0" w:color="auto"/>
          </w:divBdr>
          <w:divsChild>
            <w:div w:id="1886942623">
              <w:marLeft w:val="0"/>
              <w:marRight w:val="0"/>
              <w:marTop w:val="0"/>
              <w:marBottom w:val="0"/>
              <w:divBdr>
                <w:top w:val="none" w:sz="0" w:space="0" w:color="auto"/>
                <w:left w:val="none" w:sz="0" w:space="0" w:color="auto"/>
                <w:bottom w:val="none" w:sz="0" w:space="0" w:color="auto"/>
                <w:right w:val="none" w:sz="0" w:space="0" w:color="auto"/>
              </w:divBdr>
            </w:div>
          </w:divsChild>
        </w:div>
        <w:div w:id="1936160376">
          <w:marLeft w:val="0"/>
          <w:marRight w:val="0"/>
          <w:marTop w:val="0"/>
          <w:marBottom w:val="0"/>
          <w:divBdr>
            <w:top w:val="none" w:sz="0" w:space="0" w:color="auto"/>
            <w:left w:val="none" w:sz="0" w:space="0" w:color="auto"/>
            <w:bottom w:val="none" w:sz="0" w:space="0" w:color="auto"/>
            <w:right w:val="none" w:sz="0" w:space="0" w:color="auto"/>
          </w:divBdr>
          <w:divsChild>
            <w:div w:id="239141134">
              <w:marLeft w:val="0"/>
              <w:marRight w:val="0"/>
              <w:marTop w:val="0"/>
              <w:marBottom w:val="0"/>
              <w:divBdr>
                <w:top w:val="none" w:sz="0" w:space="0" w:color="auto"/>
                <w:left w:val="none" w:sz="0" w:space="0" w:color="auto"/>
                <w:bottom w:val="none" w:sz="0" w:space="0" w:color="auto"/>
                <w:right w:val="none" w:sz="0" w:space="0" w:color="auto"/>
              </w:divBdr>
            </w:div>
          </w:divsChild>
        </w:div>
        <w:div w:id="1961497935">
          <w:marLeft w:val="0"/>
          <w:marRight w:val="0"/>
          <w:marTop w:val="0"/>
          <w:marBottom w:val="0"/>
          <w:divBdr>
            <w:top w:val="none" w:sz="0" w:space="0" w:color="auto"/>
            <w:left w:val="none" w:sz="0" w:space="0" w:color="auto"/>
            <w:bottom w:val="none" w:sz="0" w:space="0" w:color="auto"/>
            <w:right w:val="none" w:sz="0" w:space="0" w:color="auto"/>
          </w:divBdr>
          <w:divsChild>
            <w:div w:id="1561986285">
              <w:marLeft w:val="0"/>
              <w:marRight w:val="0"/>
              <w:marTop w:val="0"/>
              <w:marBottom w:val="0"/>
              <w:divBdr>
                <w:top w:val="none" w:sz="0" w:space="0" w:color="auto"/>
                <w:left w:val="none" w:sz="0" w:space="0" w:color="auto"/>
                <w:bottom w:val="none" w:sz="0" w:space="0" w:color="auto"/>
                <w:right w:val="none" w:sz="0" w:space="0" w:color="auto"/>
              </w:divBdr>
            </w:div>
          </w:divsChild>
        </w:div>
        <w:div w:id="1972661984">
          <w:marLeft w:val="0"/>
          <w:marRight w:val="0"/>
          <w:marTop w:val="0"/>
          <w:marBottom w:val="0"/>
          <w:divBdr>
            <w:top w:val="none" w:sz="0" w:space="0" w:color="auto"/>
            <w:left w:val="none" w:sz="0" w:space="0" w:color="auto"/>
            <w:bottom w:val="none" w:sz="0" w:space="0" w:color="auto"/>
            <w:right w:val="none" w:sz="0" w:space="0" w:color="auto"/>
          </w:divBdr>
          <w:divsChild>
            <w:div w:id="2118481818">
              <w:marLeft w:val="0"/>
              <w:marRight w:val="0"/>
              <w:marTop w:val="0"/>
              <w:marBottom w:val="0"/>
              <w:divBdr>
                <w:top w:val="none" w:sz="0" w:space="0" w:color="auto"/>
                <w:left w:val="none" w:sz="0" w:space="0" w:color="auto"/>
                <w:bottom w:val="none" w:sz="0" w:space="0" w:color="auto"/>
                <w:right w:val="none" w:sz="0" w:space="0" w:color="auto"/>
              </w:divBdr>
            </w:div>
          </w:divsChild>
        </w:div>
        <w:div w:id="2010793388">
          <w:marLeft w:val="0"/>
          <w:marRight w:val="0"/>
          <w:marTop w:val="0"/>
          <w:marBottom w:val="0"/>
          <w:divBdr>
            <w:top w:val="none" w:sz="0" w:space="0" w:color="auto"/>
            <w:left w:val="none" w:sz="0" w:space="0" w:color="auto"/>
            <w:bottom w:val="none" w:sz="0" w:space="0" w:color="auto"/>
            <w:right w:val="none" w:sz="0" w:space="0" w:color="auto"/>
          </w:divBdr>
          <w:divsChild>
            <w:div w:id="1090662940">
              <w:marLeft w:val="0"/>
              <w:marRight w:val="0"/>
              <w:marTop w:val="0"/>
              <w:marBottom w:val="0"/>
              <w:divBdr>
                <w:top w:val="none" w:sz="0" w:space="0" w:color="auto"/>
                <w:left w:val="none" w:sz="0" w:space="0" w:color="auto"/>
                <w:bottom w:val="none" w:sz="0" w:space="0" w:color="auto"/>
                <w:right w:val="none" w:sz="0" w:space="0" w:color="auto"/>
              </w:divBdr>
            </w:div>
          </w:divsChild>
        </w:div>
        <w:div w:id="2017657738">
          <w:marLeft w:val="0"/>
          <w:marRight w:val="0"/>
          <w:marTop w:val="0"/>
          <w:marBottom w:val="0"/>
          <w:divBdr>
            <w:top w:val="none" w:sz="0" w:space="0" w:color="auto"/>
            <w:left w:val="none" w:sz="0" w:space="0" w:color="auto"/>
            <w:bottom w:val="none" w:sz="0" w:space="0" w:color="auto"/>
            <w:right w:val="none" w:sz="0" w:space="0" w:color="auto"/>
          </w:divBdr>
          <w:divsChild>
            <w:div w:id="356196237">
              <w:marLeft w:val="0"/>
              <w:marRight w:val="0"/>
              <w:marTop w:val="0"/>
              <w:marBottom w:val="0"/>
              <w:divBdr>
                <w:top w:val="none" w:sz="0" w:space="0" w:color="auto"/>
                <w:left w:val="none" w:sz="0" w:space="0" w:color="auto"/>
                <w:bottom w:val="none" w:sz="0" w:space="0" w:color="auto"/>
                <w:right w:val="none" w:sz="0" w:space="0" w:color="auto"/>
              </w:divBdr>
            </w:div>
          </w:divsChild>
        </w:div>
        <w:div w:id="2042825592">
          <w:marLeft w:val="0"/>
          <w:marRight w:val="0"/>
          <w:marTop w:val="0"/>
          <w:marBottom w:val="0"/>
          <w:divBdr>
            <w:top w:val="none" w:sz="0" w:space="0" w:color="auto"/>
            <w:left w:val="none" w:sz="0" w:space="0" w:color="auto"/>
            <w:bottom w:val="none" w:sz="0" w:space="0" w:color="auto"/>
            <w:right w:val="none" w:sz="0" w:space="0" w:color="auto"/>
          </w:divBdr>
          <w:divsChild>
            <w:div w:id="510416922">
              <w:marLeft w:val="0"/>
              <w:marRight w:val="0"/>
              <w:marTop w:val="0"/>
              <w:marBottom w:val="0"/>
              <w:divBdr>
                <w:top w:val="none" w:sz="0" w:space="0" w:color="auto"/>
                <w:left w:val="none" w:sz="0" w:space="0" w:color="auto"/>
                <w:bottom w:val="none" w:sz="0" w:space="0" w:color="auto"/>
                <w:right w:val="none" w:sz="0" w:space="0" w:color="auto"/>
              </w:divBdr>
            </w:div>
          </w:divsChild>
        </w:div>
        <w:div w:id="2056661392">
          <w:marLeft w:val="0"/>
          <w:marRight w:val="0"/>
          <w:marTop w:val="0"/>
          <w:marBottom w:val="0"/>
          <w:divBdr>
            <w:top w:val="none" w:sz="0" w:space="0" w:color="auto"/>
            <w:left w:val="none" w:sz="0" w:space="0" w:color="auto"/>
            <w:bottom w:val="none" w:sz="0" w:space="0" w:color="auto"/>
            <w:right w:val="none" w:sz="0" w:space="0" w:color="auto"/>
          </w:divBdr>
          <w:divsChild>
            <w:div w:id="1882202354">
              <w:marLeft w:val="0"/>
              <w:marRight w:val="0"/>
              <w:marTop w:val="0"/>
              <w:marBottom w:val="0"/>
              <w:divBdr>
                <w:top w:val="none" w:sz="0" w:space="0" w:color="auto"/>
                <w:left w:val="none" w:sz="0" w:space="0" w:color="auto"/>
                <w:bottom w:val="none" w:sz="0" w:space="0" w:color="auto"/>
                <w:right w:val="none" w:sz="0" w:space="0" w:color="auto"/>
              </w:divBdr>
            </w:div>
          </w:divsChild>
        </w:div>
        <w:div w:id="2074309704">
          <w:marLeft w:val="0"/>
          <w:marRight w:val="0"/>
          <w:marTop w:val="0"/>
          <w:marBottom w:val="0"/>
          <w:divBdr>
            <w:top w:val="none" w:sz="0" w:space="0" w:color="auto"/>
            <w:left w:val="none" w:sz="0" w:space="0" w:color="auto"/>
            <w:bottom w:val="none" w:sz="0" w:space="0" w:color="auto"/>
            <w:right w:val="none" w:sz="0" w:space="0" w:color="auto"/>
          </w:divBdr>
          <w:divsChild>
            <w:div w:id="103382428">
              <w:marLeft w:val="0"/>
              <w:marRight w:val="0"/>
              <w:marTop w:val="0"/>
              <w:marBottom w:val="0"/>
              <w:divBdr>
                <w:top w:val="none" w:sz="0" w:space="0" w:color="auto"/>
                <w:left w:val="none" w:sz="0" w:space="0" w:color="auto"/>
                <w:bottom w:val="none" w:sz="0" w:space="0" w:color="auto"/>
                <w:right w:val="none" w:sz="0" w:space="0" w:color="auto"/>
              </w:divBdr>
            </w:div>
          </w:divsChild>
        </w:div>
        <w:div w:id="2117215444">
          <w:marLeft w:val="0"/>
          <w:marRight w:val="0"/>
          <w:marTop w:val="0"/>
          <w:marBottom w:val="0"/>
          <w:divBdr>
            <w:top w:val="none" w:sz="0" w:space="0" w:color="auto"/>
            <w:left w:val="none" w:sz="0" w:space="0" w:color="auto"/>
            <w:bottom w:val="none" w:sz="0" w:space="0" w:color="auto"/>
            <w:right w:val="none" w:sz="0" w:space="0" w:color="auto"/>
          </w:divBdr>
          <w:divsChild>
            <w:div w:id="1448543359">
              <w:marLeft w:val="0"/>
              <w:marRight w:val="0"/>
              <w:marTop w:val="0"/>
              <w:marBottom w:val="0"/>
              <w:divBdr>
                <w:top w:val="none" w:sz="0" w:space="0" w:color="auto"/>
                <w:left w:val="none" w:sz="0" w:space="0" w:color="auto"/>
                <w:bottom w:val="none" w:sz="0" w:space="0" w:color="auto"/>
                <w:right w:val="none" w:sz="0" w:space="0" w:color="auto"/>
              </w:divBdr>
            </w:div>
          </w:divsChild>
        </w:div>
        <w:div w:id="2117290597">
          <w:marLeft w:val="0"/>
          <w:marRight w:val="0"/>
          <w:marTop w:val="0"/>
          <w:marBottom w:val="0"/>
          <w:divBdr>
            <w:top w:val="none" w:sz="0" w:space="0" w:color="auto"/>
            <w:left w:val="none" w:sz="0" w:space="0" w:color="auto"/>
            <w:bottom w:val="none" w:sz="0" w:space="0" w:color="auto"/>
            <w:right w:val="none" w:sz="0" w:space="0" w:color="auto"/>
          </w:divBdr>
          <w:divsChild>
            <w:div w:id="1129664581">
              <w:marLeft w:val="0"/>
              <w:marRight w:val="0"/>
              <w:marTop w:val="0"/>
              <w:marBottom w:val="0"/>
              <w:divBdr>
                <w:top w:val="none" w:sz="0" w:space="0" w:color="auto"/>
                <w:left w:val="none" w:sz="0" w:space="0" w:color="auto"/>
                <w:bottom w:val="none" w:sz="0" w:space="0" w:color="auto"/>
                <w:right w:val="none" w:sz="0" w:space="0" w:color="auto"/>
              </w:divBdr>
            </w:div>
          </w:divsChild>
        </w:div>
        <w:div w:id="2120370395">
          <w:marLeft w:val="0"/>
          <w:marRight w:val="0"/>
          <w:marTop w:val="0"/>
          <w:marBottom w:val="0"/>
          <w:divBdr>
            <w:top w:val="none" w:sz="0" w:space="0" w:color="auto"/>
            <w:left w:val="none" w:sz="0" w:space="0" w:color="auto"/>
            <w:bottom w:val="none" w:sz="0" w:space="0" w:color="auto"/>
            <w:right w:val="none" w:sz="0" w:space="0" w:color="auto"/>
          </w:divBdr>
          <w:divsChild>
            <w:div w:id="103527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0539964">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564751698">
      <w:bodyDiv w:val="1"/>
      <w:marLeft w:val="0"/>
      <w:marRight w:val="0"/>
      <w:marTop w:val="0"/>
      <w:marBottom w:val="0"/>
      <w:divBdr>
        <w:top w:val="none" w:sz="0" w:space="0" w:color="auto"/>
        <w:left w:val="none" w:sz="0" w:space="0" w:color="auto"/>
        <w:bottom w:val="none" w:sz="0" w:space="0" w:color="auto"/>
        <w:right w:val="none" w:sz="0" w:space="0" w:color="auto"/>
      </w:divBdr>
    </w:div>
    <w:div w:id="16583431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34988C0-8D3D-4982-B3F6-5B28C01F4BD5}"/>
</file>

<file path=customXml/itemProps2.xml><?xml version="1.0" encoding="utf-8"?>
<ds:datastoreItem xmlns:ds="http://schemas.openxmlformats.org/officeDocument/2006/customXml" ds:itemID="{2C3885CC-73D3-4913-91EF-892F21E32D0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235FB8E2-4F16-462F-8B86-FBDC879A1E4F}"/>
</file>

<file path=docProps/app.xml><?xml version="1.0" encoding="utf-8"?>
<Properties xmlns="http://schemas.openxmlformats.org/officeDocument/2006/extended-properties" xmlns:vt="http://schemas.openxmlformats.org/officeDocument/2006/docPropsVTypes">
  <Template>Normal</Template>
  <TotalTime>81</TotalTime>
  <Pages>9</Pages>
  <Words>3555</Words>
  <Characters>20264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Project proposal: Saint Kitts and Nevis</vt:lpstr>
    </vt:vector>
  </TitlesOfParts>
  <Company>UNMFS</Company>
  <LinksUpToDate>false</LinksUpToDate>
  <CharactersWithSpaces>23772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Saint-Kitts-et-Nevis</dc:title>
  <dc:subject>93rd ExCom</dc:subject>
  <dc:creator>Dominika Anna Suwik</dc:creator>
  <cp:keywords>93rd ExCom</cp:keywords>
  <dc:description>RS</dc:description>
  <cp:lastModifiedBy>Sheng Huang</cp:lastModifiedBy>
  <cp:revision>32</cp:revision>
  <cp:lastPrinted>2001-05-26T16:40:00Z</cp:lastPrinted>
  <dcterms:created xsi:type="dcterms:W3CDTF">2023-11-06T20:54:00Z</dcterms:created>
  <dcterms:modified xsi:type="dcterms:W3CDTF">2023-11-10T17:17:00Z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UNEP/OzL.Pro/ExCom/93/84</vt:lpwstr>
  </property>
  <property fmtid="{D5CDD505-2E9C-101B-9397-08002B2CF9AE}" pid="3" name="Revision date">
    <vt:lpwstr>11/6/2023</vt:lpwstr>
  </property>
  <property fmtid="{D5CDD505-2E9C-101B-9397-08002B2CF9AE}" pid="4" name="ContentTypeId">
    <vt:lpwstr>0x010100A9A7479726778D4CB6B2B98E5E8783E2</vt:lpwstr>
  </property>
  <property fmtid="{D5CDD505-2E9C-101B-9397-08002B2CF9AE}" pid="5" name="Order">
    <vt:r8>213569100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