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1E6BFB">
        <w:trPr>
          <w:trHeight w:val="720"/>
        </w:trPr>
        <w:tc>
          <w:tcPr>
            <w:tcW w:w="5490" w:type="dxa"/>
            <w:gridSpan w:val="2"/>
            <w:tcBorders>
              <w:bottom w:val="single" w:sz="18" w:space="0" w:color="auto"/>
            </w:tcBorders>
          </w:tcPr>
          <w:p w:rsidR="00C15867" w:rsidRPr="0000434E" w:rsidRDefault="00C15867" w:rsidP="00774F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774F1C">
            <w:pPr>
              <w:jc w:val="right"/>
              <w:rPr>
                <w:sz w:val="52"/>
                <w:szCs w:val="52"/>
              </w:rPr>
            </w:pPr>
            <w:r>
              <w:rPr>
                <w:rFonts w:ascii="Univers Bold" w:hAnsi="Univers Bold"/>
                <w:b/>
                <w:sz w:val="72"/>
              </w:rPr>
              <w:t>EP</w:t>
            </w:r>
          </w:p>
        </w:tc>
      </w:tr>
      <w:tr w:rsidR="00C15867" w:rsidTr="001E6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774F1C">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774F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774F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774F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774F1C">
            <w:pPr>
              <w:spacing w:before="720"/>
              <w:ind w:left="158"/>
            </w:pPr>
          </w:p>
        </w:tc>
        <w:tc>
          <w:tcPr>
            <w:tcW w:w="4590" w:type="dxa"/>
            <w:tcBorders>
              <w:top w:val="nil"/>
              <w:left w:val="nil"/>
              <w:bottom w:val="single" w:sz="36" w:space="0" w:color="auto"/>
              <w:right w:val="nil"/>
            </w:tcBorders>
          </w:tcPr>
          <w:p w:rsidR="00C15867" w:rsidRPr="0033525D" w:rsidRDefault="00C15867" w:rsidP="00774F1C">
            <w:r w:rsidRPr="0033525D">
              <w:t>Distr.</w:t>
            </w:r>
          </w:p>
          <w:p w:rsidR="00923540" w:rsidRPr="0033525D" w:rsidRDefault="00923540" w:rsidP="00774F1C">
            <w:r w:rsidRPr="0033525D">
              <w:t>GENERAL</w:t>
            </w:r>
          </w:p>
          <w:p w:rsidR="00C15867" w:rsidRPr="0033525D" w:rsidRDefault="00C15867" w:rsidP="00774F1C"/>
          <w:p w:rsidR="00C15867" w:rsidRPr="003F73BA" w:rsidRDefault="00C15867" w:rsidP="00774F1C"/>
          <w:p w:rsidR="00C15867" w:rsidRPr="003F73BA" w:rsidRDefault="001924FF" w:rsidP="00774F1C">
            <w:r>
              <w:fldChar w:fldCharType="begin"/>
            </w:r>
            <w:r w:rsidR="001804EA">
              <w:instrText xml:space="preserve"> DOCPROPERTY "Document number"  \* MERGEFORMAT </w:instrText>
            </w:r>
            <w:r>
              <w:fldChar w:fldCharType="separate"/>
            </w:r>
            <w:r w:rsidR="002F11DE">
              <w:t>UNEP/</w:t>
            </w:r>
            <w:proofErr w:type="spellStart"/>
            <w:r w:rsidR="002F11DE">
              <w:t>OzL.Pro</w:t>
            </w:r>
            <w:proofErr w:type="spellEnd"/>
            <w:r w:rsidR="002F11DE">
              <w:t>/ExCom/80/27</w:t>
            </w:r>
            <w:r>
              <w:fldChar w:fldCharType="end"/>
            </w:r>
          </w:p>
          <w:p w:rsidR="00C15867" w:rsidRPr="003F73BA" w:rsidRDefault="001924FF" w:rsidP="00774F1C">
            <w:r>
              <w:fldChar w:fldCharType="begin"/>
            </w:r>
            <w:r w:rsidR="00851352">
              <w:instrText xml:space="preserve"> DOCPROPERTY "Revision date" \@ "d MMMM YYYY"  \* MERGEFORMAT </w:instrText>
            </w:r>
            <w:r>
              <w:fldChar w:fldCharType="separate"/>
            </w:r>
            <w:r w:rsidR="00A81DF3">
              <w:t>18 October 2017</w:t>
            </w:r>
            <w:r>
              <w:fldChar w:fldCharType="end"/>
            </w:r>
          </w:p>
          <w:p w:rsidR="00C15867" w:rsidRPr="00000FED" w:rsidRDefault="00C15867" w:rsidP="00774F1C">
            <w:pPr>
              <w:rPr>
                <w:caps/>
              </w:rPr>
            </w:pPr>
          </w:p>
          <w:p w:rsidR="00C15867" w:rsidRDefault="00C15867" w:rsidP="00774F1C">
            <w:r w:rsidRPr="0033525D">
              <w:t>ORIGINAL: ENGLISH</w:t>
            </w:r>
          </w:p>
        </w:tc>
      </w:tr>
    </w:tbl>
    <w:p w:rsidR="00BF3022" w:rsidRPr="00612F2F" w:rsidRDefault="00C15867" w:rsidP="00774F1C">
      <w:pPr>
        <w:jc w:val="left"/>
      </w:pPr>
      <w:r w:rsidRPr="0033525D">
        <w:t>EXECUTIVE COMMITTEE OF</w:t>
      </w:r>
      <w:r w:rsidRPr="0033525D">
        <w:br/>
      </w:r>
      <w:r w:rsidR="00774F1C">
        <w:t xml:space="preserve"> </w:t>
      </w:r>
      <w:r w:rsidRPr="0033525D">
        <w:t>THE MULTILATERAL FUND FOR THE</w:t>
      </w:r>
      <w:r w:rsidRPr="0033525D">
        <w:br/>
      </w:r>
      <w:r w:rsidR="00774F1C">
        <w:t xml:space="preserve"> </w:t>
      </w:r>
      <w:r w:rsidRPr="0033525D">
        <w:t>IMPLEMENTATION OF THE MONTREAL PROTOCOL</w:t>
      </w:r>
      <w:r w:rsidRPr="0033525D">
        <w:br/>
      </w:r>
      <w:r w:rsidR="003B33BD">
        <w:rPr>
          <w:lang w:val="en-CA"/>
        </w:rPr>
        <w:t>Eightieth</w:t>
      </w:r>
      <w:r w:rsidR="00BF3022">
        <w:t>Meeting</w:t>
      </w:r>
    </w:p>
    <w:p w:rsidR="009960E5" w:rsidRPr="00ED61BF" w:rsidRDefault="003B33BD" w:rsidP="00774F1C">
      <w:pPr>
        <w:jc w:val="left"/>
      </w:pPr>
      <w:r>
        <w:rPr>
          <w:lang w:val="en-CA"/>
        </w:rPr>
        <w:t>Montreal</w:t>
      </w:r>
      <w:r w:rsidR="00BF3022" w:rsidRPr="00042E3E">
        <w:rPr>
          <w:lang w:val="en-CA"/>
        </w:rPr>
        <w:t xml:space="preserve">, </w:t>
      </w:r>
      <w:r>
        <w:t>13</w:t>
      </w:r>
      <w:r w:rsidR="00ED61BF">
        <w:t>-</w:t>
      </w:r>
      <w:r>
        <w:t>17 November 2017</w:t>
      </w:r>
    </w:p>
    <w:p w:rsidR="00C15867" w:rsidRPr="00765DE4" w:rsidRDefault="00C15867" w:rsidP="00774F1C">
      <w:pPr>
        <w:jc w:val="left"/>
        <w:rPr>
          <w:lang w:val="en-US"/>
        </w:rPr>
      </w:pPr>
    </w:p>
    <w:p w:rsidR="004E7F9C" w:rsidRDefault="004E7F9C" w:rsidP="00774F1C">
      <w:pPr>
        <w:pStyle w:val="Title1"/>
      </w:pPr>
    </w:p>
    <w:p w:rsidR="004E7F9C" w:rsidRDefault="004E7F9C" w:rsidP="00774F1C">
      <w:pPr>
        <w:pStyle w:val="Title1"/>
      </w:pPr>
    </w:p>
    <w:p w:rsidR="004E7F9C" w:rsidRDefault="004E7F9C" w:rsidP="00774F1C">
      <w:pPr>
        <w:pStyle w:val="Heading1"/>
        <w:numPr>
          <w:ilvl w:val="0"/>
          <w:numId w:val="0"/>
        </w:numPr>
      </w:pPr>
    </w:p>
    <w:p w:rsidR="00FD5BD4" w:rsidRPr="00C318F5" w:rsidRDefault="00777F7F" w:rsidP="00774F1C">
      <w:pPr>
        <w:pStyle w:val="Title1"/>
        <w:rPr>
          <w:color w:val="000000" w:themeColor="text1"/>
        </w:rPr>
      </w:pPr>
      <w:r>
        <w:rPr>
          <w:color w:val="000000" w:themeColor="text1"/>
        </w:rPr>
        <w:t>WORLD BANK</w:t>
      </w:r>
      <w:r w:rsidR="00AA781C">
        <w:rPr>
          <w:color w:val="000000" w:themeColor="text1"/>
        </w:rPr>
        <w:t>’s</w:t>
      </w:r>
      <w:r w:rsidR="00FD5BD4" w:rsidRPr="00C318F5">
        <w:rPr>
          <w:color w:val="000000" w:themeColor="text1"/>
        </w:rPr>
        <w:t xml:space="preserve"> work programme </w:t>
      </w:r>
      <w:r w:rsidR="002F11DE">
        <w:rPr>
          <w:color w:val="000000" w:themeColor="text1"/>
        </w:rPr>
        <w:t>AMENDMENTS</w:t>
      </w:r>
      <w:r w:rsidR="00AA781C">
        <w:rPr>
          <w:color w:val="000000" w:themeColor="text1"/>
        </w:rPr>
        <w:t xml:space="preserve"> for 2017</w:t>
      </w:r>
    </w:p>
    <w:p w:rsidR="008C5738" w:rsidRDefault="008C5738" w:rsidP="00774F1C">
      <w:pPr>
        <w:pStyle w:val="StyleHeader4Para4Left0Firstline0"/>
        <w:numPr>
          <w:ilvl w:val="0"/>
          <w:numId w:val="0"/>
        </w:numPr>
      </w:pPr>
    </w:p>
    <w:p w:rsidR="008C5738" w:rsidRDefault="004E7F9C" w:rsidP="00774F1C">
      <w:pPr>
        <w:pStyle w:val="StyleHeader4Para4Left0Firstline0"/>
        <w:numPr>
          <w:ilvl w:val="0"/>
          <w:numId w:val="0"/>
        </w:numPr>
      </w:pPr>
      <w:r>
        <w:br w:type="page"/>
      </w:r>
    </w:p>
    <w:p w:rsidR="00FD5BD4" w:rsidRPr="00FD5BD4" w:rsidRDefault="00FD5BD4" w:rsidP="00774F1C">
      <w:pPr>
        <w:pStyle w:val="StyleHeader4Para4Left0Firstline0"/>
        <w:numPr>
          <w:ilvl w:val="0"/>
          <w:numId w:val="0"/>
        </w:numPr>
        <w:jc w:val="center"/>
        <w:rPr>
          <w:b/>
        </w:rPr>
      </w:pPr>
      <w:r w:rsidRPr="00FD5BD4">
        <w:rPr>
          <w:b/>
          <w:sz w:val="22"/>
        </w:rPr>
        <w:lastRenderedPageBreak/>
        <w:t>COMMENTS AND RECOMMENDATION OF THE FUND SECRETARIAT</w:t>
      </w:r>
    </w:p>
    <w:p w:rsidR="008C5738" w:rsidRPr="000F11C7" w:rsidRDefault="00774F1C" w:rsidP="00774F1C">
      <w:pPr>
        <w:pStyle w:val="Heading1"/>
      </w:pPr>
      <w:r>
        <w:t xml:space="preserve">The </w:t>
      </w:r>
      <w:r w:rsidR="008D1072" w:rsidRPr="000F11C7">
        <w:t>World Bank</w:t>
      </w:r>
      <w:r w:rsidR="00FD5BD4" w:rsidRPr="000F11C7">
        <w:t xml:space="preserve"> is requesting approval from the Executive Committee of </w:t>
      </w:r>
      <w:r>
        <w:t>US $</w:t>
      </w:r>
      <w:r w:rsidR="009E465B" w:rsidRPr="000F11C7">
        <w:t>820,000</w:t>
      </w:r>
      <w:r w:rsidR="00FD5BD4" w:rsidRPr="000F11C7">
        <w:t xml:space="preserve">, plus agency support costs of </w:t>
      </w:r>
      <w:r>
        <w:t>US $</w:t>
      </w:r>
      <w:r w:rsidR="00D277A2" w:rsidRPr="000F11C7">
        <w:t>72,400</w:t>
      </w:r>
      <w:r w:rsidR="00FD5BD4" w:rsidRPr="000F11C7">
        <w:t xml:space="preserve"> for its 201</w:t>
      </w:r>
      <w:r>
        <w:t>7</w:t>
      </w:r>
      <w:r w:rsidR="00FD5BD4" w:rsidRPr="000F11C7">
        <w:t xml:space="preserve"> work programme </w:t>
      </w:r>
      <w:r>
        <w:t xml:space="preserve">amendments </w:t>
      </w:r>
      <w:r w:rsidR="00FD5BD4" w:rsidRPr="000F11C7">
        <w:t>listed in Table 1. The submission is attached to the present document.</w:t>
      </w:r>
    </w:p>
    <w:p w:rsidR="00FD5BD4" w:rsidRDefault="00FD5BD4" w:rsidP="00774F1C">
      <w:pPr>
        <w:rPr>
          <w:b/>
        </w:rPr>
      </w:pPr>
      <w:r w:rsidRPr="00FD5BD4">
        <w:rPr>
          <w:b/>
        </w:rPr>
        <w:t>Table 1</w:t>
      </w:r>
      <w:r w:rsidR="00FC5774" w:rsidRPr="00FD5BD4">
        <w:rPr>
          <w:b/>
        </w:rPr>
        <w:t>:</w:t>
      </w:r>
      <w:r w:rsidR="00FC5774">
        <w:rPr>
          <w:b/>
        </w:rPr>
        <w:t xml:space="preserve"> </w:t>
      </w:r>
      <w:r w:rsidR="000262B5">
        <w:rPr>
          <w:b/>
        </w:rPr>
        <w:t xml:space="preserve">The </w:t>
      </w:r>
      <w:r w:rsidR="00FC5774">
        <w:rPr>
          <w:b/>
        </w:rPr>
        <w:t>World</w:t>
      </w:r>
      <w:r w:rsidR="008D1072">
        <w:rPr>
          <w:b/>
        </w:rPr>
        <w:t xml:space="preserve"> Bank</w:t>
      </w:r>
      <w:r w:rsidRPr="00FD5BD4">
        <w:rPr>
          <w:b/>
        </w:rPr>
        <w:t xml:space="preserve">’s work programme </w:t>
      </w:r>
      <w:r w:rsidR="00774F1C">
        <w:rPr>
          <w:b/>
        </w:rPr>
        <w:t xml:space="preserve">amendments </w:t>
      </w:r>
      <w:r w:rsidRPr="00FD5BD4">
        <w:rPr>
          <w:b/>
        </w:rPr>
        <w:t>for 201</w:t>
      </w:r>
      <w:r w:rsidR="00A81DF3">
        <w:rPr>
          <w:b/>
        </w:rPr>
        <w:t>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5040"/>
        <w:gridCol w:w="1167"/>
        <w:gridCol w:w="1443"/>
      </w:tblGrid>
      <w:tr w:rsidR="00FC5774" w:rsidRPr="00FC5774" w:rsidTr="00EE2BAB">
        <w:trPr>
          <w:tblHeader/>
        </w:trPr>
        <w:tc>
          <w:tcPr>
            <w:tcW w:w="1710" w:type="dxa"/>
            <w:vAlign w:val="center"/>
          </w:tcPr>
          <w:p w:rsidR="00FC5774" w:rsidRPr="00FC5774" w:rsidRDefault="00FC5774" w:rsidP="00774F1C">
            <w:pPr>
              <w:jc w:val="left"/>
              <w:rPr>
                <w:b/>
                <w:color w:val="000000" w:themeColor="text1"/>
                <w:sz w:val="20"/>
                <w:szCs w:val="20"/>
              </w:rPr>
            </w:pPr>
            <w:r w:rsidRPr="00FC5774">
              <w:rPr>
                <w:b/>
                <w:color w:val="000000" w:themeColor="text1"/>
                <w:sz w:val="20"/>
                <w:szCs w:val="20"/>
              </w:rPr>
              <w:t>Country</w:t>
            </w:r>
          </w:p>
        </w:tc>
        <w:tc>
          <w:tcPr>
            <w:tcW w:w="5040" w:type="dxa"/>
            <w:vAlign w:val="center"/>
          </w:tcPr>
          <w:p w:rsidR="00FC5774" w:rsidRPr="00FC5774" w:rsidRDefault="00FC5774" w:rsidP="00774F1C">
            <w:pPr>
              <w:jc w:val="left"/>
              <w:rPr>
                <w:b/>
                <w:color w:val="000000" w:themeColor="text1"/>
                <w:sz w:val="20"/>
                <w:szCs w:val="20"/>
              </w:rPr>
            </w:pPr>
            <w:r w:rsidRPr="00FC5774">
              <w:rPr>
                <w:b/>
                <w:color w:val="000000" w:themeColor="text1"/>
                <w:sz w:val="20"/>
                <w:szCs w:val="20"/>
              </w:rPr>
              <w:t>Activity/Project</w:t>
            </w:r>
          </w:p>
        </w:tc>
        <w:tc>
          <w:tcPr>
            <w:tcW w:w="1167" w:type="dxa"/>
            <w:vAlign w:val="center"/>
          </w:tcPr>
          <w:p w:rsidR="00FC5774" w:rsidRPr="00FC5774" w:rsidRDefault="00774F1C" w:rsidP="00774F1C">
            <w:pPr>
              <w:jc w:val="center"/>
              <w:rPr>
                <w:b/>
                <w:color w:val="000000" w:themeColor="text1"/>
                <w:sz w:val="20"/>
                <w:szCs w:val="20"/>
              </w:rPr>
            </w:pPr>
            <w:r>
              <w:rPr>
                <w:b/>
                <w:color w:val="000000" w:themeColor="text1"/>
                <w:sz w:val="20"/>
                <w:szCs w:val="20"/>
              </w:rPr>
              <w:t>Amount r</w:t>
            </w:r>
            <w:r w:rsidR="00FC5774" w:rsidRPr="00FC5774">
              <w:rPr>
                <w:b/>
                <w:color w:val="000000" w:themeColor="text1"/>
                <w:sz w:val="20"/>
                <w:szCs w:val="20"/>
              </w:rPr>
              <w:t>equested (</w:t>
            </w:r>
            <w:r>
              <w:rPr>
                <w:b/>
                <w:color w:val="000000" w:themeColor="text1"/>
                <w:sz w:val="20"/>
                <w:szCs w:val="20"/>
              </w:rPr>
              <w:t>US $</w:t>
            </w:r>
            <w:r w:rsidR="00FC5774" w:rsidRPr="00FC5774">
              <w:rPr>
                <w:b/>
                <w:color w:val="000000" w:themeColor="text1"/>
                <w:sz w:val="20"/>
                <w:szCs w:val="20"/>
              </w:rPr>
              <w:t>)</w:t>
            </w:r>
          </w:p>
        </w:tc>
        <w:tc>
          <w:tcPr>
            <w:tcW w:w="1443" w:type="dxa"/>
            <w:vAlign w:val="center"/>
          </w:tcPr>
          <w:p w:rsidR="00FC5774" w:rsidRPr="00FC5774" w:rsidRDefault="00774F1C" w:rsidP="00774F1C">
            <w:pPr>
              <w:jc w:val="center"/>
              <w:rPr>
                <w:b/>
                <w:color w:val="000000" w:themeColor="text1"/>
                <w:sz w:val="20"/>
                <w:szCs w:val="20"/>
              </w:rPr>
            </w:pPr>
            <w:r>
              <w:rPr>
                <w:b/>
                <w:color w:val="000000" w:themeColor="text1"/>
                <w:sz w:val="20"/>
                <w:szCs w:val="20"/>
              </w:rPr>
              <w:t>Amount r</w:t>
            </w:r>
            <w:r w:rsidR="00FC5774" w:rsidRPr="00FC5774">
              <w:rPr>
                <w:b/>
                <w:color w:val="000000" w:themeColor="text1"/>
                <w:sz w:val="20"/>
                <w:szCs w:val="20"/>
              </w:rPr>
              <w:t>ecommended (</w:t>
            </w:r>
            <w:r>
              <w:rPr>
                <w:b/>
                <w:color w:val="000000" w:themeColor="text1"/>
                <w:sz w:val="20"/>
                <w:szCs w:val="20"/>
              </w:rPr>
              <w:t>US $</w:t>
            </w:r>
            <w:r w:rsidR="00FC5774" w:rsidRPr="00FC5774">
              <w:rPr>
                <w:b/>
                <w:color w:val="000000" w:themeColor="text1"/>
                <w:sz w:val="20"/>
                <w:szCs w:val="20"/>
              </w:rPr>
              <w:t>)</w:t>
            </w:r>
          </w:p>
        </w:tc>
      </w:tr>
      <w:tr w:rsidR="00FC5774" w:rsidRPr="00FC5774" w:rsidTr="00EE2BAB">
        <w:tc>
          <w:tcPr>
            <w:tcW w:w="9360" w:type="dxa"/>
            <w:gridSpan w:val="4"/>
          </w:tcPr>
          <w:p w:rsidR="00FC5774" w:rsidRPr="00FC5774" w:rsidRDefault="00FC5774" w:rsidP="00774F1C">
            <w:pPr>
              <w:jc w:val="left"/>
              <w:rPr>
                <w:color w:val="000000" w:themeColor="text1"/>
                <w:sz w:val="20"/>
                <w:szCs w:val="20"/>
              </w:rPr>
            </w:pPr>
            <w:r w:rsidRPr="00FC5774">
              <w:rPr>
                <w:b/>
                <w:sz w:val="20"/>
                <w:szCs w:val="20"/>
              </w:rPr>
              <w:t>SECTION A: ACTIVITIES RECOMMENDED FOR INDIVIDUAL CONSIDERATION</w:t>
            </w:r>
          </w:p>
        </w:tc>
      </w:tr>
      <w:tr w:rsidR="00FC5774" w:rsidRPr="00FC5774" w:rsidTr="00EE2BAB">
        <w:tc>
          <w:tcPr>
            <w:tcW w:w="9360" w:type="dxa"/>
            <w:gridSpan w:val="4"/>
          </w:tcPr>
          <w:p w:rsidR="00FC5774" w:rsidRPr="00FC5774" w:rsidRDefault="00FC5774" w:rsidP="00774F1C">
            <w:pPr>
              <w:jc w:val="left"/>
              <w:rPr>
                <w:color w:val="000000" w:themeColor="text1"/>
                <w:sz w:val="20"/>
                <w:szCs w:val="20"/>
              </w:rPr>
            </w:pPr>
            <w:r w:rsidRPr="00FC5774">
              <w:rPr>
                <w:b/>
                <w:sz w:val="20"/>
                <w:szCs w:val="20"/>
              </w:rPr>
              <w:t>A1:</w:t>
            </w:r>
            <w:r w:rsidR="00774F1C">
              <w:rPr>
                <w:b/>
                <w:sz w:val="20"/>
                <w:szCs w:val="20"/>
              </w:rPr>
              <w:t xml:space="preserve"> </w:t>
            </w:r>
            <w:r w:rsidRPr="00FC5774">
              <w:rPr>
                <w:b/>
                <w:sz w:val="20"/>
                <w:szCs w:val="20"/>
              </w:rPr>
              <w:t>Technical assistance for enabling activities (decision 79/46)</w:t>
            </w:r>
          </w:p>
        </w:tc>
      </w:tr>
      <w:tr w:rsidR="00FC5774" w:rsidRPr="00FC5774" w:rsidTr="00EE2BAB">
        <w:tc>
          <w:tcPr>
            <w:tcW w:w="1710" w:type="dxa"/>
          </w:tcPr>
          <w:p w:rsidR="00FC5774" w:rsidRPr="00FC5774" w:rsidRDefault="00FC5774" w:rsidP="00774F1C">
            <w:pPr>
              <w:jc w:val="left"/>
              <w:rPr>
                <w:sz w:val="20"/>
                <w:szCs w:val="20"/>
              </w:rPr>
            </w:pPr>
            <w:r w:rsidRPr="00FC5774">
              <w:rPr>
                <w:sz w:val="20"/>
                <w:szCs w:val="20"/>
              </w:rPr>
              <w:t>Malaysia</w:t>
            </w:r>
          </w:p>
        </w:tc>
        <w:tc>
          <w:tcPr>
            <w:tcW w:w="5040" w:type="dxa"/>
          </w:tcPr>
          <w:p w:rsidR="00FC5774" w:rsidRPr="00FC5774" w:rsidRDefault="00FC5774" w:rsidP="00774F1C">
            <w:pPr>
              <w:jc w:val="left"/>
              <w:rPr>
                <w:sz w:val="20"/>
                <w:szCs w:val="20"/>
              </w:rPr>
            </w:pPr>
            <w:r w:rsidRPr="00FC5774">
              <w:rPr>
                <w:sz w:val="20"/>
                <w:szCs w:val="20"/>
              </w:rPr>
              <w:t>Enabling activities for HFC phase-down</w:t>
            </w:r>
          </w:p>
        </w:tc>
        <w:tc>
          <w:tcPr>
            <w:tcW w:w="1167" w:type="dxa"/>
          </w:tcPr>
          <w:p w:rsidR="00FC5774" w:rsidRPr="00FC5774" w:rsidRDefault="00FC5774" w:rsidP="00774F1C">
            <w:pPr>
              <w:jc w:val="right"/>
              <w:rPr>
                <w:color w:val="000000" w:themeColor="text1"/>
                <w:sz w:val="20"/>
                <w:szCs w:val="20"/>
              </w:rPr>
            </w:pPr>
            <w:r w:rsidRPr="00FC5774">
              <w:rPr>
                <w:color w:val="000000" w:themeColor="text1"/>
                <w:sz w:val="20"/>
                <w:szCs w:val="20"/>
              </w:rPr>
              <w:t>250,000</w:t>
            </w:r>
          </w:p>
        </w:tc>
        <w:tc>
          <w:tcPr>
            <w:tcW w:w="1443" w:type="dxa"/>
          </w:tcPr>
          <w:p w:rsidR="00FC5774" w:rsidRPr="00FC5774" w:rsidRDefault="00FC5774" w:rsidP="00774F1C">
            <w:pPr>
              <w:jc w:val="right"/>
              <w:rPr>
                <w:sz w:val="20"/>
                <w:szCs w:val="20"/>
              </w:rPr>
            </w:pPr>
            <w:r w:rsidRPr="00FC5774">
              <w:rPr>
                <w:sz w:val="20"/>
                <w:szCs w:val="20"/>
              </w:rPr>
              <w:t>*</w:t>
            </w:r>
          </w:p>
        </w:tc>
      </w:tr>
      <w:tr w:rsidR="00FC5774" w:rsidRPr="00FC5774" w:rsidTr="00EE2BAB">
        <w:tc>
          <w:tcPr>
            <w:tcW w:w="1710" w:type="dxa"/>
          </w:tcPr>
          <w:p w:rsidR="00FC5774" w:rsidRPr="00FC5774" w:rsidRDefault="00FC5774" w:rsidP="00774F1C">
            <w:pPr>
              <w:jc w:val="left"/>
              <w:rPr>
                <w:sz w:val="20"/>
                <w:szCs w:val="20"/>
              </w:rPr>
            </w:pPr>
            <w:r w:rsidRPr="00FC5774">
              <w:rPr>
                <w:sz w:val="20"/>
                <w:szCs w:val="20"/>
              </w:rPr>
              <w:t>Philippines</w:t>
            </w:r>
            <w:r w:rsidR="00A81DF3">
              <w:rPr>
                <w:sz w:val="20"/>
                <w:szCs w:val="20"/>
              </w:rPr>
              <w:t xml:space="preserve"> (the)</w:t>
            </w:r>
          </w:p>
        </w:tc>
        <w:tc>
          <w:tcPr>
            <w:tcW w:w="5040" w:type="dxa"/>
          </w:tcPr>
          <w:p w:rsidR="00FC5774" w:rsidRPr="00FC5774" w:rsidRDefault="00FC5774" w:rsidP="00774F1C">
            <w:pPr>
              <w:jc w:val="left"/>
              <w:rPr>
                <w:sz w:val="20"/>
                <w:szCs w:val="20"/>
              </w:rPr>
            </w:pPr>
            <w:r w:rsidRPr="00FC5774">
              <w:rPr>
                <w:sz w:val="20"/>
                <w:szCs w:val="20"/>
              </w:rPr>
              <w:t>Enabling activities for HFC phase-down</w:t>
            </w:r>
          </w:p>
        </w:tc>
        <w:tc>
          <w:tcPr>
            <w:tcW w:w="1167" w:type="dxa"/>
          </w:tcPr>
          <w:p w:rsidR="00FC5774" w:rsidRPr="00FC5774" w:rsidRDefault="00FC5774" w:rsidP="00774F1C">
            <w:pPr>
              <w:jc w:val="right"/>
              <w:rPr>
                <w:color w:val="000000" w:themeColor="text1"/>
                <w:sz w:val="20"/>
                <w:szCs w:val="20"/>
              </w:rPr>
            </w:pPr>
            <w:r w:rsidRPr="00FC5774">
              <w:rPr>
                <w:color w:val="000000" w:themeColor="text1"/>
                <w:sz w:val="20"/>
                <w:szCs w:val="20"/>
              </w:rPr>
              <w:t>250,000</w:t>
            </w:r>
          </w:p>
        </w:tc>
        <w:tc>
          <w:tcPr>
            <w:tcW w:w="1443" w:type="dxa"/>
          </w:tcPr>
          <w:p w:rsidR="00FC5774" w:rsidRPr="00FC5774" w:rsidRDefault="00FC5774" w:rsidP="00774F1C">
            <w:pPr>
              <w:jc w:val="right"/>
              <w:rPr>
                <w:sz w:val="20"/>
                <w:szCs w:val="20"/>
              </w:rPr>
            </w:pPr>
            <w:r w:rsidRPr="00FC5774">
              <w:rPr>
                <w:sz w:val="20"/>
                <w:szCs w:val="20"/>
              </w:rPr>
              <w:t>*</w:t>
            </w:r>
          </w:p>
        </w:tc>
      </w:tr>
      <w:tr w:rsidR="00FC5774" w:rsidRPr="00FC5774" w:rsidTr="00EE2BAB">
        <w:tc>
          <w:tcPr>
            <w:tcW w:w="1710" w:type="dxa"/>
          </w:tcPr>
          <w:p w:rsidR="00FC5774" w:rsidRPr="00FC5774" w:rsidRDefault="00FC5774" w:rsidP="00774F1C">
            <w:pPr>
              <w:jc w:val="left"/>
              <w:rPr>
                <w:sz w:val="20"/>
                <w:szCs w:val="20"/>
              </w:rPr>
            </w:pPr>
            <w:r w:rsidRPr="00FC5774">
              <w:rPr>
                <w:sz w:val="20"/>
                <w:szCs w:val="20"/>
              </w:rPr>
              <w:t>Thailand</w:t>
            </w:r>
          </w:p>
        </w:tc>
        <w:tc>
          <w:tcPr>
            <w:tcW w:w="5040" w:type="dxa"/>
          </w:tcPr>
          <w:p w:rsidR="00FC5774" w:rsidRPr="00FC5774" w:rsidRDefault="00FC5774" w:rsidP="00774F1C">
            <w:pPr>
              <w:jc w:val="left"/>
              <w:rPr>
                <w:sz w:val="20"/>
                <w:szCs w:val="20"/>
              </w:rPr>
            </w:pPr>
            <w:r w:rsidRPr="00FC5774">
              <w:rPr>
                <w:sz w:val="20"/>
                <w:szCs w:val="20"/>
              </w:rPr>
              <w:t>Enabling activities for HFC phase-down</w:t>
            </w:r>
          </w:p>
        </w:tc>
        <w:tc>
          <w:tcPr>
            <w:tcW w:w="1167" w:type="dxa"/>
          </w:tcPr>
          <w:p w:rsidR="00FC5774" w:rsidRPr="00FC5774" w:rsidRDefault="00FC5774" w:rsidP="00774F1C">
            <w:pPr>
              <w:jc w:val="right"/>
              <w:rPr>
                <w:color w:val="000000" w:themeColor="text1"/>
                <w:sz w:val="20"/>
                <w:szCs w:val="20"/>
              </w:rPr>
            </w:pPr>
            <w:r w:rsidRPr="00FC5774">
              <w:rPr>
                <w:color w:val="000000" w:themeColor="text1"/>
                <w:sz w:val="20"/>
                <w:szCs w:val="20"/>
              </w:rPr>
              <w:t>250,000</w:t>
            </w:r>
          </w:p>
        </w:tc>
        <w:tc>
          <w:tcPr>
            <w:tcW w:w="1443" w:type="dxa"/>
          </w:tcPr>
          <w:p w:rsidR="00FC5774" w:rsidRPr="00FC5774" w:rsidRDefault="00FC5774" w:rsidP="00774F1C">
            <w:pPr>
              <w:jc w:val="right"/>
              <w:rPr>
                <w:sz w:val="20"/>
                <w:szCs w:val="20"/>
              </w:rPr>
            </w:pPr>
            <w:r w:rsidRPr="00FC5774">
              <w:rPr>
                <w:sz w:val="20"/>
                <w:szCs w:val="20"/>
              </w:rPr>
              <w:t>*</w:t>
            </w:r>
          </w:p>
        </w:tc>
      </w:tr>
      <w:tr w:rsidR="00FC5774" w:rsidRPr="00FC5774" w:rsidTr="00EE2BAB">
        <w:tc>
          <w:tcPr>
            <w:tcW w:w="6750" w:type="dxa"/>
            <w:gridSpan w:val="2"/>
          </w:tcPr>
          <w:p w:rsidR="00FC5774" w:rsidRPr="00FC5774" w:rsidRDefault="00FC5774" w:rsidP="00774F1C">
            <w:pPr>
              <w:jc w:val="right"/>
              <w:rPr>
                <w:sz w:val="20"/>
                <w:szCs w:val="20"/>
              </w:rPr>
            </w:pPr>
            <w:r w:rsidRPr="00FC5774">
              <w:rPr>
                <w:sz w:val="20"/>
                <w:szCs w:val="20"/>
              </w:rPr>
              <w:t>Subtotal for A1</w:t>
            </w:r>
          </w:p>
        </w:tc>
        <w:tc>
          <w:tcPr>
            <w:tcW w:w="1167" w:type="dxa"/>
          </w:tcPr>
          <w:p w:rsidR="00FC5774" w:rsidRPr="00FC5774" w:rsidRDefault="00FC5774" w:rsidP="00774F1C">
            <w:pPr>
              <w:jc w:val="right"/>
              <w:rPr>
                <w:color w:val="000000" w:themeColor="text1"/>
                <w:sz w:val="20"/>
                <w:szCs w:val="20"/>
              </w:rPr>
            </w:pPr>
            <w:r w:rsidRPr="00FC5774">
              <w:rPr>
                <w:color w:val="000000" w:themeColor="text1"/>
                <w:sz w:val="20"/>
                <w:szCs w:val="20"/>
              </w:rPr>
              <w:t>750,000</w:t>
            </w:r>
          </w:p>
        </w:tc>
        <w:tc>
          <w:tcPr>
            <w:tcW w:w="1443" w:type="dxa"/>
          </w:tcPr>
          <w:p w:rsidR="00FC5774" w:rsidRPr="00FC5774" w:rsidRDefault="00FC5774" w:rsidP="00774F1C">
            <w:pPr>
              <w:jc w:val="right"/>
              <w:rPr>
                <w:sz w:val="20"/>
                <w:szCs w:val="20"/>
              </w:rPr>
            </w:pPr>
            <w:r w:rsidRPr="00FC5774">
              <w:rPr>
                <w:sz w:val="20"/>
                <w:szCs w:val="20"/>
              </w:rPr>
              <w:t>*</w:t>
            </w:r>
          </w:p>
        </w:tc>
      </w:tr>
      <w:tr w:rsidR="00FC5774" w:rsidRPr="00FC5774" w:rsidTr="00EE2BAB">
        <w:tc>
          <w:tcPr>
            <w:tcW w:w="6750" w:type="dxa"/>
            <w:gridSpan w:val="2"/>
          </w:tcPr>
          <w:p w:rsidR="00FC5774" w:rsidRPr="00FC5774" w:rsidRDefault="00FC5774" w:rsidP="00774F1C">
            <w:pPr>
              <w:jc w:val="right"/>
              <w:rPr>
                <w:sz w:val="20"/>
                <w:szCs w:val="20"/>
              </w:rPr>
            </w:pPr>
            <w:r w:rsidRPr="00FC5774">
              <w:rPr>
                <w:sz w:val="20"/>
                <w:szCs w:val="20"/>
              </w:rPr>
              <w:t>Agency support costs (</w:t>
            </w:r>
            <w:r w:rsidR="00D277A2">
              <w:rPr>
                <w:sz w:val="20"/>
                <w:szCs w:val="20"/>
              </w:rPr>
              <w:t>9</w:t>
            </w:r>
            <w:r w:rsidRPr="00FC5774">
              <w:rPr>
                <w:sz w:val="20"/>
                <w:szCs w:val="20"/>
              </w:rPr>
              <w:t xml:space="preserve"> per cent for project preparation)</w:t>
            </w:r>
          </w:p>
        </w:tc>
        <w:tc>
          <w:tcPr>
            <w:tcW w:w="1167" w:type="dxa"/>
          </w:tcPr>
          <w:p w:rsidR="00FC5774" w:rsidRPr="00FC5774" w:rsidRDefault="00D277A2" w:rsidP="00774F1C">
            <w:pPr>
              <w:jc w:val="right"/>
              <w:rPr>
                <w:color w:val="000000" w:themeColor="text1"/>
                <w:sz w:val="20"/>
                <w:szCs w:val="20"/>
              </w:rPr>
            </w:pPr>
            <w:r>
              <w:rPr>
                <w:color w:val="000000" w:themeColor="text1"/>
                <w:sz w:val="20"/>
                <w:szCs w:val="20"/>
              </w:rPr>
              <w:t>67,500</w:t>
            </w:r>
          </w:p>
        </w:tc>
        <w:tc>
          <w:tcPr>
            <w:tcW w:w="1443" w:type="dxa"/>
          </w:tcPr>
          <w:p w:rsidR="00FC5774" w:rsidRPr="00FC5774" w:rsidRDefault="00FC5774" w:rsidP="00774F1C">
            <w:pPr>
              <w:jc w:val="right"/>
              <w:rPr>
                <w:sz w:val="20"/>
                <w:szCs w:val="20"/>
              </w:rPr>
            </w:pPr>
            <w:r w:rsidRPr="00FC5774">
              <w:rPr>
                <w:sz w:val="20"/>
                <w:szCs w:val="20"/>
              </w:rPr>
              <w:t>*</w:t>
            </w:r>
          </w:p>
        </w:tc>
      </w:tr>
      <w:tr w:rsidR="00FC5774" w:rsidRPr="00FC5774" w:rsidTr="00EE2BAB">
        <w:tc>
          <w:tcPr>
            <w:tcW w:w="6750" w:type="dxa"/>
            <w:gridSpan w:val="2"/>
          </w:tcPr>
          <w:p w:rsidR="00FC5774" w:rsidRPr="00FC5774" w:rsidRDefault="00FC5774" w:rsidP="00774F1C">
            <w:pPr>
              <w:jc w:val="right"/>
              <w:rPr>
                <w:sz w:val="20"/>
                <w:szCs w:val="20"/>
              </w:rPr>
            </w:pPr>
            <w:r w:rsidRPr="00FC5774">
              <w:rPr>
                <w:sz w:val="20"/>
                <w:szCs w:val="20"/>
              </w:rPr>
              <w:t>Total for A1</w:t>
            </w:r>
          </w:p>
        </w:tc>
        <w:tc>
          <w:tcPr>
            <w:tcW w:w="1167" w:type="dxa"/>
          </w:tcPr>
          <w:p w:rsidR="00FC5774" w:rsidRPr="00FC5774" w:rsidRDefault="00D277A2" w:rsidP="00774F1C">
            <w:pPr>
              <w:jc w:val="right"/>
              <w:rPr>
                <w:color w:val="000000" w:themeColor="text1"/>
                <w:sz w:val="20"/>
                <w:szCs w:val="20"/>
              </w:rPr>
            </w:pPr>
            <w:r>
              <w:rPr>
                <w:color w:val="000000" w:themeColor="text1"/>
                <w:sz w:val="20"/>
                <w:szCs w:val="20"/>
              </w:rPr>
              <w:t>817</w:t>
            </w:r>
            <w:r w:rsidR="00FC5774" w:rsidRPr="00FC5774">
              <w:rPr>
                <w:color w:val="000000" w:themeColor="text1"/>
                <w:sz w:val="20"/>
                <w:szCs w:val="20"/>
              </w:rPr>
              <w:t>,500</w:t>
            </w:r>
          </w:p>
        </w:tc>
        <w:tc>
          <w:tcPr>
            <w:tcW w:w="1443" w:type="dxa"/>
          </w:tcPr>
          <w:p w:rsidR="00FC5774" w:rsidRPr="00FC5774" w:rsidRDefault="00FC5774" w:rsidP="00774F1C">
            <w:pPr>
              <w:jc w:val="right"/>
              <w:rPr>
                <w:sz w:val="20"/>
                <w:szCs w:val="20"/>
              </w:rPr>
            </w:pPr>
            <w:r w:rsidRPr="00FC5774">
              <w:rPr>
                <w:sz w:val="20"/>
                <w:szCs w:val="20"/>
              </w:rPr>
              <w:t>*</w:t>
            </w:r>
          </w:p>
        </w:tc>
      </w:tr>
      <w:tr w:rsidR="00774F1C" w:rsidRPr="00FC5774" w:rsidTr="00EE2BAB">
        <w:tc>
          <w:tcPr>
            <w:tcW w:w="9360" w:type="dxa"/>
            <w:gridSpan w:val="4"/>
          </w:tcPr>
          <w:p w:rsidR="00774F1C" w:rsidRPr="00FC5774" w:rsidRDefault="00774F1C" w:rsidP="00774F1C">
            <w:pPr>
              <w:jc w:val="left"/>
              <w:rPr>
                <w:color w:val="000000" w:themeColor="text1"/>
                <w:sz w:val="20"/>
                <w:szCs w:val="20"/>
              </w:rPr>
            </w:pPr>
            <w:r w:rsidRPr="000F11C7">
              <w:rPr>
                <w:b/>
                <w:sz w:val="20"/>
                <w:szCs w:val="20"/>
              </w:rPr>
              <w:t>A2:</w:t>
            </w:r>
            <w:r>
              <w:rPr>
                <w:b/>
                <w:sz w:val="20"/>
                <w:szCs w:val="20"/>
              </w:rPr>
              <w:t xml:space="preserve"> </w:t>
            </w:r>
            <w:r w:rsidRPr="000F11C7">
              <w:rPr>
                <w:b/>
                <w:sz w:val="20"/>
                <w:szCs w:val="20"/>
              </w:rPr>
              <w:t>Project preparation for HFC-related projects (decision</w:t>
            </w:r>
            <w:r>
              <w:rPr>
                <w:b/>
                <w:sz w:val="20"/>
                <w:szCs w:val="20"/>
              </w:rPr>
              <w:t>s</w:t>
            </w:r>
            <w:r w:rsidRPr="000F11C7">
              <w:rPr>
                <w:b/>
                <w:sz w:val="20"/>
                <w:szCs w:val="20"/>
              </w:rPr>
              <w:t xml:space="preserve"> 78/3(g) and 79/45)</w:t>
            </w:r>
          </w:p>
        </w:tc>
      </w:tr>
      <w:tr w:rsidR="00EF0862" w:rsidRPr="00FC5774" w:rsidTr="00EE2BAB">
        <w:tc>
          <w:tcPr>
            <w:tcW w:w="1710" w:type="dxa"/>
          </w:tcPr>
          <w:p w:rsidR="00EF0862" w:rsidRPr="00C318F5" w:rsidRDefault="000F11C7" w:rsidP="00774F1C">
            <w:pPr>
              <w:jc w:val="left"/>
              <w:rPr>
                <w:sz w:val="20"/>
                <w:szCs w:val="20"/>
              </w:rPr>
            </w:pPr>
            <w:r>
              <w:rPr>
                <w:sz w:val="20"/>
                <w:szCs w:val="20"/>
              </w:rPr>
              <w:t>Thailand</w:t>
            </w:r>
          </w:p>
        </w:tc>
        <w:tc>
          <w:tcPr>
            <w:tcW w:w="5040" w:type="dxa"/>
          </w:tcPr>
          <w:p w:rsidR="00EF0862" w:rsidRPr="00C318F5" w:rsidRDefault="000F11C7" w:rsidP="00774F1C">
            <w:pPr>
              <w:jc w:val="left"/>
              <w:rPr>
                <w:sz w:val="20"/>
                <w:szCs w:val="20"/>
              </w:rPr>
            </w:pPr>
            <w:r w:rsidRPr="000F11C7">
              <w:rPr>
                <w:sz w:val="20"/>
                <w:szCs w:val="20"/>
              </w:rPr>
              <w:t xml:space="preserve">Project preparation for conversion from HFC to HFO-based or other low-GWP alternatives in the production of commercial refrigeration equipment at </w:t>
            </w:r>
            <w:proofErr w:type="spellStart"/>
            <w:r w:rsidRPr="000F11C7">
              <w:rPr>
                <w:sz w:val="20"/>
                <w:szCs w:val="20"/>
              </w:rPr>
              <w:t>Pattana</w:t>
            </w:r>
            <w:proofErr w:type="spellEnd"/>
            <w:r w:rsidRPr="000F11C7">
              <w:rPr>
                <w:sz w:val="20"/>
                <w:szCs w:val="20"/>
              </w:rPr>
              <w:t xml:space="preserve"> Intercool and System Forms Co.</w:t>
            </w:r>
            <w:r w:rsidR="00A81DF3">
              <w:rPr>
                <w:sz w:val="20"/>
                <w:szCs w:val="20"/>
              </w:rPr>
              <w:t>,</w:t>
            </w:r>
            <w:r w:rsidRPr="000F11C7">
              <w:rPr>
                <w:sz w:val="20"/>
                <w:szCs w:val="20"/>
              </w:rPr>
              <w:t xml:space="preserve"> Ltd.</w:t>
            </w:r>
          </w:p>
        </w:tc>
        <w:tc>
          <w:tcPr>
            <w:tcW w:w="1167" w:type="dxa"/>
          </w:tcPr>
          <w:p w:rsidR="00EF0862" w:rsidRPr="001C7C6F" w:rsidRDefault="000F11C7" w:rsidP="00774F1C">
            <w:pPr>
              <w:jc w:val="right"/>
              <w:rPr>
                <w:sz w:val="20"/>
                <w:szCs w:val="20"/>
              </w:rPr>
            </w:pPr>
            <w:r>
              <w:rPr>
                <w:sz w:val="20"/>
                <w:szCs w:val="20"/>
              </w:rPr>
              <w:t>40,000</w:t>
            </w:r>
          </w:p>
        </w:tc>
        <w:tc>
          <w:tcPr>
            <w:tcW w:w="1443" w:type="dxa"/>
          </w:tcPr>
          <w:p w:rsidR="00EF0862" w:rsidRPr="00FC5774" w:rsidRDefault="00EF0862" w:rsidP="00774F1C">
            <w:pPr>
              <w:jc w:val="right"/>
              <w:rPr>
                <w:color w:val="000000" w:themeColor="text1"/>
                <w:sz w:val="20"/>
                <w:szCs w:val="20"/>
              </w:rPr>
            </w:pPr>
          </w:p>
        </w:tc>
      </w:tr>
      <w:tr w:rsidR="00EF0862" w:rsidRPr="00FC5774" w:rsidTr="00EE2BAB">
        <w:tc>
          <w:tcPr>
            <w:tcW w:w="6750" w:type="dxa"/>
            <w:gridSpan w:val="2"/>
          </w:tcPr>
          <w:p w:rsidR="00EF0862" w:rsidRPr="00FC5774" w:rsidRDefault="000F11C7" w:rsidP="002438B6">
            <w:pPr>
              <w:jc w:val="right"/>
              <w:rPr>
                <w:sz w:val="20"/>
                <w:szCs w:val="20"/>
              </w:rPr>
            </w:pPr>
            <w:r w:rsidRPr="000F11C7">
              <w:rPr>
                <w:sz w:val="20"/>
                <w:szCs w:val="20"/>
              </w:rPr>
              <w:t>Agency support costs (7 per cent for project preparation)</w:t>
            </w:r>
          </w:p>
        </w:tc>
        <w:tc>
          <w:tcPr>
            <w:tcW w:w="1167" w:type="dxa"/>
          </w:tcPr>
          <w:p w:rsidR="00EF0862" w:rsidRPr="00EF0862" w:rsidRDefault="000F11C7" w:rsidP="00774F1C">
            <w:pPr>
              <w:jc w:val="right"/>
              <w:rPr>
                <w:sz w:val="20"/>
                <w:szCs w:val="20"/>
              </w:rPr>
            </w:pPr>
            <w:r>
              <w:rPr>
                <w:sz w:val="20"/>
                <w:szCs w:val="20"/>
              </w:rPr>
              <w:t>2,800</w:t>
            </w:r>
          </w:p>
        </w:tc>
        <w:tc>
          <w:tcPr>
            <w:tcW w:w="1443" w:type="dxa"/>
          </w:tcPr>
          <w:p w:rsidR="00EF0862" w:rsidRPr="00EF0862" w:rsidRDefault="00EF0862" w:rsidP="00774F1C">
            <w:pPr>
              <w:jc w:val="right"/>
              <w:rPr>
                <w:sz w:val="20"/>
                <w:szCs w:val="20"/>
              </w:rPr>
            </w:pPr>
          </w:p>
        </w:tc>
      </w:tr>
      <w:tr w:rsidR="00EF0862" w:rsidRPr="00FC5774" w:rsidTr="00EE2BAB">
        <w:tc>
          <w:tcPr>
            <w:tcW w:w="6750" w:type="dxa"/>
            <w:gridSpan w:val="2"/>
          </w:tcPr>
          <w:p w:rsidR="00EF0862" w:rsidRPr="00FC5774" w:rsidRDefault="000F11C7" w:rsidP="00774F1C">
            <w:pPr>
              <w:jc w:val="right"/>
              <w:rPr>
                <w:sz w:val="20"/>
                <w:szCs w:val="20"/>
              </w:rPr>
            </w:pPr>
            <w:r w:rsidRPr="000F11C7">
              <w:rPr>
                <w:sz w:val="20"/>
                <w:szCs w:val="20"/>
              </w:rPr>
              <w:t>Total for A</w:t>
            </w:r>
            <w:r w:rsidR="00774F1C">
              <w:rPr>
                <w:sz w:val="20"/>
                <w:szCs w:val="20"/>
              </w:rPr>
              <w:t>2</w:t>
            </w:r>
          </w:p>
        </w:tc>
        <w:tc>
          <w:tcPr>
            <w:tcW w:w="1167" w:type="dxa"/>
          </w:tcPr>
          <w:p w:rsidR="00EF0862" w:rsidRPr="00EF0862" w:rsidRDefault="000F11C7" w:rsidP="00774F1C">
            <w:pPr>
              <w:jc w:val="right"/>
              <w:rPr>
                <w:sz w:val="20"/>
                <w:szCs w:val="20"/>
              </w:rPr>
            </w:pPr>
            <w:r>
              <w:rPr>
                <w:sz w:val="20"/>
                <w:szCs w:val="20"/>
              </w:rPr>
              <w:t>42,800</w:t>
            </w:r>
          </w:p>
        </w:tc>
        <w:tc>
          <w:tcPr>
            <w:tcW w:w="1443" w:type="dxa"/>
          </w:tcPr>
          <w:p w:rsidR="00EF0862" w:rsidRPr="00EF0862" w:rsidRDefault="00EF0862" w:rsidP="00774F1C">
            <w:pPr>
              <w:jc w:val="right"/>
              <w:rPr>
                <w:sz w:val="20"/>
                <w:szCs w:val="20"/>
              </w:rPr>
            </w:pPr>
          </w:p>
        </w:tc>
      </w:tr>
      <w:tr w:rsidR="00774F1C" w:rsidRPr="00FC5774" w:rsidTr="00EE2BAB">
        <w:tc>
          <w:tcPr>
            <w:tcW w:w="9360" w:type="dxa"/>
            <w:gridSpan w:val="4"/>
          </w:tcPr>
          <w:p w:rsidR="00774F1C" w:rsidRPr="00FC5774" w:rsidRDefault="00774F1C" w:rsidP="00774F1C">
            <w:pPr>
              <w:jc w:val="left"/>
              <w:rPr>
                <w:color w:val="000000" w:themeColor="text1"/>
                <w:sz w:val="20"/>
                <w:szCs w:val="20"/>
              </w:rPr>
            </w:pPr>
            <w:r w:rsidRPr="000F11C7">
              <w:rPr>
                <w:b/>
                <w:sz w:val="20"/>
                <w:szCs w:val="20"/>
              </w:rPr>
              <w:t>A3:</w:t>
            </w:r>
            <w:r>
              <w:rPr>
                <w:b/>
                <w:sz w:val="20"/>
                <w:szCs w:val="20"/>
              </w:rPr>
              <w:t xml:space="preserve"> </w:t>
            </w:r>
            <w:r w:rsidRPr="000F11C7">
              <w:rPr>
                <w:b/>
                <w:sz w:val="20"/>
                <w:szCs w:val="20"/>
              </w:rPr>
              <w:t>Project preparation for demonstration projects for HFC-23 by-product mitigation or conversion (decision 79/47)</w:t>
            </w:r>
          </w:p>
        </w:tc>
      </w:tr>
      <w:tr w:rsidR="00AB658E" w:rsidRPr="00FC5774" w:rsidTr="00EE2BAB">
        <w:tc>
          <w:tcPr>
            <w:tcW w:w="1710" w:type="dxa"/>
          </w:tcPr>
          <w:p w:rsidR="00AB658E" w:rsidRPr="00EF0862" w:rsidRDefault="000F11C7" w:rsidP="00774F1C">
            <w:pPr>
              <w:jc w:val="left"/>
              <w:rPr>
                <w:sz w:val="20"/>
                <w:szCs w:val="20"/>
              </w:rPr>
            </w:pPr>
            <w:r w:rsidRPr="000F11C7">
              <w:rPr>
                <w:sz w:val="20"/>
                <w:szCs w:val="20"/>
              </w:rPr>
              <w:t>China</w:t>
            </w:r>
          </w:p>
        </w:tc>
        <w:tc>
          <w:tcPr>
            <w:tcW w:w="5040" w:type="dxa"/>
          </w:tcPr>
          <w:p w:rsidR="00AB658E" w:rsidRPr="00EF0862" w:rsidRDefault="000F11C7" w:rsidP="002438B6">
            <w:pPr>
              <w:jc w:val="left"/>
              <w:rPr>
                <w:sz w:val="20"/>
                <w:szCs w:val="20"/>
              </w:rPr>
            </w:pPr>
            <w:r w:rsidRPr="000F11C7">
              <w:rPr>
                <w:sz w:val="20"/>
                <w:szCs w:val="20"/>
              </w:rPr>
              <w:t xml:space="preserve">Preparation of </w:t>
            </w:r>
            <w:r w:rsidR="00774F1C">
              <w:rPr>
                <w:sz w:val="20"/>
                <w:szCs w:val="20"/>
              </w:rPr>
              <w:t xml:space="preserve">a </w:t>
            </w:r>
            <w:r w:rsidRPr="000F11C7">
              <w:rPr>
                <w:sz w:val="20"/>
                <w:szCs w:val="20"/>
              </w:rPr>
              <w:t>technology demonstration project for HFC</w:t>
            </w:r>
            <w:r w:rsidR="002438B6">
              <w:rPr>
                <w:sz w:val="20"/>
                <w:szCs w:val="20"/>
              </w:rPr>
              <w:noBreakHyphen/>
            </w:r>
            <w:r w:rsidRPr="000F11C7">
              <w:rPr>
                <w:sz w:val="20"/>
                <w:szCs w:val="20"/>
              </w:rPr>
              <w:t xml:space="preserve">23 by-product conversion at Shandong </w:t>
            </w:r>
            <w:proofErr w:type="spellStart"/>
            <w:r w:rsidRPr="000F11C7">
              <w:rPr>
                <w:sz w:val="20"/>
                <w:szCs w:val="20"/>
              </w:rPr>
              <w:t>Dongyue</w:t>
            </w:r>
            <w:proofErr w:type="spellEnd"/>
            <w:r w:rsidRPr="000F11C7">
              <w:rPr>
                <w:sz w:val="20"/>
                <w:szCs w:val="20"/>
              </w:rPr>
              <w:t xml:space="preserve"> Chemical Co. Ltd.</w:t>
            </w:r>
          </w:p>
        </w:tc>
        <w:tc>
          <w:tcPr>
            <w:tcW w:w="1167" w:type="dxa"/>
          </w:tcPr>
          <w:p w:rsidR="00AB658E" w:rsidRPr="00EF0862" w:rsidRDefault="000F11C7" w:rsidP="00774F1C">
            <w:pPr>
              <w:jc w:val="right"/>
              <w:rPr>
                <w:sz w:val="20"/>
                <w:szCs w:val="20"/>
              </w:rPr>
            </w:pPr>
            <w:r w:rsidRPr="000F11C7">
              <w:rPr>
                <w:sz w:val="20"/>
                <w:szCs w:val="20"/>
              </w:rPr>
              <w:t>30,000</w:t>
            </w:r>
          </w:p>
        </w:tc>
        <w:tc>
          <w:tcPr>
            <w:tcW w:w="1443" w:type="dxa"/>
          </w:tcPr>
          <w:p w:rsidR="00AB658E" w:rsidRPr="00EF0862" w:rsidRDefault="00AB658E" w:rsidP="00774F1C">
            <w:pPr>
              <w:jc w:val="right"/>
              <w:rPr>
                <w:sz w:val="20"/>
                <w:szCs w:val="20"/>
              </w:rPr>
            </w:pPr>
            <w:r w:rsidRPr="00EF0862">
              <w:rPr>
                <w:sz w:val="20"/>
                <w:szCs w:val="20"/>
              </w:rPr>
              <w:t>*</w:t>
            </w:r>
          </w:p>
        </w:tc>
      </w:tr>
      <w:tr w:rsidR="00FC5774" w:rsidRPr="00FC5774" w:rsidTr="00EE2BAB">
        <w:tc>
          <w:tcPr>
            <w:tcW w:w="6750" w:type="dxa"/>
            <w:gridSpan w:val="2"/>
          </w:tcPr>
          <w:p w:rsidR="00FC5774" w:rsidRPr="00FC5774" w:rsidRDefault="00FC5774" w:rsidP="00774F1C">
            <w:pPr>
              <w:jc w:val="right"/>
              <w:rPr>
                <w:sz w:val="20"/>
                <w:szCs w:val="20"/>
              </w:rPr>
            </w:pPr>
            <w:r w:rsidRPr="00FC5774">
              <w:rPr>
                <w:sz w:val="20"/>
                <w:szCs w:val="20"/>
              </w:rPr>
              <w:t>Agency support costs (7 per cent for project preparation)</w:t>
            </w:r>
          </w:p>
        </w:tc>
        <w:tc>
          <w:tcPr>
            <w:tcW w:w="1167" w:type="dxa"/>
          </w:tcPr>
          <w:p w:rsidR="00FC5774" w:rsidRPr="00FC5774" w:rsidRDefault="000F11C7" w:rsidP="00774F1C">
            <w:pPr>
              <w:jc w:val="right"/>
              <w:rPr>
                <w:color w:val="000000" w:themeColor="text1"/>
                <w:sz w:val="20"/>
                <w:szCs w:val="20"/>
              </w:rPr>
            </w:pPr>
            <w:r>
              <w:rPr>
                <w:color w:val="000000" w:themeColor="text1"/>
                <w:sz w:val="20"/>
                <w:szCs w:val="20"/>
              </w:rPr>
              <w:t>2,100</w:t>
            </w:r>
          </w:p>
        </w:tc>
        <w:tc>
          <w:tcPr>
            <w:tcW w:w="1443" w:type="dxa"/>
          </w:tcPr>
          <w:p w:rsidR="00FC5774" w:rsidRPr="00FC5774" w:rsidRDefault="00FC5774" w:rsidP="00774F1C">
            <w:pPr>
              <w:jc w:val="right"/>
              <w:rPr>
                <w:color w:val="000000" w:themeColor="text1"/>
                <w:sz w:val="20"/>
                <w:szCs w:val="20"/>
              </w:rPr>
            </w:pPr>
            <w:r w:rsidRPr="00FC5774">
              <w:rPr>
                <w:color w:val="000000" w:themeColor="text1"/>
                <w:sz w:val="20"/>
                <w:szCs w:val="20"/>
              </w:rPr>
              <w:t>*</w:t>
            </w:r>
          </w:p>
        </w:tc>
      </w:tr>
      <w:tr w:rsidR="00FC5774" w:rsidRPr="00FC5774" w:rsidTr="00EE2BAB">
        <w:tc>
          <w:tcPr>
            <w:tcW w:w="6750" w:type="dxa"/>
            <w:gridSpan w:val="2"/>
          </w:tcPr>
          <w:p w:rsidR="00FC5774" w:rsidRPr="00FC5774" w:rsidRDefault="00FC5774" w:rsidP="00774F1C">
            <w:pPr>
              <w:jc w:val="right"/>
              <w:rPr>
                <w:sz w:val="20"/>
                <w:szCs w:val="20"/>
              </w:rPr>
            </w:pPr>
            <w:r w:rsidRPr="00FC5774">
              <w:rPr>
                <w:sz w:val="20"/>
                <w:szCs w:val="20"/>
              </w:rPr>
              <w:t>Total for A</w:t>
            </w:r>
            <w:r w:rsidR="00EF0862">
              <w:rPr>
                <w:sz w:val="20"/>
                <w:szCs w:val="20"/>
              </w:rPr>
              <w:t>3</w:t>
            </w:r>
          </w:p>
        </w:tc>
        <w:tc>
          <w:tcPr>
            <w:tcW w:w="1167" w:type="dxa"/>
          </w:tcPr>
          <w:p w:rsidR="00FC5774" w:rsidRPr="00FC5774" w:rsidRDefault="000F11C7" w:rsidP="00774F1C">
            <w:pPr>
              <w:jc w:val="right"/>
              <w:rPr>
                <w:color w:val="000000" w:themeColor="text1"/>
                <w:sz w:val="20"/>
                <w:szCs w:val="20"/>
              </w:rPr>
            </w:pPr>
            <w:r>
              <w:rPr>
                <w:color w:val="000000" w:themeColor="text1"/>
                <w:sz w:val="20"/>
                <w:szCs w:val="20"/>
              </w:rPr>
              <w:t>32,100</w:t>
            </w:r>
          </w:p>
        </w:tc>
        <w:tc>
          <w:tcPr>
            <w:tcW w:w="1443" w:type="dxa"/>
          </w:tcPr>
          <w:p w:rsidR="00FC5774" w:rsidRPr="00FC5774" w:rsidRDefault="00FC5774" w:rsidP="00774F1C">
            <w:pPr>
              <w:jc w:val="right"/>
              <w:rPr>
                <w:color w:val="000000" w:themeColor="text1"/>
                <w:sz w:val="20"/>
                <w:szCs w:val="20"/>
              </w:rPr>
            </w:pPr>
            <w:r w:rsidRPr="00FC5774">
              <w:rPr>
                <w:color w:val="000000" w:themeColor="text1"/>
                <w:sz w:val="20"/>
                <w:szCs w:val="20"/>
              </w:rPr>
              <w:t>*</w:t>
            </w:r>
          </w:p>
        </w:tc>
      </w:tr>
      <w:tr w:rsidR="00FC5774" w:rsidRPr="00FC5774" w:rsidTr="00EE2BAB">
        <w:tc>
          <w:tcPr>
            <w:tcW w:w="6750" w:type="dxa"/>
            <w:gridSpan w:val="2"/>
          </w:tcPr>
          <w:p w:rsidR="00FC5774" w:rsidRPr="00FC5774" w:rsidRDefault="00FC5774" w:rsidP="00774F1C">
            <w:pPr>
              <w:jc w:val="right"/>
              <w:rPr>
                <w:sz w:val="20"/>
                <w:szCs w:val="20"/>
              </w:rPr>
            </w:pPr>
            <w:r w:rsidRPr="00FC5774">
              <w:rPr>
                <w:sz w:val="20"/>
                <w:szCs w:val="20"/>
              </w:rPr>
              <w:t>Grand total (A1, A2, A3)</w:t>
            </w:r>
          </w:p>
        </w:tc>
        <w:tc>
          <w:tcPr>
            <w:tcW w:w="1167" w:type="dxa"/>
          </w:tcPr>
          <w:p w:rsidR="00FC5774" w:rsidRPr="00FC5774" w:rsidRDefault="00D277A2" w:rsidP="00774F1C">
            <w:pPr>
              <w:jc w:val="right"/>
              <w:rPr>
                <w:sz w:val="20"/>
                <w:szCs w:val="20"/>
                <w:highlight w:val="yellow"/>
              </w:rPr>
            </w:pPr>
            <w:r w:rsidRPr="00D277A2">
              <w:rPr>
                <w:sz w:val="20"/>
                <w:szCs w:val="20"/>
              </w:rPr>
              <w:t>892,400</w:t>
            </w:r>
          </w:p>
        </w:tc>
        <w:tc>
          <w:tcPr>
            <w:tcW w:w="1443" w:type="dxa"/>
          </w:tcPr>
          <w:p w:rsidR="00FC5774" w:rsidRPr="00FC5774" w:rsidRDefault="00FC5774" w:rsidP="00774F1C">
            <w:pPr>
              <w:jc w:val="right"/>
              <w:rPr>
                <w:sz w:val="20"/>
                <w:szCs w:val="20"/>
                <w:highlight w:val="yellow"/>
              </w:rPr>
            </w:pPr>
            <w:r w:rsidRPr="00FC5774">
              <w:rPr>
                <w:sz w:val="20"/>
                <w:szCs w:val="20"/>
              </w:rPr>
              <w:t>*</w:t>
            </w:r>
          </w:p>
        </w:tc>
      </w:tr>
    </w:tbl>
    <w:p w:rsidR="00FD5BD4" w:rsidRDefault="00FD5BD4" w:rsidP="00774F1C">
      <w:pPr>
        <w:pStyle w:val="StyleHeader4Para4Left0Firstline0"/>
        <w:numPr>
          <w:ilvl w:val="0"/>
          <w:numId w:val="0"/>
        </w:numPr>
      </w:pPr>
      <w:r w:rsidRPr="00FD5BD4">
        <w:t>*For individual consideration</w:t>
      </w:r>
    </w:p>
    <w:p w:rsidR="00A46F78" w:rsidRDefault="00A46F78" w:rsidP="00774F1C">
      <w:pPr>
        <w:rPr>
          <w:b/>
          <w:lang w:val="en-CA"/>
        </w:rPr>
      </w:pPr>
      <w:r w:rsidRPr="00D277A2">
        <w:rPr>
          <w:b/>
          <w:lang w:val="en-CA"/>
        </w:rPr>
        <w:t xml:space="preserve">SECTION </w:t>
      </w:r>
      <w:r w:rsidR="002A77AD" w:rsidRPr="00D277A2">
        <w:rPr>
          <w:b/>
          <w:lang w:val="en-CA"/>
        </w:rPr>
        <w:t>A</w:t>
      </w:r>
      <w:r w:rsidRPr="00D277A2">
        <w:rPr>
          <w:b/>
          <w:lang w:val="en-CA"/>
        </w:rPr>
        <w:t>: ACTIVITIES RECOMMENDED FOR INDIVIDUAL CONSIDERATION</w:t>
      </w:r>
    </w:p>
    <w:p w:rsidR="00A46F78" w:rsidRPr="002438B6" w:rsidRDefault="00A46F78" w:rsidP="00774F1C">
      <w:pPr>
        <w:rPr>
          <w:lang w:val="en-CA"/>
        </w:rPr>
      </w:pPr>
    </w:p>
    <w:p w:rsidR="00D277A2" w:rsidRPr="00D277A2" w:rsidRDefault="00D277A2" w:rsidP="00774F1C">
      <w:pPr>
        <w:rPr>
          <w:b/>
          <w:lang w:val="en-CA"/>
        </w:rPr>
      </w:pPr>
      <w:r w:rsidRPr="00D277A2">
        <w:rPr>
          <w:b/>
          <w:lang w:val="en-CA"/>
        </w:rPr>
        <w:t>A</w:t>
      </w:r>
      <w:r>
        <w:rPr>
          <w:b/>
          <w:lang w:val="en-CA"/>
        </w:rPr>
        <w:t>1</w:t>
      </w:r>
      <w:r w:rsidRPr="00D277A2">
        <w:rPr>
          <w:b/>
          <w:lang w:val="en-CA"/>
        </w:rPr>
        <w:t>: Technical assistance for enabling activities (decision 79/46)</w:t>
      </w:r>
    </w:p>
    <w:p w:rsidR="00D277A2" w:rsidRPr="002438B6" w:rsidRDefault="00D277A2" w:rsidP="00774F1C">
      <w:pPr>
        <w:rPr>
          <w:lang w:val="en-CA"/>
        </w:rPr>
      </w:pPr>
    </w:p>
    <w:p w:rsidR="00D277A2" w:rsidRPr="00953309" w:rsidRDefault="00D277A2" w:rsidP="00774F1C">
      <w:pPr>
        <w:rPr>
          <w:u w:val="single"/>
          <w:lang w:val="en-CA"/>
        </w:rPr>
      </w:pPr>
      <w:r w:rsidRPr="00953309">
        <w:rPr>
          <w:u w:val="single"/>
          <w:lang w:val="en-CA"/>
        </w:rPr>
        <w:t>Background</w:t>
      </w:r>
    </w:p>
    <w:p w:rsidR="00D277A2" w:rsidRDefault="00D277A2" w:rsidP="00774F1C">
      <w:pPr>
        <w:rPr>
          <w:lang w:val="en-CA"/>
        </w:rPr>
      </w:pPr>
    </w:p>
    <w:p w:rsidR="00695D03" w:rsidRDefault="0007287F" w:rsidP="001E6BFB">
      <w:pPr>
        <w:pStyle w:val="Heading1"/>
        <w:rPr>
          <w:lang w:val="en-CA"/>
        </w:rPr>
      </w:pPr>
      <w:r w:rsidRPr="0007287F">
        <w:rPr>
          <w:lang w:val="en-CA"/>
        </w:rPr>
        <w:t>I</w:t>
      </w:r>
      <w:r w:rsidR="007C193F" w:rsidRPr="0007287F">
        <w:rPr>
          <w:lang w:val="en-CA"/>
        </w:rPr>
        <w:t>n line with decision 79/46</w:t>
      </w:r>
      <w:r w:rsidRPr="0007287F">
        <w:rPr>
          <w:lang w:val="en-CA"/>
        </w:rPr>
        <w:t>,</w:t>
      </w:r>
      <w:r>
        <w:rPr>
          <w:rStyle w:val="FootnoteReference"/>
          <w:lang w:val="en-CA"/>
        </w:rPr>
        <w:footnoteReference w:id="1"/>
      </w:r>
      <w:r w:rsidRPr="0007287F">
        <w:rPr>
          <w:lang w:val="en-CA"/>
        </w:rPr>
        <w:t xml:space="preserve"> the </w:t>
      </w:r>
      <w:r w:rsidR="007C193F" w:rsidRPr="0007287F">
        <w:rPr>
          <w:lang w:val="en-CA"/>
        </w:rPr>
        <w:t xml:space="preserve">World Bank submitted funding requests for the implementation of enabling activities in </w:t>
      </w:r>
      <w:r w:rsidR="00695D03">
        <w:rPr>
          <w:lang w:val="en-CA"/>
        </w:rPr>
        <w:t xml:space="preserve">the </w:t>
      </w:r>
      <w:r w:rsidR="007B3877" w:rsidRPr="0007287F">
        <w:rPr>
          <w:lang w:val="en-CA"/>
        </w:rPr>
        <w:t xml:space="preserve">three </w:t>
      </w:r>
      <w:r w:rsidR="00695D03">
        <w:rPr>
          <w:lang w:val="en-CA"/>
        </w:rPr>
        <w:t xml:space="preserve">Article 5 </w:t>
      </w:r>
      <w:r w:rsidR="007C193F" w:rsidRPr="0007287F">
        <w:rPr>
          <w:lang w:val="en-CA"/>
        </w:rPr>
        <w:t>countries</w:t>
      </w:r>
      <w:r w:rsidR="00103B6B" w:rsidRPr="0007287F">
        <w:rPr>
          <w:lang w:val="en-CA"/>
        </w:rPr>
        <w:t xml:space="preserve"> </w:t>
      </w:r>
      <w:r w:rsidR="00695D03">
        <w:rPr>
          <w:lang w:val="en-CA"/>
        </w:rPr>
        <w:t xml:space="preserve">listed in </w:t>
      </w:r>
      <w:r w:rsidR="00103B6B" w:rsidRPr="0007287F">
        <w:rPr>
          <w:lang w:val="en-CA"/>
        </w:rPr>
        <w:t>Table 1</w:t>
      </w:r>
      <w:r w:rsidR="007C193F" w:rsidRPr="0007287F">
        <w:rPr>
          <w:lang w:val="en-CA"/>
        </w:rPr>
        <w:t xml:space="preserve">. </w:t>
      </w:r>
      <w:r w:rsidR="007B3877" w:rsidRPr="0007287F">
        <w:rPr>
          <w:lang w:val="en-CA"/>
        </w:rPr>
        <w:t xml:space="preserve">The detailed proposals are contained in </w:t>
      </w:r>
      <w:r w:rsidR="007B3877" w:rsidRPr="00A81DF3">
        <w:rPr>
          <w:lang w:val="en-CA"/>
        </w:rPr>
        <w:t>Annex</w:t>
      </w:r>
      <w:r w:rsidR="000D33BE" w:rsidRPr="00A81DF3">
        <w:rPr>
          <w:lang w:val="en-CA"/>
        </w:rPr>
        <w:t>es</w:t>
      </w:r>
      <w:r w:rsidR="007B3877" w:rsidRPr="00A81DF3">
        <w:rPr>
          <w:lang w:val="en-CA"/>
        </w:rPr>
        <w:t xml:space="preserve"> </w:t>
      </w:r>
      <w:r w:rsidR="000D33BE" w:rsidRPr="00A81DF3">
        <w:rPr>
          <w:lang w:val="en-CA"/>
        </w:rPr>
        <w:t>2 to 4</w:t>
      </w:r>
      <w:r w:rsidR="00695D03">
        <w:rPr>
          <w:lang w:val="en-CA"/>
        </w:rPr>
        <w:t xml:space="preserve"> to the </w:t>
      </w:r>
      <w:r w:rsidR="007B3877" w:rsidRPr="0007287F">
        <w:rPr>
          <w:lang w:val="en-CA"/>
        </w:rPr>
        <w:t xml:space="preserve">World Bank’s </w:t>
      </w:r>
      <w:r w:rsidR="00647C34">
        <w:rPr>
          <w:lang w:val="en-CA"/>
        </w:rPr>
        <w:t>submission</w:t>
      </w:r>
      <w:r w:rsidR="007B3877" w:rsidRPr="0007287F">
        <w:rPr>
          <w:lang w:val="en-CA"/>
        </w:rPr>
        <w:t>.</w:t>
      </w:r>
      <w:r w:rsidR="00103B6B" w:rsidRPr="0007287F">
        <w:rPr>
          <w:lang w:val="en-CA"/>
        </w:rPr>
        <w:t xml:space="preserve"> </w:t>
      </w:r>
    </w:p>
    <w:p w:rsidR="00695D03" w:rsidRDefault="00695D03" w:rsidP="00CC0D1F">
      <w:pPr>
        <w:pStyle w:val="Heading1"/>
        <w:keepNext/>
        <w:rPr>
          <w:lang w:val="en-CA"/>
        </w:rPr>
      </w:pPr>
      <w:r>
        <w:rPr>
          <w:lang w:val="en-CA"/>
        </w:rPr>
        <w:lastRenderedPageBreak/>
        <w:t>The enabling activities submitted by the three countries consist of the following</w:t>
      </w:r>
      <w:r w:rsidR="005C4B20">
        <w:rPr>
          <w:lang w:val="en-CA"/>
        </w:rPr>
        <w:t xml:space="preserve"> elements</w:t>
      </w:r>
      <w:r>
        <w:rPr>
          <w:lang w:val="en-CA"/>
        </w:rPr>
        <w:t>:</w:t>
      </w:r>
    </w:p>
    <w:p w:rsidR="00695D03" w:rsidRDefault="00695D03" w:rsidP="00CC0D1F">
      <w:pPr>
        <w:pStyle w:val="Heading2"/>
        <w:keepNext/>
        <w:widowControl/>
        <w:rPr>
          <w:lang w:val="en-CA"/>
        </w:rPr>
      </w:pPr>
      <w:r>
        <w:rPr>
          <w:lang w:val="en-CA"/>
        </w:rPr>
        <w:t xml:space="preserve">Assessment of </w:t>
      </w:r>
      <w:r w:rsidRPr="005770C4">
        <w:rPr>
          <w:lang w:val="en-CA"/>
        </w:rPr>
        <w:t xml:space="preserve">existing regulations pertaining to the ozone and climate protection to identify options to strengthen </w:t>
      </w:r>
      <w:r>
        <w:rPr>
          <w:lang w:val="en-CA"/>
        </w:rPr>
        <w:t xml:space="preserve">the </w:t>
      </w:r>
      <w:r w:rsidRPr="005770C4">
        <w:rPr>
          <w:lang w:val="en-CA"/>
        </w:rPr>
        <w:t>existing policy and regulatory framework to control and monitor import, export, and use of HFCs</w:t>
      </w:r>
      <w:r>
        <w:rPr>
          <w:lang w:val="en-CA"/>
        </w:rPr>
        <w:t>;</w:t>
      </w:r>
    </w:p>
    <w:p w:rsidR="00695D03" w:rsidRDefault="00695D03" w:rsidP="00695D03">
      <w:pPr>
        <w:pStyle w:val="Heading2"/>
        <w:rPr>
          <w:lang w:val="en-CA"/>
        </w:rPr>
      </w:pPr>
      <w:r>
        <w:rPr>
          <w:lang w:val="en-CA"/>
        </w:rPr>
        <w:t xml:space="preserve">Review and update </w:t>
      </w:r>
      <w:r w:rsidRPr="005770C4">
        <w:rPr>
          <w:lang w:val="en-CA"/>
        </w:rPr>
        <w:t xml:space="preserve">existing </w:t>
      </w:r>
      <w:r>
        <w:rPr>
          <w:lang w:val="en-CA"/>
        </w:rPr>
        <w:t xml:space="preserve">ODS </w:t>
      </w:r>
      <w:r w:rsidRPr="005770C4">
        <w:rPr>
          <w:lang w:val="en-CA"/>
        </w:rPr>
        <w:t xml:space="preserve">licensing and quota systems to cover HFCs, and to adapt </w:t>
      </w:r>
      <w:r>
        <w:rPr>
          <w:lang w:val="en-CA"/>
        </w:rPr>
        <w:t xml:space="preserve">the </w:t>
      </w:r>
      <w:r w:rsidRPr="005770C4">
        <w:rPr>
          <w:lang w:val="en-CA"/>
        </w:rPr>
        <w:t>existing Harmonized System (HS) of Custom Codes for tracking import/export of HFCs and HFC blends</w:t>
      </w:r>
      <w:r>
        <w:rPr>
          <w:lang w:val="en-CA"/>
        </w:rPr>
        <w:t>;</w:t>
      </w:r>
    </w:p>
    <w:p w:rsidR="00695D03" w:rsidRPr="005770C4" w:rsidRDefault="00695D03" w:rsidP="00695D03">
      <w:pPr>
        <w:pStyle w:val="Heading2"/>
        <w:rPr>
          <w:lang w:val="en-CA"/>
        </w:rPr>
      </w:pPr>
      <w:r w:rsidRPr="005770C4">
        <w:t>Explor</w:t>
      </w:r>
      <w:r w:rsidR="005C4B20">
        <w:t>e</w:t>
      </w:r>
      <w:r w:rsidRPr="005770C4">
        <w:t xml:space="preserve"> synerg</w:t>
      </w:r>
      <w:r>
        <w:t>ies</w:t>
      </w:r>
      <w:r w:rsidRPr="005770C4">
        <w:t xml:space="preserve"> among various </w:t>
      </w:r>
      <w:r>
        <w:t>G</w:t>
      </w:r>
      <w:r w:rsidRPr="005770C4">
        <w:t>overnment</w:t>
      </w:r>
      <w:r>
        <w:t>’s</w:t>
      </w:r>
      <w:r w:rsidRPr="005770C4">
        <w:t xml:space="preserve"> agencies</w:t>
      </w:r>
      <w:r>
        <w:t xml:space="preserve"> </w:t>
      </w:r>
      <w:r w:rsidRPr="005770C4">
        <w:t xml:space="preserve">involved in ozone and climate protection </w:t>
      </w:r>
      <w:r>
        <w:t xml:space="preserve">matters </w:t>
      </w:r>
      <w:r w:rsidRPr="005770C4">
        <w:t>to coordinate their efforts to control and monitor HFCs</w:t>
      </w:r>
      <w:r w:rsidR="005C4B20">
        <w:t>,</w:t>
      </w:r>
      <w:r w:rsidRPr="005770C4">
        <w:t xml:space="preserve"> and to report HFC consumption and emissions to the relevant global environmental treaties</w:t>
      </w:r>
      <w:r>
        <w:t>;</w:t>
      </w:r>
    </w:p>
    <w:p w:rsidR="00695D03" w:rsidRPr="005770C4" w:rsidRDefault="00695D03" w:rsidP="00695D03">
      <w:pPr>
        <w:pStyle w:val="Heading2"/>
        <w:rPr>
          <w:lang w:val="en-CA"/>
        </w:rPr>
      </w:pPr>
      <w:r>
        <w:rPr>
          <w:lang w:val="en-CA"/>
        </w:rPr>
        <w:t>Review</w:t>
      </w:r>
      <w:r w:rsidR="005C4B20">
        <w:rPr>
          <w:lang w:val="en-CA"/>
        </w:rPr>
        <w:t xml:space="preserve"> the </w:t>
      </w:r>
      <w:r>
        <w:rPr>
          <w:lang w:val="en-CA"/>
        </w:rPr>
        <w:t xml:space="preserve">results of the </w:t>
      </w:r>
      <w:r w:rsidRPr="005770C4">
        <w:rPr>
          <w:lang w:val="en-CA"/>
        </w:rPr>
        <w:t>ODS alternatives survey</w:t>
      </w:r>
      <w:r w:rsidR="005C4B20">
        <w:rPr>
          <w:lang w:val="en-CA"/>
        </w:rPr>
        <w:t>s</w:t>
      </w:r>
      <w:r w:rsidRPr="005770C4">
        <w:rPr>
          <w:lang w:val="en-CA"/>
        </w:rPr>
        <w:t xml:space="preserve"> </w:t>
      </w:r>
      <w:r w:rsidR="00A81DF3">
        <w:rPr>
          <w:lang w:val="en-CA"/>
        </w:rPr>
        <w:t>(</w:t>
      </w:r>
      <w:r w:rsidR="00AB7308">
        <w:rPr>
          <w:lang w:val="en-CA"/>
        </w:rPr>
        <w:t xml:space="preserve">Philippines </w:t>
      </w:r>
      <w:r w:rsidR="00A81DF3">
        <w:rPr>
          <w:lang w:val="en-CA"/>
        </w:rPr>
        <w:t>and Thailand)</w:t>
      </w:r>
      <w:r w:rsidR="00AB7308">
        <w:rPr>
          <w:lang w:val="en-CA"/>
        </w:rPr>
        <w:t xml:space="preserve"> or undertake a survey of HFC consumption (Malaysia)</w:t>
      </w:r>
      <w:r>
        <w:rPr>
          <w:lang w:val="en-CA"/>
        </w:rPr>
        <w:t xml:space="preserve">, to </w:t>
      </w:r>
      <w:r w:rsidRPr="005770C4">
        <w:rPr>
          <w:lang w:val="en-CA"/>
        </w:rPr>
        <w:t xml:space="preserve">analyze </w:t>
      </w:r>
      <w:r>
        <w:rPr>
          <w:lang w:val="en-CA"/>
        </w:rPr>
        <w:t>and</w:t>
      </w:r>
      <w:r w:rsidRPr="005770C4">
        <w:rPr>
          <w:lang w:val="en-CA"/>
        </w:rPr>
        <w:t xml:space="preserve"> forecast the HFC consumption </w:t>
      </w:r>
      <w:r w:rsidR="005C4B20">
        <w:rPr>
          <w:lang w:val="en-CA"/>
        </w:rPr>
        <w:t>baseline</w:t>
      </w:r>
      <w:r>
        <w:rPr>
          <w:lang w:val="en-CA"/>
        </w:rPr>
        <w:t>, and compile</w:t>
      </w:r>
      <w:r w:rsidRPr="005770C4">
        <w:t xml:space="preserve"> </w:t>
      </w:r>
      <w:r w:rsidRPr="005770C4">
        <w:rPr>
          <w:lang w:val="en-CA"/>
        </w:rPr>
        <w:t>alternative technologies for respective sectors</w:t>
      </w:r>
      <w:r>
        <w:rPr>
          <w:lang w:val="en-CA"/>
        </w:rPr>
        <w:t>; and</w:t>
      </w:r>
    </w:p>
    <w:p w:rsidR="00695D03" w:rsidRDefault="00695D03" w:rsidP="00695D03">
      <w:pPr>
        <w:pStyle w:val="Heading2"/>
        <w:rPr>
          <w:lang w:val="en-US"/>
        </w:rPr>
      </w:pPr>
      <w:r w:rsidRPr="005770C4">
        <w:rPr>
          <w:lang w:val="en-US"/>
        </w:rPr>
        <w:t xml:space="preserve">Develop a draft strategy highlighting different </w:t>
      </w:r>
      <w:r w:rsidR="005C4B20">
        <w:rPr>
          <w:lang w:val="en-US"/>
        </w:rPr>
        <w:t xml:space="preserve">HFC </w:t>
      </w:r>
      <w:r w:rsidRPr="005770C4">
        <w:rPr>
          <w:lang w:val="en-US"/>
        </w:rPr>
        <w:t xml:space="preserve">phase-down scenarios to proceed with </w:t>
      </w:r>
      <w:r w:rsidR="005C4B20">
        <w:rPr>
          <w:lang w:val="en-US"/>
        </w:rPr>
        <w:t xml:space="preserve">the </w:t>
      </w:r>
      <w:r w:rsidRPr="005770C4">
        <w:rPr>
          <w:lang w:val="en-US"/>
        </w:rPr>
        <w:t xml:space="preserve">ratification </w:t>
      </w:r>
      <w:r w:rsidR="005C4B20">
        <w:rPr>
          <w:lang w:val="en-US"/>
        </w:rPr>
        <w:t xml:space="preserve">and compliance of the Kigali </w:t>
      </w:r>
      <w:r w:rsidR="005C4B20" w:rsidRPr="005770C4">
        <w:rPr>
          <w:lang w:val="en-US"/>
        </w:rPr>
        <w:t>Amendment</w:t>
      </w:r>
      <w:r>
        <w:rPr>
          <w:lang w:val="en-US"/>
        </w:rPr>
        <w:t>.</w:t>
      </w:r>
    </w:p>
    <w:p w:rsidR="002A166E" w:rsidRDefault="002A166E" w:rsidP="00774F1C">
      <w:pPr>
        <w:rPr>
          <w:b/>
          <w:lang w:val="en-CA"/>
        </w:rPr>
      </w:pPr>
      <w:r>
        <w:rPr>
          <w:b/>
          <w:lang w:val="en-CA"/>
        </w:rPr>
        <w:t>Secretariat’s comment</w:t>
      </w:r>
    </w:p>
    <w:p w:rsidR="002A166E" w:rsidRPr="00597173" w:rsidRDefault="002A166E" w:rsidP="00774F1C">
      <w:pPr>
        <w:rPr>
          <w:lang w:val="en-CA"/>
        </w:rPr>
      </w:pPr>
    </w:p>
    <w:p w:rsidR="00597173" w:rsidRDefault="00597173" w:rsidP="00597173">
      <w:pPr>
        <w:pStyle w:val="Heading1"/>
        <w:rPr>
          <w:lang w:val="en-CA"/>
        </w:rPr>
      </w:pPr>
      <w:r>
        <w:rPr>
          <w:lang w:val="en-CA"/>
        </w:rPr>
        <w:t xml:space="preserve">To facilitate the preparation and submission of requests for enabling activities, the Secretariat prepared a Guide </w:t>
      </w:r>
      <w:r w:rsidRPr="00597173">
        <w:rPr>
          <w:lang w:val="en-CA"/>
        </w:rPr>
        <w:t xml:space="preserve">for the submission of enabling activities for HFC phase-down </w:t>
      </w:r>
      <w:r>
        <w:rPr>
          <w:lang w:val="en-CA"/>
        </w:rPr>
        <w:t xml:space="preserve">and presented to bilateral and implementing agencies </w:t>
      </w:r>
      <w:r w:rsidRPr="00597173">
        <w:rPr>
          <w:lang w:val="en-CA"/>
        </w:rPr>
        <w:t>at the Inter-agency coordination meeting</w:t>
      </w:r>
      <w:r>
        <w:rPr>
          <w:lang w:val="en-CA"/>
        </w:rPr>
        <w:t>.</w:t>
      </w:r>
      <w:r>
        <w:rPr>
          <w:rStyle w:val="FootnoteReference"/>
          <w:lang w:val="en-CA"/>
        </w:rPr>
        <w:footnoteReference w:id="2"/>
      </w:r>
      <w:r w:rsidRPr="00597173">
        <w:rPr>
          <w:lang w:val="en-CA"/>
        </w:rPr>
        <w:t xml:space="preserve"> </w:t>
      </w:r>
      <w:r w:rsidR="00382A55">
        <w:rPr>
          <w:lang w:val="en-CA"/>
        </w:rPr>
        <w:t>The Secretariat notes that the requests for enabling activities submitted by the World Bank followed the guide.</w:t>
      </w:r>
    </w:p>
    <w:p w:rsidR="00774359" w:rsidRPr="00DB158A" w:rsidRDefault="004801CE" w:rsidP="00AB7308">
      <w:pPr>
        <w:pStyle w:val="Heading1"/>
        <w:rPr>
          <w:lang w:val="en-CA"/>
        </w:rPr>
      </w:pPr>
      <w:r w:rsidRPr="00DB158A">
        <w:rPr>
          <w:lang w:val="en-CA"/>
        </w:rPr>
        <w:t>The Governments of Germany and Italy (as bilateral agencies), and the four implementing a</w:t>
      </w:r>
      <w:r w:rsidR="00AB7308">
        <w:rPr>
          <w:lang w:val="en-CA"/>
        </w:rPr>
        <w:t xml:space="preserve">gencies, all </w:t>
      </w:r>
      <w:r w:rsidRPr="00DB158A">
        <w:rPr>
          <w:lang w:val="en-CA"/>
        </w:rPr>
        <w:t xml:space="preserve">submitted </w:t>
      </w:r>
      <w:r w:rsidR="00AB7308" w:rsidRPr="00AB7308">
        <w:rPr>
          <w:lang w:val="en-CA"/>
        </w:rPr>
        <w:t>requests for funding for enabling activities</w:t>
      </w:r>
      <w:r w:rsidR="00AB7308">
        <w:rPr>
          <w:lang w:val="en-CA"/>
        </w:rPr>
        <w:t xml:space="preserve">, </w:t>
      </w:r>
      <w:r w:rsidRPr="00DB158A">
        <w:rPr>
          <w:lang w:val="en-CA"/>
        </w:rPr>
        <w:t xml:space="preserve">on behalf of </w:t>
      </w:r>
      <w:r w:rsidR="00A81DF3">
        <w:rPr>
          <w:lang w:val="en-CA"/>
        </w:rPr>
        <w:t>59</w:t>
      </w:r>
      <w:r w:rsidRPr="00DB158A">
        <w:rPr>
          <w:lang w:val="en-CA"/>
        </w:rPr>
        <w:t xml:space="preserve"> Article </w:t>
      </w:r>
      <w:r w:rsidR="006F575B">
        <w:rPr>
          <w:lang w:val="en-CA"/>
        </w:rPr>
        <w:t xml:space="preserve">5 </w:t>
      </w:r>
      <w:r w:rsidRPr="00DB158A">
        <w:rPr>
          <w:lang w:val="en-CA"/>
        </w:rPr>
        <w:t xml:space="preserve">countries, in line with decision 79/46. </w:t>
      </w:r>
      <w:r w:rsidRPr="00DB158A">
        <w:rPr>
          <w:lang w:val="en-US"/>
        </w:rPr>
        <w:t xml:space="preserve">In </w:t>
      </w:r>
      <w:r w:rsidR="00774359" w:rsidRPr="00DB158A">
        <w:rPr>
          <w:lang w:val="en-US"/>
        </w:rPr>
        <w:t xml:space="preserve">sub-paragraph (e) of </w:t>
      </w:r>
      <w:r w:rsidRPr="00DB158A">
        <w:rPr>
          <w:lang w:val="en-US"/>
        </w:rPr>
        <w:t xml:space="preserve">the </w:t>
      </w:r>
      <w:r w:rsidR="00774359" w:rsidRPr="00DB158A">
        <w:rPr>
          <w:lang w:val="en-US"/>
        </w:rPr>
        <w:t>decision</w:t>
      </w:r>
      <w:r w:rsidRPr="00DB158A">
        <w:rPr>
          <w:lang w:val="en-US"/>
        </w:rPr>
        <w:t>,</w:t>
      </w:r>
      <w:r w:rsidR="00774359" w:rsidRPr="00DB158A">
        <w:rPr>
          <w:lang w:val="en-US"/>
        </w:rPr>
        <w:t xml:space="preserve"> </w:t>
      </w:r>
      <w:r w:rsidRPr="00DB158A">
        <w:rPr>
          <w:lang w:val="en-US"/>
        </w:rPr>
        <w:t xml:space="preserve">the Committee decided that </w:t>
      </w:r>
      <w:r w:rsidR="00774359" w:rsidRPr="00DB158A">
        <w:rPr>
          <w:rFonts w:ascii="TimesNewRomanPSMT" w:hAnsi="TimesNewRomanPSMT" w:cs="TimesNewRomanPSMT"/>
          <w:lang w:val="en-US"/>
        </w:rPr>
        <w:t xml:space="preserve">requests for enabling activities </w:t>
      </w:r>
      <w:r w:rsidRPr="00DB158A">
        <w:rPr>
          <w:rFonts w:ascii="TimesNewRomanPSMT" w:hAnsi="TimesNewRomanPSMT" w:cs="TimesNewRomanPSMT"/>
          <w:lang w:val="en-US"/>
        </w:rPr>
        <w:t>submitted to the 80</w:t>
      </w:r>
      <w:r w:rsidRPr="00DB158A">
        <w:rPr>
          <w:rFonts w:ascii="TimesNewRomanPSMT" w:hAnsi="TimesNewRomanPSMT" w:cs="TimesNewRomanPSMT"/>
          <w:vertAlign w:val="superscript"/>
          <w:lang w:val="en-US"/>
        </w:rPr>
        <w:t>th</w:t>
      </w:r>
      <w:r w:rsidRPr="00DB158A">
        <w:rPr>
          <w:rFonts w:ascii="TimesNewRomanPSMT" w:hAnsi="TimesNewRomanPSMT" w:cs="TimesNewRomanPSMT"/>
          <w:lang w:val="en-US"/>
        </w:rPr>
        <w:t xml:space="preserve"> meeting would </w:t>
      </w:r>
      <w:r w:rsidR="00774359" w:rsidRPr="00DB158A">
        <w:rPr>
          <w:rFonts w:ascii="TimesNewRomanPSMT" w:hAnsi="TimesNewRomanPSMT" w:cs="TimesNewRomanPSMT"/>
          <w:lang w:val="en-US"/>
        </w:rPr>
        <w:t>be funded to the extent possible from additional voluntary contributions provided by non-Article 5 Parties</w:t>
      </w:r>
      <w:r w:rsidRPr="00DB158A">
        <w:rPr>
          <w:rFonts w:ascii="TimesNewRomanPSMT" w:hAnsi="TimesNewRomanPSMT" w:cs="TimesNewRomanPSMT"/>
          <w:lang w:val="en-US"/>
        </w:rPr>
        <w:t xml:space="preserve">. </w:t>
      </w:r>
      <w:r w:rsidR="00DB158A">
        <w:rPr>
          <w:rFonts w:ascii="TimesNewRomanPSMT" w:hAnsi="TimesNewRomanPSMT" w:cs="TimesNewRomanPSMT"/>
          <w:lang w:val="en-US"/>
        </w:rPr>
        <w:t>To facilitate the review and discussion by Committee members, and g</w:t>
      </w:r>
      <w:r w:rsidR="00707D1C" w:rsidRPr="00DB158A">
        <w:rPr>
          <w:rFonts w:ascii="TimesNewRomanPSMT" w:hAnsi="TimesNewRomanPSMT" w:cs="TimesNewRomanPSMT"/>
          <w:lang w:val="en-US"/>
        </w:rPr>
        <w:t>iven the funding modality agreed in decision 79/46(</w:t>
      </w:r>
      <w:r w:rsidR="00670D4C">
        <w:rPr>
          <w:rFonts w:ascii="TimesNewRomanPSMT" w:hAnsi="TimesNewRomanPSMT" w:cs="TimesNewRomanPSMT"/>
          <w:lang w:val="en-US"/>
        </w:rPr>
        <w:t>e</w:t>
      </w:r>
      <w:r w:rsidR="00707D1C" w:rsidRPr="00DB158A">
        <w:rPr>
          <w:rFonts w:ascii="TimesNewRomanPSMT" w:hAnsi="TimesNewRomanPSMT" w:cs="TimesNewRomanPSMT"/>
          <w:lang w:val="en-US"/>
        </w:rPr>
        <w:t xml:space="preserve">), the </w:t>
      </w:r>
      <w:r w:rsidR="00774359" w:rsidRPr="00DB158A">
        <w:rPr>
          <w:lang w:val="en-US"/>
        </w:rPr>
        <w:t xml:space="preserve">Secretariat has </w:t>
      </w:r>
      <w:r w:rsidR="00DB158A" w:rsidRPr="00DB158A">
        <w:rPr>
          <w:lang w:val="en-US"/>
        </w:rPr>
        <w:t xml:space="preserve">included a list of all the requests for </w:t>
      </w:r>
      <w:r w:rsidR="00DB158A" w:rsidRPr="00DB158A">
        <w:rPr>
          <w:rFonts w:ascii="TimesNewRomanPSMT" w:hAnsi="TimesNewRomanPSMT" w:cs="TimesNewRomanPSMT"/>
          <w:lang w:val="en-US"/>
        </w:rPr>
        <w:t>enabling activities submitted to the 80</w:t>
      </w:r>
      <w:r w:rsidR="00DB158A" w:rsidRPr="00DB158A">
        <w:rPr>
          <w:rFonts w:ascii="TimesNewRomanPSMT" w:hAnsi="TimesNewRomanPSMT" w:cs="TimesNewRomanPSMT"/>
          <w:vertAlign w:val="superscript"/>
          <w:lang w:val="en-US"/>
        </w:rPr>
        <w:t>th</w:t>
      </w:r>
      <w:r w:rsidR="00DB158A" w:rsidRPr="00DB158A">
        <w:rPr>
          <w:rFonts w:ascii="TimesNewRomanPSMT" w:hAnsi="TimesNewRomanPSMT" w:cs="TimesNewRomanPSMT"/>
          <w:lang w:val="en-US"/>
        </w:rPr>
        <w:t xml:space="preserve"> meeting</w:t>
      </w:r>
      <w:r w:rsidR="004504B0">
        <w:rPr>
          <w:rFonts w:ascii="TimesNewRomanPSMT" w:hAnsi="TimesNewRomanPSMT" w:cs="TimesNewRomanPSMT"/>
          <w:lang w:val="en-US"/>
        </w:rPr>
        <w:t>,</w:t>
      </w:r>
      <w:r w:rsidR="00DB158A" w:rsidRPr="00DB158A">
        <w:rPr>
          <w:lang w:val="en-US"/>
        </w:rPr>
        <w:t xml:space="preserve"> indicating funding levels and agencies involved</w:t>
      </w:r>
      <w:r w:rsidR="004504B0">
        <w:rPr>
          <w:lang w:val="en-US"/>
        </w:rPr>
        <w:t>,</w:t>
      </w:r>
      <w:r w:rsidR="00DB158A" w:rsidRPr="00DB158A">
        <w:rPr>
          <w:lang w:val="en-US"/>
        </w:rPr>
        <w:t xml:space="preserve"> </w:t>
      </w:r>
      <w:r w:rsidR="00774359" w:rsidRPr="00DB158A">
        <w:rPr>
          <w:lang w:val="en-US"/>
        </w:rPr>
        <w:t>in the document on the Overview of issues identified during project review</w:t>
      </w:r>
      <w:r w:rsidR="00670D4C">
        <w:rPr>
          <w:lang w:val="en-US"/>
        </w:rPr>
        <w:t>.</w:t>
      </w:r>
      <w:r w:rsidR="00DB158A">
        <w:rPr>
          <w:rStyle w:val="FootnoteReference"/>
          <w:lang w:val="en-US"/>
        </w:rPr>
        <w:footnoteReference w:id="3"/>
      </w:r>
      <w:r w:rsidR="00774359" w:rsidRPr="00DB158A">
        <w:rPr>
          <w:lang w:val="en-US"/>
        </w:rPr>
        <w:t xml:space="preserve"> </w:t>
      </w:r>
    </w:p>
    <w:p w:rsidR="00695D03" w:rsidRDefault="00382A55" w:rsidP="00774F1C">
      <w:pPr>
        <w:pStyle w:val="Heading1"/>
        <w:rPr>
          <w:lang w:val="en-CA"/>
        </w:rPr>
      </w:pPr>
      <w:r>
        <w:rPr>
          <w:lang w:val="en-CA"/>
        </w:rPr>
        <w:t>T</w:t>
      </w:r>
      <w:r w:rsidR="007B3877">
        <w:rPr>
          <w:lang w:val="en-CA"/>
        </w:rPr>
        <w:t xml:space="preserve">he Secretariat reviewed the requests for enabling activities </w:t>
      </w:r>
      <w:r w:rsidR="00647C34">
        <w:rPr>
          <w:lang w:val="en-CA"/>
        </w:rPr>
        <w:t xml:space="preserve">and concluded that they fulfilled all </w:t>
      </w:r>
      <w:r w:rsidR="007B3877">
        <w:rPr>
          <w:lang w:val="en-CA"/>
        </w:rPr>
        <w:t xml:space="preserve">the requirements </w:t>
      </w:r>
      <w:r w:rsidR="00647C34">
        <w:rPr>
          <w:lang w:val="en-CA"/>
        </w:rPr>
        <w:t xml:space="preserve">of </w:t>
      </w:r>
      <w:r w:rsidR="007B3877">
        <w:rPr>
          <w:lang w:val="en-CA"/>
        </w:rPr>
        <w:t xml:space="preserve">decision </w:t>
      </w:r>
      <w:r w:rsidR="00F47290">
        <w:rPr>
          <w:lang w:val="en-CA"/>
        </w:rPr>
        <w:t>79/4</w:t>
      </w:r>
      <w:r w:rsidR="00D3181F">
        <w:rPr>
          <w:lang w:val="en-CA"/>
        </w:rPr>
        <w:t>6</w:t>
      </w:r>
      <w:r>
        <w:rPr>
          <w:lang w:val="en-CA"/>
        </w:rPr>
        <w:t xml:space="preserve">, </w:t>
      </w:r>
      <w:r w:rsidRPr="00382A55">
        <w:rPr>
          <w:lang w:val="en-CA"/>
        </w:rPr>
        <w:t>a</w:t>
      </w:r>
      <w:r w:rsidR="00647C34" w:rsidRPr="00647C34">
        <w:rPr>
          <w:lang w:val="en-CA"/>
        </w:rPr>
        <w:t>s</w:t>
      </w:r>
      <w:r w:rsidRPr="00647C34">
        <w:rPr>
          <w:lang w:val="en-CA"/>
        </w:rPr>
        <w:t xml:space="preserve"> noted</w:t>
      </w:r>
      <w:r w:rsidR="00647C34">
        <w:rPr>
          <w:lang w:val="en-CA"/>
        </w:rPr>
        <w:t xml:space="preserve"> below</w:t>
      </w:r>
      <w:r>
        <w:rPr>
          <w:lang w:val="en-CA"/>
        </w:rPr>
        <w:t>:</w:t>
      </w:r>
    </w:p>
    <w:p w:rsidR="00695D03" w:rsidRPr="0007287F" w:rsidRDefault="00774359" w:rsidP="00382A55">
      <w:pPr>
        <w:pStyle w:val="Heading2"/>
        <w:rPr>
          <w:lang w:val="en-CA"/>
        </w:rPr>
      </w:pPr>
      <w:r>
        <w:rPr>
          <w:lang w:val="en-CA"/>
        </w:rPr>
        <w:t>T</w:t>
      </w:r>
      <w:r w:rsidR="00382A55">
        <w:rPr>
          <w:lang w:val="en-CA"/>
        </w:rPr>
        <w:t xml:space="preserve">he World Bank submitted endorsement letters </w:t>
      </w:r>
      <w:r w:rsidRPr="0007287F">
        <w:rPr>
          <w:lang w:val="en-CA"/>
        </w:rPr>
        <w:t xml:space="preserve">from the </w:t>
      </w:r>
      <w:r>
        <w:rPr>
          <w:lang w:val="en-CA"/>
        </w:rPr>
        <w:t>G</w:t>
      </w:r>
      <w:r w:rsidRPr="0007287F">
        <w:rPr>
          <w:lang w:val="en-CA"/>
        </w:rPr>
        <w:t>overnment</w:t>
      </w:r>
      <w:r>
        <w:rPr>
          <w:lang w:val="en-CA"/>
        </w:rPr>
        <w:t>s of the three Article</w:t>
      </w:r>
      <w:r w:rsidR="001908C3">
        <w:rPr>
          <w:lang w:val="en-CA"/>
        </w:rPr>
        <w:t> </w:t>
      </w:r>
      <w:r>
        <w:rPr>
          <w:lang w:val="en-CA"/>
        </w:rPr>
        <w:t xml:space="preserve">5 countries </w:t>
      </w:r>
      <w:r w:rsidRPr="0007287F">
        <w:rPr>
          <w:lang w:val="en-CA"/>
        </w:rPr>
        <w:t xml:space="preserve">indicating </w:t>
      </w:r>
      <w:r>
        <w:rPr>
          <w:lang w:val="en-CA"/>
        </w:rPr>
        <w:t xml:space="preserve">their </w:t>
      </w:r>
      <w:r w:rsidRPr="0007287F">
        <w:rPr>
          <w:lang w:val="en-CA"/>
        </w:rPr>
        <w:t>intent to make best efforts to ratify the Kigali</w:t>
      </w:r>
      <w:r>
        <w:rPr>
          <w:lang w:val="en-CA"/>
        </w:rPr>
        <w:t xml:space="preserve"> Amendment as early as possible</w:t>
      </w:r>
      <w:r w:rsidR="00382A55">
        <w:rPr>
          <w:lang w:val="en-CA"/>
        </w:rPr>
        <w:t>;</w:t>
      </w:r>
    </w:p>
    <w:p w:rsidR="00774359" w:rsidRDefault="00774359" w:rsidP="001E6BFB">
      <w:pPr>
        <w:pStyle w:val="Heading2"/>
        <w:rPr>
          <w:lang w:val="en-CA"/>
        </w:rPr>
      </w:pPr>
      <w:r w:rsidRPr="00774359">
        <w:rPr>
          <w:lang w:val="en-CA"/>
        </w:rPr>
        <w:t xml:space="preserve">The three project proposals included </w:t>
      </w:r>
      <w:r w:rsidR="00695D03" w:rsidRPr="00774359">
        <w:rPr>
          <w:lang w:val="en-CA"/>
        </w:rPr>
        <w:t>detailed descriptions of each of the enabling activities</w:t>
      </w:r>
      <w:r w:rsidRPr="00774359">
        <w:rPr>
          <w:lang w:val="en-CA"/>
        </w:rPr>
        <w:t>,</w:t>
      </w:r>
      <w:r w:rsidR="00695D03" w:rsidRPr="00774359">
        <w:rPr>
          <w:lang w:val="en-CA"/>
        </w:rPr>
        <w:t xml:space="preserve"> institutional arrangements, cost breakdown and the schedule for implementation</w:t>
      </w:r>
      <w:r>
        <w:rPr>
          <w:lang w:val="en-CA"/>
        </w:rPr>
        <w:t>;</w:t>
      </w:r>
    </w:p>
    <w:p w:rsidR="00695D03" w:rsidRPr="00774359" w:rsidRDefault="00774359" w:rsidP="001E6BFB">
      <w:pPr>
        <w:pStyle w:val="Heading2"/>
        <w:rPr>
          <w:lang w:val="en-CA"/>
        </w:rPr>
      </w:pPr>
      <w:r w:rsidRPr="00774359">
        <w:rPr>
          <w:lang w:val="en-CA"/>
        </w:rPr>
        <w:t xml:space="preserve">All of the proposals will be </w:t>
      </w:r>
      <w:r>
        <w:rPr>
          <w:lang w:val="en-CA"/>
        </w:rPr>
        <w:t xml:space="preserve">implemented in </w:t>
      </w:r>
      <w:r w:rsidR="00695D03" w:rsidRPr="00A81DF3">
        <w:rPr>
          <w:lang w:val="en-CA"/>
        </w:rPr>
        <w:t>18 m</w:t>
      </w:r>
      <w:r w:rsidR="00695D03" w:rsidRPr="00774359">
        <w:rPr>
          <w:lang w:val="en-CA"/>
        </w:rPr>
        <w:t>onths</w:t>
      </w:r>
      <w:r>
        <w:rPr>
          <w:lang w:val="en-CA"/>
        </w:rPr>
        <w:t xml:space="preserve">. </w:t>
      </w:r>
    </w:p>
    <w:p w:rsidR="00D277A2" w:rsidRDefault="00D277A2" w:rsidP="00774F1C">
      <w:pPr>
        <w:rPr>
          <w:b/>
          <w:lang w:val="en-CA"/>
        </w:rPr>
      </w:pPr>
      <w:r w:rsidRPr="00D277A2">
        <w:rPr>
          <w:b/>
          <w:lang w:val="en-CA"/>
        </w:rPr>
        <w:lastRenderedPageBreak/>
        <w:t>Secretariat’s recommendation</w:t>
      </w:r>
    </w:p>
    <w:p w:rsidR="00D277A2" w:rsidRPr="00D277A2" w:rsidRDefault="00D277A2" w:rsidP="00774F1C">
      <w:pPr>
        <w:rPr>
          <w:b/>
          <w:lang w:val="en-CA"/>
        </w:rPr>
      </w:pPr>
    </w:p>
    <w:p w:rsidR="00D277A2" w:rsidRPr="007F4046" w:rsidRDefault="007F4046" w:rsidP="00774F1C">
      <w:pPr>
        <w:pStyle w:val="Heading1"/>
        <w:rPr>
          <w:lang w:val="en-CA"/>
        </w:rPr>
      </w:pPr>
      <w:r w:rsidRPr="007F4046">
        <w:rPr>
          <w:lang w:val="en-CA"/>
        </w:rPr>
        <w:t xml:space="preserve">The Executive Committee may wish to consider the </w:t>
      </w:r>
      <w:r>
        <w:rPr>
          <w:lang w:val="en-CA"/>
        </w:rPr>
        <w:t xml:space="preserve">requests for enabling activities for </w:t>
      </w:r>
      <w:r w:rsidR="00647C34">
        <w:rPr>
          <w:lang w:val="en-CA"/>
        </w:rPr>
        <w:t>H</w:t>
      </w:r>
      <w:r w:rsidR="001908C3">
        <w:rPr>
          <w:lang w:val="en-CA"/>
        </w:rPr>
        <w:t xml:space="preserve">FC </w:t>
      </w:r>
      <w:r w:rsidR="00647C34">
        <w:rPr>
          <w:lang w:val="en-CA"/>
        </w:rPr>
        <w:t>phase</w:t>
      </w:r>
      <w:r w:rsidR="001908C3">
        <w:rPr>
          <w:lang w:val="en-CA"/>
        </w:rPr>
        <w:noBreakHyphen/>
      </w:r>
      <w:r w:rsidR="00647C34">
        <w:rPr>
          <w:lang w:val="en-CA"/>
        </w:rPr>
        <w:t xml:space="preserve">down for </w:t>
      </w:r>
      <w:r>
        <w:rPr>
          <w:lang w:val="en-CA"/>
        </w:rPr>
        <w:t xml:space="preserve">the three </w:t>
      </w:r>
      <w:r w:rsidR="00647C34">
        <w:rPr>
          <w:lang w:val="en-CA"/>
        </w:rPr>
        <w:t xml:space="preserve">Article </w:t>
      </w:r>
      <w:r>
        <w:rPr>
          <w:lang w:val="en-CA"/>
        </w:rPr>
        <w:t>countries listed</w:t>
      </w:r>
      <w:r w:rsidRPr="007F4046">
        <w:rPr>
          <w:lang w:val="en-CA"/>
        </w:rPr>
        <w:t xml:space="preserve"> in Table 1 </w:t>
      </w:r>
      <w:r w:rsidR="00647C34">
        <w:rPr>
          <w:lang w:val="en-CA"/>
        </w:rPr>
        <w:t xml:space="preserve">above, </w:t>
      </w:r>
      <w:r w:rsidRPr="007F4046">
        <w:rPr>
          <w:lang w:val="en-CA"/>
        </w:rPr>
        <w:t>in the context of its discussion of the proposals for HFC-related projects described in the document on Overview of issues identified during project revie</w:t>
      </w:r>
      <w:r w:rsidRPr="000D33BE">
        <w:rPr>
          <w:lang w:val="en-CA"/>
        </w:rPr>
        <w:t>w</w:t>
      </w:r>
      <w:r w:rsidRPr="007F4046">
        <w:rPr>
          <w:lang w:val="en-CA"/>
        </w:rPr>
        <w:t>.</w:t>
      </w:r>
    </w:p>
    <w:p w:rsidR="00A46F78" w:rsidRPr="00A46F78" w:rsidRDefault="002A77AD" w:rsidP="00774F1C">
      <w:pPr>
        <w:rPr>
          <w:b/>
          <w:lang w:val="en-CA"/>
        </w:rPr>
      </w:pPr>
      <w:r>
        <w:rPr>
          <w:b/>
          <w:lang w:val="en-CA"/>
        </w:rPr>
        <w:t>A</w:t>
      </w:r>
      <w:r w:rsidR="007F4046">
        <w:rPr>
          <w:b/>
          <w:lang w:val="en-CA"/>
        </w:rPr>
        <w:t>2</w:t>
      </w:r>
      <w:r w:rsidR="00A46F78" w:rsidRPr="00A46F78">
        <w:rPr>
          <w:b/>
          <w:lang w:val="en-CA"/>
        </w:rPr>
        <w:t>: Project preparation for HFC-related projects (decisi</w:t>
      </w:r>
      <w:r w:rsidR="00103B6B">
        <w:rPr>
          <w:b/>
          <w:lang w:val="en-CA"/>
        </w:rPr>
        <w:t>on</w:t>
      </w:r>
      <w:r w:rsidR="00647C34">
        <w:rPr>
          <w:b/>
          <w:lang w:val="en-CA"/>
        </w:rPr>
        <w:t>s</w:t>
      </w:r>
      <w:r w:rsidR="00103B6B">
        <w:rPr>
          <w:b/>
          <w:lang w:val="en-CA"/>
        </w:rPr>
        <w:t xml:space="preserve"> 78/3 (g) and 79/45)</w:t>
      </w:r>
    </w:p>
    <w:p w:rsidR="002A77AD" w:rsidRDefault="002A77AD" w:rsidP="00774F1C">
      <w:pPr>
        <w:rPr>
          <w:b/>
          <w:lang w:val="en-CA"/>
        </w:rPr>
      </w:pPr>
    </w:p>
    <w:p w:rsidR="00D277A2" w:rsidRPr="00953309" w:rsidRDefault="00103B6B" w:rsidP="00774F1C">
      <w:pPr>
        <w:rPr>
          <w:u w:val="single"/>
          <w:lang w:val="en-CA"/>
        </w:rPr>
      </w:pPr>
      <w:r w:rsidRPr="00953309">
        <w:rPr>
          <w:u w:val="single"/>
          <w:lang w:val="en-CA"/>
        </w:rPr>
        <w:t xml:space="preserve">Project </w:t>
      </w:r>
      <w:r w:rsidR="00953309">
        <w:rPr>
          <w:u w:val="single"/>
          <w:lang w:val="en-CA"/>
        </w:rPr>
        <w:t>d</w:t>
      </w:r>
      <w:r w:rsidRPr="00953309">
        <w:rPr>
          <w:u w:val="single"/>
          <w:lang w:val="en-CA"/>
        </w:rPr>
        <w:t>escription</w:t>
      </w:r>
    </w:p>
    <w:p w:rsidR="00D277A2" w:rsidRDefault="00D277A2" w:rsidP="00774F1C">
      <w:pPr>
        <w:rPr>
          <w:u w:val="single"/>
          <w:lang w:val="en-CA"/>
        </w:rPr>
      </w:pPr>
    </w:p>
    <w:p w:rsidR="00647C34" w:rsidRDefault="007C193F" w:rsidP="00647C34">
      <w:pPr>
        <w:pStyle w:val="Heading1"/>
        <w:rPr>
          <w:lang w:val="en-CA"/>
        </w:rPr>
      </w:pPr>
      <w:r w:rsidRPr="00D3181F">
        <w:rPr>
          <w:lang w:val="en-CA"/>
        </w:rPr>
        <w:t xml:space="preserve">The World Bank submitted a request for project preparation for the </w:t>
      </w:r>
      <w:r w:rsidR="007663C9">
        <w:rPr>
          <w:lang w:val="en-CA"/>
        </w:rPr>
        <w:t>conversion of HFC to low</w:t>
      </w:r>
      <w:r w:rsidR="007663C9">
        <w:rPr>
          <w:lang w:val="en-CA"/>
        </w:rPr>
        <w:noBreakHyphen/>
      </w:r>
      <w:r w:rsidR="00103B6B" w:rsidRPr="00D3181F">
        <w:rPr>
          <w:lang w:val="en-CA"/>
        </w:rPr>
        <w:t>GWP refrigerant in the manufacturing of commercial refrigeration equipment for two enterprises</w:t>
      </w:r>
      <w:r w:rsidR="00647C34">
        <w:rPr>
          <w:lang w:val="en-CA"/>
        </w:rPr>
        <w:t xml:space="preserve"> in Thailand</w:t>
      </w:r>
      <w:r w:rsidR="00103B6B" w:rsidRPr="00D3181F">
        <w:rPr>
          <w:lang w:val="en-CA"/>
        </w:rPr>
        <w:t xml:space="preserve">: </w:t>
      </w:r>
      <w:proofErr w:type="spellStart"/>
      <w:r w:rsidR="00103B6B" w:rsidRPr="00D3181F">
        <w:rPr>
          <w:lang w:val="en-CA"/>
        </w:rPr>
        <w:t>Pattana</w:t>
      </w:r>
      <w:proofErr w:type="spellEnd"/>
      <w:r w:rsidR="00103B6B" w:rsidRPr="00D3181F">
        <w:rPr>
          <w:lang w:val="en-CA"/>
        </w:rPr>
        <w:t xml:space="preserve"> Intercool and System Forms</w:t>
      </w:r>
      <w:r w:rsidR="00647C34">
        <w:rPr>
          <w:lang w:val="en-CA"/>
        </w:rPr>
        <w:t xml:space="preserve">, listed in </w:t>
      </w:r>
      <w:r w:rsidR="00103B6B" w:rsidRPr="00D3181F">
        <w:rPr>
          <w:lang w:val="en-CA"/>
        </w:rPr>
        <w:t>Table 1</w:t>
      </w:r>
      <w:r w:rsidR="00953309">
        <w:rPr>
          <w:lang w:val="en-CA"/>
        </w:rPr>
        <w:t xml:space="preserve"> above</w:t>
      </w:r>
      <w:r w:rsidR="00647C34">
        <w:rPr>
          <w:lang w:val="en-CA"/>
        </w:rPr>
        <w:t>. D</w:t>
      </w:r>
      <w:r w:rsidR="00647C34" w:rsidRPr="0007287F">
        <w:rPr>
          <w:lang w:val="en-CA"/>
        </w:rPr>
        <w:t>etail</w:t>
      </w:r>
      <w:r w:rsidR="00647C34">
        <w:rPr>
          <w:lang w:val="en-CA"/>
        </w:rPr>
        <w:t xml:space="preserve">s of the project preparation request is </w:t>
      </w:r>
      <w:r w:rsidR="00647C34" w:rsidRPr="0007287F">
        <w:rPr>
          <w:lang w:val="en-CA"/>
        </w:rPr>
        <w:t xml:space="preserve">contained in </w:t>
      </w:r>
      <w:r w:rsidR="00647C34" w:rsidRPr="001908C3">
        <w:rPr>
          <w:lang w:val="en-CA"/>
        </w:rPr>
        <w:t xml:space="preserve">Annex </w:t>
      </w:r>
      <w:r w:rsidR="001908C3">
        <w:rPr>
          <w:lang w:val="en-CA"/>
        </w:rPr>
        <w:t>5</w:t>
      </w:r>
      <w:r w:rsidR="00647C34">
        <w:rPr>
          <w:lang w:val="en-CA"/>
        </w:rPr>
        <w:t xml:space="preserve"> to the </w:t>
      </w:r>
      <w:r w:rsidR="00647C34" w:rsidRPr="0007287F">
        <w:rPr>
          <w:lang w:val="en-CA"/>
        </w:rPr>
        <w:t xml:space="preserve">World Bank’s </w:t>
      </w:r>
      <w:r w:rsidR="00647C34">
        <w:rPr>
          <w:lang w:val="en-CA"/>
        </w:rPr>
        <w:t>submission</w:t>
      </w:r>
      <w:r w:rsidR="00647C34" w:rsidRPr="0007287F">
        <w:rPr>
          <w:lang w:val="en-CA"/>
        </w:rPr>
        <w:t xml:space="preserve">. </w:t>
      </w:r>
    </w:p>
    <w:p w:rsidR="001E6E5A" w:rsidRDefault="001E6E5A" w:rsidP="00774F1C">
      <w:pPr>
        <w:rPr>
          <w:b/>
          <w:lang w:val="en-CA"/>
        </w:rPr>
      </w:pPr>
      <w:r w:rsidRPr="001E6E5A">
        <w:rPr>
          <w:b/>
          <w:lang w:val="en-CA"/>
        </w:rPr>
        <w:t>Secretariat’s comments</w:t>
      </w:r>
    </w:p>
    <w:p w:rsidR="00647C34" w:rsidRPr="00647C34" w:rsidRDefault="00647C34" w:rsidP="00774F1C">
      <w:pPr>
        <w:rPr>
          <w:lang w:val="en-CA"/>
        </w:rPr>
      </w:pPr>
    </w:p>
    <w:p w:rsidR="004504B0" w:rsidRPr="004504B0" w:rsidRDefault="008D18B1" w:rsidP="001E6BFB">
      <w:pPr>
        <w:pStyle w:val="Heading1"/>
        <w:rPr>
          <w:lang w:val="en-CA"/>
        </w:rPr>
      </w:pPr>
      <w:r w:rsidRPr="001908C3">
        <w:rPr>
          <w:lang w:val="en-CA"/>
        </w:rPr>
        <w:t xml:space="preserve">The Government of Germany (as bilateral </w:t>
      </w:r>
      <w:r w:rsidR="001908C3" w:rsidRPr="001908C3">
        <w:rPr>
          <w:lang w:val="en-CA"/>
        </w:rPr>
        <w:t>agency</w:t>
      </w:r>
      <w:r w:rsidRPr="001908C3">
        <w:rPr>
          <w:lang w:val="en-CA"/>
        </w:rPr>
        <w:t xml:space="preserve">), and </w:t>
      </w:r>
      <w:r w:rsidR="00CC0D1F">
        <w:rPr>
          <w:lang w:val="en-CA"/>
        </w:rPr>
        <w:t xml:space="preserve">three </w:t>
      </w:r>
      <w:r w:rsidRPr="001908C3">
        <w:rPr>
          <w:lang w:val="en-CA"/>
        </w:rPr>
        <w:t>implementing agencies,</w:t>
      </w:r>
      <w:r w:rsidR="00AB7308">
        <w:rPr>
          <w:lang w:val="en-CA"/>
        </w:rPr>
        <w:t xml:space="preserve"> also </w:t>
      </w:r>
      <w:r w:rsidRPr="001908C3">
        <w:rPr>
          <w:lang w:val="en-CA"/>
        </w:rPr>
        <w:t>submitted</w:t>
      </w:r>
      <w:r w:rsidRPr="004504B0">
        <w:rPr>
          <w:lang w:val="en-CA"/>
        </w:rPr>
        <w:t xml:space="preserve"> requests for funding for preparation of HFC phase-out investment projects in the consumption sector in </w:t>
      </w:r>
      <w:r w:rsidR="001908C3">
        <w:rPr>
          <w:lang w:val="en-CA"/>
        </w:rPr>
        <w:t>ten</w:t>
      </w:r>
      <w:r w:rsidRPr="004504B0">
        <w:rPr>
          <w:lang w:val="en-CA"/>
        </w:rPr>
        <w:t xml:space="preserve"> Article </w:t>
      </w:r>
      <w:r w:rsidR="006F575B">
        <w:rPr>
          <w:lang w:val="en-CA"/>
        </w:rPr>
        <w:t xml:space="preserve">5 </w:t>
      </w:r>
      <w:r w:rsidRPr="004504B0">
        <w:rPr>
          <w:lang w:val="en-CA"/>
        </w:rPr>
        <w:t>countries, and four (fully developed) investment projects for the phase-out of HFC</w:t>
      </w:r>
      <w:r w:rsidRPr="004504B0">
        <w:rPr>
          <w:lang w:val="en-CA"/>
        </w:rPr>
        <w:noBreakHyphen/>
        <w:t>134a in Argentina,</w:t>
      </w:r>
      <w:r>
        <w:rPr>
          <w:rStyle w:val="FootnoteReference"/>
          <w:lang w:val="en-CA"/>
        </w:rPr>
        <w:footnoteReference w:id="4"/>
      </w:r>
      <w:r w:rsidRPr="004504B0">
        <w:rPr>
          <w:lang w:val="en-CA"/>
        </w:rPr>
        <w:t xml:space="preserve"> Bangladesh,</w:t>
      </w:r>
      <w:r>
        <w:rPr>
          <w:rStyle w:val="FootnoteReference"/>
          <w:lang w:val="en-CA"/>
        </w:rPr>
        <w:footnoteReference w:id="5"/>
      </w:r>
      <w:r w:rsidRPr="004504B0">
        <w:rPr>
          <w:lang w:val="en-CA"/>
        </w:rPr>
        <w:t xml:space="preserve"> Colombia</w:t>
      </w:r>
      <w:r>
        <w:rPr>
          <w:rStyle w:val="FootnoteReference"/>
          <w:lang w:val="en-CA"/>
        </w:rPr>
        <w:footnoteReference w:id="6"/>
      </w:r>
      <w:r w:rsidRPr="004504B0">
        <w:rPr>
          <w:lang w:val="en-CA"/>
        </w:rPr>
        <w:t xml:space="preserve"> and Mexico,</w:t>
      </w:r>
      <w:r>
        <w:rPr>
          <w:rStyle w:val="FootnoteReference"/>
          <w:lang w:val="en-CA"/>
        </w:rPr>
        <w:footnoteReference w:id="7"/>
      </w:r>
      <w:r w:rsidRPr="004504B0">
        <w:rPr>
          <w:lang w:val="en-CA"/>
        </w:rPr>
        <w:t xml:space="preserve"> in line with decisions 78/3</w:t>
      </w:r>
      <w:r w:rsidR="002C184D">
        <w:rPr>
          <w:rStyle w:val="FootnoteReference"/>
          <w:lang w:val="en-CA"/>
        </w:rPr>
        <w:footnoteReference w:id="8"/>
      </w:r>
      <w:r w:rsidRPr="004504B0">
        <w:rPr>
          <w:lang w:val="en-CA"/>
        </w:rPr>
        <w:t xml:space="preserve"> and 79/4</w:t>
      </w:r>
      <w:r w:rsidR="002C184D" w:rsidRPr="004504B0">
        <w:rPr>
          <w:lang w:val="en-CA"/>
        </w:rPr>
        <w:t>5</w:t>
      </w:r>
      <w:r w:rsidR="002C184D">
        <w:rPr>
          <w:rStyle w:val="FootnoteReference"/>
          <w:lang w:val="en-CA"/>
        </w:rPr>
        <w:footnoteReference w:id="9"/>
      </w:r>
      <w:r w:rsidRPr="004504B0">
        <w:rPr>
          <w:lang w:val="en-CA"/>
        </w:rPr>
        <w:t xml:space="preserve">. </w:t>
      </w:r>
      <w:r w:rsidR="004953A7" w:rsidRPr="004504B0">
        <w:rPr>
          <w:rFonts w:ascii="TimesNewRomanPSMT" w:hAnsi="TimesNewRomanPSMT" w:cs="TimesNewRomanPSMT"/>
          <w:lang w:val="en-US"/>
        </w:rPr>
        <w:t>The Executive Committee would need to consider all the HFC-related projects proposals submitted to the 80</w:t>
      </w:r>
      <w:r w:rsidR="004953A7" w:rsidRPr="004504B0">
        <w:rPr>
          <w:rFonts w:ascii="TimesNewRomanPSMT" w:hAnsi="TimesNewRomanPSMT" w:cs="TimesNewRomanPSMT"/>
          <w:vertAlign w:val="superscript"/>
          <w:lang w:val="en-US"/>
        </w:rPr>
        <w:t>th</w:t>
      </w:r>
      <w:r w:rsidR="004953A7" w:rsidRPr="004504B0">
        <w:rPr>
          <w:rFonts w:ascii="TimesNewRomanPSMT" w:hAnsi="TimesNewRomanPSMT" w:cs="TimesNewRomanPSMT"/>
          <w:lang w:val="en-US"/>
        </w:rPr>
        <w:t xml:space="preserve"> meeting</w:t>
      </w:r>
      <w:r w:rsidR="004504B0" w:rsidRPr="004504B0">
        <w:rPr>
          <w:rFonts w:ascii="TimesNewRomanPSMT" w:hAnsi="TimesNewRomanPSMT" w:cs="TimesNewRomanPSMT"/>
          <w:lang w:val="en-US"/>
        </w:rPr>
        <w:t>, n</w:t>
      </w:r>
      <w:r w:rsidR="00670D4C" w:rsidRPr="004504B0">
        <w:rPr>
          <w:rFonts w:ascii="TimesNewRomanPSMT" w:hAnsi="TimesNewRomanPSMT" w:cs="TimesNewRomanPSMT"/>
          <w:lang w:val="en-US"/>
        </w:rPr>
        <w:t xml:space="preserve">oting the </w:t>
      </w:r>
      <w:r w:rsidR="004953A7" w:rsidRPr="004504B0">
        <w:rPr>
          <w:rFonts w:ascii="TimesNewRomanPSMT" w:hAnsi="TimesNewRomanPSMT" w:cs="TimesNewRomanPSMT"/>
          <w:lang w:val="en-US"/>
        </w:rPr>
        <w:t xml:space="preserve">criteria for </w:t>
      </w:r>
      <w:r w:rsidR="004504B0" w:rsidRPr="004504B0">
        <w:rPr>
          <w:rFonts w:ascii="TimesNewRomanPSMT" w:hAnsi="TimesNewRomanPSMT" w:cs="TimesNewRomanPSMT"/>
          <w:lang w:val="en-US"/>
        </w:rPr>
        <w:t xml:space="preserve">their </w:t>
      </w:r>
      <w:r w:rsidR="004953A7" w:rsidRPr="004504B0">
        <w:rPr>
          <w:rFonts w:ascii="TimesNewRomanPSMT" w:hAnsi="TimesNewRomanPSMT" w:cs="TimesNewRomanPSMT"/>
          <w:lang w:val="en-US"/>
        </w:rPr>
        <w:t>selecti</w:t>
      </w:r>
      <w:r w:rsidR="004504B0" w:rsidRPr="004504B0">
        <w:rPr>
          <w:rFonts w:ascii="TimesNewRomanPSMT" w:hAnsi="TimesNewRomanPSMT" w:cs="TimesNewRomanPSMT"/>
          <w:lang w:val="en-US"/>
        </w:rPr>
        <w:t>on</w:t>
      </w:r>
      <w:r w:rsidR="00670D4C" w:rsidRPr="004504B0">
        <w:rPr>
          <w:rFonts w:ascii="TimesNewRomanPSMT" w:hAnsi="TimesNewRomanPSMT" w:cs="TimesNewRomanPSMT"/>
          <w:lang w:val="en-US"/>
        </w:rPr>
        <w:t xml:space="preserve"> </w:t>
      </w:r>
      <w:r w:rsidR="004953A7" w:rsidRPr="004504B0">
        <w:rPr>
          <w:rFonts w:ascii="TimesNewRomanPSMT" w:hAnsi="TimesNewRomanPSMT" w:cs="TimesNewRomanPSMT"/>
          <w:lang w:val="en-US"/>
        </w:rPr>
        <w:t xml:space="preserve">(i.e., </w:t>
      </w:r>
      <w:r w:rsidR="00670D4C" w:rsidRPr="004504B0">
        <w:rPr>
          <w:rFonts w:ascii="TimesNewRomanPSMT" w:hAnsi="TimesNewRomanPSMT" w:cs="TimesNewRomanPSMT"/>
          <w:lang w:val="en-US"/>
        </w:rPr>
        <w:t xml:space="preserve">technology being proposed, </w:t>
      </w:r>
      <w:r w:rsidR="004953A7" w:rsidRPr="004504B0">
        <w:rPr>
          <w:rFonts w:ascii="TimesNewRomanPSMT" w:hAnsi="TimesNewRomanPSMT" w:cs="TimesNewRomanPSMT"/>
          <w:lang w:val="en-US"/>
        </w:rPr>
        <w:t xml:space="preserve">the </w:t>
      </w:r>
      <w:r w:rsidR="00670D4C" w:rsidRPr="004504B0">
        <w:rPr>
          <w:rFonts w:ascii="TimesNewRomanPSMT" w:hAnsi="TimesNewRomanPSMT" w:cs="TimesNewRomanPSMT"/>
          <w:lang w:val="en-US"/>
        </w:rPr>
        <w:t xml:space="preserve">replicability and </w:t>
      </w:r>
      <w:r w:rsidR="004953A7" w:rsidRPr="004504B0">
        <w:rPr>
          <w:rFonts w:ascii="TimesNewRomanPSMT" w:hAnsi="TimesNewRomanPSMT" w:cs="TimesNewRomanPSMT"/>
          <w:lang w:val="en-US"/>
        </w:rPr>
        <w:t xml:space="preserve">the </w:t>
      </w:r>
      <w:r w:rsidR="00670D4C" w:rsidRPr="004504B0">
        <w:rPr>
          <w:rFonts w:ascii="TimesNewRomanPSMT" w:hAnsi="TimesNewRomanPSMT" w:cs="TimesNewRomanPSMT"/>
          <w:lang w:val="en-US"/>
        </w:rPr>
        <w:t>geographic distribution of the proposal</w:t>
      </w:r>
      <w:r w:rsidR="004953A7" w:rsidRPr="004504B0">
        <w:rPr>
          <w:rFonts w:ascii="TimesNewRomanPSMT" w:hAnsi="TimesNewRomanPSMT" w:cs="TimesNewRomanPSMT"/>
          <w:lang w:val="en-US"/>
        </w:rPr>
        <w:t>s) and the</w:t>
      </w:r>
      <w:r w:rsidR="004504B0" w:rsidRPr="004504B0">
        <w:rPr>
          <w:rFonts w:ascii="TimesNewRomanPSMT" w:hAnsi="TimesNewRomanPSMT" w:cs="TimesNewRomanPSMT"/>
          <w:lang w:val="en-US"/>
        </w:rPr>
        <w:t>ir</w:t>
      </w:r>
      <w:r w:rsidR="004953A7" w:rsidRPr="004504B0">
        <w:rPr>
          <w:rFonts w:ascii="TimesNewRomanPSMT" w:hAnsi="TimesNewRomanPSMT" w:cs="TimesNewRomanPSMT"/>
          <w:lang w:val="en-US"/>
        </w:rPr>
        <w:t xml:space="preserve"> funding </w:t>
      </w:r>
      <w:r w:rsidR="004504B0" w:rsidRPr="004504B0">
        <w:rPr>
          <w:rFonts w:ascii="TimesNewRomanPSMT" w:hAnsi="TimesNewRomanPSMT" w:cs="TimesNewRomanPSMT"/>
          <w:lang w:val="en-US"/>
        </w:rPr>
        <w:t xml:space="preserve">modality </w:t>
      </w:r>
      <w:r w:rsidR="004953A7" w:rsidRPr="004504B0">
        <w:rPr>
          <w:lang w:val="en-US"/>
        </w:rPr>
        <w:t>(i.e., to the extent possible, from additional voluntary contributions provided by non-Article 5 Parties, after giving priority to enabling activities</w:t>
      </w:r>
      <w:r w:rsidR="004953A7">
        <w:rPr>
          <w:rStyle w:val="FootnoteReference"/>
          <w:lang w:val="en-US"/>
        </w:rPr>
        <w:footnoteReference w:id="10"/>
      </w:r>
      <w:r w:rsidR="004953A7" w:rsidRPr="004504B0">
        <w:rPr>
          <w:lang w:val="en-US"/>
        </w:rPr>
        <w:t>)</w:t>
      </w:r>
      <w:r w:rsidR="004504B0" w:rsidRPr="004504B0">
        <w:rPr>
          <w:lang w:val="en-US"/>
        </w:rPr>
        <w:t xml:space="preserve">. </w:t>
      </w:r>
      <w:r w:rsidR="004504B0" w:rsidRPr="004504B0">
        <w:rPr>
          <w:rFonts w:ascii="TimesNewRomanPSMT" w:hAnsi="TimesNewRomanPSMT" w:cs="TimesNewRomanPSMT"/>
          <w:lang w:val="en-US"/>
        </w:rPr>
        <w:t xml:space="preserve">To facilitate the review and discussion by Committee members, the </w:t>
      </w:r>
      <w:r w:rsidR="004504B0" w:rsidRPr="004504B0">
        <w:rPr>
          <w:lang w:val="en-US"/>
        </w:rPr>
        <w:t xml:space="preserve">Secretariat has included a list of all the HFC-related project proposals </w:t>
      </w:r>
      <w:r w:rsidR="004504B0" w:rsidRPr="004504B0">
        <w:rPr>
          <w:rFonts w:ascii="TimesNewRomanPSMT" w:hAnsi="TimesNewRomanPSMT" w:cs="TimesNewRomanPSMT"/>
          <w:lang w:val="en-US"/>
        </w:rPr>
        <w:t>submitted to the 80</w:t>
      </w:r>
      <w:r w:rsidR="004504B0" w:rsidRPr="004504B0">
        <w:rPr>
          <w:rFonts w:ascii="TimesNewRomanPSMT" w:hAnsi="TimesNewRomanPSMT" w:cs="TimesNewRomanPSMT"/>
          <w:vertAlign w:val="superscript"/>
          <w:lang w:val="en-US"/>
        </w:rPr>
        <w:t>th</w:t>
      </w:r>
      <w:r w:rsidR="004504B0" w:rsidRPr="004504B0">
        <w:rPr>
          <w:rFonts w:ascii="TimesNewRomanPSMT" w:hAnsi="TimesNewRomanPSMT" w:cs="TimesNewRomanPSMT"/>
          <w:lang w:val="en-US"/>
        </w:rPr>
        <w:t xml:space="preserve"> meeting,</w:t>
      </w:r>
      <w:r w:rsidR="004504B0" w:rsidRPr="004504B0">
        <w:rPr>
          <w:lang w:val="en-US"/>
        </w:rPr>
        <w:t xml:space="preserve"> indicating a brief description, technology selected, funding levels and agencies involved, in the document on the Overview of issues identified during project review.</w:t>
      </w:r>
    </w:p>
    <w:p w:rsidR="004504B0" w:rsidRPr="00D3181F" w:rsidRDefault="004504B0" w:rsidP="004504B0">
      <w:pPr>
        <w:pStyle w:val="Heading1"/>
        <w:rPr>
          <w:lang w:val="en-CA"/>
        </w:rPr>
      </w:pPr>
      <w:r>
        <w:rPr>
          <w:lang w:val="en-CA"/>
        </w:rPr>
        <w:t>With regard to the request for project preparation for two HFC phase-out projects in Thailand, t</w:t>
      </w:r>
      <w:r w:rsidR="008D18B1">
        <w:rPr>
          <w:lang w:val="en-CA"/>
        </w:rPr>
        <w:t xml:space="preserve">he Secretariat </w:t>
      </w:r>
      <w:r>
        <w:rPr>
          <w:lang w:val="en-CA"/>
        </w:rPr>
        <w:t>noted that the submission fulfilled all the requirements of decisions 78/3 and 79/45</w:t>
      </w:r>
      <w:r w:rsidR="00EE2BAB">
        <w:rPr>
          <w:lang w:val="en-CA"/>
        </w:rPr>
        <w:t xml:space="preserve">, and were </w:t>
      </w:r>
      <w:r w:rsidR="00EE2BAB" w:rsidRPr="00D3181F">
        <w:rPr>
          <w:lang w:val="en-CA"/>
        </w:rPr>
        <w:t xml:space="preserve">consistent with </w:t>
      </w:r>
      <w:r w:rsidR="00EE2BAB">
        <w:rPr>
          <w:lang w:val="en-CA"/>
        </w:rPr>
        <w:t xml:space="preserve">relevant decisions related to </w:t>
      </w:r>
      <w:r w:rsidR="00EE2BAB" w:rsidRPr="00D3181F">
        <w:rPr>
          <w:lang w:val="en-CA"/>
        </w:rPr>
        <w:t>project preparation funding</w:t>
      </w:r>
      <w:r w:rsidR="00EE2BAB">
        <w:rPr>
          <w:lang w:val="en-CA"/>
        </w:rPr>
        <w:t>.</w:t>
      </w:r>
    </w:p>
    <w:p w:rsidR="001E6E5A" w:rsidRDefault="001E6E5A" w:rsidP="00EE2BAB">
      <w:pPr>
        <w:rPr>
          <w:b/>
          <w:lang w:val="en-CA"/>
        </w:rPr>
      </w:pPr>
      <w:r w:rsidRPr="001E6E5A">
        <w:rPr>
          <w:b/>
          <w:lang w:val="en-CA"/>
        </w:rPr>
        <w:lastRenderedPageBreak/>
        <w:t>Secretariat’s recommendation</w:t>
      </w:r>
    </w:p>
    <w:p w:rsidR="001E6E5A" w:rsidRDefault="001E6E5A" w:rsidP="00EE2BAB">
      <w:pPr>
        <w:rPr>
          <w:b/>
          <w:lang w:val="en-CA"/>
        </w:rPr>
      </w:pPr>
    </w:p>
    <w:p w:rsidR="005770C4" w:rsidRPr="00E767BF" w:rsidRDefault="005770C4" w:rsidP="008B44B4">
      <w:pPr>
        <w:pStyle w:val="Heading1"/>
        <w:rPr>
          <w:lang w:val="en-CA"/>
        </w:rPr>
      </w:pPr>
      <w:r w:rsidRPr="00E767BF">
        <w:rPr>
          <w:lang w:val="en-CA"/>
        </w:rPr>
        <w:t xml:space="preserve">The Executive Committee may wish to consider the </w:t>
      </w:r>
      <w:r w:rsidR="00E767BF">
        <w:rPr>
          <w:lang w:val="en-CA"/>
        </w:rPr>
        <w:t xml:space="preserve">requests for project preparation </w:t>
      </w:r>
      <w:r w:rsidR="008B44B4" w:rsidRPr="008B44B4">
        <w:rPr>
          <w:lang w:val="en-CA"/>
        </w:rPr>
        <w:t xml:space="preserve">for conversion from HFC to HFO-based or other low-GWP alternatives in the production of commercial refrigeration equipment at </w:t>
      </w:r>
      <w:proofErr w:type="spellStart"/>
      <w:r w:rsidR="008B44B4" w:rsidRPr="008B44B4">
        <w:rPr>
          <w:lang w:val="en-CA"/>
        </w:rPr>
        <w:t>Pattana</w:t>
      </w:r>
      <w:proofErr w:type="spellEnd"/>
      <w:r w:rsidR="008B44B4" w:rsidRPr="008B44B4">
        <w:rPr>
          <w:lang w:val="en-CA"/>
        </w:rPr>
        <w:t xml:space="preserve"> Intercool and System Forms Co. Ltd.</w:t>
      </w:r>
      <w:r w:rsidR="008B44B4">
        <w:rPr>
          <w:lang w:val="en-CA"/>
        </w:rPr>
        <w:t xml:space="preserve"> </w:t>
      </w:r>
      <w:r w:rsidRPr="00E767BF">
        <w:rPr>
          <w:lang w:val="en-CA"/>
        </w:rPr>
        <w:t xml:space="preserve">listed in Table 1 </w:t>
      </w:r>
      <w:r w:rsidR="008B44B4">
        <w:rPr>
          <w:lang w:val="en-CA"/>
        </w:rPr>
        <w:t xml:space="preserve">above, </w:t>
      </w:r>
      <w:r w:rsidRPr="00E767BF">
        <w:rPr>
          <w:lang w:val="en-CA"/>
        </w:rPr>
        <w:t>in the context of its discussion of the proposals for HFC-related projects described in the document on Overview of issues identified during project review.</w:t>
      </w:r>
    </w:p>
    <w:p w:rsidR="007F4046" w:rsidRPr="00EF0862" w:rsidRDefault="007F4046" w:rsidP="00774F1C">
      <w:pPr>
        <w:rPr>
          <w:b/>
          <w:lang w:val="en-CA"/>
        </w:rPr>
      </w:pPr>
      <w:r w:rsidRPr="00EF0862">
        <w:rPr>
          <w:b/>
          <w:lang w:val="en-CA"/>
        </w:rPr>
        <w:t>A</w:t>
      </w:r>
      <w:r>
        <w:rPr>
          <w:b/>
          <w:lang w:val="en-CA"/>
        </w:rPr>
        <w:t>3</w:t>
      </w:r>
      <w:r w:rsidRPr="00EF0862">
        <w:rPr>
          <w:b/>
          <w:lang w:val="en-CA"/>
        </w:rPr>
        <w:t xml:space="preserve">: Project preparation </w:t>
      </w:r>
      <w:r>
        <w:rPr>
          <w:b/>
          <w:lang w:val="en-CA"/>
        </w:rPr>
        <w:t xml:space="preserve">for demonstration projects for </w:t>
      </w:r>
      <w:r w:rsidRPr="00103B6B">
        <w:rPr>
          <w:b/>
          <w:lang w:val="en-CA"/>
        </w:rPr>
        <w:t>HFC-23 by-product mitiga</w:t>
      </w:r>
      <w:r>
        <w:rPr>
          <w:b/>
          <w:lang w:val="en-CA"/>
        </w:rPr>
        <w:t xml:space="preserve">tion or conversion </w:t>
      </w:r>
      <w:r w:rsidRPr="00EF0862">
        <w:rPr>
          <w:b/>
          <w:lang w:val="en-CA"/>
        </w:rPr>
        <w:t>(decision 79/47)</w:t>
      </w:r>
    </w:p>
    <w:p w:rsidR="007F4046" w:rsidRPr="00EF0862" w:rsidRDefault="007F4046" w:rsidP="00774F1C">
      <w:pPr>
        <w:rPr>
          <w:b/>
          <w:lang w:val="en-CA"/>
        </w:rPr>
      </w:pPr>
    </w:p>
    <w:p w:rsidR="007F4046" w:rsidRPr="00953309" w:rsidRDefault="00953309" w:rsidP="00774F1C">
      <w:pPr>
        <w:rPr>
          <w:u w:val="single"/>
          <w:lang w:val="en-CA"/>
        </w:rPr>
      </w:pPr>
      <w:r w:rsidRPr="00953309">
        <w:rPr>
          <w:u w:val="single"/>
          <w:lang w:val="en-CA"/>
        </w:rPr>
        <w:t>Project description</w:t>
      </w:r>
    </w:p>
    <w:p w:rsidR="007F4046" w:rsidRDefault="007F4046" w:rsidP="00774F1C">
      <w:pPr>
        <w:rPr>
          <w:lang w:val="en-CA"/>
        </w:rPr>
      </w:pPr>
    </w:p>
    <w:p w:rsidR="00953309" w:rsidRDefault="008B44B4" w:rsidP="00953309">
      <w:pPr>
        <w:pStyle w:val="Heading1"/>
        <w:rPr>
          <w:lang w:val="en-CA"/>
        </w:rPr>
      </w:pPr>
      <w:r>
        <w:rPr>
          <w:lang w:val="en-CA"/>
        </w:rPr>
        <w:t>In line with decision 79/47</w:t>
      </w:r>
      <w:r w:rsidR="00953309">
        <w:rPr>
          <w:lang w:val="en-CA"/>
        </w:rPr>
        <w:t>(g)</w:t>
      </w:r>
      <w:r>
        <w:rPr>
          <w:lang w:val="en-CA"/>
        </w:rPr>
        <w:t>,</w:t>
      </w:r>
      <w:r w:rsidR="00953309">
        <w:rPr>
          <w:rStyle w:val="FootnoteReference"/>
          <w:lang w:val="en-CA"/>
        </w:rPr>
        <w:footnoteReference w:id="11"/>
      </w:r>
      <w:r>
        <w:rPr>
          <w:lang w:val="en-CA"/>
        </w:rPr>
        <w:t xml:space="preserve"> </w:t>
      </w:r>
      <w:r w:rsidR="007F4046" w:rsidRPr="00E767BF">
        <w:rPr>
          <w:lang w:val="en-CA"/>
        </w:rPr>
        <w:t xml:space="preserve">the World Bank submitted a funding request </w:t>
      </w:r>
      <w:r w:rsidR="00E767BF" w:rsidRPr="00E767BF">
        <w:rPr>
          <w:lang w:val="en-CA"/>
        </w:rPr>
        <w:t xml:space="preserve">to prepare a demonstration project for HFC-23 by-product conversion at Shandong </w:t>
      </w:r>
      <w:proofErr w:type="spellStart"/>
      <w:r w:rsidR="00E767BF" w:rsidRPr="00E767BF">
        <w:rPr>
          <w:lang w:val="en-CA"/>
        </w:rPr>
        <w:t>Dongyue</w:t>
      </w:r>
      <w:proofErr w:type="spellEnd"/>
      <w:r w:rsidR="00E767BF" w:rsidRPr="00E767BF">
        <w:rPr>
          <w:lang w:val="en-CA"/>
        </w:rPr>
        <w:t xml:space="preserve"> Chemical Co. Ltd.</w:t>
      </w:r>
      <w:r w:rsidR="00953309">
        <w:rPr>
          <w:lang w:val="en-CA"/>
        </w:rPr>
        <w:t xml:space="preserve">, in China, listed in </w:t>
      </w:r>
      <w:r w:rsidR="00953309" w:rsidRPr="00D3181F">
        <w:rPr>
          <w:lang w:val="en-CA"/>
        </w:rPr>
        <w:t>Table 1</w:t>
      </w:r>
      <w:r w:rsidR="00953309">
        <w:rPr>
          <w:lang w:val="en-CA"/>
        </w:rPr>
        <w:t xml:space="preserve"> above. D</w:t>
      </w:r>
      <w:r w:rsidR="00953309" w:rsidRPr="0007287F">
        <w:rPr>
          <w:lang w:val="en-CA"/>
        </w:rPr>
        <w:t>etail</w:t>
      </w:r>
      <w:r w:rsidR="00953309">
        <w:rPr>
          <w:lang w:val="en-CA"/>
        </w:rPr>
        <w:t xml:space="preserve">s of the project preparation request is </w:t>
      </w:r>
      <w:r w:rsidR="00953309" w:rsidRPr="0007287F">
        <w:rPr>
          <w:lang w:val="en-CA"/>
        </w:rPr>
        <w:t xml:space="preserve">contained in </w:t>
      </w:r>
      <w:r w:rsidR="00953309" w:rsidRPr="001908C3">
        <w:rPr>
          <w:lang w:val="en-CA"/>
        </w:rPr>
        <w:t xml:space="preserve">Annex </w:t>
      </w:r>
      <w:r w:rsidR="001908C3" w:rsidRPr="001908C3">
        <w:rPr>
          <w:lang w:val="en-CA"/>
        </w:rPr>
        <w:t>1</w:t>
      </w:r>
      <w:r w:rsidR="00953309">
        <w:rPr>
          <w:lang w:val="en-CA"/>
        </w:rPr>
        <w:t xml:space="preserve"> to the </w:t>
      </w:r>
      <w:r w:rsidR="00953309" w:rsidRPr="0007287F">
        <w:rPr>
          <w:lang w:val="en-CA"/>
        </w:rPr>
        <w:t xml:space="preserve">World Bank’s </w:t>
      </w:r>
      <w:r w:rsidR="00953309">
        <w:rPr>
          <w:lang w:val="en-CA"/>
        </w:rPr>
        <w:t>submission</w:t>
      </w:r>
      <w:r w:rsidR="00953309" w:rsidRPr="0007287F">
        <w:rPr>
          <w:lang w:val="en-CA"/>
        </w:rPr>
        <w:t xml:space="preserve">. </w:t>
      </w:r>
    </w:p>
    <w:p w:rsidR="007F4046" w:rsidRPr="007C193F" w:rsidRDefault="007F4046" w:rsidP="00774F1C">
      <w:pPr>
        <w:rPr>
          <w:b/>
          <w:lang w:val="en-CA"/>
        </w:rPr>
      </w:pPr>
      <w:r w:rsidRPr="007C193F">
        <w:rPr>
          <w:b/>
          <w:lang w:val="en-CA"/>
        </w:rPr>
        <w:t>Secretariat’s comments</w:t>
      </w:r>
    </w:p>
    <w:p w:rsidR="007F4046" w:rsidRPr="007C193F" w:rsidRDefault="007F4046" w:rsidP="00774F1C">
      <w:pPr>
        <w:rPr>
          <w:lang w:val="en-CA"/>
        </w:rPr>
      </w:pPr>
    </w:p>
    <w:p w:rsidR="00953309" w:rsidRPr="00953309" w:rsidRDefault="00E767BF" w:rsidP="00953309">
      <w:pPr>
        <w:pStyle w:val="Heading1"/>
        <w:rPr>
          <w:lang w:val="en-CA"/>
        </w:rPr>
      </w:pPr>
      <w:r>
        <w:rPr>
          <w:lang w:val="en-CA"/>
        </w:rPr>
        <w:t xml:space="preserve">The Secretariat </w:t>
      </w:r>
      <w:r w:rsidR="00953309">
        <w:rPr>
          <w:lang w:val="en-CA"/>
        </w:rPr>
        <w:t xml:space="preserve">noted that the </w:t>
      </w:r>
      <w:r>
        <w:rPr>
          <w:lang w:val="en-CA"/>
        </w:rPr>
        <w:t xml:space="preserve">request </w:t>
      </w:r>
      <w:r w:rsidR="00953309" w:rsidRPr="00953309">
        <w:rPr>
          <w:lang w:val="en-CA"/>
        </w:rPr>
        <w:t>for project preparation for of a technology demonstration project for HFC</w:t>
      </w:r>
      <w:r w:rsidR="006F62C5">
        <w:rPr>
          <w:lang w:val="en-CA"/>
        </w:rPr>
        <w:t>-</w:t>
      </w:r>
      <w:r w:rsidR="00953309" w:rsidRPr="00953309">
        <w:rPr>
          <w:lang w:val="en-CA"/>
        </w:rPr>
        <w:t xml:space="preserve">23 by-product conversion </w:t>
      </w:r>
      <w:r w:rsidR="00953309">
        <w:rPr>
          <w:lang w:val="en-CA"/>
        </w:rPr>
        <w:t xml:space="preserve">was </w:t>
      </w:r>
      <w:r w:rsidR="00953309" w:rsidRPr="00953309">
        <w:rPr>
          <w:lang w:val="en-CA"/>
        </w:rPr>
        <w:t>consistent with relevant decisions related to project preparation funding.</w:t>
      </w:r>
    </w:p>
    <w:p w:rsidR="00B55A20" w:rsidRDefault="00953309" w:rsidP="001E6BFB">
      <w:pPr>
        <w:pStyle w:val="Heading1"/>
        <w:rPr>
          <w:lang w:val="en-CA"/>
        </w:rPr>
      </w:pPr>
      <w:r w:rsidRPr="00B55A20">
        <w:rPr>
          <w:lang w:val="en-CA"/>
        </w:rPr>
        <w:t xml:space="preserve">The Secretariat requested further information related to the </w:t>
      </w:r>
      <w:r w:rsidR="00F1096D" w:rsidRPr="00B55A20">
        <w:rPr>
          <w:lang w:val="en-CA"/>
        </w:rPr>
        <w:t xml:space="preserve">scale of the conversion, </w:t>
      </w:r>
      <w:r w:rsidRPr="00B55A20">
        <w:rPr>
          <w:lang w:val="en-CA"/>
        </w:rPr>
        <w:t xml:space="preserve">the </w:t>
      </w:r>
      <w:r w:rsidR="00F1096D" w:rsidRPr="00B55A20">
        <w:rPr>
          <w:lang w:val="en-CA"/>
        </w:rPr>
        <w:t xml:space="preserve">number of lines to be covered, and the estimated overall cost of the </w:t>
      </w:r>
      <w:r w:rsidRPr="00B55A20">
        <w:rPr>
          <w:lang w:val="en-CA"/>
        </w:rPr>
        <w:t xml:space="preserve">resulting </w:t>
      </w:r>
      <w:r w:rsidR="00F1096D" w:rsidRPr="00B55A20">
        <w:rPr>
          <w:lang w:val="en-CA"/>
        </w:rPr>
        <w:t>project</w:t>
      </w:r>
      <w:r w:rsidRPr="00B55A20">
        <w:rPr>
          <w:lang w:val="en-CA"/>
        </w:rPr>
        <w:t xml:space="preserve"> proposal; however, </w:t>
      </w:r>
      <w:r w:rsidR="00F1096D" w:rsidRPr="00B55A20">
        <w:rPr>
          <w:lang w:val="en-CA"/>
        </w:rPr>
        <w:t xml:space="preserve">the World Bank indicated that </w:t>
      </w:r>
      <w:r w:rsidRPr="00B55A20">
        <w:rPr>
          <w:lang w:val="en-CA"/>
        </w:rPr>
        <w:t xml:space="preserve">such information </w:t>
      </w:r>
      <w:r w:rsidR="00B55A20" w:rsidRPr="00B55A20">
        <w:rPr>
          <w:lang w:val="en-CA"/>
        </w:rPr>
        <w:t xml:space="preserve">would only be known during the </w:t>
      </w:r>
      <w:r w:rsidR="00F1096D" w:rsidRPr="00B55A20">
        <w:rPr>
          <w:lang w:val="en-CA"/>
        </w:rPr>
        <w:t>preparation</w:t>
      </w:r>
      <w:r w:rsidR="00B55A20" w:rsidRPr="00B55A20">
        <w:rPr>
          <w:lang w:val="en-CA"/>
        </w:rPr>
        <w:t xml:space="preserve"> of the demonstration project, which could be submitted as early as the </w:t>
      </w:r>
      <w:r w:rsidR="00F1096D" w:rsidRPr="00B55A20">
        <w:rPr>
          <w:lang w:val="en-CA"/>
        </w:rPr>
        <w:t>81</w:t>
      </w:r>
      <w:r w:rsidR="00F1096D" w:rsidRPr="00B55A20">
        <w:rPr>
          <w:vertAlign w:val="superscript"/>
          <w:lang w:val="en-CA"/>
        </w:rPr>
        <w:t>st</w:t>
      </w:r>
      <w:r w:rsidR="00F1096D" w:rsidRPr="00B55A20">
        <w:rPr>
          <w:lang w:val="en-CA"/>
        </w:rPr>
        <w:t xml:space="preserve"> meeting. </w:t>
      </w:r>
    </w:p>
    <w:p w:rsidR="00B55A20" w:rsidRPr="00B55A20" w:rsidRDefault="00B55A20" w:rsidP="00B55A20">
      <w:pPr>
        <w:pStyle w:val="Heading1"/>
        <w:rPr>
          <w:lang w:val="en-CA"/>
        </w:rPr>
      </w:pPr>
      <w:r w:rsidRPr="00B55A20">
        <w:rPr>
          <w:lang w:val="en-CA"/>
        </w:rPr>
        <w:t xml:space="preserve">The Secretariat is seeking the advice of the Executive Committee </w:t>
      </w:r>
      <w:r>
        <w:rPr>
          <w:lang w:val="en-CA"/>
        </w:rPr>
        <w:t>on the funding source for this request, noting that in decision 79/47(g) funding requests for demonstration projects for HFC-23 emissions controls were to be submitted to the 81</w:t>
      </w:r>
      <w:r w:rsidRPr="00B55A20">
        <w:rPr>
          <w:vertAlign w:val="superscript"/>
          <w:lang w:val="en-CA"/>
        </w:rPr>
        <w:t>st</w:t>
      </w:r>
      <w:r>
        <w:rPr>
          <w:lang w:val="en-CA"/>
        </w:rPr>
        <w:t xml:space="preserve"> meeting, and that the </w:t>
      </w:r>
      <w:r w:rsidRPr="00B55A20">
        <w:rPr>
          <w:lang w:val="en-CA"/>
        </w:rPr>
        <w:t xml:space="preserve">additional voluntary contributions provided by non-Article 5 Parties, </w:t>
      </w:r>
      <w:r>
        <w:rPr>
          <w:lang w:val="en-CA"/>
        </w:rPr>
        <w:t xml:space="preserve">were for enabling activities (as a </w:t>
      </w:r>
      <w:r w:rsidRPr="00B55A20">
        <w:rPr>
          <w:lang w:val="en-CA"/>
        </w:rPr>
        <w:t>priority</w:t>
      </w:r>
      <w:r>
        <w:rPr>
          <w:lang w:val="en-CA"/>
        </w:rPr>
        <w:t xml:space="preserve">) followed by HFC-related investment projects in the consumption sector. </w:t>
      </w:r>
    </w:p>
    <w:p w:rsidR="007F4046" w:rsidRPr="007C193F" w:rsidRDefault="007F4046" w:rsidP="00774F1C">
      <w:pPr>
        <w:rPr>
          <w:b/>
          <w:lang w:val="en-CA"/>
        </w:rPr>
      </w:pPr>
      <w:r w:rsidRPr="007C193F">
        <w:rPr>
          <w:b/>
          <w:lang w:val="en-CA"/>
        </w:rPr>
        <w:t>Secretariat’s recommendation</w:t>
      </w:r>
    </w:p>
    <w:p w:rsidR="007F4046" w:rsidRPr="007C193F" w:rsidRDefault="007F4046" w:rsidP="00774F1C">
      <w:pPr>
        <w:rPr>
          <w:lang w:val="en-CA"/>
        </w:rPr>
      </w:pPr>
    </w:p>
    <w:tbl>
      <w:tblPr>
        <w:tblStyle w:val="TableGrid"/>
        <w:tblpPr w:leftFromText="180" w:rightFromText="180" w:vertAnchor="text" w:horzAnchor="margin" w:tblpY="1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524A" w:rsidTr="005B524A">
        <w:tc>
          <w:tcPr>
            <w:tcW w:w="1871" w:type="dxa"/>
          </w:tcPr>
          <w:p w:rsidR="005B524A" w:rsidRDefault="005B524A" w:rsidP="00774F1C"/>
        </w:tc>
        <w:tc>
          <w:tcPr>
            <w:tcW w:w="1872" w:type="dxa"/>
          </w:tcPr>
          <w:p w:rsidR="005B524A" w:rsidRDefault="005B524A" w:rsidP="00774F1C"/>
        </w:tc>
        <w:tc>
          <w:tcPr>
            <w:tcW w:w="1872" w:type="dxa"/>
            <w:tcBorders>
              <w:bottom w:val="single" w:sz="4" w:space="0" w:color="auto"/>
            </w:tcBorders>
          </w:tcPr>
          <w:p w:rsidR="005B524A" w:rsidRDefault="005B524A" w:rsidP="00774F1C"/>
        </w:tc>
        <w:tc>
          <w:tcPr>
            <w:tcW w:w="1872" w:type="dxa"/>
          </w:tcPr>
          <w:p w:rsidR="005B524A" w:rsidRDefault="005B524A" w:rsidP="00774F1C"/>
        </w:tc>
        <w:tc>
          <w:tcPr>
            <w:tcW w:w="1873" w:type="dxa"/>
          </w:tcPr>
          <w:p w:rsidR="005B524A" w:rsidRDefault="005B524A" w:rsidP="00774F1C"/>
        </w:tc>
      </w:tr>
    </w:tbl>
    <w:p w:rsidR="00E85409" w:rsidRPr="001E3E43" w:rsidRDefault="00F1096D" w:rsidP="00B55A20">
      <w:pPr>
        <w:pStyle w:val="Heading1"/>
        <w:rPr>
          <w:lang w:val="en-CA"/>
        </w:rPr>
      </w:pPr>
      <w:r w:rsidRPr="001E3E43">
        <w:rPr>
          <w:lang w:val="en-CA"/>
        </w:rPr>
        <w:t xml:space="preserve">The Executive Committee may wish to consider the request for funding the preparation of </w:t>
      </w:r>
      <w:r w:rsidR="00B55A20" w:rsidRPr="00B55A20">
        <w:rPr>
          <w:lang w:val="en-CA"/>
        </w:rPr>
        <w:t>a technology demonstration project for HFC</w:t>
      </w:r>
      <w:r w:rsidR="006F62C5">
        <w:rPr>
          <w:lang w:val="en-CA"/>
        </w:rPr>
        <w:t>-</w:t>
      </w:r>
      <w:r w:rsidR="00B55A20" w:rsidRPr="00B55A20">
        <w:rPr>
          <w:lang w:val="en-CA"/>
        </w:rPr>
        <w:t xml:space="preserve">23 by-product conversion at Shandong </w:t>
      </w:r>
      <w:proofErr w:type="spellStart"/>
      <w:r w:rsidR="00B55A20" w:rsidRPr="00B55A20">
        <w:rPr>
          <w:lang w:val="en-CA"/>
        </w:rPr>
        <w:t>Dongyue</w:t>
      </w:r>
      <w:proofErr w:type="spellEnd"/>
      <w:r w:rsidR="00B55A20" w:rsidRPr="00B55A20">
        <w:rPr>
          <w:lang w:val="en-CA"/>
        </w:rPr>
        <w:t xml:space="preserve"> Chemical Co. Ltd.</w:t>
      </w:r>
      <w:r w:rsidR="00B55A20">
        <w:rPr>
          <w:lang w:val="en-CA"/>
        </w:rPr>
        <w:t>, in China in light of the Secretariat’s comments.</w:t>
      </w:r>
    </w:p>
    <w:p w:rsidR="001E6BFB" w:rsidRDefault="001E6BFB" w:rsidP="00774F1C">
      <w:pPr>
        <w:rPr>
          <w:lang w:val="en-CA"/>
        </w:rPr>
        <w:sectPr w:rsidR="001E6BF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1E6BFB" w:rsidRPr="001E6BFB" w:rsidRDefault="001E6BFB" w:rsidP="001E6BFB">
      <w:pPr>
        <w:jc w:val="center"/>
        <w:rPr>
          <w:rFonts w:ascii="Andes" w:eastAsia="SimSun" w:hAnsi="Andes"/>
          <w:sz w:val="40"/>
          <w:szCs w:val="40"/>
          <w:lang w:val="en-US"/>
        </w:rPr>
      </w:pPr>
    </w:p>
    <w:p w:rsidR="001E6BFB" w:rsidRPr="001E6BFB" w:rsidRDefault="001E6BFB" w:rsidP="001E6BFB">
      <w:pPr>
        <w:jc w:val="center"/>
        <w:rPr>
          <w:rFonts w:ascii="Andes" w:eastAsia="SimSun" w:hAnsi="Andes"/>
          <w:sz w:val="40"/>
          <w:szCs w:val="40"/>
          <w:lang w:val="en-US"/>
        </w:rPr>
      </w:pPr>
    </w:p>
    <w:p w:rsidR="001E6BFB" w:rsidRPr="001E6BFB" w:rsidRDefault="001E6BFB" w:rsidP="001E6BFB">
      <w:pPr>
        <w:jc w:val="center"/>
        <w:rPr>
          <w:rFonts w:ascii="Andes" w:eastAsia="SimSun" w:hAnsi="Andes"/>
          <w:sz w:val="40"/>
          <w:szCs w:val="40"/>
          <w:lang w:val="en-US"/>
        </w:rPr>
      </w:pPr>
      <w:r w:rsidRPr="001E6BFB">
        <w:rPr>
          <w:rFonts w:ascii="Andes" w:eastAsia="SimSun" w:hAnsi="Andes"/>
          <w:sz w:val="40"/>
          <w:szCs w:val="40"/>
          <w:lang w:val="en-US"/>
        </w:rPr>
        <w:t>2017 BUSINESS PLAN</w:t>
      </w:r>
    </w:p>
    <w:p w:rsidR="001E6BFB" w:rsidRPr="001E6BFB" w:rsidRDefault="001E6BFB" w:rsidP="001E6BFB">
      <w:pPr>
        <w:jc w:val="center"/>
        <w:rPr>
          <w:rFonts w:ascii="Andes" w:eastAsia="SimSun" w:hAnsi="Andes"/>
          <w:sz w:val="40"/>
          <w:szCs w:val="40"/>
          <w:lang w:val="en-US"/>
        </w:rPr>
      </w:pPr>
      <w:r w:rsidRPr="001E6BFB">
        <w:rPr>
          <w:rFonts w:ascii="Andes" w:eastAsia="SimSun" w:hAnsi="Andes"/>
          <w:sz w:val="40"/>
          <w:szCs w:val="40"/>
          <w:lang w:val="en-US"/>
        </w:rPr>
        <w:t>WORK PROGRAM AMENDMENT</w:t>
      </w:r>
    </w:p>
    <w:p w:rsidR="001E6BFB" w:rsidRPr="001E6BFB" w:rsidRDefault="001E6BFB" w:rsidP="001E6BFB">
      <w:pPr>
        <w:jc w:val="center"/>
        <w:rPr>
          <w:rFonts w:ascii="Andes" w:eastAsia="SimSun" w:hAnsi="Andes"/>
          <w:sz w:val="40"/>
          <w:szCs w:val="40"/>
          <w:lang w:val="en-US"/>
        </w:rPr>
      </w:pPr>
    </w:p>
    <w:p w:rsidR="001E6BFB" w:rsidRPr="001E6BFB" w:rsidRDefault="001E6BFB" w:rsidP="001E6BFB">
      <w:pPr>
        <w:jc w:val="left"/>
        <w:rPr>
          <w:rFonts w:eastAsia="SimSun"/>
          <w:sz w:val="24"/>
          <w:szCs w:val="24"/>
          <w:lang w:val="en-US"/>
        </w:rPr>
      </w:pPr>
    </w:p>
    <w:p w:rsidR="001E6BFB" w:rsidRPr="001E6BFB" w:rsidRDefault="001E6BFB" w:rsidP="001E6BFB">
      <w:pPr>
        <w:jc w:val="left"/>
        <w:rPr>
          <w:rFonts w:eastAsia="SimSun"/>
          <w:sz w:val="24"/>
          <w:szCs w:val="24"/>
          <w:lang w:val="en-US"/>
        </w:rPr>
      </w:pPr>
    </w:p>
    <w:p w:rsidR="001E6BFB" w:rsidRPr="001E6BFB" w:rsidRDefault="001E6BFB" w:rsidP="001E6BFB">
      <w:pPr>
        <w:jc w:val="center"/>
        <w:rPr>
          <w:rFonts w:eastAsia="SimSun"/>
          <w:sz w:val="24"/>
          <w:szCs w:val="24"/>
          <w:lang w:val="en-US"/>
        </w:rPr>
      </w:pPr>
      <w:r w:rsidRPr="001E6BFB">
        <w:rPr>
          <w:rFonts w:eastAsia="SimSun"/>
          <w:noProof/>
          <w:sz w:val="24"/>
          <w:szCs w:val="24"/>
          <w:lang w:val="en-CA" w:eastAsia="en-CA"/>
        </w:rPr>
        <w:drawing>
          <wp:inline distT="0" distB="0" distL="0" distR="0" wp14:anchorId="199CE2DC" wp14:editId="32B7D86E">
            <wp:extent cx="2837688" cy="1286256"/>
            <wp:effectExtent l="0" t="0" r="127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G_Vertical-RGB.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37688" cy="1286256"/>
                    </a:xfrm>
                    <a:prstGeom prst="rect">
                      <a:avLst/>
                    </a:prstGeom>
                  </pic:spPr>
                </pic:pic>
              </a:graphicData>
            </a:graphic>
          </wp:inline>
        </w:drawing>
      </w:r>
    </w:p>
    <w:p w:rsidR="001E6BFB" w:rsidRPr="001E6BFB" w:rsidRDefault="001E6BFB" w:rsidP="001E6BFB">
      <w:pPr>
        <w:jc w:val="center"/>
        <w:rPr>
          <w:rFonts w:ascii="Andes" w:eastAsia="SimSun" w:hAnsi="Andes"/>
          <w:sz w:val="40"/>
          <w:szCs w:val="40"/>
          <w:lang w:val="en-US"/>
        </w:rPr>
      </w:pPr>
    </w:p>
    <w:p w:rsidR="001E6BFB" w:rsidRPr="001E6BFB" w:rsidRDefault="001E6BFB" w:rsidP="001E6BFB">
      <w:pPr>
        <w:jc w:val="center"/>
        <w:rPr>
          <w:rFonts w:ascii="Andes" w:eastAsia="SimSun" w:hAnsi="Andes"/>
          <w:b/>
          <w:bCs/>
          <w:sz w:val="40"/>
          <w:szCs w:val="40"/>
          <w:lang w:val="en-US"/>
        </w:rPr>
      </w:pPr>
      <w:r w:rsidRPr="001E6BFB">
        <w:rPr>
          <w:rFonts w:ascii="Andes" w:eastAsia="SimSun" w:hAnsi="Andes"/>
          <w:sz w:val="40"/>
          <w:szCs w:val="40"/>
          <w:lang w:val="en-US"/>
        </w:rPr>
        <w:t xml:space="preserve">WORLD BANK IMPLEMENTED </w:t>
      </w:r>
    </w:p>
    <w:p w:rsidR="001E6BFB" w:rsidRPr="001E6BFB" w:rsidRDefault="001E6BFB" w:rsidP="001E6BFB">
      <w:pPr>
        <w:jc w:val="center"/>
        <w:rPr>
          <w:rFonts w:ascii="Andes" w:eastAsia="SimSun" w:hAnsi="Andes"/>
          <w:sz w:val="40"/>
          <w:szCs w:val="40"/>
          <w:lang w:val="en-US"/>
        </w:rPr>
      </w:pPr>
      <w:r w:rsidRPr="001E6BFB">
        <w:rPr>
          <w:rFonts w:ascii="Andes" w:eastAsia="SimSun" w:hAnsi="Andes"/>
          <w:sz w:val="40"/>
          <w:szCs w:val="40"/>
          <w:lang w:val="en-US"/>
        </w:rPr>
        <w:t xml:space="preserve">MONTREAL PROTOCOL OPERATIONS </w:t>
      </w:r>
    </w:p>
    <w:p w:rsidR="001E6BFB" w:rsidRPr="001E6BFB" w:rsidRDefault="001E6BFB" w:rsidP="001E6BFB">
      <w:pPr>
        <w:jc w:val="center"/>
        <w:rPr>
          <w:rFonts w:ascii="Andes" w:eastAsia="SimSun" w:hAnsi="Andes"/>
          <w:sz w:val="40"/>
          <w:szCs w:val="40"/>
          <w:lang w:val="en-US"/>
        </w:rPr>
      </w:pPr>
    </w:p>
    <w:p w:rsidR="001E6BFB" w:rsidRPr="001E6BFB" w:rsidRDefault="001E6BFB" w:rsidP="001E6BFB">
      <w:pPr>
        <w:jc w:val="center"/>
        <w:rPr>
          <w:rFonts w:ascii="Andes" w:eastAsia="SimSun" w:hAnsi="Andes"/>
          <w:sz w:val="24"/>
          <w:szCs w:val="24"/>
          <w:lang w:val="en-US"/>
        </w:rPr>
      </w:pPr>
    </w:p>
    <w:p w:rsidR="001E6BFB" w:rsidRPr="001E6BFB" w:rsidRDefault="001E6BFB" w:rsidP="001E6BFB">
      <w:pPr>
        <w:jc w:val="center"/>
        <w:rPr>
          <w:rFonts w:ascii="Andes" w:eastAsia="SimSun" w:hAnsi="Andes"/>
          <w:sz w:val="24"/>
          <w:szCs w:val="24"/>
          <w:lang w:val="en-US"/>
        </w:rPr>
      </w:pPr>
    </w:p>
    <w:p w:rsidR="001E6BFB" w:rsidRPr="001E6BFB" w:rsidRDefault="001E6BFB" w:rsidP="001E6BFB">
      <w:pPr>
        <w:jc w:val="center"/>
        <w:rPr>
          <w:rFonts w:ascii="Andes" w:eastAsia="SimSun" w:hAnsi="Andes"/>
          <w:sz w:val="24"/>
          <w:szCs w:val="24"/>
          <w:lang w:val="en-US"/>
        </w:rPr>
      </w:pPr>
    </w:p>
    <w:p w:rsidR="001E6BFB" w:rsidRPr="001E6BFB" w:rsidRDefault="001E6BFB" w:rsidP="001E6BFB">
      <w:pPr>
        <w:jc w:val="center"/>
        <w:rPr>
          <w:rFonts w:ascii="Andes" w:eastAsia="SimSun" w:hAnsi="Andes"/>
          <w:sz w:val="24"/>
          <w:szCs w:val="24"/>
          <w:lang w:val="en-US"/>
        </w:rPr>
      </w:pPr>
    </w:p>
    <w:p w:rsidR="001E6BFB" w:rsidRPr="001E6BFB" w:rsidRDefault="001E6BFB" w:rsidP="001E6BFB">
      <w:pPr>
        <w:jc w:val="center"/>
        <w:rPr>
          <w:rFonts w:ascii="Andes" w:eastAsia="SimSun" w:hAnsi="Andes"/>
          <w:sz w:val="24"/>
          <w:szCs w:val="24"/>
          <w:lang w:val="en-US"/>
        </w:rPr>
      </w:pPr>
    </w:p>
    <w:p w:rsidR="001E6BFB" w:rsidRPr="001E6BFB" w:rsidRDefault="001E6BFB" w:rsidP="001E6BFB">
      <w:pPr>
        <w:jc w:val="center"/>
        <w:rPr>
          <w:rFonts w:ascii="Andes" w:eastAsia="SimSun" w:hAnsi="Andes"/>
          <w:sz w:val="24"/>
          <w:szCs w:val="24"/>
          <w:lang w:val="en-US"/>
        </w:rPr>
      </w:pPr>
    </w:p>
    <w:p w:rsidR="001E6BFB" w:rsidRPr="001E6BFB" w:rsidRDefault="001E6BFB" w:rsidP="001E6BFB">
      <w:pPr>
        <w:jc w:val="center"/>
        <w:rPr>
          <w:rFonts w:ascii="Andes" w:eastAsia="SimSun" w:hAnsi="Andes"/>
          <w:sz w:val="36"/>
          <w:szCs w:val="36"/>
          <w:lang w:val="en-US"/>
        </w:rPr>
      </w:pPr>
    </w:p>
    <w:p w:rsidR="001E6BFB" w:rsidRPr="001E6BFB" w:rsidRDefault="001E6BFB" w:rsidP="001E6BFB">
      <w:pPr>
        <w:jc w:val="center"/>
        <w:rPr>
          <w:rFonts w:ascii="Andes" w:eastAsia="SimSun" w:hAnsi="Andes"/>
          <w:sz w:val="36"/>
          <w:szCs w:val="36"/>
          <w:lang w:val="en-US"/>
        </w:rPr>
      </w:pPr>
      <w:r w:rsidRPr="001E6BFB">
        <w:rPr>
          <w:rFonts w:ascii="Andes" w:eastAsia="SimSun" w:hAnsi="Andes"/>
          <w:sz w:val="36"/>
          <w:szCs w:val="36"/>
          <w:lang w:val="en-US"/>
        </w:rPr>
        <w:t xml:space="preserve">Presented to the </w:t>
      </w:r>
      <w:r w:rsidRPr="001E6BFB">
        <w:rPr>
          <w:rFonts w:ascii="Andes" w:eastAsia="SimSun" w:hAnsi="Andes"/>
          <w:sz w:val="36"/>
          <w:szCs w:val="36"/>
          <w:lang w:val="en-US"/>
        </w:rPr>
        <w:br/>
        <w:t>80</w:t>
      </w:r>
      <w:r w:rsidRPr="001E6BFB">
        <w:rPr>
          <w:rFonts w:ascii="Andes" w:eastAsia="SimSun" w:hAnsi="Andes"/>
          <w:sz w:val="36"/>
          <w:szCs w:val="36"/>
          <w:vertAlign w:val="superscript"/>
          <w:lang w:val="en-US"/>
        </w:rPr>
        <w:t>th</w:t>
      </w:r>
      <w:r w:rsidRPr="001E6BFB">
        <w:rPr>
          <w:rFonts w:ascii="Andes" w:eastAsia="SimSun" w:hAnsi="Andes"/>
          <w:sz w:val="36"/>
          <w:szCs w:val="36"/>
          <w:lang w:val="en-US"/>
        </w:rPr>
        <w:t xml:space="preserve"> Meeting of the Executive Committee</w:t>
      </w:r>
    </w:p>
    <w:p w:rsidR="001E6BFB" w:rsidRPr="001E6BFB" w:rsidRDefault="001E6BFB" w:rsidP="001E6BFB">
      <w:pPr>
        <w:jc w:val="center"/>
        <w:rPr>
          <w:rFonts w:ascii="Andes" w:eastAsia="SimSun" w:hAnsi="Andes"/>
          <w:sz w:val="36"/>
          <w:szCs w:val="36"/>
          <w:lang w:val="en-US"/>
        </w:rPr>
      </w:pPr>
      <w:proofErr w:type="gramStart"/>
      <w:r w:rsidRPr="001E6BFB">
        <w:rPr>
          <w:rFonts w:ascii="Andes" w:eastAsia="SimSun" w:hAnsi="Andes"/>
          <w:sz w:val="36"/>
          <w:szCs w:val="36"/>
          <w:lang w:val="en-US"/>
        </w:rPr>
        <w:t>of</w:t>
      </w:r>
      <w:proofErr w:type="gramEnd"/>
      <w:r w:rsidRPr="001E6BFB">
        <w:rPr>
          <w:rFonts w:ascii="Andes" w:eastAsia="SimSun" w:hAnsi="Andes"/>
          <w:sz w:val="36"/>
          <w:szCs w:val="36"/>
          <w:lang w:val="en-US"/>
        </w:rPr>
        <w:t xml:space="preserve"> the Multilateral Fund</w:t>
      </w:r>
    </w:p>
    <w:p w:rsidR="001E6BFB" w:rsidRPr="001E6BFB" w:rsidRDefault="001E6BFB" w:rsidP="001E6BFB">
      <w:pPr>
        <w:jc w:val="center"/>
        <w:rPr>
          <w:rFonts w:ascii="Andes" w:eastAsia="SimSun" w:hAnsi="Andes"/>
          <w:sz w:val="36"/>
          <w:szCs w:val="36"/>
          <w:lang w:val="en-US"/>
        </w:rPr>
      </w:pPr>
    </w:p>
    <w:p w:rsidR="001E6BFB" w:rsidRPr="001E6BFB" w:rsidRDefault="001E6BFB" w:rsidP="001E6BFB">
      <w:pPr>
        <w:jc w:val="center"/>
        <w:rPr>
          <w:rFonts w:ascii="Andes" w:eastAsia="SimSun" w:hAnsi="Andes"/>
          <w:sz w:val="36"/>
          <w:szCs w:val="36"/>
          <w:lang w:val="en-US"/>
        </w:rPr>
      </w:pPr>
    </w:p>
    <w:p w:rsidR="001E6BFB" w:rsidRPr="001E6BFB" w:rsidRDefault="001E6BFB" w:rsidP="001E6BFB">
      <w:pPr>
        <w:jc w:val="center"/>
        <w:rPr>
          <w:rFonts w:ascii="Andes" w:eastAsia="SimSun" w:hAnsi="Andes"/>
          <w:sz w:val="36"/>
          <w:szCs w:val="36"/>
          <w:lang w:val="en-US"/>
        </w:rPr>
      </w:pPr>
      <w:r w:rsidRPr="001E6BFB">
        <w:rPr>
          <w:rFonts w:ascii="Andes" w:eastAsia="SimSun" w:hAnsi="Andes"/>
          <w:sz w:val="36"/>
          <w:szCs w:val="36"/>
          <w:lang w:val="en-US"/>
        </w:rPr>
        <w:t>Revised</w:t>
      </w:r>
    </w:p>
    <w:p w:rsidR="001E6BFB" w:rsidRPr="001E6BFB" w:rsidRDefault="001E6BFB" w:rsidP="001E6BFB">
      <w:pPr>
        <w:jc w:val="center"/>
        <w:rPr>
          <w:rFonts w:ascii="Andes" w:eastAsia="SimSun" w:hAnsi="Andes"/>
          <w:sz w:val="36"/>
          <w:szCs w:val="36"/>
          <w:lang w:val="en-US"/>
        </w:rPr>
      </w:pPr>
      <w:r w:rsidRPr="001E6BFB">
        <w:rPr>
          <w:rFonts w:ascii="Andes" w:eastAsia="SimSun" w:hAnsi="Andes"/>
          <w:sz w:val="36"/>
          <w:szCs w:val="36"/>
          <w:lang w:val="en-US"/>
        </w:rPr>
        <w:t>4 October 2017</w:t>
      </w:r>
    </w:p>
    <w:p w:rsidR="001E6BFB" w:rsidRPr="001E6BFB" w:rsidRDefault="001E6BFB" w:rsidP="001E6BFB">
      <w:pPr>
        <w:jc w:val="left"/>
        <w:rPr>
          <w:rFonts w:ascii="Andes" w:eastAsia="SimSun" w:hAnsi="Andes"/>
          <w:sz w:val="36"/>
          <w:szCs w:val="36"/>
          <w:lang w:val="en-US"/>
        </w:rPr>
        <w:sectPr w:rsidR="001E6BFB" w:rsidRPr="001E6BFB" w:rsidSect="001E6BFB">
          <w:headerReference w:type="default" r:id="rId16"/>
          <w:footerReference w:type="default" r:id="rId17"/>
          <w:pgSz w:w="12240" w:h="15840" w:code="1"/>
          <w:pgMar w:top="1440" w:right="1440" w:bottom="1440" w:left="1440" w:header="1152" w:footer="720" w:gutter="0"/>
          <w:pgNumType w:start="1"/>
          <w:cols w:space="720"/>
          <w:docGrid w:linePitch="360"/>
        </w:sectPr>
      </w:pPr>
      <w:r w:rsidRPr="001E6BFB">
        <w:rPr>
          <w:rFonts w:ascii="Andes" w:eastAsia="SimSun" w:hAnsi="Andes"/>
          <w:sz w:val="36"/>
          <w:szCs w:val="36"/>
          <w:lang w:val="en-US"/>
        </w:rPr>
        <w:br w:type="page"/>
      </w:r>
    </w:p>
    <w:p w:rsidR="001E6BFB" w:rsidRPr="001E6BFB" w:rsidRDefault="001E6BFB" w:rsidP="001E6BFB">
      <w:pPr>
        <w:keepNext/>
        <w:spacing w:before="240" w:after="240"/>
        <w:jc w:val="center"/>
        <w:outlineLvl w:val="0"/>
        <w:rPr>
          <w:rFonts w:eastAsia="SimSun"/>
          <w:b/>
          <w:bCs/>
          <w:smallCaps/>
          <w:sz w:val="28"/>
          <w:szCs w:val="24"/>
          <w:lang w:val="en-US"/>
        </w:rPr>
      </w:pPr>
      <w:bookmarkStart w:id="1" w:name="_Toc395519914"/>
      <w:r w:rsidRPr="001E6BFB">
        <w:rPr>
          <w:rFonts w:eastAsia="SimSun"/>
          <w:b/>
          <w:bCs/>
          <w:smallCaps/>
          <w:sz w:val="28"/>
          <w:szCs w:val="24"/>
          <w:lang w:val="en-US"/>
        </w:rPr>
        <w:lastRenderedPageBreak/>
        <w:t xml:space="preserve">Work Program for </w:t>
      </w:r>
    </w:p>
    <w:p w:rsidR="001E6BFB" w:rsidRPr="001E6BFB" w:rsidRDefault="001E6BFB" w:rsidP="001E6BFB">
      <w:pPr>
        <w:keepNext/>
        <w:spacing w:before="240" w:after="240"/>
        <w:jc w:val="center"/>
        <w:outlineLvl w:val="0"/>
        <w:rPr>
          <w:rFonts w:eastAsia="SimSun"/>
          <w:b/>
          <w:bCs/>
          <w:sz w:val="28"/>
          <w:szCs w:val="24"/>
          <w:lang w:val="en-US"/>
        </w:rPr>
      </w:pPr>
      <w:r w:rsidRPr="001E6BFB">
        <w:rPr>
          <w:rFonts w:eastAsia="SimSun"/>
          <w:b/>
          <w:bCs/>
          <w:smallCaps/>
          <w:sz w:val="28"/>
          <w:szCs w:val="24"/>
          <w:lang w:val="en-US"/>
        </w:rPr>
        <w:t>World-Bank Implemented Montreal Protocol Operations</w:t>
      </w:r>
    </w:p>
    <w:p w:rsidR="001E6BFB" w:rsidRPr="001E6BFB" w:rsidRDefault="001E6BFB" w:rsidP="001E6BFB">
      <w:pPr>
        <w:numPr>
          <w:ilvl w:val="0"/>
          <w:numId w:val="24"/>
        </w:numPr>
        <w:spacing w:after="120" w:line="276" w:lineRule="auto"/>
        <w:jc w:val="left"/>
        <w:rPr>
          <w:rFonts w:eastAsia="SimSun"/>
          <w:bCs/>
          <w:lang w:val="en-US"/>
        </w:rPr>
      </w:pPr>
      <w:bookmarkStart w:id="2" w:name="_Toc395519915"/>
      <w:bookmarkEnd w:id="1"/>
      <w:r w:rsidRPr="001E6BFB">
        <w:rPr>
          <w:rFonts w:eastAsia="SimSun"/>
          <w:bCs/>
          <w:lang w:val="en-US"/>
        </w:rPr>
        <w:t>This proposed work program amendment for Bank-Implemented Montreal Protocol Operations is prepared on the basis of the 2017-2019 World Bank Business Plan which was approved by the Executive Committee at its 77</w:t>
      </w:r>
      <w:r w:rsidRPr="001E6BFB">
        <w:rPr>
          <w:rFonts w:eastAsia="SimSun"/>
          <w:bCs/>
          <w:vertAlign w:val="superscript"/>
          <w:lang w:val="en-US"/>
        </w:rPr>
        <w:t>th</w:t>
      </w:r>
      <w:r w:rsidRPr="001E6BFB">
        <w:rPr>
          <w:rFonts w:eastAsia="SimSun"/>
          <w:bCs/>
          <w:lang w:val="en-US"/>
        </w:rPr>
        <w:t xml:space="preserve"> meeting.  </w:t>
      </w:r>
    </w:p>
    <w:p w:rsidR="001E6BFB" w:rsidRPr="001E6BFB" w:rsidRDefault="001E6BFB" w:rsidP="001E6BFB">
      <w:pPr>
        <w:numPr>
          <w:ilvl w:val="0"/>
          <w:numId w:val="24"/>
        </w:numPr>
        <w:spacing w:after="120" w:line="276" w:lineRule="auto"/>
        <w:jc w:val="left"/>
        <w:rPr>
          <w:rFonts w:eastAsia="SimSun"/>
          <w:bCs/>
          <w:lang w:val="en-US"/>
        </w:rPr>
      </w:pPr>
      <w:r w:rsidRPr="001E6BFB">
        <w:rPr>
          <w:rFonts w:eastAsia="SimSun"/>
          <w:bCs/>
          <w:lang w:val="en-US"/>
        </w:rPr>
        <w:t>The 2017-2019 World Bank Business Plan consists of investment and non-investment activities to assist Article 5 partner countries to meet their HCFC reduction target, the 2020 35% reduction. The Business Plan includes, in addition to deliverables associated with previously approved and new investment activities, requests to extend support for implementation of existing institutional strengthening projects in 2 countries.</w:t>
      </w:r>
    </w:p>
    <w:p w:rsidR="001E6BFB" w:rsidRPr="001E6BFB" w:rsidRDefault="001E6BFB" w:rsidP="001E6BFB">
      <w:pPr>
        <w:numPr>
          <w:ilvl w:val="0"/>
          <w:numId w:val="24"/>
        </w:numPr>
        <w:spacing w:after="120" w:line="276" w:lineRule="auto"/>
        <w:jc w:val="left"/>
        <w:rPr>
          <w:rFonts w:eastAsia="SimSun"/>
          <w:bCs/>
          <w:lang w:val="en-US"/>
        </w:rPr>
      </w:pPr>
      <w:r w:rsidRPr="001E6BFB">
        <w:rPr>
          <w:rFonts w:eastAsia="SimSun"/>
          <w:bCs/>
          <w:lang w:val="en-US"/>
        </w:rPr>
        <w:t>As part of the 2017-2019 Business Plan, the World Bank has submitted stage II of the HPMP for Argentina, China, Indonesia, Jordan, the Philippines, and Vietnam; and stage II of the HPPMP for China. Stage II of the HPMP for Thailand is being prepared and will be submitted in 2018.</w:t>
      </w:r>
    </w:p>
    <w:p w:rsidR="001E6BFB" w:rsidRPr="001E6BFB" w:rsidRDefault="001E6BFB" w:rsidP="001E6BFB">
      <w:pPr>
        <w:numPr>
          <w:ilvl w:val="0"/>
          <w:numId w:val="24"/>
        </w:numPr>
        <w:spacing w:after="120" w:line="276" w:lineRule="auto"/>
        <w:jc w:val="left"/>
        <w:rPr>
          <w:rFonts w:eastAsia="SimSun"/>
          <w:bCs/>
          <w:lang w:val="en-US"/>
        </w:rPr>
      </w:pPr>
      <w:r w:rsidRPr="001E6BFB">
        <w:rPr>
          <w:rFonts w:eastAsia="SimSun"/>
          <w:bCs/>
          <w:lang w:val="en-US"/>
        </w:rPr>
        <w:t>In addition, this work program amendment includes activities for HFC-related projects in response to decisions undertaken at the 79</w:t>
      </w:r>
      <w:r w:rsidRPr="001E6BFB">
        <w:rPr>
          <w:rFonts w:eastAsia="SimSun"/>
          <w:bCs/>
          <w:vertAlign w:val="superscript"/>
          <w:lang w:val="en-US"/>
        </w:rPr>
        <w:t>th</w:t>
      </w:r>
      <w:r w:rsidRPr="001E6BFB">
        <w:rPr>
          <w:rFonts w:eastAsia="SimSun"/>
          <w:bCs/>
          <w:lang w:val="en-US"/>
        </w:rPr>
        <w:t xml:space="preserve"> Meeting of the Executive Committee, in particular, decisions 79/45, 79/46, and 79/47.</w:t>
      </w:r>
    </w:p>
    <w:p w:rsidR="001E6BFB" w:rsidRPr="001E6BFB" w:rsidRDefault="001E6BFB" w:rsidP="001E6BFB">
      <w:pPr>
        <w:spacing w:after="120" w:line="276" w:lineRule="auto"/>
        <w:jc w:val="left"/>
        <w:rPr>
          <w:rFonts w:eastAsia="SimSun"/>
          <w:b/>
          <w:sz w:val="24"/>
          <w:szCs w:val="24"/>
          <w:lang w:val="en-US"/>
        </w:rPr>
      </w:pPr>
    </w:p>
    <w:p w:rsidR="001E6BFB" w:rsidRPr="001E6BFB" w:rsidRDefault="001E6BFB" w:rsidP="001E6BFB">
      <w:pPr>
        <w:spacing w:after="120" w:line="276" w:lineRule="auto"/>
        <w:jc w:val="left"/>
        <w:rPr>
          <w:rFonts w:eastAsia="SimSun"/>
          <w:b/>
          <w:sz w:val="24"/>
          <w:szCs w:val="24"/>
          <w:lang w:val="en-US"/>
        </w:rPr>
      </w:pPr>
      <w:r w:rsidRPr="001E6BFB">
        <w:rPr>
          <w:rFonts w:eastAsia="SimSun"/>
          <w:b/>
          <w:sz w:val="24"/>
          <w:szCs w:val="24"/>
          <w:lang w:val="en-US"/>
        </w:rPr>
        <w:t>2017 Work Program – ExCom 80 Amendment</w:t>
      </w:r>
    </w:p>
    <w:p w:rsidR="001E6BFB" w:rsidRPr="001E6BFB" w:rsidRDefault="001E6BFB" w:rsidP="001E6BFB">
      <w:pPr>
        <w:numPr>
          <w:ilvl w:val="0"/>
          <w:numId w:val="24"/>
        </w:numPr>
        <w:spacing w:after="120" w:line="276" w:lineRule="auto"/>
        <w:jc w:val="left"/>
        <w:rPr>
          <w:rFonts w:eastAsia="SimSun"/>
          <w:color w:val="000000"/>
          <w:lang w:val="en-US"/>
        </w:rPr>
      </w:pPr>
      <w:r w:rsidRPr="001E6BFB">
        <w:rPr>
          <w:rFonts w:eastAsia="SimSun"/>
          <w:bCs/>
          <w:lang w:val="en-US"/>
        </w:rPr>
        <w:t>The proposed 2017 Work Program Amendment being submitted for consideration at the 80</w:t>
      </w:r>
      <w:r w:rsidRPr="001E6BFB">
        <w:rPr>
          <w:rFonts w:eastAsia="SimSun"/>
          <w:bCs/>
          <w:vertAlign w:val="superscript"/>
          <w:lang w:val="en-US"/>
        </w:rPr>
        <w:t>th</w:t>
      </w:r>
      <w:r w:rsidRPr="001E6BFB">
        <w:rPr>
          <w:rFonts w:eastAsia="SimSun"/>
          <w:bCs/>
          <w:lang w:val="en-US"/>
        </w:rPr>
        <w:t xml:space="preserve"> Meeting of the Executive Committee, includes funding requests for Agency Core Unit Costs, one preparation activity for feasible technology demonstration for HFC-23 by-product conversion technologies for China, one preparation activity for demonstration/stand-alone investment projects for commercial refrigerator manufacturers in Thailand, and three HFC enabling activities, outlined in Table 1 below. Explanation on the preparation activities and HFC enabling activities are described in annexes below.</w:t>
      </w:r>
    </w:p>
    <w:p w:rsidR="001E6BFB" w:rsidRPr="001E6BFB" w:rsidRDefault="001E6BFB" w:rsidP="001E6BFB">
      <w:pPr>
        <w:keepNext/>
        <w:jc w:val="center"/>
        <w:rPr>
          <w:rFonts w:eastAsia="SimSun"/>
          <w:i/>
          <w:lang w:val="en-US"/>
        </w:rPr>
      </w:pPr>
      <w:r w:rsidRPr="001E6BFB">
        <w:rPr>
          <w:rFonts w:eastAsia="SimSun"/>
          <w:i/>
          <w:lang w:val="en-US"/>
        </w:rPr>
        <w:t>Table 1:  Funding Requests Submitted for Consideration</w:t>
      </w:r>
    </w:p>
    <w:p w:rsidR="001E6BFB" w:rsidRPr="001E6BFB" w:rsidRDefault="001E6BFB" w:rsidP="001E6BFB">
      <w:pPr>
        <w:keepNext/>
        <w:jc w:val="center"/>
        <w:rPr>
          <w:rFonts w:eastAsia="SimSun"/>
          <w:i/>
          <w:lang w:val="en-US"/>
        </w:rPr>
      </w:pPr>
      <w:proofErr w:type="gramStart"/>
      <w:r w:rsidRPr="001E6BFB">
        <w:rPr>
          <w:rFonts w:eastAsia="SimSun"/>
          <w:i/>
          <w:lang w:val="en-US"/>
        </w:rPr>
        <w:t>by</w:t>
      </w:r>
      <w:proofErr w:type="gramEnd"/>
      <w:r w:rsidRPr="001E6BFB">
        <w:rPr>
          <w:rFonts w:eastAsia="SimSun"/>
          <w:i/>
          <w:lang w:val="en-US"/>
        </w:rPr>
        <w:t xml:space="preserve"> the 80</w:t>
      </w:r>
      <w:r w:rsidRPr="001E6BFB">
        <w:rPr>
          <w:rFonts w:eastAsia="SimSun"/>
          <w:i/>
          <w:vertAlign w:val="superscript"/>
          <w:lang w:val="en-US"/>
        </w:rPr>
        <w:t>th</w:t>
      </w:r>
      <w:r w:rsidRPr="001E6BFB">
        <w:rPr>
          <w:rFonts w:eastAsia="SimSun"/>
          <w:i/>
          <w:lang w:val="en-US"/>
        </w:rPr>
        <w:t xml:space="preserve"> Meeting of the Executive Committee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93"/>
        <w:gridCol w:w="1044"/>
        <w:gridCol w:w="1173"/>
        <w:gridCol w:w="1147"/>
        <w:gridCol w:w="4790"/>
        <w:gridCol w:w="1337"/>
      </w:tblGrid>
      <w:tr w:rsidR="001E6BFB" w:rsidRPr="001E6BFB" w:rsidTr="001E6BFB">
        <w:trPr>
          <w:trHeight w:val="20"/>
        </w:trPr>
        <w:tc>
          <w:tcPr>
            <w:tcW w:w="599" w:type="pct"/>
            <w:tcBorders>
              <w:top w:val="single" w:sz="6" w:space="0" w:color="auto"/>
              <w:left w:val="single" w:sz="6" w:space="0" w:color="auto"/>
              <w:bottom w:val="single" w:sz="6" w:space="0" w:color="auto"/>
              <w:right w:val="single" w:sz="6" w:space="0" w:color="auto"/>
            </w:tcBorders>
            <w:vAlign w:val="center"/>
            <w:hideMark/>
          </w:tcPr>
          <w:p w:rsidR="001E6BFB" w:rsidRPr="001E6BFB" w:rsidRDefault="001E6BFB" w:rsidP="001E6BFB">
            <w:pPr>
              <w:keepNext/>
              <w:jc w:val="center"/>
              <w:rPr>
                <w:rFonts w:eastAsia="SimSun"/>
                <w:b/>
                <w:bCs/>
                <w:sz w:val="20"/>
                <w:szCs w:val="20"/>
                <w:lang w:val="en-US"/>
              </w:rPr>
            </w:pPr>
            <w:r w:rsidRPr="001E6BFB">
              <w:rPr>
                <w:rFonts w:eastAsia="SimSun"/>
                <w:b/>
                <w:bCs/>
                <w:sz w:val="20"/>
                <w:szCs w:val="20"/>
                <w:lang w:val="en-US"/>
              </w:rPr>
              <w:t>Country</w:t>
            </w:r>
          </w:p>
        </w:tc>
        <w:tc>
          <w:tcPr>
            <w:tcW w:w="484" w:type="pct"/>
            <w:tcBorders>
              <w:top w:val="single" w:sz="6" w:space="0" w:color="auto"/>
              <w:left w:val="single" w:sz="6" w:space="0" w:color="auto"/>
              <w:bottom w:val="single" w:sz="6" w:space="0" w:color="auto"/>
              <w:right w:val="single" w:sz="6" w:space="0" w:color="auto"/>
            </w:tcBorders>
            <w:vAlign w:val="center"/>
            <w:hideMark/>
          </w:tcPr>
          <w:p w:rsidR="001E6BFB" w:rsidRPr="001E6BFB" w:rsidRDefault="001E6BFB" w:rsidP="001E6BFB">
            <w:pPr>
              <w:keepNext/>
              <w:jc w:val="center"/>
              <w:rPr>
                <w:rFonts w:eastAsia="SimSun"/>
                <w:b/>
                <w:bCs/>
                <w:sz w:val="20"/>
                <w:szCs w:val="20"/>
                <w:lang w:val="en-US"/>
              </w:rPr>
            </w:pPr>
            <w:r w:rsidRPr="001E6BFB">
              <w:rPr>
                <w:rFonts w:eastAsia="SimSun"/>
                <w:b/>
                <w:bCs/>
                <w:sz w:val="20"/>
                <w:szCs w:val="20"/>
                <w:lang w:val="en-US"/>
              </w:rPr>
              <w:t>Request (US$)</w:t>
            </w:r>
          </w:p>
        </w:tc>
        <w:tc>
          <w:tcPr>
            <w:tcW w:w="544" w:type="pct"/>
            <w:tcBorders>
              <w:top w:val="single" w:sz="6" w:space="0" w:color="auto"/>
              <w:left w:val="single" w:sz="6" w:space="0" w:color="auto"/>
              <w:bottom w:val="single" w:sz="6" w:space="0" w:color="auto"/>
              <w:right w:val="single" w:sz="6" w:space="0" w:color="auto"/>
            </w:tcBorders>
            <w:vAlign w:val="center"/>
            <w:hideMark/>
          </w:tcPr>
          <w:p w:rsidR="001E6BFB" w:rsidRPr="001E6BFB" w:rsidRDefault="001E6BFB" w:rsidP="001E6BFB">
            <w:pPr>
              <w:keepNext/>
              <w:jc w:val="center"/>
              <w:rPr>
                <w:rFonts w:eastAsia="SimSun"/>
                <w:b/>
                <w:bCs/>
                <w:sz w:val="20"/>
                <w:szCs w:val="20"/>
                <w:lang w:val="en-US"/>
              </w:rPr>
            </w:pPr>
            <w:r w:rsidRPr="001E6BFB">
              <w:rPr>
                <w:rFonts w:eastAsia="SimSun"/>
                <w:b/>
                <w:bCs/>
                <w:sz w:val="20"/>
                <w:szCs w:val="20"/>
                <w:lang w:val="en-US"/>
              </w:rPr>
              <w:t>Support Costs</w:t>
            </w:r>
          </w:p>
          <w:p w:rsidR="001E6BFB" w:rsidRPr="001E6BFB" w:rsidRDefault="001E6BFB" w:rsidP="001E6BFB">
            <w:pPr>
              <w:keepNext/>
              <w:jc w:val="center"/>
              <w:rPr>
                <w:rFonts w:eastAsia="SimSun"/>
                <w:b/>
                <w:bCs/>
                <w:sz w:val="20"/>
                <w:szCs w:val="20"/>
                <w:lang w:val="en-US"/>
              </w:rPr>
            </w:pPr>
            <w:r w:rsidRPr="001E6BFB">
              <w:rPr>
                <w:rFonts w:eastAsia="SimSun"/>
                <w:b/>
                <w:bCs/>
                <w:sz w:val="20"/>
                <w:szCs w:val="20"/>
                <w:lang w:val="en-US"/>
              </w:rPr>
              <w:t>(US$)</w:t>
            </w:r>
          </w:p>
        </w:tc>
        <w:tc>
          <w:tcPr>
            <w:tcW w:w="532" w:type="pct"/>
            <w:tcBorders>
              <w:top w:val="single" w:sz="6" w:space="0" w:color="auto"/>
              <w:left w:val="single" w:sz="6" w:space="0" w:color="auto"/>
              <w:bottom w:val="single" w:sz="6" w:space="0" w:color="auto"/>
              <w:right w:val="single" w:sz="6" w:space="0" w:color="auto"/>
            </w:tcBorders>
            <w:vAlign w:val="center"/>
            <w:hideMark/>
          </w:tcPr>
          <w:p w:rsidR="001E6BFB" w:rsidRPr="001E6BFB" w:rsidRDefault="001E6BFB" w:rsidP="001E6BFB">
            <w:pPr>
              <w:keepNext/>
              <w:jc w:val="center"/>
              <w:rPr>
                <w:rFonts w:eastAsia="SimSun"/>
                <w:b/>
                <w:bCs/>
                <w:sz w:val="20"/>
                <w:szCs w:val="20"/>
                <w:lang w:val="en-US"/>
              </w:rPr>
            </w:pPr>
            <w:r w:rsidRPr="001E6BFB">
              <w:rPr>
                <w:rFonts w:eastAsia="SimSun"/>
                <w:b/>
                <w:bCs/>
                <w:sz w:val="20"/>
                <w:szCs w:val="20"/>
                <w:lang w:val="en-US"/>
              </w:rPr>
              <w:t>Duration</w:t>
            </w:r>
          </w:p>
        </w:tc>
        <w:tc>
          <w:tcPr>
            <w:tcW w:w="2221" w:type="pct"/>
            <w:tcBorders>
              <w:top w:val="single" w:sz="6" w:space="0" w:color="auto"/>
              <w:left w:val="single" w:sz="6" w:space="0" w:color="auto"/>
              <w:bottom w:val="single" w:sz="6" w:space="0" w:color="auto"/>
              <w:right w:val="single" w:sz="6" w:space="0" w:color="auto"/>
            </w:tcBorders>
            <w:vAlign w:val="center"/>
            <w:hideMark/>
          </w:tcPr>
          <w:p w:rsidR="001E6BFB" w:rsidRPr="001E6BFB" w:rsidRDefault="001E6BFB" w:rsidP="001E6BFB">
            <w:pPr>
              <w:keepNext/>
              <w:jc w:val="center"/>
              <w:rPr>
                <w:rFonts w:eastAsia="SimSun"/>
                <w:b/>
                <w:bCs/>
                <w:sz w:val="20"/>
                <w:szCs w:val="20"/>
                <w:lang w:val="en-US"/>
              </w:rPr>
            </w:pPr>
            <w:r w:rsidRPr="001E6BFB">
              <w:rPr>
                <w:rFonts w:eastAsia="SimSun"/>
                <w:b/>
                <w:bCs/>
                <w:sz w:val="20"/>
                <w:szCs w:val="20"/>
                <w:lang w:val="en-US"/>
              </w:rPr>
              <w:t>Description</w:t>
            </w:r>
          </w:p>
        </w:tc>
        <w:tc>
          <w:tcPr>
            <w:tcW w:w="620" w:type="pct"/>
            <w:tcBorders>
              <w:top w:val="single" w:sz="6" w:space="0" w:color="auto"/>
              <w:left w:val="single" w:sz="6" w:space="0" w:color="auto"/>
              <w:bottom w:val="single" w:sz="6" w:space="0" w:color="auto"/>
              <w:right w:val="single" w:sz="6" w:space="0" w:color="auto"/>
            </w:tcBorders>
            <w:vAlign w:val="center"/>
          </w:tcPr>
          <w:p w:rsidR="001E6BFB" w:rsidRPr="001E6BFB" w:rsidRDefault="001E6BFB" w:rsidP="001E6BFB">
            <w:pPr>
              <w:keepNext/>
              <w:jc w:val="center"/>
              <w:rPr>
                <w:rFonts w:eastAsia="SimSun"/>
                <w:b/>
                <w:bCs/>
                <w:sz w:val="20"/>
                <w:szCs w:val="20"/>
                <w:lang w:val="en-US"/>
              </w:rPr>
            </w:pPr>
            <w:r w:rsidRPr="001E6BFB">
              <w:rPr>
                <w:rFonts w:eastAsia="SimSun"/>
                <w:b/>
                <w:bCs/>
                <w:sz w:val="20"/>
                <w:szCs w:val="20"/>
                <w:lang w:val="en-US"/>
              </w:rPr>
              <w:t>Supporting document</w:t>
            </w:r>
          </w:p>
        </w:tc>
      </w:tr>
      <w:tr w:rsidR="001E6BFB" w:rsidRPr="001E6BFB" w:rsidTr="001E6BFB">
        <w:trPr>
          <w:trHeight w:val="20"/>
        </w:trPr>
        <w:tc>
          <w:tcPr>
            <w:tcW w:w="599"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China</w:t>
            </w:r>
          </w:p>
        </w:tc>
        <w:tc>
          <w:tcPr>
            <w:tcW w:w="48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30,000</w:t>
            </w:r>
          </w:p>
        </w:tc>
        <w:tc>
          <w:tcPr>
            <w:tcW w:w="54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2,100</w:t>
            </w:r>
          </w:p>
        </w:tc>
        <w:tc>
          <w:tcPr>
            <w:tcW w:w="532"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center"/>
              <w:rPr>
                <w:rFonts w:eastAsia="SimSun"/>
                <w:bCs/>
                <w:sz w:val="20"/>
                <w:szCs w:val="20"/>
                <w:lang w:val="en-US"/>
              </w:rPr>
            </w:pPr>
            <w:r w:rsidRPr="001E6BFB">
              <w:rPr>
                <w:rFonts w:eastAsia="SimSun"/>
                <w:bCs/>
                <w:sz w:val="20"/>
                <w:szCs w:val="20"/>
                <w:lang w:val="en-US"/>
              </w:rPr>
              <w:t>1 year</w:t>
            </w:r>
          </w:p>
        </w:tc>
        <w:tc>
          <w:tcPr>
            <w:tcW w:w="2221"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 xml:space="preserve">Preparation of technology demonstration project for HFC-23 by-product conversion at Shandong </w:t>
            </w:r>
            <w:proofErr w:type="spellStart"/>
            <w:r w:rsidRPr="001E6BFB">
              <w:rPr>
                <w:rFonts w:eastAsia="SimSun"/>
                <w:sz w:val="20"/>
                <w:szCs w:val="20"/>
                <w:lang w:val="en-US"/>
              </w:rPr>
              <w:t>Dongyue</w:t>
            </w:r>
            <w:proofErr w:type="spellEnd"/>
            <w:r w:rsidRPr="001E6BFB">
              <w:rPr>
                <w:rFonts w:eastAsia="SimSun"/>
                <w:sz w:val="20"/>
                <w:szCs w:val="20"/>
                <w:lang w:val="en-US"/>
              </w:rPr>
              <w:t xml:space="preserve"> Chemical Co. Ltd.</w:t>
            </w:r>
          </w:p>
        </w:tc>
        <w:tc>
          <w:tcPr>
            <w:tcW w:w="620"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fldChar w:fldCharType="begin"/>
            </w:r>
            <w:r w:rsidRPr="001E6BFB">
              <w:rPr>
                <w:rFonts w:eastAsia="SimSun"/>
                <w:sz w:val="20"/>
                <w:szCs w:val="20"/>
                <w:lang w:val="en-US"/>
              </w:rPr>
              <w:instrText xml:space="preserve"> REF _Ref493234994 \h  \* MERGEFORMAT </w:instrText>
            </w:r>
            <w:r w:rsidRPr="001E6BFB">
              <w:rPr>
                <w:rFonts w:eastAsia="SimSun"/>
                <w:sz w:val="20"/>
                <w:szCs w:val="20"/>
                <w:lang w:val="en-US"/>
              </w:rPr>
            </w:r>
            <w:r w:rsidRPr="001E6BFB">
              <w:rPr>
                <w:rFonts w:eastAsia="SimSun"/>
                <w:sz w:val="20"/>
                <w:szCs w:val="20"/>
                <w:lang w:val="en-US"/>
              </w:rPr>
              <w:fldChar w:fldCharType="separate"/>
            </w:r>
            <w:r w:rsidR="00AB7308" w:rsidRPr="00AB7308">
              <w:rPr>
                <w:rFonts w:eastAsia="SimSun"/>
                <w:sz w:val="20"/>
                <w:szCs w:val="20"/>
                <w:lang w:val="en-US"/>
              </w:rPr>
              <w:t>Annex 1</w:t>
            </w:r>
            <w:r w:rsidRPr="001E6BFB">
              <w:rPr>
                <w:rFonts w:eastAsia="SimSun"/>
                <w:sz w:val="20"/>
                <w:szCs w:val="20"/>
                <w:lang w:val="en-US"/>
              </w:rPr>
              <w:fldChar w:fldCharType="end"/>
            </w:r>
          </w:p>
        </w:tc>
      </w:tr>
      <w:tr w:rsidR="001E6BFB" w:rsidRPr="001E6BFB" w:rsidTr="001E6BFB">
        <w:trPr>
          <w:trHeight w:val="20"/>
        </w:trPr>
        <w:tc>
          <w:tcPr>
            <w:tcW w:w="599"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Malaysia</w:t>
            </w:r>
          </w:p>
        </w:tc>
        <w:tc>
          <w:tcPr>
            <w:tcW w:w="48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250,000</w:t>
            </w:r>
          </w:p>
        </w:tc>
        <w:tc>
          <w:tcPr>
            <w:tcW w:w="54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bCs/>
                <w:sz w:val="20"/>
                <w:szCs w:val="20"/>
                <w:lang w:val="en-US"/>
              </w:rPr>
            </w:pPr>
            <w:r w:rsidRPr="001E6BFB">
              <w:rPr>
                <w:rFonts w:eastAsia="SimSun"/>
                <w:sz w:val="20"/>
                <w:szCs w:val="20"/>
                <w:lang w:val="en-US"/>
              </w:rPr>
              <w:t>17,500</w:t>
            </w:r>
          </w:p>
        </w:tc>
        <w:tc>
          <w:tcPr>
            <w:tcW w:w="532"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center"/>
              <w:rPr>
                <w:rFonts w:eastAsia="SimSun"/>
                <w:bCs/>
                <w:sz w:val="20"/>
                <w:szCs w:val="20"/>
                <w:lang w:val="en-US"/>
              </w:rPr>
            </w:pPr>
            <w:r w:rsidRPr="001E6BFB">
              <w:rPr>
                <w:rFonts w:eastAsia="SimSun"/>
                <w:bCs/>
                <w:sz w:val="20"/>
                <w:szCs w:val="20"/>
                <w:lang w:val="en-US"/>
              </w:rPr>
              <w:t>1.5 years</w:t>
            </w:r>
          </w:p>
        </w:tc>
        <w:tc>
          <w:tcPr>
            <w:tcW w:w="2221"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Enabling activities for HFC phase-down</w:t>
            </w:r>
          </w:p>
        </w:tc>
        <w:tc>
          <w:tcPr>
            <w:tcW w:w="620"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fldChar w:fldCharType="begin"/>
            </w:r>
            <w:r w:rsidRPr="001E6BFB">
              <w:rPr>
                <w:rFonts w:eastAsia="SimSun"/>
                <w:sz w:val="20"/>
                <w:szCs w:val="20"/>
                <w:lang w:val="en-US"/>
              </w:rPr>
              <w:instrText xml:space="preserve"> REF _Ref493249044 \h  \* MERGEFORMAT </w:instrText>
            </w:r>
            <w:r w:rsidRPr="001E6BFB">
              <w:rPr>
                <w:rFonts w:eastAsia="SimSun"/>
                <w:sz w:val="20"/>
                <w:szCs w:val="20"/>
                <w:lang w:val="en-US"/>
              </w:rPr>
            </w:r>
            <w:r w:rsidRPr="001E6BFB">
              <w:rPr>
                <w:rFonts w:eastAsia="SimSun"/>
                <w:sz w:val="20"/>
                <w:szCs w:val="20"/>
                <w:lang w:val="en-US"/>
              </w:rPr>
              <w:fldChar w:fldCharType="separate"/>
            </w:r>
            <w:r w:rsidR="00AB7308" w:rsidRPr="00AB7308">
              <w:rPr>
                <w:rFonts w:eastAsia="SimSun"/>
                <w:sz w:val="20"/>
                <w:szCs w:val="20"/>
                <w:lang w:val="en-US"/>
              </w:rPr>
              <w:t>Annex 2</w:t>
            </w:r>
            <w:r w:rsidRPr="001E6BFB">
              <w:rPr>
                <w:rFonts w:eastAsia="SimSun"/>
                <w:sz w:val="20"/>
                <w:szCs w:val="20"/>
                <w:lang w:val="en-US"/>
              </w:rPr>
              <w:fldChar w:fldCharType="end"/>
            </w:r>
          </w:p>
        </w:tc>
      </w:tr>
      <w:tr w:rsidR="001E6BFB" w:rsidRPr="001E6BFB" w:rsidTr="001E6BFB">
        <w:trPr>
          <w:trHeight w:val="20"/>
        </w:trPr>
        <w:tc>
          <w:tcPr>
            <w:tcW w:w="599"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Philippines</w:t>
            </w:r>
          </w:p>
        </w:tc>
        <w:tc>
          <w:tcPr>
            <w:tcW w:w="48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250,000</w:t>
            </w:r>
          </w:p>
        </w:tc>
        <w:tc>
          <w:tcPr>
            <w:tcW w:w="54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17,500</w:t>
            </w:r>
          </w:p>
        </w:tc>
        <w:tc>
          <w:tcPr>
            <w:tcW w:w="532"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center"/>
              <w:rPr>
                <w:rFonts w:eastAsia="SimSun"/>
                <w:bCs/>
                <w:sz w:val="20"/>
                <w:szCs w:val="20"/>
                <w:lang w:val="en-US"/>
              </w:rPr>
            </w:pPr>
            <w:r w:rsidRPr="001E6BFB">
              <w:rPr>
                <w:rFonts w:eastAsia="SimSun"/>
                <w:bCs/>
                <w:sz w:val="20"/>
                <w:szCs w:val="20"/>
                <w:lang w:val="en-US"/>
              </w:rPr>
              <w:t>1.5 years</w:t>
            </w:r>
          </w:p>
        </w:tc>
        <w:tc>
          <w:tcPr>
            <w:tcW w:w="2221"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Enabling activities for HFC phase-down</w:t>
            </w:r>
          </w:p>
        </w:tc>
        <w:tc>
          <w:tcPr>
            <w:tcW w:w="620"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fldChar w:fldCharType="begin"/>
            </w:r>
            <w:r w:rsidRPr="001E6BFB">
              <w:rPr>
                <w:rFonts w:eastAsia="SimSun"/>
                <w:sz w:val="20"/>
                <w:szCs w:val="20"/>
                <w:lang w:val="en-US"/>
              </w:rPr>
              <w:instrText xml:space="preserve"> REF _Ref493249057 \h  \* MERGEFORMAT </w:instrText>
            </w:r>
            <w:r w:rsidRPr="001E6BFB">
              <w:rPr>
                <w:rFonts w:eastAsia="SimSun"/>
                <w:sz w:val="20"/>
                <w:szCs w:val="20"/>
                <w:lang w:val="en-US"/>
              </w:rPr>
            </w:r>
            <w:r w:rsidRPr="001E6BFB">
              <w:rPr>
                <w:rFonts w:eastAsia="SimSun"/>
                <w:sz w:val="20"/>
                <w:szCs w:val="20"/>
                <w:lang w:val="en-US"/>
              </w:rPr>
              <w:fldChar w:fldCharType="separate"/>
            </w:r>
            <w:r w:rsidR="00AB7308" w:rsidRPr="00AB7308">
              <w:rPr>
                <w:rFonts w:eastAsia="SimSun"/>
                <w:sz w:val="20"/>
                <w:szCs w:val="20"/>
                <w:lang w:val="en-US"/>
              </w:rPr>
              <w:t>Annex 3</w:t>
            </w:r>
            <w:r w:rsidRPr="001E6BFB">
              <w:rPr>
                <w:rFonts w:eastAsia="SimSun"/>
                <w:sz w:val="20"/>
                <w:szCs w:val="20"/>
                <w:lang w:val="en-US"/>
              </w:rPr>
              <w:fldChar w:fldCharType="end"/>
            </w:r>
          </w:p>
        </w:tc>
      </w:tr>
      <w:tr w:rsidR="001E6BFB" w:rsidRPr="001E6BFB" w:rsidTr="001E6BFB">
        <w:trPr>
          <w:trHeight w:val="20"/>
        </w:trPr>
        <w:tc>
          <w:tcPr>
            <w:tcW w:w="599"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Thailand</w:t>
            </w:r>
          </w:p>
        </w:tc>
        <w:tc>
          <w:tcPr>
            <w:tcW w:w="484"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250,000</w:t>
            </w:r>
          </w:p>
        </w:tc>
        <w:tc>
          <w:tcPr>
            <w:tcW w:w="544"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right"/>
              <w:rPr>
                <w:rFonts w:eastAsia="SimSun"/>
                <w:bCs/>
                <w:sz w:val="20"/>
                <w:szCs w:val="20"/>
                <w:lang w:val="en-US"/>
              </w:rPr>
            </w:pPr>
            <w:r w:rsidRPr="001E6BFB">
              <w:rPr>
                <w:rFonts w:eastAsia="SimSun"/>
                <w:sz w:val="20"/>
                <w:szCs w:val="20"/>
                <w:lang w:val="en-US"/>
              </w:rPr>
              <w:t>17,500</w:t>
            </w:r>
          </w:p>
        </w:tc>
        <w:tc>
          <w:tcPr>
            <w:tcW w:w="532"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center"/>
              <w:rPr>
                <w:rFonts w:eastAsia="SimSun"/>
                <w:b/>
                <w:sz w:val="20"/>
                <w:szCs w:val="20"/>
                <w:lang w:val="en-US"/>
              </w:rPr>
            </w:pPr>
            <w:r w:rsidRPr="001E6BFB">
              <w:rPr>
                <w:rFonts w:eastAsia="SimSun"/>
                <w:bCs/>
                <w:sz w:val="20"/>
                <w:szCs w:val="20"/>
                <w:lang w:val="en-US"/>
              </w:rPr>
              <w:t>1.5 years</w:t>
            </w:r>
          </w:p>
        </w:tc>
        <w:tc>
          <w:tcPr>
            <w:tcW w:w="2221"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Enabling activities for HFC phase-down</w:t>
            </w:r>
          </w:p>
        </w:tc>
        <w:tc>
          <w:tcPr>
            <w:tcW w:w="620"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fldChar w:fldCharType="begin"/>
            </w:r>
            <w:r w:rsidRPr="001E6BFB">
              <w:rPr>
                <w:rFonts w:eastAsia="SimSun"/>
                <w:sz w:val="20"/>
                <w:szCs w:val="20"/>
                <w:lang w:val="en-US"/>
              </w:rPr>
              <w:instrText xml:space="preserve"> REF _Ref493520288 \h  \* MERGEFORMAT </w:instrText>
            </w:r>
            <w:r w:rsidRPr="001E6BFB">
              <w:rPr>
                <w:rFonts w:eastAsia="SimSun"/>
                <w:sz w:val="20"/>
                <w:szCs w:val="20"/>
                <w:lang w:val="en-US"/>
              </w:rPr>
            </w:r>
            <w:r w:rsidRPr="001E6BFB">
              <w:rPr>
                <w:rFonts w:eastAsia="SimSun"/>
                <w:sz w:val="20"/>
                <w:szCs w:val="20"/>
                <w:lang w:val="en-US"/>
              </w:rPr>
              <w:fldChar w:fldCharType="separate"/>
            </w:r>
            <w:r w:rsidR="00AB7308" w:rsidRPr="00AB7308">
              <w:rPr>
                <w:rFonts w:eastAsia="SimSun"/>
                <w:sz w:val="20"/>
                <w:szCs w:val="20"/>
                <w:lang w:val="en-US"/>
              </w:rPr>
              <w:t>Annex 4</w:t>
            </w:r>
            <w:r w:rsidRPr="001E6BFB">
              <w:rPr>
                <w:rFonts w:eastAsia="SimSun"/>
                <w:sz w:val="20"/>
                <w:szCs w:val="20"/>
                <w:lang w:val="en-US"/>
              </w:rPr>
              <w:fldChar w:fldCharType="end"/>
            </w:r>
          </w:p>
        </w:tc>
      </w:tr>
      <w:tr w:rsidR="001E6BFB" w:rsidRPr="001E6BFB" w:rsidTr="001E6BFB">
        <w:trPr>
          <w:trHeight w:val="20"/>
        </w:trPr>
        <w:tc>
          <w:tcPr>
            <w:tcW w:w="599"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Thailand</w:t>
            </w:r>
          </w:p>
        </w:tc>
        <w:tc>
          <w:tcPr>
            <w:tcW w:w="48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40,000</w:t>
            </w:r>
          </w:p>
        </w:tc>
        <w:tc>
          <w:tcPr>
            <w:tcW w:w="54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2,800</w:t>
            </w:r>
          </w:p>
        </w:tc>
        <w:tc>
          <w:tcPr>
            <w:tcW w:w="532"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center"/>
              <w:rPr>
                <w:rFonts w:eastAsia="SimSun"/>
                <w:bCs/>
                <w:sz w:val="20"/>
                <w:szCs w:val="20"/>
                <w:lang w:val="en-US"/>
              </w:rPr>
            </w:pPr>
            <w:r w:rsidRPr="001E6BFB">
              <w:rPr>
                <w:rFonts w:eastAsia="SimSun"/>
                <w:bCs/>
                <w:sz w:val="20"/>
                <w:szCs w:val="20"/>
                <w:lang w:val="en-US"/>
              </w:rPr>
              <w:t>1 year</w:t>
            </w:r>
          </w:p>
        </w:tc>
        <w:tc>
          <w:tcPr>
            <w:tcW w:w="2221"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 xml:space="preserve">Project preparation for conversion from HFC to HFO-based or other low-GWP alternatives in the production of commercial refrigeration equipment at </w:t>
            </w:r>
            <w:proofErr w:type="spellStart"/>
            <w:r w:rsidRPr="001E6BFB">
              <w:rPr>
                <w:rFonts w:eastAsia="SimSun"/>
                <w:sz w:val="20"/>
                <w:szCs w:val="20"/>
                <w:lang w:val="en-US"/>
              </w:rPr>
              <w:t>Pattana</w:t>
            </w:r>
            <w:proofErr w:type="spellEnd"/>
            <w:r w:rsidRPr="001E6BFB">
              <w:rPr>
                <w:rFonts w:eastAsia="SimSun"/>
                <w:sz w:val="20"/>
                <w:szCs w:val="20"/>
                <w:lang w:val="en-US"/>
              </w:rPr>
              <w:t xml:space="preserve"> Intercool and System Forms Co., Ltd.</w:t>
            </w:r>
          </w:p>
        </w:tc>
        <w:tc>
          <w:tcPr>
            <w:tcW w:w="620"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r w:rsidRPr="001E6BFB">
              <w:rPr>
                <w:rFonts w:eastAsia="SimSun"/>
                <w:sz w:val="20"/>
                <w:szCs w:val="20"/>
                <w:lang w:val="en-US"/>
              </w:rPr>
              <w:fldChar w:fldCharType="begin"/>
            </w:r>
            <w:r w:rsidRPr="001E6BFB">
              <w:rPr>
                <w:rFonts w:eastAsia="SimSun"/>
                <w:sz w:val="20"/>
                <w:szCs w:val="20"/>
                <w:lang w:val="en-US"/>
              </w:rPr>
              <w:instrText xml:space="preserve"> REF _Ref493249204 \h  \* MERGEFORMAT </w:instrText>
            </w:r>
            <w:r w:rsidRPr="001E6BFB">
              <w:rPr>
                <w:rFonts w:eastAsia="SimSun"/>
                <w:sz w:val="20"/>
                <w:szCs w:val="20"/>
                <w:lang w:val="en-US"/>
              </w:rPr>
            </w:r>
            <w:r w:rsidRPr="001E6BFB">
              <w:rPr>
                <w:rFonts w:eastAsia="SimSun"/>
                <w:sz w:val="20"/>
                <w:szCs w:val="20"/>
                <w:lang w:val="en-US"/>
              </w:rPr>
              <w:fldChar w:fldCharType="separate"/>
            </w:r>
            <w:r w:rsidR="00AB7308" w:rsidRPr="00AB7308">
              <w:rPr>
                <w:rFonts w:eastAsia="SimSun"/>
                <w:sz w:val="20"/>
                <w:szCs w:val="20"/>
                <w:lang w:val="en-US"/>
              </w:rPr>
              <w:t>Annex 5</w:t>
            </w:r>
            <w:r w:rsidRPr="001E6BFB">
              <w:rPr>
                <w:rFonts w:eastAsia="SimSun"/>
                <w:sz w:val="20"/>
                <w:szCs w:val="20"/>
                <w:lang w:val="en-US"/>
              </w:rPr>
              <w:fldChar w:fldCharType="end"/>
            </w:r>
          </w:p>
        </w:tc>
      </w:tr>
      <w:tr w:rsidR="001E6BFB" w:rsidRPr="001E6BFB" w:rsidTr="001E6BFB">
        <w:trPr>
          <w:trHeight w:val="20"/>
        </w:trPr>
        <w:tc>
          <w:tcPr>
            <w:tcW w:w="599"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Global</w:t>
            </w:r>
          </w:p>
        </w:tc>
        <w:tc>
          <w:tcPr>
            <w:tcW w:w="484"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0</w:t>
            </w:r>
          </w:p>
        </w:tc>
        <w:tc>
          <w:tcPr>
            <w:tcW w:w="544"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right"/>
              <w:rPr>
                <w:rFonts w:eastAsia="SimSun"/>
                <w:bCs/>
                <w:sz w:val="20"/>
                <w:szCs w:val="20"/>
                <w:lang w:val="en-US"/>
              </w:rPr>
            </w:pPr>
            <w:r w:rsidRPr="001E6BFB">
              <w:rPr>
                <w:rFonts w:eastAsia="SimSun"/>
                <w:sz w:val="20"/>
                <w:szCs w:val="20"/>
                <w:lang w:val="en-US"/>
              </w:rPr>
              <w:t>1,735,000</w:t>
            </w:r>
          </w:p>
        </w:tc>
        <w:tc>
          <w:tcPr>
            <w:tcW w:w="532"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center"/>
              <w:rPr>
                <w:rFonts w:eastAsia="SimSun"/>
                <w:b/>
                <w:sz w:val="20"/>
                <w:szCs w:val="20"/>
                <w:lang w:val="en-US"/>
              </w:rPr>
            </w:pPr>
            <w:r w:rsidRPr="001E6BFB">
              <w:rPr>
                <w:rFonts w:eastAsia="SimSun"/>
                <w:bCs/>
                <w:sz w:val="20"/>
                <w:szCs w:val="20"/>
                <w:lang w:val="en-US"/>
              </w:rPr>
              <w:t>1 year</w:t>
            </w:r>
          </w:p>
        </w:tc>
        <w:tc>
          <w:tcPr>
            <w:tcW w:w="2221"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left"/>
              <w:rPr>
                <w:rFonts w:eastAsia="SimSun"/>
                <w:bCs/>
                <w:sz w:val="20"/>
                <w:szCs w:val="20"/>
                <w:lang w:val="en-US"/>
              </w:rPr>
            </w:pPr>
            <w:r w:rsidRPr="001E6BFB">
              <w:rPr>
                <w:rFonts w:eastAsia="SimSun"/>
                <w:bCs/>
                <w:sz w:val="20"/>
                <w:szCs w:val="20"/>
                <w:lang w:val="en-US"/>
              </w:rPr>
              <w:t>Agency Core Unit Costs</w:t>
            </w:r>
          </w:p>
        </w:tc>
        <w:tc>
          <w:tcPr>
            <w:tcW w:w="620"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p>
        </w:tc>
      </w:tr>
      <w:tr w:rsidR="001E6BFB" w:rsidRPr="001E6BFB" w:rsidTr="001E6BFB">
        <w:trPr>
          <w:trHeight w:val="20"/>
        </w:trPr>
        <w:tc>
          <w:tcPr>
            <w:tcW w:w="599" w:type="pct"/>
            <w:tcBorders>
              <w:top w:val="single" w:sz="6" w:space="0" w:color="auto"/>
              <w:left w:val="single" w:sz="6" w:space="0" w:color="auto"/>
              <w:bottom w:val="single" w:sz="6" w:space="0" w:color="auto"/>
              <w:right w:val="single" w:sz="6" w:space="0" w:color="auto"/>
            </w:tcBorders>
            <w:hideMark/>
          </w:tcPr>
          <w:p w:rsidR="001E6BFB" w:rsidRPr="001E6BFB" w:rsidRDefault="001E6BFB" w:rsidP="001E6BFB">
            <w:pPr>
              <w:keepNext/>
              <w:jc w:val="left"/>
              <w:rPr>
                <w:rFonts w:eastAsia="SimSun"/>
                <w:b/>
                <w:sz w:val="20"/>
                <w:szCs w:val="20"/>
                <w:lang w:val="en-US"/>
              </w:rPr>
            </w:pPr>
            <w:r w:rsidRPr="001E6BFB">
              <w:rPr>
                <w:rFonts w:eastAsia="SimSun"/>
                <w:b/>
                <w:sz w:val="20"/>
                <w:szCs w:val="20"/>
                <w:lang w:val="en-US"/>
              </w:rPr>
              <w:t>Total</w:t>
            </w:r>
          </w:p>
        </w:tc>
        <w:tc>
          <w:tcPr>
            <w:tcW w:w="48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b/>
                <w:sz w:val="20"/>
                <w:szCs w:val="20"/>
                <w:lang w:val="en-US"/>
              </w:rPr>
            </w:pPr>
            <w:r w:rsidRPr="001E6BFB">
              <w:rPr>
                <w:rFonts w:eastAsia="SimSun"/>
                <w:b/>
                <w:sz w:val="20"/>
                <w:szCs w:val="20"/>
                <w:lang w:val="en-US"/>
              </w:rPr>
              <w:fldChar w:fldCharType="begin"/>
            </w:r>
            <w:r w:rsidRPr="001E6BFB">
              <w:rPr>
                <w:rFonts w:eastAsia="SimSun"/>
                <w:b/>
                <w:sz w:val="20"/>
                <w:szCs w:val="20"/>
                <w:lang w:val="en-US"/>
              </w:rPr>
              <w:instrText xml:space="preserve"> =SUM(ABOVE) </w:instrText>
            </w:r>
            <w:r w:rsidRPr="001E6BFB">
              <w:rPr>
                <w:rFonts w:eastAsia="SimSun"/>
                <w:b/>
                <w:sz w:val="20"/>
                <w:szCs w:val="20"/>
                <w:lang w:val="en-US"/>
              </w:rPr>
              <w:fldChar w:fldCharType="separate"/>
            </w:r>
            <w:r w:rsidRPr="001E6BFB">
              <w:rPr>
                <w:rFonts w:eastAsia="SimSun"/>
                <w:b/>
                <w:noProof/>
                <w:sz w:val="20"/>
                <w:szCs w:val="20"/>
                <w:lang w:val="en-US"/>
              </w:rPr>
              <w:t>820,000</w:t>
            </w:r>
            <w:r w:rsidRPr="001E6BFB">
              <w:rPr>
                <w:rFonts w:eastAsia="SimSun"/>
                <w:b/>
                <w:sz w:val="20"/>
                <w:szCs w:val="20"/>
                <w:lang w:val="en-US"/>
              </w:rPr>
              <w:fldChar w:fldCharType="end"/>
            </w:r>
          </w:p>
        </w:tc>
        <w:tc>
          <w:tcPr>
            <w:tcW w:w="544"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right"/>
              <w:rPr>
                <w:rFonts w:eastAsia="SimSun"/>
                <w:b/>
                <w:sz w:val="20"/>
                <w:szCs w:val="20"/>
                <w:lang w:val="en-US"/>
              </w:rPr>
            </w:pPr>
            <w:r w:rsidRPr="001E6BFB">
              <w:rPr>
                <w:rFonts w:eastAsia="SimSun"/>
                <w:b/>
                <w:sz w:val="20"/>
                <w:szCs w:val="20"/>
                <w:lang w:val="en-US"/>
              </w:rPr>
              <w:fldChar w:fldCharType="begin"/>
            </w:r>
            <w:r w:rsidRPr="001E6BFB">
              <w:rPr>
                <w:rFonts w:eastAsia="SimSun"/>
                <w:b/>
                <w:sz w:val="20"/>
                <w:szCs w:val="20"/>
                <w:lang w:val="en-US"/>
              </w:rPr>
              <w:instrText xml:space="preserve"> =SUM(ABOVE) </w:instrText>
            </w:r>
            <w:r w:rsidRPr="001E6BFB">
              <w:rPr>
                <w:rFonts w:eastAsia="SimSun"/>
                <w:b/>
                <w:sz w:val="20"/>
                <w:szCs w:val="20"/>
                <w:lang w:val="en-US"/>
              </w:rPr>
              <w:fldChar w:fldCharType="separate"/>
            </w:r>
            <w:r w:rsidRPr="001E6BFB">
              <w:rPr>
                <w:rFonts w:eastAsia="SimSun"/>
                <w:b/>
                <w:noProof/>
                <w:sz w:val="20"/>
                <w:szCs w:val="20"/>
                <w:lang w:val="en-US"/>
              </w:rPr>
              <w:t>1,792,400</w:t>
            </w:r>
            <w:r w:rsidRPr="001E6BFB">
              <w:rPr>
                <w:rFonts w:eastAsia="SimSun"/>
                <w:b/>
                <w:sz w:val="20"/>
                <w:szCs w:val="20"/>
                <w:lang w:val="en-US"/>
              </w:rPr>
              <w:fldChar w:fldCharType="end"/>
            </w:r>
          </w:p>
        </w:tc>
        <w:tc>
          <w:tcPr>
            <w:tcW w:w="532"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b/>
                <w:sz w:val="20"/>
                <w:szCs w:val="20"/>
                <w:lang w:val="en-US"/>
              </w:rPr>
            </w:pPr>
          </w:p>
        </w:tc>
        <w:tc>
          <w:tcPr>
            <w:tcW w:w="2221"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caps/>
                <w:sz w:val="20"/>
                <w:szCs w:val="20"/>
                <w:lang w:val="en-US"/>
              </w:rPr>
            </w:pPr>
          </w:p>
        </w:tc>
        <w:tc>
          <w:tcPr>
            <w:tcW w:w="620" w:type="pct"/>
            <w:tcBorders>
              <w:top w:val="single" w:sz="6" w:space="0" w:color="auto"/>
              <w:left w:val="single" w:sz="6" w:space="0" w:color="auto"/>
              <w:bottom w:val="single" w:sz="6" w:space="0" w:color="auto"/>
              <w:right w:val="single" w:sz="6" w:space="0" w:color="auto"/>
            </w:tcBorders>
          </w:tcPr>
          <w:p w:rsidR="001E6BFB" w:rsidRPr="001E6BFB" w:rsidRDefault="001E6BFB" w:rsidP="001E6BFB">
            <w:pPr>
              <w:keepNext/>
              <w:jc w:val="left"/>
              <w:rPr>
                <w:rFonts w:eastAsia="SimSun"/>
                <w:sz w:val="20"/>
                <w:szCs w:val="20"/>
                <w:lang w:val="en-US"/>
              </w:rPr>
            </w:pPr>
          </w:p>
        </w:tc>
      </w:tr>
    </w:tbl>
    <w:p w:rsidR="001E6BFB" w:rsidRPr="001E6BFB" w:rsidRDefault="001E6BFB" w:rsidP="001E6BFB">
      <w:pPr>
        <w:keepNext/>
        <w:jc w:val="center"/>
        <w:rPr>
          <w:rFonts w:eastAsia="SimSun"/>
          <w:i/>
          <w:lang w:val="en-US"/>
        </w:rPr>
      </w:pPr>
    </w:p>
    <w:p w:rsidR="001E6BFB" w:rsidRPr="001E6BFB" w:rsidRDefault="001E6BFB" w:rsidP="001E6BFB">
      <w:pPr>
        <w:keepNext/>
        <w:jc w:val="center"/>
        <w:rPr>
          <w:rFonts w:eastAsia="SimSun"/>
          <w:i/>
          <w:lang w:val="en-US"/>
        </w:rPr>
      </w:pPr>
    </w:p>
    <w:p w:rsidR="001E6BFB" w:rsidRPr="001E6BFB" w:rsidRDefault="001E6BFB" w:rsidP="001E6BFB">
      <w:pPr>
        <w:keepNext/>
        <w:jc w:val="center"/>
        <w:rPr>
          <w:rFonts w:eastAsia="SimSun"/>
          <w:i/>
          <w:lang w:val="en-US"/>
        </w:rPr>
      </w:pPr>
    </w:p>
    <w:p w:rsidR="001E6BFB" w:rsidRPr="001E6BFB" w:rsidRDefault="001E6BFB" w:rsidP="001E6BFB">
      <w:pPr>
        <w:jc w:val="left"/>
        <w:rPr>
          <w:rFonts w:eastAsia="SimSun"/>
          <w:b/>
          <w:bCs/>
          <w:color w:val="000000"/>
          <w:lang w:val="en-US"/>
        </w:rPr>
      </w:pPr>
      <w:bookmarkStart w:id="3" w:name="_Ref398431866"/>
      <w:bookmarkEnd w:id="2"/>
      <w:r w:rsidRPr="001E6BFB">
        <w:rPr>
          <w:rFonts w:eastAsia="SimSun"/>
          <w:color w:val="000000"/>
          <w:lang w:val="en-US"/>
        </w:rPr>
        <w:br w:type="page"/>
      </w:r>
    </w:p>
    <w:p w:rsidR="001E6BFB" w:rsidRPr="001E6BFB" w:rsidRDefault="001E6BFB" w:rsidP="001E6BFB">
      <w:pPr>
        <w:spacing w:after="200"/>
        <w:jc w:val="left"/>
        <w:rPr>
          <w:rFonts w:eastAsia="SimSun"/>
          <w:b/>
          <w:bCs/>
          <w:color w:val="000000"/>
          <w:lang w:val="en-US"/>
        </w:rPr>
      </w:pPr>
      <w:bookmarkStart w:id="4" w:name="_Ref493234994"/>
      <w:r w:rsidRPr="001E6BFB">
        <w:rPr>
          <w:rFonts w:eastAsia="SimSun"/>
          <w:b/>
          <w:bCs/>
          <w:color w:val="000000"/>
          <w:lang w:val="en-US"/>
        </w:rPr>
        <w:lastRenderedPageBreak/>
        <w:t xml:space="preserve">Annex </w:t>
      </w:r>
      <w:r w:rsidRPr="001E6BFB">
        <w:rPr>
          <w:rFonts w:eastAsia="SimSun"/>
          <w:b/>
          <w:bCs/>
          <w:color w:val="000000"/>
          <w:lang w:val="en-US"/>
        </w:rPr>
        <w:fldChar w:fldCharType="begin"/>
      </w:r>
      <w:r w:rsidRPr="001E6BFB">
        <w:rPr>
          <w:rFonts w:eastAsia="SimSun"/>
          <w:b/>
          <w:bCs/>
          <w:color w:val="000000"/>
          <w:lang w:val="en-US"/>
        </w:rPr>
        <w:instrText xml:space="preserve"> SEQ Annex \* ARABIC </w:instrText>
      </w:r>
      <w:r w:rsidRPr="001E6BFB">
        <w:rPr>
          <w:rFonts w:eastAsia="SimSun"/>
          <w:b/>
          <w:bCs/>
          <w:color w:val="000000"/>
          <w:lang w:val="en-US"/>
        </w:rPr>
        <w:fldChar w:fldCharType="separate"/>
      </w:r>
      <w:r w:rsidR="00AB7308">
        <w:rPr>
          <w:rFonts w:eastAsia="SimSun"/>
          <w:b/>
          <w:bCs/>
          <w:noProof/>
          <w:color w:val="000000"/>
          <w:lang w:val="en-US"/>
        </w:rPr>
        <w:t>1</w:t>
      </w:r>
      <w:r w:rsidRPr="001E6BFB">
        <w:rPr>
          <w:rFonts w:eastAsia="SimSun"/>
          <w:b/>
          <w:bCs/>
          <w:color w:val="000000"/>
          <w:lang w:val="en-US"/>
        </w:rPr>
        <w:fldChar w:fldCharType="end"/>
      </w:r>
      <w:bookmarkEnd w:id="4"/>
      <w:r w:rsidRPr="001E6BFB">
        <w:rPr>
          <w:rFonts w:eastAsia="SimSun"/>
          <w:b/>
          <w:bCs/>
          <w:color w:val="000000"/>
          <w:lang w:val="en-US"/>
        </w:rPr>
        <w:t>:</w:t>
      </w:r>
      <w:bookmarkEnd w:id="3"/>
      <w:r w:rsidRPr="001E6BFB">
        <w:rPr>
          <w:rFonts w:eastAsia="SimSun"/>
          <w:b/>
          <w:bCs/>
          <w:color w:val="000000"/>
          <w:lang w:val="en-US"/>
        </w:rPr>
        <w:t xml:space="preserve"> Request for project preparation for feasible technology demonstration of HFC-23 by-product conversion technologies at Shandong </w:t>
      </w:r>
      <w:proofErr w:type="spellStart"/>
      <w:r w:rsidRPr="001E6BFB">
        <w:rPr>
          <w:rFonts w:eastAsia="SimSun"/>
          <w:b/>
          <w:bCs/>
          <w:color w:val="000000"/>
          <w:lang w:val="en-US"/>
        </w:rPr>
        <w:t>Dongyue</w:t>
      </w:r>
      <w:proofErr w:type="spellEnd"/>
      <w:r w:rsidRPr="001E6BFB">
        <w:rPr>
          <w:rFonts w:eastAsia="SimSun"/>
          <w:b/>
          <w:bCs/>
          <w:color w:val="000000"/>
          <w:lang w:val="en-US"/>
        </w:rPr>
        <w:t xml:space="preserve"> </w:t>
      </w:r>
      <w:proofErr w:type="spellStart"/>
      <w:r w:rsidRPr="001E6BFB">
        <w:rPr>
          <w:rFonts w:eastAsia="SimSun"/>
          <w:b/>
          <w:bCs/>
          <w:color w:val="000000"/>
          <w:lang w:val="en-US"/>
        </w:rPr>
        <w:t>Chemcial</w:t>
      </w:r>
      <w:proofErr w:type="spellEnd"/>
      <w:r w:rsidRPr="001E6BFB">
        <w:rPr>
          <w:rFonts w:eastAsia="SimSun"/>
          <w:b/>
          <w:bCs/>
          <w:color w:val="000000"/>
          <w:lang w:val="en-US"/>
        </w:rPr>
        <w:t xml:space="preserve"> Co. Ltd for China</w:t>
      </w:r>
    </w:p>
    <w:p w:rsidR="001E6BFB" w:rsidRPr="001E6BFB" w:rsidRDefault="001E6BFB" w:rsidP="001E6BFB">
      <w:pPr>
        <w:numPr>
          <w:ilvl w:val="0"/>
          <w:numId w:val="33"/>
        </w:numPr>
        <w:spacing w:after="120"/>
        <w:ind w:left="0" w:firstLine="0"/>
        <w:jc w:val="left"/>
        <w:rPr>
          <w:lang w:bidi="th-TH"/>
        </w:rPr>
      </w:pPr>
      <w:r w:rsidRPr="001E6BFB">
        <w:t xml:space="preserve">The Government of China has requested the Bank to prepare a technology demonstration of HFC-23 by-product conversion technology at Shandong </w:t>
      </w:r>
      <w:proofErr w:type="spellStart"/>
      <w:r w:rsidRPr="001E6BFB">
        <w:t>Dongyue</w:t>
      </w:r>
      <w:proofErr w:type="spellEnd"/>
      <w:r w:rsidRPr="001E6BFB">
        <w:t xml:space="preserve"> Chemical Co. Ltd. which is one of the largest HCFC-22 producers in China. This request is in response to Decision 79/47 inviting implementing agencies to submit to the 81</w:t>
      </w:r>
      <w:r w:rsidRPr="001E6BFB">
        <w:rPr>
          <w:vertAlign w:val="superscript"/>
        </w:rPr>
        <w:t>st</w:t>
      </w:r>
      <w:r w:rsidRPr="001E6BFB">
        <w:t xml:space="preserve"> meeting proposals for feasible technology demonstration for HFC-23 by-product mitigation or conversion technologies with the potential for cost-effective, environmentally sustainable conversion of HFC-23.</w:t>
      </w:r>
    </w:p>
    <w:p w:rsidR="001E6BFB" w:rsidRPr="001E6BFB" w:rsidRDefault="001E6BFB" w:rsidP="001E6BFB">
      <w:pPr>
        <w:numPr>
          <w:ilvl w:val="0"/>
          <w:numId w:val="33"/>
        </w:numPr>
        <w:spacing w:after="120"/>
        <w:ind w:left="0" w:firstLine="0"/>
        <w:jc w:val="left"/>
      </w:pPr>
      <w:r w:rsidRPr="001E6BFB">
        <w:t>Preparation activities will include technical assessment as well as financial analyses of various HFC-23 conversion technologies in comparison to HFC-23 destruction and by-product mitigation. The assessment will include review and evaluation of technical feasibility of various HFC-23 conversion technologies, determination of the capital cost of investment and recurrent costs (i.e., operating costs) of each option, and price and market for converted chemicals. Comparison of these costs for various technologies will be made in order to identify the most cost-effective option for the Multilateral Fund while taking into account specific needs of the enterprise.  </w:t>
      </w:r>
    </w:p>
    <w:p w:rsidR="001E6BFB" w:rsidRPr="001E6BFB" w:rsidRDefault="001E6BFB" w:rsidP="001E6BFB">
      <w:pPr>
        <w:numPr>
          <w:ilvl w:val="0"/>
          <w:numId w:val="33"/>
        </w:numPr>
        <w:spacing w:after="120"/>
        <w:ind w:left="0" w:firstLine="0"/>
        <w:jc w:val="left"/>
      </w:pPr>
      <w:r w:rsidRPr="001E6BFB">
        <w:t>The Bank is requesting $30,000 to prepare project proposal for submission to the 81</w:t>
      </w:r>
      <w:r w:rsidRPr="001E6BFB">
        <w:rPr>
          <w:vertAlign w:val="superscript"/>
        </w:rPr>
        <w:t>st</w:t>
      </w:r>
      <w:r w:rsidRPr="001E6BFB">
        <w:t xml:space="preserve"> ExCom meeting. At the time of project submission to the 81</w:t>
      </w:r>
      <w:r w:rsidRPr="001E6BFB">
        <w:rPr>
          <w:vertAlign w:val="superscript"/>
        </w:rPr>
        <w:t>st</w:t>
      </w:r>
      <w:r w:rsidRPr="001E6BFB">
        <w:t xml:space="preserve"> ExCom, the proposal will identify the selected HFC-23 conversion technology and provide information on the set up of the facility, costs, and HFC-23 conversion capacity. </w:t>
      </w:r>
    </w:p>
    <w:p w:rsidR="001E6BFB" w:rsidRPr="001E6BFB" w:rsidRDefault="001E6BFB" w:rsidP="001E6BFB">
      <w:pPr>
        <w:numPr>
          <w:ilvl w:val="0"/>
          <w:numId w:val="33"/>
        </w:numPr>
        <w:spacing w:after="120"/>
        <w:ind w:left="0" w:firstLine="0"/>
        <w:jc w:val="left"/>
      </w:pPr>
      <w:r w:rsidRPr="001E6BFB">
        <w:t>The estimated breakdown of preparation cost is shown in table below.</w:t>
      </w:r>
    </w:p>
    <w:p w:rsidR="001E6BFB" w:rsidRPr="001E6BFB" w:rsidRDefault="001E6BFB" w:rsidP="001E6BFB">
      <w:pPr>
        <w:spacing w:after="120"/>
      </w:pP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350"/>
      </w:tblGrid>
      <w:tr w:rsidR="001E6BFB" w:rsidRPr="001E6BFB" w:rsidTr="001E6BFB">
        <w:trPr>
          <w:trHeight w:val="20"/>
          <w:tblHeader/>
        </w:trPr>
        <w:tc>
          <w:tcPr>
            <w:tcW w:w="0" w:type="auto"/>
            <w:shd w:val="clear" w:color="auto" w:fill="auto"/>
            <w:vAlign w:val="bottom"/>
          </w:tcPr>
          <w:p w:rsidR="001E6BFB" w:rsidRPr="001E6BFB" w:rsidRDefault="001E6BFB" w:rsidP="001E6BFB">
            <w:pPr>
              <w:keepNext/>
              <w:jc w:val="center"/>
              <w:rPr>
                <w:b/>
                <w:bCs/>
                <w:color w:val="000000"/>
                <w:sz w:val="20"/>
                <w:szCs w:val="20"/>
                <w:lang w:val="en-US"/>
              </w:rPr>
            </w:pPr>
            <w:r w:rsidRPr="001E6BFB">
              <w:rPr>
                <w:b/>
                <w:bCs/>
                <w:color w:val="000000"/>
                <w:sz w:val="20"/>
                <w:szCs w:val="20"/>
                <w:lang w:val="en-US"/>
              </w:rPr>
              <w:t>ACTIVITIES</w:t>
            </w:r>
          </w:p>
        </w:tc>
        <w:tc>
          <w:tcPr>
            <w:tcW w:w="0" w:type="auto"/>
            <w:shd w:val="clear" w:color="auto" w:fill="auto"/>
            <w:noWrap/>
            <w:vAlign w:val="bottom"/>
          </w:tcPr>
          <w:p w:rsidR="001E6BFB" w:rsidRPr="001E6BFB" w:rsidRDefault="001E6BFB" w:rsidP="001E6BFB">
            <w:pPr>
              <w:keepNext/>
              <w:jc w:val="center"/>
              <w:rPr>
                <w:b/>
                <w:bCs/>
                <w:color w:val="000000"/>
                <w:sz w:val="20"/>
                <w:szCs w:val="20"/>
                <w:lang w:val="en-US"/>
              </w:rPr>
            </w:pPr>
            <w:r w:rsidRPr="001E6BFB">
              <w:rPr>
                <w:b/>
                <w:bCs/>
                <w:color w:val="000000"/>
                <w:sz w:val="20"/>
                <w:szCs w:val="20"/>
                <w:lang w:val="en-US"/>
              </w:rPr>
              <w:t>COST (US $)</w:t>
            </w:r>
          </w:p>
        </w:tc>
      </w:tr>
      <w:tr w:rsidR="001E6BFB" w:rsidRPr="001E6BFB" w:rsidTr="001E6BFB">
        <w:trPr>
          <w:trHeight w:val="20"/>
        </w:trPr>
        <w:tc>
          <w:tcPr>
            <w:tcW w:w="0" w:type="auto"/>
            <w:shd w:val="clear" w:color="auto" w:fill="auto"/>
            <w:noWrap/>
            <w:hideMark/>
          </w:tcPr>
          <w:p w:rsidR="001E6BFB" w:rsidRPr="001E6BFB" w:rsidRDefault="001E6BFB" w:rsidP="001E6BFB">
            <w:pPr>
              <w:keepNext/>
              <w:jc w:val="left"/>
              <w:rPr>
                <w:color w:val="000000"/>
                <w:sz w:val="20"/>
                <w:szCs w:val="20"/>
                <w:lang w:val="en-US"/>
              </w:rPr>
            </w:pPr>
            <w:r w:rsidRPr="001E6BFB">
              <w:rPr>
                <w:rFonts w:eastAsia="SimSun"/>
                <w:sz w:val="20"/>
                <w:szCs w:val="20"/>
                <w:lang w:val="en-US"/>
              </w:rPr>
              <w:t xml:space="preserve">International Expert </w:t>
            </w:r>
          </w:p>
        </w:tc>
        <w:tc>
          <w:tcPr>
            <w:tcW w:w="0" w:type="auto"/>
            <w:shd w:val="clear" w:color="auto" w:fill="auto"/>
            <w:noWrap/>
            <w:hideMark/>
          </w:tcPr>
          <w:p w:rsidR="001E6BFB" w:rsidRPr="001E6BFB" w:rsidRDefault="001E6BFB" w:rsidP="001E6BFB">
            <w:pPr>
              <w:keepNext/>
              <w:jc w:val="right"/>
              <w:rPr>
                <w:color w:val="000000"/>
                <w:sz w:val="20"/>
                <w:szCs w:val="20"/>
                <w:lang w:val="en-US"/>
              </w:rPr>
            </w:pPr>
            <w:r w:rsidRPr="001E6BFB">
              <w:rPr>
                <w:rFonts w:eastAsia="SimSun"/>
                <w:sz w:val="20"/>
                <w:szCs w:val="20"/>
                <w:lang w:val="en-US"/>
              </w:rPr>
              <w:t xml:space="preserve">$20,000 </w:t>
            </w:r>
          </w:p>
        </w:tc>
      </w:tr>
      <w:tr w:rsidR="001E6BFB" w:rsidRPr="001E6BFB" w:rsidTr="001E6BFB">
        <w:trPr>
          <w:trHeight w:val="20"/>
        </w:trPr>
        <w:tc>
          <w:tcPr>
            <w:tcW w:w="0" w:type="auto"/>
            <w:shd w:val="clear" w:color="auto" w:fill="auto"/>
            <w:noWrap/>
            <w:hideMark/>
          </w:tcPr>
          <w:p w:rsidR="001E6BFB" w:rsidRPr="001E6BFB" w:rsidRDefault="001E6BFB" w:rsidP="001E6BFB">
            <w:pPr>
              <w:keepNext/>
              <w:jc w:val="left"/>
              <w:rPr>
                <w:color w:val="000000"/>
                <w:sz w:val="20"/>
                <w:szCs w:val="20"/>
                <w:lang w:val="en-US"/>
              </w:rPr>
            </w:pPr>
            <w:r w:rsidRPr="001E6BFB">
              <w:rPr>
                <w:rFonts w:eastAsia="SimSun"/>
                <w:sz w:val="20"/>
                <w:szCs w:val="20"/>
                <w:lang w:val="en-US"/>
              </w:rPr>
              <w:t>International Travel</w:t>
            </w:r>
          </w:p>
        </w:tc>
        <w:tc>
          <w:tcPr>
            <w:tcW w:w="0" w:type="auto"/>
            <w:shd w:val="clear" w:color="auto" w:fill="auto"/>
            <w:noWrap/>
            <w:hideMark/>
          </w:tcPr>
          <w:p w:rsidR="001E6BFB" w:rsidRPr="001E6BFB" w:rsidRDefault="001E6BFB" w:rsidP="001E6BFB">
            <w:pPr>
              <w:keepNext/>
              <w:jc w:val="right"/>
              <w:rPr>
                <w:color w:val="000000"/>
                <w:sz w:val="20"/>
                <w:szCs w:val="20"/>
                <w:lang w:val="en-US"/>
              </w:rPr>
            </w:pPr>
            <w:r w:rsidRPr="001E6BFB">
              <w:rPr>
                <w:rFonts w:eastAsia="SimSun"/>
                <w:sz w:val="20"/>
                <w:szCs w:val="20"/>
                <w:lang w:val="en-US"/>
              </w:rPr>
              <w:t xml:space="preserve">$8,500 </w:t>
            </w:r>
          </w:p>
        </w:tc>
      </w:tr>
      <w:tr w:rsidR="001E6BFB" w:rsidRPr="001E6BFB" w:rsidTr="001E6BFB">
        <w:trPr>
          <w:trHeight w:val="20"/>
        </w:trPr>
        <w:tc>
          <w:tcPr>
            <w:tcW w:w="0" w:type="auto"/>
            <w:shd w:val="clear" w:color="auto" w:fill="auto"/>
            <w:noWrap/>
            <w:hideMark/>
          </w:tcPr>
          <w:p w:rsidR="001E6BFB" w:rsidRPr="001E6BFB" w:rsidRDefault="001E6BFB" w:rsidP="001E6BFB">
            <w:pPr>
              <w:keepNext/>
              <w:jc w:val="left"/>
              <w:rPr>
                <w:color w:val="000000"/>
                <w:sz w:val="20"/>
                <w:szCs w:val="20"/>
                <w:lang w:val="en-US"/>
              </w:rPr>
            </w:pPr>
            <w:r w:rsidRPr="001E6BFB">
              <w:rPr>
                <w:rFonts w:eastAsia="SimSun"/>
                <w:sz w:val="20"/>
                <w:szCs w:val="20"/>
                <w:lang w:val="en-US"/>
              </w:rPr>
              <w:t xml:space="preserve">Domestic Travel </w:t>
            </w:r>
          </w:p>
        </w:tc>
        <w:tc>
          <w:tcPr>
            <w:tcW w:w="0" w:type="auto"/>
            <w:shd w:val="clear" w:color="auto" w:fill="auto"/>
            <w:noWrap/>
            <w:hideMark/>
          </w:tcPr>
          <w:p w:rsidR="001E6BFB" w:rsidRPr="001E6BFB" w:rsidRDefault="001E6BFB" w:rsidP="001E6BFB">
            <w:pPr>
              <w:keepNext/>
              <w:jc w:val="right"/>
              <w:rPr>
                <w:color w:val="000000"/>
                <w:sz w:val="20"/>
                <w:szCs w:val="20"/>
                <w:lang w:val="en-US"/>
              </w:rPr>
            </w:pPr>
            <w:r w:rsidRPr="001E6BFB">
              <w:rPr>
                <w:rFonts w:eastAsia="SimSun"/>
                <w:sz w:val="20"/>
                <w:szCs w:val="20"/>
                <w:lang w:val="en-US"/>
              </w:rPr>
              <w:t xml:space="preserve">$1,500 </w:t>
            </w:r>
          </w:p>
        </w:tc>
      </w:tr>
      <w:tr w:rsidR="001E6BFB" w:rsidRPr="001E6BFB" w:rsidTr="001E6BFB">
        <w:trPr>
          <w:trHeight w:val="20"/>
        </w:trPr>
        <w:tc>
          <w:tcPr>
            <w:tcW w:w="0" w:type="auto"/>
            <w:shd w:val="clear" w:color="auto" w:fill="auto"/>
            <w:noWrap/>
            <w:hideMark/>
          </w:tcPr>
          <w:p w:rsidR="001E6BFB" w:rsidRPr="001E6BFB" w:rsidRDefault="001E6BFB" w:rsidP="001E6BFB">
            <w:pPr>
              <w:keepNext/>
              <w:jc w:val="left"/>
              <w:rPr>
                <w:color w:val="000000"/>
                <w:sz w:val="20"/>
                <w:szCs w:val="20"/>
                <w:lang w:val="en-US"/>
              </w:rPr>
            </w:pPr>
            <w:r w:rsidRPr="001E6BFB">
              <w:rPr>
                <w:rFonts w:eastAsia="SimSun"/>
                <w:sz w:val="20"/>
                <w:szCs w:val="20"/>
                <w:lang w:val="en-US"/>
              </w:rPr>
              <w:t>Total</w:t>
            </w:r>
          </w:p>
        </w:tc>
        <w:tc>
          <w:tcPr>
            <w:tcW w:w="0" w:type="auto"/>
            <w:shd w:val="clear" w:color="auto" w:fill="auto"/>
            <w:noWrap/>
            <w:hideMark/>
          </w:tcPr>
          <w:p w:rsidR="001E6BFB" w:rsidRPr="001E6BFB" w:rsidRDefault="001E6BFB" w:rsidP="001E6BFB">
            <w:pPr>
              <w:keepNext/>
              <w:jc w:val="right"/>
              <w:rPr>
                <w:color w:val="000000"/>
                <w:sz w:val="20"/>
                <w:szCs w:val="20"/>
                <w:lang w:val="en-US"/>
              </w:rPr>
            </w:pPr>
            <w:r w:rsidRPr="001E6BFB">
              <w:rPr>
                <w:rFonts w:eastAsia="SimSun"/>
                <w:sz w:val="20"/>
                <w:szCs w:val="20"/>
                <w:lang w:val="en-US"/>
              </w:rPr>
              <w:t xml:space="preserve">$30,000 </w:t>
            </w:r>
          </w:p>
        </w:tc>
      </w:tr>
    </w:tbl>
    <w:p w:rsidR="001E6BFB" w:rsidRPr="001E6BFB" w:rsidRDefault="001E6BFB" w:rsidP="001E6BFB">
      <w:pPr>
        <w:jc w:val="left"/>
        <w:rPr>
          <w:rFonts w:eastAsia="SimSun"/>
          <w:sz w:val="24"/>
          <w:szCs w:val="24"/>
          <w:lang w:val="en-US"/>
        </w:rPr>
      </w:pPr>
    </w:p>
    <w:p w:rsidR="001E6BFB" w:rsidRPr="001E6BFB" w:rsidRDefault="001E6BFB" w:rsidP="001E6BFB">
      <w:pPr>
        <w:jc w:val="left"/>
        <w:rPr>
          <w:rFonts w:eastAsia="SimSun"/>
          <w:b/>
          <w:bCs/>
          <w:color w:val="000000"/>
          <w:lang w:val="en-US"/>
        </w:rPr>
      </w:pPr>
      <w:bookmarkStart w:id="5" w:name="_Ref493249032"/>
      <w:r w:rsidRPr="001E6BFB">
        <w:rPr>
          <w:rFonts w:eastAsia="SimSun"/>
          <w:color w:val="000000"/>
          <w:lang w:val="en-US"/>
        </w:rPr>
        <w:br w:type="page"/>
      </w:r>
    </w:p>
    <w:p w:rsidR="001E6BFB" w:rsidRPr="001E6BFB" w:rsidRDefault="001E6BFB" w:rsidP="001E6BFB">
      <w:pPr>
        <w:spacing w:after="200"/>
        <w:jc w:val="left"/>
        <w:rPr>
          <w:rFonts w:eastAsia="SimSun"/>
          <w:b/>
          <w:bCs/>
          <w:color w:val="000000"/>
          <w:lang w:val="en-US"/>
        </w:rPr>
      </w:pPr>
      <w:bookmarkStart w:id="6" w:name="_Ref493249044"/>
      <w:bookmarkEnd w:id="5"/>
      <w:r w:rsidRPr="001E6BFB">
        <w:rPr>
          <w:rFonts w:eastAsia="SimSun"/>
          <w:b/>
          <w:bCs/>
          <w:color w:val="000000"/>
          <w:lang w:val="en-US"/>
        </w:rPr>
        <w:lastRenderedPageBreak/>
        <w:t xml:space="preserve">Annex </w:t>
      </w:r>
      <w:r w:rsidRPr="001E6BFB">
        <w:rPr>
          <w:rFonts w:eastAsia="SimSun"/>
          <w:b/>
          <w:bCs/>
          <w:color w:val="000000"/>
          <w:lang w:val="en-US"/>
        </w:rPr>
        <w:fldChar w:fldCharType="begin"/>
      </w:r>
      <w:r w:rsidRPr="001E6BFB">
        <w:rPr>
          <w:rFonts w:eastAsia="SimSun"/>
          <w:b/>
          <w:bCs/>
          <w:color w:val="000000"/>
          <w:lang w:val="en-US"/>
        </w:rPr>
        <w:instrText xml:space="preserve"> SEQ Annex \* ARABIC </w:instrText>
      </w:r>
      <w:r w:rsidRPr="001E6BFB">
        <w:rPr>
          <w:rFonts w:eastAsia="SimSun"/>
          <w:b/>
          <w:bCs/>
          <w:color w:val="000000"/>
          <w:lang w:val="en-US"/>
        </w:rPr>
        <w:fldChar w:fldCharType="separate"/>
      </w:r>
      <w:r w:rsidR="00AB7308">
        <w:rPr>
          <w:rFonts w:eastAsia="SimSun"/>
          <w:b/>
          <w:bCs/>
          <w:noProof/>
          <w:color w:val="000000"/>
          <w:lang w:val="en-US"/>
        </w:rPr>
        <w:t>2</w:t>
      </w:r>
      <w:r w:rsidRPr="001E6BFB">
        <w:rPr>
          <w:rFonts w:eastAsia="SimSun"/>
          <w:b/>
          <w:bCs/>
          <w:color w:val="000000"/>
          <w:lang w:val="en-US"/>
        </w:rPr>
        <w:fldChar w:fldCharType="end"/>
      </w:r>
      <w:bookmarkEnd w:id="6"/>
      <w:r w:rsidRPr="001E6BFB">
        <w:rPr>
          <w:rFonts w:eastAsia="SimSun"/>
          <w:b/>
          <w:bCs/>
          <w:color w:val="000000"/>
          <w:lang w:val="en-US"/>
        </w:rPr>
        <w:t>: HFC Enabling Activities for Malaysia</w:t>
      </w:r>
    </w:p>
    <w:p w:rsidR="001E6BFB" w:rsidRPr="001E6BFB" w:rsidRDefault="001E6BFB" w:rsidP="001E6BFB">
      <w:pPr>
        <w:jc w:val="left"/>
        <w:rPr>
          <w:rFonts w:eastAsia="SimSun"/>
          <w:sz w:val="24"/>
          <w:szCs w:val="24"/>
          <w:lang w:val="en-US"/>
        </w:rPr>
      </w:pP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b/>
          <w:bCs/>
          <w:sz w:val="24"/>
          <w:szCs w:val="24"/>
          <w:lang w:val="en-US"/>
        </w:rPr>
        <w:t>Background</w:t>
      </w:r>
    </w:p>
    <w:p w:rsidR="001E6BFB" w:rsidRPr="001E6BFB" w:rsidRDefault="001E6BFB" w:rsidP="001E6BFB">
      <w:pPr>
        <w:jc w:val="left"/>
        <w:rPr>
          <w:rFonts w:eastAsia="SimSun"/>
          <w:color w:val="000000"/>
          <w:lang w:val="en-US"/>
        </w:rPr>
      </w:pPr>
    </w:p>
    <w:p w:rsidR="001E6BFB" w:rsidRPr="001E6BFB" w:rsidRDefault="001E6BFB" w:rsidP="001E6BFB">
      <w:pPr>
        <w:spacing w:after="120"/>
        <w:rPr>
          <w:rFonts w:eastAsia="SimSun"/>
          <w:color w:val="000000"/>
          <w:lang w:val="en-US"/>
        </w:rPr>
      </w:pPr>
      <w:r w:rsidRPr="001E6BFB">
        <w:rPr>
          <w:rFonts w:eastAsia="SimSun"/>
          <w:color w:val="000000"/>
          <w:lang w:val="en-US"/>
        </w:rPr>
        <w:t xml:space="preserve">The Government of Malaysia is fully committed to the Montreal Protocol (MP) and the Climate Change Convention. It acceded to both the Vienna Convention for the Protection of the Ozone Layer and the Montreal Protocol on Substances that Deplete the Ozone Layer in August 1989. As of 1 January 2010, Malaysia has fulfilled its commitment to phase out consumption of all controlled substances with the exception of </w:t>
      </w:r>
      <w:proofErr w:type="spellStart"/>
      <w:r w:rsidRPr="001E6BFB">
        <w:rPr>
          <w:rFonts w:eastAsia="SimSun"/>
          <w:color w:val="000000"/>
          <w:lang w:val="en-US"/>
        </w:rPr>
        <w:t>hydrochlorofluorocarbons</w:t>
      </w:r>
      <w:proofErr w:type="spellEnd"/>
      <w:r w:rsidRPr="001E6BFB">
        <w:rPr>
          <w:rFonts w:eastAsia="SimSun"/>
          <w:color w:val="000000"/>
          <w:lang w:val="en-US"/>
        </w:rPr>
        <w:t xml:space="preserve"> (HCFCs).  </w:t>
      </w:r>
    </w:p>
    <w:p w:rsidR="001E6BFB" w:rsidRPr="001E6BFB" w:rsidRDefault="001E6BFB" w:rsidP="001E6BFB">
      <w:pPr>
        <w:spacing w:after="120"/>
        <w:rPr>
          <w:rFonts w:eastAsia="SimSun"/>
          <w:color w:val="000000"/>
          <w:lang w:val="en-US"/>
        </w:rPr>
      </w:pPr>
      <w:r w:rsidRPr="001E6BFB">
        <w:rPr>
          <w:rFonts w:eastAsia="SimSun"/>
          <w:color w:val="000000"/>
          <w:lang w:val="en-US"/>
        </w:rPr>
        <w:t xml:space="preserve">Various chemical and physical properties of HFCs and other alternatives make them suitable refrigerants and blowing agents. They also have several other industrial application-friendly properties like superior solvent abilities for which they’re extensively used in various applications like fire-extinguishers, aerosols etc. </w:t>
      </w:r>
    </w:p>
    <w:p w:rsidR="001E6BFB" w:rsidRPr="001E6BFB" w:rsidRDefault="001E6BFB" w:rsidP="001E6BFB">
      <w:pPr>
        <w:spacing w:after="120"/>
        <w:rPr>
          <w:rFonts w:eastAsia="SimSun"/>
          <w:color w:val="000000"/>
          <w:lang w:val="en-US"/>
        </w:rPr>
      </w:pPr>
      <w:r w:rsidRPr="001E6BFB">
        <w:rPr>
          <w:rFonts w:eastAsia="SimSun"/>
          <w:color w:val="000000"/>
          <w:lang w:val="en-US"/>
        </w:rPr>
        <w:t xml:space="preserve">Malaysia has not yet undertaken the non-ODS alternatives survey though it is expected their main HFC consumption will be used as refrigerants for air-conditioning and refrigeration systems. Malaysia has the highest percentage of car ownership among ASEAN countries. Almost all passenger cars and trucks are equipped with mobile air-conditioners where hydrofluorocarbons (HFC) is used as refrigerant. In addition, the market penetration of residential air-conditioners is also the highest among ASEAN countries. Currently, more than 90% of the households in Malaysia are installed with air-conditioners. Major refrigerants used in air-conditioners are either </w:t>
      </w:r>
      <w:proofErr w:type="spellStart"/>
      <w:r w:rsidRPr="001E6BFB">
        <w:rPr>
          <w:rFonts w:eastAsia="SimSun"/>
          <w:color w:val="000000"/>
          <w:lang w:val="en-US"/>
        </w:rPr>
        <w:t>hydrochlorofluorocarbon</w:t>
      </w:r>
      <w:proofErr w:type="spellEnd"/>
      <w:r w:rsidRPr="001E6BFB">
        <w:rPr>
          <w:rFonts w:eastAsia="SimSun"/>
          <w:color w:val="000000"/>
          <w:lang w:val="en-US"/>
        </w:rPr>
        <w:t xml:space="preserve"> (HCFC) or HFC. These refrigerants have global warming potential (GWP) more than thousand times of carbon dioxide. HFC phase-down which is the objective of the Kigali Amendment is therefore relevant to the future economic development of Malaysia. </w:t>
      </w:r>
    </w:p>
    <w:p w:rsidR="001E6BFB" w:rsidRPr="001E6BFB" w:rsidRDefault="001E6BFB" w:rsidP="001E6BFB">
      <w:pPr>
        <w:spacing w:after="120"/>
        <w:rPr>
          <w:rFonts w:eastAsia="SimSun"/>
          <w:color w:val="000000"/>
          <w:lang w:val="en-US"/>
        </w:rPr>
      </w:pPr>
      <w:r w:rsidRPr="001E6BFB">
        <w:rPr>
          <w:rFonts w:eastAsia="SimSun"/>
          <w:color w:val="000000"/>
          <w:lang w:val="en-US"/>
        </w:rPr>
        <w:t>Since Malaysia had not embarked in any HFC survey and the current import/export control system did not have any provisions for tracking the flow of each specific HFC, Malaysia is requesting an additional support for conducting HFC survey in accordance with decision 74/53. This activity will be done in parallel with the initial HFC enabling activities.</w:t>
      </w:r>
    </w:p>
    <w:p w:rsidR="001E6BFB" w:rsidRPr="001E6BFB" w:rsidRDefault="001E6BFB" w:rsidP="001E6BFB">
      <w:pPr>
        <w:keepNext/>
        <w:keepLines/>
        <w:spacing w:before="200"/>
        <w:jc w:val="left"/>
        <w:outlineLvl w:val="1"/>
        <w:rPr>
          <w:rFonts w:eastAsiaTheme="majorEastAsia" w:cstheme="majorBidi"/>
          <w:b/>
          <w:bCs/>
          <w:sz w:val="24"/>
          <w:szCs w:val="24"/>
          <w:lang w:val="en-US"/>
        </w:rPr>
      </w:pPr>
    </w:p>
    <w:p w:rsidR="001E6BFB" w:rsidRPr="001E6BFB" w:rsidRDefault="001E6BFB" w:rsidP="001E6BFB">
      <w:pPr>
        <w:jc w:val="left"/>
        <w:rPr>
          <w:rFonts w:eastAsia="SimSun"/>
          <w:b/>
          <w:bCs/>
          <w:sz w:val="24"/>
          <w:szCs w:val="24"/>
          <w:lang w:val="en-US"/>
        </w:rPr>
      </w:pPr>
      <w:r w:rsidRPr="001E6BFB">
        <w:rPr>
          <w:rFonts w:eastAsia="SimSun"/>
          <w:b/>
          <w:bCs/>
          <w:sz w:val="24"/>
          <w:szCs w:val="24"/>
          <w:lang w:val="en-US"/>
        </w:rPr>
        <w:t>Objectives</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sz w:val="24"/>
          <w:szCs w:val="24"/>
          <w:lang w:val="en-US"/>
        </w:rPr>
        <w:t xml:space="preserve">The main objective for the proposed enabling activities is to enable Malaysia to proceed with the ratification of the Kigali Amendment and make recommendations for policy and regulatory actions that would enable Malaysia to be in compliance with the initial HFC phase-down obligations under the Amendment. </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b/>
          <w:bCs/>
          <w:sz w:val="24"/>
          <w:szCs w:val="24"/>
          <w:lang w:val="en-US"/>
        </w:rPr>
        <w:t>Proposed approach and activities</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sz w:val="24"/>
          <w:szCs w:val="24"/>
          <w:lang w:val="en-US"/>
        </w:rPr>
        <w:t>The proposed approach includes the following:</w:t>
      </w:r>
    </w:p>
    <w:p w:rsidR="001E6BFB" w:rsidRPr="001E6BFB" w:rsidRDefault="001E6BFB" w:rsidP="001E6BFB">
      <w:pPr>
        <w:widowControl w:val="0"/>
        <w:numPr>
          <w:ilvl w:val="2"/>
          <w:numId w:val="1"/>
        </w:numPr>
        <w:spacing w:after="240"/>
        <w:ind w:left="1440"/>
        <w:jc w:val="left"/>
        <w:outlineLvl w:val="2"/>
        <w:rPr>
          <w:rFonts w:eastAsia="SimSun" w:cs="Arial"/>
          <w:bCs/>
          <w:color w:val="000000" w:themeColor="text1"/>
          <w:sz w:val="24"/>
          <w:szCs w:val="24"/>
          <w:lang w:val="en-US"/>
        </w:rPr>
      </w:pPr>
      <w:r w:rsidRPr="001E6BFB">
        <w:rPr>
          <w:rFonts w:eastAsia="SimSun" w:cs="Arial"/>
          <w:bCs/>
          <w:sz w:val="24"/>
          <w:szCs w:val="24"/>
          <w:lang w:val="en-US"/>
        </w:rPr>
        <w:t>An assessment of existing domestic regulations pertaining to the ozone and climate protection in order to identify potential options to strengthen existing policy and regulatory framework to effectively control and monitor import, export, and use of HFCs. One of the primary systems of controls on ODS is the Application Import Permit System (AP System), which is administered by the Ministry of International Trade and Industry (MITI). Since its introduction in 1994 under the Prohibition of Import (Amendment No. 4) Order, 1994 of the</w:t>
      </w:r>
      <w:r w:rsidRPr="001E6BFB">
        <w:rPr>
          <w:rFonts w:eastAsia="SimSun" w:cs="Arial"/>
          <w:bCs/>
          <w:color w:val="000000" w:themeColor="text1"/>
          <w:sz w:val="24"/>
          <w:szCs w:val="24"/>
          <w:lang w:val="en-US"/>
        </w:rPr>
        <w:t xml:space="preserve"> Customs Act, 1967, all importers of the listed ODS must obtain an import permit issued by MITI.  The total quantity of any of these substances that can be imported in any year is set by MITI in consultation with DOE. The amount is reduced each year in line with the Montreal Protocol obligations. </w:t>
      </w:r>
    </w:p>
    <w:p w:rsidR="001E6BFB" w:rsidRPr="001E6BFB" w:rsidRDefault="001E6BFB" w:rsidP="001E6BFB">
      <w:pPr>
        <w:widowControl w:val="0"/>
        <w:numPr>
          <w:ilvl w:val="2"/>
          <w:numId w:val="1"/>
        </w:numPr>
        <w:spacing w:after="240"/>
        <w:ind w:left="1440"/>
        <w:jc w:val="left"/>
        <w:outlineLvl w:val="2"/>
        <w:rPr>
          <w:rFonts w:eastAsia="SimSun" w:cs="Arial"/>
          <w:bCs/>
          <w:sz w:val="24"/>
          <w:szCs w:val="24"/>
          <w:lang w:val="en-US"/>
        </w:rPr>
      </w:pPr>
      <w:r w:rsidRPr="001E6BFB">
        <w:rPr>
          <w:rFonts w:eastAsia="SimSun" w:cs="Arial"/>
          <w:bCs/>
          <w:sz w:val="24"/>
          <w:szCs w:val="24"/>
          <w:lang w:val="en-US"/>
        </w:rPr>
        <w:t xml:space="preserve">Capacity building for DOE, MITI, Customs </w:t>
      </w:r>
      <w:proofErr w:type="spellStart"/>
      <w:r w:rsidRPr="001E6BFB">
        <w:rPr>
          <w:rFonts w:eastAsia="SimSun" w:cs="Arial"/>
          <w:bCs/>
          <w:sz w:val="24"/>
          <w:szCs w:val="24"/>
          <w:lang w:val="en-US"/>
        </w:rPr>
        <w:t>Deparment</w:t>
      </w:r>
      <w:proofErr w:type="spellEnd"/>
      <w:r w:rsidRPr="001E6BFB">
        <w:rPr>
          <w:rFonts w:eastAsia="SimSun" w:cs="Arial"/>
          <w:bCs/>
          <w:sz w:val="24"/>
          <w:szCs w:val="24"/>
          <w:lang w:val="en-US"/>
        </w:rPr>
        <w:t>, and others in order to strengthen their capacity to extend existing licensing and quota systems for ozone depleting substances under the AP system to cover HFCs, and to adapt existing Harmonized System (HS) of Custom Codes for tracking import/export of HFCs and HFC blends.</w:t>
      </w:r>
    </w:p>
    <w:p w:rsidR="001E6BFB" w:rsidRPr="001E6BFB" w:rsidRDefault="001E6BFB" w:rsidP="001E6BFB">
      <w:pPr>
        <w:widowControl w:val="0"/>
        <w:numPr>
          <w:ilvl w:val="2"/>
          <w:numId w:val="1"/>
        </w:numPr>
        <w:spacing w:after="240"/>
        <w:ind w:left="1440"/>
        <w:jc w:val="left"/>
        <w:outlineLvl w:val="2"/>
        <w:rPr>
          <w:rFonts w:eastAsia="SimSun" w:cs="Arial"/>
          <w:bCs/>
          <w:sz w:val="24"/>
          <w:szCs w:val="24"/>
          <w:lang w:val="en-US"/>
        </w:rPr>
      </w:pPr>
      <w:r w:rsidRPr="001E6BFB">
        <w:rPr>
          <w:rFonts w:eastAsia="SimSun" w:cs="Arial"/>
          <w:bCs/>
          <w:sz w:val="24"/>
          <w:szCs w:val="24"/>
          <w:lang w:val="en-US"/>
        </w:rPr>
        <w:t xml:space="preserve">Exploring synergy among various government agencies involved in ozone and climate protection </w:t>
      </w:r>
      <w:r w:rsidRPr="001E6BFB">
        <w:rPr>
          <w:rFonts w:eastAsia="SimSun" w:cs="Arial"/>
          <w:bCs/>
          <w:sz w:val="24"/>
          <w:szCs w:val="24"/>
          <w:lang w:val="en-US"/>
        </w:rPr>
        <w:lastRenderedPageBreak/>
        <w:t>with an aim to coordinate their efforts to control and monitor HFCs and to report HFC consumption and emissions to the relevant global environmental treaties (i.e. UNFCCC and Montreal Protocol).</w:t>
      </w:r>
    </w:p>
    <w:p w:rsidR="001E6BFB" w:rsidRPr="001E6BFB" w:rsidRDefault="001E6BFB" w:rsidP="001E6BFB">
      <w:pPr>
        <w:widowControl w:val="0"/>
        <w:numPr>
          <w:ilvl w:val="2"/>
          <w:numId w:val="1"/>
        </w:numPr>
        <w:spacing w:after="240"/>
        <w:ind w:left="1440"/>
        <w:jc w:val="left"/>
        <w:outlineLvl w:val="2"/>
        <w:rPr>
          <w:rFonts w:eastAsia="SimSun" w:cs="Arial"/>
          <w:bCs/>
          <w:sz w:val="24"/>
          <w:szCs w:val="24"/>
          <w:lang w:val="en-US"/>
        </w:rPr>
      </w:pPr>
      <w:r w:rsidRPr="001E6BFB">
        <w:rPr>
          <w:rFonts w:eastAsia="SimSun" w:cs="Arial"/>
          <w:bCs/>
          <w:sz w:val="24"/>
          <w:szCs w:val="24"/>
          <w:lang w:val="en-US"/>
        </w:rPr>
        <w:t>Conduct Malaysia HFC survey</w:t>
      </w:r>
      <w:r w:rsidRPr="001E6BFB">
        <w:rPr>
          <w:rFonts w:eastAsia="SimSun" w:cs="Arial"/>
          <w:bCs/>
          <w:sz w:val="24"/>
          <w:szCs w:val="24"/>
          <w:vertAlign w:val="superscript"/>
          <w:lang w:val="en-US"/>
        </w:rPr>
        <w:footnoteReference w:id="12"/>
      </w:r>
      <w:r w:rsidRPr="001E6BFB">
        <w:rPr>
          <w:rFonts w:eastAsia="SimSun" w:cs="Arial"/>
          <w:bCs/>
          <w:sz w:val="24"/>
          <w:szCs w:val="24"/>
          <w:lang w:val="en-US"/>
        </w:rPr>
        <w:t xml:space="preserve"> and analyze to forecast the baseline HFC consumption level (average consumption between 2020 and 2022) and consumption beyond 2022 based on business as usual through intensive consultation with government, industry and NGOs.  The HFC consumption projection would then be compared with the maximum level allowed by the Kigali Amendment.  This would provide guidance for the Government of Malaysia with regard to timing and compliance concerns.</w:t>
      </w:r>
    </w:p>
    <w:p w:rsidR="001E6BFB" w:rsidRPr="001E6BFB" w:rsidRDefault="001E6BFB" w:rsidP="001E6BFB">
      <w:pPr>
        <w:widowControl w:val="0"/>
        <w:numPr>
          <w:ilvl w:val="2"/>
          <w:numId w:val="1"/>
        </w:numPr>
        <w:spacing w:after="240"/>
        <w:ind w:left="1440"/>
        <w:jc w:val="left"/>
        <w:outlineLvl w:val="2"/>
        <w:rPr>
          <w:rFonts w:eastAsia="SimSun" w:cs="Arial"/>
          <w:bCs/>
          <w:sz w:val="24"/>
          <w:szCs w:val="24"/>
          <w:lang w:val="en-US"/>
        </w:rPr>
      </w:pPr>
      <w:r w:rsidRPr="001E6BFB">
        <w:rPr>
          <w:rFonts w:eastAsia="SimSun" w:cs="Arial"/>
          <w:bCs/>
          <w:sz w:val="24"/>
          <w:szCs w:val="24"/>
          <w:lang w:val="en-US"/>
        </w:rPr>
        <w:t>Based on the forecasted baseline HFC consumption and use, a list of alternative technologies for respective sectors will be developed.  Consultations with stakeholders to determine appropriate alternative technologies for the Malaysia context would be carried out.  All alternative technologies that are currently commercially available as well as emerging technologies and expected timeframe for these technologies would become commercially available should be considered.</w:t>
      </w:r>
    </w:p>
    <w:p w:rsidR="001E6BFB" w:rsidRPr="001E6BFB" w:rsidRDefault="001E6BFB" w:rsidP="001E6BFB">
      <w:pPr>
        <w:widowControl w:val="0"/>
        <w:numPr>
          <w:ilvl w:val="2"/>
          <w:numId w:val="1"/>
        </w:numPr>
        <w:spacing w:after="240"/>
        <w:ind w:left="1440"/>
        <w:jc w:val="left"/>
        <w:outlineLvl w:val="2"/>
        <w:rPr>
          <w:rFonts w:eastAsia="SimSun" w:cs="Arial"/>
          <w:bCs/>
          <w:sz w:val="24"/>
          <w:szCs w:val="24"/>
          <w:lang w:val="en-US"/>
        </w:rPr>
      </w:pPr>
      <w:r w:rsidRPr="001E6BFB">
        <w:rPr>
          <w:rFonts w:eastAsia="SimSun" w:cs="Arial"/>
          <w:bCs/>
          <w:sz w:val="24"/>
          <w:szCs w:val="24"/>
          <w:lang w:val="en-US"/>
        </w:rPr>
        <w:t>Develop a draft strategy highlighting different phase-down scenarios for Malaysia to proceed with ratification and to be in compliance with short-term, medium-term, and long-term commitments with the Kigali Amendment.  The strategy should include recommendations for policy and regulatory actions to enable Malaysia to proceed with the ratification and those that would enable Malaysia to be in compliance with the Amendment.  In addition, the strategy should provide comprehensive analyses for Malaysia’s technology pathway for complying with the Amendment.</w:t>
      </w:r>
    </w:p>
    <w:p w:rsidR="001E6BFB" w:rsidRPr="001E6BFB" w:rsidRDefault="001E6BFB" w:rsidP="001E6BFB">
      <w:pPr>
        <w:jc w:val="left"/>
        <w:rPr>
          <w:rFonts w:eastAsia="SimSun"/>
          <w:sz w:val="24"/>
          <w:szCs w:val="24"/>
          <w:lang w:val="en-CA"/>
        </w:rPr>
      </w:pPr>
    </w:p>
    <w:p w:rsidR="001E6BFB" w:rsidRPr="001E6BFB" w:rsidRDefault="001E6BFB" w:rsidP="001E6BFB">
      <w:pPr>
        <w:keepNext/>
        <w:keepLines/>
        <w:spacing w:before="200"/>
        <w:jc w:val="left"/>
        <w:outlineLvl w:val="1"/>
        <w:rPr>
          <w:rFonts w:eastAsiaTheme="majorEastAsia" w:cstheme="majorBidi"/>
          <w:sz w:val="24"/>
          <w:szCs w:val="26"/>
          <w:lang w:val="en-US"/>
        </w:rPr>
      </w:pPr>
      <w:r w:rsidRPr="001E6BFB">
        <w:rPr>
          <w:rFonts w:eastAsiaTheme="majorEastAsia" w:cstheme="majorBidi"/>
          <w:b/>
          <w:bCs/>
          <w:sz w:val="24"/>
          <w:szCs w:val="24"/>
          <w:lang w:val="en-US"/>
        </w:rPr>
        <w:t>Impact</w:t>
      </w:r>
      <w:r w:rsidRPr="001E6BFB">
        <w:rPr>
          <w:rFonts w:eastAsiaTheme="majorEastAsia" w:cstheme="majorBidi"/>
          <w:b/>
          <w:bCs/>
          <w:sz w:val="24"/>
          <w:szCs w:val="26"/>
          <w:lang w:val="en-US"/>
        </w:rPr>
        <w:t xml:space="preserve"> on HCFC phase-out projects implementation</w:t>
      </w:r>
    </w:p>
    <w:p w:rsidR="001E6BFB" w:rsidRPr="001E6BFB" w:rsidRDefault="001E6BFB" w:rsidP="001E6BFB">
      <w:pPr>
        <w:jc w:val="left"/>
        <w:rPr>
          <w:rFonts w:eastAsia="SimSun"/>
          <w:sz w:val="24"/>
          <w:szCs w:val="24"/>
          <w:lang w:val="en-US"/>
        </w:rPr>
      </w:pPr>
    </w:p>
    <w:p w:rsidR="001E6BFB" w:rsidRPr="001E6BFB" w:rsidRDefault="001E6BFB" w:rsidP="001E6BFB">
      <w:pPr>
        <w:jc w:val="left"/>
        <w:rPr>
          <w:rFonts w:eastAsia="SimSun"/>
          <w:sz w:val="24"/>
          <w:szCs w:val="24"/>
          <w:lang w:val="en-US"/>
        </w:rPr>
      </w:pPr>
      <w:r w:rsidRPr="001E6BFB">
        <w:rPr>
          <w:rFonts w:eastAsia="SimSun"/>
          <w:sz w:val="24"/>
          <w:szCs w:val="24"/>
          <w:lang w:val="en-US"/>
        </w:rPr>
        <w:t>The implementation of the enabling activities would not delay implementation of HCFC phase-out projects in Malaysia.</w:t>
      </w:r>
    </w:p>
    <w:p w:rsidR="001E6BFB" w:rsidRPr="001E6BFB" w:rsidRDefault="001E6BFB" w:rsidP="001E6BFB">
      <w:pPr>
        <w:jc w:val="left"/>
        <w:rPr>
          <w:rFonts w:eastAsia="SimSun"/>
          <w:b/>
          <w:bCs/>
          <w:sz w:val="24"/>
          <w:szCs w:val="24"/>
          <w:lang w:val="en-US"/>
        </w:rPr>
      </w:pPr>
    </w:p>
    <w:p w:rsidR="001E6BFB" w:rsidRPr="001E6BFB" w:rsidRDefault="001E6BFB" w:rsidP="001E6BFB">
      <w:pPr>
        <w:jc w:val="left"/>
        <w:rPr>
          <w:rFonts w:eastAsia="SimSun"/>
          <w:b/>
          <w:bCs/>
          <w:sz w:val="24"/>
          <w:szCs w:val="24"/>
          <w:lang w:val="en-US"/>
        </w:rPr>
        <w:sectPr w:rsidR="001E6BFB" w:rsidRPr="001E6BFB" w:rsidSect="001E6BFB">
          <w:headerReference w:type="even" r:id="rId18"/>
          <w:pgSz w:w="12240" w:h="15840"/>
          <w:pgMar w:top="720" w:right="720" w:bottom="720" w:left="720" w:header="720" w:footer="720" w:gutter="0"/>
          <w:cols w:space="720"/>
          <w:docGrid w:linePitch="360"/>
        </w:sectPr>
      </w:pPr>
    </w:p>
    <w:p w:rsidR="001E6BFB" w:rsidRPr="001E6BFB" w:rsidRDefault="001E6BFB" w:rsidP="001E6BFB">
      <w:pPr>
        <w:jc w:val="left"/>
        <w:rPr>
          <w:rFonts w:eastAsia="SimSun"/>
          <w:b/>
          <w:bCs/>
          <w:sz w:val="24"/>
          <w:szCs w:val="24"/>
          <w:lang w:val="en-US"/>
        </w:rPr>
      </w:pPr>
      <w:r w:rsidRPr="001E6BFB">
        <w:rPr>
          <w:rFonts w:eastAsia="SimSun"/>
          <w:b/>
          <w:bCs/>
          <w:sz w:val="24"/>
          <w:szCs w:val="24"/>
          <w:lang w:val="en-US"/>
        </w:rPr>
        <w:lastRenderedPageBreak/>
        <w:t>Proposed activities, implementation plan, and budgets</w:t>
      </w:r>
      <w:r w:rsidRPr="001E6BFB">
        <w:rPr>
          <w:rFonts w:eastAsia="SimSun"/>
          <w:b/>
          <w:bCs/>
          <w:sz w:val="24"/>
          <w:szCs w:val="24"/>
          <w:vertAlign w:val="superscript"/>
          <w:lang w:val="en-US"/>
        </w:rPr>
        <w:footnoteReference w:id="13"/>
      </w:r>
    </w:p>
    <w:p w:rsidR="001E6BFB" w:rsidRPr="001E6BFB" w:rsidRDefault="001E6BFB" w:rsidP="001E6BFB">
      <w:pPr>
        <w:jc w:val="left"/>
        <w:rPr>
          <w:rFonts w:eastAsia="SimSun"/>
          <w:b/>
          <w:bCs/>
          <w:sz w:val="24"/>
          <w:szCs w:val="24"/>
          <w:lang w:val="en-CA"/>
        </w:rPr>
      </w:pPr>
    </w:p>
    <w:tbl>
      <w:tblPr>
        <w:tblStyle w:val="TableGrid10"/>
        <w:tblW w:w="5000" w:type="pct"/>
        <w:tblLayout w:type="fixed"/>
        <w:tblLook w:val="04A0" w:firstRow="1" w:lastRow="0" w:firstColumn="1" w:lastColumn="0" w:noHBand="0" w:noVBand="1"/>
      </w:tblPr>
      <w:tblGrid>
        <w:gridCol w:w="3640"/>
        <w:gridCol w:w="1383"/>
        <w:gridCol w:w="1453"/>
        <w:gridCol w:w="1085"/>
        <w:gridCol w:w="1085"/>
        <w:gridCol w:w="1028"/>
        <w:gridCol w:w="1839"/>
        <w:gridCol w:w="1437"/>
      </w:tblGrid>
      <w:tr w:rsidR="001E6BFB" w:rsidRPr="001E6BFB" w:rsidTr="001E6BFB">
        <w:trPr>
          <w:tblHeader/>
        </w:trPr>
        <w:tc>
          <w:tcPr>
            <w:tcW w:w="1405" w:type="pct"/>
          </w:tcPr>
          <w:p w:rsidR="001E6BFB" w:rsidRPr="001E6BFB" w:rsidRDefault="001E6BFB" w:rsidP="001E6BFB">
            <w:pPr>
              <w:widowControl w:val="0"/>
              <w:jc w:val="center"/>
              <w:rPr>
                <w:b/>
                <w:sz w:val="20"/>
                <w:szCs w:val="20"/>
                <w:lang w:val="en-US"/>
              </w:rPr>
            </w:pPr>
            <w:r w:rsidRPr="001E6BFB">
              <w:rPr>
                <w:b/>
                <w:sz w:val="20"/>
                <w:szCs w:val="20"/>
                <w:lang w:val="en-US"/>
              </w:rPr>
              <w:t>Activities</w:t>
            </w:r>
          </w:p>
        </w:tc>
        <w:tc>
          <w:tcPr>
            <w:tcW w:w="534" w:type="pct"/>
          </w:tcPr>
          <w:p w:rsidR="001E6BFB" w:rsidRPr="001E6BFB" w:rsidRDefault="001E6BFB" w:rsidP="001E6BFB">
            <w:pPr>
              <w:widowControl w:val="0"/>
              <w:jc w:val="center"/>
              <w:rPr>
                <w:b/>
                <w:sz w:val="20"/>
                <w:szCs w:val="20"/>
                <w:lang w:val="en-US"/>
              </w:rPr>
            </w:pPr>
            <w:r w:rsidRPr="001E6BFB">
              <w:rPr>
                <w:b/>
                <w:sz w:val="20"/>
                <w:szCs w:val="20"/>
                <w:lang w:val="en-US"/>
              </w:rPr>
              <w:t>Responsible entity</w:t>
            </w:r>
          </w:p>
        </w:tc>
        <w:tc>
          <w:tcPr>
            <w:tcW w:w="561" w:type="pct"/>
          </w:tcPr>
          <w:p w:rsidR="001E6BFB" w:rsidRPr="001E6BFB" w:rsidRDefault="001E6BFB" w:rsidP="001E6BFB">
            <w:pPr>
              <w:widowControl w:val="0"/>
              <w:jc w:val="center"/>
              <w:rPr>
                <w:b/>
                <w:sz w:val="20"/>
                <w:szCs w:val="20"/>
                <w:lang w:val="en-US"/>
              </w:rPr>
            </w:pPr>
            <w:r w:rsidRPr="001E6BFB">
              <w:rPr>
                <w:b/>
                <w:sz w:val="20"/>
                <w:szCs w:val="20"/>
                <w:lang w:val="en-US"/>
              </w:rPr>
              <w:t>Target group</w:t>
            </w:r>
          </w:p>
        </w:tc>
        <w:tc>
          <w:tcPr>
            <w:tcW w:w="419" w:type="pct"/>
          </w:tcPr>
          <w:p w:rsidR="001E6BFB" w:rsidRPr="001E6BFB" w:rsidRDefault="001E6BFB" w:rsidP="001E6BFB">
            <w:pPr>
              <w:widowControl w:val="0"/>
              <w:jc w:val="center"/>
              <w:rPr>
                <w:b/>
                <w:sz w:val="20"/>
                <w:szCs w:val="20"/>
                <w:lang w:val="en-US"/>
              </w:rPr>
            </w:pPr>
            <w:r w:rsidRPr="001E6BFB">
              <w:rPr>
                <w:b/>
                <w:sz w:val="20"/>
                <w:szCs w:val="20"/>
                <w:lang w:val="en-US"/>
              </w:rPr>
              <w:t xml:space="preserve">Start date </w:t>
            </w:r>
          </w:p>
        </w:tc>
        <w:tc>
          <w:tcPr>
            <w:tcW w:w="419" w:type="pct"/>
          </w:tcPr>
          <w:p w:rsidR="001E6BFB" w:rsidRPr="001E6BFB" w:rsidRDefault="001E6BFB" w:rsidP="001E6BFB">
            <w:pPr>
              <w:widowControl w:val="0"/>
              <w:jc w:val="center"/>
              <w:rPr>
                <w:b/>
                <w:sz w:val="20"/>
                <w:szCs w:val="20"/>
                <w:lang w:val="en-US"/>
              </w:rPr>
            </w:pPr>
            <w:r w:rsidRPr="001E6BFB">
              <w:rPr>
                <w:b/>
                <w:sz w:val="20"/>
                <w:szCs w:val="20"/>
                <w:lang w:val="en-US"/>
              </w:rPr>
              <w:t xml:space="preserve">Date of completion </w:t>
            </w:r>
          </w:p>
        </w:tc>
        <w:tc>
          <w:tcPr>
            <w:tcW w:w="397" w:type="pct"/>
          </w:tcPr>
          <w:p w:rsidR="001E6BFB" w:rsidRPr="001E6BFB" w:rsidRDefault="001E6BFB" w:rsidP="001E6BFB">
            <w:pPr>
              <w:widowControl w:val="0"/>
              <w:jc w:val="center"/>
              <w:rPr>
                <w:b/>
                <w:sz w:val="20"/>
                <w:szCs w:val="20"/>
                <w:lang w:val="en-US"/>
              </w:rPr>
            </w:pPr>
            <w:r w:rsidRPr="001E6BFB">
              <w:rPr>
                <w:b/>
                <w:sz w:val="20"/>
                <w:szCs w:val="20"/>
                <w:lang w:val="en-US"/>
              </w:rPr>
              <w:t xml:space="preserve">Tentative Budget </w:t>
            </w:r>
          </w:p>
          <w:p w:rsidR="001E6BFB" w:rsidRPr="001E6BFB" w:rsidRDefault="001E6BFB" w:rsidP="001E6BFB">
            <w:pPr>
              <w:widowControl w:val="0"/>
              <w:jc w:val="center"/>
              <w:rPr>
                <w:b/>
                <w:sz w:val="20"/>
                <w:szCs w:val="20"/>
                <w:lang w:val="en-US"/>
              </w:rPr>
            </w:pPr>
            <w:r w:rsidRPr="001E6BFB">
              <w:rPr>
                <w:b/>
                <w:sz w:val="20"/>
                <w:szCs w:val="20"/>
                <w:lang w:val="en-US"/>
              </w:rPr>
              <w:t>(US $)</w:t>
            </w:r>
          </w:p>
        </w:tc>
        <w:tc>
          <w:tcPr>
            <w:tcW w:w="710" w:type="pct"/>
          </w:tcPr>
          <w:p w:rsidR="001E6BFB" w:rsidRPr="001E6BFB" w:rsidRDefault="001E6BFB" w:rsidP="001E6BFB">
            <w:pPr>
              <w:widowControl w:val="0"/>
              <w:jc w:val="center"/>
              <w:rPr>
                <w:b/>
                <w:sz w:val="20"/>
                <w:szCs w:val="20"/>
                <w:lang w:val="en-US"/>
              </w:rPr>
            </w:pPr>
            <w:r w:rsidRPr="001E6BFB">
              <w:rPr>
                <w:b/>
                <w:sz w:val="20"/>
                <w:szCs w:val="20"/>
                <w:lang w:val="en-US"/>
              </w:rPr>
              <w:t>Milestones</w:t>
            </w:r>
          </w:p>
        </w:tc>
        <w:tc>
          <w:tcPr>
            <w:tcW w:w="556" w:type="pct"/>
          </w:tcPr>
          <w:p w:rsidR="001E6BFB" w:rsidRPr="001E6BFB" w:rsidRDefault="001E6BFB" w:rsidP="001E6BFB">
            <w:pPr>
              <w:widowControl w:val="0"/>
              <w:jc w:val="center"/>
              <w:rPr>
                <w:b/>
                <w:sz w:val="20"/>
                <w:szCs w:val="20"/>
                <w:lang w:val="en-US"/>
              </w:rPr>
            </w:pPr>
            <w:r w:rsidRPr="001E6BFB">
              <w:rPr>
                <w:b/>
                <w:sz w:val="20"/>
                <w:szCs w:val="20"/>
                <w:lang w:val="en-US"/>
              </w:rPr>
              <w:t>Expected outputs</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National consultation workshop (Kick-off)</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summary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Introduction to Kigali Amendment</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Review existing regulations to control and monitor import and export of HFCs and HFC-blends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Feb-18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Report with recommendations</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Revision of regulations to enable control and monitor import and export of HFCs and HFC-blends</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Training workshops for customs officers/DIW/importers/exporters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 customs department</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30,000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Capacity building of national stakeholders</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Review ODS alternative survey, analysis and forecast baseline HFC consumption</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Jul-18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Aug-18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20,000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Model for forecast HFC consumption</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 xml:space="preserve">Improve capacity to </w:t>
            </w:r>
            <w:proofErr w:type="spellStart"/>
            <w:r w:rsidRPr="001E6BFB">
              <w:rPr>
                <w:sz w:val="20"/>
                <w:szCs w:val="20"/>
                <w:lang w:val="en-US"/>
              </w:rPr>
              <w:t>analyse</w:t>
            </w:r>
            <w:proofErr w:type="spellEnd"/>
            <w:r w:rsidRPr="001E6BFB">
              <w:rPr>
                <w:sz w:val="20"/>
                <w:szCs w:val="20"/>
                <w:lang w:val="en-US"/>
              </w:rPr>
              <w:t xml:space="preserve"> HFC phase-down scenarios</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Industry consultation workshops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 xml:space="preserve">Industry (MAC, domestic refrigerator, Residential AC, solvent, </w:t>
            </w:r>
            <w:proofErr w:type="spellStart"/>
            <w:r w:rsidRPr="001E6BFB">
              <w:rPr>
                <w:sz w:val="20"/>
                <w:szCs w:val="20"/>
                <w:lang w:val="en-US"/>
              </w:rPr>
              <w:t>fire fighting</w:t>
            </w:r>
            <w:proofErr w:type="spellEnd"/>
            <w:r w:rsidRPr="001E6BFB">
              <w:rPr>
                <w:sz w:val="20"/>
                <w:szCs w:val="20"/>
                <w:lang w:val="en-US"/>
              </w:rPr>
              <w:t>)</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Jul-18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Mar-19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50,000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Identification of potential technology pathway for each sector</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Review of lower-GWP alternatives in each sector including assessment of commercial availability of alternatives and components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Dec-18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30,000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Technical reports for each sector</w:t>
            </w:r>
          </w:p>
        </w:tc>
        <w:tc>
          <w:tcPr>
            <w:tcW w:w="556" w:type="pct"/>
          </w:tcPr>
          <w:p w:rsidR="001E6BFB" w:rsidRPr="001E6BFB" w:rsidRDefault="001E6BFB" w:rsidP="001E6BFB">
            <w:pPr>
              <w:widowControl w:val="0"/>
              <w:jc w:val="left"/>
              <w:rPr>
                <w:sz w:val="20"/>
                <w:szCs w:val="20"/>
                <w:lang w:val="en-US"/>
              </w:rPr>
            </w:pP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lastRenderedPageBreak/>
              <w:t>Development of phase-down scenarios, technology pathway, and draft strategy</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50,000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Draft strategy with recommendations for policy and regulatory actions to enable compliance</w:t>
            </w:r>
          </w:p>
        </w:tc>
        <w:tc>
          <w:tcPr>
            <w:tcW w:w="556" w:type="pct"/>
          </w:tcPr>
          <w:p w:rsidR="001E6BFB" w:rsidRPr="001E6BFB" w:rsidRDefault="001E6BFB" w:rsidP="001E6BFB">
            <w:pPr>
              <w:widowControl w:val="0"/>
              <w:jc w:val="left"/>
              <w:rPr>
                <w:sz w:val="20"/>
                <w:szCs w:val="20"/>
                <w:lang w:val="en-US"/>
              </w:rPr>
            </w:pP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National consultation workshop (draft strategy)</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Mar-19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summary report</w:t>
            </w:r>
          </w:p>
        </w:tc>
        <w:tc>
          <w:tcPr>
            <w:tcW w:w="556" w:type="pct"/>
          </w:tcPr>
          <w:p w:rsidR="001E6BFB" w:rsidRPr="001E6BFB" w:rsidRDefault="001E6BFB" w:rsidP="001E6BFB">
            <w:pPr>
              <w:widowControl w:val="0"/>
              <w:jc w:val="left"/>
              <w:rPr>
                <w:sz w:val="20"/>
                <w:szCs w:val="20"/>
                <w:lang w:val="en-US"/>
              </w:rPr>
            </w:pP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Information dissemination on the Kigali Amendment</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Public/ industry /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May-19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Information package</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Public consultation for ratification of Kigali Amendment</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Public/ industry /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May-19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20,000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National consultation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Initial process before ratification of Kigali Amendment</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National consultation workshop (ratification)</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Parliament/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May-19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Support by members of Parliament on the ratification bill</w:t>
            </w:r>
          </w:p>
        </w:tc>
      </w:tr>
      <w:tr w:rsidR="001E6BFB" w:rsidRPr="001E6BFB" w:rsidTr="001E6BFB">
        <w:tc>
          <w:tcPr>
            <w:tcW w:w="1405" w:type="pct"/>
          </w:tcPr>
          <w:p w:rsidR="001E6BFB" w:rsidRPr="001E6BFB" w:rsidRDefault="001E6BFB" w:rsidP="001E6BFB">
            <w:pPr>
              <w:widowControl w:val="0"/>
              <w:jc w:val="left"/>
              <w:rPr>
                <w:sz w:val="20"/>
                <w:szCs w:val="20"/>
                <w:lang w:val="en-US"/>
              </w:rPr>
            </w:pPr>
            <w:r w:rsidRPr="001E6BFB">
              <w:rPr>
                <w:sz w:val="20"/>
                <w:szCs w:val="20"/>
                <w:lang w:val="en-US"/>
              </w:rPr>
              <w:t>Total</w:t>
            </w:r>
          </w:p>
        </w:tc>
        <w:tc>
          <w:tcPr>
            <w:tcW w:w="534" w:type="pct"/>
          </w:tcPr>
          <w:p w:rsidR="001E6BFB" w:rsidRPr="001E6BFB" w:rsidRDefault="001E6BFB" w:rsidP="001E6BFB">
            <w:pPr>
              <w:widowControl w:val="0"/>
              <w:jc w:val="center"/>
              <w:rPr>
                <w:sz w:val="20"/>
                <w:szCs w:val="20"/>
                <w:lang w:val="en-US"/>
              </w:rPr>
            </w:pPr>
          </w:p>
        </w:tc>
        <w:tc>
          <w:tcPr>
            <w:tcW w:w="561" w:type="pct"/>
          </w:tcPr>
          <w:p w:rsidR="001E6BFB" w:rsidRPr="001E6BFB" w:rsidRDefault="001E6BFB" w:rsidP="001E6BFB">
            <w:pPr>
              <w:widowControl w:val="0"/>
              <w:jc w:val="center"/>
              <w:rPr>
                <w:sz w:val="20"/>
                <w:szCs w:val="20"/>
                <w:lang w:val="en-US"/>
              </w:rPr>
            </w:pPr>
          </w:p>
        </w:tc>
        <w:tc>
          <w:tcPr>
            <w:tcW w:w="419" w:type="pct"/>
          </w:tcPr>
          <w:p w:rsidR="001E6BFB" w:rsidRPr="001E6BFB" w:rsidRDefault="001E6BFB" w:rsidP="001E6BFB">
            <w:pPr>
              <w:widowControl w:val="0"/>
              <w:jc w:val="center"/>
              <w:rPr>
                <w:sz w:val="20"/>
                <w:szCs w:val="20"/>
                <w:lang w:val="en-US"/>
              </w:rPr>
            </w:pPr>
          </w:p>
        </w:tc>
        <w:tc>
          <w:tcPr>
            <w:tcW w:w="419" w:type="pct"/>
          </w:tcPr>
          <w:p w:rsidR="001E6BFB" w:rsidRPr="001E6BFB" w:rsidRDefault="001E6BFB" w:rsidP="001E6BFB">
            <w:pPr>
              <w:widowControl w:val="0"/>
              <w:jc w:val="center"/>
              <w:rPr>
                <w:sz w:val="20"/>
                <w:szCs w:val="20"/>
                <w:lang w:val="en-US"/>
              </w:rPr>
            </w:pPr>
          </w:p>
        </w:tc>
        <w:tc>
          <w:tcPr>
            <w:tcW w:w="397" w:type="pct"/>
          </w:tcPr>
          <w:p w:rsidR="001E6BFB" w:rsidRPr="001E6BFB" w:rsidRDefault="001E6BFB" w:rsidP="001E6BFB">
            <w:pPr>
              <w:widowControl w:val="0"/>
              <w:jc w:val="center"/>
              <w:rPr>
                <w:sz w:val="20"/>
                <w:szCs w:val="20"/>
                <w:lang w:val="en-US"/>
              </w:rPr>
            </w:pPr>
            <w:r w:rsidRPr="001E6BFB">
              <w:rPr>
                <w:sz w:val="20"/>
                <w:szCs w:val="20"/>
                <w:lang w:val="en-US"/>
              </w:rPr>
              <w:t>250,000</w:t>
            </w:r>
          </w:p>
        </w:tc>
        <w:tc>
          <w:tcPr>
            <w:tcW w:w="710" w:type="pct"/>
          </w:tcPr>
          <w:p w:rsidR="001E6BFB" w:rsidRPr="001E6BFB" w:rsidRDefault="001E6BFB" w:rsidP="001E6BFB">
            <w:pPr>
              <w:widowControl w:val="0"/>
              <w:jc w:val="left"/>
              <w:rPr>
                <w:sz w:val="20"/>
                <w:szCs w:val="20"/>
                <w:lang w:val="en-US"/>
              </w:rPr>
            </w:pPr>
          </w:p>
        </w:tc>
        <w:tc>
          <w:tcPr>
            <w:tcW w:w="556" w:type="pct"/>
          </w:tcPr>
          <w:p w:rsidR="001E6BFB" w:rsidRPr="001E6BFB" w:rsidRDefault="001E6BFB" w:rsidP="001E6BFB">
            <w:pPr>
              <w:widowControl w:val="0"/>
              <w:jc w:val="left"/>
              <w:rPr>
                <w:sz w:val="20"/>
                <w:szCs w:val="20"/>
                <w:lang w:val="en-US"/>
              </w:rPr>
            </w:pPr>
          </w:p>
        </w:tc>
      </w:tr>
    </w:tbl>
    <w:p w:rsidR="001E6BFB" w:rsidRPr="001E6BFB" w:rsidRDefault="001E6BFB" w:rsidP="001E6BFB">
      <w:pPr>
        <w:jc w:val="left"/>
        <w:rPr>
          <w:rFonts w:eastAsia="SimSun"/>
          <w:sz w:val="24"/>
          <w:szCs w:val="24"/>
          <w:lang w:val="en-CA"/>
        </w:rPr>
      </w:pPr>
    </w:p>
    <w:p w:rsidR="001E6BFB" w:rsidRPr="001E6BFB" w:rsidRDefault="001E6BFB" w:rsidP="001E6BFB">
      <w:pPr>
        <w:keepNext/>
        <w:keepLines/>
        <w:spacing w:before="200" w:line="276" w:lineRule="auto"/>
        <w:ind w:left="720" w:hanging="720"/>
        <w:jc w:val="left"/>
        <w:outlineLvl w:val="1"/>
        <w:rPr>
          <w:rFonts w:eastAsiaTheme="majorEastAsia" w:cstheme="majorBidi"/>
          <w:sz w:val="24"/>
          <w:szCs w:val="24"/>
          <w:lang w:val="en-US"/>
        </w:rPr>
        <w:sectPr w:rsidR="001E6BFB" w:rsidRPr="001E6BFB" w:rsidSect="001E6BFB">
          <w:pgSz w:w="15840" w:h="12240" w:orient="landscape"/>
          <w:pgMar w:top="1440" w:right="1440" w:bottom="1440" w:left="1440" w:header="720" w:footer="720" w:gutter="0"/>
          <w:cols w:space="720"/>
          <w:docGrid w:linePitch="360"/>
        </w:sectPr>
      </w:pPr>
    </w:p>
    <w:p w:rsidR="001E6BFB" w:rsidRPr="001E6BFB" w:rsidRDefault="001E6BFB" w:rsidP="001E6BFB">
      <w:pPr>
        <w:keepNext/>
        <w:keepLines/>
        <w:spacing w:before="200" w:line="276" w:lineRule="auto"/>
        <w:ind w:left="720" w:hanging="720"/>
        <w:jc w:val="left"/>
        <w:outlineLvl w:val="1"/>
        <w:rPr>
          <w:rFonts w:eastAsiaTheme="majorEastAsia" w:cstheme="majorBidi"/>
          <w:b/>
          <w:bCs/>
          <w:sz w:val="24"/>
          <w:szCs w:val="24"/>
          <w:lang w:val="en-US"/>
        </w:rPr>
      </w:pPr>
      <w:r w:rsidRPr="001E6BFB">
        <w:rPr>
          <w:rFonts w:eastAsiaTheme="majorEastAsia" w:cstheme="majorBidi"/>
          <w:b/>
          <w:bCs/>
          <w:sz w:val="24"/>
          <w:szCs w:val="24"/>
          <w:lang w:val="en-US"/>
        </w:rPr>
        <w:lastRenderedPageBreak/>
        <w:t xml:space="preserve">Institutional arrangements </w:t>
      </w:r>
    </w:p>
    <w:p w:rsidR="001E6BFB" w:rsidRPr="001E6BFB" w:rsidRDefault="001E6BFB" w:rsidP="001E6BFB">
      <w:pPr>
        <w:spacing w:after="120"/>
        <w:jc w:val="thaiDistribute"/>
        <w:rPr>
          <w:rFonts w:eastAsia="SimSun"/>
          <w:color w:val="000000"/>
          <w:sz w:val="24"/>
          <w:szCs w:val="24"/>
          <w:lang w:val="en-US"/>
        </w:rPr>
      </w:pPr>
      <w:r w:rsidRPr="001E6BFB">
        <w:rPr>
          <w:rFonts w:eastAsia="SimSun"/>
          <w:sz w:val="24"/>
          <w:szCs w:val="24"/>
          <w:lang w:val="en-US"/>
        </w:rPr>
        <w:t>Brief background of relevant agencies that will be involved in HFC enabling activities is summarized as follow:</w:t>
      </w:r>
    </w:p>
    <w:p w:rsidR="001E6BFB" w:rsidRPr="001E6BFB" w:rsidRDefault="001E6BFB" w:rsidP="001E6BFB">
      <w:pPr>
        <w:numPr>
          <w:ilvl w:val="0"/>
          <w:numId w:val="36"/>
        </w:numPr>
        <w:autoSpaceDE w:val="0"/>
        <w:autoSpaceDN w:val="0"/>
        <w:adjustRightInd w:val="0"/>
        <w:contextualSpacing/>
        <w:jc w:val="left"/>
        <w:rPr>
          <w:rFonts w:eastAsia="SimSun"/>
          <w:sz w:val="24"/>
          <w:szCs w:val="24"/>
          <w:lang w:val="en-US" w:bidi="hi-IN"/>
        </w:rPr>
      </w:pPr>
      <w:r w:rsidRPr="001E6BFB">
        <w:rPr>
          <w:rFonts w:eastAsia="SimSun"/>
          <w:sz w:val="24"/>
          <w:szCs w:val="24"/>
          <w:lang w:val="en-US" w:bidi="hi-IN"/>
        </w:rPr>
        <w:t>Malaysia established the Ozone Protection Unit within the Department of Environment (DOE) to respond to mandates of the Montreal Protocol. The Ozone Protection Unit (OPU) within the Air Division of the Department of Environment, plays a lead role in the Government’s sustained efforts to phase-out ODS in the country.</w:t>
      </w:r>
    </w:p>
    <w:p w:rsidR="001E6BFB" w:rsidRPr="001E6BFB" w:rsidRDefault="001E6BFB" w:rsidP="001E6BFB">
      <w:pPr>
        <w:numPr>
          <w:ilvl w:val="0"/>
          <w:numId w:val="36"/>
        </w:numPr>
        <w:autoSpaceDE w:val="0"/>
        <w:autoSpaceDN w:val="0"/>
        <w:adjustRightInd w:val="0"/>
        <w:contextualSpacing/>
        <w:jc w:val="left"/>
        <w:rPr>
          <w:rFonts w:eastAsia="SimSun"/>
          <w:sz w:val="24"/>
          <w:szCs w:val="24"/>
          <w:lang w:val="en-US" w:bidi="hi-IN"/>
        </w:rPr>
      </w:pPr>
      <w:r w:rsidRPr="001E6BFB">
        <w:rPr>
          <w:rFonts w:eastAsia="SimSun"/>
          <w:sz w:val="24"/>
          <w:szCs w:val="24"/>
          <w:lang w:val="en-US" w:bidi="hi-IN"/>
        </w:rPr>
        <w:t>The OPU is also the Secretariat to the National Steering Committee (NSC) for the Protection of Ozone Layer that serves as an advisory body to the Government to provide strategic and policy guidance for implementation of the Montreal Protocol. The Chair of the NSC is the Secretary General of the Ministry of Natural Resources and Environment. There are various working groups for the implementation of Montreal Protocol in Malaysia and the OPU acts as their coordinating body.</w:t>
      </w:r>
    </w:p>
    <w:p w:rsidR="001E6BFB" w:rsidRPr="001E6BFB" w:rsidRDefault="001E6BFB" w:rsidP="001E6BFB">
      <w:pPr>
        <w:numPr>
          <w:ilvl w:val="0"/>
          <w:numId w:val="36"/>
        </w:numPr>
        <w:autoSpaceDE w:val="0"/>
        <w:autoSpaceDN w:val="0"/>
        <w:adjustRightInd w:val="0"/>
        <w:contextualSpacing/>
        <w:jc w:val="left"/>
        <w:rPr>
          <w:rFonts w:eastAsia="SimSun"/>
          <w:sz w:val="24"/>
          <w:szCs w:val="24"/>
          <w:lang w:val="en-US" w:bidi="hi-IN"/>
        </w:rPr>
      </w:pPr>
      <w:r w:rsidRPr="001E6BFB">
        <w:rPr>
          <w:rFonts w:eastAsia="SimSun"/>
          <w:sz w:val="24"/>
          <w:szCs w:val="24"/>
          <w:lang w:val="en-US" w:bidi="hi-IN"/>
        </w:rPr>
        <w:t>Ministry of International Trade and Industry (MITI) administers the Application Import Permit System (AP System) which is one of the primary systems of controls on ODS. MITI, in consultation with DOW, set the import quota of ODS that can be imported in any year. The amount is reduced each year in line with the Montreal Protocol obligations.</w:t>
      </w:r>
    </w:p>
    <w:p w:rsidR="001E6BFB" w:rsidRPr="001E6BFB" w:rsidRDefault="001E6BFB" w:rsidP="001E6BFB">
      <w:pPr>
        <w:autoSpaceDE w:val="0"/>
        <w:autoSpaceDN w:val="0"/>
        <w:adjustRightInd w:val="0"/>
        <w:jc w:val="left"/>
        <w:rPr>
          <w:rFonts w:eastAsia="SimSun"/>
          <w:color w:val="000000"/>
          <w:sz w:val="24"/>
          <w:szCs w:val="24"/>
          <w:lang w:val="en-US" w:bidi="hi-IN"/>
        </w:rPr>
      </w:pPr>
    </w:p>
    <w:p w:rsidR="001E6BFB" w:rsidRPr="001E6BFB" w:rsidRDefault="001E6BFB" w:rsidP="001E6BFB">
      <w:pPr>
        <w:jc w:val="left"/>
        <w:rPr>
          <w:rFonts w:eastAsia="SimSun"/>
          <w:sz w:val="24"/>
          <w:szCs w:val="24"/>
          <w:lang w:val="en-US"/>
        </w:rPr>
      </w:pPr>
      <w:r w:rsidRPr="001E6BFB">
        <w:rPr>
          <w:rFonts w:eastAsia="SimSun"/>
          <w:sz w:val="24"/>
          <w:szCs w:val="24"/>
          <w:lang w:val="en-US"/>
        </w:rPr>
        <w:br w:type="page"/>
      </w:r>
    </w:p>
    <w:p w:rsidR="001E6BFB" w:rsidRPr="001E6BFB" w:rsidRDefault="001E6BFB" w:rsidP="001E6BFB">
      <w:pPr>
        <w:spacing w:after="200"/>
        <w:jc w:val="left"/>
        <w:rPr>
          <w:rFonts w:eastAsia="SimSun"/>
          <w:b/>
          <w:bCs/>
          <w:color w:val="000000"/>
          <w:lang w:val="en-US"/>
        </w:rPr>
      </w:pPr>
      <w:bookmarkStart w:id="7" w:name="_Ref493249057"/>
      <w:r w:rsidRPr="001E6BFB">
        <w:rPr>
          <w:rFonts w:eastAsia="SimSun"/>
          <w:b/>
          <w:bCs/>
          <w:color w:val="000000"/>
          <w:lang w:val="en-US"/>
        </w:rPr>
        <w:lastRenderedPageBreak/>
        <w:t xml:space="preserve">Annex </w:t>
      </w:r>
      <w:r w:rsidRPr="001E6BFB">
        <w:rPr>
          <w:rFonts w:eastAsia="SimSun"/>
          <w:b/>
          <w:bCs/>
          <w:color w:val="000000"/>
          <w:lang w:val="en-US"/>
        </w:rPr>
        <w:fldChar w:fldCharType="begin"/>
      </w:r>
      <w:r w:rsidRPr="001E6BFB">
        <w:rPr>
          <w:rFonts w:eastAsia="SimSun"/>
          <w:b/>
          <w:bCs/>
          <w:color w:val="000000"/>
          <w:lang w:val="en-US"/>
        </w:rPr>
        <w:instrText xml:space="preserve"> SEQ Annex \* ARABIC </w:instrText>
      </w:r>
      <w:r w:rsidRPr="001E6BFB">
        <w:rPr>
          <w:rFonts w:eastAsia="SimSun"/>
          <w:b/>
          <w:bCs/>
          <w:color w:val="000000"/>
          <w:lang w:val="en-US"/>
        </w:rPr>
        <w:fldChar w:fldCharType="separate"/>
      </w:r>
      <w:r w:rsidR="00AB7308">
        <w:rPr>
          <w:rFonts w:eastAsia="SimSun"/>
          <w:b/>
          <w:bCs/>
          <w:noProof/>
          <w:color w:val="000000"/>
          <w:lang w:val="en-US"/>
        </w:rPr>
        <w:t>3</w:t>
      </w:r>
      <w:r w:rsidRPr="001E6BFB">
        <w:rPr>
          <w:rFonts w:eastAsia="SimSun"/>
          <w:b/>
          <w:bCs/>
          <w:color w:val="000000"/>
          <w:lang w:val="en-US"/>
        </w:rPr>
        <w:fldChar w:fldCharType="end"/>
      </w:r>
      <w:bookmarkEnd w:id="7"/>
      <w:r w:rsidRPr="001E6BFB">
        <w:rPr>
          <w:rFonts w:eastAsia="SimSun"/>
          <w:b/>
          <w:bCs/>
          <w:color w:val="000000"/>
          <w:lang w:val="en-US"/>
        </w:rPr>
        <w:t>: HFC Enabling Activities for Philippines</w:t>
      </w:r>
    </w:p>
    <w:p w:rsidR="001E6BFB" w:rsidRPr="001E6BFB" w:rsidRDefault="001E6BFB" w:rsidP="001E6BFB">
      <w:pPr>
        <w:jc w:val="left"/>
        <w:rPr>
          <w:rFonts w:eastAsia="SimSun"/>
          <w:sz w:val="24"/>
          <w:szCs w:val="24"/>
          <w:lang w:val="en-US"/>
        </w:rPr>
      </w:pPr>
    </w:p>
    <w:p w:rsidR="001E6BFB" w:rsidRPr="001E6BFB" w:rsidRDefault="001E6BFB" w:rsidP="001E6BFB">
      <w:pPr>
        <w:keepNext/>
        <w:keepLines/>
        <w:spacing w:before="200"/>
        <w:jc w:val="left"/>
        <w:outlineLvl w:val="1"/>
        <w:rPr>
          <w:rFonts w:eastAsiaTheme="majorEastAsia" w:cstheme="majorBidi"/>
          <w:sz w:val="24"/>
          <w:szCs w:val="24"/>
          <w:lang w:val="en-US"/>
        </w:rPr>
      </w:pPr>
      <w:bookmarkStart w:id="8" w:name="_Ref493249066"/>
      <w:r w:rsidRPr="001E6BFB">
        <w:rPr>
          <w:rFonts w:eastAsiaTheme="majorEastAsia" w:cstheme="majorBidi"/>
          <w:b/>
          <w:bCs/>
          <w:sz w:val="24"/>
          <w:szCs w:val="24"/>
          <w:lang w:val="en-US"/>
        </w:rPr>
        <w:t>Background</w:t>
      </w:r>
    </w:p>
    <w:p w:rsidR="001E6BFB" w:rsidRPr="001E6BFB" w:rsidRDefault="001E6BFB" w:rsidP="001E6BFB">
      <w:pPr>
        <w:jc w:val="left"/>
        <w:rPr>
          <w:rFonts w:eastAsia="SimSun"/>
          <w:color w:val="000000"/>
          <w:lang w:val="en-US"/>
        </w:rPr>
      </w:pPr>
    </w:p>
    <w:p w:rsidR="001E6BFB" w:rsidRPr="001E6BFB" w:rsidRDefault="001E6BFB" w:rsidP="001E6BFB">
      <w:pPr>
        <w:spacing w:after="120"/>
        <w:rPr>
          <w:rFonts w:eastAsia="SimSun"/>
          <w:color w:val="000000"/>
          <w:lang w:val="en-US"/>
        </w:rPr>
      </w:pPr>
      <w:r w:rsidRPr="001E6BFB">
        <w:rPr>
          <w:rFonts w:eastAsia="SimSun"/>
          <w:color w:val="000000"/>
          <w:lang w:val="en-US"/>
        </w:rPr>
        <w:t xml:space="preserve">The Philippines is fully committed to the Montreal Protocol (MP). It signed the Protocol on September 14, 1988 and ratified both the Vienna Convention for the Protection of the Ozone Layer and the Montreal Protocol on Substances that Deplete the Ozone Layer in July 1991. As of 1 January 2010, the Philippines has fulfilled its commitment to phase out consumption of all controlled substances with the exception of </w:t>
      </w:r>
      <w:proofErr w:type="spellStart"/>
      <w:r w:rsidRPr="001E6BFB">
        <w:rPr>
          <w:rFonts w:eastAsia="SimSun"/>
          <w:color w:val="000000"/>
          <w:lang w:val="en-US"/>
        </w:rPr>
        <w:t>hydrochlorofluorocarbons</w:t>
      </w:r>
      <w:proofErr w:type="spellEnd"/>
      <w:r w:rsidRPr="001E6BFB">
        <w:rPr>
          <w:rFonts w:eastAsia="SimSun"/>
          <w:color w:val="000000"/>
          <w:lang w:val="en-US"/>
        </w:rPr>
        <w:t xml:space="preserve"> (HCFCs). </w:t>
      </w:r>
    </w:p>
    <w:p w:rsidR="001E6BFB" w:rsidRPr="001E6BFB" w:rsidRDefault="001E6BFB" w:rsidP="001E6BFB">
      <w:pPr>
        <w:spacing w:after="120"/>
        <w:rPr>
          <w:rFonts w:eastAsia="SimSun"/>
          <w:color w:val="000000"/>
          <w:lang w:val="en-US"/>
        </w:rPr>
      </w:pPr>
      <w:r w:rsidRPr="001E6BFB">
        <w:rPr>
          <w:rFonts w:eastAsia="SimSun"/>
          <w:color w:val="000000"/>
          <w:lang w:val="en-US"/>
        </w:rPr>
        <w:t xml:space="preserve">Various chemical and physical properties of HFCs and other alternatives make them suitable refrigerants and blowing agents. They also have several other industrial application-friendly properties like superior solvent abilities for which they’re extensively used in various applications like fire-extinguishers, aerosols etc. </w:t>
      </w:r>
    </w:p>
    <w:p w:rsidR="001E6BFB" w:rsidRPr="001E6BFB" w:rsidRDefault="001E6BFB" w:rsidP="001E6BFB">
      <w:pPr>
        <w:spacing w:after="120"/>
        <w:rPr>
          <w:rFonts w:eastAsia="SimSun"/>
          <w:color w:val="000000"/>
          <w:lang w:val="en-US"/>
        </w:rPr>
      </w:pPr>
      <w:r w:rsidRPr="001E6BFB">
        <w:rPr>
          <w:rFonts w:eastAsia="SimSun"/>
          <w:color w:val="000000"/>
          <w:lang w:val="en-US"/>
        </w:rPr>
        <w:t xml:space="preserve">The main consumption of HFCs in the Philippines has been observed in the refrigeration and air-conditioning applications such as: unitary air-conditioning, chiller, domestic refrigerator, commercial and industrial refrigeration, transportation refrigeration. There are also HFC consumption in other sectors including: aerosol, </w:t>
      </w:r>
      <w:proofErr w:type="spellStart"/>
      <w:r w:rsidRPr="001E6BFB">
        <w:rPr>
          <w:rFonts w:eastAsia="SimSun"/>
          <w:color w:val="000000"/>
          <w:lang w:val="en-US"/>
        </w:rPr>
        <w:t>fire fighting</w:t>
      </w:r>
      <w:proofErr w:type="spellEnd"/>
      <w:r w:rsidRPr="001E6BFB">
        <w:rPr>
          <w:rFonts w:eastAsia="SimSun"/>
          <w:color w:val="000000"/>
          <w:lang w:val="en-US"/>
        </w:rPr>
        <w:t xml:space="preserve">, foam, and solvent. </w:t>
      </w:r>
    </w:p>
    <w:p w:rsidR="001E6BFB" w:rsidRPr="001E6BFB" w:rsidRDefault="001E6BFB" w:rsidP="001E6BFB">
      <w:pPr>
        <w:keepNext/>
        <w:keepLines/>
        <w:spacing w:after="120"/>
        <w:outlineLvl w:val="1"/>
        <w:rPr>
          <w:rFonts w:eastAsiaTheme="majorEastAsia" w:cstheme="majorBidi"/>
          <w:sz w:val="24"/>
          <w:szCs w:val="24"/>
          <w:lang w:val="en-US"/>
        </w:rPr>
      </w:pPr>
      <w:r w:rsidRPr="001E6BFB">
        <w:rPr>
          <w:rFonts w:eastAsiaTheme="majorEastAsia" w:cstheme="majorBidi"/>
          <w:sz w:val="24"/>
          <w:szCs w:val="24"/>
          <w:lang w:val="en-US"/>
        </w:rPr>
        <w:t>Preliminary results of ODS alternatives survey shows major import of HFCs in 2015 as summarized in table below.</w:t>
      </w:r>
    </w:p>
    <w:tbl>
      <w:tblPr>
        <w:tblStyle w:val="TableGrid10"/>
        <w:tblW w:w="0" w:type="auto"/>
        <w:jc w:val="center"/>
        <w:tblLook w:val="04A0" w:firstRow="1" w:lastRow="0" w:firstColumn="1" w:lastColumn="0" w:noHBand="0" w:noVBand="1"/>
      </w:tblPr>
      <w:tblGrid>
        <w:gridCol w:w="1426"/>
        <w:gridCol w:w="1249"/>
      </w:tblGrid>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 xml:space="preserve">HFC </w:t>
            </w:r>
          </w:p>
        </w:tc>
        <w:tc>
          <w:tcPr>
            <w:tcW w:w="0" w:type="auto"/>
          </w:tcPr>
          <w:p w:rsidR="001E6BFB" w:rsidRPr="001E6BFB" w:rsidRDefault="001E6BFB" w:rsidP="001E6BFB">
            <w:pPr>
              <w:jc w:val="left"/>
              <w:rPr>
                <w:szCs w:val="24"/>
                <w:lang w:val="en-US"/>
              </w:rPr>
            </w:pPr>
            <w:r w:rsidRPr="001E6BFB">
              <w:rPr>
                <w:szCs w:val="24"/>
                <w:lang w:val="en-US"/>
              </w:rPr>
              <w:t>Import (mt)</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HFC-134a</w:t>
            </w:r>
          </w:p>
        </w:tc>
        <w:tc>
          <w:tcPr>
            <w:tcW w:w="0" w:type="auto"/>
          </w:tcPr>
          <w:p w:rsidR="001E6BFB" w:rsidRPr="001E6BFB" w:rsidRDefault="001E6BFB" w:rsidP="001E6BFB">
            <w:pPr>
              <w:jc w:val="right"/>
              <w:rPr>
                <w:szCs w:val="24"/>
                <w:lang w:val="en-US"/>
              </w:rPr>
            </w:pPr>
            <w:r w:rsidRPr="001E6BFB">
              <w:rPr>
                <w:szCs w:val="24"/>
                <w:lang w:val="en-US"/>
              </w:rPr>
              <w:t>1,064</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R-410A</w:t>
            </w:r>
          </w:p>
        </w:tc>
        <w:tc>
          <w:tcPr>
            <w:tcW w:w="0" w:type="auto"/>
          </w:tcPr>
          <w:p w:rsidR="001E6BFB" w:rsidRPr="001E6BFB" w:rsidRDefault="001E6BFB" w:rsidP="001E6BFB">
            <w:pPr>
              <w:jc w:val="right"/>
              <w:rPr>
                <w:szCs w:val="24"/>
                <w:lang w:val="en-US"/>
              </w:rPr>
            </w:pPr>
            <w:r w:rsidRPr="001E6BFB">
              <w:rPr>
                <w:szCs w:val="24"/>
                <w:lang w:val="en-US"/>
              </w:rPr>
              <w:t>312</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R-404A</w:t>
            </w:r>
          </w:p>
        </w:tc>
        <w:tc>
          <w:tcPr>
            <w:tcW w:w="0" w:type="auto"/>
          </w:tcPr>
          <w:p w:rsidR="001E6BFB" w:rsidRPr="001E6BFB" w:rsidRDefault="001E6BFB" w:rsidP="001E6BFB">
            <w:pPr>
              <w:jc w:val="right"/>
              <w:rPr>
                <w:szCs w:val="24"/>
                <w:lang w:val="en-US"/>
              </w:rPr>
            </w:pPr>
            <w:r w:rsidRPr="001E6BFB">
              <w:rPr>
                <w:szCs w:val="24"/>
                <w:lang w:val="en-US"/>
              </w:rPr>
              <w:t>170</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R-507</w:t>
            </w:r>
          </w:p>
        </w:tc>
        <w:tc>
          <w:tcPr>
            <w:tcW w:w="0" w:type="auto"/>
          </w:tcPr>
          <w:p w:rsidR="001E6BFB" w:rsidRPr="001E6BFB" w:rsidRDefault="001E6BFB" w:rsidP="001E6BFB">
            <w:pPr>
              <w:jc w:val="right"/>
              <w:rPr>
                <w:szCs w:val="24"/>
                <w:lang w:val="en-US"/>
              </w:rPr>
            </w:pPr>
            <w:r w:rsidRPr="001E6BFB">
              <w:rPr>
                <w:szCs w:val="24"/>
                <w:lang w:val="en-US"/>
              </w:rPr>
              <w:t>30</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R-407C</w:t>
            </w:r>
          </w:p>
        </w:tc>
        <w:tc>
          <w:tcPr>
            <w:tcW w:w="0" w:type="auto"/>
          </w:tcPr>
          <w:p w:rsidR="001E6BFB" w:rsidRPr="001E6BFB" w:rsidRDefault="001E6BFB" w:rsidP="001E6BFB">
            <w:pPr>
              <w:jc w:val="right"/>
              <w:rPr>
                <w:szCs w:val="24"/>
                <w:lang w:val="en-US"/>
              </w:rPr>
            </w:pPr>
            <w:r w:rsidRPr="001E6BFB">
              <w:rPr>
                <w:szCs w:val="24"/>
                <w:lang w:val="en-US"/>
              </w:rPr>
              <w:t>27</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HFC-236fa</w:t>
            </w:r>
          </w:p>
        </w:tc>
        <w:tc>
          <w:tcPr>
            <w:tcW w:w="0" w:type="auto"/>
          </w:tcPr>
          <w:p w:rsidR="001E6BFB" w:rsidRPr="001E6BFB" w:rsidRDefault="001E6BFB" w:rsidP="001E6BFB">
            <w:pPr>
              <w:jc w:val="right"/>
              <w:rPr>
                <w:szCs w:val="24"/>
                <w:lang w:val="en-US"/>
              </w:rPr>
            </w:pPr>
            <w:r w:rsidRPr="001E6BFB">
              <w:rPr>
                <w:szCs w:val="24"/>
                <w:lang w:val="en-US"/>
              </w:rPr>
              <w:t>24</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Other HFCs</w:t>
            </w:r>
            <w:r w:rsidRPr="001E6BFB">
              <w:rPr>
                <w:szCs w:val="24"/>
                <w:vertAlign w:val="superscript"/>
                <w:lang w:val="en-US"/>
              </w:rPr>
              <w:footnoteReference w:id="14"/>
            </w:r>
          </w:p>
        </w:tc>
        <w:tc>
          <w:tcPr>
            <w:tcW w:w="0" w:type="auto"/>
          </w:tcPr>
          <w:p w:rsidR="001E6BFB" w:rsidRPr="001E6BFB" w:rsidRDefault="001E6BFB" w:rsidP="001E6BFB">
            <w:pPr>
              <w:jc w:val="right"/>
              <w:rPr>
                <w:szCs w:val="24"/>
                <w:lang w:val="en-US"/>
              </w:rPr>
            </w:pPr>
            <w:r w:rsidRPr="001E6BFB">
              <w:rPr>
                <w:szCs w:val="24"/>
                <w:lang w:val="en-US"/>
              </w:rPr>
              <w:t>12</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Total</w:t>
            </w:r>
          </w:p>
        </w:tc>
        <w:tc>
          <w:tcPr>
            <w:tcW w:w="0" w:type="auto"/>
          </w:tcPr>
          <w:p w:rsidR="001E6BFB" w:rsidRPr="001E6BFB" w:rsidRDefault="001E6BFB" w:rsidP="001E6BFB">
            <w:pPr>
              <w:jc w:val="right"/>
              <w:rPr>
                <w:szCs w:val="24"/>
                <w:lang w:val="en-US"/>
              </w:rPr>
            </w:pPr>
            <w:r w:rsidRPr="001E6BFB">
              <w:rPr>
                <w:szCs w:val="24"/>
                <w:lang w:val="en-US"/>
              </w:rPr>
              <w:t>1,639</w:t>
            </w:r>
          </w:p>
        </w:tc>
      </w:tr>
    </w:tbl>
    <w:p w:rsidR="001E6BFB" w:rsidRPr="001E6BFB" w:rsidRDefault="001E6BFB" w:rsidP="001E6BFB">
      <w:pPr>
        <w:jc w:val="left"/>
        <w:rPr>
          <w:rFonts w:eastAsia="SimSun"/>
          <w:sz w:val="24"/>
          <w:szCs w:val="24"/>
          <w:lang w:val="en-US"/>
        </w:rPr>
      </w:pPr>
    </w:p>
    <w:p w:rsidR="001E6BFB" w:rsidRPr="001E6BFB" w:rsidRDefault="001E6BFB" w:rsidP="001E6BFB">
      <w:pPr>
        <w:keepNext/>
        <w:keepLines/>
        <w:spacing w:before="200"/>
        <w:jc w:val="left"/>
        <w:outlineLvl w:val="1"/>
        <w:rPr>
          <w:rFonts w:eastAsiaTheme="majorEastAsia" w:cstheme="majorBidi"/>
          <w:b/>
          <w:bCs/>
          <w:sz w:val="24"/>
          <w:szCs w:val="24"/>
          <w:lang w:val="en-US"/>
        </w:rPr>
      </w:pPr>
    </w:p>
    <w:p w:rsidR="001E6BFB" w:rsidRPr="001E6BFB" w:rsidRDefault="001E6BFB" w:rsidP="001E6BFB">
      <w:pPr>
        <w:jc w:val="left"/>
        <w:rPr>
          <w:rFonts w:eastAsia="SimSun"/>
          <w:b/>
          <w:bCs/>
          <w:sz w:val="24"/>
          <w:szCs w:val="24"/>
          <w:lang w:val="en-US"/>
        </w:rPr>
      </w:pPr>
      <w:r w:rsidRPr="001E6BFB">
        <w:rPr>
          <w:rFonts w:eastAsia="SimSun"/>
          <w:b/>
          <w:bCs/>
          <w:sz w:val="24"/>
          <w:szCs w:val="24"/>
          <w:lang w:val="en-US"/>
        </w:rPr>
        <w:t>Objectives</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sz w:val="24"/>
          <w:szCs w:val="24"/>
          <w:lang w:val="en-US"/>
        </w:rPr>
        <w:t xml:space="preserve">The main objective for the proposed enabling activities is to enable Philippines to proceed with the ratification of the Kigali Amendment and make recommendations for policy and regulatory actions that would enable Philippines to be in compliance with the initial HFC phase-down obligations under the Amendment. </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b/>
          <w:bCs/>
          <w:sz w:val="24"/>
          <w:szCs w:val="24"/>
          <w:lang w:val="en-US"/>
        </w:rPr>
        <w:t>Proposed approach and activities</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sz w:val="24"/>
          <w:szCs w:val="24"/>
          <w:lang w:val="en-US"/>
        </w:rPr>
        <w:t>The proposed approach includes the following:</w:t>
      </w:r>
    </w:p>
    <w:p w:rsidR="001E6BFB" w:rsidRPr="001E6BFB" w:rsidRDefault="001E6BFB" w:rsidP="001E6BFB">
      <w:pPr>
        <w:widowControl w:val="0"/>
        <w:numPr>
          <w:ilvl w:val="2"/>
          <w:numId w:val="37"/>
        </w:numPr>
        <w:spacing w:after="240"/>
        <w:ind w:left="1440"/>
        <w:jc w:val="left"/>
        <w:outlineLvl w:val="2"/>
        <w:rPr>
          <w:rFonts w:eastAsia="SimSun" w:cs="Arial"/>
          <w:bCs/>
          <w:color w:val="000000" w:themeColor="text1"/>
          <w:sz w:val="24"/>
          <w:szCs w:val="24"/>
          <w:lang w:val="en-US"/>
        </w:rPr>
      </w:pPr>
      <w:r w:rsidRPr="001E6BFB">
        <w:rPr>
          <w:rFonts w:eastAsia="SimSun" w:cs="Arial"/>
          <w:bCs/>
          <w:sz w:val="24"/>
          <w:szCs w:val="24"/>
          <w:lang w:val="en-US"/>
        </w:rPr>
        <w:t>An assessment of existing domestic regulations pertaining to the ozone and climate protection in order to identify potential options to strengthen existing policy and regulatory framework to effectively control and monitor import, export, and use of HFCs.</w:t>
      </w:r>
      <w:r w:rsidRPr="001E6BFB">
        <w:rPr>
          <w:rFonts w:eastAsia="SimSun" w:cs="Arial"/>
          <w:bCs/>
          <w:color w:val="000000" w:themeColor="text1"/>
          <w:sz w:val="24"/>
          <w:szCs w:val="24"/>
          <w:lang w:val="en-US"/>
        </w:rPr>
        <w:t xml:space="preserve"> These regulations include: the Republic Act #6969, known as the "Toxic Substances and Hazardous and Nuclear Wastes Control Act of 1990" regulates, restricts, or prohibits the importation, manufacture, processing, sale, distribution, use, and disposal of chemical substances and mixtures that present unreasonable risk and/or injury to health or the environment; Chemical Control Orders (CCO); and Memorandum Circular No. 2005-03.   </w:t>
      </w:r>
    </w:p>
    <w:p w:rsidR="001E6BFB" w:rsidRPr="001E6BFB" w:rsidRDefault="001E6BFB" w:rsidP="001E6BFB">
      <w:pPr>
        <w:widowControl w:val="0"/>
        <w:numPr>
          <w:ilvl w:val="2"/>
          <w:numId w:val="37"/>
        </w:numPr>
        <w:spacing w:after="240"/>
        <w:ind w:left="1440"/>
        <w:jc w:val="left"/>
        <w:outlineLvl w:val="2"/>
        <w:rPr>
          <w:rFonts w:eastAsia="SimSun" w:cs="Arial"/>
          <w:bCs/>
          <w:sz w:val="24"/>
          <w:szCs w:val="24"/>
          <w:lang w:val="en-US"/>
        </w:rPr>
      </w:pPr>
      <w:r w:rsidRPr="001E6BFB">
        <w:rPr>
          <w:rFonts w:eastAsia="SimSun" w:cs="Arial"/>
          <w:bCs/>
          <w:sz w:val="24"/>
          <w:szCs w:val="24"/>
          <w:lang w:val="en-US"/>
        </w:rPr>
        <w:t xml:space="preserve">Capacity building for DENR-EMB, POD, BOC, and others in order to strengthen their capacity </w:t>
      </w:r>
      <w:r w:rsidRPr="001E6BFB">
        <w:rPr>
          <w:rFonts w:eastAsia="SimSun" w:cs="Arial"/>
          <w:bCs/>
          <w:sz w:val="24"/>
          <w:szCs w:val="24"/>
          <w:lang w:val="en-US"/>
        </w:rPr>
        <w:lastRenderedPageBreak/>
        <w:t>to extend existing licensing and quota systems for ozone depleting substances to cover HFCs, and to adapt existing Harmonized System (HS) of Custom Codes for tracking import/export of HFCs and HFC blends.</w:t>
      </w:r>
    </w:p>
    <w:p w:rsidR="001E6BFB" w:rsidRPr="001E6BFB" w:rsidRDefault="001E6BFB" w:rsidP="001E6BFB">
      <w:pPr>
        <w:widowControl w:val="0"/>
        <w:numPr>
          <w:ilvl w:val="2"/>
          <w:numId w:val="37"/>
        </w:numPr>
        <w:spacing w:after="240"/>
        <w:ind w:left="1440"/>
        <w:jc w:val="left"/>
        <w:outlineLvl w:val="2"/>
        <w:rPr>
          <w:rFonts w:eastAsia="SimSun" w:cs="Arial"/>
          <w:bCs/>
          <w:sz w:val="24"/>
          <w:szCs w:val="24"/>
          <w:lang w:val="en-US"/>
        </w:rPr>
      </w:pPr>
      <w:r w:rsidRPr="001E6BFB">
        <w:rPr>
          <w:rFonts w:eastAsia="SimSun" w:cs="Arial"/>
          <w:bCs/>
          <w:sz w:val="24"/>
          <w:szCs w:val="24"/>
          <w:lang w:val="en-US"/>
        </w:rPr>
        <w:t>Exploring synergy among various government agencies involved in ozone and climate protection with an aim to coordinate their efforts to control and monitor HFCs and to report HFC consumption and emissions to the relevant global environmental treaties (i.e. UNFCCC and Montreal Protocol).</w:t>
      </w:r>
    </w:p>
    <w:p w:rsidR="001E6BFB" w:rsidRPr="001E6BFB" w:rsidRDefault="001E6BFB" w:rsidP="001E6BFB">
      <w:pPr>
        <w:widowControl w:val="0"/>
        <w:numPr>
          <w:ilvl w:val="2"/>
          <w:numId w:val="37"/>
        </w:numPr>
        <w:spacing w:after="240"/>
        <w:ind w:left="1440"/>
        <w:jc w:val="left"/>
        <w:outlineLvl w:val="2"/>
        <w:rPr>
          <w:rFonts w:eastAsia="SimSun" w:cs="Arial"/>
          <w:bCs/>
          <w:sz w:val="24"/>
          <w:szCs w:val="24"/>
          <w:lang w:val="en-US"/>
        </w:rPr>
      </w:pPr>
      <w:r w:rsidRPr="001E6BFB">
        <w:rPr>
          <w:rFonts w:eastAsia="SimSun" w:cs="Arial"/>
          <w:bCs/>
          <w:sz w:val="24"/>
          <w:szCs w:val="24"/>
          <w:lang w:val="en-US"/>
        </w:rPr>
        <w:t>Review Philippines ODS alternatives survey and analyze to forecast the baseline HFC consumption level (average consumption between 2020 and 2022) and consumption beyond 2022 based on business as usual through intensive consultation with government, industry and NGOs.  The HFC consumption projection would then be compared with the maximum level allowed by the Kigali Amendment.  This would provide guidance for the Government of Philippines with regard to timing and compliance concerns.</w:t>
      </w:r>
    </w:p>
    <w:p w:rsidR="001E6BFB" w:rsidRPr="001E6BFB" w:rsidRDefault="001E6BFB" w:rsidP="001E6BFB">
      <w:pPr>
        <w:widowControl w:val="0"/>
        <w:numPr>
          <w:ilvl w:val="2"/>
          <w:numId w:val="37"/>
        </w:numPr>
        <w:spacing w:after="240"/>
        <w:ind w:left="1440"/>
        <w:jc w:val="left"/>
        <w:outlineLvl w:val="2"/>
        <w:rPr>
          <w:rFonts w:eastAsia="SimSun" w:cs="Arial"/>
          <w:bCs/>
          <w:sz w:val="24"/>
          <w:szCs w:val="24"/>
          <w:lang w:val="en-US"/>
        </w:rPr>
      </w:pPr>
      <w:r w:rsidRPr="001E6BFB">
        <w:rPr>
          <w:rFonts w:eastAsia="SimSun" w:cs="Arial"/>
          <w:bCs/>
          <w:sz w:val="24"/>
          <w:szCs w:val="24"/>
          <w:lang w:val="en-US"/>
        </w:rPr>
        <w:t>Based on the forecasted baseline HFC consumption and use, a list of alternative technologies for respective sectors will be developed.  Consultations with stakeholders to determine appropriate alternative technologies for the Philippines context would be carried out.  All alternative technologies that are currently commercially available as well as emerging technologies and expected timeframe for these technologies would become commercially available should be considered.</w:t>
      </w:r>
    </w:p>
    <w:p w:rsidR="001E6BFB" w:rsidRPr="001E6BFB" w:rsidRDefault="001E6BFB" w:rsidP="001E6BFB">
      <w:pPr>
        <w:widowControl w:val="0"/>
        <w:numPr>
          <w:ilvl w:val="2"/>
          <w:numId w:val="37"/>
        </w:numPr>
        <w:spacing w:after="240"/>
        <w:ind w:left="1440"/>
        <w:jc w:val="left"/>
        <w:outlineLvl w:val="2"/>
        <w:rPr>
          <w:rFonts w:eastAsia="SimSun" w:cs="Arial"/>
          <w:bCs/>
          <w:sz w:val="24"/>
          <w:szCs w:val="24"/>
          <w:lang w:val="en-US"/>
        </w:rPr>
      </w:pPr>
      <w:r w:rsidRPr="001E6BFB">
        <w:rPr>
          <w:rFonts w:eastAsia="SimSun" w:cs="Arial"/>
          <w:bCs/>
          <w:sz w:val="24"/>
          <w:szCs w:val="24"/>
          <w:lang w:val="en-US"/>
        </w:rPr>
        <w:t>Develop a draft strategy highlighting different phase-down scenarios for Philippines to proceed with ratification and to be in compliance with short-term, medium-term, and long-term commitments with the Kigali Amendment.  The strategy should include recommendations for policy and regulatory actions to enable Philippines to proceed with the ratification and those that would enable Philippines to be in compliance with the Amendment.  In addition, the strategy should provide comprehensive analyses for Philippines’ technology pathway for complying with the Amendment.</w:t>
      </w:r>
    </w:p>
    <w:p w:rsidR="001E6BFB" w:rsidRPr="001E6BFB" w:rsidRDefault="001E6BFB" w:rsidP="001E6BFB">
      <w:pPr>
        <w:jc w:val="left"/>
        <w:rPr>
          <w:rFonts w:eastAsia="SimSun"/>
          <w:sz w:val="24"/>
          <w:szCs w:val="24"/>
          <w:lang w:val="en-CA"/>
        </w:rPr>
      </w:pPr>
    </w:p>
    <w:p w:rsidR="001E6BFB" w:rsidRPr="001E6BFB" w:rsidRDefault="001E6BFB" w:rsidP="001E6BFB">
      <w:pPr>
        <w:keepNext/>
        <w:keepLines/>
        <w:spacing w:before="200"/>
        <w:jc w:val="left"/>
        <w:outlineLvl w:val="1"/>
        <w:rPr>
          <w:rFonts w:eastAsiaTheme="majorEastAsia" w:cstheme="majorBidi"/>
          <w:sz w:val="24"/>
          <w:szCs w:val="26"/>
          <w:lang w:val="en-US"/>
        </w:rPr>
      </w:pPr>
      <w:r w:rsidRPr="001E6BFB">
        <w:rPr>
          <w:rFonts w:eastAsiaTheme="majorEastAsia" w:cstheme="majorBidi"/>
          <w:b/>
          <w:bCs/>
          <w:sz w:val="24"/>
          <w:szCs w:val="24"/>
          <w:lang w:val="en-US"/>
        </w:rPr>
        <w:t>Impact</w:t>
      </w:r>
      <w:r w:rsidRPr="001E6BFB">
        <w:rPr>
          <w:rFonts w:eastAsiaTheme="majorEastAsia" w:cstheme="majorBidi"/>
          <w:b/>
          <w:bCs/>
          <w:sz w:val="24"/>
          <w:szCs w:val="26"/>
          <w:lang w:val="en-US"/>
        </w:rPr>
        <w:t xml:space="preserve"> on HCFC phase-out projects implementation</w:t>
      </w:r>
    </w:p>
    <w:p w:rsidR="001E6BFB" w:rsidRPr="001E6BFB" w:rsidRDefault="001E6BFB" w:rsidP="001E6BFB">
      <w:pPr>
        <w:jc w:val="left"/>
        <w:rPr>
          <w:rFonts w:eastAsia="SimSun"/>
          <w:sz w:val="24"/>
          <w:szCs w:val="24"/>
          <w:lang w:val="en-US"/>
        </w:rPr>
      </w:pPr>
    </w:p>
    <w:p w:rsidR="001E6BFB" w:rsidRPr="001E6BFB" w:rsidRDefault="001E6BFB" w:rsidP="001E6BFB">
      <w:pPr>
        <w:jc w:val="left"/>
        <w:rPr>
          <w:rFonts w:eastAsia="SimSun"/>
          <w:sz w:val="24"/>
          <w:szCs w:val="24"/>
          <w:lang w:val="en-US"/>
        </w:rPr>
      </w:pPr>
      <w:r w:rsidRPr="001E6BFB">
        <w:rPr>
          <w:rFonts w:eastAsia="SimSun"/>
          <w:sz w:val="24"/>
          <w:szCs w:val="24"/>
          <w:lang w:val="en-US"/>
        </w:rPr>
        <w:t>The implementation of the enabling activities is not expected to delay implementation of stage II of the HCFC phase-out management plan in Philippines</w:t>
      </w:r>
      <w:r w:rsidRPr="001E6BFB">
        <w:rPr>
          <w:rFonts w:eastAsia="SimSun"/>
          <w:sz w:val="24"/>
          <w:szCs w:val="24"/>
          <w:vertAlign w:val="superscript"/>
          <w:lang w:val="en-US"/>
        </w:rPr>
        <w:footnoteReference w:id="15"/>
      </w:r>
      <w:r w:rsidRPr="001E6BFB">
        <w:rPr>
          <w:rFonts w:eastAsia="SimSun"/>
          <w:sz w:val="24"/>
          <w:szCs w:val="24"/>
          <w:lang w:val="en-US"/>
        </w:rPr>
        <w:t>.</w:t>
      </w:r>
    </w:p>
    <w:p w:rsidR="001E6BFB" w:rsidRPr="001E6BFB" w:rsidRDefault="001E6BFB" w:rsidP="001E6BFB">
      <w:pPr>
        <w:jc w:val="left"/>
        <w:rPr>
          <w:rFonts w:eastAsia="SimSun"/>
          <w:b/>
          <w:bCs/>
          <w:sz w:val="24"/>
          <w:szCs w:val="24"/>
          <w:lang w:val="en-US"/>
        </w:rPr>
        <w:sectPr w:rsidR="001E6BFB" w:rsidRPr="001E6BFB" w:rsidSect="001E6BFB">
          <w:pgSz w:w="12240" w:h="15840"/>
          <w:pgMar w:top="720" w:right="720" w:bottom="720" w:left="720" w:header="720" w:footer="720" w:gutter="0"/>
          <w:cols w:space="720"/>
          <w:docGrid w:linePitch="360"/>
        </w:sectPr>
      </w:pPr>
    </w:p>
    <w:p w:rsidR="001E6BFB" w:rsidRPr="001E6BFB" w:rsidRDefault="001E6BFB" w:rsidP="001E6BFB">
      <w:pPr>
        <w:jc w:val="left"/>
        <w:rPr>
          <w:rFonts w:eastAsia="SimSun"/>
          <w:b/>
          <w:bCs/>
          <w:sz w:val="24"/>
          <w:szCs w:val="24"/>
          <w:lang w:val="en-US"/>
        </w:rPr>
      </w:pPr>
      <w:r w:rsidRPr="001E6BFB">
        <w:rPr>
          <w:rFonts w:eastAsia="SimSun"/>
          <w:b/>
          <w:bCs/>
          <w:sz w:val="24"/>
          <w:szCs w:val="24"/>
          <w:lang w:val="en-US"/>
        </w:rPr>
        <w:lastRenderedPageBreak/>
        <w:t>Proposed activities, implementation plan, and budgets</w:t>
      </w:r>
      <w:r w:rsidRPr="001E6BFB">
        <w:rPr>
          <w:rFonts w:eastAsia="SimSun"/>
          <w:b/>
          <w:bCs/>
          <w:sz w:val="24"/>
          <w:szCs w:val="24"/>
          <w:vertAlign w:val="superscript"/>
          <w:lang w:val="en-US"/>
        </w:rPr>
        <w:footnoteReference w:id="16"/>
      </w:r>
    </w:p>
    <w:p w:rsidR="001E6BFB" w:rsidRPr="001E6BFB" w:rsidRDefault="001E6BFB" w:rsidP="001E6BFB">
      <w:pPr>
        <w:jc w:val="left"/>
        <w:rPr>
          <w:rFonts w:eastAsia="SimSun"/>
          <w:b/>
          <w:bCs/>
          <w:sz w:val="24"/>
          <w:szCs w:val="24"/>
          <w:lang w:val="en-CA"/>
        </w:rPr>
      </w:pPr>
    </w:p>
    <w:tbl>
      <w:tblPr>
        <w:tblStyle w:val="TableGrid10"/>
        <w:tblW w:w="5000" w:type="pct"/>
        <w:tblLayout w:type="fixed"/>
        <w:tblLook w:val="04A0" w:firstRow="1" w:lastRow="0" w:firstColumn="1" w:lastColumn="0" w:noHBand="0" w:noVBand="1"/>
      </w:tblPr>
      <w:tblGrid>
        <w:gridCol w:w="3640"/>
        <w:gridCol w:w="1383"/>
        <w:gridCol w:w="1453"/>
        <w:gridCol w:w="1085"/>
        <w:gridCol w:w="1085"/>
        <w:gridCol w:w="1028"/>
        <w:gridCol w:w="1839"/>
        <w:gridCol w:w="1437"/>
      </w:tblGrid>
      <w:tr w:rsidR="001E6BFB" w:rsidRPr="001E6BFB" w:rsidTr="001E6BFB">
        <w:trPr>
          <w:tblHeader/>
        </w:trPr>
        <w:tc>
          <w:tcPr>
            <w:tcW w:w="1405" w:type="pct"/>
          </w:tcPr>
          <w:p w:rsidR="001E6BFB" w:rsidRPr="001E6BFB" w:rsidRDefault="001E6BFB" w:rsidP="001E6BFB">
            <w:pPr>
              <w:widowControl w:val="0"/>
              <w:jc w:val="center"/>
              <w:rPr>
                <w:b/>
                <w:sz w:val="20"/>
                <w:szCs w:val="20"/>
                <w:lang w:val="en-US"/>
              </w:rPr>
            </w:pPr>
            <w:r w:rsidRPr="001E6BFB">
              <w:rPr>
                <w:b/>
                <w:sz w:val="20"/>
                <w:szCs w:val="20"/>
                <w:lang w:val="en-US"/>
              </w:rPr>
              <w:t>Activities</w:t>
            </w:r>
          </w:p>
        </w:tc>
        <w:tc>
          <w:tcPr>
            <w:tcW w:w="534" w:type="pct"/>
          </w:tcPr>
          <w:p w:rsidR="001E6BFB" w:rsidRPr="001E6BFB" w:rsidRDefault="001E6BFB" w:rsidP="001E6BFB">
            <w:pPr>
              <w:widowControl w:val="0"/>
              <w:jc w:val="center"/>
              <w:rPr>
                <w:b/>
                <w:sz w:val="20"/>
                <w:szCs w:val="20"/>
                <w:lang w:val="en-US"/>
              </w:rPr>
            </w:pPr>
            <w:r w:rsidRPr="001E6BFB">
              <w:rPr>
                <w:b/>
                <w:sz w:val="20"/>
                <w:szCs w:val="20"/>
                <w:lang w:val="en-US"/>
              </w:rPr>
              <w:t>Responsible entity</w:t>
            </w:r>
          </w:p>
        </w:tc>
        <w:tc>
          <w:tcPr>
            <w:tcW w:w="561" w:type="pct"/>
          </w:tcPr>
          <w:p w:rsidR="001E6BFB" w:rsidRPr="001E6BFB" w:rsidRDefault="001E6BFB" w:rsidP="001E6BFB">
            <w:pPr>
              <w:widowControl w:val="0"/>
              <w:jc w:val="center"/>
              <w:rPr>
                <w:b/>
                <w:sz w:val="20"/>
                <w:szCs w:val="20"/>
                <w:lang w:val="en-US"/>
              </w:rPr>
            </w:pPr>
            <w:r w:rsidRPr="001E6BFB">
              <w:rPr>
                <w:b/>
                <w:sz w:val="20"/>
                <w:szCs w:val="20"/>
                <w:lang w:val="en-US"/>
              </w:rPr>
              <w:t>Target group</w:t>
            </w:r>
          </w:p>
        </w:tc>
        <w:tc>
          <w:tcPr>
            <w:tcW w:w="419" w:type="pct"/>
          </w:tcPr>
          <w:p w:rsidR="001E6BFB" w:rsidRPr="001E6BFB" w:rsidRDefault="001E6BFB" w:rsidP="001E6BFB">
            <w:pPr>
              <w:widowControl w:val="0"/>
              <w:jc w:val="center"/>
              <w:rPr>
                <w:b/>
                <w:sz w:val="20"/>
                <w:szCs w:val="20"/>
                <w:lang w:val="en-US"/>
              </w:rPr>
            </w:pPr>
            <w:r w:rsidRPr="001E6BFB">
              <w:rPr>
                <w:b/>
                <w:sz w:val="20"/>
                <w:szCs w:val="20"/>
                <w:lang w:val="en-US"/>
              </w:rPr>
              <w:t xml:space="preserve">Start date </w:t>
            </w:r>
          </w:p>
        </w:tc>
        <w:tc>
          <w:tcPr>
            <w:tcW w:w="419" w:type="pct"/>
          </w:tcPr>
          <w:p w:rsidR="001E6BFB" w:rsidRPr="001E6BFB" w:rsidRDefault="001E6BFB" w:rsidP="001E6BFB">
            <w:pPr>
              <w:widowControl w:val="0"/>
              <w:jc w:val="center"/>
              <w:rPr>
                <w:b/>
                <w:sz w:val="20"/>
                <w:szCs w:val="20"/>
                <w:lang w:val="en-US"/>
              </w:rPr>
            </w:pPr>
            <w:r w:rsidRPr="001E6BFB">
              <w:rPr>
                <w:b/>
                <w:sz w:val="20"/>
                <w:szCs w:val="20"/>
                <w:lang w:val="en-US"/>
              </w:rPr>
              <w:t xml:space="preserve">Date of completion </w:t>
            </w:r>
          </w:p>
        </w:tc>
        <w:tc>
          <w:tcPr>
            <w:tcW w:w="397" w:type="pct"/>
          </w:tcPr>
          <w:p w:rsidR="001E6BFB" w:rsidRPr="001E6BFB" w:rsidRDefault="001E6BFB" w:rsidP="001E6BFB">
            <w:pPr>
              <w:widowControl w:val="0"/>
              <w:jc w:val="center"/>
              <w:rPr>
                <w:b/>
                <w:sz w:val="20"/>
                <w:szCs w:val="20"/>
                <w:lang w:val="en-US"/>
              </w:rPr>
            </w:pPr>
            <w:r w:rsidRPr="001E6BFB">
              <w:rPr>
                <w:b/>
                <w:sz w:val="20"/>
                <w:szCs w:val="20"/>
                <w:lang w:val="en-US"/>
              </w:rPr>
              <w:t xml:space="preserve">Tentative Budget </w:t>
            </w:r>
          </w:p>
          <w:p w:rsidR="001E6BFB" w:rsidRPr="001E6BFB" w:rsidRDefault="001E6BFB" w:rsidP="001E6BFB">
            <w:pPr>
              <w:widowControl w:val="0"/>
              <w:jc w:val="center"/>
              <w:rPr>
                <w:b/>
                <w:sz w:val="20"/>
                <w:szCs w:val="20"/>
                <w:lang w:val="en-US"/>
              </w:rPr>
            </w:pPr>
            <w:r w:rsidRPr="001E6BFB">
              <w:rPr>
                <w:b/>
                <w:sz w:val="20"/>
                <w:szCs w:val="20"/>
                <w:lang w:val="en-US"/>
              </w:rPr>
              <w:t>(US $)</w:t>
            </w:r>
          </w:p>
        </w:tc>
        <w:tc>
          <w:tcPr>
            <w:tcW w:w="710" w:type="pct"/>
          </w:tcPr>
          <w:p w:rsidR="001E6BFB" w:rsidRPr="001E6BFB" w:rsidRDefault="001E6BFB" w:rsidP="001E6BFB">
            <w:pPr>
              <w:widowControl w:val="0"/>
              <w:jc w:val="center"/>
              <w:rPr>
                <w:b/>
                <w:sz w:val="20"/>
                <w:szCs w:val="20"/>
                <w:lang w:val="en-US"/>
              </w:rPr>
            </w:pPr>
            <w:r w:rsidRPr="001E6BFB">
              <w:rPr>
                <w:b/>
                <w:sz w:val="20"/>
                <w:szCs w:val="20"/>
                <w:lang w:val="en-US"/>
              </w:rPr>
              <w:t>Milestones</w:t>
            </w:r>
          </w:p>
        </w:tc>
        <w:tc>
          <w:tcPr>
            <w:tcW w:w="556" w:type="pct"/>
          </w:tcPr>
          <w:p w:rsidR="001E6BFB" w:rsidRPr="001E6BFB" w:rsidRDefault="001E6BFB" w:rsidP="001E6BFB">
            <w:pPr>
              <w:widowControl w:val="0"/>
              <w:jc w:val="center"/>
              <w:rPr>
                <w:b/>
                <w:sz w:val="20"/>
                <w:szCs w:val="20"/>
                <w:lang w:val="en-US"/>
              </w:rPr>
            </w:pPr>
            <w:r w:rsidRPr="001E6BFB">
              <w:rPr>
                <w:b/>
                <w:sz w:val="20"/>
                <w:szCs w:val="20"/>
                <w:lang w:val="en-US"/>
              </w:rPr>
              <w:t>Expected outputs</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National consultation workshop (Kick-off)</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summary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Introduction to Kigali Amendment</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Review existing regulations to control and monitor import and export of HFCs and HFC-blends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Feb-18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Report with recommendations</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Revision of regulations to enable control and monitor import and export of HFCs and HFC-blends</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Training workshops for customs officers/DIW/importers/exporters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 customs department</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30,000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Capacity building of national stakeholders</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Review ODS alternative survey, analysis and forecast baseline HFC consumption</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Jul-18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Aug-18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20,000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Model for forecast HFC consumption</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 xml:space="preserve">Improve capacity to </w:t>
            </w:r>
            <w:proofErr w:type="spellStart"/>
            <w:r w:rsidRPr="001E6BFB">
              <w:rPr>
                <w:sz w:val="20"/>
                <w:szCs w:val="20"/>
                <w:lang w:val="en-US"/>
              </w:rPr>
              <w:t>analyse</w:t>
            </w:r>
            <w:proofErr w:type="spellEnd"/>
            <w:r w:rsidRPr="001E6BFB">
              <w:rPr>
                <w:sz w:val="20"/>
                <w:szCs w:val="20"/>
                <w:lang w:val="en-US"/>
              </w:rPr>
              <w:t xml:space="preserve"> HFC phase-down scenarios</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Industry consultation workshops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 xml:space="preserve">Industry (MAC, domestic refrigerator, Residential AC, solvent, </w:t>
            </w:r>
            <w:proofErr w:type="spellStart"/>
            <w:r w:rsidRPr="001E6BFB">
              <w:rPr>
                <w:sz w:val="20"/>
                <w:szCs w:val="20"/>
                <w:lang w:val="en-US"/>
              </w:rPr>
              <w:t>fire fighting</w:t>
            </w:r>
            <w:proofErr w:type="spellEnd"/>
            <w:r w:rsidRPr="001E6BFB">
              <w:rPr>
                <w:sz w:val="20"/>
                <w:szCs w:val="20"/>
                <w:lang w:val="en-US"/>
              </w:rPr>
              <w:t>)</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Jul-18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Mar-19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50,000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Identification of potential technology pathway for each sector</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Review of lower-GWP alternatives in each sector including assessment of commercial availability of alternatives and components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Dec-18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30,000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Technical reports for each sector</w:t>
            </w:r>
          </w:p>
        </w:tc>
        <w:tc>
          <w:tcPr>
            <w:tcW w:w="556" w:type="pct"/>
          </w:tcPr>
          <w:p w:rsidR="001E6BFB" w:rsidRPr="001E6BFB" w:rsidRDefault="001E6BFB" w:rsidP="001E6BFB">
            <w:pPr>
              <w:widowControl w:val="0"/>
              <w:jc w:val="left"/>
              <w:rPr>
                <w:sz w:val="20"/>
                <w:szCs w:val="20"/>
                <w:lang w:val="en-US"/>
              </w:rPr>
            </w:pP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lastRenderedPageBreak/>
              <w:t>Development of phase-down scenarios, technology pathway, and draft strategy</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50,000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Draft strategy with recommendations for policy and regulatory actions to enable compliance</w:t>
            </w:r>
          </w:p>
        </w:tc>
        <w:tc>
          <w:tcPr>
            <w:tcW w:w="556" w:type="pct"/>
          </w:tcPr>
          <w:p w:rsidR="001E6BFB" w:rsidRPr="001E6BFB" w:rsidRDefault="001E6BFB" w:rsidP="001E6BFB">
            <w:pPr>
              <w:widowControl w:val="0"/>
              <w:jc w:val="left"/>
              <w:rPr>
                <w:sz w:val="20"/>
                <w:szCs w:val="20"/>
                <w:lang w:val="en-US"/>
              </w:rPr>
            </w:pP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National consultation workshop (draft strategy)</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Mar-19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summary report</w:t>
            </w:r>
          </w:p>
        </w:tc>
        <w:tc>
          <w:tcPr>
            <w:tcW w:w="556" w:type="pct"/>
          </w:tcPr>
          <w:p w:rsidR="001E6BFB" w:rsidRPr="001E6BFB" w:rsidRDefault="001E6BFB" w:rsidP="001E6BFB">
            <w:pPr>
              <w:widowControl w:val="0"/>
              <w:jc w:val="left"/>
              <w:rPr>
                <w:sz w:val="20"/>
                <w:szCs w:val="20"/>
                <w:lang w:val="en-US"/>
              </w:rPr>
            </w:pP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Information dissemination on the Kigali Amendment</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Public/ industry /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May-19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Information package</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Public consultation for ratification of Kigali Amendment</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Public/ industry /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May-19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20,000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National consultation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Initial process before ratification of Kigali Amendment</w:t>
            </w:r>
          </w:p>
        </w:tc>
      </w:tr>
      <w:tr w:rsidR="001E6BFB" w:rsidRPr="001E6BFB" w:rsidTr="001E6BFB">
        <w:tc>
          <w:tcPr>
            <w:tcW w:w="1405" w:type="pct"/>
          </w:tcPr>
          <w:p w:rsidR="001E6BFB" w:rsidRPr="001E6BFB" w:rsidRDefault="001E6BFB" w:rsidP="001E6BFB">
            <w:pPr>
              <w:widowControl w:val="0"/>
              <w:numPr>
                <w:ilvl w:val="0"/>
                <w:numId w:val="35"/>
              </w:numPr>
              <w:contextualSpacing/>
              <w:jc w:val="left"/>
              <w:rPr>
                <w:sz w:val="20"/>
                <w:szCs w:val="20"/>
                <w:lang w:val="en-US"/>
              </w:rPr>
            </w:pPr>
            <w:r w:rsidRPr="001E6BFB">
              <w:rPr>
                <w:sz w:val="20"/>
                <w:szCs w:val="20"/>
                <w:lang w:val="en-US"/>
              </w:rPr>
              <w:t>National consultation workshop (ratification)</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Senate/Office of the President</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May-19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Support by members of Senate and Office of the President on the ratification bill</w:t>
            </w:r>
          </w:p>
        </w:tc>
      </w:tr>
      <w:tr w:rsidR="001E6BFB" w:rsidRPr="001E6BFB" w:rsidTr="001E6BFB">
        <w:tc>
          <w:tcPr>
            <w:tcW w:w="1405" w:type="pct"/>
          </w:tcPr>
          <w:p w:rsidR="001E6BFB" w:rsidRPr="001E6BFB" w:rsidRDefault="001E6BFB" w:rsidP="001E6BFB">
            <w:pPr>
              <w:widowControl w:val="0"/>
              <w:jc w:val="left"/>
              <w:rPr>
                <w:sz w:val="20"/>
                <w:szCs w:val="20"/>
                <w:lang w:val="en-US"/>
              </w:rPr>
            </w:pPr>
            <w:r w:rsidRPr="001E6BFB">
              <w:rPr>
                <w:sz w:val="20"/>
                <w:szCs w:val="20"/>
                <w:lang w:val="en-US"/>
              </w:rPr>
              <w:t>Total</w:t>
            </w:r>
          </w:p>
        </w:tc>
        <w:tc>
          <w:tcPr>
            <w:tcW w:w="534" w:type="pct"/>
          </w:tcPr>
          <w:p w:rsidR="001E6BFB" w:rsidRPr="001E6BFB" w:rsidRDefault="001E6BFB" w:rsidP="001E6BFB">
            <w:pPr>
              <w:widowControl w:val="0"/>
              <w:jc w:val="center"/>
              <w:rPr>
                <w:sz w:val="20"/>
                <w:szCs w:val="20"/>
                <w:lang w:val="en-US"/>
              </w:rPr>
            </w:pPr>
          </w:p>
        </w:tc>
        <w:tc>
          <w:tcPr>
            <w:tcW w:w="561" w:type="pct"/>
          </w:tcPr>
          <w:p w:rsidR="001E6BFB" w:rsidRPr="001E6BFB" w:rsidRDefault="001E6BFB" w:rsidP="001E6BFB">
            <w:pPr>
              <w:widowControl w:val="0"/>
              <w:jc w:val="center"/>
              <w:rPr>
                <w:sz w:val="20"/>
                <w:szCs w:val="20"/>
                <w:lang w:val="en-US"/>
              </w:rPr>
            </w:pPr>
          </w:p>
        </w:tc>
        <w:tc>
          <w:tcPr>
            <w:tcW w:w="419" w:type="pct"/>
          </w:tcPr>
          <w:p w:rsidR="001E6BFB" w:rsidRPr="001E6BFB" w:rsidRDefault="001E6BFB" w:rsidP="001E6BFB">
            <w:pPr>
              <w:widowControl w:val="0"/>
              <w:jc w:val="center"/>
              <w:rPr>
                <w:sz w:val="20"/>
                <w:szCs w:val="20"/>
                <w:lang w:val="en-US"/>
              </w:rPr>
            </w:pPr>
          </w:p>
        </w:tc>
        <w:tc>
          <w:tcPr>
            <w:tcW w:w="419" w:type="pct"/>
          </w:tcPr>
          <w:p w:rsidR="001E6BFB" w:rsidRPr="001E6BFB" w:rsidRDefault="001E6BFB" w:rsidP="001E6BFB">
            <w:pPr>
              <w:widowControl w:val="0"/>
              <w:jc w:val="center"/>
              <w:rPr>
                <w:sz w:val="20"/>
                <w:szCs w:val="20"/>
                <w:lang w:val="en-US"/>
              </w:rPr>
            </w:pPr>
          </w:p>
        </w:tc>
        <w:tc>
          <w:tcPr>
            <w:tcW w:w="397" w:type="pct"/>
          </w:tcPr>
          <w:p w:rsidR="001E6BFB" w:rsidRPr="001E6BFB" w:rsidRDefault="001E6BFB" w:rsidP="001E6BFB">
            <w:pPr>
              <w:widowControl w:val="0"/>
              <w:jc w:val="center"/>
              <w:rPr>
                <w:sz w:val="20"/>
                <w:szCs w:val="20"/>
                <w:lang w:val="en-US"/>
              </w:rPr>
            </w:pPr>
            <w:r w:rsidRPr="001E6BFB">
              <w:rPr>
                <w:sz w:val="20"/>
                <w:szCs w:val="20"/>
                <w:lang w:val="en-US"/>
              </w:rPr>
              <w:t>250,000</w:t>
            </w:r>
          </w:p>
        </w:tc>
        <w:tc>
          <w:tcPr>
            <w:tcW w:w="710" w:type="pct"/>
          </w:tcPr>
          <w:p w:rsidR="001E6BFB" w:rsidRPr="001E6BFB" w:rsidRDefault="001E6BFB" w:rsidP="001E6BFB">
            <w:pPr>
              <w:widowControl w:val="0"/>
              <w:jc w:val="left"/>
              <w:rPr>
                <w:sz w:val="20"/>
                <w:szCs w:val="20"/>
                <w:lang w:val="en-US"/>
              </w:rPr>
            </w:pPr>
          </w:p>
        </w:tc>
        <w:tc>
          <w:tcPr>
            <w:tcW w:w="556" w:type="pct"/>
          </w:tcPr>
          <w:p w:rsidR="001E6BFB" w:rsidRPr="001E6BFB" w:rsidRDefault="001E6BFB" w:rsidP="001E6BFB">
            <w:pPr>
              <w:widowControl w:val="0"/>
              <w:jc w:val="left"/>
              <w:rPr>
                <w:sz w:val="20"/>
                <w:szCs w:val="20"/>
                <w:lang w:val="en-US"/>
              </w:rPr>
            </w:pPr>
          </w:p>
        </w:tc>
      </w:tr>
    </w:tbl>
    <w:p w:rsidR="001E6BFB" w:rsidRPr="001E6BFB" w:rsidRDefault="001E6BFB" w:rsidP="001E6BFB">
      <w:pPr>
        <w:jc w:val="left"/>
        <w:rPr>
          <w:rFonts w:eastAsia="SimSun"/>
          <w:sz w:val="24"/>
          <w:szCs w:val="24"/>
          <w:lang w:val="en-CA"/>
        </w:rPr>
      </w:pPr>
    </w:p>
    <w:p w:rsidR="001E6BFB" w:rsidRPr="001E6BFB" w:rsidRDefault="001E6BFB" w:rsidP="001E6BFB">
      <w:pPr>
        <w:keepNext/>
        <w:keepLines/>
        <w:spacing w:before="200" w:line="276" w:lineRule="auto"/>
        <w:ind w:left="720" w:hanging="720"/>
        <w:jc w:val="left"/>
        <w:outlineLvl w:val="1"/>
        <w:rPr>
          <w:rFonts w:eastAsiaTheme="majorEastAsia" w:cstheme="majorBidi"/>
          <w:sz w:val="24"/>
          <w:szCs w:val="24"/>
          <w:lang w:val="en-US"/>
        </w:rPr>
        <w:sectPr w:rsidR="001E6BFB" w:rsidRPr="001E6BFB" w:rsidSect="001E6BFB">
          <w:pgSz w:w="15840" w:h="12240" w:orient="landscape"/>
          <w:pgMar w:top="1440" w:right="1440" w:bottom="1440" w:left="1440" w:header="720" w:footer="720" w:gutter="0"/>
          <w:cols w:space="720"/>
          <w:docGrid w:linePitch="360"/>
        </w:sectPr>
      </w:pPr>
    </w:p>
    <w:p w:rsidR="001E6BFB" w:rsidRPr="001E6BFB" w:rsidRDefault="001E6BFB" w:rsidP="001E6BFB">
      <w:pPr>
        <w:keepNext/>
        <w:keepLines/>
        <w:spacing w:before="200" w:line="276" w:lineRule="auto"/>
        <w:ind w:left="720" w:hanging="720"/>
        <w:jc w:val="left"/>
        <w:outlineLvl w:val="1"/>
        <w:rPr>
          <w:rFonts w:eastAsiaTheme="majorEastAsia" w:cstheme="majorBidi"/>
          <w:b/>
          <w:bCs/>
          <w:sz w:val="24"/>
          <w:szCs w:val="24"/>
          <w:lang w:val="en-US"/>
        </w:rPr>
      </w:pPr>
      <w:r w:rsidRPr="001E6BFB">
        <w:rPr>
          <w:rFonts w:eastAsiaTheme="majorEastAsia" w:cstheme="majorBidi"/>
          <w:b/>
          <w:bCs/>
          <w:sz w:val="24"/>
          <w:szCs w:val="24"/>
          <w:lang w:val="en-US"/>
        </w:rPr>
        <w:lastRenderedPageBreak/>
        <w:t xml:space="preserve">Institutional arrangements </w:t>
      </w:r>
    </w:p>
    <w:p w:rsidR="001E6BFB" w:rsidRPr="001E6BFB" w:rsidRDefault="001E6BFB" w:rsidP="001E6BFB">
      <w:pPr>
        <w:spacing w:after="120"/>
        <w:jc w:val="thaiDistribute"/>
        <w:rPr>
          <w:rFonts w:eastAsia="SimSun"/>
          <w:color w:val="000000"/>
          <w:sz w:val="24"/>
          <w:szCs w:val="24"/>
          <w:lang w:val="en-US"/>
        </w:rPr>
      </w:pPr>
      <w:r w:rsidRPr="001E6BFB">
        <w:rPr>
          <w:rFonts w:eastAsia="SimSun"/>
          <w:sz w:val="24"/>
          <w:szCs w:val="24"/>
          <w:lang w:val="en-US"/>
        </w:rPr>
        <w:t>Brief background of relevant agencies that will be involved in HFC enabling activities is summarized as follow:</w:t>
      </w:r>
    </w:p>
    <w:p w:rsidR="001E6BFB" w:rsidRPr="001E6BFB" w:rsidRDefault="001E6BFB" w:rsidP="001E6BFB">
      <w:pPr>
        <w:numPr>
          <w:ilvl w:val="0"/>
          <w:numId w:val="39"/>
        </w:numPr>
        <w:autoSpaceDE w:val="0"/>
        <w:autoSpaceDN w:val="0"/>
        <w:adjustRightInd w:val="0"/>
        <w:spacing w:after="120"/>
        <w:contextualSpacing/>
        <w:jc w:val="left"/>
        <w:rPr>
          <w:rFonts w:eastAsia="SimSun"/>
          <w:sz w:val="24"/>
          <w:szCs w:val="24"/>
          <w:lang w:val="en-US"/>
        </w:rPr>
      </w:pPr>
      <w:r w:rsidRPr="001E6BFB">
        <w:rPr>
          <w:rFonts w:eastAsia="SimSun"/>
          <w:b/>
          <w:bCs/>
          <w:sz w:val="24"/>
          <w:szCs w:val="24"/>
          <w:lang w:val="en-US"/>
        </w:rPr>
        <w:t>Environmental Management Bureau (EMB):</w:t>
      </w:r>
      <w:r w:rsidRPr="001E6BFB">
        <w:rPr>
          <w:rFonts w:eastAsia="SimSun"/>
          <w:sz w:val="24"/>
          <w:szCs w:val="24"/>
          <w:lang w:val="en-US"/>
        </w:rPr>
        <w:t xml:space="preserve"> the </w:t>
      </w:r>
      <w:r w:rsidRPr="001E6BFB">
        <w:rPr>
          <w:rFonts w:eastAsia="SimSun"/>
          <w:b/>
          <w:bCs/>
          <w:sz w:val="24"/>
          <w:szCs w:val="24"/>
          <w:lang w:val="en-US"/>
        </w:rPr>
        <w:t>Department of the Environment and Natural Resources (DENR)’ EMB</w:t>
      </w:r>
      <w:r w:rsidRPr="001E6BFB">
        <w:rPr>
          <w:rFonts w:eastAsia="SimSun"/>
          <w:sz w:val="24"/>
          <w:szCs w:val="24"/>
          <w:lang w:val="en-US"/>
        </w:rPr>
        <w:t xml:space="preserve"> acts as the focal point for the implementation of the Montreal Protocol in the Philippines. Under Department Administrative Order No. 2003-43, the </w:t>
      </w:r>
      <w:r w:rsidRPr="001E6BFB">
        <w:rPr>
          <w:rFonts w:eastAsia="SimSun"/>
          <w:b/>
          <w:bCs/>
          <w:sz w:val="24"/>
          <w:szCs w:val="24"/>
          <w:lang w:val="en-US"/>
        </w:rPr>
        <w:t>Philippine Ozone Desk (POD)</w:t>
      </w:r>
      <w:r w:rsidRPr="001E6BFB">
        <w:rPr>
          <w:rFonts w:eastAsia="SimSun"/>
          <w:sz w:val="24"/>
          <w:szCs w:val="24"/>
          <w:lang w:val="en-US"/>
        </w:rPr>
        <w:t xml:space="preserve"> was created in 1994 to facilitate and coordinate ODS phase-out projects and policies for overall implementation of Montreal Protocol obligations.</w:t>
      </w:r>
    </w:p>
    <w:p w:rsidR="001E6BFB" w:rsidRPr="001E6BFB" w:rsidRDefault="001E6BFB" w:rsidP="001E6BFB">
      <w:pPr>
        <w:numPr>
          <w:ilvl w:val="0"/>
          <w:numId w:val="39"/>
        </w:numPr>
        <w:autoSpaceDE w:val="0"/>
        <w:autoSpaceDN w:val="0"/>
        <w:adjustRightInd w:val="0"/>
        <w:spacing w:after="120"/>
        <w:contextualSpacing/>
        <w:jc w:val="left"/>
        <w:rPr>
          <w:rFonts w:eastAsia="SimSun"/>
          <w:sz w:val="24"/>
          <w:szCs w:val="24"/>
          <w:lang w:val="en-US"/>
        </w:rPr>
      </w:pPr>
      <w:r w:rsidRPr="001E6BFB">
        <w:rPr>
          <w:rFonts w:eastAsia="SimSun"/>
          <w:b/>
          <w:bCs/>
          <w:sz w:val="24"/>
          <w:szCs w:val="24"/>
          <w:lang w:val="en-US"/>
        </w:rPr>
        <w:t>Project Management Unit (PMU):</w:t>
      </w:r>
      <w:r w:rsidRPr="001E6BFB">
        <w:rPr>
          <w:rFonts w:eastAsia="SimSun"/>
          <w:sz w:val="24"/>
          <w:szCs w:val="24"/>
          <w:lang w:val="en-US"/>
        </w:rPr>
        <w:t xml:space="preserve"> PMU was also created in 2014 to spearhead HCFC phase-out activities and to carry out the work programs of HPMP Stage </w:t>
      </w:r>
      <w:proofErr w:type="gramStart"/>
      <w:r w:rsidRPr="001E6BFB">
        <w:rPr>
          <w:rFonts w:eastAsia="SimSun"/>
          <w:sz w:val="24"/>
          <w:szCs w:val="24"/>
          <w:lang w:val="en-US"/>
        </w:rPr>
        <w:t>I</w:t>
      </w:r>
      <w:proofErr w:type="gramEnd"/>
      <w:r w:rsidRPr="001E6BFB">
        <w:rPr>
          <w:rFonts w:eastAsia="SimSun"/>
          <w:sz w:val="24"/>
          <w:szCs w:val="24"/>
          <w:lang w:val="en-US"/>
        </w:rPr>
        <w:t xml:space="preserve"> and its subsequent implementation. The HPMP-PMU remains as the focal office in the preparation and implementation of HPMP Stage II and ensures proper coordination with all concerned stakeholders including donor agencies.</w:t>
      </w:r>
    </w:p>
    <w:p w:rsidR="001E6BFB" w:rsidRPr="001E6BFB" w:rsidRDefault="001E6BFB" w:rsidP="001E6BFB">
      <w:pPr>
        <w:numPr>
          <w:ilvl w:val="0"/>
          <w:numId w:val="39"/>
        </w:numPr>
        <w:autoSpaceDE w:val="0"/>
        <w:autoSpaceDN w:val="0"/>
        <w:adjustRightInd w:val="0"/>
        <w:spacing w:after="120"/>
        <w:contextualSpacing/>
        <w:jc w:val="left"/>
        <w:rPr>
          <w:rFonts w:eastAsia="SimSun"/>
          <w:sz w:val="24"/>
          <w:szCs w:val="24"/>
          <w:lang w:val="en-US"/>
        </w:rPr>
      </w:pPr>
      <w:r w:rsidRPr="001E6BFB">
        <w:rPr>
          <w:rFonts w:eastAsia="SimSun"/>
          <w:b/>
          <w:bCs/>
          <w:sz w:val="24"/>
          <w:szCs w:val="24"/>
          <w:lang w:val="en-US"/>
        </w:rPr>
        <w:t>Bureau of Customs (BOC)</w:t>
      </w:r>
      <w:r w:rsidRPr="001E6BFB">
        <w:rPr>
          <w:rFonts w:eastAsia="SimSun"/>
          <w:sz w:val="24"/>
          <w:szCs w:val="24"/>
          <w:lang w:val="en-US"/>
        </w:rPr>
        <w:t>: BOC is responsible for implement/enforce relevant rules and regulations related to the import, export, transport, processing, storage, possession or sale of ODS and its alternatives. BOC designated the Environmental Protection Unit (EPU) under the Office of the Deputy Commissioner for Intelligence and Enforcement Group (IEG) to be in-charge in the implementation of the agreement and act as the official liaison to DENR-EMB through the POD.</w:t>
      </w:r>
    </w:p>
    <w:p w:rsidR="001E6BFB" w:rsidRPr="001E6BFB" w:rsidRDefault="001E6BFB" w:rsidP="001E6BFB">
      <w:pPr>
        <w:numPr>
          <w:ilvl w:val="0"/>
          <w:numId w:val="39"/>
        </w:numPr>
        <w:autoSpaceDE w:val="0"/>
        <w:autoSpaceDN w:val="0"/>
        <w:adjustRightInd w:val="0"/>
        <w:contextualSpacing/>
        <w:jc w:val="left"/>
        <w:rPr>
          <w:rFonts w:eastAsia="SimSun"/>
          <w:sz w:val="28"/>
          <w:szCs w:val="28"/>
          <w:lang w:val="en-US" w:bidi="hi-IN"/>
        </w:rPr>
      </w:pPr>
      <w:r w:rsidRPr="001E6BFB">
        <w:rPr>
          <w:rFonts w:eastAsia="SimSun"/>
          <w:color w:val="000000"/>
          <w:sz w:val="24"/>
          <w:szCs w:val="24"/>
          <w:lang w:val="en-US" w:bidi="hi-IN"/>
        </w:rPr>
        <w:t>Other actors taking part in the institutional framework for Montreal Protocol implementation are DENR-EMB and its Regional Offices, Department of Trade and Industry (DTI) and its Fair Trade Enforcement Bureau, Technical Education and Skills Development Authority (TESDA) at the Department of Labor and Employment, and Local Government Units-LGUs under the Department of Interior and Local Government and its Business Permits and Licensing Offices.</w:t>
      </w:r>
    </w:p>
    <w:p w:rsidR="001E6BFB" w:rsidRPr="001E6BFB" w:rsidRDefault="001E6BFB" w:rsidP="001E6BFB">
      <w:pPr>
        <w:autoSpaceDE w:val="0"/>
        <w:autoSpaceDN w:val="0"/>
        <w:adjustRightInd w:val="0"/>
        <w:jc w:val="left"/>
        <w:rPr>
          <w:rFonts w:eastAsia="SimSun"/>
          <w:color w:val="000000"/>
          <w:sz w:val="24"/>
          <w:szCs w:val="24"/>
          <w:lang w:val="en-US" w:bidi="hi-IN"/>
        </w:rPr>
      </w:pPr>
    </w:p>
    <w:p w:rsidR="001E6BFB" w:rsidRPr="001E6BFB" w:rsidRDefault="001E6BFB" w:rsidP="001E6BFB">
      <w:pPr>
        <w:jc w:val="left"/>
        <w:rPr>
          <w:rFonts w:eastAsia="SimSun"/>
          <w:color w:val="000000"/>
          <w:lang w:val="en-US"/>
        </w:rPr>
      </w:pPr>
      <w:r w:rsidRPr="001E6BFB">
        <w:rPr>
          <w:rFonts w:eastAsia="SimSun"/>
          <w:color w:val="000000"/>
          <w:lang w:val="en-US"/>
        </w:rPr>
        <w:br w:type="page"/>
      </w:r>
    </w:p>
    <w:p w:rsidR="001E6BFB" w:rsidRPr="001E6BFB" w:rsidRDefault="001E6BFB" w:rsidP="001E6BFB">
      <w:pPr>
        <w:jc w:val="left"/>
        <w:rPr>
          <w:rFonts w:eastAsia="SimSun"/>
          <w:b/>
          <w:bCs/>
          <w:color w:val="000000"/>
          <w:lang w:val="en-US"/>
        </w:rPr>
      </w:pPr>
      <w:bookmarkStart w:id="9" w:name="_Ref493520288"/>
      <w:r w:rsidRPr="001E6BFB">
        <w:rPr>
          <w:rFonts w:eastAsia="SimSun"/>
          <w:b/>
          <w:bCs/>
          <w:color w:val="000000"/>
          <w:lang w:val="en-US"/>
        </w:rPr>
        <w:lastRenderedPageBreak/>
        <w:t xml:space="preserve">Annex </w:t>
      </w:r>
      <w:r w:rsidRPr="001E6BFB">
        <w:rPr>
          <w:rFonts w:eastAsia="SimSun"/>
          <w:b/>
          <w:bCs/>
          <w:color w:val="000000"/>
          <w:lang w:val="en-US"/>
        </w:rPr>
        <w:fldChar w:fldCharType="begin"/>
      </w:r>
      <w:r w:rsidRPr="001E6BFB">
        <w:rPr>
          <w:rFonts w:eastAsia="SimSun"/>
          <w:b/>
          <w:bCs/>
          <w:color w:val="000000"/>
          <w:lang w:val="en-US"/>
        </w:rPr>
        <w:instrText xml:space="preserve"> SEQ Annex \* ARABIC </w:instrText>
      </w:r>
      <w:r w:rsidRPr="001E6BFB">
        <w:rPr>
          <w:rFonts w:eastAsia="SimSun"/>
          <w:b/>
          <w:bCs/>
          <w:color w:val="000000"/>
          <w:lang w:val="en-US"/>
        </w:rPr>
        <w:fldChar w:fldCharType="separate"/>
      </w:r>
      <w:r w:rsidR="00AB7308">
        <w:rPr>
          <w:rFonts w:eastAsia="SimSun"/>
          <w:b/>
          <w:bCs/>
          <w:noProof/>
          <w:color w:val="000000"/>
          <w:lang w:val="en-US"/>
        </w:rPr>
        <w:t>4</w:t>
      </w:r>
      <w:r w:rsidRPr="001E6BFB">
        <w:rPr>
          <w:rFonts w:eastAsia="SimSun"/>
          <w:b/>
          <w:bCs/>
          <w:color w:val="000000"/>
          <w:lang w:val="en-US"/>
        </w:rPr>
        <w:fldChar w:fldCharType="end"/>
      </w:r>
      <w:bookmarkEnd w:id="8"/>
      <w:bookmarkEnd w:id="9"/>
      <w:r w:rsidRPr="001E6BFB">
        <w:rPr>
          <w:rFonts w:eastAsia="SimSun"/>
          <w:b/>
          <w:bCs/>
          <w:color w:val="000000"/>
          <w:lang w:val="en-US"/>
        </w:rPr>
        <w:t>: HFC Enabling Activities for Thailand</w:t>
      </w:r>
    </w:p>
    <w:p w:rsidR="001E6BFB" w:rsidRPr="001E6BFB" w:rsidRDefault="001E6BFB" w:rsidP="001E6BFB">
      <w:pPr>
        <w:jc w:val="left"/>
        <w:rPr>
          <w:rFonts w:eastAsia="SimSun"/>
          <w:b/>
          <w:bCs/>
          <w:color w:val="4F81BD" w:themeColor="accent1"/>
          <w:sz w:val="18"/>
          <w:szCs w:val="18"/>
          <w:lang w:val="en-US"/>
        </w:rPr>
      </w:pP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b/>
          <w:bCs/>
          <w:sz w:val="24"/>
          <w:szCs w:val="24"/>
          <w:lang w:val="en-US"/>
        </w:rPr>
        <w:t>Background</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color w:val="000000"/>
          <w:sz w:val="24"/>
          <w:szCs w:val="24"/>
          <w:lang w:val="en"/>
        </w:rPr>
        <w:t xml:space="preserve">The Government of Thailand is fully committed to the Montreal Protocol and the Climate Change Convention.  In particular, substances controlled by the Montreal Protocol are widely used as refrigerants for air-conditioning and refrigeration systems.  Thailand is one of the largest manufacturing hubs in Southeast Asia given its central location and market access </w:t>
      </w:r>
      <w:r w:rsidRPr="001E6BFB">
        <w:rPr>
          <w:rFonts w:eastAsiaTheme="majorEastAsia" w:cstheme="majorBidi"/>
          <w:sz w:val="24"/>
          <w:szCs w:val="24"/>
          <w:lang w:val="en-US"/>
        </w:rPr>
        <w:t xml:space="preserve">for the 600-million consumers in the ASEAN Economic Community (AEC) and supported by </w:t>
      </w:r>
      <w:r w:rsidRPr="001E6BFB">
        <w:rPr>
          <w:rFonts w:eastAsiaTheme="majorEastAsia" w:cstheme="majorBidi"/>
          <w:color w:val="000000"/>
          <w:sz w:val="24"/>
          <w:szCs w:val="24"/>
          <w:lang w:val="en"/>
        </w:rPr>
        <w:t>relatively good infrastructure and business environment</w:t>
      </w:r>
      <w:r w:rsidRPr="001E6BFB">
        <w:rPr>
          <w:rFonts w:eastAsiaTheme="majorEastAsia" w:cstheme="majorBidi"/>
          <w:sz w:val="24"/>
          <w:szCs w:val="24"/>
          <w:lang w:val="en-US"/>
        </w:rPr>
        <w:t xml:space="preserve">. Thailand is the second largest residential air-conditioning manufacturing base in East Asia with annual output of 17 million units in 2016. </w:t>
      </w:r>
      <w:r w:rsidRPr="001E6BFB">
        <w:rPr>
          <w:rFonts w:eastAsiaTheme="majorEastAsia" w:cstheme="majorBidi"/>
          <w:color w:val="000000"/>
          <w:sz w:val="24"/>
          <w:szCs w:val="24"/>
          <w:lang w:val="en"/>
        </w:rPr>
        <w:t xml:space="preserve">Major refrigerants used in air-conditioners are either </w:t>
      </w:r>
      <w:proofErr w:type="spellStart"/>
      <w:r w:rsidRPr="001E6BFB">
        <w:rPr>
          <w:rFonts w:eastAsiaTheme="majorEastAsia" w:cstheme="majorBidi"/>
          <w:color w:val="000000"/>
          <w:sz w:val="24"/>
          <w:szCs w:val="24"/>
          <w:lang w:val="en"/>
        </w:rPr>
        <w:t>hydrochlorofluorocarbon</w:t>
      </w:r>
      <w:proofErr w:type="spellEnd"/>
      <w:r w:rsidRPr="001E6BFB">
        <w:rPr>
          <w:rFonts w:eastAsiaTheme="majorEastAsia" w:cstheme="majorBidi"/>
          <w:color w:val="000000"/>
          <w:sz w:val="24"/>
          <w:szCs w:val="24"/>
          <w:lang w:val="en"/>
        </w:rPr>
        <w:t xml:space="preserve"> (HCFC) or hydrofluorocarbon (HFC).  </w:t>
      </w:r>
      <w:r w:rsidRPr="001E6BFB">
        <w:rPr>
          <w:rFonts w:eastAsiaTheme="majorEastAsia" w:cstheme="majorBidi"/>
          <w:sz w:val="24"/>
          <w:szCs w:val="24"/>
          <w:lang w:val="en-US"/>
        </w:rPr>
        <w:t>Its automotive industry is the largest in Southeast Asia and 12</w:t>
      </w:r>
      <w:r w:rsidRPr="001E6BFB">
        <w:rPr>
          <w:rFonts w:eastAsiaTheme="majorEastAsia" w:cstheme="majorBidi"/>
          <w:sz w:val="24"/>
          <w:szCs w:val="24"/>
          <w:vertAlign w:val="superscript"/>
          <w:lang w:val="en-US"/>
        </w:rPr>
        <w:t>th</w:t>
      </w:r>
      <w:r w:rsidRPr="001E6BFB">
        <w:rPr>
          <w:rFonts w:eastAsiaTheme="majorEastAsia" w:cstheme="majorBidi"/>
          <w:sz w:val="24"/>
          <w:szCs w:val="24"/>
          <w:lang w:val="en-US"/>
        </w:rPr>
        <w:t xml:space="preserve"> largest in the world with an annual output of nearly 2 million vehicles in 2015. </w:t>
      </w:r>
      <w:r w:rsidRPr="001E6BFB">
        <w:rPr>
          <w:rFonts w:eastAsiaTheme="majorEastAsia" w:cstheme="majorBidi"/>
          <w:color w:val="000000"/>
          <w:sz w:val="24"/>
          <w:szCs w:val="24"/>
          <w:lang w:val="en"/>
        </w:rPr>
        <w:t xml:space="preserve">Almost all passenger cars and trucks are equipped with mobile air-conditioners where HFC is used as refrigerant.  </w:t>
      </w:r>
      <w:r w:rsidRPr="001E6BFB">
        <w:rPr>
          <w:rFonts w:eastAsiaTheme="majorEastAsia" w:cstheme="majorBidi"/>
          <w:sz w:val="24"/>
          <w:szCs w:val="24"/>
          <w:lang w:val="en-US"/>
        </w:rPr>
        <w:t xml:space="preserve">Thailand also produces 5-6 million units of domestic refrigerator of which about 2 million units were sold in domestic market and the rest in export markets. </w:t>
      </w:r>
      <w:r w:rsidRPr="001E6BFB">
        <w:rPr>
          <w:rFonts w:eastAsiaTheme="majorEastAsia" w:cstheme="majorBidi"/>
          <w:color w:val="000000"/>
          <w:sz w:val="24"/>
          <w:szCs w:val="24"/>
          <w:lang w:val="en"/>
        </w:rPr>
        <w:t>These refrigerants have global warming potential (GWP) more than thousand times of carbon dioxide.  HFC phase-down which is the objective of the Kigali Amendment is therefore relevant to the future economic development of Thailand.</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sz w:val="24"/>
          <w:szCs w:val="24"/>
          <w:lang w:val="en-US"/>
        </w:rPr>
        <w:t>Preliminary results of ODS alternatives survey shows major import of HFCs in 2015 as summarized in table below.</w:t>
      </w:r>
    </w:p>
    <w:tbl>
      <w:tblPr>
        <w:tblStyle w:val="TableGrid10"/>
        <w:tblW w:w="0" w:type="auto"/>
        <w:jc w:val="center"/>
        <w:tblLook w:val="04A0" w:firstRow="1" w:lastRow="0" w:firstColumn="1" w:lastColumn="0" w:noHBand="0" w:noVBand="1"/>
      </w:tblPr>
      <w:tblGrid>
        <w:gridCol w:w="1426"/>
        <w:gridCol w:w="1249"/>
      </w:tblGrid>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 xml:space="preserve">HFC </w:t>
            </w:r>
          </w:p>
        </w:tc>
        <w:tc>
          <w:tcPr>
            <w:tcW w:w="0" w:type="auto"/>
          </w:tcPr>
          <w:p w:rsidR="001E6BFB" w:rsidRPr="001E6BFB" w:rsidRDefault="001E6BFB" w:rsidP="001E6BFB">
            <w:pPr>
              <w:jc w:val="left"/>
              <w:rPr>
                <w:szCs w:val="24"/>
                <w:lang w:val="en-US"/>
              </w:rPr>
            </w:pPr>
            <w:r w:rsidRPr="001E6BFB">
              <w:rPr>
                <w:szCs w:val="24"/>
                <w:lang w:val="en-US"/>
              </w:rPr>
              <w:t>Import (mt)</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R-410A</w:t>
            </w:r>
          </w:p>
        </w:tc>
        <w:tc>
          <w:tcPr>
            <w:tcW w:w="0" w:type="auto"/>
          </w:tcPr>
          <w:p w:rsidR="001E6BFB" w:rsidRPr="001E6BFB" w:rsidRDefault="001E6BFB" w:rsidP="001E6BFB">
            <w:pPr>
              <w:jc w:val="right"/>
              <w:rPr>
                <w:szCs w:val="24"/>
                <w:lang w:val="en-US"/>
              </w:rPr>
            </w:pPr>
            <w:r w:rsidRPr="001E6BFB">
              <w:rPr>
                <w:szCs w:val="24"/>
                <w:lang w:val="en-US"/>
              </w:rPr>
              <w:t>9,289</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HFC-134a</w:t>
            </w:r>
          </w:p>
        </w:tc>
        <w:tc>
          <w:tcPr>
            <w:tcW w:w="0" w:type="auto"/>
          </w:tcPr>
          <w:p w:rsidR="001E6BFB" w:rsidRPr="001E6BFB" w:rsidRDefault="001E6BFB" w:rsidP="001E6BFB">
            <w:pPr>
              <w:jc w:val="right"/>
              <w:rPr>
                <w:szCs w:val="24"/>
                <w:lang w:val="en-US"/>
              </w:rPr>
            </w:pPr>
            <w:r w:rsidRPr="001E6BFB">
              <w:rPr>
                <w:szCs w:val="24"/>
                <w:lang w:val="en-US"/>
              </w:rPr>
              <w:t>4,505</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HFC-32</w:t>
            </w:r>
          </w:p>
        </w:tc>
        <w:tc>
          <w:tcPr>
            <w:tcW w:w="0" w:type="auto"/>
          </w:tcPr>
          <w:p w:rsidR="001E6BFB" w:rsidRPr="001E6BFB" w:rsidRDefault="001E6BFB" w:rsidP="001E6BFB">
            <w:pPr>
              <w:jc w:val="right"/>
              <w:rPr>
                <w:szCs w:val="24"/>
                <w:lang w:val="en-US"/>
              </w:rPr>
            </w:pPr>
            <w:r w:rsidRPr="001E6BFB">
              <w:rPr>
                <w:szCs w:val="24"/>
                <w:lang w:val="en-US"/>
              </w:rPr>
              <w:t>1,148</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R-404A</w:t>
            </w:r>
          </w:p>
        </w:tc>
        <w:tc>
          <w:tcPr>
            <w:tcW w:w="0" w:type="auto"/>
          </w:tcPr>
          <w:p w:rsidR="001E6BFB" w:rsidRPr="001E6BFB" w:rsidRDefault="001E6BFB" w:rsidP="001E6BFB">
            <w:pPr>
              <w:jc w:val="right"/>
              <w:rPr>
                <w:szCs w:val="24"/>
                <w:lang w:val="en-US"/>
              </w:rPr>
            </w:pPr>
            <w:r w:rsidRPr="001E6BFB">
              <w:rPr>
                <w:szCs w:val="24"/>
                <w:lang w:val="en-US"/>
              </w:rPr>
              <w:t>347</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HFC-152a</w:t>
            </w:r>
          </w:p>
        </w:tc>
        <w:tc>
          <w:tcPr>
            <w:tcW w:w="0" w:type="auto"/>
          </w:tcPr>
          <w:p w:rsidR="001E6BFB" w:rsidRPr="001E6BFB" w:rsidRDefault="001E6BFB" w:rsidP="001E6BFB">
            <w:pPr>
              <w:jc w:val="right"/>
              <w:rPr>
                <w:szCs w:val="24"/>
                <w:lang w:val="en-US"/>
              </w:rPr>
            </w:pPr>
            <w:r w:rsidRPr="001E6BFB">
              <w:rPr>
                <w:szCs w:val="24"/>
                <w:lang w:val="en-US"/>
              </w:rPr>
              <w:t>112</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R-407C</w:t>
            </w:r>
          </w:p>
        </w:tc>
        <w:tc>
          <w:tcPr>
            <w:tcW w:w="0" w:type="auto"/>
          </w:tcPr>
          <w:p w:rsidR="001E6BFB" w:rsidRPr="001E6BFB" w:rsidRDefault="001E6BFB" w:rsidP="001E6BFB">
            <w:pPr>
              <w:jc w:val="right"/>
              <w:rPr>
                <w:szCs w:val="24"/>
                <w:lang w:val="en-US"/>
              </w:rPr>
            </w:pPr>
            <w:r w:rsidRPr="001E6BFB">
              <w:rPr>
                <w:szCs w:val="24"/>
                <w:lang w:val="en-US"/>
              </w:rPr>
              <w:t>111</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Other HFCs</w:t>
            </w:r>
            <w:r w:rsidRPr="001E6BFB">
              <w:rPr>
                <w:szCs w:val="24"/>
                <w:vertAlign w:val="superscript"/>
                <w:lang w:val="en-US"/>
              </w:rPr>
              <w:footnoteReference w:id="17"/>
            </w:r>
          </w:p>
        </w:tc>
        <w:tc>
          <w:tcPr>
            <w:tcW w:w="0" w:type="auto"/>
          </w:tcPr>
          <w:p w:rsidR="001E6BFB" w:rsidRPr="001E6BFB" w:rsidRDefault="001E6BFB" w:rsidP="001E6BFB">
            <w:pPr>
              <w:jc w:val="right"/>
              <w:rPr>
                <w:szCs w:val="24"/>
                <w:lang w:val="en-US"/>
              </w:rPr>
            </w:pPr>
            <w:r w:rsidRPr="001E6BFB">
              <w:rPr>
                <w:szCs w:val="24"/>
                <w:lang w:val="en-US"/>
              </w:rPr>
              <w:t>155</w:t>
            </w:r>
          </w:p>
        </w:tc>
      </w:tr>
      <w:tr w:rsidR="001E6BFB" w:rsidRPr="001E6BFB" w:rsidTr="001E6BFB">
        <w:trPr>
          <w:jc w:val="center"/>
        </w:trPr>
        <w:tc>
          <w:tcPr>
            <w:tcW w:w="0" w:type="auto"/>
          </w:tcPr>
          <w:p w:rsidR="001E6BFB" w:rsidRPr="001E6BFB" w:rsidRDefault="001E6BFB" w:rsidP="001E6BFB">
            <w:pPr>
              <w:jc w:val="left"/>
              <w:rPr>
                <w:szCs w:val="24"/>
                <w:lang w:val="en-US"/>
              </w:rPr>
            </w:pPr>
            <w:r w:rsidRPr="001E6BFB">
              <w:rPr>
                <w:szCs w:val="24"/>
                <w:lang w:val="en-US"/>
              </w:rPr>
              <w:t>Total</w:t>
            </w:r>
          </w:p>
        </w:tc>
        <w:tc>
          <w:tcPr>
            <w:tcW w:w="0" w:type="auto"/>
          </w:tcPr>
          <w:p w:rsidR="001E6BFB" w:rsidRPr="001E6BFB" w:rsidRDefault="001E6BFB" w:rsidP="001E6BFB">
            <w:pPr>
              <w:jc w:val="right"/>
              <w:rPr>
                <w:szCs w:val="24"/>
                <w:lang w:val="en-US"/>
              </w:rPr>
            </w:pPr>
            <w:r w:rsidRPr="001E6BFB">
              <w:rPr>
                <w:szCs w:val="24"/>
                <w:lang w:val="en-US"/>
              </w:rPr>
              <w:t>15,667</w:t>
            </w:r>
          </w:p>
        </w:tc>
      </w:tr>
    </w:tbl>
    <w:p w:rsidR="001E6BFB" w:rsidRPr="001E6BFB" w:rsidRDefault="001E6BFB" w:rsidP="001E6BFB">
      <w:pPr>
        <w:jc w:val="left"/>
        <w:rPr>
          <w:rFonts w:eastAsia="SimSun"/>
          <w:sz w:val="24"/>
          <w:szCs w:val="24"/>
          <w:lang w:val="en-US"/>
        </w:rPr>
      </w:pPr>
    </w:p>
    <w:p w:rsidR="001E6BFB" w:rsidRPr="001E6BFB" w:rsidRDefault="001E6BFB" w:rsidP="001E6BFB">
      <w:pPr>
        <w:keepNext/>
        <w:keepLines/>
        <w:spacing w:before="200"/>
        <w:jc w:val="left"/>
        <w:outlineLvl w:val="1"/>
        <w:rPr>
          <w:rFonts w:eastAsiaTheme="majorEastAsia" w:cstheme="majorBidi"/>
          <w:b/>
          <w:bCs/>
          <w:sz w:val="24"/>
          <w:szCs w:val="24"/>
          <w:lang w:val="en-US"/>
        </w:rPr>
      </w:pPr>
    </w:p>
    <w:p w:rsidR="001E6BFB" w:rsidRPr="001E6BFB" w:rsidRDefault="001E6BFB" w:rsidP="001E6BFB">
      <w:pPr>
        <w:jc w:val="left"/>
        <w:rPr>
          <w:rFonts w:eastAsia="SimSun"/>
          <w:b/>
          <w:bCs/>
          <w:sz w:val="24"/>
          <w:szCs w:val="24"/>
          <w:lang w:val="en-US"/>
        </w:rPr>
      </w:pPr>
      <w:r w:rsidRPr="001E6BFB">
        <w:rPr>
          <w:rFonts w:eastAsia="SimSun"/>
          <w:b/>
          <w:bCs/>
          <w:sz w:val="24"/>
          <w:szCs w:val="24"/>
          <w:lang w:val="en-US"/>
        </w:rPr>
        <w:t>Objectives</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sz w:val="24"/>
          <w:szCs w:val="24"/>
          <w:lang w:val="en-US"/>
        </w:rPr>
        <w:t xml:space="preserve">The main objective for the proposed enabling activities is to enable Thailand to proceed with the ratification of the Kigali Amendment and make recommendations for policy and regulatory actions that would enable Thailand to be in compliance with the initial HFC phase-down obligations under the Amendment. </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b/>
          <w:bCs/>
          <w:sz w:val="24"/>
          <w:szCs w:val="24"/>
          <w:lang w:val="en-US"/>
        </w:rPr>
        <w:t>Proposed approach and activities</w:t>
      </w:r>
    </w:p>
    <w:p w:rsidR="001E6BFB" w:rsidRPr="001E6BFB" w:rsidRDefault="001E6BFB" w:rsidP="001E6BFB">
      <w:pPr>
        <w:keepNext/>
        <w:keepLines/>
        <w:spacing w:before="200"/>
        <w:jc w:val="left"/>
        <w:outlineLvl w:val="1"/>
        <w:rPr>
          <w:rFonts w:eastAsiaTheme="majorEastAsia" w:cstheme="majorBidi"/>
          <w:sz w:val="24"/>
          <w:szCs w:val="24"/>
          <w:lang w:val="en-US"/>
        </w:rPr>
      </w:pPr>
      <w:r w:rsidRPr="001E6BFB">
        <w:rPr>
          <w:rFonts w:eastAsiaTheme="majorEastAsia" w:cstheme="majorBidi"/>
          <w:sz w:val="24"/>
          <w:szCs w:val="24"/>
          <w:lang w:val="en-US"/>
        </w:rPr>
        <w:t>The proposed approach includes the following:</w:t>
      </w:r>
    </w:p>
    <w:p w:rsidR="001E6BFB" w:rsidRPr="001E6BFB" w:rsidRDefault="001E6BFB" w:rsidP="001E6BFB">
      <w:pPr>
        <w:widowControl w:val="0"/>
        <w:numPr>
          <w:ilvl w:val="2"/>
          <w:numId w:val="40"/>
        </w:numPr>
        <w:spacing w:after="240"/>
        <w:ind w:left="1440"/>
        <w:jc w:val="left"/>
        <w:outlineLvl w:val="2"/>
        <w:rPr>
          <w:rFonts w:eastAsia="SimSun" w:cs="Arial"/>
          <w:bCs/>
          <w:color w:val="000000" w:themeColor="text1"/>
          <w:sz w:val="24"/>
          <w:szCs w:val="24"/>
          <w:lang w:val="en-US"/>
        </w:rPr>
      </w:pPr>
      <w:r w:rsidRPr="001E6BFB">
        <w:rPr>
          <w:rFonts w:eastAsia="SimSun" w:cs="Arial"/>
          <w:bCs/>
          <w:sz w:val="24"/>
          <w:szCs w:val="24"/>
          <w:lang w:val="en-US"/>
        </w:rPr>
        <w:t>An assessment of existing domestic regulations pertaining to the ozone and climate protection in order to identify potential options to strengthen existing policy and regulatory framework to effectively control and monitor import, export, and use of HFCs.</w:t>
      </w:r>
      <w:r w:rsidRPr="001E6BFB">
        <w:rPr>
          <w:rFonts w:eastAsia="SimSun" w:cs="Arial"/>
          <w:bCs/>
          <w:color w:val="000000" w:themeColor="text1"/>
          <w:sz w:val="24"/>
          <w:szCs w:val="24"/>
          <w:lang w:val="en-US"/>
        </w:rPr>
        <w:t xml:space="preserve"> </w:t>
      </w:r>
    </w:p>
    <w:p w:rsidR="001E6BFB" w:rsidRPr="001E6BFB" w:rsidRDefault="001E6BFB" w:rsidP="001E6BFB">
      <w:pPr>
        <w:widowControl w:val="0"/>
        <w:numPr>
          <w:ilvl w:val="2"/>
          <w:numId w:val="40"/>
        </w:numPr>
        <w:spacing w:after="240"/>
        <w:ind w:left="1440"/>
        <w:jc w:val="left"/>
        <w:outlineLvl w:val="2"/>
        <w:rPr>
          <w:rFonts w:eastAsia="SimSun" w:cs="Arial"/>
          <w:bCs/>
          <w:sz w:val="24"/>
          <w:szCs w:val="24"/>
          <w:lang w:val="en-US"/>
        </w:rPr>
      </w:pPr>
      <w:r w:rsidRPr="001E6BFB">
        <w:rPr>
          <w:rFonts w:eastAsia="SimSun" w:cs="Arial"/>
          <w:bCs/>
          <w:sz w:val="24"/>
          <w:szCs w:val="24"/>
          <w:lang w:val="en-US"/>
        </w:rPr>
        <w:t xml:space="preserve">Capacity building for Department of Industrial Works, Customs Department, and others in order to strengthen their capacity to extend existing licensing and quota systems for ozone depleting substances to cover HFCs, and to adapt existing Harmonized System (HS) of Custom Codes for </w:t>
      </w:r>
      <w:r w:rsidRPr="001E6BFB">
        <w:rPr>
          <w:rFonts w:eastAsia="SimSun" w:cs="Arial"/>
          <w:bCs/>
          <w:sz w:val="24"/>
          <w:szCs w:val="24"/>
          <w:lang w:val="en-US"/>
        </w:rPr>
        <w:lastRenderedPageBreak/>
        <w:t>tracking import/export of HFCs and HFC blends.</w:t>
      </w:r>
    </w:p>
    <w:p w:rsidR="001E6BFB" w:rsidRPr="001E6BFB" w:rsidRDefault="001E6BFB" w:rsidP="001E6BFB">
      <w:pPr>
        <w:widowControl w:val="0"/>
        <w:numPr>
          <w:ilvl w:val="2"/>
          <w:numId w:val="40"/>
        </w:numPr>
        <w:spacing w:after="240"/>
        <w:ind w:left="1440"/>
        <w:jc w:val="left"/>
        <w:outlineLvl w:val="2"/>
        <w:rPr>
          <w:rFonts w:eastAsia="SimSun" w:cs="Arial"/>
          <w:bCs/>
          <w:sz w:val="24"/>
          <w:szCs w:val="24"/>
          <w:lang w:val="en-US"/>
        </w:rPr>
      </w:pPr>
      <w:r w:rsidRPr="001E6BFB">
        <w:rPr>
          <w:rFonts w:eastAsia="SimSun" w:cs="Arial"/>
          <w:bCs/>
          <w:sz w:val="24"/>
          <w:szCs w:val="24"/>
          <w:lang w:val="en-US"/>
        </w:rPr>
        <w:t>Exploring synergy among various government agencies involved in ozone and climate protection with an aim to coordinate their efforts to control and monitor HFCs and to report HFC consumption and emissions to the relevant global environmental treaties (i.e. UNFCCC and Montreal Protocol).</w:t>
      </w:r>
    </w:p>
    <w:p w:rsidR="001E6BFB" w:rsidRPr="001E6BFB" w:rsidRDefault="001E6BFB" w:rsidP="001E6BFB">
      <w:pPr>
        <w:widowControl w:val="0"/>
        <w:numPr>
          <w:ilvl w:val="2"/>
          <w:numId w:val="40"/>
        </w:numPr>
        <w:spacing w:after="240"/>
        <w:ind w:left="1440"/>
        <w:jc w:val="left"/>
        <w:outlineLvl w:val="2"/>
        <w:rPr>
          <w:rFonts w:eastAsia="SimSun" w:cs="Arial"/>
          <w:bCs/>
          <w:sz w:val="24"/>
          <w:szCs w:val="24"/>
          <w:lang w:val="en-US"/>
        </w:rPr>
      </w:pPr>
      <w:r w:rsidRPr="001E6BFB">
        <w:rPr>
          <w:rFonts w:eastAsia="SimSun" w:cs="Arial"/>
          <w:bCs/>
          <w:sz w:val="24"/>
          <w:szCs w:val="24"/>
          <w:lang w:val="en-US"/>
        </w:rPr>
        <w:t>Review Thailand ODS alternatives survey and analyze to forecast the baseline HFC consumption level (average consumption between 2020 and 2022) and consumption beyond 2022 based on business as usual through intensive consultation with government, industry and NGOs.  The HFC consumption projection would then be compared with the maximum level allowed by the Kigali Amendment.  This would provide guidance for the Government of Thailand with regard to timing and compliance concerns.</w:t>
      </w:r>
    </w:p>
    <w:p w:rsidR="001E6BFB" w:rsidRPr="001E6BFB" w:rsidRDefault="001E6BFB" w:rsidP="001E6BFB">
      <w:pPr>
        <w:widowControl w:val="0"/>
        <w:numPr>
          <w:ilvl w:val="2"/>
          <w:numId w:val="40"/>
        </w:numPr>
        <w:spacing w:after="240"/>
        <w:ind w:left="1440"/>
        <w:jc w:val="left"/>
        <w:outlineLvl w:val="2"/>
        <w:rPr>
          <w:rFonts w:eastAsia="SimSun" w:cs="Arial"/>
          <w:bCs/>
          <w:sz w:val="24"/>
          <w:szCs w:val="24"/>
          <w:lang w:val="en-US"/>
        </w:rPr>
      </w:pPr>
      <w:r w:rsidRPr="001E6BFB">
        <w:rPr>
          <w:rFonts w:eastAsia="SimSun" w:cs="Arial"/>
          <w:bCs/>
          <w:sz w:val="24"/>
          <w:szCs w:val="24"/>
          <w:lang w:val="en-US"/>
        </w:rPr>
        <w:t>Based on the forecasted baseline HFC consumption and use, a list of alternative technologies for respective sectors will be developed.  Consultations with stakeholders to determine appropriate alternative technologies for the Thailand context would be carried out.  All alternative technologies that are currently commercially available as well as emerging technologies and expected timeframe for these technologies would become commercially available should be considered.</w:t>
      </w:r>
    </w:p>
    <w:p w:rsidR="001E6BFB" w:rsidRPr="001E6BFB" w:rsidRDefault="001E6BFB" w:rsidP="001E6BFB">
      <w:pPr>
        <w:widowControl w:val="0"/>
        <w:numPr>
          <w:ilvl w:val="2"/>
          <w:numId w:val="40"/>
        </w:numPr>
        <w:spacing w:after="240"/>
        <w:ind w:left="1440"/>
        <w:jc w:val="left"/>
        <w:outlineLvl w:val="2"/>
        <w:rPr>
          <w:rFonts w:eastAsia="SimSun" w:cs="Arial"/>
          <w:bCs/>
          <w:sz w:val="24"/>
          <w:szCs w:val="24"/>
          <w:lang w:val="en-US"/>
        </w:rPr>
      </w:pPr>
      <w:r w:rsidRPr="001E6BFB">
        <w:rPr>
          <w:rFonts w:eastAsia="SimSun" w:cs="Arial"/>
          <w:bCs/>
          <w:sz w:val="24"/>
          <w:szCs w:val="24"/>
          <w:lang w:val="en-US"/>
        </w:rPr>
        <w:t>Develop a draft strategy highlighting different phase-down scenarios for Thailand to proceed with ratification and to be in compliance with short-term, medium-term, and long-term commitments with the Kigali Amendment.  The strategy should include recommendations for policy and regulatory actions to enable Thailand to proceed with the ratification and those that would enable Thailand to be in compliance with the Amendment.  In addition, the strategy should provide comprehensive analyses for Thailand’s technology pathway for complying with the Amendment.</w:t>
      </w:r>
    </w:p>
    <w:p w:rsidR="001E6BFB" w:rsidRPr="001E6BFB" w:rsidRDefault="001E6BFB" w:rsidP="001E6BFB">
      <w:pPr>
        <w:jc w:val="left"/>
        <w:rPr>
          <w:rFonts w:eastAsia="SimSun"/>
          <w:sz w:val="24"/>
          <w:szCs w:val="24"/>
          <w:lang w:val="en-CA"/>
        </w:rPr>
      </w:pPr>
    </w:p>
    <w:p w:rsidR="001E6BFB" w:rsidRPr="001E6BFB" w:rsidRDefault="001E6BFB" w:rsidP="001E6BFB">
      <w:pPr>
        <w:keepNext/>
        <w:keepLines/>
        <w:spacing w:before="200"/>
        <w:jc w:val="left"/>
        <w:outlineLvl w:val="1"/>
        <w:rPr>
          <w:rFonts w:eastAsiaTheme="majorEastAsia" w:cstheme="majorBidi"/>
          <w:sz w:val="24"/>
          <w:szCs w:val="26"/>
          <w:lang w:val="en-US"/>
        </w:rPr>
      </w:pPr>
      <w:r w:rsidRPr="001E6BFB">
        <w:rPr>
          <w:rFonts w:eastAsiaTheme="majorEastAsia" w:cstheme="majorBidi"/>
          <w:b/>
          <w:bCs/>
          <w:sz w:val="24"/>
          <w:szCs w:val="24"/>
          <w:lang w:val="en-US"/>
        </w:rPr>
        <w:t>Impact</w:t>
      </w:r>
      <w:r w:rsidRPr="001E6BFB">
        <w:rPr>
          <w:rFonts w:eastAsiaTheme="majorEastAsia" w:cstheme="majorBidi"/>
          <w:b/>
          <w:bCs/>
          <w:sz w:val="24"/>
          <w:szCs w:val="26"/>
          <w:lang w:val="en-US"/>
        </w:rPr>
        <w:t xml:space="preserve"> on HCFC phase-out projects implementation</w:t>
      </w:r>
    </w:p>
    <w:p w:rsidR="001E6BFB" w:rsidRPr="001E6BFB" w:rsidRDefault="001E6BFB" w:rsidP="001E6BFB">
      <w:pPr>
        <w:jc w:val="left"/>
        <w:rPr>
          <w:rFonts w:eastAsia="SimSun"/>
          <w:sz w:val="24"/>
          <w:szCs w:val="24"/>
          <w:lang w:val="en-US"/>
        </w:rPr>
      </w:pPr>
    </w:p>
    <w:p w:rsidR="001E6BFB" w:rsidRPr="001E6BFB" w:rsidRDefault="001E6BFB" w:rsidP="001E6BFB">
      <w:pPr>
        <w:jc w:val="left"/>
        <w:rPr>
          <w:rFonts w:eastAsia="SimSun"/>
          <w:sz w:val="24"/>
          <w:szCs w:val="24"/>
          <w:lang w:val="en-US"/>
        </w:rPr>
      </w:pPr>
      <w:r w:rsidRPr="001E6BFB">
        <w:rPr>
          <w:rFonts w:eastAsia="SimSun"/>
          <w:sz w:val="24"/>
          <w:szCs w:val="24"/>
          <w:lang w:val="en-US"/>
        </w:rPr>
        <w:t>The implementation of the enabling activities would not delay implementation of HCFC phase-out projects in Thailand.</w:t>
      </w:r>
    </w:p>
    <w:p w:rsidR="001E6BFB" w:rsidRPr="001E6BFB" w:rsidRDefault="001E6BFB" w:rsidP="001E6BFB">
      <w:pPr>
        <w:jc w:val="left"/>
        <w:rPr>
          <w:rFonts w:eastAsia="SimSun"/>
          <w:b/>
          <w:bCs/>
          <w:sz w:val="24"/>
          <w:szCs w:val="24"/>
          <w:lang w:val="en-US"/>
        </w:rPr>
        <w:sectPr w:rsidR="001E6BFB" w:rsidRPr="001E6BFB" w:rsidSect="001E6BFB">
          <w:pgSz w:w="12240" w:h="15840"/>
          <w:pgMar w:top="720" w:right="720" w:bottom="720" w:left="720" w:header="720" w:footer="720" w:gutter="0"/>
          <w:cols w:space="720"/>
          <w:docGrid w:linePitch="360"/>
        </w:sectPr>
      </w:pPr>
    </w:p>
    <w:p w:rsidR="001E6BFB" w:rsidRPr="001E6BFB" w:rsidRDefault="001E6BFB" w:rsidP="001E6BFB">
      <w:pPr>
        <w:jc w:val="left"/>
        <w:rPr>
          <w:rFonts w:eastAsia="SimSun"/>
          <w:b/>
          <w:bCs/>
          <w:sz w:val="24"/>
          <w:szCs w:val="24"/>
          <w:lang w:val="en-US"/>
        </w:rPr>
      </w:pPr>
      <w:r w:rsidRPr="001E6BFB">
        <w:rPr>
          <w:rFonts w:eastAsia="SimSun"/>
          <w:b/>
          <w:bCs/>
          <w:sz w:val="24"/>
          <w:szCs w:val="24"/>
          <w:lang w:val="en-US"/>
        </w:rPr>
        <w:lastRenderedPageBreak/>
        <w:t>Proposed activities, implementation plan, and budgets</w:t>
      </w:r>
      <w:r w:rsidRPr="001E6BFB">
        <w:rPr>
          <w:rFonts w:eastAsia="SimSun"/>
          <w:b/>
          <w:bCs/>
          <w:sz w:val="24"/>
          <w:szCs w:val="24"/>
          <w:vertAlign w:val="superscript"/>
          <w:lang w:val="en-US"/>
        </w:rPr>
        <w:footnoteReference w:id="18"/>
      </w:r>
    </w:p>
    <w:p w:rsidR="001E6BFB" w:rsidRPr="001E6BFB" w:rsidRDefault="001E6BFB" w:rsidP="001E6BFB">
      <w:pPr>
        <w:jc w:val="left"/>
        <w:rPr>
          <w:rFonts w:eastAsia="SimSun"/>
          <w:b/>
          <w:bCs/>
          <w:sz w:val="24"/>
          <w:szCs w:val="24"/>
          <w:lang w:val="en-CA"/>
        </w:rPr>
      </w:pPr>
    </w:p>
    <w:tbl>
      <w:tblPr>
        <w:tblStyle w:val="TableGrid10"/>
        <w:tblW w:w="5000" w:type="pct"/>
        <w:tblLayout w:type="fixed"/>
        <w:tblLook w:val="04A0" w:firstRow="1" w:lastRow="0" w:firstColumn="1" w:lastColumn="0" w:noHBand="0" w:noVBand="1"/>
      </w:tblPr>
      <w:tblGrid>
        <w:gridCol w:w="3640"/>
        <w:gridCol w:w="1383"/>
        <w:gridCol w:w="1453"/>
        <w:gridCol w:w="1085"/>
        <w:gridCol w:w="1085"/>
        <w:gridCol w:w="1028"/>
        <w:gridCol w:w="1839"/>
        <w:gridCol w:w="1437"/>
      </w:tblGrid>
      <w:tr w:rsidR="001E6BFB" w:rsidRPr="001E6BFB" w:rsidTr="001E6BFB">
        <w:trPr>
          <w:tblHeader/>
        </w:trPr>
        <w:tc>
          <w:tcPr>
            <w:tcW w:w="1405" w:type="pct"/>
          </w:tcPr>
          <w:p w:rsidR="001E6BFB" w:rsidRPr="001E6BFB" w:rsidRDefault="001E6BFB" w:rsidP="001E6BFB">
            <w:pPr>
              <w:widowControl w:val="0"/>
              <w:jc w:val="center"/>
              <w:rPr>
                <w:b/>
                <w:sz w:val="20"/>
                <w:szCs w:val="20"/>
                <w:lang w:val="en-US"/>
              </w:rPr>
            </w:pPr>
            <w:r w:rsidRPr="001E6BFB">
              <w:rPr>
                <w:b/>
                <w:sz w:val="20"/>
                <w:szCs w:val="20"/>
                <w:lang w:val="en-US"/>
              </w:rPr>
              <w:t>Activities</w:t>
            </w:r>
          </w:p>
        </w:tc>
        <w:tc>
          <w:tcPr>
            <w:tcW w:w="534" w:type="pct"/>
          </w:tcPr>
          <w:p w:rsidR="001E6BFB" w:rsidRPr="001E6BFB" w:rsidRDefault="001E6BFB" w:rsidP="001E6BFB">
            <w:pPr>
              <w:widowControl w:val="0"/>
              <w:jc w:val="center"/>
              <w:rPr>
                <w:b/>
                <w:sz w:val="20"/>
                <w:szCs w:val="20"/>
                <w:lang w:val="en-US"/>
              </w:rPr>
            </w:pPr>
            <w:r w:rsidRPr="001E6BFB">
              <w:rPr>
                <w:b/>
                <w:sz w:val="20"/>
                <w:szCs w:val="20"/>
                <w:lang w:val="en-US"/>
              </w:rPr>
              <w:t>Responsible entity</w:t>
            </w:r>
          </w:p>
        </w:tc>
        <w:tc>
          <w:tcPr>
            <w:tcW w:w="561" w:type="pct"/>
          </w:tcPr>
          <w:p w:rsidR="001E6BFB" w:rsidRPr="001E6BFB" w:rsidRDefault="001E6BFB" w:rsidP="001E6BFB">
            <w:pPr>
              <w:widowControl w:val="0"/>
              <w:jc w:val="center"/>
              <w:rPr>
                <w:b/>
                <w:sz w:val="20"/>
                <w:szCs w:val="20"/>
                <w:lang w:val="en-US"/>
              </w:rPr>
            </w:pPr>
            <w:r w:rsidRPr="001E6BFB">
              <w:rPr>
                <w:b/>
                <w:sz w:val="20"/>
                <w:szCs w:val="20"/>
                <w:lang w:val="en-US"/>
              </w:rPr>
              <w:t>Target group</w:t>
            </w:r>
          </w:p>
        </w:tc>
        <w:tc>
          <w:tcPr>
            <w:tcW w:w="419" w:type="pct"/>
          </w:tcPr>
          <w:p w:rsidR="001E6BFB" w:rsidRPr="001E6BFB" w:rsidRDefault="001E6BFB" w:rsidP="001E6BFB">
            <w:pPr>
              <w:widowControl w:val="0"/>
              <w:jc w:val="center"/>
              <w:rPr>
                <w:b/>
                <w:sz w:val="20"/>
                <w:szCs w:val="20"/>
                <w:lang w:val="en-US"/>
              </w:rPr>
            </w:pPr>
            <w:r w:rsidRPr="001E6BFB">
              <w:rPr>
                <w:b/>
                <w:sz w:val="20"/>
                <w:szCs w:val="20"/>
                <w:lang w:val="en-US"/>
              </w:rPr>
              <w:t xml:space="preserve">Start date </w:t>
            </w:r>
          </w:p>
        </w:tc>
        <w:tc>
          <w:tcPr>
            <w:tcW w:w="419" w:type="pct"/>
          </w:tcPr>
          <w:p w:rsidR="001E6BFB" w:rsidRPr="001E6BFB" w:rsidRDefault="001E6BFB" w:rsidP="001E6BFB">
            <w:pPr>
              <w:widowControl w:val="0"/>
              <w:jc w:val="center"/>
              <w:rPr>
                <w:b/>
                <w:sz w:val="20"/>
                <w:szCs w:val="20"/>
                <w:lang w:val="en-US"/>
              </w:rPr>
            </w:pPr>
            <w:r w:rsidRPr="001E6BFB">
              <w:rPr>
                <w:b/>
                <w:sz w:val="20"/>
                <w:szCs w:val="20"/>
                <w:lang w:val="en-US"/>
              </w:rPr>
              <w:t xml:space="preserve">Date of completion </w:t>
            </w:r>
          </w:p>
        </w:tc>
        <w:tc>
          <w:tcPr>
            <w:tcW w:w="397" w:type="pct"/>
          </w:tcPr>
          <w:p w:rsidR="001E6BFB" w:rsidRPr="001E6BFB" w:rsidRDefault="001E6BFB" w:rsidP="001E6BFB">
            <w:pPr>
              <w:widowControl w:val="0"/>
              <w:jc w:val="center"/>
              <w:rPr>
                <w:b/>
                <w:sz w:val="20"/>
                <w:szCs w:val="20"/>
                <w:lang w:val="en-US"/>
              </w:rPr>
            </w:pPr>
            <w:r w:rsidRPr="001E6BFB">
              <w:rPr>
                <w:b/>
                <w:sz w:val="20"/>
                <w:szCs w:val="20"/>
                <w:lang w:val="en-US"/>
              </w:rPr>
              <w:t xml:space="preserve">Tentative Budget </w:t>
            </w:r>
          </w:p>
          <w:p w:rsidR="001E6BFB" w:rsidRPr="001E6BFB" w:rsidRDefault="001E6BFB" w:rsidP="001E6BFB">
            <w:pPr>
              <w:widowControl w:val="0"/>
              <w:jc w:val="center"/>
              <w:rPr>
                <w:b/>
                <w:sz w:val="20"/>
                <w:szCs w:val="20"/>
                <w:lang w:val="en-US"/>
              </w:rPr>
            </w:pPr>
            <w:r w:rsidRPr="001E6BFB">
              <w:rPr>
                <w:b/>
                <w:sz w:val="20"/>
                <w:szCs w:val="20"/>
                <w:lang w:val="en-US"/>
              </w:rPr>
              <w:t>(US $)</w:t>
            </w:r>
          </w:p>
        </w:tc>
        <w:tc>
          <w:tcPr>
            <w:tcW w:w="710" w:type="pct"/>
          </w:tcPr>
          <w:p w:rsidR="001E6BFB" w:rsidRPr="001E6BFB" w:rsidRDefault="001E6BFB" w:rsidP="001E6BFB">
            <w:pPr>
              <w:widowControl w:val="0"/>
              <w:jc w:val="center"/>
              <w:rPr>
                <w:b/>
                <w:sz w:val="20"/>
                <w:szCs w:val="20"/>
                <w:lang w:val="en-US"/>
              </w:rPr>
            </w:pPr>
            <w:r w:rsidRPr="001E6BFB">
              <w:rPr>
                <w:b/>
                <w:sz w:val="20"/>
                <w:szCs w:val="20"/>
                <w:lang w:val="en-US"/>
              </w:rPr>
              <w:t>Milestones</w:t>
            </w:r>
          </w:p>
        </w:tc>
        <w:tc>
          <w:tcPr>
            <w:tcW w:w="556" w:type="pct"/>
          </w:tcPr>
          <w:p w:rsidR="001E6BFB" w:rsidRPr="001E6BFB" w:rsidRDefault="001E6BFB" w:rsidP="001E6BFB">
            <w:pPr>
              <w:widowControl w:val="0"/>
              <w:jc w:val="center"/>
              <w:rPr>
                <w:b/>
                <w:sz w:val="20"/>
                <w:szCs w:val="20"/>
                <w:lang w:val="en-US"/>
              </w:rPr>
            </w:pPr>
            <w:r w:rsidRPr="001E6BFB">
              <w:rPr>
                <w:b/>
                <w:sz w:val="20"/>
                <w:szCs w:val="20"/>
                <w:lang w:val="en-US"/>
              </w:rPr>
              <w:t>Expected outputs</w:t>
            </w: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National consultation workshop (Kick-off)</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summary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Introduction to Kigali Amendment</w:t>
            </w: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Review existing regulations to control and monitor import and export of HFCs and HFC-blends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Feb-18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Report with recommendations</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Revision of regulations to enable control and monitor import and export of HFCs and HFC-blends</w:t>
            </w: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Training workshops for customs officers/DIW/importers/exporters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 customs department</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30,000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Capacity building of national stakeholders</w:t>
            </w: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Review ODS alternative survey, analysis and forecast baseline HFC consumption</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Jul-18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Aug-18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20,000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Model for forecast HFC consumption</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 xml:space="preserve">Improve capacity to </w:t>
            </w:r>
            <w:proofErr w:type="spellStart"/>
            <w:r w:rsidRPr="001E6BFB">
              <w:rPr>
                <w:sz w:val="20"/>
                <w:szCs w:val="20"/>
                <w:lang w:val="en-US"/>
              </w:rPr>
              <w:t>analyse</w:t>
            </w:r>
            <w:proofErr w:type="spellEnd"/>
            <w:r w:rsidRPr="001E6BFB">
              <w:rPr>
                <w:sz w:val="20"/>
                <w:szCs w:val="20"/>
                <w:lang w:val="en-US"/>
              </w:rPr>
              <w:t xml:space="preserve"> HFC phase-down scenarios</w:t>
            </w: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Industry consultation workshops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 xml:space="preserve">Industry (MAC, domestic refrigerator, Residential AC, solvent, </w:t>
            </w:r>
            <w:proofErr w:type="spellStart"/>
            <w:r w:rsidRPr="001E6BFB">
              <w:rPr>
                <w:sz w:val="20"/>
                <w:szCs w:val="20"/>
                <w:lang w:val="en-US"/>
              </w:rPr>
              <w:t>fire fighting</w:t>
            </w:r>
            <w:proofErr w:type="spellEnd"/>
            <w:r w:rsidRPr="001E6BFB">
              <w:rPr>
                <w:sz w:val="20"/>
                <w:szCs w:val="20"/>
                <w:lang w:val="en-US"/>
              </w:rPr>
              <w:t>)</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Jul-18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Mar-19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50,000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Identification of potential technology pathway for each sector</w:t>
            </w: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Review of lower-GWP alternatives in each sector including assessment of commercial availability of alternatives and components</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Jun-18</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Dec-18</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30,000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Technical reports for each sector</w:t>
            </w:r>
          </w:p>
        </w:tc>
        <w:tc>
          <w:tcPr>
            <w:tcW w:w="556" w:type="pct"/>
          </w:tcPr>
          <w:p w:rsidR="001E6BFB" w:rsidRPr="001E6BFB" w:rsidRDefault="001E6BFB" w:rsidP="001E6BFB">
            <w:pPr>
              <w:widowControl w:val="0"/>
              <w:jc w:val="left"/>
              <w:rPr>
                <w:sz w:val="20"/>
                <w:szCs w:val="20"/>
                <w:lang w:val="en-US"/>
              </w:rPr>
            </w:pP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lastRenderedPageBreak/>
              <w:t>Development of phase-down scenarios, technology pathway, and draft strategy</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Jan-19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50,000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Draft strategy with recommendations for policy and regulatory actions to enable compliance</w:t>
            </w:r>
          </w:p>
        </w:tc>
        <w:tc>
          <w:tcPr>
            <w:tcW w:w="556" w:type="pct"/>
          </w:tcPr>
          <w:p w:rsidR="001E6BFB" w:rsidRPr="001E6BFB" w:rsidRDefault="001E6BFB" w:rsidP="001E6BFB">
            <w:pPr>
              <w:widowControl w:val="0"/>
              <w:jc w:val="left"/>
              <w:rPr>
                <w:sz w:val="20"/>
                <w:szCs w:val="20"/>
                <w:lang w:val="en-US"/>
              </w:rPr>
            </w:pP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National consultation workshop (draft strategy)</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WB/NOU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Industry/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Mar-19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Workshop conducted – workshop summary report</w:t>
            </w:r>
          </w:p>
        </w:tc>
        <w:tc>
          <w:tcPr>
            <w:tcW w:w="556" w:type="pct"/>
          </w:tcPr>
          <w:p w:rsidR="001E6BFB" w:rsidRPr="001E6BFB" w:rsidRDefault="001E6BFB" w:rsidP="001E6BFB">
            <w:pPr>
              <w:widowControl w:val="0"/>
              <w:jc w:val="left"/>
              <w:rPr>
                <w:sz w:val="20"/>
                <w:szCs w:val="20"/>
                <w:lang w:val="en-US"/>
              </w:rPr>
            </w:pP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Information dissemination on the Kigali Amendment</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Public/ industry /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May-19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Information package</w:t>
            </w: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Public consultation for ratification of Kigali Amendment</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Public/ industry /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Apr-19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May-19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20,000</w:t>
            </w:r>
          </w:p>
        </w:tc>
        <w:tc>
          <w:tcPr>
            <w:tcW w:w="710" w:type="pct"/>
          </w:tcPr>
          <w:p w:rsidR="001E6BFB" w:rsidRPr="001E6BFB" w:rsidRDefault="001E6BFB" w:rsidP="001E6BFB">
            <w:pPr>
              <w:widowControl w:val="0"/>
              <w:jc w:val="left"/>
              <w:rPr>
                <w:sz w:val="20"/>
                <w:szCs w:val="20"/>
                <w:lang w:val="en-US"/>
              </w:rPr>
            </w:pPr>
            <w:r w:rsidRPr="001E6BFB">
              <w:rPr>
                <w:sz w:val="20"/>
                <w:szCs w:val="20"/>
                <w:lang w:val="en-US"/>
              </w:rPr>
              <w:t>National consultation report</w:t>
            </w: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Initial process before ratification of Kigali Amendment</w:t>
            </w:r>
          </w:p>
        </w:tc>
      </w:tr>
      <w:tr w:rsidR="001E6BFB" w:rsidRPr="001E6BFB" w:rsidTr="001E6BFB">
        <w:tc>
          <w:tcPr>
            <w:tcW w:w="1405" w:type="pct"/>
          </w:tcPr>
          <w:p w:rsidR="001E6BFB" w:rsidRPr="001E6BFB" w:rsidRDefault="001E6BFB" w:rsidP="001E6BFB">
            <w:pPr>
              <w:widowControl w:val="0"/>
              <w:numPr>
                <w:ilvl w:val="0"/>
                <w:numId w:val="42"/>
              </w:numPr>
              <w:contextualSpacing/>
              <w:jc w:val="left"/>
              <w:rPr>
                <w:sz w:val="20"/>
                <w:szCs w:val="20"/>
                <w:lang w:val="en-US"/>
              </w:rPr>
            </w:pPr>
            <w:r w:rsidRPr="001E6BFB">
              <w:rPr>
                <w:sz w:val="20"/>
                <w:szCs w:val="20"/>
                <w:lang w:val="en-US"/>
              </w:rPr>
              <w:t>National consultation workshop (ratification)</w:t>
            </w:r>
          </w:p>
        </w:tc>
        <w:tc>
          <w:tcPr>
            <w:tcW w:w="534" w:type="pct"/>
          </w:tcPr>
          <w:p w:rsidR="001E6BFB" w:rsidRPr="001E6BFB" w:rsidRDefault="001E6BFB" w:rsidP="001E6BFB">
            <w:pPr>
              <w:widowControl w:val="0"/>
              <w:jc w:val="center"/>
              <w:rPr>
                <w:sz w:val="20"/>
                <w:szCs w:val="20"/>
                <w:lang w:val="en-US"/>
              </w:rPr>
            </w:pPr>
            <w:r w:rsidRPr="001E6BFB">
              <w:rPr>
                <w:sz w:val="20"/>
                <w:szCs w:val="20"/>
                <w:lang w:val="en-US"/>
              </w:rPr>
              <w:t>NOU</w:t>
            </w:r>
          </w:p>
        </w:tc>
        <w:tc>
          <w:tcPr>
            <w:tcW w:w="561" w:type="pct"/>
          </w:tcPr>
          <w:p w:rsidR="001E6BFB" w:rsidRPr="001E6BFB" w:rsidRDefault="001E6BFB" w:rsidP="001E6BFB">
            <w:pPr>
              <w:widowControl w:val="0"/>
              <w:jc w:val="center"/>
              <w:rPr>
                <w:sz w:val="20"/>
                <w:szCs w:val="20"/>
                <w:lang w:val="en-US"/>
              </w:rPr>
            </w:pPr>
            <w:r w:rsidRPr="001E6BFB">
              <w:rPr>
                <w:sz w:val="20"/>
                <w:szCs w:val="20"/>
                <w:lang w:val="en-US"/>
              </w:rPr>
              <w:t>Parliament/ legislators</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May-19</w:t>
            </w:r>
          </w:p>
        </w:tc>
        <w:tc>
          <w:tcPr>
            <w:tcW w:w="419" w:type="pct"/>
          </w:tcPr>
          <w:p w:rsidR="001E6BFB" w:rsidRPr="001E6BFB" w:rsidRDefault="001E6BFB" w:rsidP="001E6BFB">
            <w:pPr>
              <w:widowControl w:val="0"/>
              <w:jc w:val="center"/>
              <w:rPr>
                <w:sz w:val="20"/>
                <w:szCs w:val="20"/>
                <w:lang w:val="en-US"/>
              </w:rPr>
            </w:pPr>
            <w:r w:rsidRPr="001E6BFB">
              <w:rPr>
                <w:sz w:val="20"/>
                <w:szCs w:val="20"/>
                <w:lang w:val="en-US"/>
              </w:rPr>
              <w:t>Jun-19</w:t>
            </w:r>
          </w:p>
        </w:tc>
        <w:tc>
          <w:tcPr>
            <w:tcW w:w="397" w:type="pct"/>
          </w:tcPr>
          <w:p w:rsidR="001E6BFB" w:rsidRPr="001E6BFB" w:rsidRDefault="001E6BFB" w:rsidP="001E6BFB">
            <w:pPr>
              <w:widowControl w:val="0"/>
              <w:jc w:val="center"/>
              <w:rPr>
                <w:sz w:val="20"/>
                <w:szCs w:val="20"/>
                <w:highlight w:val="yellow"/>
                <w:lang w:val="en-US"/>
              </w:rPr>
            </w:pPr>
            <w:r w:rsidRPr="001E6BFB">
              <w:rPr>
                <w:sz w:val="20"/>
                <w:szCs w:val="20"/>
                <w:lang w:val="en-US"/>
              </w:rPr>
              <w:t>10,000</w:t>
            </w:r>
          </w:p>
        </w:tc>
        <w:tc>
          <w:tcPr>
            <w:tcW w:w="710" w:type="pct"/>
          </w:tcPr>
          <w:p w:rsidR="001E6BFB" w:rsidRPr="001E6BFB" w:rsidRDefault="001E6BFB" w:rsidP="001E6BFB">
            <w:pPr>
              <w:widowControl w:val="0"/>
              <w:jc w:val="left"/>
              <w:rPr>
                <w:sz w:val="20"/>
                <w:szCs w:val="20"/>
                <w:lang w:val="en-US"/>
              </w:rPr>
            </w:pPr>
          </w:p>
        </w:tc>
        <w:tc>
          <w:tcPr>
            <w:tcW w:w="556" w:type="pct"/>
          </w:tcPr>
          <w:p w:rsidR="001E6BFB" w:rsidRPr="001E6BFB" w:rsidRDefault="001E6BFB" w:rsidP="001E6BFB">
            <w:pPr>
              <w:widowControl w:val="0"/>
              <w:jc w:val="left"/>
              <w:rPr>
                <w:sz w:val="20"/>
                <w:szCs w:val="20"/>
                <w:lang w:val="en-US"/>
              </w:rPr>
            </w:pPr>
            <w:r w:rsidRPr="001E6BFB">
              <w:rPr>
                <w:sz w:val="20"/>
                <w:szCs w:val="20"/>
                <w:lang w:val="en-US"/>
              </w:rPr>
              <w:t>Support by members of Parliament on the ratification bill</w:t>
            </w:r>
          </w:p>
        </w:tc>
      </w:tr>
      <w:tr w:rsidR="001E6BFB" w:rsidRPr="001E6BFB" w:rsidTr="001E6BFB">
        <w:tc>
          <w:tcPr>
            <w:tcW w:w="1405" w:type="pct"/>
          </w:tcPr>
          <w:p w:rsidR="001E6BFB" w:rsidRPr="001E6BFB" w:rsidRDefault="001E6BFB" w:rsidP="001E6BFB">
            <w:pPr>
              <w:widowControl w:val="0"/>
              <w:jc w:val="left"/>
              <w:rPr>
                <w:sz w:val="20"/>
                <w:szCs w:val="20"/>
                <w:lang w:val="en-US"/>
              </w:rPr>
            </w:pPr>
            <w:r w:rsidRPr="001E6BFB">
              <w:rPr>
                <w:sz w:val="20"/>
                <w:szCs w:val="20"/>
                <w:lang w:val="en-US"/>
              </w:rPr>
              <w:t>Total</w:t>
            </w:r>
          </w:p>
        </w:tc>
        <w:tc>
          <w:tcPr>
            <w:tcW w:w="534" w:type="pct"/>
          </w:tcPr>
          <w:p w:rsidR="001E6BFB" w:rsidRPr="001E6BFB" w:rsidRDefault="001E6BFB" w:rsidP="001E6BFB">
            <w:pPr>
              <w:widowControl w:val="0"/>
              <w:jc w:val="center"/>
              <w:rPr>
                <w:sz w:val="20"/>
                <w:szCs w:val="20"/>
                <w:lang w:val="en-US"/>
              </w:rPr>
            </w:pPr>
          </w:p>
        </w:tc>
        <w:tc>
          <w:tcPr>
            <w:tcW w:w="561" w:type="pct"/>
          </w:tcPr>
          <w:p w:rsidR="001E6BFB" w:rsidRPr="001E6BFB" w:rsidRDefault="001E6BFB" w:rsidP="001E6BFB">
            <w:pPr>
              <w:widowControl w:val="0"/>
              <w:jc w:val="center"/>
              <w:rPr>
                <w:sz w:val="20"/>
                <w:szCs w:val="20"/>
                <w:lang w:val="en-US"/>
              </w:rPr>
            </w:pPr>
          </w:p>
        </w:tc>
        <w:tc>
          <w:tcPr>
            <w:tcW w:w="419" w:type="pct"/>
          </w:tcPr>
          <w:p w:rsidR="001E6BFB" w:rsidRPr="001E6BFB" w:rsidRDefault="001E6BFB" w:rsidP="001E6BFB">
            <w:pPr>
              <w:widowControl w:val="0"/>
              <w:jc w:val="center"/>
              <w:rPr>
                <w:sz w:val="20"/>
                <w:szCs w:val="20"/>
                <w:lang w:val="en-US"/>
              </w:rPr>
            </w:pPr>
          </w:p>
        </w:tc>
        <w:tc>
          <w:tcPr>
            <w:tcW w:w="419" w:type="pct"/>
          </w:tcPr>
          <w:p w:rsidR="001E6BFB" w:rsidRPr="001E6BFB" w:rsidRDefault="001E6BFB" w:rsidP="001E6BFB">
            <w:pPr>
              <w:widowControl w:val="0"/>
              <w:jc w:val="center"/>
              <w:rPr>
                <w:sz w:val="20"/>
                <w:szCs w:val="20"/>
                <w:lang w:val="en-US"/>
              </w:rPr>
            </w:pPr>
          </w:p>
        </w:tc>
        <w:tc>
          <w:tcPr>
            <w:tcW w:w="397" w:type="pct"/>
          </w:tcPr>
          <w:p w:rsidR="001E6BFB" w:rsidRPr="001E6BFB" w:rsidRDefault="001E6BFB" w:rsidP="001E6BFB">
            <w:pPr>
              <w:widowControl w:val="0"/>
              <w:jc w:val="center"/>
              <w:rPr>
                <w:sz w:val="20"/>
                <w:szCs w:val="20"/>
                <w:lang w:val="en-US"/>
              </w:rPr>
            </w:pPr>
            <w:r w:rsidRPr="001E6BFB">
              <w:rPr>
                <w:sz w:val="20"/>
                <w:szCs w:val="20"/>
                <w:lang w:val="en-US"/>
              </w:rPr>
              <w:t>250,000</w:t>
            </w:r>
          </w:p>
        </w:tc>
        <w:tc>
          <w:tcPr>
            <w:tcW w:w="710" w:type="pct"/>
          </w:tcPr>
          <w:p w:rsidR="001E6BFB" w:rsidRPr="001E6BFB" w:rsidRDefault="001E6BFB" w:rsidP="001E6BFB">
            <w:pPr>
              <w:widowControl w:val="0"/>
              <w:jc w:val="left"/>
              <w:rPr>
                <w:sz w:val="20"/>
                <w:szCs w:val="20"/>
                <w:lang w:val="en-US"/>
              </w:rPr>
            </w:pPr>
          </w:p>
        </w:tc>
        <w:tc>
          <w:tcPr>
            <w:tcW w:w="556" w:type="pct"/>
          </w:tcPr>
          <w:p w:rsidR="001E6BFB" w:rsidRPr="001E6BFB" w:rsidRDefault="001E6BFB" w:rsidP="001E6BFB">
            <w:pPr>
              <w:widowControl w:val="0"/>
              <w:jc w:val="left"/>
              <w:rPr>
                <w:sz w:val="20"/>
                <w:szCs w:val="20"/>
                <w:lang w:val="en-US"/>
              </w:rPr>
            </w:pPr>
          </w:p>
        </w:tc>
      </w:tr>
    </w:tbl>
    <w:p w:rsidR="001E6BFB" w:rsidRPr="001E6BFB" w:rsidRDefault="001E6BFB" w:rsidP="001E6BFB">
      <w:pPr>
        <w:jc w:val="left"/>
        <w:rPr>
          <w:rFonts w:eastAsia="SimSun"/>
          <w:sz w:val="24"/>
          <w:szCs w:val="24"/>
          <w:lang w:val="en-CA"/>
        </w:rPr>
      </w:pPr>
    </w:p>
    <w:p w:rsidR="001E6BFB" w:rsidRPr="001E6BFB" w:rsidRDefault="001E6BFB" w:rsidP="001E6BFB">
      <w:pPr>
        <w:keepNext/>
        <w:keepLines/>
        <w:spacing w:before="200" w:line="276" w:lineRule="auto"/>
        <w:ind w:left="720" w:hanging="720"/>
        <w:jc w:val="left"/>
        <w:outlineLvl w:val="1"/>
        <w:rPr>
          <w:rFonts w:eastAsiaTheme="majorEastAsia" w:cstheme="majorBidi"/>
          <w:sz w:val="24"/>
          <w:szCs w:val="24"/>
          <w:lang w:val="en-US"/>
        </w:rPr>
        <w:sectPr w:rsidR="001E6BFB" w:rsidRPr="001E6BFB" w:rsidSect="001E6BFB">
          <w:pgSz w:w="15840" w:h="12240" w:orient="landscape"/>
          <w:pgMar w:top="1440" w:right="1440" w:bottom="1440" w:left="1440" w:header="720" w:footer="720" w:gutter="0"/>
          <w:cols w:space="720"/>
          <w:docGrid w:linePitch="360"/>
        </w:sectPr>
      </w:pPr>
    </w:p>
    <w:p w:rsidR="001E6BFB" w:rsidRPr="001E6BFB" w:rsidRDefault="001E6BFB" w:rsidP="001E6BFB">
      <w:pPr>
        <w:keepNext/>
        <w:keepLines/>
        <w:spacing w:before="200" w:line="276" w:lineRule="auto"/>
        <w:ind w:left="720" w:hanging="720"/>
        <w:jc w:val="left"/>
        <w:outlineLvl w:val="1"/>
        <w:rPr>
          <w:rFonts w:eastAsiaTheme="majorEastAsia" w:cstheme="majorBidi"/>
          <w:b/>
          <w:bCs/>
          <w:sz w:val="24"/>
          <w:szCs w:val="24"/>
          <w:lang w:val="en-US"/>
        </w:rPr>
      </w:pPr>
      <w:r w:rsidRPr="001E6BFB">
        <w:rPr>
          <w:rFonts w:eastAsiaTheme="majorEastAsia" w:cstheme="majorBidi"/>
          <w:b/>
          <w:bCs/>
          <w:sz w:val="24"/>
          <w:szCs w:val="24"/>
          <w:lang w:val="en-US"/>
        </w:rPr>
        <w:lastRenderedPageBreak/>
        <w:t xml:space="preserve">Institutional arrangements </w:t>
      </w:r>
    </w:p>
    <w:p w:rsidR="001E6BFB" w:rsidRPr="001E6BFB" w:rsidRDefault="001E6BFB" w:rsidP="001E6BFB">
      <w:pPr>
        <w:spacing w:after="120"/>
        <w:jc w:val="thaiDistribute"/>
        <w:rPr>
          <w:rFonts w:eastAsia="SimSun"/>
          <w:color w:val="000000"/>
          <w:sz w:val="24"/>
          <w:szCs w:val="24"/>
          <w:lang w:val="en-US"/>
        </w:rPr>
      </w:pPr>
      <w:r w:rsidRPr="001E6BFB">
        <w:rPr>
          <w:rFonts w:eastAsia="SimSun"/>
          <w:sz w:val="24"/>
          <w:szCs w:val="24"/>
          <w:lang w:val="en-US"/>
        </w:rPr>
        <w:t>Brief background of relevant agencies that will be involved in HFC enabling activities is summarized as follow:</w:t>
      </w:r>
    </w:p>
    <w:p w:rsidR="001E6BFB" w:rsidRPr="001E6BFB" w:rsidRDefault="001E6BFB" w:rsidP="001E6BFB">
      <w:pPr>
        <w:numPr>
          <w:ilvl w:val="0"/>
          <w:numId w:val="39"/>
        </w:numPr>
        <w:autoSpaceDE w:val="0"/>
        <w:autoSpaceDN w:val="0"/>
        <w:adjustRightInd w:val="0"/>
        <w:spacing w:after="120"/>
        <w:contextualSpacing/>
        <w:jc w:val="left"/>
        <w:rPr>
          <w:rFonts w:eastAsia="SimSun"/>
          <w:sz w:val="24"/>
          <w:szCs w:val="24"/>
          <w:lang w:val="en-US"/>
        </w:rPr>
      </w:pPr>
      <w:r w:rsidRPr="001E6BFB">
        <w:rPr>
          <w:rFonts w:eastAsia="SimSun"/>
          <w:b/>
          <w:bCs/>
          <w:sz w:val="24"/>
          <w:szCs w:val="24"/>
          <w:lang w:val="en-US"/>
        </w:rPr>
        <w:t xml:space="preserve">Ministry of Finance (MOF): </w:t>
      </w:r>
      <w:r w:rsidRPr="001E6BFB">
        <w:rPr>
          <w:rFonts w:eastAsia="SimSun"/>
          <w:sz w:val="24"/>
          <w:szCs w:val="24"/>
          <w:lang w:val="en-US" w:bidi="th-TH"/>
        </w:rPr>
        <w:t>MOF</w:t>
      </w:r>
      <w:r w:rsidRPr="001E6BFB">
        <w:rPr>
          <w:rFonts w:eastAsia="SimSun"/>
          <w:sz w:val="24"/>
          <w:szCs w:val="24"/>
          <w:lang w:val="en-US"/>
        </w:rPr>
        <w:t xml:space="preserve"> is the designated focal point for World Bank projects in Thailand. All grant agreements between Thailand and the World Bank are signed by MOF on behalf of Thailand.  Moreover, the Customs Department under the MOF has a vital role in monitoring imports and exports of HCFC.  The Customs Department has worked with the Department of Industrial Works for more than a decade in controlling imports and exports of CFCs.  It has recently extended its cooperation with the Department of Industrial Works to cover imports and exports of HCFCs.</w:t>
      </w:r>
    </w:p>
    <w:p w:rsidR="001E6BFB" w:rsidRPr="001E6BFB" w:rsidRDefault="001E6BFB" w:rsidP="001E6BFB">
      <w:pPr>
        <w:numPr>
          <w:ilvl w:val="0"/>
          <w:numId w:val="39"/>
        </w:numPr>
        <w:autoSpaceDE w:val="0"/>
        <w:autoSpaceDN w:val="0"/>
        <w:adjustRightInd w:val="0"/>
        <w:spacing w:after="120"/>
        <w:contextualSpacing/>
        <w:jc w:val="left"/>
        <w:rPr>
          <w:rFonts w:eastAsia="SimSun"/>
          <w:sz w:val="24"/>
          <w:szCs w:val="24"/>
          <w:lang w:val="en-US"/>
        </w:rPr>
      </w:pPr>
      <w:r w:rsidRPr="001E6BFB">
        <w:rPr>
          <w:rFonts w:eastAsia="SimSun"/>
          <w:b/>
          <w:bCs/>
          <w:sz w:val="24"/>
          <w:szCs w:val="24"/>
          <w:lang w:val="en-US"/>
        </w:rPr>
        <w:t xml:space="preserve">Ministry of Industry (MOI): </w:t>
      </w:r>
      <w:r w:rsidRPr="001E6BFB">
        <w:rPr>
          <w:rFonts w:eastAsia="SimSun"/>
          <w:sz w:val="24"/>
          <w:szCs w:val="24"/>
          <w:lang w:val="en-US"/>
        </w:rPr>
        <w:t>MOI is the designated agency for the implementation of the Montreal Protocol. It is also in charge of the development and implementation of national industrial policies and regulations including the Hazardous Substances Act and the Factory Act. These framework laws are employed for controlling import, transport, storage, use, and final disposal of ODS.</w:t>
      </w:r>
    </w:p>
    <w:p w:rsidR="001E6BFB" w:rsidRPr="001E6BFB" w:rsidRDefault="001E6BFB" w:rsidP="001E6BFB">
      <w:pPr>
        <w:numPr>
          <w:ilvl w:val="0"/>
          <w:numId w:val="39"/>
        </w:numPr>
        <w:autoSpaceDE w:val="0"/>
        <w:autoSpaceDN w:val="0"/>
        <w:adjustRightInd w:val="0"/>
        <w:spacing w:after="120"/>
        <w:contextualSpacing/>
        <w:jc w:val="left"/>
        <w:rPr>
          <w:rFonts w:eastAsia="SimSun"/>
          <w:b/>
          <w:bCs/>
          <w:sz w:val="24"/>
          <w:szCs w:val="24"/>
          <w:lang w:val="en-US"/>
        </w:rPr>
      </w:pPr>
      <w:r w:rsidRPr="001E6BFB">
        <w:rPr>
          <w:rFonts w:eastAsia="SimSun"/>
          <w:b/>
          <w:bCs/>
          <w:sz w:val="24"/>
          <w:szCs w:val="24"/>
          <w:lang w:val="en-US"/>
        </w:rPr>
        <w:t>Department of Industrial Works (DIW):</w:t>
      </w:r>
      <w:r w:rsidRPr="001E6BFB">
        <w:rPr>
          <w:rFonts w:eastAsia="SimSun"/>
          <w:sz w:val="24"/>
          <w:szCs w:val="24"/>
          <w:lang w:val="en-US"/>
        </w:rPr>
        <w:t xml:space="preserve"> MOI has appointed DIW to serve as the national focal point for the implementation of the Montreal Protocol. DIW is tasked with enforcement of the Hazardous Substances and Factory Acts.</w:t>
      </w:r>
      <w:r w:rsidRPr="001E6BFB">
        <w:rPr>
          <w:rFonts w:eastAsia="SimSun"/>
          <w:sz w:val="24"/>
          <w:szCs w:val="24"/>
          <w:lang w:val="en-US" w:bidi="th-TH"/>
        </w:rPr>
        <w:t xml:space="preserve"> </w:t>
      </w:r>
      <w:r w:rsidRPr="001E6BFB">
        <w:rPr>
          <w:rFonts w:eastAsia="SimSun"/>
          <w:sz w:val="24"/>
          <w:szCs w:val="24"/>
          <w:lang w:val="en-US"/>
        </w:rPr>
        <w:t xml:space="preserve">DIW houses the key units including NOU and the PMU which are responsible for the implementation of MLF funded activities. </w:t>
      </w:r>
    </w:p>
    <w:p w:rsidR="001E6BFB" w:rsidRPr="001E6BFB" w:rsidRDefault="001E6BFB" w:rsidP="001E6BFB">
      <w:pPr>
        <w:numPr>
          <w:ilvl w:val="0"/>
          <w:numId w:val="39"/>
        </w:numPr>
        <w:autoSpaceDE w:val="0"/>
        <w:autoSpaceDN w:val="0"/>
        <w:adjustRightInd w:val="0"/>
        <w:spacing w:after="120"/>
        <w:contextualSpacing/>
        <w:jc w:val="left"/>
        <w:rPr>
          <w:rFonts w:eastAsia="SimSun"/>
          <w:sz w:val="24"/>
          <w:szCs w:val="24"/>
          <w:lang w:val="en-US"/>
        </w:rPr>
      </w:pPr>
      <w:r w:rsidRPr="001E6BFB">
        <w:rPr>
          <w:rFonts w:eastAsia="SimSun"/>
          <w:b/>
          <w:bCs/>
          <w:sz w:val="24"/>
          <w:szCs w:val="24"/>
          <w:lang w:val="en-US"/>
        </w:rPr>
        <w:t>Treaties and International Strategies Bureau (TISB):</w:t>
      </w:r>
      <w:r w:rsidRPr="001E6BFB">
        <w:rPr>
          <w:rFonts w:eastAsia="SimSun"/>
          <w:sz w:val="24"/>
          <w:szCs w:val="24"/>
          <w:lang w:val="en-US"/>
        </w:rPr>
        <w:t xml:space="preserve">  TISB is a bureau under DIW with a mandate for developing industrial strategies in relation to global environment treaties.  Its responsibilities under the project include: determining overall annual import quotas of HCFCs, verifying annual HCFC consumption, reconciling import data from the Customs Department and data recorded by the Hazardous Substances Control Bureau (HSCB) and other activities required by the Montreal Protocol.   TISB will be supported by the National Ozone Unit, which has been funded by the MLF for the last 21 years, and DIW-PMU.  </w:t>
      </w:r>
    </w:p>
    <w:p w:rsidR="001E6BFB" w:rsidRPr="001E6BFB" w:rsidRDefault="001E6BFB" w:rsidP="001E6BFB">
      <w:pPr>
        <w:numPr>
          <w:ilvl w:val="0"/>
          <w:numId w:val="39"/>
        </w:numPr>
        <w:autoSpaceDE w:val="0"/>
        <w:autoSpaceDN w:val="0"/>
        <w:adjustRightInd w:val="0"/>
        <w:spacing w:after="120"/>
        <w:contextualSpacing/>
        <w:jc w:val="left"/>
        <w:rPr>
          <w:rFonts w:eastAsia="SimSun"/>
          <w:sz w:val="24"/>
          <w:szCs w:val="24"/>
          <w:lang w:val="en-US"/>
        </w:rPr>
      </w:pPr>
      <w:r w:rsidRPr="001E6BFB">
        <w:rPr>
          <w:rFonts w:eastAsia="SimSun"/>
          <w:b/>
          <w:bCs/>
          <w:sz w:val="24"/>
          <w:szCs w:val="24"/>
          <w:lang w:val="en-US"/>
        </w:rPr>
        <w:t>Hazardous Substances Control Bureau (HSCB):</w:t>
      </w:r>
      <w:r w:rsidRPr="001E6BFB">
        <w:rPr>
          <w:rFonts w:eastAsia="SimSun"/>
          <w:sz w:val="24"/>
          <w:szCs w:val="24"/>
          <w:lang w:val="en-US"/>
        </w:rPr>
        <w:t xml:space="preserve">  HSCB is a bureau under DIW, which has the legal mandate to issue import permits for all hazardous substances.  For HCFC control, HSCB is responsible for allocating the overall annual import quotas as determined by TISB to each importer and for issuing import/export permits to eligible importers/exporters.  HSCB will also be in charge of monitoring actual imports/exports made by importers/exporters and recording the actual import/export quantities reported by all importers/exporters.  The data collected by HSCB and import records maintained by Customs Department will be used by TISB to conduct independent verification of annual consumption as required by the agreement between the Executive Committee of the Multilateral Fund.</w:t>
      </w:r>
    </w:p>
    <w:p w:rsidR="001E6BFB" w:rsidRPr="001E6BFB" w:rsidRDefault="001E6BFB" w:rsidP="001E6BFB">
      <w:pPr>
        <w:numPr>
          <w:ilvl w:val="0"/>
          <w:numId w:val="39"/>
        </w:numPr>
        <w:autoSpaceDE w:val="0"/>
        <w:autoSpaceDN w:val="0"/>
        <w:adjustRightInd w:val="0"/>
        <w:spacing w:after="120"/>
        <w:contextualSpacing/>
        <w:jc w:val="left"/>
        <w:rPr>
          <w:rFonts w:eastAsia="SimSun"/>
          <w:b/>
          <w:bCs/>
          <w:sz w:val="24"/>
          <w:szCs w:val="24"/>
          <w:lang w:val="en-US"/>
        </w:rPr>
      </w:pPr>
      <w:r w:rsidRPr="001E6BFB">
        <w:rPr>
          <w:rFonts w:eastAsia="SimSun"/>
          <w:b/>
          <w:bCs/>
          <w:sz w:val="24"/>
          <w:szCs w:val="24"/>
          <w:lang w:val="en-US"/>
        </w:rPr>
        <w:t xml:space="preserve">National Ozone Unit (NOU): </w:t>
      </w:r>
      <w:r w:rsidRPr="001E6BFB">
        <w:rPr>
          <w:rFonts w:eastAsia="SimSun"/>
          <w:sz w:val="24"/>
          <w:szCs w:val="24"/>
          <w:lang w:val="en-US"/>
        </w:rPr>
        <w:t xml:space="preserve">The NOU was established in 1992 within DIW.  Its main responsibility is to ensure Thailand’s compliance with its obligations under the Montreal Protocol especially monitoring import/export of ODSs, implementing import quota system of ODSs and liaising with other government agencies including the Customs Department to ensure the effective control of the borders to preempt any illegal shipments of ODS in and out of the country.  Moreover, the NOU is also tasked to comply with Article 7 data reporting requirements and submit Progress Reports on the </w:t>
      </w:r>
      <w:r w:rsidRPr="001E6BFB">
        <w:rPr>
          <w:rFonts w:eastAsia="SimSun"/>
          <w:sz w:val="24"/>
          <w:szCs w:val="24"/>
          <w:lang w:val="en-US"/>
        </w:rPr>
        <w:lastRenderedPageBreak/>
        <w:t>Implementation of the Country Program on an annual basis, carry out public awareness activities, information exchange with stakeholders in the country, including both public and private sectors, and stakeholders in other Article 5 countries within the region and participate in all international meetings related to the Montreal Protocol.</w:t>
      </w:r>
    </w:p>
    <w:p w:rsidR="001E6BFB" w:rsidRPr="001E6BFB" w:rsidRDefault="001E6BFB" w:rsidP="001E6BFB">
      <w:pPr>
        <w:numPr>
          <w:ilvl w:val="0"/>
          <w:numId w:val="39"/>
        </w:numPr>
        <w:autoSpaceDE w:val="0"/>
        <w:autoSpaceDN w:val="0"/>
        <w:adjustRightInd w:val="0"/>
        <w:spacing w:after="120"/>
        <w:contextualSpacing/>
        <w:jc w:val="left"/>
        <w:rPr>
          <w:rFonts w:eastAsia="SimSun"/>
          <w:sz w:val="24"/>
          <w:szCs w:val="24"/>
          <w:lang w:val="en-US" w:bidi="th-TH"/>
        </w:rPr>
      </w:pPr>
      <w:r w:rsidRPr="001E6BFB">
        <w:rPr>
          <w:rFonts w:eastAsia="SimSun"/>
          <w:b/>
          <w:bCs/>
          <w:sz w:val="24"/>
          <w:szCs w:val="24"/>
          <w:lang w:val="en-US" w:bidi="th-TH"/>
        </w:rPr>
        <w:t xml:space="preserve">DIW Project Management Unit (DIW-PMU): </w:t>
      </w:r>
      <w:r w:rsidRPr="001E6BFB">
        <w:rPr>
          <w:rFonts w:eastAsia="SimSun"/>
          <w:sz w:val="24"/>
          <w:szCs w:val="24"/>
          <w:lang w:val="en-US" w:bidi="th-TH"/>
        </w:rPr>
        <w:t>The DIW-PMU will be responsible for day to day operations including overseeing the implementation of technical assistance activities  DIW-PMU will review and determine the eligibility of the enterprise for sub-project financing following criteria established by the MLF and agreed to by the Bank and provide advice to beneficiary enterprises in preparing their subproject proposals.  In addition, DIW-PMU will assist DIW in putting into place both overarching regulations and sector specific regulations and policies and engaging with the Foam Association and Air-Conditioning and Refrigeration Industry Club of the Federation of Thai Industries to ensure full cooperation of the industry in reducing its consumption of HCFCs and inform the industry of financial and technical assistance available from the Project. DIW-PMU will also be responsible for reporting requirements as detailed in the Project Implementation Manual.</w:t>
      </w:r>
    </w:p>
    <w:p w:rsidR="001E6BFB" w:rsidRPr="001E6BFB" w:rsidRDefault="001E6BFB" w:rsidP="001E6BFB">
      <w:pPr>
        <w:numPr>
          <w:ilvl w:val="0"/>
          <w:numId w:val="39"/>
        </w:numPr>
        <w:autoSpaceDE w:val="0"/>
        <w:autoSpaceDN w:val="0"/>
        <w:adjustRightInd w:val="0"/>
        <w:contextualSpacing/>
        <w:jc w:val="left"/>
        <w:rPr>
          <w:rFonts w:eastAsia="SimSun"/>
          <w:sz w:val="28"/>
          <w:szCs w:val="28"/>
          <w:lang w:val="en-US" w:bidi="hi-IN"/>
        </w:rPr>
      </w:pPr>
      <w:r w:rsidRPr="001E6BFB">
        <w:rPr>
          <w:rFonts w:eastAsia="SimSun"/>
          <w:b/>
          <w:bCs/>
          <w:sz w:val="24"/>
          <w:szCs w:val="24"/>
          <w:lang w:val="en-US" w:bidi="th-TH"/>
        </w:rPr>
        <w:t xml:space="preserve">Customs Department: </w:t>
      </w:r>
      <w:r w:rsidRPr="001E6BFB">
        <w:rPr>
          <w:rFonts w:eastAsia="SimSun"/>
          <w:sz w:val="24"/>
          <w:szCs w:val="24"/>
          <w:lang w:val="en-US" w:bidi="th-TH"/>
        </w:rPr>
        <w:t xml:space="preserve">Customs Department is responsible to check import of any banned substances into the country and keep a track of all controlled substances as notified by the government </w:t>
      </w:r>
      <w:r w:rsidRPr="001E6BFB">
        <w:rPr>
          <w:rFonts w:eastAsia="SimSun"/>
          <w:color w:val="000000"/>
          <w:sz w:val="24"/>
          <w:szCs w:val="24"/>
          <w:lang w:val="en-US" w:bidi="hi-IN"/>
        </w:rPr>
        <w:t>entered through or departed from port or check point</w:t>
      </w:r>
      <w:r w:rsidRPr="001E6BFB">
        <w:rPr>
          <w:rFonts w:eastAsia="SimSun"/>
          <w:sz w:val="24"/>
          <w:szCs w:val="24"/>
          <w:lang w:val="en-US" w:bidi="th-TH"/>
        </w:rPr>
        <w:t xml:space="preserve">. </w:t>
      </w:r>
      <w:r w:rsidRPr="001E6BFB">
        <w:rPr>
          <w:rFonts w:eastAsia="SimSun"/>
          <w:color w:val="000000"/>
          <w:sz w:val="24"/>
          <w:szCs w:val="24"/>
          <w:lang w:val="en-US" w:bidi="hi-IN"/>
        </w:rPr>
        <w:t xml:space="preserve">In order to proceed with import/export clearance, the importer/exporter is required to furnish Customs Department with the original import/export permit and approved import/export declaration form from DIW. </w:t>
      </w:r>
    </w:p>
    <w:p w:rsidR="001E6BFB" w:rsidRPr="001E6BFB" w:rsidRDefault="001E6BFB" w:rsidP="001E6BFB">
      <w:pPr>
        <w:autoSpaceDE w:val="0"/>
        <w:autoSpaceDN w:val="0"/>
        <w:adjustRightInd w:val="0"/>
        <w:jc w:val="left"/>
        <w:rPr>
          <w:rFonts w:eastAsia="SimSun"/>
          <w:color w:val="000000"/>
          <w:sz w:val="24"/>
          <w:szCs w:val="24"/>
          <w:lang w:val="en-US" w:bidi="hi-IN"/>
        </w:rPr>
      </w:pPr>
    </w:p>
    <w:p w:rsidR="001E6BFB" w:rsidRPr="001E6BFB" w:rsidRDefault="001E6BFB" w:rsidP="001E6BFB">
      <w:pPr>
        <w:spacing w:after="160" w:line="259" w:lineRule="auto"/>
        <w:jc w:val="left"/>
        <w:rPr>
          <w:rFonts w:eastAsia="SimSun"/>
          <w:sz w:val="24"/>
          <w:szCs w:val="24"/>
          <w:lang w:val="en-US"/>
        </w:rPr>
      </w:pPr>
    </w:p>
    <w:p w:rsidR="001E6BFB" w:rsidRPr="001E6BFB" w:rsidRDefault="001E6BFB" w:rsidP="001E6BFB">
      <w:pPr>
        <w:jc w:val="left"/>
        <w:rPr>
          <w:rFonts w:eastAsia="SimSun"/>
          <w:b/>
          <w:bCs/>
          <w:color w:val="000000"/>
          <w:lang w:val="en-US"/>
        </w:rPr>
      </w:pPr>
      <w:r w:rsidRPr="001E6BFB">
        <w:rPr>
          <w:rFonts w:eastAsia="SimSun"/>
          <w:color w:val="000000"/>
          <w:lang w:val="en-US"/>
        </w:rPr>
        <w:br w:type="page"/>
      </w:r>
    </w:p>
    <w:p w:rsidR="001E6BFB" w:rsidRPr="001E6BFB" w:rsidRDefault="001E6BFB" w:rsidP="001E6BFB">
      <w:pPr>
        <w:spacing w:after="200"/>
        <w:jc w:val="left"/>
        <w:rPr>
          <w:rFonts w:eastAsia="SimSun"/>
          <w:b/>
          <w:bCs/>
          <w:color w:val="000000"/>
          <w:lang w:val="en-US"/>
        </w:rPr>
      </w:pPr>
      <w:bookmarkStart w:id="10" w:name="_Ref493249204"/>
      <w:r w:rsidRPr="001E6BFB">
        <w:rPr>
          <w:rFonts w:eastAsia="SimSun"/>
          <w:b/>
          <w:bCs/>
          <w:color w:val="000000"/>
          <w:lang w:val="en-US"/>
        </w:rPr>
        <w:lastRenderedPageBreak/>
        <w:t xml:space="preserve">Annex </w:t>
      </w:r>
      <w:r w:rsidRPr="001E6BFB">
        <w:rPr>
          <w:rFonts w:eastAsia="SimSun"/>
          <w:b/>
          <w:bCs/>
          <w:color w:val="000000"/>
          <w:lang w:val="en-US"/>
        </w:rPr>
        <w:fldChar w:fldCharType="begin"/>
      </w:r>
      <w:r w:rsidRPr="001E6BFB">
        <w:rPr>
          <w:rFonts w:eastAsia="SimSun"/>
          <w:b/>
          <w:bCs/>
          <w:color w:val="000000"/>
          <w:lang w:val="en-US"/>
        </w:rPr>
        <w:instrText xml:space="preserve"> SEQ Annex \* ARABIC </w:instrText>
      </w:r>
      <w:r w:rsidRPr="001E6BFB">
        <w:rPr>
          <w:rFonts w:eastAsia="SimSun"/>
          <w:b/>
          <w:bCs/>
          <w:color w:val="000000"/>
          <w:lang w:val="en-US"/>
        </w:rPr>
        <w:fldChar w:fldCharType="separate"/>
      </w:r>
      <w:r w:rsidR="00AB7308">
        <w:rPr>
          <w:rFonts w:eastAsia="SimSun"/>
          <w:b/>
          <w:bCs/>
          <w:noProof/>
          <w:color w:val="000000"/>
          <w:lang w:val="en-US"/>
        </w:rPr>
        <w:t>5</w:t>
      </w:r>
      <w:r w:rsidRPr="001E6BFB">
        <w:rPr>
          <w:rFonts w:eastAsia="SimSun"/>
          <w:b/>
          <w:bCs/>
          <w:color w:val="000000"/>
          <w:lang w:val="en-US"/>
        </w:rPr>
        <w:fldChar w:fldCharType="end"/>
      </w:r>
      <w:bookmarkEnd w:id="10"/>
      <w:r w:rsidRPr="001E6BFB">
        <w:rPr>
          <w:rFonts w:eastAsia="SimSun"/>
          <w:b/>
          <w:bCs/>
          <w:color w:val="000000"/>
          <w:lang w:val="en-US"/>
        </w:rPr>
        <w:t xml:space="preserve">: Request for project preparation for conversion of HFC to lower-GWP refrigerant at </w:t>
      </w:r>
      <w:proofErr w:type="spellStart"/>
      <w:r w:rsidRPr="001E6BFB">
        <w:rPr>
          <w:rFonts w:eastAsia="SimSun"/>
          <w:b/>
          <w:bCs/>
          <w:color w:val="000000"/>
          <w:lang w:val="en-US"/>
        </w:rPr>
        <w:t>Pattna</w:t>
      </w:r>
      <w:proofErr w:type="spellEnd"/>
      <w:r w:rsidRPr="001E6BFB">
        <w:rPr>
          <w:rFonts w:eastAsia="SimSun"/>
          <w:b/>
          <w:bCs/>
          <w:color w:val="000000"/>
          <w:lang w:val="en-US"/>
        </w:rPr>
        <w:t xml:space="preserve"> Intercool and System Forms.</w:t>
      </w:r>
    </w:p>
    <w:p w:rsidR="001E6BFB" w:rsidRPr="001E6BFB" w:rsidRDefault="001E6BFB" w:rsidP="001E6BFB">
      <w:pPr>
        <w:numPr>
          <w:ilvl w:val="0"/>
          <w:numId w:val="34"/>
        </w:numPr>
        <w:spacing w:after="120"/>
        <w:jc w:val="left"/>
        <w:rPr>
          <w:lang w:bidi="th-TH"/>
        </w:rPr>
      </w:pPr>
      <w:r w:rsidRPr="001E6BFB">
        <w:t xml:space="preserve">The Government of Thailand has requested the Bank to prepare an investment project for conversion from HFC to HFO-based alternatives in the manufacturing of commercial refrigeration equipment at </w:t>
      </w:r>
      <w:proofErr w:type="spellStart"/>
      <w:r w:rsidRPr="001E6BFB">
        <w:t>Pattana</w:t>
      </w:r>
      <w:proofErr w:type="spellEnd"/>
      <w:r w:rsidRPr="001E6BFB">
        <w:t xml:space="preserve"> Intercool Co., Ltd. And System Forms Co., Ltd. in response to Decision 79/45.</w:t>
      </w:r>
    </w:p>
    <w:p w:rsidR="001E6BFB" w:rsidRPr="001E6BFB" w:rsidRDefault="001E6BFB" w:rsidP="001E6BFB">
      <w:pPr>
        <w:numPr>
          <w:ilvl w:val="0"/>
          <w:numId w:val="34"/>
        </w:numPr>
        <w:spacing w:after="120"/>
        <w:jc w:val="left"/>
        <w:rPr>
          <w:lang w:bidi="th-TH"/>
        </w:rPr>
      </w:pPr>
      <w:proofErr w:type="spellStart"/>
      <w:r w:rsidRPr="001E6BFB">
        <w:t>Pattana</w:t>
      </w:r>
      <w:proofErr w:type="spellEnd"/>
      <w:r w:rsidRPr="001E6BFB">
        <w:t xml:space="preserve"> Intercool and System forms are manufacturers of commercial refrigeration equipment for restaurants, supermarkets, convenience stores, etc. They produce a variety of commercial refrigeration equipment for low and medium temperature applications. The two companies consumed approximately 35 MT of HFC-134a and small quantity of R-404A and R-507. </w:t>
      </w:r>
    </w:p>
    <w:p w:rsidR="001E6BFB" w:rsidRPr="001E6BFB" w:rsidRDefault="001E6BFB" w:rsidP="001E6BFB">
      <w:pPr>
        <w:numPr>
          <w:ilvl w:val="0"/>
          <w:numId w:val="34"/>
        </w:numPr>
        <w:spacing w:after="120"/>
        <w:jc w:val="left"/>
      </w:pPr>
      <w:r w:rsidRPr="001E6BFB">
        <w:t>The Bank is requesting $40,000 to prepare project proposal for submission to the 81</w:t>
      </w:r>
      <w:r w:rsidRPr="001E6BFB">
        <w:rPr>
          <w:vertAlign w:val="superscript"/>
        </w:rPr>
        <w:t>st</w:t>
      </w:r>
      <w:r w:rsidRPr="001E6BFB">
        <w:t xml:space="preserve"> ExCom meeting. At the time of project submission, the proposal will identify the selected mature technology and confirm the quantities of HFCs that will be phased out.</w:t>
      </w:r>
    </w:p>
    <w:p w:rsidR="001E6BFB" w:rsidRPr="001E6BFB" w:rsidRDefault="001E6BFB" w:rsidP="001E6BFB">
      <w:pPr>
        <w:numPr>
          <w:ilvl w:val="0"/>
          <w:numId w:val="34"/>
        </w:numPr>
        <w:spacing w:after="120"/>
        <w:jc w:val="left"/>
      </w:pPr>
      <w:r w:rsidRPr="001E6BFB">
        <w:t>The estimated breakdown of preparation cost is shown in table below.</w:t>
      </w:r>
    </w:p>
    <w:p w:rsidR="001E6BFB" w:rsidRPr="001E6BFB" w:rsidRDefault="001E6BFB" w:rsidP="001E6BFB">
      <w:pPr>
        <w:spacing w:after="120"/>
      </w:pP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1350"/>
      </w:tblGrid>
      <w:tr w:rsidR="001E6BFB" w:rsidRPr="001E6BFB" w:rsidTr="001E6BFB">
        <w:trPr>
          <w:trHeight w:val="20"/>
          <w:tblHeader/>
        </w:trPr>
        <w:tc>
          <w:tcPr>
            <w:tcW w:w="0" w:type="auto"/>
            <w:shd w:val="clear" w:color="auto" w:fill="auto"/>
            <w:vAlign w:val="bottom"/>
          </w:tcPr>
          <w:p w:rsidR="001E6BFB" w:rsidRPr="001E6BFB" w:rsidRDefault="001E6BFB" w:rsidP="001E6BFB">
            <w:pPr>
              <w:keepNext/>
              <w:jc w:val="center"/>
              <w:rPr>
                <w:b/>
                <w:bCs/>
                <w:color w:val="000000"/>
                <w:sz w:val="20"/>
                <w:szCs w:val="20"/>
                <w:lang w:val="en-US"/>
              </w:rPr>
            </w:pPr>
            <w:r w:rsidRPr="001E6BFB">
              <w:rPr>
                <w:b/>
                <w:bCs/>
                <w:color w:val="000000"/>
                <w:sz w:val="20"/>
                <w:szCs w:val="20"/>
                <w:lang w:val="en-US"/>
              </w:rPr>
              <w:t>ACTIVITIES</w:t>
            </w:r>
          </w:p>
        </w:tc>
        <w:tc>
          <w:tcPr>
            <w:tcW w:w="0" w:type="auto"/>
            <w:shd w:val="clear" w:color="auto" w:fill="auto"/>
            <w:noWrap/>
            <w:vAlign w:val="bottom"/>
          </w:tcPr>
          <w:p w:rsidR="001E6BFB" w:rsidRPr="001E6BFB" w:rsidRDefault="001E6BFB" w:rsidP="001E6BFB">
            <w:pPr>
              <w:keepNext/>
              <w:jc w:val="center"/>
              <w:rPr>
                <w:b/>
                <w:bCs/>
                <w:color w:val="000000"/>
                <w:sz w:val="20"/>
                <w:szCs w:val="20"/>
                <w:lang w:val="en-US"/>
              </w:rPr>
            </w:pPr>
            <w:r w:rsidRPr="001E6BFB">
              <w:rPr>
                <w:b/>
                <w:bCs/>
                <w:color w:val="000000"/>
                <w:sz w:val="20"/>
                <w:szCs w:val="20"/>
                <w:lang w:val="en-US"/>
              </w:rPr>
              <w:t>COST (US $)</w:t>
            </w:r>
          </w:p>
        </w:tc>
      </w:tr>
      <w:tr w:rsidR="001E6BFB" w:rsidRPr="001E6BFB" w:rsidTr="001E6BFB">
        <w:trPr>
          <w:trHeight w:val="20"/>
        </w:trPr>
        <w:tc>
          <w:tcPr>
            <w:tcW w:w="0" w:type="auto"/>
            <w:shd w:val="clear" w:color="auto" w:fill="auto"/>
            <w:noWrap/>
            <w:hideMark/>
          </w:tcPr>
          <w:p w:rsidR="001E6BFB" w:rsidRPr="001E6BFB" w:rsidRDefault="001E6BFB" w:rsidP="001E6BFB">
            <w:pPr>
              <w:keepNext/>
              <w:jc w:val="left"/>
              <w:rPr>
                <w:color w:val="000000"/>
                <w:sz w:val="20"/>
                <w:szCs w:val="20"/>
                <w:lang w:val="en-US"/>
              </w:rPr>
            </w:pPr>
            <w:r w:rsidRPr="001E6BFB">
              <w:rPr>
                <w:rFonts w:eastAsia="SimSun"/>
                <w:sz w:val="20"/>
                <w:szCs w:val="20"/>
                <w:lang w:val="en-US"/>
              </w:rPr>
              <w:t xml:space="preserve">International Expert </w:t>
            </w:r>
          </w:p>
        </w:tc>
        <w:tc>
          <w:tcPr>
            <w:tcW w:w="0" w:type="auto"/>
            <w:shd w:val="clear" w:color="auto" w:fill="auto"/>
            <w:noWrap/>
            <w:hideMark/>
          </w:tcPr>
          <w:p w:rsidR="001E6BFB" w:rsidRPr="001E6BFB" w:rsidRDefault="001E6BFB" w:rsidP="001E6BFB">
            <w:pPr>
              <w:keepNext/>
              <w:jc w:val="right"/>
              <w:rPr>
                <w:color w:val="000000"/>
                <w:sz w:val="20"/>
                <w:szCs w:val="20"/>
                <w:lang w:val="en-US"/>
              </w:rPr>
            </w:pPr>
            <w:r w:rsidRPr="001E6BFB">
              <w:rPr>
                <w:rFonts w:eastAsia="SimSun"/>
                <w:sz w:val="20"/>
                <w:szCs w:val="20"/>
                <w:lang w:val="en-US"/>
              </w:rPr>
              <w:t xml:space="preserve">$22,000 </w:t>
            </w:r>
          </w:p>
        </w:tc>
      </w:tr>
      <w:tr w:rsidR="001E6BFB" w:rsidRPr="001E6BFB" w:rsidTr="001E6BFB">
        <w:trPr>
          <w:trHeight w:val="20"/>
        </w:trPr>
        <w:tc>
          <w:tcPr>
            <w:tcW w:w="0" w:type="auto"/>
            <w:shd w:val="clear" w:color="auto" w:fill="auto"/>
            <w:noWrap/>
          </w:tcPr>
          <w:p w:rsidR="001E6BFB" w:rsidRPr="001E6BFB" w:rsidRDefault="001E6BFB" w:rsidP="001E6BFB">
            <w:pPr>
              <w:keepNext/>
              <w:jc w:val="left"/>
              <w:rPr>
                <w:rFonts w:eastAsia="SimSun"/>
                <w:sz w:val="20"/>
                <w:szCs w:val="20"/>
                <w:lang w:val="en-US"/>
              </w:rPr>
            </w:pPr>
            <w:r w:rsidRPr="001E6BFB">
              <w:rPr>
                <w:rFonts w:eastAsia="SimSun"/>
                <w:sz w:val="20"/>
                <w:szCs w:val="20"/>
                <w:lang w:val="en-US"/>
              </w:rPr>
              <w:t>National Consultant</w:t>
            </w:r>
          </w:p>
        </w:tc>
        <w:tc>
          <w:tcPr>
            <w:tcW w:w="0" w:type="auto"/>
            <w:shd w:val="clear" w:color="auto" w:fill="auto"/>
            <w:noWrap/>
          </w:tcPr>
          <w:p w:rsidR="001E6BFB" w:rsidRPr="001E6BFB" w:rsidRDefault="001E6BFB" w:rsidP="001E6BFB">
            <w:pPr>
              <w:keepNext/>
              <w:jc w:val="right"/>
              <w:rPr>
                <w:rFonts w:eastAsia="SimSun"/>
                <w:sz w:val="20"/>
                <w:szCs w:val="20"/>
                <w:lang w:val="en-US"/>
              </w:rPr>
            </w:pPr>
            <w:r w:rsidRPr="001E6BFB">
              <w:rPr>
                <w:rFonts w:eastAsia="SimSun"/>
                <w:sz w:val="20"/>
                <w:szCs w:val="20"/>
                <w:lang w:val="en-US"/>
              </w:rPr>
              <w:t>5,000</w:t>
            </w:r>
          </w:p>
        </w:tc>
      </w:tr>
      <w:tr w:rsidR="001E6BFB" w:rsidRPr="001E6BFB" w:rsidTr="001E6BFB">
        <w:trPr>
          <w:trHeight w:val="20"/>
        </w:trPr>
        <w:tc>
          <w:tcPr>
            <w:tcW w:w="0" w:type="auto"/>
            <w:shd w:val="clear" w:color="auto" w:fill="auto"/>
            <w:noWrap/>
            <w:hideMark/>
          </w:tcPr>
          <w:p w:rsidR="001E6BFB" w:rsidRPr="001E6BFB" w:rsidRDefault="001E6BFB" w:rsidP="001E6BFB">
            <w:pPr>
              <w:keepNext/>
              <w:jc w:val="left"/>
              <w:rPr>
                <w:color w:val="000000"/>
                <w:sz w:val="20"/>
                <w:szCs w:val="20"/>
                <w:lang w:val="en-US"/>
              </w:rPr>
            </w:pPr>
            <w:r w:rsidRPr="001E6BFB">
              <w:rPr>
                <w:rFonts w:eastAsia="SimSun"/>
                <w:sz w:val="20"/>
                <w:szCs w:val="20"/>
                <w:lang w:val="en-US"/>
              </w:rPr>
              <w:t>International Travel</w:t>
            </w:r>
          </w:p>
        </w:tc>
        <w:tc>
          <w:tcPr>
            <w:tcW w:w="0" w:type="auto"/>
            <w:shd w:val="clear" w:color="auto" w:fill="auto"/>
            <w:noWrap/>
            <w:hideMark/>
          </w:tcPr>
          <w:p w:rsidR="001E6BFB" w:rsidRPr="001E6BFB" w:rsidRDefault="001E6BFB" w:rsidP="001E6BFB">
            <w:pPr>
              <w:keepNext/>
              <w:jc w:val="right"/>
              <w:rPr>
                <w:color w:val="000000"/>
                <w:sz w:val="20"/>
                <w:szCs w:val="20"/>
                <w:lang w:val="en-US"/>
              </w:rPr>
            </w:pPr>
            <w:r w:rsidRPr="001E6BFB">
              <w:rPr>
                <w:rFonts w:eastAsia="SimSun"/>
                <w:sz w:val="20"/>
                <w:szCs w:val="20"/>
                <w:lang w:val="en-US"/>
              </w:rPr>
              <w:t xml:space="preserve">$10,000 </w:t>
            </w:r>
          </w:p>
        </w:tc>
      </w:tr>
      <w:tr w:rsidR="001E6BFB" w:rsidRPr="001E6BFB" w:rsidTr="001E6BFB">
        <w:trPr>
          <w:trHeight w:val="20"/>
        </w:trPr>
        <w:tc>
          <w:tcPr>
            <w:tcW w:w="0" w:type="auto"/>
            <w:shd w:val="clear" w:color="auto" w:fill="auto"/>
            <w:noWrap/>
            <w:hideMark/>
          </w:tcPr>
          <w:p w:rsidR="001E6BFB" w:rsidRPr="001E6BFB" w:rsidRDefault="001E6BFB" w:rsidP="001E6BFB">
            <w:pPr>
              <w:keepNext/>
              <w:jc w:val="left"/>
              <w:rPr>
                <w:color w:val="000000"/>
                <w:sz w:val="20"/>
                <w:szCs w:val="20"/>
                <w:lang w:val="en-US"/>
              </w:rPr>
            </w:pPr>
            <w:r w:rsidRPr="001E6BFB">
              <w:rPr>
                <w:rFonts w:eastAsia="SimSun"/>
                <w:sz w:val="20"/>
                <w:szCs w:val="20"/>
                <w:lang w:val="en-US"/>
              </w:rPr>
              <w:t xml:space="preserve">Domestic Travel </w:t>
            </w:r>
          </w:p>
        </w:tc>
        <w:tc>
          <w:tcPr>
            <w:tcW w:w="0" w:type="auto"/>
            <w:shd w:val="clear" w:color="auto" w:fill="auto"/>
            <w:noWrap/>
            <w:hideMark/>
          </w:tcPr>
          <w:p w:rsidR="001E6BFB" w:rsidRPr="001E6BFB" w:rsidRDefault="001E6BFB" w:rsidP="001E6BFB">
            <w:pPr>
              <w:keepNext/>
              <w:jc w:val="right"/>
              <w:rPr>
                <w:color w:val="000000"/>
                <w:sz w:val="20"/>
                <w:szCs w:val="20"/>
                <w:lang w:val="en-US"/>
              </w:rPr>
            </w:pPr>
            <w:r w:rsidRPr="001E6BFB">
              <w:rPr>
                <w:rFonts w:eastAsia="SimSun"/>
                <w:sz w:val="20"/>
                <w:szCs w:val="20"/>
                <w:lang w:val="en-US"/>
              </w:rPr>
              <w:t xml:space="preserve">$3,000 </w:t>
            </w:r>
          </w:p>
        </w:tc>
      </w:tr>
      <w:tr w:rsidR="001E6BFB" w:rsidRPr="001E6BFB" w:rsidTr="001E6BFB">
        <w:trPr>
          <w:trHeight w:val="20"/>
        </w:trPr>
        <w:tc>
          <w:tcPr>
            <w:tcW w:w="0" w:type="auto"/>
            <w:shd w:val="clear" w:color="auto" w:fill="auto"/>
            <w:noWrap/>
            <w:hideMark/>
          </w:tcPr>
          <w:p w:rsidR="001E6BFB" w:rsidRPr="001E6BFB" w:rsidRDefault="001E6BFB" w:rsidP="001E6BFB">
            <w:pPr>
              <w:keepNext/>
              <w:jc w:val="left"/>
              <w:rPr>
                <w:color w:val="000000"/>
                <w:sz w:val="20"/>
                <w:szCs w:val="20"/>
                <w:lang w:val="en-US"/>
              </w:rPr>
            </w:pPr>
            <w:r w:rsidRPr="001E6BFB">
              <w:rPr>
                <w:rFonts w:eastAsia="SimSun"/>
                <w:sz w:val="20"/>
                <w:szCs w:val="20"/>
                <w:lang w:val="en-US"/>
              </w:rPr>
              <w:t>Total</w:t>
            </w:r>
          </w:p>
        </w:tc>
        <w:tc>
          <w:tcPr>
            <w:tcW w:w="0" w:type="auto"/>
            <w:shd w:val="clear" w:color="auto" w:fill="auto"/>
            <w:noWrap/>
            <w:hideMark/>
          </w:tcPr>
          <w:p w:rsidR="001E6BFB" w:rsidRPr="001E6BFB" w:rsidRDefault="001E6BFB" w:rsidP="001E6BFB">
            <w:pPr>
              <w:keepNext/>
              <w:jc w:val="right"/>
              <w:rPr>
                <w:color w:val="000000"/>
                <w:sz w:val="20"/>
                <w:szCs w:val="20"/>
                <w:lang w:val="en-US"/>
              </w:rPr>
            </w:pPr>
            <w:r w:rsidRPr="001E6BFB">
              <w:rPr>
                <w:rFonts w:eastAsia="SimSun"/>
                <w:sz w:val="20"/>
                <w:szCs w:val="20"/>
                <w:lang w:val="en-US"/>
              </w:rPr>
              <w:t xml:space="preserve">$40,000 </w:t>
            </w:r>
          </w:p>
        </w:tc>
      </w:tr>
    </w:tbl>
    <w:p w:rsidR="001E6BFB" w:rsidRPr="001E6BFB" w:rsidRDefault="001E6BFB" w:rsidP="001E6BFB">
      <w:pPr>
        <w:jc w:val="left"/>
        <w:rPr>
          <w:rFonts w:eastAsia="SimSun"/>
          <w:lang w:val="en-US"/>
        </w:rPr>
      </w:pPr>
    </w:p>
    <w:p w:rsidR="00E85409" w:rsidRDefault="00E85409" w:rsidP="00774F1C">
      <w:pPr>
        <w:rPr>
          <w:lang w:val="en-CA"/>
        </w:rPr>
      </w:pPr>
    </w:p>
    <w:sectPr w:rsidR="00E85409" w:rsidSect="001E6BFB">
      <w:pgSz w:w="12240" w:h="15840" w:code="1"/>
      <w:pgMar w:top="1440" w:right="1440" w:bottom="1440" w:left="1440" w:header="115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2B5" w:rsidRDefault="000262B5" w:rsidP="004A504B">
      <w:r>
        <w:separator/>
      </w:r>
    </w:p>
  </w:endnote>
  <w:endnote w:type="continuationSeparator" w:id="0">
    <w:p w:rsidR="000262B5" w:rsidRDefault="000262B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Andes">
    <w:altName w:val="Times New Roman"/>
    <w:panose1 w:val="00000000000000000000"/>
    <w:charset w:val="00"/>
    <w:family w:val="modern"/>
    <w:notTrueType/>
    <w:pitch w:val="variable"/>
    <w:sig w:usb0="A000002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217303"/>
      <w:docPartObj>
        <w:docPartGallery w:val="Page Numbers (Bottom of Page)"/>
        <w:docPartUnique/>
      </w:docPartObj>
    </w:sdtPr>
    <w:sdtEndPr>
      <w:rPr>
        <w:noProof/>
      </w:rPr>
    </w:sdtEndPr>
    <w:sdtContent>
      <w:p w:rsidR="00CC0D1F" w:rsidRDefault="00CC0D1F">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rsidR="000262B5" w:rsidRDefault="000262B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2B5" w:rsidRPr="0033525D" w:rsidRDefault="000262B5">
    <w:pPr>
      <w:jc w:val="center"/>
    </w:pPr>
    <w:r>
      <w:fldChar w:fldCharType="begin"/>
    </w:r>
    <w:r>
      <w:instrText xml:space="preserve"> PAGE </w:instrText>
    </w:r>
    <w:r>
      <w:fldChar w:fldCharType="separate"/>
    </w:r>
    <w:r w:rsidR="00CC0D1F">
      <w:rPr>
        <w:noProof/>
      </w:rPr>
      <w:t>5</w:t>
    </w:r>
    <w:r>
      <w:rPr>
        <w:noProof/>
      </w:rPr>
      <w:fldChar w:fldCharType="end"/>
    </w:r>
  </w:p>
  <w:p w:rsidR="000262B5" w:rsidRDefault="000262B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2B5" w:rsidRDefault="000262B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262B5" w:rsidRDefault="000262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6246"/>
      <w:docPartObj>
        <w:docPartGallery w:val="Page Numbers (Bottom of Page)"/>
        <w:docPartUnique/>
      </w:docPartObj>
    </w:sdtPr>
    <w:sdtEndPr>
      <w:rPr>
        <w:noProof/>
        <w:sz w:val="20"/>
        <w:szCs w:val="20"/>
      </w:rPr>
    </w:sdtEndPr>
    <w:sdtContent>
      <w:p w:rsidR="000262B5" w:rsidRPr="00F84C58" w:rsidRDefault="000262B5">
        <w:pPr>
          <w:pStyle w:val="Footer"/>
          <w:jc w:val="right"/>
          <w:rPr>
            <w:sz w:val="20"/>
            <w:szCs w:val="20"/>
          </w:rPr>
        </w:pPr>
        <w:r w:rsidRPr="00F84C58">
          <w:rPr>
            <w:sz w:val="20"/>
            <w:szCs w:val="20"/>
          </w:rPr>
          <w:fldChar w:fldCharType="begin"/>
        </w:r>
        <w:r w:rsidRPr="00F84C58">
          <w:rPr>
            <w:sz w:val="20"/>
            <w:szCs w:val="20"/>
          </w:rPr>
          <w:instrText xml:space="preserve"> PAGE   \* MERGEFORMAT </w:instrText>
        </w:r>
        <w:r w:rsidRPr="00F84C58">
          <w:rPr>
            <w:sz w:val="20"/>
            <w:szCs w:val="20"/>
          </w:rPr>
          <w:fldChar w:fldCharType="separate"/>
        </w:r>
        <w:r w:rsidR="00CC0D1F">
          <w:rPr>
            <w:noProof/>
            <w:sz w:val="20"/>
            <w:szCs w:val="20"/>
          </w:rPr>
          <w:t>15</w:t>
        </w:r>
        <w:r w:rsidRPr="00F84C58">
          <w:rPr>
            <w:noProof/>
            <w:sz w:val="20"/>
            <w:szCs w:val="20"/>
          </w:rPr>
          <w:fldChar w:fldCharType="end"/>
        </w:r>
      </w:p>
    </w:sdtContent>
  </w:sdt>
  <w:p w:rsidR="000262B5" w:rsidRDefault="0002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2B5" w:rsidRDefault="000262B5" w:rsidP="004A504B">
      <w:r>
        <w:separator/>
      </w:r>
    </w:p>
  </w:footnote>
  <w:footnote w:type="continuationSeparator" w:id="0">
    <w:p w:rsidR="000262B5" w:rsidRDefault="000262B5" w:rsidP="004A504B">
      <w:r>
        <w:continuationSeparator/>
      </w:r>
    </w:p>
  </w:footnote>
  <w:footnote w:id="1">
    <w:p w:rsidR="000262B5" w:rsidRPr="0007287F" w:rsidRDefault="000262B5">
      <w:pPr>
        <w:pStyle w:val="FootnoteText"/>
      </w:pPr>
      <w:r>
        <w:rPr>
          <w:rStyle w:val="FootnoteReference"/>
        </w:rPr>
        <w:footnoteRef/>
      </w:r>
      <w:r>
        <w:t xml:space="preserve"> </w:t>
      </w:r>
      <w:r w:rsidRPr="0007287F">
        <w:t xml:space="preserve">The Executive Committee decided </w:t>
      </w:r>
      <w:r w:rsidRPr="0007287F">
        <w:rPr>
          <w:i/>
        </w:rPr>
        <w:t>inter alia</w:t>
      </w:r>
      <w:r w:rsidRPr="0007287F">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 </w:t>
      </w:r>
    </w:p>
  </w:footnote>
  <w:footnote w:id="2">
    <w:p w:rsidR="000262B5" w:rsidRPr="00F47290" w:rsidRDefault="000262B5" w:rsidP="00597173">
      <w:pPr>
        <w:pStyle w:val="FootnoteText"/>
        <w:rPr>
          <w:lang w:val="en-US"/>
        </w:rPr>
      </w:pPr>
      <w:r>
        <w:rPr>
          <w:rStyle w:val="FootnoteReference"/>
        </w:rPr>
        <w:footnoteRef/>
      </w:r>
      <w:r>
        <w:t xml:space="preserve"> Montreal, 5-7 September 2017. Bilateral and implementing agencies appreciated the development of the guide.</w:t>
      </w:r>
    </w:p>
  </w:footnote>
  <w:footnote w:id="3">
    <w:p w:rsidR="000262B5" w:rsidRPr="00DB158A" w:rsidRDefault="000262B5">
      <w:pPr>
        <w:pStyle w:val="FootnoteText"/>
      </w:pPr>
      <w:r>
        <w:rPr>
          <w:rStyle w:val="FootnoteReference"/>
        </w:rPr>
        <w:footnoteRef/>
      </w:r>
      <w:r>
        <w:t xml:space="preserve"> UNEP/</w:t>
      </w:r>
      <w:proofErr w:type="spellStart"/>
      <w:r>
        <w:t>OzL.Pro</w:t>
      </w:r>
      <w:proofErr w:type="spellEnd"/>
      <w:r>
        <w:t>/ExCom/</w:t>
      </w:r>
      <w:r w:rsidRPr="00647C34">
        <w:t>80/22.</w:t>
      </w:r>
    </w:p>
  </w:footnote>
  <w:footnote w:id="4">
    <w:p w:rsidR="000262B5" w:rsidRPr="001908C3" w:rsidRDefault="000262B5">
      <w:pPr>
        <w:pStyle w:val="FootnoteText"/>
        <w:rPr>
          <w:lang w:val="en-CA"/>
        </w:rPr>
      </w:pPr>
      <w:r w:rsidRPr="001908C3">
        <w:rPr>
          <w:rStyle w:val="FootnoteReference"/>
        </w:rPr>
        <w:footnoteRef/>
      </w:r>
      <w:r w:rsidRPr="001908C3">
        <w:t xml:space="preserve"> UNEP/</w:t>
      </w:r>
      <w:proofErr w:type="spellStart"/>
      <w:r w:rsidRPr="001908C3">
        <w:t>OzL.Pro</w:t>
      </w:r>
      <w:proofErr w:type="spellEnd"/>
      <w:r w:rsidRPr="001908C3">
        <w:t>/ExCom/80/30.</w:t>
      </w:r>
    </w:p>
  </w:footnote>
  <w:footnote w:id="5">
    <w:p w:rsidR="000262B5" w:rsidRPr="001908C3" w:rsidRDefault="000262B5">
      <w:pPr>
        <w:pStyle w:val="FootnoteText"/>
      </w:pPr>
      <w:r w:rsidRPr="001908C3">
        <w:rPr>
          <w:rStyle w:val="FootnoteReference"/>
        </w:rPr>
        <w:footnoteRef/>
      </w:r>
      <w:r w:rsidRPr="001908C3">
        <w:t xml:space="preserve"> UNEP/</w:t>
      </w:r>
      <w:proofErr w:type="spellStart"/>
      <w:r w:rsidRPr="001908C3">
        <w:t>OzL.Pro</w:t>
      </w:r>
      <w:proofErr w:type="spellEnd"/>
      <w:r w:rsidRPr="001908C3">
        <w:t>/ExCom/80/32.</w:t>
      </w:r>
    </w:p>
  </w:footnote>
  <w:footnote w:id="6">
    <w:p w:rsidR="000262B5" w:rsidRPr="001908C3" w:rsidRDefault="000262B5">
      <w:pPr>
        <w:pStyle w:val="FootnoteText"/>
      </w:pPr>
      <w:r w:rsidRPr="001908C3">
        <w:rPr>
          <w:rStyle w:val="FootnoteReference"/>
        </w:rPr>
        <w:footnoteRef/>
      </w:r>
      <w:r w:rsidRPr="001908C3">
        <w:t xml:space="preserve"> UNEP/</w:t>
      </w:r>
      <w:proofErr w:type="spellStart"/>
      <w:r w:rsidRPr="001908C3">
        <w:t>OzL.Pro</w:t>
      </w:r>
      <w:proofErr w:type="spellEnd"/>
      <w:r w:rsidRPr="001908C3">
        <w:t>/ExCom/80/38.</w:t>
      </w:r>
    </w:p>
  </w:footnote>
  <w:footnote w:id="7">
    <w:p w:rsidR="000262B5" w:rsidRPr="008D18B1" w:rsidRDefault="000262B5">
      <w:pPr>
        <w:pStyle w:val="FootnoteText"/>
      </w:pPr>
      <w:r w:rsidRPr="001908C3">
        <w:rPr>
          <w:rStyle w:val="FootnoteReference"/>
        </w:rPr>
        <w:footnoteRef/>
      </w:r>
      <w:r w:rsidRPr="001908C3">
        <w:t xml:space="preserve"> UNEP/</w:t>
      </w:r>
      <w:proofErr w:type="spellStart"/>
      <w:r w:rsidRPr="001908C3">
        <w:t>OL.Pro</w:t>
      </w:r>
      <w:proofErr w:type="spellEnd"/>
      <w:r w:rsidRPr="001908C3">
        <w:t>/ExCom/80/45.</w:t>
      </w:r>
    </w:p>
  </w:footnote>
  <w:footnote w:id="8">
    <w:p w:rsidR="000262B5" w:rsidRPr="002C184D" w:rsidRDefault="000262B5">
      <w:pPr>
        <w:pStyle w:val="FootnoteText"/>
      </w:pPr>
      <w:r>
        <w:rPr>
          <w:rStyle w:val="FootnoteReference"/>
        </w:rPr>
        <w:footnoteRef/>
      </w:r>
      <w:r>
        <w:t xml:space="preserve"> </w:t>
      </w:r>
      <w:r w:rsidRPr="002C184D">
        <w:t xml:space="preserve">The Executive Committee decided </w:t>
      </w:r>
      <w:r w:rsidRPr="002C184D">
        <w:rPr>
          <w:i/>
        </w:rPr>
        <w:t>inter alia</w:t>
      </w:r>
      <w:r w:rsidRPr="002C184D">
        <w:t xml:space="preserve"> to consider approving a limited number of HFC-related projects in the manufacturing sector only, to allow the Committee to gain experience in the incremental capital and operating costs that might be associated with phasing down HFCs, on the understanding: that any country that submitted a project should have ratified the Kigali Amendment or submitted a formal letter indicating the government’s intention to ratify the Amendment; that no further funding would be available until the instrument of ratification had been deposited at the United Nations in New York; and that any amount of HFC reduced as a result of the project would be deducted from the starting point.</w:t>
      </w:r>
    </w:p>
  </w:footnote>
  <w:footnote w:id="9">
    <w:p w:rsidR="000262B5" w:rsidRPr="002C184D" w:rsidRDefault="000262B5">
      <w:pPr>
        <w:pStyle w:val="FootnoteText"/>
        <w:rPr>
          <w:lang w:val="en-CA"/>
        </w:rPr>
      </w:pPr>
      <w:r>
        <w:rPr>
          <w:rStyle w:val="FootnoteReference"/>
        </w:rPr>
        <w:footnoteRef/>
      </w:r>
      <w:r>
        <w:t xml:space="preserve"> </w:t>
      </w:r>
      <w:r>
        <w:rPr>
          <w:lang w:val="en-CA"/>
        </w:rPr>
        <w:t xml:space="preserve">The Executive Committee </w:t>
      </w:r>
      <w:r>
        <w:rPr>
          <w:i/>
          <w:lang w:val="en-CA"/>
        </w:rPr>
        <w:t xml:space="preserve">inter alia </w:t>
      </w:r>
      <w:r w:rsidRPr="002C184D">
        <w:rPr>
          <w:lang w:val="en-CA"/>
        </w:rPr>
        <w:t>reiterate</w:t>
      </w:r>
      <w:r>
        <w:rPr>
          <w:lang w:val="en-CA"/>
        </w:rPr>
        <w:t>d</w:t>
      </w:r>
      <w:r w:rsidRPr="002C184D">
        <w:rPr>
          <w:lang w:val="en-CA"/>
        </w:rPr>
        <w:t xml:space="preserve"> decision 78/3(g) and </w:t>
      </w:r>
      <w:r>
        <w:rPr>
          <w:lang w:val="en-CA"/>
        </w:rPr>
        <w:t xml:space="preserve">decided the following criteria for </w:t>
      </w:r>
      <w:r w:rsidRPr="002C184D">
        <w:rPr>
          <w:lang w:val="en-CA"/>
        </w:rPr>
        <w:t>consider</w:t>
      </w:r>
      <w:r>
        <w:rPr>
          <w:lang w:val="en-CA"/>
        </w:rPr>
        <w:t>ing</w:t>
      </w:r>
      <w:r w:rsidRPr="002C184D">
        <w:rPr>
          <w:lang w:val="en-CA"/>
        </w:rPr>
        <w:t xml:space="preserve"> proposals for HFC-related projects:</w:t>
      </w:r>
      <w:r>
        <w:rPr>
          <w:lang w:val="en-CA"/>
        </w:rPr>
        <w:t xml:space="preserve"> </w:t>
      </w:r>
      <w:r w:rsidRPr="002C184D">
        <w:rPr>
          <w:lang w:val="en-CA"/>
        </w:rPr>
        <w:t>the projects should be in individual enterprises deciding to convert to mature technologies, should have broad replicability to the country or region or sector, and should take into account geographic distribution; projects must be fully implemented by no more than two years</w:t>
      </w:r>
      <w:r>
        <w:rPr>
          <w:lang w:val="en-CA"/>
        </w:rPr>
        <w:t>;</w:t>
      </w:r>
      <w:r w:rsidRPr="002C184D">
        <w:rPr>
          <w:lang w:val="en-CA"/>
        </w:rPr>
        <w:t xml:space="preserve"> project completion reports should be comprehensive with detailed information on the eligible incremental capital costs, incremental operating costs, any possible savings incurred during the conversion and relevant factors that facilitated implementation</w:t>
      </w:r>
      <w:r>
        <w:rPr>
          <w:lang w:val="en-CA"/>
        </w:rPr>
        <w:t>.</w:t>
      </w:r>
    </w:p>
  </w:footnote>
  <w:footnote w:id="10">
    <w:p w:rsidR="000262B5" w:rsidRPr="004953A7" w:rsidRDefault="000262B5">
      <w:pPr>
        <w:pStyle w:val="FootnoteText"/>
        <w:rPr>
          <w:lang w:val="en-CA"/>
        </w:rPr>
      </w:pPr>
      <w:r>
        <w:rPr>
          <w:rStyle w:val="FootnoteReference"/>
        </w:rPr>
        <w:footnoteRef/>
      </w:r>
      <w:r>
        <w:t xml:space="preserve"> D</w:t>
      </w:r>
      <w:r w:rsidRPr="004953A7">
        <w:t>ecision 79/45(d)</w:t>
      </w:r>
      <w:r>
        <w:t>.</w:t>
      </w:r>
      <w:bookmarkStart w:id="0" w:name="_GoBack"/>
      <w:bookmarkEnd w:id="0"/>
    </w:p>
  </w:footnote>
  <w:footnote w:id="11">
    <w:p w:rsidR="000262B5" w:rsidRPr="00953309" w:rsidRDefault="000262B5">
      <w:pPr>
        <w:pStyle w:val="FootnoteText"/>
        <w:rPr>
          <w:lang w:val="en-CA"/>
        </w:rPr>
      </w:pPr>
      <w:r>
        <w:rPr>
          <w:rStyle w:val="FootnoteReference"/>
        </w:rPr>
        <w:footnoteRef/>
      </w:r>
      <w:r>
        <w:t xml:space="preserve"> </w:t>
      </w:r>
      <w:r w:rsidRPr="00953309">
        <w:t xml:space="preserve">The Executive Committee </w:t>
      </w:r>
      <w:r w:rsidRPr="00953309">
        <w:rPr>
          <w:i/>
        </w:rPr>
        <w:t>inter alia</w:t>
      </w:r>
      <w:r w:rsidRPr="00953309">
        <w:t xml:space="preserve"> invited implementing agencies to submit to the 81</w:t>
      </w:r>
      <w:r w:rsidRPr="00953309">
        <w:rPr>
          <w:vertAlign w:val="superscript"/>
        </w:rPr>
        <w:t>st</w:t>
      </w:r>
      <w:r>
        <w:t xml:space="preserve"> </w:t>
      </w:r>
      <w:r w:rsidRPr="00953309">
        <w:t>meeting proposals for feasible technology demonstration for HFC-23 by-product mitigation or conversion technologies with the potential for cost-effective, environmentally sustainable conversion of HFC-23.</w:t>
      </w:r>
    </w:p>
  </w:footnote>
  <w:footnote w:id="12">
    <w:p w:rsidR="000262B5" w:rsidRDefault="000262B5" w:rsidP="001E6BFB">
      <w:pPr>
        <w:pStyle w:val="FootnoteText"/>
      </w:pPr>
      <w:r>
        <w:rPr>
          <w:rStyle w:val="FootnoteReference"/>
        </w:rPr>
        <w:footnoteRef/>
      </w:r>
      <w:r>
        <w:t xml:space="preserve"> Separate funding requested in accordance with decision 74/53</w:t>
      </w:r>
    </w:p>
  </w:footnote>
  <w:footnote w:id="13">
    <w:p w:rsidR="000262B5" w:rsidRDefault="000262B5" w:rsidP="001E6BFB">
      <w:pPr>
        <w:pStyle w:val="FootnoteText"/>
      </w:pPr>
      <w:r>
        <w:rPr>
          <w:rStyle w:val="FootnoteReference"/>
        </w:rPr>
        <w:footnoteRef/>
      </w:r>
      <w:r>
        <w:t xml:space="preserve"> Indicative list and cost which can be subjected to change as deemed necessary</w:t>
      </w:r>
    </w:p>
  </w:footnote>
  <w:footnote w:id="14">
    <w:p w:rsidR="000262B5" w:rsidRPr="00285A3D" w:rsidRDefault="000262B5" w:rsidP="001E6BFB">
      <w:pPr>
        <w:pStyle w:val="FootnoteText"/>
      </w:pPr>
      <w:r>
        <w:rPr>
          <w:rStyle w:val="FootnoteReference"/>
        </w:rPr>
        <w:footnoteRef/>
      </w:r>
      <w:r>
        <w:t xml:space="preserve"> Include HFCs and HFC-blends with quantity less than 20 MT.</w:t>
      </w:r>
    </w:p>
  </w:footnote>
  <w:footnote w:id="15">
    <w:p w:rsidR="000262B5" w:rsidRDefault="000262B5" w:rsidP="001E6BFB">
      <w:pPr>
        <w:pStyle w:val="FootnoteText"/>
      </w:pPr>
      <w:r>
        <w:rPr>
          <w:rStyle w:val="FootnoteReference"/>
        </w:rPr>
        <w:footnoteRef/>
      </w:r>
      <w:r>
        <w:t xml:space="preserve"> Stage II HPMP of Philippines is being considered at the 80</w:t>
      </w:r>
      <w:r w:rsidRPr="00034701">
        <w:rPr>
          <w:vertAlign w:val="superscript"/>
        </w:rPr>
        <w:t>th</w:t>
      </w:r>
      <w:r>
        <w:t xml:space="preserve"> ExCom.</w:t>
      </w:r>
    </w:p>
  </w:footnote>
  <w:footnote w:id="16">
    <w:p w:rsidR="000262B5" w:rsidRDefault="000262B5" w:rsidP="001E6BFB">
      <w:pPr>
        <w:pStyle w:val="FootnoteText"/>
      </w:pPr>
      <w:r>
        <w:rPr>
          <w:rStyle w:val="FootnoteReference"/>
        </w:rPr>
        <w:footnoteRef/>
      </w:r>
      <w:r>
        <w:t xml:space="preserve"> Indicative list and cost which can be subjected to change as deemed necessary</w:t>
      </w:r>
    </w:p>
  </w:footnote>
  <w:footnote w:id="17">
    <w:p w:rsidR="000262B5" w:rsidRPr="00285A3D" w:rsidRDefault="000262B5" w:rsidP="001E6BFB">
      <w:pPr>
        <w:pStyle w:val="FootnoteText"/>
      </w:pPr>
      <w:r>
        <w:rPr>
          <w:rStyle w:val="FootnoteReference"/>
        </w:rPr>
        <w:footnoteRef/>
      </w:r>
      <w:r>
        <w:t xml:space="preserve"> Include HFCs and HFC-blends with quantity less than 100 MT.</w:t>
      </w:r>
    </w:p>
  </w:footnote>
  <w:footnote w:id="18">
    <w:p w:rsidR="000262B5" w:rsidRDefault="000262B5" w:rsidP="001E6BFB">
      <w:pPr>
        <w:pStyle w:val="FootnoteText"/>
      </w:pPr>
      <w:r>
        <w:rPr>
          <w:rStyle w:val="FootnoteReference"/>
        </w:rPr>
        <w:footnoteRef/>
      </w:r>
      <w:r>
        <w:t xml:space="preserve"> </w:t>
      </w:r>
      <w:r>
        <w:rPr>
          <w:b/>
          <w:bCs/>
        </w:rPr>
        <w:t xml:space="preserve"> </w:t>
      </w:r>
      <w:r>
        <w:t>Indicative list and cost which can be subjected to change as deemed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2B5" w:rsidRPr="0033525D" w:rsidRDefault="000262B5">
    <w:r>
      <w:fldChar w:fldCharType="begin"/>
    </w:r>
    <w:r>
      <w:instrText xml:space="preserve"> DOCPROPERTY "Document number"  \* MERGEFORMAT </w:instrText>
    </w:r>
    <w:r>
      <w:fldChar w:fldCharType="separate"/>
    </w:r>
    <w:r w:rsidR="00AB7308">
      <w:t>UNEP/</w:t>
    </w:r>
    <w:proofErr w:type="spellStart"/>
    <w:r w:rsidR="00AB7308">
      <w:t>OzL.Pro</w:t>
    </w:r>
    <w:proofErr w:type="spellEnd"/>
    <w:r w:rsidR="00AB7308">
      <w:t>/ExCom/80/27</w:t>
    </w:r>
    <w:r>
      <w:fldChar w:fldCharType="end"/>
    </w:r>
  </w:p>
  <w:p w:rsidR="000262B5" w:rsidRPr="0033525D" w:rsidRDefault="000262B5"/>
  <w:p w:rsidR="000262B5" w:rsidRPr="0033525D" w:rsidRDefault="000262B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2B5" w:rsidRPr="0033525D" w:rsidRDefault="000262B5">
    <w:pPr>
      <w:jc w:val="right"/>
    </w:pPr>
    <w:r>
      <w:fldChar w:fldCharType="begin"/>
    </w:r>
    <w:r>
      <w:instrText xml:space="preserve"> DOCPROPERTY "Document number"  \* MERGEFORMAT </w:instrText>
    </w:r>
    <w:r>
      <w:fldChar w:fldCharType="separate"/>
    </w:r>
    <w:r w:rsidR="00AB7308">
      <w:t>UNEP/</w:t>
    </w:r>
    <w:proofErr w:type="spellStart"/>
    <w:r w:rsidR="00AB7308">
      <w:t>OzL.Pro</w:t>
    </w:r>
    <w:proofErr w:type="spellEnd"/>
    <w:r w:rsidR="00AB7308">
      <w:t>/ExCom/80/27</w:t>
    </w:r>
    <w:r>
      <w:fldChar w:fldCharType="end"/>
    </w:r>
  </w:p>
  <w:p w:rsidR="000262B5" w:rsidRPr="0033525D" w:rsidRDefault="000262B5"/>
  <w:p w:rsidR="000262B5" w:rsidRPr="0033525D" w:rsidRDefault="000262B5">
    <w:pPr>
      <w:pStyle w:val="Header"/>
    </w:pPr>
  </w:p>
  <w:p w:rsidR="000262B5" w:rsidRDefault="000262B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2B5" w:rsidRPr="001E6BFB" w:rsidRDefault="000262B5" w:rsidP="001E6B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2B5" w:rsidRPr="0033525D" w:rsidRDefault="000262B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064734"/>
    <w:multiLevelType w:val="hybridMultilevel"/>
    <w:tmpl w:val="BD088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8F71202"/>
    <w:multiLevelType w:val="hybridMultilevel"/>
    <w:tmpl w:val="9FA059C2"/>
    <w:lvl w:ilvl="0" w:tplc="C46AC3BC">
      <w:start w:val="1"/>
      <w:numFmt w:val="decimal"/>
      <w:lvlText w:val="%1."/>
      <w:lvlJc w:val="left"/>
      <w:pPr>
        <w:ind w:left="3240" w:hanging="28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2E86F24"/>
    <w:multiLevelType w:val="hybridMultilevel"/>
    <w:tmpl w:val="133C5300"/>
    <w:lvl w:ilvl="0" w:tplc="E87446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2850D4"/>
    <w:multiLevelType w:val="multilevel"/>
    <w:tmpl w:val="26588308"/>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9A20110"/>
    <w:multiLevelType w:val="hybridMultilevel"/>
    <w:tmpl w:val="D1369FA6"/>
    <w:lvl w:ilvl="0" w:tplc="DEF4D99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FE7B74"/>
    <w:multiLevelType w:val="hybridMultilevel"/>
    <w:tmpl w:val="AD44BBEA"/>
    <w:lvl w:ilvl="0" w:tplc="50646C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246ED3"/>
    <w:multiLevelType w:val="hybridMultilevel"/>
    <w:tmpl w:val="BFC4631A"/>
    <w:lvl w:ilvl="0" w:tplc="20AA80D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2F521C5C"/>
    <w:multiLevelType w:val="multilevel"/>
    <w:tmpl w:val="04090027"/>
    <w:lvl w:ilvl="0">
      <w:start w:val="1"/>
      <w:numFmt w:val="upperRoman"/>
      <w:lvlText w:val="%1."/>
      <w:lvlJc w:val="left"/>
      <w:pPr>
        <w:ind w:left="0" w:firstLine="0"/>
      </w:pPr>
      <w:rPr>
        <w:rFonts w:hint="default"/>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CAC6215"/>
    <w:multiLevelType w:val="hybridMultilevel"/>
    <w:tmpl w:val="13169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847BC3"/>
    <w:multiLevelType w:val="hybridMultilevel"/>
    <w:tmpl w:val="81A629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BAC41A6"/>
    <w:multiLevelType w:val="hybridMultilevel"/>
    <w:tmpl w:val="9F96D98A"/>
    <w:lvl w:ilvl="0" w:tplc="7DA6D778">
      <w:start w:val="1"/>
      <w:numFmt w:val="upperLetter"/>
      <w:lvlText w:val="%1."/>
      <w:lvlJc w:val="left"/>
      <w:pPr>
        <w:ind w:left="0" w:hanging="360"/>
      </w:pPr>
      <w:rPr>
        <w:rFonts w:hint="default"/>
      </w:rPr>
    </w:lvl>
    <w:lvl w:ilvl="1" w:tplc="04090019" w:tentative="1">
      <w:start w:val="1"/>
      <w:numFmt w:val="lowerLetter"/>
      <w:lvlText w:val="%2)"/>
      <w:lvlJc w:val="left"/>
      <w:pPr>
        <w:ind w:left="480" w:hanging="420"/>
      </w:pPr>
    </w:lvl>
    <w:lvl w:ilvl="2" w:tplc="0409001B" w:tentative="1">
      <w:start w:val="1"/>
      <w:numFmt w:val="lowerRoman"/>
      <w:lvlText w:val="%3."/>
      <w:lvlJc w:val="right"/>
      <w:pPr>
        <w:ind w:left="900" w:hanging="420"/>
      </w:pPr>
    </w:lvl>
    <w:lvl w:ilvl="3" w:tplc="0409000F" w:tentative="1">
      <w:start w:val="1"/>
      <w:numFmt w:val="decimal"/>
      <w:lvlText w:val="%4."/>
      <w:lvlJc w:val="left"/>
      <w:pPr>
        <w:ind w:left="1320" w:hanging="420"/>
      </w:pPr>
    </w:lvl>
    <w:lvl w:ilvl="4" w:tplc="04090019" w:tentative="1">
      <w:start w:val="1"/>
      <w:numFmt w:val="lowerLetter"/>
      <w:lvlText w:val="%5)"/>
      <w:lvlJc w:val="left"/>
      <w:pPr>
        <w:ind w:left="1740" w:hanging="420"/>
      </w:pPr>
    </w:lvl>
    <w:lvl w:ilvl="5" w:tplc="0409001B" w:tentative="1">
      <w:start w:val="1"/>
      <w:numFmt w:val="lowerRoman"/>
      <w:lvlText w:val="%6."/>
      <w:lvlJc w:val="right"/>
      <w:pPr>
        <w:ind w:left="2160" w:hanging="420"/>
      </w:pPr>
    </w:lvl>
    <w:lvl w:ilvl="6" w:tplc="0409000F" w:tentative="1">
      <w:start w:val="1"/>
      <w:numFmt w:val="decimal"/>
      <w:lvlText w:val="%7."/>
      <w:lvlJc w:val="left"/>
      <w:pPr>
        <w:ind w:left="2580" w:hanging="420"/>
      </w:pPr>
    </w:lvl>
    <w:lvl w:ilvl="7" w:tplc="04090019" w:tentative="1">
      <w:start w:val="1"/>
      <w:numFmt w:val="lowerLetter"/>
      <w:lvlText w:val="%8)"/>
      <w:lvlJc w:val="left"/>
      <w:pPr>
        <w:ind w:left="3000" w:hanging="420"/>
      </w:pPr>
    </w:lvl>
    <w:lvl w:ilvl="8" w:tplc="0409001B" w:tentative="1">
      <w:start w:val="1"/>
      <w:numFmt w:val="lowerRoman"/>
      <w:lvlText w:val="%9."/>
      <w:lvlJc w:val="right"/>
      <w:pPr>
        <w:ind w:left="3420" w:hanging="42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C72C1F"/>
    <w:multiLevelType w:val="hybridMultilevel"/>
    <w:tmpl w:val="D6A86A4A"/>
    <w:lvl w:ilvl="0" w:tplc="A41EA82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92B08F8"/>
    <w:multiLevelType w:val="hybridMultilevel"/>
    <w:tmpl w:val="7D62B33C"/>
    <w:lvl w:ilvl="0" w:tplc="20AA80DA">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28" w15:restartNumberingAfterBreak="0">
    <w:nsid w:val="5BE93187"/>
    <w:multiLevelType w:val="hybridMultilevel"/>
    <w:tmpl w:val="787A48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64D7581F"/>
    <w:multiLevelType w:val="hybridMultilevel"/>
    <w:tmpl w:val="CB54D6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454259"/>
    <w:multiLevelType w:val="multilevel"/>
    <w:tmpl w:val="D01EA55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720"/>
        </w:tabs>
        <w:ind w:left="720" w:hanging="720"/>
      </w:pPr>
      <w:rPr>
        <w:rFonts w:hint="default"/>
      </w:rPr>
    </w:lvl>
    <w:lvl w:ilvl="2">
      <w:start w:val="1"/>
      <w:numFmt w:val="lowerRoman"/>
      <w:lvlText w:val="(%3)"/>
      <w:lvlJc w:val="left"/>
      <w:pPr>
        <w:tabs>
          <w:tab w:val="num" w:pos="0"/>
        </w:tabs>
        <w:ind w:left="2160" w:hanging="720"/>
      </w:pPr>
      <w:rPr>
        <w:rFonts w:hint="default"/>
        <w:i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73FF5E96"/>
    <w:multiLevelType w:val="hybridMultilevel"/>
    <w:tmpl w:val="BC00CD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7926739F"/>
    <w:multiLevelType w:val="multilevel"/>
    <w:tmpl w:val="834469D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720"/>
        </w:tabs>
        <w:ind w:left="720" w:hanging="720"/>
      </w:pPr>
      <w:rPr>
        <w:rFonts w:hint="default"/>
      </w:rPr>
    </w:lvl>
    <w:lvl w:ilvl="2">
      <w:start w:val="1"/>
      <w:numFmt w:val="lowerRoman"/>
      <w:lvlText w:val="(%3)"/>
      <w:lvlJc w:val="left"/>
      <w:pPr>
        <w:tabs>
          <w:tab w:val="num" w:pos="0"/>
        </w:tabs>
        <w:ind w:left="2160" w:hanging="720"/>
      </w:pPr>
      <w:rPr>
        <w:rFonts w:hint="default"/>
        <w:i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7DB43417"/>
    <w:multiLevelType w:val="hybridMultilevel"/>
    <w:tmpl w:val="4B461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E752413"/>
    <w:multiLevelType w:val="hybridMultilevel"/>
    <w:tmpl w:val="2C148542"/>
    <w:lvl w:ilvl="0" w:tplc="770696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4"/>
  </w:num>
  <w:num w:numId="18">
    <w:abstractNumId w:val="26"/>
  </w:num>
  <w:num w:numId="19">
    <w:abstractNumId w:val="34"/>
  </w:num>
  <w:num w:numId="20">
    <w:abstractNumId w:val="20"/>
  </w:num>
  <w:num w:numId="21">
    <w:abstractNumId w:val="1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14"/>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3"/>
  </w:num>
  <w:num w:numId="28">
    <w:abstractNumId w:val="23"/>
  </w:num>
  <w:num w:numId="29">
    <w:abstractNumId w:val="27"/>
  </w:num>
  <w:num w:numId="30">
    <w:abstractNumId w:val="11"/>
  </w:num>
  <w:num w:numId="31">
    <w:abstractNumId w:val="28"/>
  </w:num>
  <w:num w:numId="32">
    <w:abstractNumId w:val="31"/>
  </w:num>
  <w:num w:numId="33">
    <w:abstractNumId w:val="21"/>
  </w:num>
  <w:num w:numId="34">
    <w:abstractNumId w:val="13"/>
  </w:num>
  <w:num w:numId="35">
    <w:abstractNumId w:val="22"/>
  </w:num>
  <w:num w:numId="36">
    <w:abstractNumId w:val="29"/>
  </w:num>
  <w:num w:numId="37">
    <w:abstractNumId w:val="32"/>
  </w:num>
  <w:num w:numId="38">
    <w:abstractNumId w:val="15"/>
  </w:num>
  <w:num w:numId="39">
    <w:abstractNumId w:val="16"/>
  </w:num>
  <w:num w:numId="40">
    <w:abstractNumId w:val="30"/>
  </w:num>
  <w:num w:numId="41">
    <w:abstractNumId w:val="35"/>
  </w:num>
  <w:num w:numId="42">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FD5BD4"/>
    <w:rsid w:val="00000FED"/>
    <w:rsid w:val="0000434E"/>
    <w:rsid w:val="000211A9"/>
    <w:rsid w:val="000262B5"/>
    <w:rsid w:val="00031260"/>
    <w:rsid w:val="0003681A"/>
    <w:rsid w:val="00061EC2"/>
    <w:rsid w:val="0007287F"/>
    <w:rsid w:val="00080ED0"/>
    <w:rsid w:val="00085B8F"/>
    <w:rsid w:val="00090481"/>
    <w:rsid w:val="000A6C26"/>
    <w:rsid w:val="000D33BE"/>
    <w:rsid w:val="000E07BC"/>
    <w:rsid w:val="000F11C7"/>
    <w:rsid w:val="000F1CD4"/>
    <w:rsid w:val="000F4103"/>
    <w:rsid w:val="000F70A7"/>
    <w:rsid w:val="00103B6B"/>
    <w:rsid w:val="00122F25"/>
    <w:rsid w:val="00135980"/>
    <w:rsid w:val="00164719"/>
    <w:rsid w:val="00166FC4"/>
    <w:rsid w:val="001677AC"/>
    <w:rsid w:val="001804EA"/>
    <w:rsid w:val="001908C3"/>
    <w:rsid w:val="00190A61"/>
    <w:rsid w:val="001924FF"/>
    <w:rsid w:val="001A3342"/>
    <w:rsid w:val="001A3E3D"/>
    <w:rsid w:val="001A7049"/>
    <w:rsid w:val="001B1E40"/>
    <w:rsid w:val="001C764E"/>
    <w:rsid w:val="001E1052"/>
    <w:rsid w:val="001E21B1"/>
    <w:rsid w:val="001E2F93"/>
    <w:rsid w:val="001E3E43"/>
    <w:rsid w:val="001E61E5"/>
    <w:rsid w:val="001E6BFB"/>
    <w:rsid w:val="001E6E5A"/>
    <w:rsid w:val="001F2159"/>
    <w:rsid w:val="00214863"/>
    <w:rsid w:val="00214F94"/>
    <w:rsid w:val="002156B4"/>
    <w:rsid w:val="002438B6"/>
    <w:rsid w:val="00253222"/>
    <w:rsid w:val="00262847"/>
    <w:rsid w:val="00281BB2"/>
    <w:rsid w:val="002A166E"/>
    <w:rsid w:val="002A77AD"/>
    <w:rsid w:val="002B72E9"/>
    <w:rsid w:val="002C184D"/>
    <w:rsid w:val="002C7998"/>
    <w:rsid w:val="002F11DE"/>
    <w:rsid w:val="002F1E53"/>
    <w:rsid w:val="002F2CAA"/>
    <w:rsid w:val="0030052C"/>
    <w:rsid w:val="003306E1"/>
    <w:rsid w:val="003320E4"/>
    <w:rsid w:val="0033525D"/>
    <w:rsid w:val="003414F3"/>
    <w:rsid w:val="0035613E"/>
    <w:rsid w:val="00363EE9"/>
    <w:rsid w:val="00376128"/>
    <w:rsid w:val="0037742E"/>
    <w:rsid w:val="0038245A"/>
    <w:rsid w:val="00382A55"/>
    <w:rsid w:val="00385CFC"/>
    <w:rsid w:val="00387334"/>
    <w:rsid w:val="0039337A"/>
    <w:rsid w:val="003A3189"/>
    <w:rsid w:val="003B33BD"/>
    <w:rsid w:val="003B569D"/>
    <w:rsid w:val="003C3C0E"/>
    <w:rsid w:val="003D4FAC"/>
    <w:rsid w:val="003E7906"/>
    <w:rsid w:val="003F3C50"/>
    <w:rsid w:val="00406A6A"/>
    <w:rsid w:val="00406B22"/>
    <w:rsid w:val="004328A7"/>
    <w:rsid w:val="00434C74"/>
    <w:rsid w:val="004504B0"/>
    <w:rsid w:val="00456EB4"/>
    <w:rsid w:val="004718F3"/>
    <w:rsid w:val="00475040"/>
    <w:rsid w:val="004801CE"/>
    <w:rsid w:val="00493D40"/>
    <w:rsid w:val="004953A7"/>
    <w:rsid w:val="004967B6"/>
    <w:rsid w:val="004A504B"/>
    <w:rsid w:val="004A6911"/>
    <w:rsid w:val="004B54E0"/>
    <w:rsid w:val="004B7384"/>
    <w:rsid w:val="004C4269"/>
    <w:rsid w:val="004D6236"/>
    <w:rsid w:val="004E4DBB"/>
    <w:rsid w:val="004E4E41"/>
    <w:rsid w:val="004E7F9C"/>
    <w:rsid w:val="004F3493"/>
    <w:rsid w:val="004F5143"/>
    <w:rsid w:val="00512B09"/>
    <w:rsid w:val="005359B7"/>
    <w:rsid w:val="00555D75"/>
    <w:rsid w:val="00560DF0"/>
    <w:rsid w:val="0056759C"/>
    <w:rsid w:val="005770C4"/>
    <w:rsid w:val="0059513E"/>
    <w:rsid w:val="00597173"/>
    <w:rsid w:val="005B48FF"/>
    <w:rsid w:val="005B524A"/>
    <w:rsid w:val="005C4B20"/>
    <w:rsid w:val="00604C15"/>
    <w:rsid w:val="006158D5"/>
    <w:rsid w:val="00625D83"/>
    <w:rsid w:val="006400EB"/>
    <w:rsid w:val="00647C34"/>
    <w:rsid w:val="006623E7"/>
    <w:rsid w:val="00662B80"/>
    <w:rsid w:val="00670D4C"/>
    <w:rsid w:val="00670F6C"/>
    <w:rsid w:val="006852C7"/>
    <w:rsid w:val="00695D03"/>
    <w:rsid w:val="006C1727"/>
    <w:rsid w:val="006C32FD"/>
    <w:rsid w:val="006C39CE"/>
    <w:rsid w:val="006D0FCC"/>
    <w:rsid w:val="006E1FC3"/>
    <w:rsid w:val="006F575B"/>
    <w:rsid w:val="006F62C5"/>
    <w:rsid w:val="007042E8"/>
    <w:rsid w:val="0070616B"/>
    <w:rsid w:val="00706989"/>
    <w:rsid w:val="00706FDA"/>
    <w:rsid w:val="00707D1C"/>
    <w:rsid w:val="00711F9A"/>
    <w:rsid w:val="00713810"/>
    <w:rsid w:val="007303A5"/>
    <w:rsid w:val="00730B3E"/>
    <w:rsid w:val="0073420B"/>
    <w:rsid w:val="0074760E"/>
    <w:rsid w:val="00754ABA"/>
    <w:rsid w:val="007663C9"/>
    <w:rsid w:val="00774359"/>
    <w:rsid w:val="00774F1C"/>
    <w:rsid w:val="00777F7F"/>
    <w:rsid w:val="007A1546"/>
    <w:rsid w:val="007A228C"/>
    <w:rsid w:val="007A368E"/>
    <w:rsid w:val="007A5868"/>
    <w:rsid w:val="007B04CE"/>
    <w:rsid w:val="007B3877"/>
    <w:rsid w:val="007B6821"/>
    <w:rsid w:val="007B6871"/>
    <w:rsid w:val="007B7A2F"/>
    <w:rsid w:val="007C193F"/>
    <w:rsid w:val="007C3D33"/>
    <w:rsid w:val="007D294A"/>
    <w:rsid w:val="007D47D2"/>
    <w:rsid w:val="007D6EC0"/>
    <w:rsid w:val="007D7E1D"/>
    <w:rsid w:val="007F4046"/>
    <w:rsid w:val="00831979"/>
    <w:rsid w:val="00851352"/>
    <w:rsid w:val="00863230"/>
    <w:rsid w:val="00870D3B"/>
    <w:rsid w:val="008717D8"/>
    <w:rsid w:val="0087215C"/>
    <w:rsid w:val="008875FE"/>
    <w:rsid w:val="00887F8E"/>
    <w:rsid w:val="00896234"/>
    <w:rsid w:val="00897E43"/>
    <w:rsid w:val="008B44B4"/>
    <w:rsid w:val="008C5738"/>
    <w:rsid w:val="008C7EAD"/>
    <w:rsid w:val="008D0CFE"/>
    <w:rsid w:val="008D1072"/>
    <w:rsid w:val="008D18B1"/>
    <w:rsid w:val="008D6152"/>
    <w:rsid w:val="008F0F81"/>
    <w:rsid w:val="008F27BF"/>
    <w:rsid w:val="009142EC"/>
    <w:rsid w:val="00922482"/>
    <w:rsid w:val="00923540"/>
    <w:rsid w:val="00926767"/>
    <w:rsid w:val="009361D5"/>
    <w:rsid w:val="009428A4"/>
    <w:rsid w:val="00953309"/>
    <w:rsid w:val="009659F4"/>
    <w:rsid w:val="00970D60"/>
    <w:rsid w:val="009960E5"/>
    <w:rsid w:val="009A7ADC"/>
    <w:rsid w:val="009C19B7"/>
    <w:rsid w:val="009D7C51"/>
    <w:rsid w:val="009E465B"/>
    <w:rsid w:val="009F36BF"/>
    <w:rsid w:val="00A111B6"/>
    <w:rsid w:val="00A26D27"/>
    <w:rsid w:val="00A376EE"/>
    <w:rsid w:val="00A42A99"/>
    <w:rsid w:val="00A46F78"/>
    <w:rsid w:val="00A5151A"/>
    <w:rsid w:val="00A57E0A"/>
    <w:rsid w:val="00A81DF3"/>
    <w:rsid w:val="00A823F6"/>
    <w:rsid w:val="00AA0A89"/>
    <w:rsid w:val="00AA6429"/>
    <w:rsid w:val="00AA781C"/>
    <w:rsid w:val="00AB658E"/>
    <w:rsid w:val="00AB7308"/>
    <w:rsid w:val="00AC01AA"/>
    <w:rsid w:val="00AC4F72"/>
    <w:rsid w:val="00AF741A"/>
    <w:rsid w:val="00AF7A9C"/>
    <w:rsid w:val="00B01ADB"/>
    <w:rsid w:val="00B04161"/>
    <w:rsid w:val="00B056F9"/>
    <w:rsid w:val="00B11E3D"/>
    <w:rsid w:val="00B17E82"/>
    <w:rsid w:val="00B33D60"/>
    <w:rsid w:val="00B4575A"/>
    <w:rsid w:val="00B55A20"/>
    <w:rsid w:val="00B575BA"/>
    <w:rsid w:val="00B76429"/>
    <w:rsid w:val="00B8090B"/>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76EA4"/>
    <w:rsid w:val="00C83A48"/>
    <w:rsid w:val="00C85865"/>
    <w:rsid w:val="00C85E85"/>
    <w:rsid w:val="00CA2EAE"/>
    <w:rsid w:val="00CA4AC1"/>
    <w:rsid w:val="00CB0316"/>
    <w:rsid w:val="00CB0B11"/>
    <w:rsid w:val="00CB5354"/>
    <w:rsid w:val="00CC0D1F"/>
    <w:rsid w:val="00CC6A14"/>
    <w:rsid w:val="00CC70A3"/>
    <w:rsid w:val="00CD4442"/>
    <w:rsid w:val="00CD53C3"/>
    <w:rsid w:val="00CD574E"/>
    <w:rsid w:val="00CE4C22"/>
    <w:rsid w:val="00CE68C9"/>
    <w:rsid w:val="00CF41EC"/>
    <w:rsid w:val="00CF5D04"/>
    <w:rsid w:val="00D04DE4"/>
    <w:rsid w:val="00D063F1"/>
    <w:rsid w:val="00D14F22"/>
    <w:rsid w:val="00D277A2"/>
    <w:rsid w:val="00D3181F"/>
    <w:rsid w:val="00D51FD2"/>
    <w:rsid w:val="00D57918"/>
    <w:rsid w:val="00D73DC6"/>
    <w:rsid w:val="00D74C1A"/>
    <w:rsid w:val="00D754C1"/>
    <w:rsid w:val="00D77A35"/>
    <w:rsid w:val="00D81B3E"/>
    <w:rsid w:val="00D90C70"/>
    <w:rsid w:val="00D90E49"/>
    <w:rsid w:val="00D96ADE"/>
    <w:rsid w:val="00DA48AF"/>
    <w:rsid w:val="00DB158A"/>
    <w:rsid w:val="00DC6A10"/>
    <w:rsid w:val="00DE657E"/>
    <w:rsid w:val="00DF4704"/>
    <w:rsid w:val="00E024AA"/>
    <w:rsid w:val="00E250F1"/>
    <w:rsid w:val="00E3550D"/>
    <w:rsid w:val="00E614E0"/>
    <w:rsid w:val="00E73F7F"/>
    <w:rsid w:val="00E767BF"/>
    <w:rsid w:val="00E85409"/>
    <w:rsid w:val="00EA429F"/>
    <w:rsid w:val="00EA4F9E"/>
    <w:rsid w:val="00EA63CA"/>
    <w:rsid w:val="00EA6D3B"/>
    <w:rsid w:val="00EB00AD"/>
    <w:rsid w:val="00EB136C"/>
    <w:rsid w:val="00EB480E"/>
    <w:rsid w:val="00EB5EC6"/>
    <w:rsid w:val="00EB7FC9"/>
    <w:rsid w:val="00ED27E8"/>
    <w:rsid w:val="00ED61BF"/>
    <w:rsid w:val="00ED7137"/>
    <w:rsid w:val="00EE2BAB"/>
    <w:rsid w:val="00EF0862"/>
    <w:rsid w:val="00F1096D"/>
    <w:rsid w:val="00F21088"/>
    <w:rsid w:val="00F327E7"/>
    <w:rsid w:val="00F35746"/>
    <w:rsid w:val="00F447C7"/>
    <w:rsid w:val="00F47290"/>
    <w:rsid w:val="00F554A9"/>
    <w:rsid w:val="00F716FD"/>
    <w:rsid w:val="00F80355"/>
    <w:rsid w:val="00F852D5"/>
    <w:rsid w:val="00FB0C81"/>
    <w:rsid w:val="00FC2200"/>
    <w:rsid w:val="00FC2540"/>
    <w:rsid w:val="00FC5774"/>
    <w:rsid w:val="00FD5BD4"/>
    <w:rsid w:val="00FD7A55"/>
    <w:rsid w:val="00FF0204"/>
    <w:rsid w:val="00FF3A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5AABB64"/>
  <w15:docId w15:val="{F5EEF8DC-7F87-4A15-9EF6-8D9753AC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F47290"/>
    <w:rPr>
      <w:sz w:val="20"/>
      <w:szCs w:val="20"/>
    </w:rPr>
  </w:style>
  <w:style w:type="character" w:customStyle="1" w:styleId="FootnoteTextChar">
    <w:name w:val="Footnote Text Char"/>
    <w:basedOn w:val="DefaultParagraphFont"/>
    <w:link w:val="FootnoteText"/>
    <w:uiPriority w:val="99"/>
    <w:semiHidden/>
    <w:rsid w:val="00F47290"/>
    <w:rPr>
      <w:lang w:val="en-GB"/>
    </w:rPr>
  </w:style>
  <w:style w:type="character" w:styleId="FootnoteReference">
    <w:name w:val="footnote reference"/>
    <w:basedOn w:val="DefaultParagraphFont"/>
    <w:uiPriority w:val="99"/>
    <w:semiHidden/>
    <w:unhideWhenUsed/>
    <w:rsid w:val="00F47290"/>
    <w:rPr>
      <w:vertAlign w:val="superscript"/>
    </w:rPr>
  </w:style>
  <w:style w:type="numbering" w:customStyle="1" w:styleId="NoList1">
    <w:name w:val="No List1"/>
    <w:next w:val="NoList"/>
    <w:uiPriority w:val="99"/>
    <w:semiHidden/>
    <w:unhideWhenUsed/>
    <w:rsid w:val="001E6BFB"/>
  </w:style>
  <w:style w:type="character" w:styleId="PageNumber">
    <w:name w:val="page number"/>
    <w:basedOn w:val="DefaultParagraphFont"/>
    <w:rsid w:val="001E6BFB"/>
  </w:style>
  <w:style w:type="paragraph" w:styleId="BodyTextIndent2">
    <w:name w:val="Body Text Indent 2"/>
    <w:basedOn w:val="Normal"/>
    <w:link w:val="BodyTextIndent2Char"/>
    <w:rsid w:val="001E6BFB"/>
    <w:pPr>
      <w:ind w:left="708"/>
      <w:jc w:val="left"/>
    </w:pPr>
    <w:rPr>
      <w:rFonts w:eastAsia="SimSun"/>
      <w:sz w:val="24"/>
      <w:szCs w:val="20"/>
      <w:lang w:val="en-US"/>
    </w:rPr>
  </w:style>
  <w:style w:type="character" w:customStyle="1" w:styleId="BodyTextIndent2Char">
    <w:name w:val="Body Text Indent 2 Char"/>
    <w:basedOn w:val="DefaultParagraphFont"/>
    <w:link w:val="BodyTextIndent2"/>
    <w:rsid w:val="001E6BFB"/>
    <w:rPr>
      <w:rFonts w:eastAsia="SimSun"/>
      <w:sz w:val="24"/>
    </w:rPr>
  </w:style>
  <w:style w:type="paragraph" w:styleId="BodyText2">
    <w:name w:val="Body Text 2"/>
    <w:basedOn w:val="Normal"/>
    <w:link w:val="BodyText2Char"/>
    <w:rsid w:val="001E6BFB"/>
    <w:pPr>
      <w:ind w:left="1416"/>
      <w:jc w:val="left"/>
    </w:pPr>
    <w:rPr>
      <w:rFonts w:eastAsia="SimSun"/>
      <w:sz w:val="24"/>
      <w:szCs w:val="20"/>
      <w:lang w:val="en-US"/>
    </w:rPr>
  </w:style>
  <w:style w:type="character" w:customStyle="1" w:styleId="BodyText2Char">
    <w:name w:val="Body Text 2 Char"/>
    <w:basedOn w:val="DefaultParagraphFont"/>
    <w:link w:val="BodyText2"/>
    <w:rsid w:val="001E6BFB"/>
    <w:rPr>
      <w:rFonts w:eastAsia="SimSun"/>
      <w:sz w:val="24"/>
    </w:rPr>
  </w:style>
  <w:style w:type="paragraph" w:styleId="ListParagraph">
    <w:name w:val="List Paragraph"/>
    <w:aliases w:val="Report Para,List Paragraph1,List Paragraph11,Bullets,bullets,Heading 2_sj,WinDForce-Letter,List Paragraph (numbered (a)),CORE-1.1.1,Numbered Para 1,Dot pt,No Spacing1,List Paragraph Char Char Char,Indicator Text,Bullet 1,Bullet Points,b1"/>
    <w:basedOn w:val="Normal"/>
    <w:link w:val="ListParagraphChar"/>
    <w:uiPriority w:val="34"/>
    <w:qFormat/>
    <w:rsid w:val="001E6BFB"/>
    <w:pPr>
      <w:ind w:left="720"/>
      <w:jc w:val="left"/>
    </w:pPr>
    <w:rPr>
      <w:rFonts w:eastAsia="SimSun"/>
      <w:sz w:val="24"/>
      <w:szCs w:val="24"/>
      <w:lang w:val="en-US"/>
    </w:rPr>
  </w:style>
  <w:style w:type="paragraph" w:customStyle="1" w:styleId="Default">
    <w:name w:val="Default"/>
    <w:rsid w:val="001E6BFB"/>
    <w:pPr>
      <w:autoSpaceDE w:val="0"/>
      <w:autoSpaceDN w:val="0"/>
      <w:adjustRightInd w:val="0"/>
    </w:pPr>
    <w:rPr>
      <w:rFonts w:eastAsia="SimSun"/>
      <w:color w:val="000000"/>
      <w:sz w:val="24"/>
      <w:szCs w:val="24"/>
    </w:rPr>
  </w:style>
  <w:style w:type="table" w:customStyle="1" w:styleId="TableGrid10">
    <w:name w:val="Table Grid1"/>
    <w:basedOn w:val="TableNormal"/>
    <w:next w:val="TableGrid"/>
    <w:rsid w:val="001E6BFB"/>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basedOn w:val="DefaultParagraphFont"/>
    <w:link w:val="Footer"/>
    <w:uiPriority w:val="99"/>
    <w:rsid w:val="001E6BFB"/>
    <w:rPr>
      <w:sz w:val="22"/>
      <w:szCs w:val="22"/>
      <w:lang w:val="en-GB"/>
    </w:rPr>
  </w:style>
  <w:style w:type="paragraph" w:styleId="TOCHeading">
    <w:name w:val="TOC Heading"/>
    <w:basedOn w:val="Heading1"/>
    <w:next w:val="Normal"/>
    <w:uiPriority w:val="39"/>
    <w:unhideWhenUsed/>
    <w:qFormat/>
    <w:rsid w:val="001E6BFB"/>
    <w:pPr>
      <w:keepNext/>
      <w:keepLines/>
      <w:tabs>
        <w:tab w:val="clear" w:pos="0"/>
      </w:tabs>
      <w:spacing w:before="480" w:line="276" w:lineRule="auto"/>
      <w:jc w:val="left"/>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TOC1">
    <w:name w:val="toc 1"/>
    <w:basedOn w:val="Normal"/>
    <w:next w:val="Normal"/>
    <w:autoRedefine/>
    <w:uiPriority w:val="39"/>
    <w:unhideWhenUsed/>
    <w:qFormat/>
    <w:rsid w:val="001E6BFB"/>
    <w:pPr>
      <w:spacing w:after="100"/>
      <w:jc w:val="left"/>
    </w:pPr>
    <w:rPr>
      <w:rFonts w:eastAsia="SimSun"/>
      <w:sz w:val="24"/>
      <w:szCs w:val="24"/>
      <w:lang w:val="en-US"/>
    </w:rPr>
  </w:style>
  <w:style w:type="character" w:styleId="Hyperlink">
    <w:name w:val="Hyperlink"/>
    <w:basedOn w:val="DefaultParagraphFont"/>
    <w:uiPriority w:val="99"/>
    <w:unhideWhenUsed/>
    <w:rsid w:val="001E6BFB"/>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1E6BFB"/>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E6BFB"/>
    <w:rPr>
      <w:sz w:val="22"/>
      <w:szCs w:val="22"/>
      <w:lang w:val="en-GB"/>
    </w:rPr>
  </w:style>
  <w:style w:type="character" w:customStyle="1" w:styleId="Heading5Char">
    <w:name w:val="Heading 5 Char"/>
    <w:basedOn w:val="DefaultParagraphFont"/>
    <w:link w:val="Heading5"/>
    <w:rsid w:val="001E6BFB"/>
    <w:rPr>
      <w:sz w:val="22"/>
      <w:szCs w:val="22"/>
      <w:lang w:val="en-GB"/>
    </w:rPr>
  </w:style>
  <w:style w:type="character" w:customStyle="1" w:styleId="Heading6Char">
    <w:name w:val="Heading 6 Char"/>
    <w:basedOn w:val="DefaultParagraphFont"/>
    <w:link w:val="Heading6"/>
    <w:rsid w:val="001E6BFB"/>
    <w:rPr>
      <w:rFonts w:ascii="Arial" w:hAnsi="Arial"/>
      <w:i/>
      <w:sz w:val="22"/>
      <w:szCs w:val="22"/>
      <w:lang w:val="en-GB"/>
    </w:rPr>
  </w:style>
  <w:style w:type="character" w:customStyle="1" w:styleId="Heading7Char">
    <w:name w:val="Heading 7 Char"/>
    <w:basedOn w:val="DefaultParagraphFont"/>
    <w:link w:val="Heading7"/>
    <w:rsid w:val="001E6BFB"/>
    <w:rPr>
      <w:rFonts w:ascii="Arial" w:hAnsi="Arial"/>
      <w:sz w:val="22"/>
      <w:szCs w:val="22"/>
      <w:lang w:val="en-GB"/>
    </w:rPr>
  </w:style>
  <w:style w:type="character" w:customStyle="1" w:styleId="Heading8Char">
    <w:name w:val="Heading 8 Char"/>
    <w:basedOn w:val="DefaultParagraphFont"/>
    <w:link w:val="Heading8"/>
    <w:rsid w:val="001E6BFB"/>
    <w:rPr>
      <w:b/>
      <w:sz w:val="22"/>
      <w:szCs w:val="22"/>
      <w:lang w:val="en-GB"/>
    </w:rPr>
  </w:style>
  <w:style w:type="character" w:customStyle="1" w:styleId="Heading9Char">
    <w:name w:val="Heading 9 Char"/>
    <w:basedOn w:val="DefaultParagraphFont"/>
    <w:link w:val="Heading9"/>
    <w:rsid w:val="001E6BFB"/>
    <w:rPr>
      <w:rFonts w:ascii="Arial" w:hAnsi="Arial"/>
      <w:i/>
      <w:sz w:val="18"/>
      <w:szCs w:val="22"/>
      <w:lang w:val="en-GB"/>
    </w:rPr>
  </w:style>
  <w:style w:type="paragraph" w:styleId="TOC2">
    <w:name w:val="toc 2"/>
    <w:basedOn w:val="Normal"/>
    <w:next w:val="Normal"/>
    <w:autoRedefine/>
    <w:uiPriority w:val="39"/>
    <w:unhideWhenUsed/>
    <w:qFormat/>
    <w:rsid w:val="001E6BFB"/>
    <w:pPr>
      <w:spacing w:after="100"/>
      <w:ind w:left="240"/>
      <w:jc w:val="left"/>
    </w:pPr>
    <w:rPr>
      <w:rFonts w:eastAsia="SimSun"/>
      <w:sz w:val="24"/>
      <w:szCs w:val="24"/>
      <w:lang w:val="en-US"/>
    </w:rPr>
  </w:style>
  <w:style w:type="paragraph" w:styleId="TOC3">
    <w:name w:val="toc 3"/>
    <w:basedOn w:val="Normal"/>
    <w:next w:val="Normal"/>
    <w:autoRedefine/>
    <w:uiPriority w:val="39"/>
    <w:semiHidden/>
    <w:unhideWhenUsed/>
    <w:qFormat/>
    <w:rsid w:val="001E6BFB"/>
    <w:pPr>
      <w:spacing w:after="100" w:line="276" w:lineRule="auto"/>
      <w:ind w:left="440"/>
      <w:jc w:val="left"/>
    </w:pPr>
    <w:rPr>
      <w:rFonts w:asciiTheme="minorHAnsi" w:eastAsiaTheme="minorEastAsia" w:hAnsiTheme="minorHAnsi" w:cstheme="minorBidi"/>
      <w:lang w:val="en-US" w:eastAsia="ja-JP"/>
    </w:rPr>
  </w:style>
  <w:style w:type="paragraph" w:styleId="BodyText">
    <w:name w:val="Body Text"/>
    <w:basedOn w:val="Normal"/>
    <w:link w:val="BodyTextChar"/>
    <w:semiHidden/>
    <w:unhideWhenUsed/>
    <w:rsid w:val="001E6BFB"/>
    <w:pPr>
      <w:spacing w:after="120"/>
      <w:jc w:val="left"/>
    </w:pPr>
    <w:rPr>
      <w:rFonts w:eastAsia="SimSun"/>
      <w:sz w:val="24"/>
      <w:szCs w:val="24"/>
      <w:lang w:val="en-US"/>
    </w:rPr>
  </w:style>
  <w:style w:type="character" w:customStyle="1" w:styleId="BodyTextChar">
    <w:name w:val="Body Text Char"/>
    <w:basedOn w:val="DefaultParagraphFont"/>
    <w:link w:val="BodyText"/>
    <w:semiHidden/>
    <w:rsid w:val="001E6BFB"/>
    <w:rPr>
      <w:rFonts w:eastAsia="SimSun"/>
      <w:sz w:val="24"/>
      <w:szCs w:val="24"/>
    </w:rPr>
  </w:style>
  <w:style w:type="paragraph" w:styleId="Caption">
    <w:name w:val="caption"/>
    <w:basedOn w:val="Normal"/>
    <w:next w:val="Normal"/>
    <w:unhideWhenUsed/>
    <w:qFormat/>
    <w:rsid w:val="001E6BFB"/>
    <w:pPr>
      <w:spacing w:after="200"/>
      <w:jc w:val="left"/>
    </w:pPr>
    <w:rPr>
      <w:rFonts w:eastAsia="SimSun"/>
      <w:b/>
      <w:bCs/>
      <w:color w:val="4F81BD" w:themeColor="accent1"/>
      <w:sz w:val="18"/>
      <w:szCs w:val="18"/>
      <w:lang w:val="en-US"/>
    </w:rPr>
  </w:style>
  <w:style w:type="table" w:styleId="LightList-Accent5">
    <w:name w:val="Light List Accent 5"/>
    <w:basedOn w:val="TableNormal"/>
    <w:uiPriority w:val="61"/>
    <w:rsid w:val="001E6BFB"/>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a">
    <w:name w:val="列出段落"/>
    <w:basedOn w:val="Normal"/>
    <w:qFormat/>
    <w:rsid w:val="001E6BFB"/>
    <w:pPr>
      <w:widowControl w:val="0"/>
      <w:ind w:firstLineChars="200" w:firstLine="420"/>
    </w:pPr>
    <w:rPr>
      <w:rFonts w:eastAsia="SimSun"/>
      <w:kern w:val="2"/>
      <w:sz w:val="21"/>
      <w:lang w:val="en-US" w:eastAsia="zh-CN"/>
    </w:rPr>
  </w:style>
  <w:style w:type="character" w:customStyle="1" w:styleId="0Heading0Char">
    <w:name w:val="0 Heading 0 Char"/>
    <w:link w:val="0Heading0"/>
    <w:rsid w:val="001E6BFB"/>
    <w:rPr>
      <w:sz w:val="22"/>
      <w:szCs w:val="22"/>
      <w:lang w:val="en-GB"/>
    </w:rPr>
  </w:style>
  <w:style w:type="paragraph" w:styleId="NormalWeb">
    <w:name w:val="Normal (Web)"/>
    <w:basedOn w:val="Normal"/>
    <w:uiPriority w:val="99"/>
    <w:semiHidden/>
    <w:unhideWhenUsed/>
    <w:rsid w:val="001E6BFB"/>
    <w:pPr>
      <w:spacing w:before="100" w:beforeAutospacing="1" w:after="100" w:afterAutospacing="1"/>
      <w:jc w:val="left"/>
    </w:pPr>
    <w:rPr>
      <w:rFonts w:eastAsiaTheme="minorHAnsi"/>
      <w:sz w:val="24"/>
      <w:szCs w:val="24"/>
      <w:lang w:val="en-US" w:bidi="th-TH"/>
    </w:rPr>
  </w:style>
  <w:style w:type="character" w:customStyle="1" w:styleId="Mention">
    <w:name w:val="Mention"/>
    <w:basedOn w:val="DefaultParagraphFont"/>
    <w:uiPriority w:val="99"/>
    <w:semiHidden/>
    <w:unhideWhenUsed/>
    <w:rsid w:val="001E6BFB"/>
    <w:rPr>
      <w:color w:val="2B579A"/>
      <w:shd w:val="clear" w:color="auto" w:fill="E6E6E6"/>
    </w:rPr>
  </w:style>
  <w:style w:type="character" w:customStyle="1" w:styleId="ListParagraphChar">
    <w:name w:val="List Paragraph Char"/>
    <w:aliases w:val="Report Para Char,List Paragraph1 Char,List Paragraph11 Char,Bullets Char,bullets Char,Heading 2_sj Char,WinDForce-Letter Char,List Paragraph (numbered (a)) Char,CORE-1.1.1 Char,Numbered Para 1 Char,Dot pt Char,No Spacing1 Char"/>
    <w:basedOn w:val="DefaultParagraphFont"/>
    <w:link w:val="ListParagraph"/>
    <w:uiPriority w:val="34"/>
    <w:qFormat/>
    <w:rsid w:val="001E6BFB"/>
    <w:rPr>
      <w:rFonts w:eastAsia="SimSu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UNEP/OzL.Pro/ExCom/80/27</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B84342-2E32-4E13-B70E-27B13A81B3B6}"/>
</file>

<file path=customXml/itemProps2.xml><?xml version="1.0" encoding="utf-8"?>
<ds:datastoreItem xmlns:ds="http://schemas.openxmlformats.org/officeDocument/2006/customXml" ds:itemID="{1760B19D-0468-4358-9DBF-F0C7BC55332C}"/>
</file>

<file path=customXml/itemProps3.xml><?xml version="1.0" encoding="utf-8"?>
<ds:datastoreItem xmlns:ds="http://schemas.openxmlformats.org/officeDocument/2006/customXml" ds:itemID="{5E2C3235-FBBC-45C9-8A6F-A66B1B0F54DA}"/>
</file>

<file path=customXml/itemProps4.xml><?xml version="1.0" encoding="utf-8"?>
<ds:datastoreItem xmlns:ds="http://schemas.openxmlformats.org/officeDocument/2006/customXml" ds:itemID="{2B8F4AB9-AE29-46A1-9E96-6E3B72400DA8}"/>
</file>

<file path=docProps/app.xml><?xml version="1.0" encoding="utf-8"?>
<Properties xmlns="http://schemas.openxmlformats.org/officeDocument/2006/extended-properties" xmlns:vt="http://schemas.openxmlformats.org/officeDocument/2006/docPropsVTypes">
  <Template>normal</Template>
  <TotalTime>29</TotalTime>
  <Pages>26</Pages>
  <Words>6665</Words>
  <Characters>40344</Characters>
  <Application>Microsoft Office Word</Application>
  <DocSecurity>0</DocSecurity>
  <Lines>336</Lines>
  <Paragraphs>93</Paragraphs>
  <ScaleCrop>false</ScaleCrop>
  <HeadingPairs>
    <vt:vector size="2" baseType="variant">
      <vt:variant>
        <vt:lpstr>Title</vt:lpstr>
      </vt:variant>
      <vt:variant>
        <vt:i4>1</vt:i4>
      </vt:variant>
    </vt:vector>
  </HeadingPairs>
  <TitlesOfParts>
    <vt:vector size="1" baseType="lpstr">
      <vt:lpstr>2017 World Bank work programme amendments</vt:lpstr>
    </vt:vector>
  </TitlesOfParts>
  <Company/>
  <LinksUpToDate>false</LinksUpToDate>
  <CharactersWithSpaces>46916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World Bank work programme amendments</dc:title>
  <dc:subject>UNEP/OzL.Pro/ExCom/80/27</dc:subject>
  <dc:creator>Nanette Guerin</dc:creator>
  <cp:lastModifiedBy>Nanette Guerin</cp:lastModifiedBy>
  <cp:revision>7</cp:revision>
  <cp:lastPrinted>2017-10-18T21:31:00Z</cp:lastPrinted>
  <dcterms:created xsi:type="dcterms:W3CDTF">2017-10-18T15:41:00Z</dcterms:created>
  <dcterms:modified xsi:type="dcterms:W3CDTF">2017-10-18T22:31:00Z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UNEP/OzL.Pro/ExCom/80/27</vt:lpwstr>
  </property>
  <property fmtid="{D5CDD505-2E9C-101B-9397-08002B2CF9AE}" pid="3" name="Revision date">
    <vt:lpwstr>18/10/2017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