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0EE1CE8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7A2B1A65" w:rsidR="00C15867" w:rsidRPr="009B0D30" w:rsidRDefault="00E62175" w:rsidP="009C59F7">
            <w:fldSimple w:instr=" DOCPROPERTY &quot;Document number&quot;  \* MERGEFORMAT ">
              <w:r>
                <w:t>UNEP/OzL.Pro/ExCom/95/20</w:t>
              </w:r>
            </w:fldSimple>
          </w:p>
          <w:p w14:paraId="3E065622" w14:textId="6FE84633"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C3364">
              <w:t>20 November 2024</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21C0E4B7" w14:textId="77777777" w:rsidR="00F7025C"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p>
    <w:p w14:paraId="42051AAE" w14:textId="5D595334" w:rsidR="00CA59FB" w:rsidRDefault="00CA59FB" w:rsidP="00CA59FB">
      <w:pPr>
        <w:jc w:val="left"/>
      </w:pPr>
      <w:r w:rsidRPr="00B52AA8">
        <w:t>Ninety-</w:t>
      </w:r>
      <w:r w:rsidR="00E9339B" w:rsidRPr="00E9339B">
        <w:t xml:space="preserve">fifth </w:t>
      </w:r>
      <w:r>
        <w:t>Meeting</w:t>
      </w:r>
    </w:p>
    <w:p w14:paraId="58DD64F8" w14:textId="7CE8A06F"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A0B6E41" w14:textId="2D2D6360" w:rsidR="0079781A" w:rsidRDefault="0079781A" w:rsidP="0079781A">
      <w:pPr>
        <w:jc w:val="left"/>
      </w:pPr>
      <w:r>
        <w:t xml:space="preserve">Item </w:t>
      </w:r>
      <w:r w:rsidR="0067205E">
        <w:t>7(b)(i)</w:t>
      </w:r>
      <w:r>
        <w:t xml:space="preserve"> </w:t>
      </w:r>
      <w:r w:rsidRPr="00512BEF">
        <w:t>of the provisional agenda</w:t>
      </w:r>
      <w:r w:rsidRPr="00512BEF">
        <w:rPr>
          <w:rStyle w:val="FootnoteReference"/>
        </w:rPr>
        <w:footnoteReference w:id="1"/>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001CCAE2" w14:textId="77777777" w:rsidR="00066CE8" w:rsidRPr="009B0D30" w:rsidRDefault="00066CE8" w:rsidP="00857077">
      <w:pPr>
        <w:jc w:val="left"/>
      </w:pPr>
    </w:p>
    <w:p w14:paraId="7AD56A7B" w14:textId="77777777" w:rsidR="00217D4B" w:rsidRDefault="00217D4B" w:rsidP="00217D4B">
      <w:pPr>
        <w:pStyle w:val="paragraph"/>
        <w:spacing w:before="0" w:beforeAutospacing="0" w:after="0" w:afterAutospacing="0"/>
        <w:jc w:val="center"/>
        <w:textAlignment w:val="baseline"/>
        <w:rPr>
          <w:sz w:val="22"/>
          <w:szCs w:val="22"/>
        </w:rPr>
      </w:pPr>
      <w:r>
        <w:rPr>
          <w:rStyle w:val="normaltextrun"/>
          <w:b/>
          <w:bCs/>
          <w:sz w:val="22"/>
          <w:szCs w:val="22"/>
        </w:rPr>
        <w:t>REPORTS ON PROJECTS WITH SPECIFIC REPORTING REQUIREMENTS:</w:t>
      </w:r>
      <w:r>
        <w:rPr>
          <w:rStyle w:val="eop"/>
          <w:sz w:val="22"/>
          <w:szCs w:val="22"/>
        </w:rPr>
        <w:t> </w:t>
      </w:r>
    </w:p>
    <w:p w14:paraId="6862D9A8" w14:textId="77777777" w:rsidR="00217D4B" w:rsidRDefault="00217D4B" w:rsidP="00217D4B">
      <w:pPr>
        <w:pStyle w:val="paragraph"/>
        <w:spacing w:before="0" w:beforeAutospacing="0" w:after="0" w:afterAutospacing="0"/>
        <w:jc w:val="center"/>
        <w:textAlignment w:val="baseline"/>
        <w:rPr>
          <w:sz w:val="22"/>
          <w:szCs w:val="22"/>
        </w:rPr>
      </w:pPr>
      <w:r>
        <w:rPr>
          <w:rStyle w:val="normaltextrun"/>
          <w:b/>
          <w:bCs/>
          <w:sz w:val="22"/>
          <w:szCs w:val="22"/>
        </w:rPr>
        <w:t>REPORTS WITH NO OUTSTANDING ISSUES</w:t>
      </w:r>
      <w:r>
        <w:rPr>
          <w:rStyle w:val="eop"/>
          <w:sz w:val="22"/>
          <w:szCs w:val="22"/>
        </w:rPr>
        <w:t> </w:t>
      </w:r>
    </w:p>
    <w:p w14:paraId="3344EE4E" w14:textId="77777777" w:rsidR="00217D4B" w:rsidRDefault="00217D4B" w:rsidP="00217D4B">
      <w:pPr>
        <w:pStyle w:val="paragraph"/>
        <w:spacing w:before="0" w:beforeAutospacing="0" w:after="0" w:afterAutospacing="0"/>
        <w:jc w:val="both"/>
        <w:textAlignment w:val="baseline"/>
        <w:rPr>
          <w:sz w:val="22"/>
          <w:szCs w:val="22"/>
        </w:rPr>
      </w:pPr>
      <w:r>
        <w:rPr>
          <w:rStyle w:val="eop"/>
          <w:sz w:val="22"/>
          <w:szCs w:val="22"/>
        </w:rPr>
        <w:t> </w:t>
      </w:r>
    </w:p>
    <w:p w14:paraId="7676EBDE" w14:textId="77777777" w:rsidR="00217D4B" w:rsidRDefault="00217D4B" w:rsidP="00217D4B">
      <w:pPr>
        <w:pStyle w:val="paragraph"/>
        <w:spacing w:before="0" w:beforeAutospacing="0" w:after="0" w:afterAutospacing="0"/>
        <w:ind w:left="720" w:hanging="720"/>
        <w:jc w:val="both"/>
        <w:textAlignment w:val="baseline"/>
        <w:rPr>
          <w:sz w:val="22"/>
          <w:szCs w:val="22"/>
        </w:rPr>
      </w:pPr>
      <w:r>
        <w:rPr>
          <w:rStyle w:val="normaltextrun"/>
          <w:b/>
          <w:bCs/>
        </w:rPr>
        <w:t>An overview</w:t>
      </w:r>
      <w:r>
        <w:rPr>
          <w:rStyle w:val="eop"/>
        </w:rPr>
        <w:t> </w:t>
      </w:r>
    </w:p>
    <w:p w14:paraId="4B439311" w14:textId="77777777" w:rsidR="00217D4B" w:rsidRDefault="00217D4B" w:rsidP="00217D4B">
      <w:pPr>
        <w:pStyle w:val="paragraph"/>
        <w:spacing w:before="0" w:beforeAutospacing="0" w:after="0" w:afterAutospacing="0"/>
        <w:ind w:left="720" w:hanging="720"/>
        <w:jc w:val="both"/>
        <w:textAlignment w:val="baseline"/>
        <w:rPr>
          <w:sz w:val="22"/>
          <w:szCs w:val="22"/>
        </w:rPr>
      </w:pPr>
      <w:r>
        <w:rPr>
          <w:rStyle w:val="eop"/>
          <w:sz w:val="22"/>
          <w:szCs w:val="22"/>
        </w:rPr>
        <w:t> </w:t>
      </w:r>
    </w:p>
    <w:p w14:paraId="005DA0A6" w14:textId="43E3712D" w:rsidR="007A3BC3" w:rsidRPr="00797826" w:rsidRDefault="00B00788" w:rsidP="001E5321">
      <w:pPr>
        <w:pStyle w:val="Heading1"/>
      </w:pPr>
      <w:r>
        <w:t>This docu</w:t>
      </w:r>
      <w:r w:rsidR="00CB65AB">
        <w:t>ment</w:t>
      </w:r>
      <w:r>
        <w:t xml:space="preserve"> </w:t>
      </w:r>
      <w:r w:rsidR="00BF2D04">
        <w:t>include</w:t>
      </w:r>
      <w:r>
        <w:t>s reports on projects related to HCFC</w:t>
      </w:r>
      <w:r w:rsidR="00CB65AB">
        <w:t xml:space="preserve"> phase-out management plans</w:t>
      </w:r>
      <w:r w:rsidR="004C3364">
        <w:t>,</w:t>
      </w:r>
      <w:r w:rsidR="00CB65AB" w:rsidRPr="005A0765">
        <w:rPr>
          <w:rStyle w:val="FootnoteReference"/>
        </w:rPr>
        <w:footnoteReference w:id="2"/>
      </w:r>
      <w:r>
        <w:t xml:space="preserve"> </w:t>
      </w:r>
      <w:r w:rsidR="00337497">
        <w:t xml:space="preserve">Kigali </w:t>
      </w:r>
      <w:r w:rsidR="001E5321">
        <w:t xml:space="preserve">HFC </w:t>
      </w:r>
      <w:r w:rsidR="00337497">
        <w:t>implementation plan</w:t>
      </w:r>
      <w:r w:rsidR="00E14C57">
        <w:t>s</w:t>
      </w:r>
      <w:r w:rsidR="00BF2D04">
        <w:t>,</w:t>
      </w:r>
      <w:r>
        <w:t xml:space="preserve"> and </w:t>
      </w:r>
      <w:r w:rsidR="00337497" w:rsidRPr="00337497">
        <w:t>additional activities to maintain energy efficiency in the refrigeration servicing sector (decision 89/6)</w:t>
      </w:r>
      <w:r w:rsidR="00337497">
        <w:t xml:space="preserve">. </w:t>
      </w:r>
      <w:r w:rsidR="007A3BC3" w:rsidRPr="00337497">
        <w:t>Ta</w:t>
      </w:r>
      <w:r w:rsidR="007A3BC3" w:rsidRPr="00797826">
        <w:t>ble 1 lists the reports on projects with specific reporting requirements submitted to the 9</w:t>
      </w:r>
      <w:r w:rsidR="00FA0F94">
        <w:t>5</w:t>
      </w:r>
      <w:r w:rsidR="00FA0F94">
        <w:rPr>
          <w:vertAlign w:val="superscript"/>
        </w:rPr>
        <w:t>th</w:t>
      </w:r>
      <w:r w:rsidR="007A3BC3" w:rsidRPr="00797826">
        <w:t> meeting</w:t>
      </w:r>
      <w:r w:rsidR="007A3BC3">
        <w:t xml:space="preserve"> which, after the Secretariat’s review, have no outstanding issues and therefore</w:t>
      </w:r>
      <w:r w:rsidR="007A3BC3" w:rsidRPr="00797826">
        <w:t xml:space="preserve"> </w:t>
      </w:r>
      <w:r w:rsidR="007A3BC3">
        <w:t>do not require the Executive Committee to consider them individually</w:t>
      </w:r>
      <w:r w:rsidR="007A3BC3" w:rsidRPr="00797826">
        <w:t>.</w:t>
      </w:r>
    </w:p>
    <w:p w14:paraId="60CAA63E" w14:textId="77777777" w:rsidR="007A3BC3" w:rsidRPr="00324FD8" w:rsidRDefault="007A3BC3" w:rsidP="007A3BC3">
      <w:pPr>
        <w:keepNext/>
        <w:keepLines/>
        <w:rPr>
          <w:b/>
          <w:sz w:val="20"/>
          <w:szCs w:val="20"/>
        </w:rPr>
      </w:pPr>
      <w:r w:rsidRPr="00324FD8">
        <w:rPr>
          <w:b/>
          <w:sz w:val="20"/>
          <w:szCs w:val="20"/>
        </w:rPr>
        <w:t>Table 1. Reports on projects with specific reporting requirements with no outstanding issues</w:t>
      </w:r>
    </w:p>
    <w:tbl>
      <w:tblPr>
        <w:tblStyle w:val="TableGrid"/>
        <w:tblW w:w="0" w:type="auto"/>
        <w:tblLook w:val="04A0" w:firstRow="1" w:lastRow="0" w:firstColumn="1" w:lastColumn="0" w:noHBand="0" w:noVBand="1"/>
      </w:tblPr>
      <w:tblGrid>
        <w:gridCol w:w="1555"/>
        <w:gridCol w:w="6090"/>
        <w:gridCol w:w="1705"/>
      </w:tblGrid>
      <w:tr w:rsidR="007A3BC3" w:rsidRPr="007A73A6" w14:paraId="765B8992" w14:textId="77777777" w:rsidTr="00755715">
        <w:trPr>
          <w:tblHeader/>
        </w:trPr>
        <w:tc>
          <w:tcPr>
            <w:tcW w:w="1555" w:type="dxa"/>
            <w:tcBorders>
              <w:top w:val="single" w:sz="4" w:space="0" w:color="auto"/>
              <w:left w:val="single" w:sz="4" w:space="0" w:color="auto"/>
              <w:bottom w:val="single" w:sz="4" w:space="0" w:color="auto"/>
              <w:right w:val="single" w:sz="4" w:space="0" w:color="auto"/>
            </w:tcBorders>
            <w:hideMark/>
          </w:tcPr>
          <w:p w14:paraId="59587C07" w14:textId="77777777" w:rsidR="007A3BC3" w:rsidRPr="007A73A6" w:rsidRDefault="007A3BC3" w:rsidP="00AB010A">
            <w:pPr>
              <w:keepNext/>
              <w:keepLines/>
              <w:jc w:val="center"/>
              <w:rPr>
                <w:b/>
                <w:sz w:val="20"/>
                <w:szCs w:val="20"/>
              </w:rPr>
            </w:pPr>
            <w:r w:rsidRPr="007A73A6">
              <w:rPr>
                <w:b/>
                <w:sz w:val="20"/>
                <w:szCs w:val="20"/>
              </w:rPr>
              <w:t>Country</w:t>
            </w:r>
          </w:p>
        </w:tc>
        <w:tc>
          <w:tcPr>
            <w:tcW w:w="6090" w:type="dxa"/>
            <w:tcBorders>
              <w:top w:val="single" w:sz="4" w:space="0" w:color="auto"/>
              <w:left w:val="single" w:sz="4" w:space="0" w:color="auto"/>
              <w:bottom w:val="single" w:sz="4" w:space="0" w:color="auto"/>
              <w:right w:val="single" w:sz="4" w:space="0" w:color="auto"/>
            </w:tcBorders>
            <w:hideMark/>
          </w:tcPr>
          <w:p w14:paraId="329AFAC6" w14:textId="77777777" w:rsidR="007A3BC3" w:rsidRPr="007A73A6" w:rsidRDefault="007A3BC3" w:rsidP="00AB010A">
            <w:pPr>
              <w:keepNext/>
              <w:keepLines/>
              <w:jc w:val="center"/>
              <w:rPr>
                <w:b/>
                <w:sz w:val="20"/>
                <w:szCs w:val="20"/>
              </w:rPr>
            </w:pPr>
            <w:r w:rsidRPr="007A73A6">
              <w:rPr>
                <w:b/>
                <w:sz w:val="20"/>
                <w:szCs w:val="20"/>
              </w:rPr>
              <w:t>Project title</w:t>
            </w:r>
          </w:p>
        </w:tc>
        <w:tc>
          <w:tcPr>
            <w:tcW w:w="1705" w:type="dxa"/>
            <w:tcBorders>
              <w:top w:val="single" w:sz="4" w:space="0" w:color="auto"/>
              <w:left w:val="single" w:sz="4" w:space="0" w:color="auto"/>
              <w:bottom w:val="single" w:sz="4" w:space="0" w:color="auto"/>
              <w:right w:val="single" w:sz="4" w:space="0" w:color="auto"/>
            </w:tcBorders>
            <w:hideMark/>
          </w:tcPr>
          <w:p w14:paraId="7E935CC9" w14:textId="77777777" w:rsidR="007A3BC3" w:rsidRPr="007A73A6" w:rsidRDefault="007A3BC3" w:rsidP="00AB010A">
            <w:pPr>
              <w:keepNext/>
              <w:keepLines/>
              <w:jc w:val="center"/>
              <w:rPr>
                <w:b/>
                <w:sz w:val="20"/>
                <w:szCs w:val="20"/>
              </w:rPr>
            </w:pPr>
            <w:r w:rsidRPr="007A73A6">
              <w:rPr>
                <w:b/>
                <w:sz w:val="20"/>
                <w:szCs w:val="20"/>
              </w:rPr>
              <w:t>Paragraphs</w:t>
            </w:r>
          </w:p>
        </w:tc>
      </w:tr>
      <w:tr w:rsidR="007A3BC3" w:rsidRPr="007A73A6" w14:paraId="5BFAB7FA" w14:textId="77777777" w:rsidTr="00AB010A">
        <w:tc>
          <w:tcPr>
            <w:tcW w:w="9350" w:type="dxa"/>
            <w:gridSpan w:val="3"/>
            <w:tcBorders>
              <w:top w:val="single" w:sz="4" w:space="0" w:color="auto"/>
              <w:left w:val="single" w:sz="4" w:space="0" w:color="auto"/>
              <w:bottom w:val="single" w:sz="4" w:space="0" w:color="auto"/>
              <w:right w:val="single" w:sz="4" w:space="0" w:color="auto"/>
            </w:tcBorders>
            <w:hideMark/>
          </w:tcPr>
          <w:p w14:paraId="30B99E4D" w14:textId="77777777" w:rsidR="007A3BC3" w:rsidRPr="007A73A6" w:rsidRDefault="007A3BC3" w:rsidP="007A3BC3">
            <w:pPr>
              <w:pStyle w:val="ListParagraph"/>
              <w:numPr>
                <w:ilvl w:val="0"/>
                <w:numId w:val="29"/>
              </w:numPr>
              <w:ind w:left="339"/>
              <w:jc w:val="left"/>
              <w:rPr>
                <w:b/>
                <w:sz w:val="20"/>
                <w:szCs w:val="20"/>
              </w:rPr>
            </w:pPr>
            <w:r w:rsidRPr="007A73A6">
              <w:rPr>
                <w:b/>
                <w:sz w:val="20"/>
                <w:szCs w:val="20"/>
              </w:rPr>
              <w:t>Reports related to HCFC phase-out management plans (HPMPs)</w:t>
            </w:r>
          </w:p>
        </w:tc>
      </w:tr>
      <w:tr w:rsidR="007A3BC3" w:rsidRPr="007A73A6" w14:paraId="17BD87B1" w14:textId="77777777" w:rsidTr="00755715">
        <w:tc>
          <w:tcPr>
            <w:tcW w:w="1555" w:type="dxa"/>
            <w:tcBorders>
              <w:top w:val="single" w:sz="4" w:space="0" w:color="auto"/>
              <w:left w:val="single" w:sz="4" w:space="0" w:color="auto"/>
              <w:bottom w:val="single" w:sz="4" w:space="0" w:color="auto"/>
              <w:right w:val="single" w:sz="4" w:space="0" w:color="auto"/>
            </w:tcBorders>
          </w:tcPr>
          <w:p w14:paraId="3C70E104" w14:textId="0A95CE1D" w:rsidR="007A3BC3" w:rsidRPr="007A73A6" w:rsidRDefault="00D25253" w:rsidP="00AB010A">
            <w:pPr>
              <w:rPr>
                <w:sz w:val="20"/>
                <w:szCs w:val="20"/>
                <w:highlight w:val="yellow"/>
              </w:rPr>
            </w:pPr>
            <w:r w:rsidRPr="00891C0E">
              <w:rPr>
                <w:sz w:val="20"/>
                <w:szCs w:val="20"/>
              </w:rPr>
              <w:t>Afghanistan</w:t>
            </w:r>
          </w:p>
        </w:tc>
        <w:tc>
          <w:tcPr>
            <w:tcW w:w="6090" w:type="dxa"/>
            <w:tcBorders>
              <w:top w:val="single" w:sz="4" w:space="0" w:color="auto"/>
              <w:left w:val="single" w:sz="4" w:space="0" w:color="auto"/>
              <w:bottom w:val="single" w:sz="4" w:space="0" w:color="auto"/>
              <w:right w:val="single" w:sz="4" w:space="0" w:color="auto"/>
            </w:tcBorders>
          </w:tcPr>
          <w:p w14:paraId="51751F35" w14:textId="7C3E2DBE" w:rsidR="007A3BC3" w:rsidRPr="007A73A6" w:rsidRDefault="00891C0E" w:rsidP="00AB010A">
            <w:pPr>
              <w:rPr>
                <w:sz w:val="20"/>
                <w:szCs w:val="20"/>
                <w:highlight w:val="yellow"/>
              </w:rPr>
            </w:pPr>
            <w:r w:rsidRPr="00891C0E">
              <w:rPr>
                <w:sz w:val="20"/>
                <w:szCs w:val="20"/>
              </w:rPr>
              <w:t xml:space="preserve">HCFC phase-out management plan (stages I and II – transfer of implementation </w:t>
            </w:r>
            <w:r w:rsidR="00E14C57">
              <w:rPr>
                <w:sz w:val="20"/>
                <w:szCs w:val="20"/>
              </w:rPr>
              <w:t xml:space="preserve">of UNEP’s components </w:t>
            </w:r>
            <w:r w:rsidRPr="00891C0E">
              <w:rPr>
                <w:sz w:val="20"/>
                <w:szCs w:val="20"/>
              </w:rPr>
              <w:t>to UNIDO)</w:t>
            </w:r>
          </w:p>
        </w:tc>
        <w:tc>
          <w:tcPr>
            <w:tcW w:w="1705" w:type="dxa"/>
            <w:tcBorders>
              <w:top w:val="single" w:sz="4" w:space="0" w:color="auto"/>
              <w:left w:val="single" w:sz="4" w:space="0" w:color="auto"/>
              <w:bottom w:val="single" w:sz="4" w:space="0" w:color="auto"/>
              <w:right w:val="single" w:sz="4" w:space="0" w:color="auto"/>
            </w:tcBorders>
          </w:tcPr>
          <w:p w14:paraId="153B1C68" w14:textId="57C4E27D" w:rsidR="007A3BC3" w:rsidRPr="007A73A6" w:rsidRDefault="005A6A82" w:rsidP="00AB010A">
            <w:pPr>
              <w:jc w:val="center"/>
              <w:rPr>
                <w:sz w:val="20"/>
                <w:szCs w:val="20"/>
                <w:highlight w:val="yellow"/>
              </w:rPr>
            </w:pPr>
            <w:r w:rsidRPr="005A6A82">
              <w:rPr>
                <w:sz w:val="20"/>
                <w:szCs w:val="20"/>
              </w:rPr>
              <w:t>2 - 15</w:t>
            </w:r>
          </w:p>
        </w:tc>
      </w:tr>
      <w:tr w:rsidR="00D25253" w:rsidRPr="007A73A6" w14:paraId="13FD8C5B" w14:textId="77777777" w:rsidTr="00755715">
        <w:tc>
          <w:tcPr>
            <w:tcW w:w="1555" w:type="dxa"/>
            <w:tcBorders>
              <w:top w:val="single" w:sz="4" w:space="0" w:color="auto"/>
              <w:left w:val="single" w:sz="4" w:space="0" w:color="auto"/>
              <w:bottom w:val="single" w:sz="4" w:space="0" w:color="auto"/>
              <w:right w:val="single" w:sz="4" w:space="0" w:color="auto"/>
            </w:tcBorders>
          </w:tcPr>
          <w:p w14:paraId="5D0B56D5" w14:textId="0C50CDD0" w:rsidR="00D25253" w:rsidRPr="007A73A6" w:rsidRDefault="00D25253" w:rsidP="00D25253">
            <w:pPr>
              <w:rPr>
                <w:sz w:val="20"/>
                <w:szCs w:val="20"/>
              </w:rPr>
            </w:pPr>
            <w:r w:rsidRPr="00E61DEE">
              <w:rPr>
                <w:sz w:val="20"/>
                <w:szCs w:val="20"/>
              </w:rPr>
              <w:t>Argentina</w:t>
            </w:r>
          </w:p>
        </w:tc>
        <w:tc>
          <w:tcPr>
            <w:tcW w:w="6090" w:type="dxa"/>
            <w:tcBorders>
              <w:top w:val="single" w:sz="4" w:space="0" w:color="auto"/>
              <w:left w:val="single" w:sz="4" w:space="0" w:color="auto"/>
              <w:bottom w:val="single" w:sz="4" w:space="0" w:color="auto"/>
              <w:right w:val="single" w:sz="4" w:space="0" w:color="auto"/>
            </w:tcBorders>
          </w:tcPr>
          <w:p w14:paraId="170F18CD" w14:textId="0588F8B9" w:rsidR="00D25253" w:rsidRPr="007A73A6" w:rsidRDefault="00D25253" w:rsidP="00D25253">
            <w:pPr>
              <w:rPr>
                <w:sz w:val="20"/>
                <w:szCs w:val="20"/>
              </w:rPr>
            </w:pPr>
            <w:r w:rsidRPr="00E62175">
              <w:rPr>
                <w:sz w:val="20"/>
                <w:szCs w:val="20"/>
                <w:lang w:val="en-US"/>
              </w:rPr>
              <w:t>HCFC phase-out management plan (stage II – availability of low global</w:t>
            </w:r>
            <w:r w:rsidR="00E33263">
              <w:rPr>
                <w:sz w:val="20"/>
                <w:szCs w:val="20"/>
                <w:lang w:val="en-US"/>
              </w:rPr>
              <w:noBreakHyphen/>
            </w:r>
            <w:r w:rsidRPr="00E62175">
              <w:rPr>
                <w:sz w:val="20"/>
                <w:szCs w:val="20"/>
                <w:lang w:val="en-US"/>
              </w:rPr>
              <w:t>warming</w:t>
            </w:r>
            <w:r w:rsidR="009F7A85">
              <w:rPr>
                <w:sz w:val="20"/>
                <w:szCs w:val="20"/>
                <w:lang w:val="en-US"/>
              </w:rPr>
              <w:noBreakHyphen/>
            </w:r>
            <w:r w:rsidRPr="00E62175">
              <w:rPr>
                <w:sz w:val="20"/>
                <w:szCs w:val="20"/>
                <w:lang w:val="en-US"/>
              </w:rPr>
              <w:t>potential alternatives to HCFC 141b in the foam sector and transitional use of high global</w:t>
            </w:r>
            <w:r w:rsidR="00222D9A">
              <w:rPr>
                <w:sz w:val="20"/>
                <w:szCs w:val="20"/>
                <w:lang w:val="en-US"/>
              </w:rPr>
              <w:noBreakHyphen/>
            </w:r>
            <w:r w:rsidRPr="00E62175">
              <w:rPr>
                <w:sz w:val="20"/>
                <w:szCs w:val="20"/>
                <w:lang w:val="en-US"/>
              </w:rPr>
              <w:t>warming</w:t>
            </w:r>
            <w:r w:rsidR="009F7A85">
              <w:rPr>
                <w:sz w:val="20"/>
                <w:szCs w:val="20"/>
                <w:lang w:val="en-US"/>
              </w:rPr>
              <w:noBreakHyphen/>
            </w:r>
            <w:r w:rsidRPr="00E62175">
              <w:rPr>
                <w:sz w:val="20"/>
                <w:szCs w:val="20"/>
                <w:lang w:val="en-US"/>
              </w:rPr>
              <w:t xml:space="preserve">potential alternatives) </w:t>
            </w:r>
          </w:p>
        </w:tc>
        <w:tc>
          <w:tcPr>
            <w:tcW w:w="1705" w:type="dxa"/>
            <w:tcBorders>
              <w:top w:val="single" w:sz="4" w:space="0" w:color="auto"/>
              <w:left w:val="single" w:sz="4" w:space="0" w:color="auto"/>
              <w:bottom w:val="single" w:sz="4" w:space="0" w:color="auto"/>
              <w:right w:val="single" w:sz="4" w:space="0" w:color="auto"/>
            </w:tcBorders>
          </w:tcPr>
          <w:p w14:paraId="393727C5" w14:textId="6E2D1CF2" w:rsidR="00D25253" w:rsidRPr="007A73A6" w:rsidRDefault="005A6A82" w:rsidP="00D25253">
            <w:pPr>
              <w:jc w:val="center"/>
              <w:rPr>
                <w:sz w:val="20"/>
                <w:szCs w:val="20"/>
              </w:rPr>
            </w:pPr>
            <w:r>
              <w:rPr>
                <w:sz w:val="20"/>
                <w:szCs w:val="20"/>
              </w:rPr>
              <w:t>16 - 28</w:t>
            </w:r>
          </w:p>
        </w:tc>
      </w:tr>
      <w:tr w:rsidR="00D25253" w:rsidRPr="007A73A6" w14:paraId="625810A9" w14:textId="77777777" w:rsidTr="00755715">
        <w:tc>
          <w:tcPr>
            <w:tcW w:w="1555" w:type="dxa"/>
            <w:tcBorders>
              <w:top w:val="single" w:sz="4" w:space="0" w:color="auto"/>
              <w:left w:val="single" w:sz="4" w:space="0" w:color="auto"/>
              <w:bottom w:val="single" w:sz="4" w:space="0" w:color="auto"/>
              <w:right w:val="single" w:sz="4" w:space="0" w:color="auto"/>
            </w:tcBorders>
          </w:tcPr>
          <w:p w14:paraId="00FE4618" w14:textId="7514A3FB" w:rsidR="00D25253" w:rsidRPr="00E61DEE" w:rsidRDefault="00D25253" w:rsidP="00D25253">
            <w:pPr>
              <w:rPr>
                <w:sz w:val="20"/>
                <w:szCs w:val="20"/>
                <w:highlight w:val="yellow"/>
              </w:rPr>
            </w:pPr>
            <w:r w:rsidRPr="003548CB">
              <w:rPr>
                <w:sz w:val="20"/>
                <w:szCs w:val="20"/>
              </w:rPr>
              <w:t>Bolivia</w:t>
            </w:r>
            <w:r w:rsidR="00F86E2B">
              <w:rPr>
                <w:sz w:val="20"/>
                <w:szCs w:val="20"/>
              </w:rPr>
              <w:t xml:space="preserve"> (Plurinational State of)</w:t>
            </w:r>
          </w:p>
        </w:tc>
        <w:tc>
          <w:tcPr>
            <w:tcW w:w="6090" w:type="dxa"/>
            <w:tcBorders>
              <w:top w:val="single" w:sz="4" w:space="0" w:color="auto"/>
              <w:left w:val="single" w:sz="4" w:space="0" w:color="auto"/>
              <w:bottom w:val="single" w:sz="4" w:space="0" w:color="auto"/>
              <w:right w:val="single" w:sz="4" w:space="0" w:color="auto"/>
            </w:tcBorders>
          </w:tcPr>
          <w:p w14:paraId="35D3C1B0" w14:textId="74D0F043" w:rsidR="00D25253" w:rsidRPr="007A73A6" w:rsidRDefault="00D25253" w:rsidP="00D25253">
            <w:pPr>
              <w:rPr>
                <w:sz w:val="20"/>
                <w:szCs w:val="20"/>
              </w:rPr>
            </w:pPr>
            <w:r w:rsidRPr="003548CB">
              <w:rPr>
                <w:rStyle w:val="normaltextrun"/>
                <w:color w:val="000000"/>
                <w:sz w:val="20"/>
                <w:szCs w:val="20"/>
                <w:shd w:val="clear" w:color="auto" w:fill="FFFFFF"/>
                <w:lang w:val="en-US"/>
              </w:rPr>
              <w:t xml:space="preserve">HCFC phase-out management plan (stage II – report on the progress made in establishing a ban on HCFC-based equipment) </w:t>
            </w:r>
          </w:p>
        </w:tc>
        <w:tc>
          <w:tcPr>
            <w:tcW w:w="1705" w:type="dxa"/>
            <w:tcBorders>
              <w:top w:val="single" w:sz="4" w:space="0" w:color="auto"/>
              <w:left w:val="single" w:sz="4" w:space="0" w:color="auto"/>
              <w:bottom w:val="single" w:sz="4" w:space="0" w:color="auto"/>
              <w:right w:val="single" w:sz="4" w:space="0" w:color="auto"/>
            </w:tcBorders>
          </w:tcPr>
          <w:p w14:paraId="17BA54E8" w14:textId="08678422" w:rsidR="00D25253" w:rsidRPr="007A73A6" w:rsidRDefault="005A6A82" w:rsidP="00D25253">
            <w:pPr>
              <w:jc w:val="center"/>
              <w:rPr>
                <w:sz w:val="20"/>
                <w:szCs w:val="20"/>
              </w:rPr>
            </w:pPr>
            <w:r>
              <w:rPr>
                <w:sz w:val="20"/>
                <w:szCs w:val="20"/>
              </w:rPr>
              <w:t>29 - 34</w:t>
            </w:r>
          </w:p>
        </w:tc>
      </w:tr>
      <w:tr w:rsidR="00D25253" w:rsidRPr="007A73A6" w14:paraId="157C3B07" w14:textId="77777777" w:rsidTr="00755715">
        <w:tc>
          <w:tcPr>
            <w:tcW w:w="1555" w:type="dxa"/>
            <w:tcBorders>
              <w:top w:val="single" w:sz="4" w:space="0" w:color="auto"/>
              <w:left w:val="single" w:sz="4" w:space="0" w:color="auto"/>
              <w:bottom w:val="single" w:sz="4" w:space="0" w:color="auto"/>
              <w:right w:val="single" w:sz="4" w:space="0" w:color="auto"/>
            </w:tcBorders>
          </w:tcPr>
          <w:p w14:paraId="4D016A81" w14:textId="56DDBCBB" w:rsidR="00D25253" w:rsidRPr="007A73A6" w:rsidRDefault="00D25253" w:rsidP="00D25253">
            <w:pPr>
              <w:rPr>
                <w:sz w:val="20"/>
                <w:szCs w:val="20"/>
              </w:rPr>
            </w:pPr>
            <w:r w:rsidRPr="00E61DEE">
              <w:rPr>
                <w:sz w:val="20"/>
                <w:szCs w:val="20"/>
              </w:rPr>
              <w:t>Honduras</w:t>
            </w:r>
          </w:p>
        </w:tc>
        <w:tc>
          <w:tcPr>
            <w:tcW w:w="6090" w:type="dxa"/>
            <w:tcBorders>
              <w:top w:val="single" w:sz="4" w:space="0" w:color="auto"/>
              <w:left w:val="single" w:sz="4" w:space="0" w:color="auto"/>
              <w:bottom w:val="single" w:sz="4" w:space="0" w:color="auto"/>
              <w:right w:val="single" w:sz="4" w:space="0" w:color="auto"/>
            </w:tcBorders>
          </w:tcPr>
          <w:p w14:paraId="4A5FA949" w14:textId="0E9E245E" w:rsidR="00D25253" w:rsidRPr="00E62175" w:rsidRDefault="00D25253" w:rsidP="00D25253">
            <w:pPr>
              <w:rPr>
                <w:color w:val="000000"/>
                <w:sz w:val="20"/>
                <w:szCs w:val="20"/>
                <w:shd w:val="clear" w:color="auto" w:fill="FFFFFF"/>
                <w:lang w:val="en-US"/>
              </w:rPr>
            </w:pPr>
            <w:r w:rsidRPr="00A7036F">
              <w:rPr>
                <w:rStyle w:val="normaltextrun"/>
                <w:color w:val="000000"/>
                <w:sz w:val="20"/>
                <w:szCs w:val="20"/>
                <w:shd w:val="clear" w:color="auto" w:fill="FFFFFF"/>
                <w:lang w:val="en-US"/>
              </w:rPr>
              <w:t>HCFC phase-out management plan (stage II – update on the progress toward implementing the recommendations in the verification report)</w:t>
            </w:r>
            <w:r>
              <w:rPr>
                <w:rStyle w:val="normaltextrun"/>
                <w:color w:val="000000"/>
                <w:sz w:val="20"/>
                <w:szCs w:val="20"/>
                <w:shd w:val="clear" w:color="auto" w:fill="FFFFFF"/>
                <w:lang w:val="en-US"/>
              </w:rPr>
              <w:t xml:space="preserve"> </w:t>
            </w:r>
          </w:p>
        </w:tc>
        <w:tc>
          <w:tcPr>
            <w:tcW w:w="1705" w:type="dxa"/>
            <w:tcBorders>
              <w:top w:val="single" w:sz="4" w:space="0" w:color="auto"/>
              <w:left w:val="single" w:sz="4" w:space="0" w:color="auto"/>
              <w:bottom w:val="single" w:sz="4" w:space="0" w:color="auto"/>
              <w:right w:val="single" w:sz="4" w:space="0" w:color="auto"/>
            </w:tcBorders>
          </w:tcPr>
          <w:p w14:paraId="52EE27DD" w14:textId="485827C8" w:rsidR="00D25253" w:rsidRPr="007A73A6" w:rsidRDefault="005A6A82" w:rsidP="00D25253">
            <w:pPr>
              <w:jc w:val="center"/>
              <w:rPr>
                <w:sz w:val="20"/>
                <w:szCs w:val="20"/>
              </w:rPr>
            </w:pPr>
            <w:r>
              <w:rPr>
                <w:sz w:val="20"/>
                <w:szCs w:val="20"/>
              </w:rPr>
              <w:t>35 - 39</w:t>
            </w:r>
          </w:p>
        </w:tc>
      </w:tr>
      <w:tr w:rsidR="00D25253" w:rsidRPr="007A73A6" w14:paraId="7DC6B724" w14:textId="77777777" w:rsidTr="00755715">
        <w:tc>
          <w:tcPr>
            <w:tcW w:w="1555" w:type="dxa"/>
            <w:tcBorders>
              <w:top w:val="single" w:sz="4" w:space="0" w:color="auto"/>
              <w:left w:val="single" w:sz="4" w:space="0" w:color="auto"/>
              <w:bottom w:val="single" w:sz="4" w:space="0" w:color="auto"/>
              <w:right w:val="single" w:sz="4" w:space="0" w:color="auto"/>
            </w:tcBorders>
          </w:tcPr>
          <w:p w14:paraId="3AD2173D" w14:textId="4B591281" w:rsidR="00D25253" w:rsidRPr="007A73A6" w:rsidRDefault="00D25253" w:rsidP="00D25253">
            <w:pPr>
              <w:rPr>
                <w:sz w:val="20"/>
                <w:szCs w:val="20"/>
              </w:rPr>
            </w:pPr>
            <w:r w:rsidRPr="003479EB">
              <w:rPr>
                <w:sz w:val="20"/>
                <w:szCs w:val="20"/>
              </w:rPr>
              <w:t>Mauritania</w:t>
            </w:r>
          </w:p>
        </w:tc>
        <w:tc>
          <w:tcPr>
            <w:tcW w:w="6090" w:type="dxa"/>
            <w:tcBorders>
              <w:top w:val="single" w:sz="4" w:space="0" w:color="auto"/>
              <w:left w:val="single" w:sz="4" w:space="0" w:color="auto"/>
              <w:bottom w:val="single" w:sz="4" w:space="0" w:color="auto"/>
              <w:right w:val="single" w:sz="4" w:space="0" w:color="auto"/>
            </w:tcBorders>
          </w:tcPr>
          <w:p w14:paraId="28D26477" w14:textId="65B7782C" w:rsidR="00D25253" w:rsidRPr="007A73A6" w:rsidRDefault="003479EB" w:rsidP="00D25253">
            <w:pPr>
              <w:rPr>
                <w:rStyle w:val="normaltextrun"/>
                <w:color w:val="000000"/>
                <w:sz w:val="20"/>
                <w:szCs w:val="20"/>
                <w:shd w:val="clear" w:color="auto" w:fill="FFFFFF"/>
                <w:lang w:val="en-US"/>
              </w:rPr>
            </w:pPr>
            <w:r w:rsidRPr="003479EB">
              <w:rPr>
                <w:rStyle w:val="normaltextrun"/>
                <w:color w:val="000000"/>
                <w:sz w:val="20"/>
                <w:szCs w:val="20"/>
                <w:shd w:val="clear" w:color="auto" w:fill="FFFFFF"/>
                <w:lang w:val="en-US"/>
              </w:rPr>
              <w:t>HCFC phase-out management plan (stage I – steps taken to strengthen the HCFC import and export licensing and quota systems)</w:t>
            </w:r>
          </w:p>
        </w:tc>
        <w:tc>
          <w:tcPr>
            <w:tcW w:w="1705" w:type="dxa"/>
            <w:tcBorders>
              <w:top w:val="single" w:sz="4" w:space="0" w:color="auto"/>
              <w:left w:val="single" w:sz="4" w:space="0" w:color="auto"/>
              <w:bottom w:val="single" w:sz="4" w:space="0" w:color="auto"/>
              <w:right w:val="single" w:sz="4" w:space="0" w:color="auto"/>
            </w:tcBorders>
          </w:tcPr>
          <w:p w14:paraId="2A64F2E3" w14:textId="3E1C6BD7" w:rsidR="00D25253" w:rsidRPr="007A73A6" w:rsidRDefault="005A6A82" w:rsidP="00D25253">
            <w:pPr>
              <w:jc w:val="center"/>
              <w:rPr>
                <w:sz w:val="20"/>
                <w:szCs w:val="20"/>
              </w:rPr>
            </w:pPr>
            <w:r>
              <w:rPr>
                <w:sz w:val="20"/>
                <w:szCs w:val="20"/>
              </w:rPr>
              <w:t xml:space="preserve">40 - </w:t>
            </w:r>
            <w:r w:rsidR="00F81A98">
              <w:rPr>
                <w:sz w:val="20"/>
                <w:szCs w:val="20"/>
              </w:rPr>
              <w:t>44</w:t>
            </w:r>
          </w:p>
        </w:tc>
      </w:tr>
      <w:tr w:rsidR="00D25253" w:rsidRPr="007A73A6" w14:paraId="0179CD28" w14:textId="77777777" w:rsidTr="00755715">
        <w:tc>
          <w:tcPr>
            <w:tcW w:w="1555" w:type="dxa"/>
            <w:tcBorders>
              <w:top w:val="single" w:sz="4" w:space="0" w:color="auto"/>
              <w:left w:val="single" w:sz="4" w:space="0" w:color="auto"/>
              <w:bottom w:val="single" w:sz="4" w:space="0" w:color="auto"/>
              <w:right w:val="single" w:sz="4" w:space="0" w:color="auto"/>
            </w:tcBorders>
          </w:tcPr>
          <w:p w14:paraId="7FA7CB48" w14:textId="492A4F76" w:rsidR="00D25253" w:rsidRPr="007A73A6" w:rsidRDefault="00D25253" w:rsidP="00D25253">
            <w:pPr>
              <w:rPr>
                <w:sz w:val="20"/>
                <w:szCs w:val="20"/>
              </w:rPr>
            </w:pPr>
            <w:r w:rsidRPr="00483708">
              <w:rPr>
                <w:sz w:val="20"/>
                <w:szCs w:val="20"/>
              </w:rPr>
              <w:lastRenderedPageBreak/>
              <w:t>Viet Nam</w:t>
            </w:r>
          </w:p>
        </w:tc>
        <w:tc>
          <w:tcPr>
            <w:tcW w:w="6090" w:type="dxa"/>
            <w:tcBorders>
              <w:top w:val="single" w:sz="4" w:space="0" w:color="auto"/>
              <w:left w:val="single" w:sz="4" w:space="0" w:color="auto"/>
              <w:bottom w:val="single" w:sz="4" w:space="0" w:color="auto"/>
              <w:right w:val="single" w:sz="4" w:space="0" w:color="auto"/>
            </w:tcBorders>
          </w:tcPr>
          <w:p w14:paraId="632E962B" w14:textId="63E5DE85" w:rsidR="00D25253" w:rsidRPr="007A73A6" w:rsidRDefault="00D25253" w:rsidP="00D25253">
            <w:pPr>
              <w:rPr>
                <w:rStyle w:val="normaltextrun"/>
                <w:color w:val="000000"/>
                <w:sz w:val="20"/>
                <w:szCs w:val="20"/>
                <w:shd w:val="clear" w:color="auto" w:fill="FFFFFF"/>
                <w:lang w:val="en-US"/>
              </w:rPr>
            </w:pPr>
            <w:r w:rsidRPr="00E61330">
              <w:rPr>
                <w:rStyle w:val="normaltextrun"/>
                <w:color w:val="000000"/>
                <w:sz w:val="20"/>
                <w:szCs w:val="20"/>
                <w:shd w:val="clear" w:color="auto" w:fill="FFFFFF"/>
                <w:lang w:val="en-US"/>
              </w:rPr>
              <w:t xml:space="preserve">HCFC phase out management plan (stage II – final progress report) </w:t>
            </w:r>
          </w:p>
        </w:tc>
        <w:tc>
          <w:tcPr>
            <w:tcW w:w="1705" w:type="dxa"/>
            <w:tcBorders>
              <w:top w:val="single" w:sz="4" w:space="0" w:color="auto"/>
              <w:left w:val="single" w:sz="4" w:space="0" w:color="auto"/>
              <w:bottom w:val="single" w:sz="4" w:space="0" w:color="auto"/>
              <w:right w:val="single" w:sz="4" w:space="0" w:color="auto"/>
            </w:tcBorders>
          </w:tcPr>
          <w:p w14:paraId="0D43EA22" w14:textId="57B038CE" w:rsidR="00D25253" w:rsidRPr="007A73A6" w:rsidRDefault="00F81A98" w:rsidP="00D25253">
            <w:pPr>
              <w:jc w:val="center"/>
              <w:rPr>
                <w:sz w:val="20"/>
                <w:szCs w:val="20"/>
              </w:rPr>
            </w:pPr>
            <w:r>
              <w:rPr>
                <w:sz w:val="20"/>
                <w:szCs w:val="20"/>
              </w:rPr>
              <w:t>45 - 61</w:t>
            </w:r>
          </w:p>
        </w:tc>
      </w:tr>
      <w:tr w:rsidR="00136F54" w:rsidRPr="007A73A6" w14:paraId="67F4F99E" w14:textId="77777777" w:rsidTr="005A5450">
        <w:tc>
          <w:tcPr>
            <w:tcW w:w="9350" w:type="dxa"/>
            <w:gridSpan w:val="3"/>
            <w:tcBorders>
              <w:top w:val="single" w:sz="4" w:space="0" w:color="auto"/>
              <w:left w:val="single" w:sz="4" w:space="0" w:color="auto"/>
              <w:bottom w:val="single" w:sz="4" w:space="0" w:color="auto"/>
              <w:right w:val="single" w:sz="4" w:space="0" w:color="auto"/>
            </w:tcBorders>
          </w:tcPr>
          <w:p w14:paraId="29B38B55" w14:textId="284411BE" w:rsidR="00136F54" w:rsidRPr="00136F54" w:rsidRDefault="00136F54" w:rsidP="00E03D73">
            <w:pPr>
              <w:pStyle w:val="ListParagraph"/>
              <w:keepNext/>
              <w:numPr>
                <w:ilvl w:val="0"/>
                <w:numId w:val="29"/>
              </w:numPr>
              <w:ind w:left="306" w:hanging="306"/>
              <w:jc w:val="left"/>
              <w:rPr>
                <w:b/>
                <w:bCs/>
                <w:sz w:val="20"/>
                <w:szCs w:val="20"/>
              </w:rPr>
            </w:pPr>
            <w:bookmarkStart w:id="0" w:name="_Hlk182927260"/>
            <w:r w:rsidRPr="00136F54">
              <w:rPr>
                <w:b/>
                <w:bCs/>
                <w:sz w:val="20"/>
                <w:szCs w:val="20"/>
              </w:rPr>
              <w:t xml:space="preserve">Report </w:t>
            </w:r>
            <w:r w:rsidR="00A979A7">
              <w:rPr>
                <w:b/>
                <w:bCs/>
                <w:sz w:val="20"/>
                <w:szCs w:val="20"/>
              </w:rPr>
              <w:t>related to</w:t>
            </w:r>
            <w:r w:rsidRPr="00136F54">
              <w:rPr>
                <w:b/>
                <w:bCs/>
                <w:sz w:val="20"/>
                <w:szCs w:val="20"/>
              </w:rPr>
              <w:t xml:space="preserve"> Kigali HFC implementation plan</w:t>
            </w:r>
            <w:r w:rsidR="00E14C57">
              <w:rPr>
                <w:b/>
                <w:bCs/>
                <w:sz w:val="20"/>
                <w:szCs w:val="20"/>
              </w:rPr>
              <w:t>s</w:t>
            </w:r>
            <w:r w:rsidRPr="00136F54">
              <w:rPr>
                <w:b/>
                <w:bCs/>
                <w:sz w:val="20"/>
                <w:szCs w:val="20"/>
              </w:rPr>
              <w:t xml:space="preserve"> (KIP</w:t>
            </w:r>
            <w:r w:rsidR="00E14C57">
              <w:rPr>
                <w:b/>
                <w:bCs/>
                <w:sz w:val="20"/>
                <w:szCs w:val="20"/>
              </w:rPr>
              <w:t>s</w:t>
            </w:r>
            <w:r w:rsidRPr="00136F54">
              <w:rPr>
                <w:b/>
                <w:bCs/>
                <w:sz w:val="20"/>
                <w:szCs w:val="20"/>
              </w:rPr>
              <w:t>)</w:t>
            </w:r>
            <w:bookmarkEnd w:id="0"/>
          </w:p>
        </w:tc>
      </w:tr>
      <w:tr w:rsidR="00136F54" w:rsidRPr="00136F54" w14:paraId="53CD8809" w14:textId="77777777" w:rsidTr="00755715">
        <w:tc>
          <w:tcPr>
            <w:tcW w:w="1555" w:type="dxa"/>
            <w:tcBorders>
              <w:top w:val="single" w:sz="4" w:space="0" w:color="auto"/>
              <w:left w:val="single" w:sz="4" w:space="0" w:color="auto"/>
              <w:bottom w:val="single" w:sz="4" w:space="0" w:color="auto"/>
              <w:right w:val="single" w:sz="4" w:space="0" w:color="auto"/>
            </w:tcBorders>
          </w:tcPr>
          <w:p w14:paraId="3D250C9C" w14:textId="69F1DE8D" w:rsidR="00136F54" w:rsidRPr="00136F54" w:rsidRDefault="00136F54" w:rsidP="00136F54">
            <w:pPr>
              <w:pStyle w:val="ListParagraph"/>
              <w:ind w:left="166" w:hanging="166"/>
              <w:rPr>
                <w:sz w:val="20"/>
                <w:szCs w:val="20"/>
              </w:rPr>
            </w:pPr>
            <w:r w:rsidRPr="001A2F97">
              <w:rPr>
                <w:sz w:val="20"/>
                <w:szCs w:val="20"/>
              </w:rPr>
              <w:t>Burkina Faso</w:t>
            </w:r>
          </w:p>
        </w:tc>
        <w:tc>
          <w:tcPr>
            <w:tcW w:w="6090" w:type="dxa"/>
            <w:tcBorders>
              <w:top w:val="single" w:sz="4" w:space="0" w:color="auto"/>
              <w:left w:val="single" w:sz="4" w:space="0" w:color="auto"/>
              <w:bottom w:val="single" w:sz="4" w:space="0" w:color="auto"/>
              <w:right w:val="single" w:sz="4" w:space="0" w:color="auto"/>
            </w:tcBorders>
          </w:tcPr>
          <w:p w14:paraId="51618C05" w14:textId="5A6C5FB2" w:rsidR="00136F54" w:rsidRPr="00136F54" w:rsidRDefault="001A2F97" w:rsidP="00136F54">
            <w:pPr>
              <w:rPr>
                <w:rStyle w:val="normaltextrun"/>
                <w:color w:val="000000"/>
                <w:sz w:val="20"/>
                <w:szCs w:val="20"/>
                <w:shd w:val="clear" w:color="auto" w:fill="FFFFFF"/>
                <w:lang w:val="en-US"/>
              </w:rPr>
            </w:pPr>
            <w:r w:rsidRPr="001A2F97">
              <w:rPr>
                <w:sz w:val="20"/>
                <w:szCs w:val="20"/>
              </w:rPr>
              <w:t xml:space="preserve">Kigali HFC implementation plan (stage I – first tranche – feasibility study on establishing a </w:t>
            </w:r>
            <w:r w:rsidR="008D7076">
              <w:rPr>
                <w:sz w:val="20"/>
                <w:szCs w:val="20"/>
              </w:rPr>
              <w:t>h</w:t>
            </w:r>
            <w:r w:rsidRPr="001A2F97">
              <w:rPr>
                <w:sz w:val="20"/>
                <w:szCs w:val="20"/>
              </w:rPr>
              <w:t>ydrocarbon distribution centre)</w:t>
            </w:r>
          </w:p>
        </w:tc>
        <w:tc>
          <w:tcPr>
            <w:tcW w:w="1705" w:type="dxa"/>
            <w:tcBorders>
              <w:top w:val="single" w:sz="4" w:space="0" w:color="auto"/>
              <w:left w:val="single" w:sz="4" w:space="0" w:color="auto"/>
              <w:bottom w:val="single" w:sz="4" w:space="0" w:color="auto"/>
              <w:right w:val="single" w:sz="4" w:space="0" w:color="auto"/>
            </w:tcBorders>
          </w:tcPr>
          <w:p w14:paraId="2645835F" w14:textId="2D1AE5F7" w:rsidR="00136F54" w:rsidRPr="00136F54" w:rsidRDefault="00F81A98" w:rsidP="00136F54">
            <w:pPr>
              <w:jc w:val="center"/>
              <w:rPr>
                <w:sz w:val="20"/>
                <w:szCs w:val="20"/>
              </w:rPr>
            </w:pPr>
            <w:r>
              <w:rPr>
                <w:sz w:val="20"/>
                <w:szCs w:val="20"/>
              </w:rPr>
              <w:t>62 - 71</w:t>
            </w:r>
          </w:p>
        </w:tc>
      </w:tr>
      <w:tr w:rsidR="00D25253" w:rsidRPr="007A73A6" w14:paraId="3FF7E7A5" w14:textId="77777777" w:rsidTr="00AB010A">
        <w:tc>
          <w:tcPr>
            <w:tcW w:w="9350" w:type="dxa"/>
            <w:gridSpan w:val="3"/>
            <w:tcBorders>
              <w:top w:val="single" w:sz="4" w:space="0" w:color="auto"/>
              <w:left w:val="single" w:sz="4" w:space="0" w:color="auto"/>
              <w:bottom w:val="single" w:sz="4" w:space="0" w:color="auto"/>
              <w:right w:val="single" w:sz="4" w:space="0" w:color="auto"/>
            </w:tcBorders>
          </w:tcPr>
          <w:p w14:paraId="224158C9" w14:textId="3026B370" w:rsidR="00D25253" w:rsidRPr="007A73A6" w:rsidRDefault="00D25253" w:rsidP="00D25253">
            <w:pPr>
              <w:pStyle w:val="ListParagraph"/>
              <w:numPr>
                <w:ilvl w:val="0"/>
                <w:numId w:val="29"/>
              </w:numPr>
              <w:ind w:left="339"/>
              <w:jc w:val="left"/>
              <w:rPr>
                <w:b/>
                <w:bCs/>
                <w:sz w:val="20"/>
                <w:szCs w:val="20"/>
              </w:rPr>
            </w:pPr>
            <w:bookmarkStart w:id="1" w:name="_Hlk182927302"/>
            <w:r w:rsidRPr="007A73A6">
              <w:rPr>
                <w:b/>
                <w:bCs/>
                <w:sz w:val="20"/>
                <w:szCs w:val="20"/>
              </w:rPr>
              <w:t xml:space="preserve">Report </w:t>
            </w:r>
            <w:r w:rsidR="00337497">
              <w:rPr>
                <w:b/>
                <w:bCs/>
                <w:sz w:val="20"/>
                <w:szCs w:val="20"/>
              </w:rPr>
              <w:t>on</w:t>
            </w:r>
            <w:r w:rsidRPr="007A73A6">
              <w:rPr>
                <w:b/>
                <w:bCs/>
                <w:sz w:val="20"/>
                <w:szCs w:val="20"/>
              </w:rPr>
              <w:t xml:space="preserve"> additional activities to maintain energy efficiency </w:t>
            </w:r>
            <w:r w:rsidR="002D6935">
              <w:rPr>
                <w:b/>
                <w:bCs/>
                <w:sz w:val="20"/>
                <w:szCs w:val="20"/>
              </w:rPr>
              <w:t xml:space="preserve">in the refrigeration servicing sector </w:t>
            </w:r>
            <w:r w:rsidRPr="007A73A6">
              <w:rPr>
                <w:b/>
                <w:bCs/>
                <w:sz w:val="20"/>
                <w:szCs w:val="20"/>
              </w:rPr>
              <w:t>(decision 89/6)</w:t>
            </w:r>
            <w:bookmarkEnd w:id="1"/>
          </w:p>
        </w:tc>
      </w:tr>
      <w:tr w:rsidR="00D25253" w:rsidRPr="007A73A6" w14:paraId="20148934" w14:textId="77777777" w:rsidTr="00755715">
        <w:tc>
          <w:tcPr>
            <w:tcW w:w="1555" w:type="dxa"/>
            <w:tcBorders>
              <w:top w:val="single" w:sz="4" w:space="0" w:color="auto"/>
              <w:left w:val="single" w:sz="4" w:space="0" w:color="auto"/>
              <w:bottom w:val="single" w:sz="4" w:space="0" w:color="auto"/>
              <w:right w:val="single" w:sz="4" w:space="0" w:color="auto"/>
            </w:tcBorders>
          </w:tcPr>
          <w:p w14:paraId="7CE6309C" w14:textId="3BB5313F" w:rsidR="00D25253" w:rsidRPr="007A73A6" w:rsidRDefault="00D25253" w:rsidP="00D25253">
            <w:pPr>
              <w:rPr>
                <w:sz w:val="20"/>
                <w:szCs w:val="20"/>
              </w:rPr>
            </w:pPr>
            <w:r w:rsidRPr="00792803">
              <w:rPr>
                <w:sz w:val="20"/>
                <w:szCs w:val="20"/>
              </w:rPr>
              <w:t>Maldives</w:t>
            </w:r>
          </w:p>
        </w:tc>
        <w:tc>
          <w:tcPr>
            <w:tcW w:w="6090" w:type="dxa"/>
            <w:tcBorders>
              <w:top w:val="single" w:sz="4" w:space="0" w:color="auto"/>
              <w:left w:val="single" w:sz="4" w:space="0" w:color="auto"/>
              <w:bottom w:val="single" w:sz="4" w:space="0" w:color="auto"/>
              <w:right w:val="single" w:sz="4" w:space="0" w:color="auto"/>
            </w:tcBorders>
          </w:tcPr>
          <w:p w14:paraId="25E3BA8C" w14:textId="6629C1A9" w:rsidR="00D25253" w:rsidRPr="007A73A6" w:rsidRDefault="00792803" w:rsidP="00D25253">
            <w:pPr>
              <w:rPr>
                <w:sz w:val="20"/>
                <w:szCs w:val="20"/>
              </w:rPr>
            </w:pPr>
            <w:r w:rsidRPr="00792803">
              <w:rPr>
                <w:sz w:val="20"/>
                <w:szCs w:val="20"/>
              </w:rPr>
              <w:t xml:space="preserve">Additional activities to maintain energy efficiency </w:t>
            </w:r>
            <w:r w:rsidR="008D7076">
              <w:rPr>
                <w:sz w:val="20"/>
                <w:szCs w:val="20"/>
              </w:rPr>
              <w:t>in</w:t>
            </w:r>
            <w:r w:rsidRPr="00792803">
              <w:rPr>
                <w:sz w:val="20"/>
                <w:szCs w:val="20"/>
              </w:rPr>
              <w:t xml:space="preserve"> the </w:t>
            </w:r>
            <w:r w:rsidR="004C3364">
              <w:rPr>
                <w:sz w:val="20"/>
                <w:szCs w:val="20"/>
              </w:rPr>
              <w:t xml:space="preserve">refrigeration </w:t>
            </w:r>
            <w:r w:rsidRPr="00792803">
              <w:rPr>
                <w:sz w:val="20"/>
                <w:szCs w:val="20"/>
              </w:rPr>
              <w:t>servicing sector under decision 89/6(b) (progress report)</w:t>
            </w:r>
          </w:p>
        </w:tc>
        <w:tc>
          <w:tcPr>
            <w:tcW w:w="1705" w:type="dxa"/>
            <w:tcBorders>
              <w:top w:val="single" w:sz="4" w:space="0" w:color="auto"/>
              <w:left w:val="single" w:sz="4" w:space="0" w:color="auto"/>
              <w:bottom w:val="single" w:sz="4" w:space="0" w:color="auto"/>
              <w:right w:val="single" w:sz="4" w:space="0" w:color="auto"/>
            </w:tcBorders>
          </w:tcPr>
          <w:p w14:paraId="2C7859AA" w14:textId="7C51B75C" w:rsidR="00D25253" w:rsidRPr="00FA0F94" w:rsidRDefault="00F81A98" w:rsidP="00D25253">
            <w:pPr>
              <w:jc w:val="center"/>
              <w:rPr>
                <w:sz w:val="20"/>
                <w:szCs w:val="20"/>
                <w:highlight w:val="lightGray"/>
              </w:rPr>
            </w:pPr>
            <w:r w:rsidRPr="00F81A98">
              <w:rPr>
                <w:sz w:val="20"/>
                <w:szCs w:val="20"/>
              </w:rPr>
              <w:t xml:space="preserve">72 - </w:t>
            </w:r>
            <w:r>
              <w:rPr>
                <w:sz w:val="20"/>
                <w:szCs w:val="20"/>
              </w:rPr>
              <w:t>80</w:t>
            </w:r>
          </w:p>
        </w:tc>
      </w:tr>
    </w:tbl>
    <w:p w14:paraId="268C8643" w14:textId="77777777" w:rsidR="007A3BC3" w:rsidRPr="00797826" w:rsidRDefault="007A3BC3" w:rsidP="007A3BC3">
      <w:pPr>
        <w:rPr>
          <w:highlight w:val="green"/>
        </w:rPr>
      </w:pPr>
    </w:p>
    <w:p w14:paraId="78078177" w14:textId="77777777" w:rsidR="007A3BC3" w:rsidRPr="00797826" w:rsidRDefault="007A3BC3" w:rsidP="00891C0E">
      <w:pPr>
        <w:pStyle w:val="Style4"/>
      </w:pPr>
      <w:r w:rsidRPr="00797826">
        <w:t>Reports related to H</w:t>
      </w:r>
      <w:r>
        <w:t>PMPs</w:t>
      </w:r>
    </w:p>
    <w:p w14:paraId="15740AA6" w14:textId="42585031" w:rsidR="00891C0E" w:rsidRPr="00891C0E" w:rsidRDefault="00891C0E" w:rsidP="00891C0E">
      <w:pPr>
        <w:spacing w:after="240"/>
        <w:ind w:left="709"/>
        <w:outlineLvl w:val="0"/>
        <w:rPr>
          <w:rFonts w:eastAsiaTheme="minorEastAsia"/>
          <w:lang w:eastAsia="zh-CN"/>
        </w:rPr>
      </w:pPr>
      <w:r w:rsidRPr="00891C0E">
        <w:rPr>
          <w:rFonts w:eastAsiaTheme="minorEastAsia"/>
          <w:b/>
          <w:bCs/>
          <w:u w:val="single"/>
          <w:lang w:eastAsia="zh-CN"/>
        </w:rPr>
        <w:t xml:space="preserve">Afghanistan: HCFC phase-out management plan (stages I and II – transfer of implementation </w:t>
      </w:r>
      <w:r w:rsidR="00E14C57">
        <w:rPr>
          <w:rFonts w:eastAsiaTheme="minorEastAsia"/>
          <w:b/>
          <w:bCs/>
          <w:u w:val="single"/>
          <w:lang w:eastAsia="zh-CN"/>
        </w:rPr>
        <w:t xml:space="preserve">of UNEP’s components </w:t>
      </w:r>
      <w:r w:rsidRPr="00891C0E">
        <w:rPr>
          <w:rFonts w:eastAsiaTheme="minorEastAsia"/>
          <w:b/>
          <w:bCs/>
          <w:u w:val="single"/>
          <w:lang w:eastAsia="zh-CN"/>
        </w:rPr>
        <w:t>to UNIDO)</w:t>
      </w:r>
      <w:r w:rsidRPr="00891C0E">
        <w:rPr>
          <w:rFonts w:eastAsiaTheme="minorEastAsia"/>
          <w:b/>
          <w:bCs/>
          <w:lang w:eastAsia="zh-CN"/>
        </w:rPr>
        <w:t xml:space="preserve"> (UNIDO)</w:t>
      </w:r>
    </w:p>
    <w:p w14:paraId="1FC92F7D" w14:textId="77777777" w:rsidR="00891C0E" w:rsidRPr="00891C0E" w:rsidRDefault="00891C0E" w:rsidP="00891C0E">
      <w:pPr>
        <w:spacing w:after="240"/>
        <w:outlineLvl w:val="0"/>
        <w:rPr>
          <w:rFonts w:eastAsiaTheme="minorEastAsia"/>
          <w:b/>
          <w:lang w:eastAsia="zh-CN"/>
        </w:rPr>
      </w:pPr>
      <w:r w:rsidRPr="00891C0E">
        <w:rPr>
          <w:rFonts w:eastAsiaTheme="minorEastAsia"/>
          <w:b/>
          <w:lang w:eastAsia="zh-CN"/>
        </w:rPr>
        <w:t>Background</w:t>
      </w:r>
    </w:p>
    <w:p w14:paraId="042F9632" w14:textId="77777777" w:rsidR="00891C0E" w:rsidRPr="00891C0E" w:rsidRDefault="00891C0E" w:rsidP="005A6A82">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Stage I of the HCFC phase-out management plan (HPMP) was originally approved at the 63</w:t>
      </w:r>
      <w:r w:rsidRPr="00891C0E">
        <w:rPr>
          <w:rFonts w:eastAsiaTheme="minorEastAsia"/>
          <w:vertAlign w:val="superscript"/>
          <w:lang w:eastAsia="zh-CN"/>
        </w:rPr>
        <w:t>rd</w:t>
      </w:r>
      <w:r w:rsidRPr="00891C0E">
        <w:rPr>
          <w:rFonts w:eastAsiaTheme="minorEastAsia"/>
          <w:lang w:eastAsia="zh-CN"/>
        </w:rPr>
        <w:t> meeting</w:t>
      </w:r>
      <w:r w:rsidRPr="00891C0E">
        <w:rPr>
          <w:rFonts w:eastAsiaTheme="minorEastAsia"/>
          <w:vertAlign w:val="superscript"/>
          <w:lang w:eastAsia="zh-CN"/>
        </w:rPr>
        <w:footnoteReference w:id="3"/>
      </w:r>
      <w:r w:rsidRPr="00891C0E">
        <w:rPr>
          <w:rFonts w:eastAsiaTheme="minorEastAsia"/>
          <w:lang w:eastAsia="zh-CN"/>
        </w:rPr>
        <w:t xml:space="preserve"> and revised at the 79</w:t>
      </w:r>
      <w:r w:rsidRPr="00891C0E">
        <w:rPr>
          <w:rFonts w:eastAsiaTheme="minorEastAsia"/>
          <w:vertAlign w:val="superscript"/>
          <w:lang w:eastAsia="zh-CN"/>
        </w:rPr>
        <w:t>th</w:t>
      </w:r>
      <w:r w:rsidRPr="00891C0E">
        <w:rPr>
          <w:rFonts w:eastAsiaTheme="minorEastAsia"/>
          <w:lang w:eastAsia="zh-CN"/>
        </w:rPr>
        <w:t xml:space="preserve"> meeting</w:t>
      </w:r>
      <w:r w:rsidRPr="00891C0E">
        <w:rPr>
          <w:rFonts w:eastAsiaTheme="minorEastAsia"/>
          <w:vertAlign w:val="superscript"/>
          <w:lang w:eastAsia="zh-CN"/>
        </w:rPr>
        <w:footnoteReference w:id="4"/>
      </w:r>
      <w:r w:rsidRPr="00891C0E">
        <w:rPr>
          <w:rFonts w:eastAsiaTheme="minorEastAsia"/>
          <w:lang w:eastAsia="zh-CN"/>
        </w:rPr>
        <w:t xml:space="preserve"> to meet the 35 per cent reduction from the baseline by 2020 at a total funding level of US $679,101, plus agency support costs of US $78,554, to phase out 8.26 ODP tonnes of HCFCs. All four of the tranches planned under stage I have been approved, with the final tranche approved at the 85</w:t>
      </w:r>
      <w:r w:rsidRPr="00891C0E">
        <w:rPr>
          <w:rFonts w:eastAsiaTheme="minorEastAsia"/>
          <w:vertAlign w:val="superscript"/>
          <w:lang w:eastAsia="zh-CN"/>
        </w:rPr>
        <w:t>th</w:t>
      </w:r>
      <w:r w:rsidRPr="00891C0E">
        <w:rPr>
          <w:rFonts w:eastAsiaTheme="minorEastAsia"/>
          <w:lang w:eastAsia="zh-CN"/>
        </w:rPr>
        <w:t xml:space="preserve"> meeting. The project was planned for completion by the end of 2021 in accordance with paragraph 14 of the Agreement between the Government and the Executive Committee.</w:t>
      </w:r>
    </w:p>
    <w:p w14:paraId="30A1B017"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Stage II of the HPMP was approved at the 85</w:t>
      </w:r>
      <w:r w:rsidRPr="00891C0E">
        <w:rPr>
          <w:rFonts w:eastAsiaTheme="minorEastAsia"/>
          <w:vertAlign w:val="superscript"/>
          <w:lang w:eastAsia="zh-CN"/>
        </w:rPr>
        <w:t>th</w:t>
      </w:r>
      <w:r w:rsidRPr="00891C0E">
        <w:rPr>
          <w:rFonts w:eastAsiaTheme="minorEastAsia"/>
          <w:lang w:eastAsia="zh-CN"/>
        </w:rPr>
        <w:t xml:space="preserve"> meeting</w:t>
      </w:r>
      <w:r w:rsidRPr="00891C0E">
        <w:rPr>
          <w:rFonts w:eastAsiaTheme="minorEastAsia"/>
          <w:vertAlign w:val="superscript"/>
          <w:lang w:eastAsia="zh-CN"/>
        </w:rPr>
        <w:footnoteReference w:id="5"/>
      </w:r>
      <w:r w:rsidRPr="00891C0E">
        <w:rPr>
          <w:rFonts w:eastAsiaTheme="minorEastAsia"/>
          <w:lang w:eastAsia="zh-CN"/>
        </w:rPr>
        <w:t xml:space="preserve"> to achieve a 67.5 per cent reduction in HCFC consumption by 2025. Due to the breakout of COVID-19 and the subsequent political turbulence, implementation of the fourth tranche of stage I and the first tranche of stage II was delayed. At the 93</w:t>
      </w:r>
      <w:r w:rsidRPr="00891C0E">
        <w:rPr>
          <w:rFonts w:eastAsiaTheme="minorEastAsia"/>
          <w:vertAlign w:val="superscript"/>
          <w:lang w:eastAsia="zh-CN"/>
        </w:rPr>
        <w:t>rd</w:t>
      </w:r>
      <w:r w:rsidRPr="00891C0E">
        <w:rPr>
          <w:rFonts w:eastAsiaTheme="minorEastAsia"/>
          <w:lang w:eastAsia="zh-CN"/>
        </w:rPr>
        <w:t> meeting, the Executive Committee noted the request from Afghanistan to transfer the implementation of UNEP’s components in stages I and II of the HPMP to UNIDO, including the remaining balances from the approved projects; and that UNIDO would submit the updated Agreements for stage I and stage II of the HPMP for Afghanistan, together with the revised implementation plans, to the 94</w:t>
      </w:r>
      <w:r w:rsidRPr="00891C0E">
        <w:rPr>
          <w:rFonts w:eastAsiaTheme="minorEastAsia"/>
          <w:vertAlign w:val="superscript"/>
          <w:lang w:eastAsia="zh-CN"/>
        </w:rPr>
        <w:t>th</w:t>
      </w:r>
      <w:r w:rsidRPr="00891C0E">
        <w:rPr>
          <w:rFonts w:eastAsiaTheme="minorEastAsia"/>
          <w:lang w:eastAsia="zh-CN"/>
        </w:rPr>
        <w:t xml:space="preserve"> meeting (decision 93/14(c)).</w:t>
      </w:r>
    </w:p>
    <w:p w14:paraId="45ED3779"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In line with decision 93/14(c), UNIDO has submitted a progress report, including the remaining funding balances from the fourth tranche of stage I and the first tranche of stage II of the HPMP, which are to be transferred from UNEP to UNIDO.</w:t>
      </w:r>
      <w:r w:rsidRPr="00891C0E">
        <w:rPr>
          <w:rFonts w:eastAsiaTheme="minorEastAsia"/>
          <w:vertAlign w:val="superscript"/>
          <w:lang w:eastAsia="zh-CN"/>
        </w:rPr>
        <w:footnoteReference w:id="6"/>
      </w:r>
      <w:r w:rsidRPr="00891C0E">
        <w:rPr>
          <w:rFonts w:eastAsiaTheme="minorEastAsia"/>
          <w:lang w:eastAsia="zh-CN"/>
        </w:rPr>
        <w:t xml:space="preserve"> The submission also includes implementation plans related to the transferred funds. </w:t>
      </w:r>
    </w:p>
    <w:p w14:paraId="387603FC" w14:textId="77777777" w:rsidR="00891C0E" w:rsidRPr="00891C0E" w:rsidRDefault="00891C0E" w:rsidP="00891C0E">
      <w:pPr>
        <w:rPr>
          <w:rFonts w:eastAsiaTheme="minorEastAsia"/>
          <w:b/>
          <w:bCs/>
          <w:lang w:eastAsia="zh-CN"/>
        </w:rPr>
      </w:pPr>
      <w:r w:rsidRPr="00891C0E">
        <w:rPr>
          <w:rFonts w:eastAsiaTheme="minorEastAsia"/>
          <w:b/>
          <w:bCs/>
          <w:lang w:eastAsia="zh-CN"/>
        </w:rPr>
        <w:t>Progress report on the implementation of stages I and II</w:t>
      </w:r>
    </w:p>
    <w:p w14:paraId="2283AB06" w14:textId="77777777" w:rsidR="00891C0E" w:rsidRPr="00891C0E" w:rsidRDefault="00891C0E" w:rsidP="00891C0E">
      <w:pPr>
        <w:rPr>
          <w:rFonts w:eastAsiaTheme="minorEastAsia"/>
          <w:lang w:eastAsia="zh-CN"/>
        </w:rPr>
      </w:pPr>
    </w:p>
    <w:p w14:paraId="3044BBCE"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The implementation of the fourth tranche of stage I and the first tranche of stage II was delayed due to political unrest in the country. The national ozone unit (NOU), under the National Environmental Protection Agency, continues to implement programmes to phase out HCFCs. A licensing and quota system is being enforced and a regulation to ban HCFC-based equipment was drafted in order to control the import of HCFCs.</w:t>
      </w:r>
    </w:p>
    <w:p w14:paraId="57E59145"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 xml:space="preserve">A national ozone committee composed of key stakeholders has been established, and three coordination meetings were held by the committee to set the national HCFC quotas for 2023 and 2024. The qualifications of the importing companies were reviewed, and licences and quotas were distributed to </w:t>
      </w:r>
      <w:r w:rsidRPr="00891C0E">
        <w:rPr>
          <w:rFonts w:eastAsiaTheme="minorEastAsia"/>
          <w:lang w:eastAsia="zh-CN"/>
        </w:rPr>
        <w:lastRenderedPageBreak/>
        <w:t>12 importers. The NOU continues to coordinate with customs and other key stakeholders to enforce the licensing and quota system, raise awareness on HCFC control, monitor imports and market supplies, and address illegal imports.</w:t>
      </w:r>
    </w:p>
    <w:p w14:paraId="1D02F031"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The regulations for controlling ODS are under review by the Ministry of Justice. The NOU has prepared inputs for these amendments and participated in the public consultation process. Additionally, the NOU is working with the Afghan-Korea Institute to plan further training for refrigeration and air</w:t>
      </w:r>
      <w:r w:rsidRPr="00891C0E">
        <w:rPr>
          <w:rFonts w:eastAsiaTheme="minorEastAsia"/>
          <w:lang w:eastAsia="zh-CN"/>
        </w:rPr>
        <w:noBreakHyphen/>
        <w:t xml:space="preserve">conditioning (RAC) technicians. </w:t>
      </w:r>
    </w:p>
    <w:p w14:paraId="14C53F67"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Data was collected, and a study was conducted to analyze the economic impact of the Kigali Amendment. A checklist of HFCs, including their chemical names, trade names, GWP values, and harmonized system (HS) codes, has been prepared and provided to the customs department for monitoring imports.</w:t>
      </w:r>
    </w:p>
    <w:p w14:paraId="6E1DFD59" w14:textId="77777777" w:rsidR="00891C0E" w:rsidRPr="00891C0E" w:rsidRDefault="00891C0E" w:rsidP="00891C0E">
      <w:pPr>
        <w:spacing w:after="240"/>
        <w:outlineLvl w:val="0"/>
        <w:rPr>
          <w:rFonts w:eastAsiaTheme="minorEastAsia"/>
          <w:i/>
          <w:iCs/>
          <w:lang w:eastAsia="zh-CN"/>
        </w:rPr>
      </w:pPr>
      <w:r w:rsidRPr="00891C0E">
        <w:rPr>
          <w:rFonts w:eastAsiaTheme="minorEastAsia"/>
          <w:i/>
          <w:iCs/>
          <w:lang w:eastAsia="zh-CN"/>
        </w:rPr>
        <w:t>Financial report</w:t>
      </w:r>
    </w:p>
    <w:p w14:paraId="0F8D429C"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 xml:space="preserve">Of the total US $69,101 approved for the fourth tranche of stage I of the HPMP (US $40,825 for UNEP and US $28,276 for UNIDO), US $12,372 has been disbursed by UNEP, with no disbursement from UNIDO. The remaining US $28,453 from UNEP will be transferred to UNIDO as requested by Afghanistan. </w:t>
      </w:r>
    </w:p>
    <w:p w14:paraId="39411724"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 xml:space="preserve">Of the total US $319,567 approved for the first tranche of stage II of the HPMP (US $229,567 for UNEP and US $90,000 for UNIDO), US $48,659 has been disbursed by UNEP and US $23,011 by UNIDO. The remaining balance of US $180,908 for UNEP will also be transferred to UNIDO. </w:t>
      </w:r>
    </w:p>
    <w:p w14:paraId="112189F6" w14:textId="77777777" w:rsidR="00891C0E" w:rsidRPr="00891C0E" w:rsidRDefault="00891C0E" w:rsidP="00891C0E">
      <w:pPr>
        <w:rPr>
          <w:rFonts w:eastAsiaTheme="minorEastAsia"/>
          <w:b/>
          <w:bCs/>
          <w:lang w:eastAsia="zh-CN"/>
        </w:rPr>
      </w:pPr>
      <w:r w:rsidRPr="00891C0E">
        <w:rPr>
          <w:rFonts w:eastAsiaTheme="minorEastAsia"/>
          <w:b/>
          <w:bCs/>
          <w:lang w:eastAsia="zh-CN"/>
        </w:rPr>
        <w:t>Implementation plans</w:t>
      </w:r>
    </w:p>
    <w:p w14:paraId="4EB65997" w14:textId="77777777" w:rsidR="00891C0E" w:rsidRPr="00891C0E" w:rsidRDefault="00891C0E" w:rsidP="00891C0E">
      <w:pPr>
        <w:rPr>
          <w:rFonts w:eastAsiaTheme="minorEastAsia"/>
          <w:lang w:eastAsia="zh-CN"/>
        </w:rPr>
      </w:pPr>
    </w:p>
    <w:p w14:paraId="4497CAAD" w14:textId="77777777" w:rsidR="00891C0E" w:rsidRPr="00891C0E" w:rsidRDefault="00891C0E" w:rsidP="00891C0E">
      <w:pPr>
        <w:spacing w:after="240"/>
        <w:outlineLvl w:val="0"/>
        <w:rPr>
          <w:rFonts w:eastAsiaTheme="minorEastAsia"/>
          <w:i/>
          <w:iCs/>
          <w:lang w:eastAsia="zh-CN"/>
        </w:rPr>
      </w:pPr>
      <w:r w:rsidRPr="00891C0E">
        <w:rPr>
          <w:rFonts w:eastAsiaTheme="minorEastAsia"/>
          <w:i/>
          <w:iCs/>
          <w:lang w:eastAsia="zh-CN"/>
        </w:rPr>
        <w:t>The fourth tranche of stage I</w:t>
      </w:r>
    </w:p>
    <w:p w14:paraId="0E471A01"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 xml:space="preserve">The US $28,453 transferred from UNEP to UNIDO will be used for the following activities: </w:t>
      </w:r>
    </w:p>
    <w:p w14:paraId="58BD52F5" w14:textId="77777777" w:rsidR="00891C0E" w:rsidRPr="00891C0E" w:rsidRDefault="00891C0E" w:rsidP="00891C0E">
      <w:pPr>
        <w:widowControl w:val="0"/>
        <w:numPr>
          <w:ilvl w:val="1"/>
          <w:numId w:val="35"/>
        </w:numPr>
        <w:spacing w:after="240"/>
        <w:outlineLvl w:val="1"/>
        <w:rPr>
          <w:rFonts w:eastAsiaTheme="minorEastAsia"/>
          <w:lang w:eastAsia="zh-CN"/>
        </w:rPr>
      </w:pPr>
      <w:r w:rsidRPr="00891C0E">
        <w:rPr>
          <w:rFonts w:eastAsiaTheme="minorEastAsia"/>
          <w:lang w:eastAsia="zh-CN"/>
        </w:rPr>
        <w:t>Legal framework and regulations: Conduct a gap analysis and drafting proposed regulations (US $3,000);</w:t>
      </w:r>
    </w:p>
    <w:p w14:paraId="72245C7D" w14:textId="77777777" w:rsidR="00891C0E" w:rsidRPr="00891C0E" w:rsidRDefault="00891C0E" w:rsidP="00891C0E">
      <w:pPr>
        <w:widowControl w:val="0"/>
        <w:numPr>
          <w:ilvl w:val="1"/>
          <w:numId w:val="1"/>
        </w:numPr>
        <w:spacing w:after="240"/>
        <w:outlineLvl w:val="1"/>
        <w:rPr>
          <w:rFonts w:eastAsiaTheme="minorEastAsia"/>
          <w:lang w:eastAsia="zh-CN"/>
        </w:rPr>
      </w:pPr>
      <w:r w:rsidRPr="00891C0E">
        <w:rPr>
          <w:rFonts w:eastAsiaTheme="minorEastAsia"/>
          <w:lang w:eastAsia="zh-CN"/>
        </w:rPr>
        <w:t>Translate the amended regulations to English and other local languages, along with public awareness and dissemination of the regulations (US $13,453); and</w:t>
      </w:r>
    </w:p>
    <w:p w14:paraId="77FD1F4B" w14:textId="77777777" w:rsidR="00891C0E" w:rsidRPr="00891C0E" w:rsidRDefault="00891C0E" w:rsidP="00891C0E">
      <w:pPr>
        <w:widowControl w:val="0"/>
        <w:numPr>
          <w:ilvl w:val="1"/>
          <w:numId w:val="1"/>
        </w:numPr>
        <w:spacing w:after="240"/>
        <w:outlineLvl w:val="1"/>
        <w:rPr>
          <w:rFonts w:eastAsiaTheme="minorEastAsia"/>
          <w:lang w:eastAsia="zh-CN"/>
        </w:rPr>
      </w:pPr>
      <w:r w:rsidRPr="00891C0E">
        <w:rPr>
          <w:rFonts w:eastAsiaTheme="minorEastAsia"/>
          <w:lang w:eastAsia="zh-CN"/>
        </w:rPr>
        <w:t>Develop technical guidelines for customs officers and RAC technicians on the identification and handling of refrigerants using refrigerant identifiers (US $12,000).</w:t>
      </w:r>
    </w:p>
    <w:p w14:paraId="44A67210" w14:textId="77777777" w:rsidR="00891C0E" w:rsidRPr="00891C0E" w:rsidRDefault="00891C0E" w:rsidP="00891C0E">
      <w:pPr>
        <w:spacing w:after="240"/>
        <w:outlineLvl w:val="0"/>
        <w:rPr>
          <w:rFonts w:eastAsiaTheme="minorEastAsia"/>
          <w:i/>
          <w:iCs/>
          <w:lang w:eastAsia="zh-CN"/>
        </w:rPr>
      </w:pPr>
      <w:r w:rsidRPr="00891C0E">
        <w:rPr>
          <w:rFonts w:eastAsiaTheme="minorEastAsia"/>
          <w:i/>
          <w:iCs/>
          <w:lang w:eastAsia="zh-CN"/>
        </w:rPr>
        <w:t>The first tranche of stage II</w:t>
      </w:r>
    </w:p>
    <w:p w14:paraId="4072A65B"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The funding of US $180,908 transferred from UNEP to UNIDO will be used for the following activities:</w:t>
      </w:r>
    </w:p>
    <w:p w14:paraId="0964C309" w14:textId="77777777" w:rsidR="00891C0E" w:rsidRPr="00891C0E" w:rsidRDefault="00891C0E" w:rsidP="00891C0E">
      <w:pPr>
        <w:widowControl w:val="0"/>
        <w:numPr>
          <w:ilvl w:val="1"/>
          <w:numId w:val="36"/>
        </w:numPr>
        <w:spacing w:after="240"/>
        <w:outlineLvl w:val="1"/>
        <w:rPr>
          <w:rFonts w:eastAsiaTheme="minorEastAsia"/>
          <w:lang w:eastAsia="zh-CN"/>
        </w:rPr>
      </w:pPr>
      <w:r w:rsidRPr="00891C0E">
        <w:rPr>
          <w:rFonts w:eastAsiaTheme="minorEastAsia"/>
          <w:lang w:eastAsia="zh-CN"/>
        </w:rPr>
        <w:t>Strengthen the enforcement of the licensing and quota system, finalize and implement the ban on HCFC</w:t>
      </w:r>
      <w:r w:rsidRPr="00891C0E">
        <w:rPr>
          <w:rFonts w:eastAsiaTheme="minorEastAsia"/>
          <w:lang w:eastAsia="zh-CN"/>
        </w:rPr>
        <w:noBreakHyphen/>
        <w:t>based equipment, and prepare training materials to conduct four workshops for 60 customs officers on ODS import control (US $25,000);</w:t>
      </w:r>
    </w:p>
    <w:p w14:paraId="799AD8CD" w14:textId="77777777" w:rsidR="00891C0E" w:rsidRPr="00891C0E" w:rsidRDefault="00891C0E" w:rsidP="00891C0E">
      <w:pPr>
        <w:widowControl w:val="0"/>
        <w:numPr>
          <w:ilvl w:val="1"/>
          <w:numId w:val="1"/>
        </w:numPr>
        <w:spacing w:after="240"/>
        <w:outlineLvl w:val="1"/>
        <w:rPr>
          <w:rFonts w:eastAsiaTheme="minorEastAsia"/>
          <w:lang w:eastAsia="zh-CN"/>
        </w:rPr>
      </w:pPr>
      <w:r w:rsidRPr="00891C0E">
        <w:rPr>
          <w:rFonts w:eastAsiaTheme="minorEastAsia"/>
          <w:lang w:eastAsia="zh-CN"/>
        </w:rPr>
        <w:t>Develop awareness-raising materials for the customs department in the local language, and print and distribute 300 copies to customs and inspection officers (US $20,000);</w:t>
      </w:r>
    </w:p>
    <w:p w14:paraId="447C3AF1" w14:textId="77777777" w:rsidR="00891C0E" w:rsidRPr="00891C0E" w:rsidRDefault="00891C0E" w:rsidP="009953B5">
      <w:pPr>
        <w:numPr>
          <w:ilvl w:val="1"/>
          <w:numId w:val="1"/>
        </w:numPr>
        <w:spacing w:after="240"/>
        <w:outlineLvl w:val="1"/>
        <w:rPr>
          <w:rFonts w:eastAsiaTheme="minorEastAsia"/>
          <w:lang w:eastAsia="zh-CN"/>
        </w:rPr>
      </w:pPr>
      <w:r w:rsidRPr="00891C0E">
        <w:rPr>
          <w:rFonts w:eastAsiaTheme="minorEastAsia"/>
          <w:lang w:eastAsia="zh-CN"/>
        </w:rPr>
        <w:lastRenderedPageBreak/>
        <w:t>Organize three workshops to train 60 RAC technicians on good servicing practices, safety in handling flammable refrigerants, and improving the energy efficiency of RAC units, in collaboration with the Afghan</w:t>
      </w:r>
      <w:r w:rsidRPr="00891C0E">
        <w:rPr>
          <w:rFonts w:eastAsiaTheme="minorEastAsia"/>
          <w:lang w:eastAsia="zh-CN"/>
        </w:rPr>
        <w:noBreakHyphen/>
        <w:t>Korea Institute (US $25,000);</w:t>
      </w:r>
    </w:p>
    <w:p w14:paraId="6CEDFCCD" w14:textId="77777777" w:rsidR="00891C0E" w:rsidRPr="00891C0E" w:rsidRDefault="00891C0E" w:rsidP="00891C0E">
      <w:pPr>
        <w:numPr>
          <w:ilvl w:val="1"/>
          <w:numId w:val="1"/>
        </w:numPr>
        <w:spacing w:after="240"/>
        <w:outlineLvl w:val="1"/>
        <w:rPr>
          <w:rFonts w:eastAsiaTheme="minorEastAsia"/>
          <w:lang w:eastAsia="zh-CN"/>
        </w:rPr>
      </w:pPr>
      <w:r w:rsidRPr="00891C0E">
        <w:rPr>
          <w:rFonts w:eastAsiaTheme="minorEastAsia"/>
          <w:lang w:eastAsia="zh-CN"/>
        </w:rPr>
        <w:t>Conduct awareness-raising activities through television, newspapers, posters, and social media to disseminate information on ODS policies and alternative technologies (US $15,000);</w:t>
      </w:r>
    </w:p>
    <w:p w14:paraId="010828BB" w14:textId="77777777" w:rsidR="00891C0E" w:rsidRPr="00891C0E" w:rsidRDefault="00891C0E" w:rsidP="00891C0E">
      <w:pPr>
        <w:numPr>
          <w:ilvl w:val="1"/>
          <w:numId w:val="1"/>
        </w:numPr>
        <w:spacing w:after="240"/>
        <w:outlineLvl w:val="1"/>
        <w:rPr>
          <w:rFonts w:eastAsiaTheme="minorEastAsia"/>
          <w:lang w:val="en-US" w:eastAsia="zh-CN"/>
        </w:rPr>
      </w:pPr>
      <w:r w:rsidRPr="00891C0E">
        <w:rPr>
          <w:rFonts w:eastAsiaTheme="minorEastAsia"/>
          <w:lang w:val="en-US" w:eastAsia="zh-CN"/>
        </w:rPr>
        <w:t>Train 60 personnel from 10 importers on record-keeping and data reporting, and introduce safety standards and codes of good practice for handling flammable refrigerants (US $25,000);</w:t>
      </w:r>
    </w:p>
    <w:p w14:paraId="310F42E9" w14:textId="77777777" w:rsidR="00891C0E" w:rsidRPr="00891C0E" w:rsidRDefault="00891C0E" w:rsidP="00891C0E">
      <w:pPr>
        <w:widowControl w:val="0"/>
        <w:numPr>
          <w:ilvl w:val="1"/>
          <w:numId w:val="1"/>
        </w:numPr>
        <w:spacing w:after="240"/>
        <w:outlineLvl w:val="1"/>
        <w:rPr>
          <w:rFonts w:eastAsiaTheme="minorEastAsia"/>
          <w:lang w:val="en-US" w:eastAsia="zh-CN"/>
        </w:rPr>
      </w:pPr>
      <w:r w:rsidRPr="00891C0E">
        <w:rPr>
          <w:rFonts w:eastAsiaTheme="minorEastAsia"/>
          <w:lang w:val="en-US" w:eastAsia="zh-CN"/>
        </w:rPr>
        <w:t>Demonstrate low-GWP R-290 technology by identifying a technology supplier of R</w:t>
      </w:r>
      <w:r w:rsidRPr="00891C0E">
        <w:rPr>
          <w:rFonts w:eastAsiaTheme="minorEastAsia"/>
          <w:lang w:val="en-US" w:eastAsia="zh-CN"/>
        </w:rPr>
        <w:noBreakHyphen/>
        <w:t>290</w:t>
      </w:r>
      <w:r w:rsidRPr="00891C0E">
        <w:rPr>
          <w:rFonts w:eastAsiaTheme="minorEastAsia"/>
          <w:lang w:val="en-US" w:eastAsia="zh-CN"/>
        </w:rPr>
        <w:noBreakHyphen/>
        <w:t>based commercial refrigeration equipment, purchasing equipment, selecting equipment installers for the pilot installation, and conducting subsequent maintenance of the R-290 equipment (US $30,908); and</w:t>
      </w:r>
    </w:p>
    <w:p w14:paraId="3186A83B" w14:textId="77777777" w:rsidR="00891C0E" w:rsidRPr="00891C0E" w:rsidRDefault="00891C0E" w:rsidP="00891C0E">
      <w:pPr>
        <w:widowControl w:val="0"/>
        <w:numPr>
          <w:ilvl w:val="1"/>
          <w:numId w:val="1"/>
        </w:numPr>
        <w:spacing w:after="240"/>
        <w:outlineLvl w:val="1"/>
        <w:rPr>
          <w:rFonts w:eastAsiaTheme="minorEastAsia"/>
          <w:lang w:val="en-US" w:eastAsia="zh-CN"/>
        </w:rPr>
      </w:pPr>
      <w:r w:rsidRPr="00891C0E">
        <w:rPr>
          <w:rFonts w:eastAsiaTheme="minorEastAsia"/>
          <w:lang w:eastAsia="zh-CN"/>
        </w:rPr>
        <w:t xml:space="preserve">Project coordination, monitoring, and reporting will involve employing a full-time project coordinator to manage activities under stages I and II of the HPMP. This includes outreach and engagement with stakeholders, supporting the licensing and quota process, providing information on RAC market issues, organizing training activities, assisting with equipment purchases, upgrading training institutes, overseeing verification processes, and monitoring and reporting progress </w:t>
      </w:r>
      <w:r w:rsidRPr="00891C0E">
        <w:rPr>
          <w:rFonts w:eastAsiaTheme="minorEastAsia"/>
          <w:lang w:val="en-US" w:eastAsia="zh-CN"/>
        </w:rPr>
        <w:t>(US $40,000).</w:t>
      </w:r>
    </w:p>
    <w:p w14:paraId="15F0BEA2" w14:textId="77777777" w:rsidR="00891C0E" w:rsidRPr="00891C0E" w:rsidRDefault="00891C0E" w:rsidP="00891C0E">
      <w:pPr>
        <w:spacing w:after="240"/>
        <w:outlineLvl w:val="0"/>
        <w:rPr>
          <w:rFonts w:eastAsiaTheme="minorEastAsia"/>
          <w:b/>
          <w:lang w:eastAsia="zh-CN"/>
        </w:rPr>
      </w:pPr>
      <w:r w:rsidRPr="00891C0E">
        <w:rPr>
          <w:rFonts w:eastAsiaTheme="minorEastAsia"/>
          <w:b/>
          <w:lang w:eastAsia="zh-CN"/>
        </w:rPr>
        <w:t>Secretariat’s comments</w:t>
      </w:r>
    </w:p>
    <w:p w14:paraId="4FCE0ADB"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The Secretariat notes that the country continued the implementation of the stages of the HPMP and has remained in compliance with the Montreal Protocol phase-out schedule. Given the delays in implementation, the Secretariat recommends extending the implementation period for the fourth tranche of stage I to the end of 2026 and for the first tranche of stage II to the end of 2028.</w:t>
      </w:r>
    </w:p>
    <w:p w14:paraId="2E834605" w14:textId="77777777" w:rsidR="00891C0E" w:rsidRPr="00891C0E" w:rsidRDefault="00891C0E" w:rsidP="00891C0E">
      <w:pPr>
        <w:spacing w:after="240"/>
        <w:outlineLvl w:val="0"/>
        <w:rPr>
          <w:rFonts w:eastAsiaTheme="minorEastAsia"/>
          <w:b/>
          <w:lang w:eastAsia="zh-CN"/>
        </w:rPr>
      </w:pPr>
      <w:r w:rsidRPr="00891C0E">
        <w:rPr>
          <w:rFonts w:eastAsiaTheme="minorEastAsia"/>
          <w:b/>
          <w:lang w:eastAsia="zh-CN"/>
        </w:rPr>
        <w:t>Updated Agreement</w:t>
      </w:r>
    </w:p>
    <w:p w14:paraId="7D21F080" w14:textId="1C131B92"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In light of the funding transfers from UNEP to UNIDO and the extension of the implementation periods, the Agreements between Afghanistan and the Executive Committee for stage I and stage II of the HPMP have been updated. Specifically, Appendices 2-A have been revised, and text has been updated or added to indicate that the revised Agreements supersede those reached at earlier meetings (the 79</w:t>
      </w:r>
      <w:r w:rsidRPr="00891C0E">
        <w:rPr>
          <w:rFonts w:eastAsiaTheme="minorEastAsia"/>
          <w:vertAlign w:val="superscript"/>
          <w:lang w:eastAsia="zh-CN"/>
        </w:rPr>
        <w:t>th</w:t>
      </w:r>
      <w:r w:rsidRPr="00891C0E">
        <w:rPr>
          <w:rFonts w:eastAsiaTheme="minorEastAsia"/>
          <w:lang w:eastAsia="zh-CN"/>
        </w:rPr>
        <w:t xml:space="preserve"> meeting for stage I and 85</w:t>
      </w:r>
      <w:r w:rsidRPr="00891C0E">
        <w:rPr>
          <w:rFonts w:eastAsiaTheme="minorEastAsia"/>
          <w:vertAlign w:val="superscript"/>
          <w:lang w:eastAsia="zh-CN"/>
        </w:rPr>
        <w:t>th</w:t>
      </w:r>
      <w:r w:rsidRPr="00891C0E">
        <w:rPr>
          <w:rFonts w:eastAsiaTheme="minorEastAsia"/>
          <w:lang w:eastAsia="zh-CN"/>
        </w:rPr>
        <w:t xml:space="preserve"> meeting for stage II), as contained in annexes </w:t>
      </w:r>
      <w:r w:rsidR="005A6A82" w:rsidRPr="005A6A82">
        <w:rPr>
          <w:rFonts w:eastAsiaTheme="minorEastAsia"/>
          <w:lang w:eastAsia="zh-CN"/>
        </w:rPr>
        <w:t>I</w:t>
      </w:r>
      <w:r w:rsidRPr="00891C0E">
        <w:rPr>
          <w:rFonts w:eastAsiaTheme="minorEastAsia"/>
          <w:lang w:eastAsia="zh-CN"/>
        </w:rPr>
        <w:t xml:space="preserve"> and </w:t>
      </w:r>
      <w:r w:rsidR="005A6A82" w:rsidRPr="005A6A82">
        <w:rPr>
          <w:rFonts w:eastAsiaTheme="minorEastAsia"/>
          <w:lang w:eastAsia="zh-CN"/>
        </w:rPr>
        <w:t>II</w:t>
      </w:r>
      <w:r w:rsidRPr="00891C0E">
        <w:rPr>
          <w:rFonts w:eastAsiaTheme="minorEastAsia"/>
          <w:lang w:eastAsia="zh-CN"/>
        </w:rPr>
        <w:t xml:space="preserve"> to the present document. The full revised Agreements will be appended to the final report of the 95</w:t>
      </w:r>
      <w:r w:rsidRPr="00891C0E">
        <w:rPr>
          <w:rFonts w:eastAsiaTheme="minorEastAsia"/>
          <w:vertAlign w:val="superscript"/>
          <w:lang w:eastAsia="zh-CN"/>
        </w:rPr>
        <w:t>th</w:t>
      </w:r>
      <w:r w:rsidRPr="00891C0E">
        <w:rPr>
          <w:rFonts w:eastAsiaTheme="minorEastAsia"/>
          <w:lang w:eastAsia="zh-CN"/>
        </w:rPr>
        <w:t xml:space="preserve"> meeting.</w:t>
      </w:r>
    </w:p>
    <w:p w14:paraId="1A1451AB" w14:textId="77777777" w:rsidR="00891C0E" w:rsidRPr="00891C0E" w:rsidRDefault="00891C0E" w:rsidP="00891C0E">
      <w:pPr>
        <w:spacing w:after="240"/>
        <w:outlineLvl w:val="0"/>
        <w:rPr>
          <w:rFonts w:eastAsiaTheme="minorEastAsia"/>
          <w:b/>
          <w:lang w:eastAsia="zh-CN"/>
        </w:rPr>
      </w:pPr>
      <w:r w:rsidRPr="00891C0E">
        <w:rPr>
          <w:rFonts w:eastAsiaTheme="minorEastAsia"/>
          <w:b/>
          <w:lang w:eastAsia="zh-CN"/>
        </w:rPr>
        <w:t>Recommendation</w:t>
      </w:r>
    </w:p>
    <w:p w14:paraId="188DC7A5" w14:textId="77777777" w:rsidR="00891C0E" w:rsidRPr="00891C0E" w:rsidRDefault="00891C0E" w:rsidP="00891C0E">
      <w:pPr>
        <w:numPr>
          <w:ilvl w:val="0"/>
          <w:numId w:val="1"/>
        </w:numPr>
        <w:autoSpaceDE w:val="0"/>
        <w:autoSpaceDN w:val="0"/>
        <w:adjustRightInd w:val="0"/>
        <w:spacing w:after="240"/>
        <w:outlineLvl w:val="0"/>
        <w:rPr>
          <w:rFonts w:eastAsiaTheme="minorEastAsia"/>
          <w:lang w:eastAsia="zh-CN"/>
        </w:rPr>
      </w:pPr>
      <w:r w:rsidRPr="00891C0E">
        <w:rPr>
          <w:rFonts w:eastAsiaTheme="minorEastAsia"/>
          <w:lang w:eastAsia="zh-CN"/>
        </w:rPr>
        <w:t>The Executive Committee may wish:</w:t>
      </w:r>
    </w:p>
    <w:p w14:paraId="1230B31A" w14:textId="77777777" w:rsidR="00891C0E" w:rsidRPr="00891C0E" w:rsidRDefault="00891C0E" w:rsidP="00891C0E">
      <w:pPr>
        <w:widowControl w:val="0"/>
        <w:numPr>
          <w:ilvl w:val="1"/>
          <w:numId w:val="37"/>
        </w:numPr>
        <w:spacing w:after="240"/>
        <w:outlineLvl w:val="1"/>
        <w:rPr>
          <w:rFonts w:eastAsiaTheme="minorEastAsia"/>
          <w:lang w:eastAsia="zh-CN"/>
        </w:rPr>
      </w:pPr>
      <w:r w:rsidRPr="00891C0E">
        <w:rPr>
          <w:rFonts w:eastAsiaTheme="minorEastAsia"/>
          <w:lang w:eastAsia="zh-CN"/>
        </w:rPr>
        <w:t>To note the progress report on the implementation of stages I and II of the HCFC phase</w:t>
      </w:r>
      <w:r w:rsidRPr="00891C0E">
        <w:rPr>
          <w:rFonts w:eastAsiaTheme="minorEastAsia"/>
          <w:lang w:eastAsia="zh-CN"/>
        </w:rPr>
        <w:noBreakHyphen/>
        <w:t>out management plan (HPMP) for Afghanistan, submitted by UNIDO as contained in document UNEP/OzL.Pro/ExCom/95/20;</w:t>
      </w:r>
    </w:p>
    <w:p w14:paraId="71539BB9" w14:textId="77777777" w:rsidR="00891C0E" w:rsidRPr="00891C0E" w:rsidRDefault="00891C0E" w:rsidP="00891C0E">
      <w:pPr>
        <w:numPr>
          <w:ilvl w:val="1"/>
          <w:numId w:val="1"/>
        </w:numPr>
        <w:spacing w:after="240"/>
        <w:outlineLvl w:val="0"/>
        <w:rPr>
          <w:rFonts w:eastAsiaTheme="minorEastAsia"/>
          <w:lang w:eastAsia="zh-CN"/>
        </w:rPr>
      </w:pPr>
      <w:r w:rsidRPr="00891C0E">
        <w:rPr>
          <w:rFonts w:eastAsiaTheme="minorEastAsia"/>
          <w:lang w:eastAsia="zh-CN"/>
        </w:rPr>
        <w:t xml:space="preserve">To note the return of balances by UNEP of US $28,453 from the fourth tranche of stage I of the HPMP and US $180,908 from the first tranche of stage II of the HPMP and approve the transfer of these funds to UNIDO, along with the corresponding implementation plans for the transferred funds; </w:t>
      </w:r>
    </w:p>
    <w:p w14:paraId="2F89F9A6" w14:textId="77777777" w:rsidR="00891C0E" w:rsidRPr="00891C0E" w:rsidRDefault="00891C0E" w:rsidP="00303DE8">
      <w:pPr>
        <w:keepNext/>
        <w:numPr>
          <w:ilvl w:val="1"/>
          <w:numId w:val="1"/>
        </w:numPr>
        <w:spacing w:after="240"/>
        <w:outlineLvl w:val="1"/>
        <w:rPr>
          <w:rFonts w:eastAsiaTheme="minorEastAsia"/>
          <w:lang w:eastAsia="zh-CN"/>
        </w:rPr>
      </w:pPr>
      <w:r w:rsidRPr="00891C0E">
        <w:rPr>
          <w:rFonts w:eastAsiaTheme="minorEastAsia"/>
          <w:lang w:eastAsia="zh-CN"/>
        </w:rPr>
        <w:lastRenderedPageBreak/>
        <w:t>To approve the transfer from UNEP to UNIDO of the funding of US $239,000, plus agency support costs, approved in principle, associated with the second and third tranches of stage II of the HPMP;</w:t>
      </w:r>
    </w:p>
    <w:p w14:paraId="5B3B2F71" w14:textId="77777777" w:rsidR="00891C0E" w:rsidRPr="00891C0E" w:rsidRDefault="00891C0E" w:rsidP="00891C0E">
      <w:pPr>
        <w:widowControl w:val="0"/>
        <w:numPr>
          <w:ilvl w:val="1"/>
          <w:numId w:val="1"/>
        </w:numPr>
        <w:spacing w:after="240"/>
        <w:outlineLvl w:val="1"/>
        <w:rPr>
          <w:rFonts w:eastAsiaTheme="minorEastAsia"/>
          <w:lang w:eastAsia="zh-CN"/>
        </w:rPr>
      </w:pPr>
      <w:r w:rsidRPr="00891C0E">
        <w:rPr>
          <w:rFonts w:eastAsiaTheme="minorEastAsia"/>
          <w:lang w:eastAsia="zh-CN"/>
        </w:rPr>
        <w:t xml:space="preserve">To approve the extension of the implementation period for the fourth tranche of stage I of the HPMP to 31 December 2026 and for the first tranche of stage II of the HPMP to 31 December 2028; </w:t>
      </w:r>
    </w:p>
    <w:p w14:paraId="0897EF9A" w14:textId="3E6F67B7" w:rsidR="00891C0E" w:rsidRPr="00891C0E" w:rsidRDefault="00891C0E" w:rsidP="00891C0E">
      <w:pPr>
        <w:numPr>
          <w:ilvl w:val="1"/>
          <w:numId w:val="1"/>
        </w:numPr>
        <w:spacing w:after="240"/>
        <w:outlineLvl w:val="0"/>
        <w:rPr>
          <w:rFonts w:eastAsiaTheme="minorEastAsia"/>
          <w:lang w:eastAsia="zh-CN"/>
        </w:rPr>
      </w:pPr>
      <w:r w:rsidRPr="00891C0E">
        <w:rPr>
          <w:rFonts w:eastAsiaTheme="minorEastAsia"/>
          <w:lang w:eastAsia="zh-CN"/>
        </w:rPr>
        <w:t xml:space="preserve">To further note that the Fund Secretariat has updated the Agreements between Afghanistan and the Executive Committee, as contained in annexes </w:t>
      </w:r>
      <w:r w:rsidR="005A6A82" w:rsidRPr="005A6A82">
        <w:rPr>
          <w:rFonts w:eastAsiaTheme="minorEastAsia"/>
          <w:lang w:eastAsia="zh-CN"/>
        </w:rPr>
        <w:t>I</w:t>
      </w:r>
      <w:r w:rsidRPr="00891C0E">
        <w:rPr>
          <w:rFonts w:eastAsiaTheme="minorEastAsia"/>
          <w:lang w:eastAsia="zh-CN"/>
        </w:rPr>
        <w:t xml:space="preserve"> and </w:t>
      </w:r>
      <w:r w:rsidR="005A6A82" w:rsidRPr="005A6A82">
        <w:rPr>
          <w:rFonts w:eastAsiaTheme="minorEastAsia"/>
          <w:lang w:eastAsia="zh-CN"/>
        </w:rPr>
        <w:t>II</w:t>
      </w:r>
      <w:r w:rsidRPr="00891C0E">
        <w:rPr>
          <w:rFonts w:eastAsiaTheme="minorEastAsia"/>
          <w:lang w:eastAsia="zh-CN"/>
        </w:rPr>
        <w:t xml:space="preserve"> of this document, specifically:</w:t>
      </w:r>
    </w:p>
    <w:p w14:paraId="47CF897D" w14:textId="77777777" w:rsidR="00891C0E" w:rsidRPr="00891C0E" w:rsidRDefault="00891C0E" w:rsidP="00891C0E">
      <w:pPr>
        <w:numPr>
          <w:ilvl w:val="2"/>
          <w:numId w:val="1"/>
        </w:numPr>
        <w:spacing w:after="240"/>
        <w:outlineLvl w:val="2"/>
        <w:rPr>
          <w:rFonts w:eastAsiaTheme="minorEastAsia"/>
          <w:lang w:eastAsia="zh-CN"/>
        </w:rPr>
      </w:pPr>
      <w:r w:rsidRPr="00891C0E">
        <w:rPr>
          <w:rFonts w:eastAsiaTheme="minorEastAsia"/>
          <w:lang w:eastAsia="zh-CN"/>
        </w:rPr>
        <w:t xml:space="preserve">For stage I, </w:t>
      </w:r>
      <w:bookmarkStart w:id="2" w:name="_Hlk182822546"/>
      <w:r w:rsidRPr="00891C0E">
        <w:rPr>
          <w:rFonts w:eastAsiaTheme="minorEastAsia"/>
          <w:lang w:eastAsia="zh-CN"/>
        </w:rPr>
        <w:t>Appendix 2-A has been revised to reflect the transfer of funding balance from UNEP to UNIDO referenced in subparagraph (b) above, and paragraph 16 has been updated to indicate that the revised updated Agreement supersede that reached at the 79</w:t>
      </w:r>
      <w:r w:rsidRPr="00891C0E">
        <w:rPr>
          <w:rFonts w:eastAsiaTheme="minorEastAsia"/>
          <w:vertAlign w:val="superscript"/>
          <w:lang w:eastAsia="zh-CN"/>
        </w:rPr>
        <w:t>th</w:t>
      </w:r>
      <w:r w:rsidRPr="00891C0E">
        <w:rPr>
          <w:rFonts w:eastAsiaTheme="minorEastAsia"/>
          <w:lang w:eastAsia="zh-CN"/>
        </w:rPr>
        <w:t xml:space="preserve"> meeting</w:t>
      </w:r>
      <w:bookmarkEnd w:id="2"/>
      <w:r w:rsidRPr="00891C0E">
        <w:rPr>
          <w:rFonts w:eastAsiaTheme="minorEastAsia"/>
          <w:lang w:eastAsia="zh-CN"/>
        </w:rPr>
        <w:t xml:space="preserve"> by decision 79/27; and</w:t>
      </w:r>
    </w:p>
    <w:p w14:paraId="7FDA5021" w14:textId="77777777" w:rsidR="00891C0E" w:rsidRPr="00891C0E" w:rsidRDefault="00891C0E" w:rsidP="00891C0E">
      <w:pPr>
        <w:widowControl w:val="0"/>
        <w:numPr>
          <w:ilvl w:val="2"/>
          <w:numId w:val="1"/>
        </w:numPr>
        <w:spacing w:after="240"/>
        <w:outlineLvl w:val="2"/>
        <w:rPr>
          <w:rFonts w:eastAsiaTheme="minorEastAsia"/>
          <w:lang w:eastAsia="zh-CN"/>
        </w:rPr>
      </w:pPr>
      <w:r w:rsidRPr="00891C0E">
        <w:rPr>
          <w:rFonts w:eastAsiaTheme="minorEastAsia"/>
          <w:lang w:eastAsia="zh-CN"/>
        </w:rPr>
        <w:t>For stage II, Appendix 2-A has been revised to reflect the transfer of funding balance from UNEP to UNIDO referenced in subparagraph (b) above, and paragraph 17 has been added to indicate that the updated Agreement supersedes that reached at the 85</w:t>
      </w:r>
      <w:r w:rsidRPr="00891C0E">
        <w:rPr>
          <w:rFonts w:eastAsiaTheme="minorEastAsia"/>
          <w:vertAlign w:val="superscript"/>
          <w:lang w:eastAsia="zh-CN"/>
        </w:rPr>
        <w:t>th</w:t>
      </w:r>
      <w:r w:rsidRPr="00891C0E">
        <w:rPr>
          <w:rFonts w:eastAsiaTheme="minorEastAsia"/>
          <w:lang w:eastAsia="zh-CN"/>
        </w:rPr>
        <w:t xml:space="preserve"> meeting by decision 85/24.</w:t>
      </w:r>
    </w:p>
    <w:p w14:paraId="652AF271" w14:textId="77777777" w:rsidR="00E62175" w:rsidRPr="003548CB" w:rsidRDefault="00E62175" w:rsidP="00E62175">
      <w:pPr>
        <w:spacing w:after="240"/>
        <w:ind w:left="720"/>
        <w:rPr>
          <w:b/>
          <w:bCs/>
          <w:u w:val="single"/>
        </w:rPr>
      </w:pPr>
      <w:r w:rsidRPr="003548CB">
        <w:rPr>
          <w:b/>
          <w:bCs/>
          <w:u w:val="single"/>
        </w:rPr>
        <w:t>Argentina: HCFC phase-out management plan (stage II – availability of low</w:t>
      </w:r>
      <w:r w:rsidRPr="003548CB">
        <w:rPr>
          <w:b/>
          <w:bCs/>
          <w:u w:val="single"/>
        </w:rPr>
        <w:noBreakHyphen/>
        <w:t>global</w:t>
      </w:r>
      <w:r w:rsidRPr="003548CB">
        <w:rPr>
          <w:b/>
          <w:bCs/>
          <w:u w:val="single"/>
        </w:rPr>
        <w:noBreakHyphen/>
        <w:t>warming</w:t>
      </w:r>
      <w:r w:rsidRPr="003548CB">
        <w:rPr>
          <w:b/>
          <w:bCs/>
          <w:u w:val="single"/>
        </w:rPr>
        <w:noBreakHyphen/>
        <w:t>potential alternatives to HCFC</w:t>
      </w:r>
      <w:r w:rsidRPr="003548CB">
        <w:rPr>
          <w:b/>
          <w:bCs/>
          <w:u w:val="single"/>
        </w:rPr>
        <w:noBreakHyphen/>
        <w:t>141b in the foam sector and transitional use of high</w:t>
      </w:r>
      <w:r w:rsidRPr="003548CB">
        <w:rPr>
          <w:b/>
          <w:bCs/>
          <w:u w:val="single"/>
        </w:rPr>
        <w:noBreakHyphen/>
        <w:t>global</w:t>
      </w:r>
      <w:r w:rsidRPr="003548CB">
        <w:rPr>
          <w:b/>
          <w:bCs/>
          <w:u w:val="single"/>
        </w:rPr>
        <w:noBreakHyphen/>
        <w:t>warming</w:t>
      </w:r>
      <w:r w:rsidRPr="003548CB">
        <w:rPr>
          <w:b/>
          <w:bCs/>
          <w:u w:val="single"/>
        </w:rPr>
        <w:noBreakHyphen/>
        <w:t>potential alternatives)</w:t>
      </w:r>
      <w:r w:rsidRPr="003548CB">
        <w:rPr>
          <w:b/>
          <w:bCs/>
        </w:rPr>
        <w:t xml:space="preserve"> (UNIDO and the Government of Italy)</w:t>
      </w:r>
    </w:p>
    <w:p w14:paraId="3BA3CBB1" w14:textId="77777777" w:rsidR="00E62175" w:rsidRPr="00E62175" w:rsidRDefault="00E62175" w:rsidP="00E62175">
      <w:pPr>
        <w:spacing w:after="240"/>
        <w:rPr>
          <w:b/>
        </w:rPr>
      </w:pPr>
      <w:r w:rsidRPr="00E62175">
        <w:rPr>
          <w:b/>
        </w:rPr>
        <w:t>Background</w:t>
      </w:r>
    </w:p>
    <w:p w14:paraId="15CA1BB2" w14:textId="77777777" w:rsidR="00E62175" w:rsidRPr="00E62175" w:rsidRDefault="00E62175" w:rsidP="005A6A82">
      <w:pPr>
        <w:pStyle w:val="Heading1"/>
        <w:numPr>
          <w:ilvl w:val="0"/>
          <w:numId w:val="42"/>
        </w:numPr>
      </w:pPr>
      <w:r w:rsidRPr="00E62175">
        <w:t>At its 92</w:t>
      </w:r>
      <w:r w:rsidRPr="005A6A82">
        <w:rPr>
          <w:vertAlign w:val="superscript"/>
        </w:rPr>
        <w:t>nd</w:t>
      </w:r>
      <w:r w:rsidRPr="00E62175">
        <w:t xml:space="preserve"> meeting, in approving the third tranche of stage II of the HCFC phase-out management plan (HPMP) for Argentina (decision 92/31), the Executive Committee noted </w:t>
      </w:r>
      <w:r w:rsidRPr="005A6A82">
        <w:rPr>
          <w:i/>
          <w:iCs/>
        </w:rPr>
        <w:t>inter alia</w:t>
      </w:r>
      <w:r w:rsidRPr="00E62175">
        <w:t>:</w:t>
      </w:r>
    </w:p>
    <w:p w14:paraId="05953FB4" w14:textId="77777777" w:rsidR="00E62175" w:rsidRPr="00E62175" w:rsidRDefault="00E62175" w:rsidP="00E62175">
      <w:pPr>
        <w:pStyle w:val="Heading2"/>
      </w:pPr>
      <w:r w:rsidRPr="00E62175">
        <w:t>The challenges presented by the lack of supply of low-global-warming-potential (GWP) alternatives to HCFC-141b in the foam sector, which had delayed the implementation of stage II activities in the foam sector that would have allowed the Government of Argentina to phase out 85.92 ODP tonnes of HCFCs; and</w:t>
      </w:r>
    </w:p>
    <w:p w14:paraId="49B98D2B" w14:textId="77777777" w:rsidR="00E62175" w:rsidRPr="00E62175" w:rsidRDefault="00E62175" w:rsidP="00E62175">
      <w:pPr>
        <w:pStyle w:val="Heading2"/>
      </w:pPr>
      <w:r w:rsidRPr="00E62175">
        <w:t>That, in the event that alternatives were not available on the local market, high</w:t>
      </w:r>
      <w:r w:rsidRPr="00E62175">
        <w:noBreakHyphen/>
        <w:t>GWP alternatives could be used, on a transitional basis only, and that the Government of Argentina would report to each Executive Committee meeting on the progress made towards ensuring that the selected technologies, including the associated components, were available on a commercial basis in the country, on the understanding that incremental operating costs (IOCs) would not be funded until the transition to the agreed alternatives was complete.</w:t>
      </w:r>
    </w:p>
    <w:p w14:paraId="6E698DF9" w14:textId="77777777" w:rsidR="00E62175" w:rsidRPr="00E62175" w:rsidRDefault="00E62175" w:rsidP="00E62175">
      <w:pPr>
        <w:pStyle w:val="Heading1"/>
      </w:pPr>
      <w:r w:rsidRPr="00E62175">
        <w:t>At the 93</w:t>
      </w:r>
      <w:r w:rsidRPr="00E62175">
        <w:rPr>
          <w:vertAlign w:val="superscript"/>
        </w:rPr>
        <w:t>rd</w:t>
      </w:r>
      <w:r w:rsidRPr="00E62175">
        <w:t xml:space="preserve"> meeting, UNIDO reported that over the 2022</w:t>
      </w:r>
      <w:r w:rsidRPr="00E62175">
        <w:noBreakHyphen/>
        <w:t>2023 period, HFO prices reached US $35</w:t>
      </w:r>
      <w:r w:rsidRPr="00E62175">
        <w:noBreakHyphen/>
        <w:t>40 kg, and that even though HFOs had been tested by local systems houses, they did not have sufficient stocks for production at a commercial scale. Regarding other alternatives, downstream enterprises were reluctant to use other technologies such as methyl formate or methylal due to their corrosiveness and flammability issues, identified during previous tests. Noting the report, the Executive Committee requested the Government of Argentina and UNIDO, to provide an update at the 94</w:t>
      </w:r>
      <w:r w:rsidRPr="00E62175">
        <w:rPr>
          <w:vertAlign w:val="superscript"/>
        </w:rPr>
        <w:t>th</w:t>
      </w:r>
      <w:r w:rsidRPr="00E62175">
        <w:t xml:space="preserve"> meeting (decision 93/17(b)).</w:t>
      </w:r>
    </w:p>
    <w:p w14:paraId="6278841D" w14:textId="7A041100" w:rsidR="00E62175" w:rsidRPr="00E62175" w:rsidRDefault="00E62175" w:rsidP="00E62175">
      <w:pPr>
        <w:pStyle w:val="Heading1"/>
      </w:pPr>
      <w:r w:rsidRPr="00E62175">
        <w:t>At the 94</w:t>
      </w:r>
      <w:r w:rsidRPr="00E62175">
        <w:rPr>
          <w:vertAlign w:val="superscript"/>
        </w:rPr>
        <w:t>th</w:t>
      </w:r>
      <w:r w:rsidRPr="00E62175">
        <w:t xml:space="preserve"> meeting, UNIDO reported that prices, availability and delivery times continued to be the main issues hindering local systems houses adopting HFOs. While prices had decreased in comparison </w:t>
      </w:r>
      <w:r w:rsidRPr="00E62175">
        <w:lastRenderedPageBreak/>
        <w:t>to those reported at the 93</w:t>
      </w:r>
      <w:r w:rsidRPr="00E62175">
        <w:rPr>
          <w:vertAlign w:val="superscript"/>
        </w:rPr>
        <w:t>rd</w:t>
      </w:r>
      <w:r w:rsidRPr="00E62175">
        <w:t xml:space="preserve"> meeting, they were still a significant barrier for local enterprises. Delivery times spanned between 90 and 120 days, and no HFOs were being sold to local system</w:t>
      </w:r>
      <w:r w:rsidR="00AA0455">
        <w:t>s</w:t>
      </w:r>
      <w:r w:rsidRPr="00E62175">
        <w:t xml:space="preserve"> houses on a commercial scale. However, suppliers indicated they could provide HFOs to the country provided there were purchase commitments from system</w:t>
      </w:r>
      <w:r w:rsidR="00AA0455">
        <w:t>s</w:t>
      </w:r>
      <w:r w:rsidRPr="00E62175">
        <w:t xml:space="preserve"> houses, highlighting the need for insurance to meet headquarters’ requirements for introducing a new alternative into the country. </w:t>
      </w:r>
    </w:p>
    <w:p w14:paraId="447133B6" w14:textId="536E9628" w:rsidR="00E62175" w:rsidRPr="00E62175" w:rsidRDefault="00E62175" w:rsidP="00E62175">
      <w:pPr>
        <w:pStyle w:val="Heading1"/>
      </w:pPr>
      <w:r w:rsidRPr="00E62175">
        <w:t>The report also indicated the need for local system</w:t>
      </w:r>
      <w:r w:rsidR="00AA0455">
        <w:t>s</w:t>
      </w:r>
      <w:r w:rsidRPr="00E62175">
        <w:t xml:space="preserve"> houses to temporarily transition to HFCs as their prices and availability ensured business continuity without significant cost increases. However, the Government reassured that the use of HFCs in the polyurethane (PU) foam sector was not a long-term solution and the local system houses expressed their willingness to adopt HFOs as an alternative once the price and supply barriers were overcome. Noting the report, the Executive Committee requested the Government and UNIDO to provide at the 95</w:t>
      </w:r>
      <w:r w:rsidRPr="00E62175">
        <w:rPr>
          <w:vertAlign w:val="superscript"/>
        </w:rPr>
        <w:t>th</w:t>
      </w:r>
      <w:r w:rsidRPr="00E62175">
        <w:t xml:space="preserve"> meeting an update on the local market availability of low</w:t>
      </w:r>
      <w:r w:rsidRPr="00E62175">
        <w:noBreakHyphen/>
        <w:t>GWP alternatives to HCFC</w:t>
      </w:r>
      <w:r w:rsidRPr="00E62175">
        <w:noBreakHyphen/>
        <w:t>141b in the foam sector and on the transitional use of high-GWP alternatives (decision 94/7(b)).</w:t>
      </w:r>
    </w:p>
    <w:p w14:paraId="45D9AB87" w14:textId="77777777" w:rsidR="00E62175" w:rsidRPr="00E62175" w:rsidRDefault="00E62175" w:rsidP="00E62175">
      <w:pPr>
        <w:spacing w:after="240"/>
        <w:outlineLvl w:val="0"/>
        <w:rPr>
          <w:b/>
          <w:bCs/>
        </w:rPr>
      </w:pPr>
      <w:r w:rsidRPr="00E62175">
        <w:rPr>
          <w:b/>
          <w:bCs/>
        </w:rPr>
        <w:t>Progress report</w:t>
      </w:r>
    </w:p>
    <w:p w14:paraId="4A962EC9" w14:textId="77777777" w:rsidR="00E62175" w:rsidRPr="00E62175" w:rsidRDefault="00E62175" w:rsidP="00E62175">
      <w:pPr>
        <w:pStyle w:val="Heading1"/>
      </w:pPr>
      <w:r w:rsidRPr="00E62175">
        <w:t xml:space="preserve">On behalf of the Government of Argentina, UNIDO submitted a report providing an update on the status of supply, price, delivery times of HFOs for the PU foam sector upon extensive consultations held by the Government of Argentina with the key suppliers and the local systems houses. </w:t>
      </w:r>
    </w:p>
    <w:p w14:paraId="7E8DBF90" w14:textId="77777777" w:rsidR="00E62175" w:rsidRPr="00E62175" w:rsidRDefault="00E62175" w:rsidP="00E62175">
      <w:pPr>
        <w:pStyle w:val="Heading1"/>
      </w:pPr>
      <w:r w:rsidRPr="00E62175">
        <w:t xml:space="preserve">Regarding supply, one of the suppliers informed that it would be able to provide its HFO to the local market by 2026 while the other two suppliers confirmed that they will have the capacity to supply their HFO to the Argentinian market immediately. </w:t>
      </w:r>
    </w:p>
    <w:p w14:paraId="1EFB02C2" w14:textId="77777777" w:rsidR="00E62175" w:rsidRPr="00E62175" w:rsidRDefault="00E62175" w:rsidP="00E62175">
      <w:pPr>
        <w:pStyle w:val="Heading1"/>
      </w:pPr>
      <w:r w:rsidRPr="00E62175">
        <w:t>Concerning price, some suppliers mentioned the possibility of reaching commercial agreements with prices significantly lower than those previously reported. These prices, while still challenging for the local systems houses, are expected to make HFOs more accessible for the local market. While deliveries are still expected to initially take between 90 and 120 days, suppliers indicated they could be reduced for subsequent purchases.</w:t>
      </w:r>
    </w:p>
    <w:p w14:paraId="1EA5814E" w14:textId="6AC870D7" w:rsidR="00E62175" w:rsidRPr="00E62175" w:rsidRDefault="00E62175" w:rsidP="00E62175">
      <w:pPr>
        <w:pStyle w:val="Heading1"/>
      </w:pPr>
      <w:r w:rsidRPr="00E62175">
        <w:t>As already reported at the 94</w:t>
      </w:r>
      <w:r w:rsidRPr="00E62175">
        <w:rPr>
          <w:vertAlign w:val="superscript"/>
        </w:rPr>
        <w:t>th</w:t>
      </w:r>
      <w:r w:rsidRPr="00E62175">
        <w:t xml:space="preserve"> meeting, suppliers indicated that they could provide HFOs to the country upon receiving purchase commitments from system</w:t>
      </w:r>
      <w:r w:rsidR="00AA0455">
        <w:t>s</w:t>
      </w:r>
      <w:r w:rsidRPr="00E62175">
        <w:t xml:space="preserve"> houses, emphasizing the need for insurance to meet headquarters’ requirements when introducing a new alternative in the country.</w:t>
      </w:r>
    </w:p>
    <w:p w14:paraId="4E5E42FC" w14:textId="74EB20A1" w:rsidR="00E62175" w:rsidRPr="00E62175" w:rsidRDefault="00E62175" w:rsidP="00E62175">
      <w:pPr>
        <w:pStyle w:val="Heading1"/>
      </w:pPr>
      <w:r w:rsidRPr="00E62175">
        <w:t>The report also confirmed that all the system</w:t>
      </w:r>
      <w:r w:rsidR="00A14F41">
        <w:t>s</w:t>
      </w:r>
      <w:r w:rsidRPr="00E62175">
        <w:t xml:space="preserve"> houses have conducted tests and trials with HFOs and are in contact with suppliers to negotiate commercial terms to start the transition. However, so far HFO is still not being consumed or used in Argentina as a substitute for HCFC-141b. Some enterprises are still using HFCs on a transitional basis as an alternative of HCFC-141b but the Government reiterated that the use of HFCs in the PU foam sector is not a long-term solution and the local system</w:t>
      </w:r>
      <w:r w:rsidR="004E4C5B">
        <w:t>s</w:t>
      </w:r>
      <w:r w:rsidRPr="00E62175">
        <w:t xml:space="preserve"> houses expressed their willingness to adopt HFOs as an alternative once the price and supply barriers are overcome. The Government considers that suppliers are a key part in the adoption of the technology and that the country requires support from HFO-producing countries to ensure a reliable local supply.</w:t>
      </w:r>
    </w:p>
    <w:p w14:paraId="113C997D" w14:textId="77777777" w:rsidR="00E62175" w:rsidRPr="00E62175" w:rsidRDefault="00E62175" w:rsidP="00E62175">
      <w:pPr>
        <w:spacing w:after="240"/>
        <w:outlineLvl w:val="0"/>
        <w:rPr>
          <w:b/>
        </w:rPr>
      </w:pPr>
      <w:r w:rsidRPr="00E62175">
        <w:rPr>
          <w:b/>
        </w:rPr>
        <w:t>Secretariat’s comments</w:t>
      </w:r>
    </w:p>
    <w:p w14:paraId="5CD8FF04" w14:textId="77777777" w:rsidR="00E62175" w:rsidRPr="00E62175" w:rsidRDefault="00E62175" w:rsidP="00E62175">
      <w:pPr>
        <w:pStyle w:val="Heading1"/>
      </w:pPr>
      <w:r w:rsidRPr="00E62175">
        <w:t>The Secretariat notes the report providing an update on the status of supply, price, delivery times of HFOs for the PU foam sector, the confirmation that some enterprises are still using HFCs on a temporary basis as an alternative to HCFC-141b, and the reassurance of the local systems houses’ willingness to adopt HFOs as an alternative once the price and supply barriers are overcome.</w:t>
      </w:r>
    </w:p>
    <w:p w14:paraId="0BBC158C" w14:textId="77777777" w:rsidR="00E62175" w:rsidRPr="00E62175" w:rsidRDefault="00E62175" w:rsidP="00E62175">
      <w:pPr>
        <w:pStyle w:val="Heading1"/>
      </w:pPr>
      <w:r w:rsidRPr="00E62175">
        <w:t xml:space="preserve">The Secretariat also notes with appreciation the active discussions held by the Government of Argentina with the suppliers of alternatives and the systems houses, as well as the progress achieved from </w:t>
      </w:r>
      <w:r w:rsidRPr="00E62175">
        <w:lastRenderedPageBreak/>
        <w:t>these discussions, including more clarity on the availability of the blowing agent, and the consideration of lower prices than those previously reported. Noting that the issue of availability of alternatives in PU foam manufacturing will be discussed under agenda item 10 of the 95</w:t>
      </w:r>
      <w:r w:rsidRPr="00E62175">
        <w:rPr>
          <w:vertAlign w:val="superscript"/>
        </w:rPr>
        <w:t>th</w:t>
      </w:r>
      <w:r w:rsidRPr="00E62175">
        <w:t xml:space="preserve"> meeting, the Secretariat has included the updated information related to the PU foam project in Argentina in document UNEP/OzL.Pro/ExCom/95/85. </w:t>
      </w:r>
    </w:p>
    <w:p w14:paraId="49934E36" w14:textId="77777777" w:rsidR="00E62175" w:rsidRPr="00E62175" w:rsidRDefault="00E62175" w:rsidP="00E62175">
      <w:pPr>
        <w:pStyle w:val="Heading1"/>
      </w:pPr>
      <w:r w:rsidRPr="00E62175">
        <w:t xml:space="preserve">Despite the notable progress made, the issues of availability and pricing for low-GWP alternatives remain unresolved, and high-GWP alternatives are still being used on a transitional basis. Therefore, in line with decision 92/31(c)(ii), the Secretariat recommends that the Government of Argentina continue reporting to the Executive Committee on the matter. </w:t>
      </w:r>
    </w:p>
    <w:p w14:paraId="332C49DB" w14:textId="77777777" w:rsidR="00E62175" w:rsidRPr="00E62175" w:rsidRDefault="00E62175" w:rsidP="00E62175">
      <w:pPr>
        <w:keepNext/>
        <w:keepLines/>
        <w:spacing w:after="240"/>
        <w:outlineLvl w:val="0"/>
        <w:rPr>
          <w:b/>
        </w:rPr>
      </w:pPr>
      <w:r w:rsidRPr="00E62175">
        <w:rPr>
          <w:b/>
        </w:rPr>
        <w:t>Recommendation</w:t>
      </w:r>
    </w:p>
    <w:p w14:paraId="451A210A" w14:textId="77777777" w:rsidR="00E62175" w:rsidRPr="00E62175" w:rsidRDefault="00E62175" w:rsidP="00E62175">
      <w:pPr>
        <w:pStyle w:val="Heading1"/>
      </w:pPr>
      <w:r w:rsidRPr="00E62175">
        <w:t>The Executive Committee may wish:</w:t>
      </w:r>
    </w:p>
    <w:p w14:paraId="1672453E" w14:textId="77777777" w:rsidR="00E62175" w:rsidRPr="00E62175" w:rsidRDefault="00E62175" w:rsidP="00E62175">
      <w:pPr>
        <w:pStyle w:val="Heading2"/>
      </w:pPr>
      <w:r w:rsidRPr="00E62175">
        <w:t xml:space="preserve">To note the report on the update on the status of </w:t>
      </w:r>
      <w:bookmarkStart w:id="3" w:name="_Hlk152497896"/>
      <w:r w:rsidRPr="00E62175">
        <w:t>availability of low</w:t>
      </w:r>
      <w:r w:rsidRPr="00E62175">
        <w:noBreakHyphen/>
        <w:t>global</w:t>
      </w:r>
      <w:r w:rsidRPr="00E62175">
        <w:noBreakHyphen/>
        <w:t>warming</w:t>
      </w:r>
      <w:r w:rsidRPr="00E62175">
        <w:noBreakHyphen/>
        <w:t>potential (GWP) alternatives to HCFC-141b in the foam sector and on the transitional use of high</w:t>
      </w:r>
      <w:r w:rsidRPr="00E62175">
        <w:noBreakHyphen/>
        <w:t>GWP alternatives</w:t>
      </w:r>
      <w:bookmarkEnd w:id="3"/>
      <w:r w:rsidRPr="00E62175">
        <w:t xml:space="preserve"> in the context of stage II of the HCFC phase</w:t>
      </w:r>
      <w:r w:rsidRPr="00E62175">
        <w:noBreakHyphen/>
        <w:t>out management plan for Argentina, provided by UNIDO and contained in document UNEP/OzL.Pro/ExCom/95/20; and</w:t>
      </w:r>
    </w:p>
    <w:p w14:paraId="38D70F60" w14:textId="77777777" w:rsidR="00E62175" w:rsidRPr="00E62175" w:rsidRDefault="00E62175" w:rsidP="00E62175">
      <w:pPr>
        <w:pStyle w:val="Heading2"/>
      </w:pPr>
      <w:r w:rsidRPr="00E62175">
        <w:t>To request the Government of Argentina and UNIDO, in line with decision 92/31(c)(ii), to provide an update at the 96</w:t>
      </w:r>
      <w:r w:rsidRPr="00E62175">
        <w:rPr>
          <w:vertAlign w:val="superscript"/>
        </w:rPr>
        <w:t>th</w:t>
      </w:r>
      <w:r w:rsidRPr="00E62175">
        <w:t> meeting on the local market availability of low</w:t>
      </w:r>
      <w:r w:rsidRPr="00E62175">
        <w:noBreakHyphen/>
        <w:t>GWP alternatives to HCFC</w:t>
      </w:r>
      <w:r w:rsidRPr="00E62175">
        <w:noBreakHyphen/>
        <w:t>141b in the foam sector and on the transitional use of high</w:t>
      </w:r>
      <w:r w:rsidRPr="00E62175">
        <w:noBreakHyphen/>
        <w:t>GWP alternatives.</w:t>
      </w:r>
    </w:p>
    <w:p w14:paraId="0625431A" w14:textId="77777777" w:rsidR="006C61E1" w:rsidRPr="006E511C" w:rsidRDefault="006C61E1" w:rsidP="006C61E1">
      <w:pPr>
        <w:keepNext/>
        <w:keepLines/>
        <w:spacing w:after="240"/>
        <w:ind w:left="720"/>
        <w:rPr>
          <w:b/>
          <w:bCs/>
        </w:rPr>
      </w:pPr>
      <w:r w:rsidRPr="006E511C">
        <w:rPr>
          <w:b/>
          <w:bCs/>
          <w:u w:val="single"/>
        </w:rPr>
        <w:t>Bolivia (Plurinational State of): HCFC phase-out management plan (stage II – report on the progress made in establishing a ban on HCFC-based equipment)</w:t>
      </w:r>
      <w:r w:rsidRPr="006E511C">
        <w:rPr>
          <w:b/>
          <w:bCs/>
        </w:rPr>
        <w:t xml:space="preserve"> (UNIDO and UNEP)</w:t>
      </w:r>
    </w:p>
    <w:p w14:paraId="5E8BEC06" w14:textId="77777777" w:rsidR="006C61E1" w:rsidRPr="006E62B8" w:rsidRDefault="006C61E1" w:rsidP="006C61E1">
      <w:pPr>
        <w:spacing w:after="240"/>
        <w:jc w:val="left"/>
        <w:rPr>
          <w:rFonts w:eastAsiaTheme="minorEastAsia"/>
          <w:b/>
          <w:lang w:eastAsia="zh-CN"/>
        </w:rPr>
      </w:pPr>
      <w:r w:rsidRPr="006E62B8">
        <w:rPr>
          <w:rFonts w:eastAsiaTheme="minorEastAsia"/>
          <w:b/>
          <w:lang w:eastAsia="zh-CN"/>
        </w:rPr>
        <w:t>Background</w:t>
      </w:r>
    </w:p>
    <w:p w14:paraId="38EA8922" w14:textId="77777777" w:rsidR="006C61E1" w:rsidRDefault="006C61E1" w:rsidP="006C61E1">
      <w:pPr>
        <w:pStyle w:val="Heading1"/>
      </w:pPr>
      <w:r>
        <w:t xml:space="preserve">Stage II of the </w:t>
      </w:r>
      <w:r w:rsidRPr="006E62B8">
        <w:t>HCFC phase-out management plan (HPMP) for the Plurinational State of Bolivia</w:t>
      </w:r>
      <w:r>
        <w:t xml:space="preserve"> was approved in principle a</w:t>
      </w:r>
      <w:r w:rsidRPr="006E62B8">
        <w:t>t</w:t>
      </w:r>
      <w:r>
        <w:t xml:space="preserve"> the 87</w:t>
      </w:r>
      <w:r w:rsidRPr="00A27A88">
        <w:rPr>
          <w:vertAlign w:val="superscript"/>
        </w:rPr>
        <w:t>th</w:t>
      </w:r>
      <w:r>
        <w:t xml:space="preserve"> meeting, noting the commitment of the country to </w:t>
      </w:r>
      <w:r w:rsidRPr="00027FC6">
        <w:t xml:space="preserve">ban the import of HCFC-based refrigeration and air-conditioning </w:t>
      </w:r>
      <w:r w:rsidRPr="00FA7256">
        <w:t>(RAC)</w:t>
      </w:r>
      <w:r>
        <w:t xml:space="preserve"> </w:t>
      </w:r>
      <w:r w:rsidRPr="00027FC6">
        <w:t>equipment by 1 January 2023</w:t>
      </w:r>
      <w:r>
        <w:t xml:space="preserve"> (</w:t>
      </w:r>
      <w:r w:rsidRPr="00A27A88">
        <w:rPr>
          <w:bCs/>
        </w:rPr>
        <w:t>decision 87/36(b)(i)</w:t>
      </w:r>
      <w:r>
        <w:rPr>
          <w:bCs/>
        </w:rPr>
        <w:t>)</w:t>
      </w:r>
      <w:r>
        <w:t>.</w:t>
      </w:r>
    </w:p>
    <w:p w14:paraId="189BA6DC" w14:textId="77777777" w:rsidR="006C61E1" w:rsidRPr="00C34467" w:rsidRDefault="006C61E1" w:rsidP="006C61E1">
      <w:pPr>
        <w:pStyle w:val="Heading1"/>
        <w:rPr>
          <w:bCs/>
        </w:rPr>
      </w:pPr>
      <w:r>
        <w:t>At the 93</w:t>
      </w:r>
      <w:r w:rsidRPr="00A27A88">
        <w:rPr>
          <w:vertAlign w:val="superscript"/>
        </w:rPr>
        <w:t>rd</w:t>
      </w:r>
      <w:r>
        <w:t xml:space="preserve"> meeting, the country submitted its request for funding for the second tranche of stage II,</w:t>
      </w:r>
      <w:r>
        <w:rPr>
          <w:rStyle w:val="FootnoteReference"/>
        </w:rPr>
        <w:footnoteReference w:id="7"/>
      </w:r>
      <w:r>
        <w:t xml:space="preserve"> in which UNIDO reported on progress of the ban and the </w:t>
      </w:r>
      <w:r w:rsidRPr="009B71AD">
        <w:t>expect</w:t>
      </w:r>
      <w:r>
        <w:t>ation that it would</w:t>
      </w:r>
      <w:r w:rsidRPr="009B71AD">
        <w:t xml:space="preserve"> enter into force by March</w:t>
      </w:r>
      <w:r>
        <w:t> </w:t>
      </w:r>
      <w:r w:rsidRPr="009B71AD">
        <w:t>2024</w:t>
      </w:r>
      <w:r>
        <w:t xml:space="preserve">; </w:t>
      </w:r>
      <w:r w:rsidRPr="00F532AE">
        <w:t>the legal document (Environmental Management Regulations for Ozone-Depleting Substances) for the ban had been dra</w:t>
      </w:r>
      <w:r w:rsidRPr="003153B5">
        <w:t xml:space="preserve">fted and </w:t>
      </w:r>
      <w:r>
        <w:t>wa</w:t>
      </w:r>
      <w:r w:rsidRPr="003153B5">
        <w:t>s expected to come into effect in 2024</w:t>
      </w:r>
      <w:r>
        <w:t>. I</w:t>
      </w:r>
      <w:r w:rsidRPr="003153B5">
        <w:t xml:space="preserve">mporters and stakeholders </w:t>
      </w:r>
      <w:r>
        <w:t>were also being informed of the ban,</w:t>
      </w:r>
      <w:r w:rsidRPr="003153B5">
        <w:t xml:space="preserve"> </w:t>
      </w:r>
      <w:r>
        <w:t xml:space="preserve">and as a result </w:t>
      </w:r>
      <w:r w:rsidRPr="003153B5">
        <w:t xml:space="preserve">no HCFC-based equipment </w:t>
      </w:r>
      <w:r>
        <w:t>was</w:t>
      </w:r>
      <w:r w:rsidRPr="003153B5">
        <w:t xml:space="preserve"> imported in 2023.</w:t>
      </w:r>
    </w:p>
    <w:p w14:paraId="265D00AB" w14:textId="77777777" w:rsidR="006C61E1" w:rsidRDefault="006C61E1" w:rsidP="006C61E1">
      <w:pPr>
        <w:pStyle w:val="Heading1"/>
        <w:rPr>
          <w:bCs/>
        </w:rPr>
      </w:pPr>
      <w:r>
        <w:t>T</w:t>
      </w:r>
      <w:r w:rsidRPr="006E62B8">
        <w:t>he Executive Committee approved the second tranche</w:t>
      </w:r>
      <w:r>
        <w:t xml:space="preserve"> request </w:t>
      </w:r>
      <w:r w:rsidRPr="00A27A88">
        <w:rPr>
          <w:bCs/>
        </w:rPr>
        <w:t>on the understanding that UNIDO w</w:t>
      </w:r>
      <w:r>
        <w:rPr>
          <w:bCs/>
        </w:rPr>
        <w:t>ould</w:t>
      </w:r>
      <w:r w:rsidRPr="00A27A88">
        <w:rPr>
          <w:bCs/>
        </w:rPr>
        <w:t xml:space="preserve"> submit a report on the progress made in establishing the ban on HCFC-based equipment as requested in decision</w:t>
      </w:r>
      <w:r>
        <w:rPr>
          <w:bCs/>
        </w:rPr>
        <w:t> </w:t>
      </w:r>
      <w:r w:rsidRPr="00A27A88">
        <w:rPr>
          <w:bCs/>
        </w:rPr>
        <w:t>87/36(b)(i) to the 95</w:t>
      </w:r>
      <w:r w:rsidRPr="00A27A88">
        <w:rPr>
          <w:bCs/>
          <w:vertAlign w:val="superscript"/>
        </w:rPr>
        <w:t>th</w:t>
      </w:r>
      <w:r>
        <w:rPr>
          <w:bCs/>
        </w:rPr>
        <w:t> </w:t>
      </w:r>
      <w:r w:rsidRPr="00A27A88">
        <w:rPr>
          <w:bCs/>
        </w:rPr>
        <w:t>meeting if the said ban had not been established at that time (decision 93/36).</w:t>
      </w:r>
      <w:r>
        <w:rPr>
          <w:rStyle w:val="FootnoteReference"/>
          <w:bCs/>
        </w:rPr>
        <w:footnoteReference w:id="8"/>
      </w:r>
      <w:r w:rsidRPr="00A27A88">
        <w:rPr>
          <w:bCs/>
        </w:rPr>
        <w:t xml:space="preserve"> </w:t>
      </w:r>
    </w:p>
    <w:p w14:paraId="58EF632E" w14:textId="77777777" w:rsidR="006C61E1" w:rsidRPr="001B736D" w:rsidRDefault="006C61E1" w:rsidP="00077FD6">
      <w:pPr>
        <w:keepNext/>
        <w:spacing w:after="240"/>
        <w:rPr>
          <w:rFonts w:eastAsiaTheme="minorEastAsia"/>
          <w:b/>
          <w:lang w:eastAsia="zh-CN"/>
        </w:rPr>
      </w:pPr>
      <w:r w:rsidRPr="001B736D">
        <w:rPr>
          <w:rFonts w:eastAsiaTheme="minorEastAsia"/>
          <w:b/>
          <w:lang w:eastAsia="zh-CN"/>
        </w:rPr>
        <w:t>Progress report</w:t>
      </w:r>
    </w:p>
    <w:p w14:paraId="72BCCB5A" w14:textId="77777777" w:rsidR="006C61E1" w:rsidRPr="005F4100" w:rsidRDefault="006C61E1" w:rsidP="006C61E1">
      <w:pPr>
        <w:pStyle w:val="Heading1"/>
      </w:pPr>
      <w:r>
        <w:t xml:space="preserve">In line with </w:t>
      </w:r>
      <w:r w:rsidRPr="008111D2">
        <w:rPr>
          <w:bCs/>
        </w:rPr>
        <w:t xml:space="preserve">decision 93/36, </w:t>
      </w:r>
      <w:r w:rsidRPr="005F4100">
        <w:t>UNIDO initially reported</w:t>
      </w:r>
      <w:r>
        <w:t xml:space="preserve"> issues in establishing the ban in the country, namely that </w:t>
      </w:r>
      <w:r w:rsidRPr="005F4100">
        <w:t xml:space="preserve">the Government of </w:t>
      </w:r>
      <w:r w:rsidRPr="006E62B8">
        <w:t xml:space="preserve">the Plurinational State of </w:t>
      </w:r>
      <w:r w:rsidRPr="005F4100">
        <w:t>Bolivia lack</w:t>
      </w:r>
      <w:r>
        <w:t>ed</w:t>
      </w:r>
      <w:r w:rsidRPr="005F4100">
        <w:t xml:space="preserve"> the administrative capacity to issue </w:t>
      </w:r>
      <w:r w:rsidRPr="005F4100">
        <w:lastRenderedPageBreak/>
        <w:t>a regulation banning HCFC-based equipment</w:t>
      </w:r>
      <w:r>
        <w:t xml:space="preserve"> and had limited technical capacity to enforce such a ban</w:t>
      </w:r>
      <w:r w:rsidRPr="005F4100">
        <w:t>.</w:t>
      </w:r>
      <w:r>
        <w:t xml:space="preserve"> </w:t>
      </w:r>
      <w:r w:rsidRPr="00F532AE">
        <w:t>The draft regulation had</w:t>
      </w:r>
      <w:r>
        <w:t xml:space="preserve"> been</w:t>
      </w:r>
      <w:r w:rsidRPr="005F4100">
        <w:t xml:space="preserve"> submitted to the Legal Directorate of the Ministry of Environment for consideration</w:t>
      </w:r>
      <w:r>
        <w:t xml:space="preserve"> in 2023 but did not otherwise advance.</w:t>
      </w:r>
    </w:p>
    <w:p w14:paraId="4FD22E43" w14:textId="77777777" w:rsidR="006C61E1" w:rsidRPr="002C28C4" w:rsidRDefault="006C61E1" w:rsidP="003479EB">
      <w:pPr>
        <w:keepNext/>
        <w:spacing w:after="240"/>
        <w:outlineLvl w:val="0"/>
        <w:rPr>
          <w:rFonts w:eastAsiaTheme="minorEastAsia"/>
          <w:b/>
          <w:lang w:eastAsia="zh-CN"/>
        </w:rPr>
      </w:pPr>
      <w:r w:rsidRPr="002C28C4">
        <w:rPr>
          <w:rFonts w:eastAsiaTheme="minorEastAsia"/>
          <w:b/>
          <w:lang w:eastAsia="zh-CN"/>
        </w:rPr>
        <w:t>Secretariat’s comments</w:t>
      </w:r>
    </w:p>
    <w:p w14:paraId="4D458FD7" w14:textId="77777777" w:rsidR="006C61E1" w:rsidRPr="005014EC" w:rsidRDefault="006C61E1" w:rsidP="006C61E1">
      <w:pPr>
        <w:pStyle w:val="Heading1"/>
        <w:rPr>
          <w:lang w:val="en-US"/>
        </w:rPr>
      </w:pPr>
      <w:r w:rsidRPr="0037217E">
        <w:t xml:space="preserve">Following </w:t>
      </w:r>
      <w:r>
        <w:t xml:space="preserve">discussions with the Secretariat, UNIDO reported that </w:t>
      </w:r>
      <w:r w:rsidRPr="00FA7256">
        <w:t xml:space="preserve">the institution in charge of </w:t>
      </w:r>
      <w:r>
        <w:t>pre</w:t>
      </w:r>
      <w:r w:rsidRPr="00FA7256">
        <w:t>authoriz</w:t>
      </w:r>
      <w:r>
        <w:t>ing</w:t>
      </w:r>
      <w:r w:rsidRPr="00FA7256">
        <w:t xml:space="preserve"> import</w:t>
      </w:r>
      <w:r>
        <w:t>s</w:t>
      </w:r>
      <w:r w:rsidRPr="00FA7256">
        <w:t xml:space="preserve"> of </w:t>
      </w:r>
      <w:r>
        <w:t>RAC</w:t>
      </w:r>
      <w:r w:rsidRPr="00FA7256">
        <w:t xml:space="preserve"> equipment, </w:t>
      </w:r>
      <w:r>
        <w:t>t</w:t>
      </w:r>
      <w:r w:rsidRPr="00FA7256">
        <w:t>he Bolivian Institute of Metrology, is no</w:t>
      </w:r>
      <w:r>
        <w:t xml:space="preserve"> longer</w:t>
      </w:r>
      <w:r w:rsidRPr="00FA7256">
        <w:t xml:space="preserve"> authorizing the entry of HCFC-based RAC </w:t>
      </w:r>
      <w:r>
        <w:t>equipment</w:t>
      </w:r>
      <w:r w:rsidRPr="00FA7256">
        <w:t>.</w:t>
      </w:r>
      <w:r w:rsidRPr="007E0666">
        <w:rPr>
          <w:rFonts w:ascii="Calibri" w:hAnsi="Calibri" w:cs="Calibri"/>
          <w:color w:val="1F497D"/>
          <w:lang w:val="en-US"/>
        </w:rPr>
        <w:t xml:space="preserve"> </w:t>
      </w:r>
      <w:r>
        <w:t xml:space="preserve">Subsequently, the national ozone unit, through UNIDO, </w:t>
      </w:r>
      <w:r w:rsidRPr="00F532AE">
        <w:t xml:space="preserve">informed that the </w:t>
      </w:r>
      <w:r>
        <w:t>draft regulation</w:t>
      </w:r>
      <w:r w:rsidRPr="00F532AE">
        <w:t xml:space="preserve"> had been </w:t>
      </w:r>
      <w:r w:rsidRPr="00F333B2">
        <w:t>updated following observations</w:t>
      </w:r>
      <w:r w:rsidRPr="00F333B2">
        <w:rPr>
          <w:lang w:val="en-US"/>
        </w:rPr>
        <w:t xml:space="preserve"> by the Ministry, and on 17 October 2024, the regulation was signed to officialize</w:t>
      </w:r>
      <w:r>
        <w:rPr>
          <w:lang w:val="en-US"/>
        </w:rPr>
        <w:t xml:space="preserve"> the ban.</w:t>
      </w:r>
    </w:p>
    <w:p w14:paraId="00ABFA3C" w14:textId="77777777" w:rsidR="006C61E1" w:rsidRPr="00A015BE" w:rsidRDefault="006C61E1" w:rsidP="006C61E1">
      <w:pPr>
        <w:spacing w:after="240"/>
        <w:rPr>
          <w:rFonts w:eastAsiaTheme="minorEastAsia"/>
          <w:b/>
          <w:lang w:eastAsia="zh-CN"/>
        </w:rPr>
      </w:pPr>
      <w:r w:rsidRPr="00A015BE">
        <w:rPr>
          <w:rFonts w:eastAsiaTheme="minorEastAsia"/>
          <w:b/>
          <w:lang w:eastAsia="zh-CN"/>
        </w:rPr>
        <w:t>Recommendation</w:t>
      </w:r>
    </w:p>
    <w:p w14:paraId="60AB7C14" w14:textId="77777777" w:rsidR="006C61E1" w:rsidRPr="001D1F5B" w:rsidRDefault="006C61E1" w:rsidP="006C61E1">
      <w:pPr>
        <w:pStyle w:val="Heading1"/>
      </w:pPr>
      <w:r w:rsidRPr="0081433C">
        <w:rPr>
          <w:rFonts w:eastAsiaTheme="minorEastAsia"/>
          <w:lang w:eastAsia="zh-CN"/>
        </w:rPr>
        <w:t xml:space="preserve">The Executive Committee may wish </w:t>
      </w:r>
      <w:r>
        <w:rPr>
          <w:rFonts w:eastAsiaTheme="minorEastAsia"/>
          <w:lang w:eastAsia="zh-CN"/>
        </w:rPr>
        <w:t>t</w:t>
      </w:r>
      <w:r w:rsidRPr="0081433C">
        <w:rPr>
          <w:rFonts w:eastAsiaTheme="minorEastAsia"/>
          <w:lang w:eastAsia="zh-CN"/>
        </w:rPr>
        <w:t xml:space="preserve">o note the report on </w:t>
      </w:r>
      <w:r w:rsidRPr="0081433C">
        <w:rPr>
          <w:bCs/>
        </w:rPr>
        <w:t xml:space="preserve">the progress made in establishing the ban on HCFC-based equipment </w:t>
      </w:r>
      <w:r w:rsidRPr="0081433C">
        <w:rPr>
          <w:rFonts w:eastAsiaTheme="minorEastAsia"/>
          <w:lang w:eastAsia="zh-CN"/>
        </w:rPr>
        <w:t xml:space="preserve">for </w:t>
      </w:r>
      <w:r w:rsidRPr="006E62B8">
        <w:t xml:space="preserve">the </w:t>
      </w:r>
      <w:r w:rsidRPr="0081433C">
        <w:rPr>
          <w:rFonts w:eastAsiaTheme="minorEastAsia"/>
          <w:lang w:eastAsia="zh-CN"/>
        </w:rPr>
        <w:t>Plurinational</w:t>
      </w:r>
      <w:r w:rsidRPr="006E62B8">
        <w:t xml:space="preserve"> State of Bolivia</w:t>
      </w:r>
      <w:r w:rsidRPr="0081433C">
        <w:rPr>
          <w:rFonts w:eastAsiaTheme="minorEastAsia"/>
          <w:lang w:eastAsia="zh-CN"/>
        </w:rPr>
        <w:t xml:space="preserve">, as submitted by UNIDO and contained in </w:t>
      </w:r>
      <w:r w:rsidRPr="001D1F5B">
        <w:rPr>
          <w:rFonts w:eastAsiaTheme="minorEastAsia"/>
          <w:lang w:eastAsia="zh-CN"/>
        </w:rPr>
        <w:t>document UNEP/OzL.Pro/ExCom/95/20.</w:t>
      </w:r>
      <w:r w:rsidRPr="001D1F5B">
        <w:t xml:space="preserve"> </w:t>
      </w:r>
    </w:p>
    <w:p w14:paraId="62F3F1B3" w14:textId="7FEF304A" w:rsidR="00CA4D81" w:rsidRPr="006C61E1" w:rsidRDefault="00CA4D81" w:rsidP="00CA4D81">
      <w:pPr>
        <w:spacing w:before="240" w:after="240"/>
        <w:ind w:left="720"/>
        <w:rPr>
          <w:b/>
          <w:bCs/>
          <w:u w:val="single"/>
        </w:rPr>
      </w:pPr>
      <w:r w:rsidRPr="006C61E1">
        <w:rPr>
          <w:b/>
          <w:bCs/>
          <w:u w:val="single"/>
        </w:rPr>
        <w:t>Honduras: HCFC phase-out management plan (stage II – update on the progress toward implementing the recommendations in the verification report)</w:t>
      </w:r>
      <w:r w:rsidRPr="006C61E1">
        <w:rPr>
          <w:b/>
          <w:bCs/>
        </w:rPr>
        <w:t xml:space="preserve"> (UNIDO and UNEP)</w:t>
      </w:r>
    </w:p>
    <w:p w14:paraId="4902CA61" w14:textId="797E35B5" w:rsidR="003548CB" w:rsidRPr="006C61E1" w:rsidRDefault="00CA4D81" w:rsidP="006C61E1">
      <w:pPr>
        <w:spacing w:after="240"/>
        <w:rPr>
          <w:b/>
        </w:rPr>
      </w:pPr>
      <w:r w:rsidRPr="00CA4D81">
        <w:rPr>
          <w:b/>
        </w:rPr>
        <w:t>Background</w:t>
      </w:r>
    </w:p>
    <w:p w14:paraId="77762EB1" w14:textId="03DCCF21" w:rsidR="00CA4D81" w:rsidRPr="00CA4D81" w:rsidRDefault="00CA4D81" w:rsidP="003548CB">
      <w:pPr>
        <w:pStyle w:val="Heading1"/>
        <w:rPr>
          <w:rFonts w:eastAsiaTheme="minorHAnsi"/>
        </w:rPr>
      </w:pPr>
      <w:r w:rsidRPr="00CA4D81">
        <w:rPr>
          <w:rFonts w:eastAsiaTheme="minorHAnsi"/>
        </w:rPr>
        <w:t>At the 92</w:t>
      </w:r>
      <w:r w:rsidRPr="00CA4D81">
        <w:rPr>
          <w:rFonts w:eastAsiaTheme="minorHAnsi"/>
          <w:vertAlign w:val="superscript"/>
        </w:rPr>
        <w:t>nd</w:t>
      </w:r>
      <w:r w:rsidRPr="00CA4D81">
        <w:rPr>
          <w:rFonts w:eastAsiaTheme="minorHAnsi"/>
        </w:rPr>
        <w:t xml:space="preserve"> meeting, the verification report was submitted together with the request for the second tranche of stage II of the HCFC phase-out management plan (HPMP) for Honduras. The verification showed that while still in compliance, the verified consumption figures for 2020 and 2021 differed from those reported under the country programme (CP) implementation and Article 7 data reports. The verification reiterated recommendations on this issue from previous verifications that had only been partially addressed. The recommendations included, </w:t>
      </w:r>
      <w:r w:rsidRPr="00CA4D81">
        <w:rPr>
          <w:rFonts w:eastAsiaTheme="minorHAnsi"/>
          <w:i/>
          <w:iCs/>
        </w:rPr>
        <w:t>inter alia</w:t>
      </w:r>
      <w:r w:rsidRPr="00CA4D81">
        <w:rPr>
          <w:rFonts w:eastAsiaTheme="minorHAnsi"/>
        </w:rPr>
        <w:t xml:space="preserve">, implementing unique numerical identification for each import authorization; requiring export licenses for HCFCs and other ODSs; and enhancing customs training efforts to ensure accurate customs declarations, particularly concerning the reported net weight. The Secretariat considered that following these recommendations fully would assist the Government in improving data recording accuracy and reducing reporting errors. </w:t>
      </w:r>
    </w:p>
    <w:p w14:paraId="0BEA2282" w14:textId="77777777" w:rsidR="00CA4D81" w:rsidRPr="00CA4D81" w:rsidRDefault="00CA4D81" w:rsidP="00CA4D81">
      <w:pPr>
        <w:numPr>
          <w:ilvl w:val="0"/>
          <w:numId w:val="31"/>
        </w:numPr>
        <w:spacing w:after="240"/>
        <w:outlineLvl w:val="0"/>
        <w:rPr>
          <w:rFonts w:eastAsiaTheme="minorHAnsi"/>
        </w:rPr>
      </w:pPr>
      <w:r w:rsidRPr="00CA4D81">
        <w:rPr>
          <w:rFonts w:eastAsiaTheme="minorHAnsi"/>
        </w:rPr>
        <w:t>Accordingly, in approving the second tranche for stage II of the HPMP for Honduras, the Executive Committee requested UNIDO to submit to the 94</w:t>
      </w:r>
      <w:r w:rsidRPr="00CA4D81">
        <w:rPr>
          <w:rFonts w:eastAsiaTheme="minorHAnsi"/>
          <w:vertAlign w:val="superscript"/>
        </w:rPr>
        <w:t>th</w:t>
      </w:r>
      <w:r w:rsidRPr="00CA4D81">
        <w:rPr>
          <w:rFonts w:eastAsiaTheme="minorHAnsi"/>
        </w:rPr>
        <w:t xml:space="preserve"> meeting an update on the progress toward implementing the recommendations in the verification report, including actions taken by the Government to ensure the accuracy of CP implementation and Article 7 data submitted to the Fund and Ozone Secretariats, respectively (decision 92/24).</w:t>
      </w:r>
      <w:r w:rsidRPr="00CA4D81">
        <w:rPr>
          <w:rFonts w:eastAsiaTheme="minorHAnsi"/>
          <w:vertAlign w:val="superscript"/>
        </w:rPr>
        <w:footnoteReference w:id="9"/>
      </w:r>
      <w:r w:rsidRPr="00CA4D81">
        <w:rPr>
          <w:rFonts w:eastAsiaTheme="minorHAnsi"/>
        </w:rPr>
        <w:t xml:space="preserve"> </w:t>
      </w:r>
    </w:p>
    <w:p w14:paraId="303A7F6A" w14:textId="77777777" w:rsidR="00CA4D81" w:rsidRPr="00CA4D81" w:rsidRDefault="00CA4D81" w:rsidP="00483708">
      <w:pPr>
        <w:keepNext/>
        <w:spacing w:after="240"/>
        <w:outlineLvl w:val="0"/>
        <w:rPr>
          <w:rFonts w:eastAsiaTheme="minorHAnsi"/>
          <w:b/>
          <w:bCs/>
        </w:rPr>
      </w:pPr>
      <w:r w:rsidRPr="00CA4D81">
        <w:rPr>
          <w:rFonts w:eastAsiaTheme="minorHAnsi"/>
          <w:b/>
          <w:bCs/>
        </w:rPr>
        <w:t>Progress report</w:t>
      </w:r>
    </w:p>
    <w:p w14:paraId="4F36C319" w14:textId="77777777" w:rsidR="00CA4D81" w:rsidRPr="00CA4D81" w:rsidRDefault="00CA4D81" w:rsidP="00CA4D81">
      <w:pPr>
        <w:numPr>
          <w:ilvl w:val="0"/>
          <w:numId w:val="31"/>
        </w:numPr>
        <w:spacing w:after="240"/>
        <w:outlineLvl w:val="0"/>
        <w:rPr>
          <w:rFonts w:eastAsiaTheme="minorHAnsi"/>
        </w:rPr>
      </w:pPr>
      <w:r w:rsidRPr="00CA4D81">
        <w:rPr>
          <w:rFonts w:eastAsiaTheme="minorHAnsi"/>
        </w:rPr>
        <w:t>In response to the decision, UNIDO, on behalf of the Government of Honduras submitted to the 95</w:t>
      </w:r>
      <w:r w:rsidRPr="00CA4D81">
        <w:rPr>
          <w:rFonts w:eastAsiaTheme="minorHAnsi"/>
          <w:vertAlign w:val="superscript"/>
        </w:rPr>
        <w:t>th</w:t>
      </w:r>
      <w:r w:rsidRPr="00CA4D81">
        <w:rPr>
          <w:rFonts w:eastAsiaTheme="minorHAnsi"/>
        </w:rPr>
        <w:t> meeting an update on the progress toward implementing the recommendations of the verification report, highlighting the following:</w:t>
      </w:r>
    </w:p>
    <w:p w14:paraId="02E77BC4" w14:textId="77777777" w:rsidR="00CA4D81" w:rsidRPr="00CA4D81" w:rsidRDefault="00CA4D81" w:rsidP="00077FD6">
      <w:pPr>
        <w:numPr>
          <w:ilvl w:val="1"/>
          <w:numId w:val="31"/>
        </w:numPr>
        <w:spacing w:after="240"/>
        <w:outlineLvl w:val="1"/>
        <w:rPr>
          <w:rFonts w:eastAsiaTheme="minorHAnsi"/>
        </w:rPr>
      </w:pPr>
      <w:r w:rsidRPr="00CA4D81">
        <w:rPr>
          <w:rFonts w:eastAsiaTheme="minorHAnsi"/>
        </w:rPr>
        <w:t>In addition to import licenses, the Government of Honduras has established a requirement for export licenses for substances controlled by the Montreal Protocol and equipment containing them. Licenses are also mandatory for controlled substances or equipment in transit;</w:t>
      </w:r>
    </w:p>
    <w:p w14:paraId="0583ADFA" w14:textId="77777777" w:rsidR="00CA4D81" w:rsidRPr="00CA4D81" w:rsidRDefault="00CA4D81" w:rsidP="003479EB">
      <w:pPr>
        <w:numPr>
          <w:ilvl w:val="1"/>
          <w:numId w:val="31"/>
        </w:numPr>
        <w:spacing w:after="240"/>
        <w:outlineLvl w:val="1"/>
        <w:rPr>
          <w:rFonts w:eastAsiaTheme="minorHAnsi"/>
        </w:rPr>
      </w:pPr>
      <w:r w:rsidRPr="00CA4D81">
        <w:rPr>
          <w:rFonts w:eastAsiaTheme="minorHAnsi"/>
        </w:rPr>
        <w:lastRenderedPageBreak/>
        <w:t>All licenses are now issued with a unique number for each type of imported substances and equipment. The National Ozone Unit (NOU) is also developing a QR code for each license, which will serve as a unique identifier for customs import declarations. Initial tests have been successful, and the system is expected to be operational during the last quarter of 2024;</w:t>
      </w:r>
    </w:p>
    <w:p w14:paraId="27B603E6" w14:textId="77777777" w:rsidR="00CA4D81" w:rsidRPr="00CA4D81" w:rsidRDefault="00CA4D81" w:rsidP="00CA4D81">
      <w:pPr>
        <w:widowControl w:val="0"/>
        <w:numPr>
          <w:ilvl w:val="1"/>
          <w:numId w:val="31"/>
        </w:numPr>
        <w:spacing w:after="240"/>
        <w:outlineLvl w:val="1"/>
        <w:rPr>
          <w:rFonts w:eastAsiaTheme="minorHAnsi"/>
        </w:rPr>
      </w:pPr>
      <w:r w:rsidRPr="00CA4D81">
        <w:rPr>
          <w:rFonts w:eastAsiaTheme="minorHAnsi"/>
        </w:rPr>
        <w:t>The NOU plans to launch an electronic registration system for importers and import/export licenses in the first quarter of 2025. This system aims to improve data management and enhance the accuracy of consumption reports; and</w:t>
      </w:r>
    </w:p>
    <w:p w14:paraId="0CC0623E" w14:textId="77777777" w:rsidR="00CA4D81" w:rsidRPr="00CA4D81" w:rsidRDefault="00CA4D81" w:rsidP="00CA4D81">
      <w:pPr>
        <w:widowControl w:val="0"/>
        <w:numPr>
          <w:ilvl w:val="1"/>
          <w:numId w:val="31"/>
        </w:numPr>
        <w:spacing w:after="240"/>
        <w:outlineLvl w:val="1"/>
        <w:rPr>
          <w:rFonts w:eastAsiaTheme="minorHAnsi"/>
        </w:rPr>
      </w:pPr>
      <w:r w:rsidRPr="00CA4D81">
        <w:rPr>
          <w:rFonts w:eastAsiaTheme="minorHAnsi"/>
        </w:rPr>
        <w:t>In cooperation with the customs department, the NOU conducted three training workshops in 2024 for 100 customs agents at major entry points. These workshops focused on controlling the traffic of controlled substances, including accurately declaring net weight in import/export customs declarations.</w:t>
      </w:r>
    </w:p>
    <w:p w14:paraId="4B85AAFE" w14:textId="77777777" w:rsidR="00CA4D81" w:rsidRPr="00CA4D81" w:rsidRDefault="00CA4D81" w:rsidP="00CA4D81">
      <w:pPr>
        <w:keepNext/>
        <w:rPr>
          <w:rFonts w:eastAsiaTheme="minorHAnsi"/>
          <w:b/>
          <w:bCs/>
        </w:rPr>
      </w:pPr>
      <w:r w:rsidRPr="00CA4D81">
        <w:rPr>
          <w:rFonts w:eastAsiaTheme="minorHAnsi"/>
          <w:b/>
          <w:bCs/>
        </w:rPr>
        <w:t>Secretariat’s comments</w:t>
      </w:r>
    </w:p>
    <w:p w14:paraId="61FDB8E3" w14:textId="77777777" w:rsidR="00CA4D81" w:rsidRPr="00CA4D81" w:rsidRDefault="00CA4D81" w:rsidP="00CA4D81">
      <w:pPr>
        <w:keepNext/>
        <w:rPr>
          <w:rFonts w:eastAsiaTheme="minorHAnsi"/>
        </w:rPr>
      </w:pPr>
    </w:p>
    <w:p w14:paraId="5DAAC01E" w14:textId="137CB0F2" w:rsidR="00CA4D81" w:rsidRPr="00CA4D81" w:rsidRDefault="00CA4D81" w:rsidP="00CA4D81">
      <w:pPr>
        <w:keepNext/>
        <w:numPr>
          <w:ilvl w:val="0"/>
          <w:numId w:val="31"/>
        </w:numPr>
        <w:spacing w:after="240"/>
        <w:outlineLvl w:val="0"/>
        <w:rPr>
          <w:rFonts w:eastAsiaTheme="minorHAnsi"/>
        </w:rPr>
      </w:pPr>
      <w:r w:rsidRPr="00CA4D81">
        <w:rPr>
          <w:rFonts w:eastAsiaTheme="minorHAnsi"/>
        </w:rPr>
        <w:t>The Secretariat notes that the Government of Honduras is actively working to implement the recommendations from the verification report. The enhancements being made to the systems for recording and issuing import/export licenses and customs declarations will improve data analysis and increase CP</w:t>
      </w:r>
      <w:r w:rsidR="00887AA5">
        <w:rPr>
          <w:rFonts w:eastAsiaTheme="minorHAnsi"/>
        </w:rPr>
        <w:t> </w:t>
      </w:r>
      <w:r w:rsidRPr="00CA4D81">
        <w:rPr>
          <w:rFonts w:eastAsiaTheme="minorHAnsi"/>
        </w:rPr>
        <w:t>implementation and Article 7 data reports accuracy. The Secretariat will continue monitoring this issue as part of the tranche progress reports to be included in future tranche requests, with the next one due at the 96</w:t>
      </w:r>
      <w:r w:rsidRPr="00CA4D81">
        <w:rPr>
          <w:rFonts w:eastAsiaTheme="minorHAnsi"/>
          <w:vertAlign w:val="superscript"/>
        </w:rPr>
        <w:t>th</w:t>
      </w:r>
      <w:r w:rsidRPr="00CA4D81">
        <w:rPr>
          <w:rFonts w:eastAsiaTheme="minorHAnsi"/>
        </w:rPr>
        <w:t xml:space="preserve"> meeting. </w:t>
      </w:r>
    </w:p>
    <w:p w14:paraId="7A992F10" w14:textId="77777777" w:rsidR="00CA4D81" w:rsidRPr="00CA4D81" w:rsidRDefault="00CA4D81" w:rsidP="00CA4D81">
      <w:pPr>
        <w:rPr>
          <w:rFonts w:eastAsiaTheme="minorHAnsi"/>
          <w:b/>
          <w:bCs/>
        </w:rPr>
      </w:pPr>
      <w:r w:rsidRPr="00CA4D81">
        <w:rPr>
          <w:rFonts w:eastAsiaTheme="minorHAnsi"/>
          <w:b/>
          <w:bCs/>
        </w:rPr>
        <w:t>Recommendation</w:t>
      </w:r>
    </w:p>
    <w:p w14:paraId="61AF75CB" w14:textId="77777777" w:rsidR="00CA4D81" w:rsidRPr="00CA4D81" w:rsidRDefault="00CA4D81" w:rsidP="00CA4D81">
      <w:pPr>
        <w:rPr>
          <w:rFonts w:eastAsiaTheme="minorHAnsi"/>
        </w:rPr>
      </w:pPr>
    </w:p>
    <w:p w14:paraId="2346C5B0" w14:textId="77777777" w:rsidR="00CA4D81" w:rsidRPr="00CA4D81" w:rsidRDefault="00CA4D81" w:rsidP="00CA4D81">
      <w:pPr>
        <w:numPr>
          <w:ilvl w:val="0"/>
          <w:numId w:val="31"/>
        </w:numPr>
        <w:spacing w:after="240"/>
        <w:outlineLvl w:val="0"/>
        <w:rPr>
          <w:rFonts w:eastAsiaTheme="minorHAnsi"/>
        </w:rPr>
      </w:pPr>
      <w:r w:rsidRPr="00CA4D81">
        <w:rPr>
          <w:rFonts w:eastAsiaTheme="minorHAnsi"/>
        </w:rPr>
        <w:t>The Executive Committee may wish to note the update on the progress toward implementing the recommendations in the verification report for the second tranche of stage II of the HCFC phase-out management plan for Honduras, submitted by UNIDO and contained in document UNEP/OzL.Pro/ExCom/95/20.</w:t>
      </w:r>
    </w:p>
    <w:p w14:paraId="4B98E7AC" w14:textId="77777777" w:rsidR="003479EB" w:rsidRPr="003479EB" w:rsidRDefault="003479EB" w:rsidP="001A2F97">
      <w:pPr>
        <w:ind w:left="720"/>
        <w:jc w:val="left"/>
        <w:rPr>
          <w:b/>
          <w:bCs/>
          <w:u w:val="single"/>
        </w:rPr>
      </w:pPr>
      <w:r w:rsidRPr="003479EB">
        <w:rPr>
          <w:b/>
          <w:bCs/>
          <w:u w:val="single"/>
        </w:rPr>
        <w:t>Mauritania: HCFC phase-out management plan (stage I – steps taken to strengthen the HCFC import and export licensing and quota systems)</w:t>
      </w:r>
      <w:r w:rsidRPr="003479EB">
        <w:rPr>
          <w:b/>
          <w:bCs/>
        </w:rPr>
        <w:t xml:space="preserve"> (UNEP)</w:t>
      </w:r>
    </w:p>
    <w:p w14:paraId="43FC8ED9" w14:textId="77777777" w:rsidR="003479EB" w:rsidRPr="003479EB" w:rsidRDefault="003479EB" w:rsidP="003479EB">
      <w:pPr>
        <w:ind w:left="720"/>
        <w:jc w:val="left"/>
        <w:rPr>
          <w:b/>
          <w:bCs/>
          <w:u w:val="single"/>
        </w:rPr>
      </w:pPr>
    </w:p>
    <w:p w14:paraId="4B00F1C0" w14:textId="77777777" w:rsidR="003479EB" w:rsidRPr="003479EB" w:rsidRDefault="003479EB" w:rsidP="003479EB">
      <w:pPr>
        <w:jc w:val="left"/>
        <w:rPr>
          <w:b/>
          <w:bCs/>
        </w:rPr>
      </w:pPr>
      <w:r w:rsidRPr="003479EB">
        <w:rPr>
          <w:b/>
          <w:bCs/>
        </w:rPr>
        <w:t>Background</w:t>
      </w:r>
    </w:p>
    <w:p w14:paraId="7E472132" w14:textId="77777777" w:rsidR="003479EB" w:rsidRPr="003479EB" w:rsidRDefault="003479EB" w:rsidP="003479EB">
      <w:pPr>
        <w:jc w:val="left"/>
      </w:pPr>
    </w:p>
    <w:p w14:paraId="09D18230" w14:textId="77777777" w:rsidR="003479EB" w:rsidRPr="003479EB" w:rsidRDefault="003479EB" w:rsidP="005A6A82">
      <w:pPr>
        <w:numPr>
          <w:ilvl w:val="0"/>
          <w:numId w:val="33"/>
        </w:numPr>
        <w:spacing w:after="240"/>
        <w:outlineLvl w:val="0"/>
      </w:pPr>
      <w:r w:rsidRPr="003479EB">
        <w:t>At its 93</w:t>
      </w:r>
      <w:r w:rsidRPr="003479EB">
        <w:rPr>
          <w:vertAlign w:val="superscript"/>
        </w:rPr>
        <w:t>rd</w:t>
      </w:r>
      <w:r w:rsidRPr="003479EB">
        <w:t xml:space="preserve"> meeting, the Executive Committee noted the status of the review of the HCFC survey report, the recommendations on the revised starting point and the revised Agreement between the Government of Mauritania and the Executive Committee in the context of the HCFC phase-out management plan (HPMP) for Mauritania, and requested UNEP to continue assisting the Government of Mauritania in strengthening its licensing and quota system as well as its systems for recording imports and exports of HCFCs to enable it to account for the export of HCFCs used by foreign vessels from 2023; to improve the use of customs codes; and to report at the 95</w:t>
      </w:r>
      <w:r w:rsidRPr="003479EB">
        <w:rPr>
          <w:vertAlign w:val="superscript"/>
        </w:rPr>
        <w:t>th</w:t>
      </w:r>
      <w:r w:rsidRPr="003479EB">
        <w:t xml:space="preserve"> meeting on the steps taken to strengthen the HCFC import and export licensing and quota systems (decision 93/24(b)).</w:t>
      </w:r>
    </w:p>
    <w:p w14:paraId="457C2B34" w14:textId="77777777" w:rsidR="003479EB" w:rsidRPr="003479EB" w:rsidRDefault="003479EB" w:rsidP="003479EB">
      <w:pPr>
        <w:spacing w:after="240"/>
        <w:outlineLvl w:val="0"/>
      </w:pPr>
      <w:r w:rsidRPr="003479EB">
        <w:rPr>
          <w:b/>
          <w:bCs/>
        </w:rPr>
        <w:t>Progress report</w:t>
      </w:r>
    </w:p>
    <w:p w14:paraId="47923378" w14:textId="6A1EE14B" w:rsidR="003479EB" w:rsidRPr="003479EB" w:rsidRDefault="003479EB" w:rsidP="003479EB">
      <w:pPr>
        <w:numPr>
          <w:ilvl w:val="0"/>
          <w:numId w:val="33"/>
        </w:numPr>
        <w:spacing w:after="240"/>
        <w:outlineLvl w:val="0"/>
        <w:rPr>
          <w:b/>
          <w:bCs/>
        </w:rPr>
      </w:pPr>
      <w:r w:rsidRPr="003479EB">
        <w:t xml:space="preserve">In line with decision 93/24(b), on behalf of the Government of Mauritania, UNEP as the designated implementing agency, has submitted a report outlining the steps taken during 2024. </w:t>
      </w:r>
      <w:r w:rsidRPr="003479EB">
        <w:rPr>
          <w:lang w:val="en-US"/>
        </w:rPr>
        <w:t>Mauritania has trained 95 customs and enforcement officers on the harmoniz</w:t>
      </w:r>
      <w:r w:rsidR="00ED3A44">
        <w:rPr>
          <w:lang w:val="en-US"/>
        </w:rPr>
        <w:t>ed</w:t>
      </w:r>
      <w:r w:rsidRPr="003479EB">
        <w:rPr>
          <w:lang w:val="en-US"/>
        </w:rPr>
        <w:t xml:space="preserve"> system code and HCFC control regulations in the current year. Furthermore, the country has added enforcement measures to its mechanism to monitor HCFC imports/exports by strengthening control over the sale, purchase, circulation, and use of refrigerants utilized by foreign vessels. As of July 2024, importers must provide a sales register for HCFCs used by foreign </w:t>
      </w:r>
      <w:r w:rsidRPr="003479EB">
        <w:rPr>
          <w:lang w:val="en-US"/>
        </w:rPr>
        <w:lastRenderedPageBreak/>
        <w:t xml:space="preserve">vessels, which is crucial for tracking licensing and quota authorization, and port authorities must submit lists of docked ships detailing the HCFC quantities purchased and used every quarter. </w:t>
      </w:r>
    </w:p>
    <w:p w14:paraId="4ECD6AAB" w14:textId="77777777" w:rsidR="003479EB" w:rsidRPr="003479EB" w:rsidRDefault="003479EB" w:rsidP="003479EB">
      <w:pPr>
        <w:spacing w:after="240"/>
        <w:jc w:val="left"/>
        <w:outlineLvl w:val="0"/>
        <w:rPr>
          <w:b/>
          <w:bCs/>
        </w:rPr>
      </w:pPr>
      <w:r w:rsidRPr="003479EB">
        <w:rPr>
          <w:b/>
          <w:bCs/>
        </w:rPr>
        <w:t>Secretariat’s comments</w:t>
      </w:r>
    </w:p>
    <w:p w14:paraId="3982076D" w14:textId="77777777" w:rsidR="003479EB" w:rsidRPr="003479EB" w:rsidRDefault="003479EB" w:rsidP="003479EB">
      <w:pPr>
        <w:numPr>
          <w:ilvl w:val="0"/>
          <w:numId w:val="33"/>
        </w:numPr>
        <w:contextualSpacing/>
        <w:rPr>
          <w:b/>
          <w:bCs/>
        </w:rPr>
      </w:pPr>
      <w:r w:rsidRPr="003479EB">
        <w:t xml:space="preserve">The Secretariat notes the status report providing an update on the strengthening of Mauritania licensing and quota system, including the records of imports and exports of HCFCs to enable the country to account for the export of HCFCs used by foreign vessels from 2024 and to improve the use of customs codes and training for customs and enforcement officers. The report submitted by UNEP also highlights the role of the port authorities to cross-check the data received from the importers. In summary, determining the use of HCFCs by foreign vessels is addressed through the information provided by these stakeholders. </w:t>
      </w:r>
    </w:p>
    <w:p w14:paraId="4C63AA40" w14:textId="77777777" w:rsidR="003479EB" w:rsidRPr="003479EB" w:rsidRDefault="003479EB" w:rsidP="003479EB">
      <w:pPr>
        <w:contextualSpacing/>
        <w:rPr>
          <w:b/>
          <w:bCs/>
        </w:rPr>
      </w:pPr>
    </w:p>
    <w:p w14:paraId="2687484C" w14:textId="77777777" w:rsidR="003479EB" w:rsidRPr="003479EB" w:rsidRDefault="003479EB" w:rsidP="003479EB">
      <w:pPr>
        <w:numPr>
          <w:ilvl w:val="0"/>
          <w:numId w:val="33"/>
        </w:numPr>
        <w:spacing w:after="240"/>
        <w:outlineLvl w:val="0"/>
      </w:pPr>
      <w:r w:rsidRPr="003479EB">
        <w:t xml:space="preserve">The tracking system for HCFC use in foreign vessels was not implemented in 2023 as the decision to put it in place was only made in December of that year. The Secretariat notes that the information on </w:t>
      </w:r>
      <w:r w:rsidRPr="003479EB">
        <w:rPr>
          <w:lang w:val="en-US"/>
        </w:rPr>
        <w:t>the use of HCFCs in shipments for 2023 will require a field study and asked UNEP to complete it as part of the survey for preparing stage II of the HPMP.</w:t>
      </w:r>
    </w:p>
    <w:p w14:paraId="2EED466E" w14:textId="77777777" w:rsidR="003479EB" w:rsidRPr="003479EB" w:rsidRDefault="003479EB" w:rsidP="003479EB">
      <w:pPr>
        <w:spacing w:after="240"/>
        <w:outlineLvl w:val="0"/>
        <w:rPr>
          <w:b/>
          <w:bCs/>
        </w:rPr>
      </w:pPr>
      <w:r w:rsidRPr="003479EB">
        <w:rPr>
          <w:b/>
          <w:bCs/>
        </w:rPr>
        <w:t>Recommendation</w:t>
      </w:r>
    </w:p>
    <w:p w14:paraId="5FB3B3FD" w14:textId="77777777" w:rsidR="003479EB" w:rsidRPr="003479EB" w:rsidRDefault="003479EB" w:rsidP="003479EB">
      <w:pPr>
        <w:numPr>
          <w:ilvl w:val="0"/>
          <w:numId w:val="33"/>
        </w:numPr>
        <w:contextualSpacing/>
      </w:pPr>
      <w:r w:rsidRPr="003479EB">
        <w:t>The Executive Committee may wish:</w:t>
      </w:r>
    </w:p>
    <w:p w14:paraId="0C0CDC70" w14:textId="77777777" w:rsidR="003479EB" w:rsidRPr="003479EB" w:rsidRDefault="003479EB" w:rsidP="003479EB">
      <w:pPr>
        <w:contextualSpacing/>
      </w:pPr>
    </w:p>
    <w:p w14:paraId="64715AE6" w14:textId="77777777" w:rsidR="003479EB" w:rsidRPr="003479EB" w:rsidRDefault="003479EB" w:rsidP="003479EB">
      <w:pPr>
        <w:pStyle w:val="Heading2"/>
      </w:pPr>
      <w:r w:rsidRPr="003479EB">
        <w:t xml:space="preserve">To note the report on the steps taken to strengthen the HCFC import and export licensing and quota systems for Mauritania, in the context of its stage I of the HCFC phase-out management plan (HPMP), as submitted by UNEP and contained in document UNEP/OzL.Pro/ExCom/95/20; </w:t>
      </w:r>
    </w:p>
    <w:p w14:paraId="6BB91BD1" w14:textId="77777777" w:rsidR="003479EB" w:rsidRPr="003479EB" w:rsidRDefault="003479EB" w:rsidP="003479EB">
      <w:pPr>
        <w:pStyle w:val="Heading2"/>
      </w:pPr>
      <w:r w:rsidRPr="003479EB">
        <w:t>To request:</w:t>
      </w:r>
    </w:p>
    <w:p w14:paraId="376D2134" w14:textId="77777777" w:rsidR="003479EB" w:rsidRPr="003479EB" w:rsidRDefault="003479EB" w:rsidP="003479EB">
      <w:pPr>
        <w:pStyle w:val="Heading3"/>
      </w:pPr>
      <w:r w:rsidRPr="003479EB">
        <w:t>UNEP to prepare a report on the uses of HCFCs by foreign vessels in 2023 as part of the preparation of stage II of the HPMP for Mauritania and to include the report as part of the submission of stage II; and</w:t>
      </w:r>
    </w:p>
    <w:p w14:paraId="709FA087" w14:textId="77777777" w:rsidR="003479EB" w:rsidRPr="003479EB" w:rsidRDefault="003479EB" w:rsidP="003479EB">
      <w:pPr>
        <w:pStyle w:val="Heading3"/>
      </w:pPr>
      <w:r w:rsidRPr="003479EB">
        <w:t>The Government of Mauritania to start reporting as of 2024 the HCFC types and amounts used by foreign vessels in the country programme implementation reports and Article 7 data.</w:t>
      </w:r>
    </w:p>
    <w:p w14:paraId="37367E86" w14:textId="4DEA6164" w:rsidR="00483708" w:rsidRPr="00760E25" w:rsidRDefault="00483708" w:rsidP="00483708">
      <w:pPr>
        <w:spacing w:after="240"/>
        <w:ind w:left="709"/>
        <w:rPr>
          <w:b/>
          <w:bCs/>
          <w:u w:val="single"/>
        </w:rPr>
      </w:pPr>
      <w:r w:rsidRPr="00760E25">
        <w:rPr>
          <w:b/>
          <w:bCs/>
          <w:u w:val="single"/>
        </w:rPr>
        <w:t>Viet Nam: HCFC phase</w:t>
      </w:r>
      <w:r w:rsidRPr="00760E25">
        <w:rPr>
          <w:b/>
          <w:bCs/>
          <w:u w:val="single"/>
        </w:rPr>
        <w:noBreakHyphen/>
        <w:t>out management plan (stage II – final progress report)</w:t>
      </w:r>
      <w:r w:rsidRPr="00760E25">
        <w:rPr>
          <w:b/>
          <w:bCs/>
        </w:rPr>
        <w:t xml:space="preserve"> (World Bank and the Government of Japan)</w:t>
      </w:r>
    </w:p>
    <w:p w14:paraId="40A0A10A" w14:textId="77777777" w:rsidR="00483708" w:rsidRPr="00760E25" w:rsidRDefault="00483708" w:rsidP="00483708">
      <w:pPr>
        <w:spacing w:after="240"/>
        <w:rPr>
          <w:b/>
          <w:bCs/>
        </w:rPr>
      </w:pPr>
      <w:r w:rsidRPr="00760E25">
        <w:rPr>
          <w:b/>
          <w:bCs/>
        </w:rPr>
        <w:t>Background</w:t>
      </w:r>
    </w:p>
    <w:p w14:paraId="6D4EC59C" w14:textId="77777777" w:rsidR="00483708" w:rsidRPr="00760E25" w:rsidRDefault="00483708" w:rsidP="00F81A98">
      <w:pPr>
        <w:pStyle w:val="Heading1"/>
        <w:numPr>
          <w:ilvl w:val="0"/>
          <w:numId w:val="43"/>
        </w:numPr>
      </w:pPr>
      <w:r w:rsidRPr="00760E25">
        <w:t>In approving the fourth and final tranche of stage II of the HCFC phase-out management plan (HPMP) for Viet Nam, the Executive Committee requested the Government of Viet Nam, the World Bank and the Government of Japan to submit, at the first meeting in 2024, a progress report on the implementation of the final tranche of stage II of the HPMP (decision 91/57(c)).</w:t>
      </w:r>
    </w:p>
    <w:p w14:paraId="01FFEEBB" w14:textId="77777777" w:rsidR="00483708" w:rsidRPr="00760E25" w:rsidRDefault="00483708" w:rsidP="00483708">
      <w:pPr>
        <w:pStyle w:val="Heading1"/>
      </w:pPr>
      <w:r w:rsidRPr="00760E25">
        <w:t>In April 2024, the World Bank submitted the progress report in line with decision 91/57(c), as well as the verification report on HCFC consumption for 2022.</w:t>
      </w:r>
      <w:r>
        <w:rPr>
          <w:rStyle w:val="FootnoteReference"/>
        </w:rPr>
        <w:footnoteReference w:id="10"/>
      </w:r>
    </w:p>
    <w:p w14:paraId="5276358D" w14:textId="77777777" w:rsidR="00483708" w:rsidRPr="00760E25" w:rsidRDefault="00483708" w:rsidP="00077FD6">
      <w:pPr>
        <w:keepNext/>
        <w:spacing w:after="240"/>
        <w:rPr>
          <w:b/>
          <w:bCs/>
        </w:rPr>
      </w:pPr>
      <w:r w:rsidRPr="00760E25">
        <w:rPr>
          <w:b/>
          <w:bCs/>
        </w:rPr>
        <w:lastRenderedPageBreak/>
        <w:t>Progress report</w:t>
      </w:r>
    </w:p>
    <w:p w14:paraId="1BF15637" w14:textId="77777777" w:rsidR="00483708" w:rsidRPr="00760E25" w:rsidRDefault="00483708" w:rsidP="00483708">
      <w:pPr>
        <w:keepNext/>
        <w:spacing w:after="240"/>
        <w:rPr>
          <w:iCs/>
          <w:u w:val="single"/>
        </w:rPr>
      </w:pPr>
      <w:r w:rsidRPr="00760E25">
        <w:rPr>
          <w:iCs/>
          <w:u w:val="single"/>
        </w:rPr>
        <w:t>HCFC consumption and verification</w:t>
      </w:r>
    </w:p>
    <w:p w14:paraId="14854D5B" w14:textId="77777777" w:rsidR="00483708" w:rsidRPr="00760E25" w:rsidRDefault="00483708" w:rsidP="00483708">
      <w:pPr>
        <w:pStyle w:val="Heading1"/>
      </w:pPr>
      <w:r w:rsidRPr="00760E25">
        <w:t xml:space="preserve">The Government of Viet Nam reported a consumption of 137.46 ODP tonnes of HCFCs in 2023, which is </w:t>
      </w:r>
      <w:r>
        <w:t>38</w:t>
      </w:r>
      <w:r w:rsidRPr="00760E25">
        <w:t> per cent below the country’s HCFC baseline for compliance. The 2022 verification report confirmed that the consumption of HCFCs was accurately reported under Article 7 of the Montreal Protocol</w:t>
      </w:r>
      <w:r>
        <w:t xml:space="preserve"> for that year</w:t>
      </w:r>
      <w:r w:rsidRPr="00760E25">
        <w:t>. The verification concluded that Viet Nam is in compliance with the thresholds as stipulated in the Agreement between the Government and the Executive Committee. The verification report did not address consumption of HCFC-141b contained in imported pre</w:t>
      </w:r>
      <w:r w:rsidRPr="00760E25">
        <w:noBreakHyphen/>
        <w:t>blended polyols.</w:t>
      </w:r>
    </w:p>
    <w:p w14:paraId="58F55993" w14:textId="77777777" w:rsidR="00483708" w:rsidRPr="00760E25" w:rsidRDefault="00483708" w:rsidP="00483708">
      <w:pPr>
        <w:spacing w:after="160" w:line="278" w:lineRule="auto"/>
        <w:jc w:val="left"/>
        <w:rPr>
          <w:iCs/>
          <w:u w:val="single"/>
        </w:rPr>
      </w:pPr>
      <w:r w:rsidRPr="00760E25">
        <w:rPr>
          <w:iCs/>
          <w:u w:val="single"/>
        </w:rPr>
        <w:t>Legal framework</w:t>
      </w:r>
    </w:p>
    <w:p w14:paraId="577A3B1C" w14:textId="77777777" w:rsidR="00483708" w:rsidRPr="00760E25" w:rsidRDefault="00483708" w:rsidP="00483708">
      <w:pPr>
        <w:pStyle w:val="Heading1"/>
      </w:pPr>
      <w:r w:rsidRPr="00760E25">
        <w:t>Under the fourth tranche, four workshops were organized and 150 customs officers trained on controlling and monitoring HCFC imports and exports, for a total 350 customs officers trained under stage II. The Government banned the import of HCFC-141b contained in imported pre-blended polyols on 1 January 2023, in line with decision 90/22(d)(i).</w:t>
      </w:r>
    </w:p>
    <w:p w14:paraId="073A91CB" w14:textId="77777777" w:rsidR="00483708" w:rsidRPr="00760E25" w:rsidRDefault="00483708" w:rsidP="00483708">
      <w:pPr>
        <w:spacing w:after="160" w:line="278" w:lineRule="auto"/>
        <w:jc w:val="left"/>
        <w:rPr>
          <w:iCs/>
          <w:u w:val="single"/>
        </w:rPr>
      </w:pPr>
      <w:r w:rsidRPr="00760E25">
        <w:rPr>
          <w:iCs/>
          <w:u w:val="single"/>
        </w:rPr>
        <w:t>Manufacturing sector</w:t>
      </w:r>
    </w:p>
    <w:p w14:paraId="6CF7CC72" w14:textId="77777777" w:rsidR="00483708" w:rsidRPr="00760E25" w:rsidRDefault="00483708" w:rsidP="00483708">
      <w:pPr>
        <w:spacing w:after="160" w:line="278" w:lineRule="auto"/>
        <w:jc w:val="left"/>
        <w:rPr>
          <w:i/>
        </w:rPr>
      </w:pPr>
      <w:r w:rsidRPr="00760E25">
        <w:rPr>
          <w:i/>
        </w:rPr>
        <w:t xml:space="preserve">Air-conditioning manufacturing </w:t>
      </w:r>
    </w:p>
    <w:p w14:paraId="796B17FD" w14:textId="77777777" w:rsidR="00483708" w:rsidRPr="00760E25" w:rsidRDefault="00483708" w:rsidP="00483708">
      <w:pPr>
        <w:pStyle w:val="Heading1"/>
      </w:pPr>
      <w:r w:rsidRPr="00760E25">
        <w:t>Two air</w:t>
      </w:r>
      <w:r w:rsidRPr="00760E25">
        <w:noBreakHyphen/>
        <w:t>conditioning (AC) manufacturing enterprises participating in stage II of the HPMP (Hoa Phat and Nagakawa) received the remaining equipment needed for conversion to HFC</w:t>
      </w:r>
      <w:r w:rsidRPr="00760E25">
        <w:noBreakHyphen/>
        <w:t>32; the new equipment is in operation and the two projects are complete, for a total 51.65 mt phased out in this sector.</w:t>
      </w:r>
    </w:p>
    <w:p w14:paraId="1C843861" w14:textId="77777777" w:rsidR="00483708" w:rsidRPr="00760E25" w:rsidRDefault="00483708" w:rsidP="00483708">
      <w:pPr>
        <w:spacing w:after="160" w:line="278" w:lineRule="auto"/>
        <w:jc w:val="left"/>
        <w:rPr>
          <w:i/>
        </w:rPr>
      </w:pPr>
      <w:r w:rsidRPr="00760E25">
        <w:rPr>
          <w:i/>
        </w:rPr>
        <w:t xml:space="preserve">Polyurethane foam manufacturing </w:t>
      </w:r>
    </w:p>
    <w:p w14:paraId="17739145" w14:textId="77777777" w:rsidR="00483708" w:rsidRPr="00760E25" w:rsidRDefault="00483708" w:rsidP="00483708">
      <w:pPr>
        <w:pStyle w:val="Heading1"/>
      </w:pPr>
      <w:r w:rsidRPr="00760E25">
        <w:t>In the polyurethane (PU) foam sector, the two enterprises expected to complete their conversion to cyclopentane (Yantai Moon and Tran Huu Duc) and two to pre</w:t>
      </w:r>
      <w:r w:rsidRPr="00760E25">
        <w:noBreakHyphen/>
        <w:t>blended cyclopentane (Darling and Tan A) have been completed, phasing out a total annual consumption of 140.95 mt of HCFC</w:t>
      </w:r>
      <w:r w:rsidRPr="00760E25">
        <w:noBreakHyphen/>
        <w:t>141b contained in pre</w:t>
      </w:r>
      <w:r w:rsidRPr="00760E25">
        <w:noBreakHyphen/>
        <w:t>blended polyols. Fifteen small and medium</w:t>
      </w:r>
      <w:r w:rsidRPr="00760E25">
        <w:noBreakHyphen/>
        <w:t>sized enterprises (SMEs) were converted to reduced formulations of HFO pre-blended polyols with the assistance of GreenMat serving as a blending house and providing technical assistance and training, phasing out a further 85.94 mt. Along with the enterprise converted under the third tranche, Saree (consuming 7.00 mt in foam manufacturing), a total of 233.89 mt was phased out in the PU foam sector under stage II.</w:t>
      </w:r>
    </w:p>
    <w:p w14:paraId="4798C81A" w14:textId="77777777" w:rsidR="00483708" w:rsidRPr="00760E25" w:rsidRDefault="00483708" w:rsidP="00483708">
      <w:pPr>
        <w:keepNext/>
        <w:spacing w:after="160" w:line="278" w:lineRule="auto"/>
        <w:jc w:val="left"/>
        <w:rPr>
          <w:i/>
          <w:iCs/>
        </w:rPr>
      </w:pPr>
      <w:r w:rsidRPr="00760E25">
        <w:rPr>
          <w:i/>
          <w:iCs/>
        </w:rPr>
        <w:t xml:space="preserve">Refrigeration manufacturing </w:t>
      </w:r>
    </w:p>
    <w:p w14:paraId="4B416496" w14:textId="77777777" w:rsidR="00483708" w:rsidRPr="00760E25" w:rsidRDefault="00483708" w:rsidP="00483708">
      <w:pPr>
        <w:pStyle w:val="Heading1"/>
      </w:pPr>
      <w:r w:rsidRPr="00760E25">
        <w:t>At the 91</w:t>
      </w:r>
      <w:r w:rsidRPr="00760E25">
        <w:rPr>
          <w:vertAlign w:val="superscript"/>
        </w:rPr>
        <w:t>st</w:t>
      </w:r>
      <w:r w:rsidRPr="00760E25">
        <w:t xml:space="preserve"> meeting, two enterprises (Saree and Nam Dung) were expected to convert from HCFC</w:t>
      </w:r>
      <w:r w:rsidRPr="00760E25">
        <w:noBreakHyphen/>
        <w:t>22 to ammonia; since then, Saree (consuming 14.49 mt in refrigeration manufacturing) has completed its conversion whereas Nam Dung decided to withdraw from the project. The plan for a group coordinator to assist four SMEs to low-GWP alternatives did not materialize; however, an additional SME, Hai An (consuming 1.65 mt), was able to convert with the assistance of the project implementation and monitoring unit (PMU). Along with the enterprise converted under the third tranche, Phuong Nam (consuming 9.82 mt), a total of 25.96 mt was phased out in the refrigeration manufacturing sector under stage II.</w:t>
      </w:r>
    </w:p>
    <w:p w14:paraId="26BCB1D9" w14:textId="77777777" w:rsidR="00483708" w:rsidRPr="00760E25" w:rsidRDefault="00483708" w:rsidP="00483708">
      <w:pPr>
        <w:spacing w:after="160" w:line="278" w:lineRule="auto"/>
        <w:jc w:val="left"/>
        <w:rPr>
          <w:i/>
        </w:rPr>
      </w:pPr>
      <w:r w:rsidRPr="00760E25">
        <w:rPr>
          <w:i/>
        </w:rPr>
        <w:t>Technical assistance</w:t>
      </w:r>
    </w:p>
    <w:p w14:paraId="2FFFA621" w14:textId="77777777" w:rsidR="00483708" w:rsidRPr="00760E25" w:rsidRDefault="00483708" w:rsidP="00483708">
      <w:pPr>
        <w:pStyle w:val="Heading1"/>
      </w:pPr>
      <w:r w:rsidRPr="00760E25">
        <w:t>Technical assistance continued under the fourth tranche and included guidance to facilitate the sustainable introduction of low-GWP alternatives, an evaluation of technology effectiveness at select</w:t>
      </w:r>
      <w:r>
        <w:t>ed</w:t>
      </w:r>
      <w:r w:rsidRPr="00760E25">
        <w:t xml:space="preserve"> converted enterprises, and assistance in subproject preparation and training programmes.</w:t>
      </w:r>
    </w:p>
    <w:p w14:paraId="7D9500B9" w14:textId="77777777" w:rsidR="00483708" w:rsidRPr="00760E25" w:rsidRDefault="00483708" w:rsidP="00077FD6">
      <w:pPr>
        <w:keepNext/>
        <w:spacing w:after="160" w:line="278" w:lineRule="auto"/>
        <w:jc w:val="left"/>
        <w:rPr>
          <w:iCs/>
          <w:u w:val="single"/>
        </w:rPr>
      </w:pPr>
      <w:r w:rsidRPr="00760E25">
        <w:rPr>
          <w:iCs/>
          <w:u w:val="single"/>
        </w:rPr>
        <w:lastRenderedPageBreak/>
        <w:t>Refrigeration servicing sector</w:t>
      </w:r>
    </w:p>
    <w:p w14:paraId="5849B703" w14:textId="77777777" w:rsidR="00483708" w:rsidRPr="00760E25" w:rsidRDefault="00483708" w:rsidP="00483708">
      <w:pPr>
        <w:pStyle w:val="Heading1"/>
      </w:pPr>
      <w:r w:rsidRPr="00760E25">
        <w:t>The following activities were implemented in the servicing sector under the fourth tranche:</w:t>
      </w:r>
    </w:p>
    <w:p w14:paraId="1EFEC708" w14:textId="77777777" w:rsidR="00483708" w:rsidRPr="00760E25" w:rsidRDefault="00483708" w:rsidP="00483708">
      <w:pPr>
        <w:pStyle w:val="Heading2"/>
      </w:pPr>
      <w:r w:rsidRPr="00760E25">
        <w:t>Technical assistance continued to be implemented under the Government of Japan for an AC manufacturer and other stakeholders;</w:t>
      </w:r>
    </w:p>
    <w:p w14:paraId="2F2648B0" w14:textId="77777777" w:rsidR="00483708" w:rsidRPr="00760E25" w:rsidRDefault="00483708" w:rsidP="00483708">
      <w:pPr>
        <w:pStyle w:val="Heading2"/>
        <w:widowControl/>
      </w:pPr>
      <w:r w:rsidRPr="00760E25">
        <w:t>Two training-of-trainers workshops were held for 77 vocational school trainers, and 2,000</w:t>
      </w:r>
      <w:r>
        <w:t> </w:t>
      </w:r>
      <w:r w:rsidRPr="00760E25">
        <w:t xml:space="preserve">technicians were trained on good servicing practices and the safe handling of flammable refrigerants, for a total 187 trainers and 3,200 technicians trained under stage II; </w:t>
      </w:r>
    </w:p>
    <w:p w14:paraId="6ABF460D" w14:textId="77777777" w:rsidR="00483708" w:rsidRPr="00760E25" w:rsidRDefault="00483708" w:rsidP="00483708">
      <w:pPr>
        <w:pStyle w:val="Heading2"/>
      </w:pPr>
      <w:r w:rsidRPr="00760E25">
        <w:t>Tool kits (e.g., leak detector; pressure gauge; refrigerant recovery machine; refrigerant containing tank; vacuum pump; AC unit; tool set of torque wrench, flaring, and tubing cutter; refrigerant scale) were delivered to 45 vocational training schools (110 total), and 200 tool kits (e.g., vacuum pump; tool set of torque wrench, flaring, and tubing cutter) were delivered to servicing shops (300 total); and</w:t>
      </w:r>
    </w:p>
    <w:p w14:paraId="46EF50D1" w14:textId="77777777" w:rsidR="00483708" w:rsidRPr="00760E25" w:rsidRDefault="00483708" w:rsidP="00483708">
      <w:pPr>
        <w:pStyle w:val="Heading2"/>
      </w:pPr>
      <w:r w:rsidRPr="00760E25">
        <w:t>An online database of trained technicians and training activities was developed, a certification and assessment standard for the training of technicians was drafted, and workshops were held to disseminate the training programme results.</w:t>
      </w:r>
    </w:p>
    <w:p w14:paraId="65FC3193" w14:textId="77777777" w:rsidR="00483708" w:rsidRPr="00760E25" w:rsidRDefault="00483708" w:rsidP="00483708">
      <w:pPr>
        <w:spacing w:after="160" w:line="278" w:lineRule="auto"/>
        <w:jc w:val="left"/>
        <w:rPr>
          <w:iCs/>
          <w:u w:val="single"/>
        </w:rPr>
      </w:pPr>
      <w:r w:rsidRPr="00760E25">
        <w:rPr>
          <w:iCs/>
          <w:u w:val="single"/>
        </w:rPr>
        <w:t>Project implementation and monitoring unit</w:t>
      </w:r>
    </w:p>
    <w:p w14:paraId="1706B177" w14:textId="77777777" w:rsidR="00483708" w:rsidRPr="00760E25" w:rsidRDefault="00483708" w:rsidP="00483708">
      <w:pPr>
        <w:pStyle w:val="Heading1"/>
      </w:pPr>
      <w:r w:rsidRPr="00760E25">
        <w:t xml:space="preserve">Under the fourth tranche, the PMU commissioned an independent financial audit, upgraded their administrative software, and continued to support five project staff to review quotas, assist enterprises to implement their subprojects, monitor the implementation of project activities, conduct financial audits of project expenditures, develop project implementation and financial reports, and coordinate reporting. </w:t>
      </w:r>
      <w:bookmarkStart w:id="4" w:name="_Hlk117521544"/>
      <w:r w:rsidRPr="00760E25">
        <w:t>Cumulative disbursements for the PMU were US $624,515, including staff salaries (US $464,664), consultants (US $17,021), office equipment and software (US $26,961), HCFC consumption verification (US $24,034), meetings (US $4,968), and operational costs (US $86,867).</w:t>
      </w:r>
      <w:bookmarkEnd w:id="4"/>
    </w:p>
    <w:p w14:paraId="76D2ECA2" w14:textId="77777777" w:rsidR="00483708" w:rsidRPr="00760E25" w:rsidRDefault="00483708" w:rsidP="00483708">
      <w:pPr>
        <w:keepNext/>
        <w:spacing w:after="240"/>
        <w:rPr>
          <w:u w:val="single"/>
        </w:rPr>
      </w:pPr>
      <w:r w:rsidRPr="00760E25">
        <w:rPr>
          <w:u w:val="single"/>
        </w:rPr>
        <w:t>Level of fund disbursement</w:t>
      </w:r>
    </w:p>
    <w:p w14:paraId="14CCEADB" w14:textId="77777777" w:rsidR="00483708" w:rsidRPr="00760E25" w:rsidRDefault="00483708" w:rsidP="00483708">
      <w:pPr>
        <w:pStyle w:val="Heading1"/>
      </w:pPr>
      <w:r w:rsidRPr="00760E25">
        <w:t xml:space="preserve">As of 31 March 2024, of the US $7,208,300 approved under stage II, US $613,568 had been </w:t>
      </w:r>
      <w:r w:rsidRPr="00D40E28">
        <w:t>returned to the Multilateral Fund at the 87</w:t>
      </w:r>
      <w:r w:rsidRPr="00D40E28">
        <w:rPr>
          <w:vertAlign w:val="superscript"/>
        </w:rPr>
        <w:t>th</w:t>
      </w:r>
      <w:r w:rsidRPr="00D40E28">
        <w:t xml:space="preserve"> meeting and US $6,016,334 had been disbursed (US $5,785,005</w:t>
      </w:r>
      <w:r w:rsidRPr="00760E25">
        <w:t xml:space="preserve"> for the World Bank and US $231,329 for the Government of Japan). </w:t>
      </w:r>
      <w:r w:rsidRPr="00B45EE5">
        <w:t>The World Bank and the Government of Japan are returning to the 95</w:t>
      </w:r>
      <w:r w:rsidRPr="00B45EE5">
        <w:rPr>
          <w:vertAlign w:val="superscript"/>
        </w:rPr>
        <w:t>th</w:t>
      </w:r>
      <w:r w:rsidRPr="00B45EE5">
        <w:t> meeting the</w:t>
      </w:r>
      <w:r>
        <w:t>ir respective</w:t>
      </w:r>
      <w:r w:rsidRPr="00B45EE5">
        <w:t xml:space="preserve"> balance of US $576,097 and US $2,301, plus agency support costs.</w:t>
      </w:r>
      <w:r w:rsidRPr="00B45EE5">
        <w:rPr>
          <w:rStyle w:val="FootnoteReference"/>
        </w:rPr>
        <w:footnoteReference w:id="11"/>
      </w:r>
      <w:r>
        <w:t xml:space="preserve"> </w:t>
      </w:r>
    </w:p>
    <w:p w14:paraId="145A8B88" w14:textId="77777777" w:rsidR="00483708" w:rsidRPr="00760E25" w:rsidRDefault="00483708" w:rsidP="00483708">
      <w:pPr>
        <w:keepNext/>
        <w:spacing w:after="240"/>
        <w:rPr>
          <w:b/>
          <w:bCs/>
        </w:rPr>
      </w:pPr>
      <w:r w:rsidRPr="00760E25">
        <w:rPr>
          <w:b/>
          <w:bCs/>
        </w:rPr>
        <w:t>Secretariat’s comments</w:t>
      </w:r>
    </w:p>
    <w:p w14:paraId="70A7AE2E" w14:textId="77777777" w:rsidR="00483708" w:rsidRPr="00A15C5B" w:rsidRDefault="00483708" w:rsidP="00483708">
      <w:pPr>
        <w:keepNext/>
        <w:spacing w:after="240"/>
        <w:rPr>
          <w:u w:val="single"/>
        </w:rPr>
      </w:pPr>
      <w:r w:rsidRPr="00A15C5B">
        <w:rPr>
          <w:u w:val="single"/>
        </w:rPr>
        <w:t>Progress report</w:t>
      </w:r>
    </w:p>
    <w:p w14:paraId="6BD20961" w14:textId="77777777" w:rsidR="00483708" w:rsidRPr="00760E25" w:rsidRDefault="00483708" w:rsidP="00483708">
      <w:pPr>
        <w:keepNext/>
        <w:spacing w:after="160" w:line="278" w:lineRule="auto"/>
        <w:jc w:val="left"/>
        <w:rPr>
          <w:i/>
        </w:rPr>
      </w:pPr>
      <w:r w:rsidRPr="00760E25">
        <w:rPr>
          <w:i/>
        </w:rPr>
        <w:t xml:space="preserve">Air-conditioning manufacturing </w:t>
      </w:r>
      <w:r>
        <w:rPr>
          <w:i/>
        </w:rPr>
        <w:t>sector</w:t>
      </w:r>
    </w:p>
    <w:p w14:paraId="73BEB304" w14:textId="77777777" w:rsidR="00483708" w:rsidRPr="00760E25" w:rsidRDefault="00483708" w:rsidP="00483708">
      <w:pPr>
        <w:pStyle w:val="Heading1"/>
        <w:keepNext/>
        <w:rPr>
          <w:i/>
          <w:iCs/>
        </w:rPr>
      </w:pPr>
      <w:r w:rsidRPr="00760E25">
        <w:t xml:space="preserve">Savings of US $158,305 were achieved during the conversion at Nagakawa from lower training costs, </w:t>
      </w:r>
      <w:r>
        <w:t xml:space="preserve">lower </w:t>
      </w:r>
      <w:r w:rsidRPr="00760E25">
        <w:t>operating costs</w:t>
      </w:r>
      <w:r>
        <w:t>,</w:t>
      </w:r>
      <w:r w:rsidRPr="00760E25">
        <w:t xml:space="preserve"> and competitive procurement, and of US $27,563 during the conversion at Hoa Phat as the enterprise procured some of the equipment with its own resources. Both enterprises successfully completed their conversion and have not faced a challenge in selling HFC-32-based AC</w:t>
      </w:r>
      <w:r>
        <w:t xml:space="preserve"> unit</w:t>
      </w:r>
      <w:r w:rsidRPr="00760E25">
        <w:t>s in the country. However, neither enterprise is currently manufacturing AC</w:t>
      </w:r>
      <w:r>
        <w:t xml:space="preserve"> equipment</w:t>
      </w:r>
      <w:r w:rsidRPr="00760E25">
        <w:t xml:space="preserve"> because the AC market in Viet Nam </w:t>
      </w:r>
      <w:r w:rsidRPr="00760E25">
        <w:lastRenderedPageBreak/>
        <w:t>continues to be highly competitive and the enterprise</w:t>
      </w:r>
      <w:r>
        <w:t>s</w:t>
      </w:r>
      <w:r w:rsidRPr="00760E25">
        <w:t xml:space="preserve"> have struggled to compete with low-cost HFC-32 AC</w:t>
      </w:r>
      <w:r>
        <w:t xml:space="preserve"> units</w:t>
      </w:r>
      <w:r w:rsidRPr="00760E25">
        <w:t xml:space="preserve"> imported from other countries in the region. </w:t>
      </w:r>
    </w:p>
    <w:p w14:paraId="75E68621" w14:textId="77777777" w:rsidR="00483708" w:rsidRPr="00760E25" w:rsidRDefault="00483708" w:rsidP="00483708">
      <w:pPr>
        <w:pStyle w:val="Heading1"/>
        <w:numPr>
          <w:ilvl w:val="0"/>
          <w:numId w:val="0"/>
        </w:numPr>
        <w:rPr>
          <w:i/>
          <w:iCs/>
        </w:rPr>
      </w:pPr>
      <w:r w:rsidRPr="00760E25">
        <w:rPr>
          <w:i/>
        </w:rPr>
        <w:t xml:space="preserve">Polyurethane </w:t>
      </w:r>
      <w:r w:rsidRPr="00760E25">
        <w:rPr>
          <w:i/>
          <w:iCs/>
        </w:rPr>
        <w:t>foam manufacturing sector</w:t>
      </w:r>
    </w:p>
    <w:p w14:paraId="27B48C90" w14:textId="77777777" w:rsidR="00483708" w:rsidRPr="00760E25" w:rsidRDefault="00483708" w:rsidP="00483708">
      <w:pPr>
        <w:pStyle w:val="Heading1"/>
      </w:pPr>
      <w:r w:rsidRPr="00760E25">
        <w:t>While GreenMat was only able to assist 15 rather than the 20 SMEs originally planned, the phase</w:t>
      </w:r>
      <w:r>
        <w:noBreakHyphen/>
      </w:r>
      <w:r w:rsidRPr="00760E25">
        <w:t>out associated with the consumption at those 15 SMEs was 85.94 mt of HCFC-141b contained in imported pre-blended polyols, which is greater than the anticipated phase-out of 75</w:t>
      </w:r>
      <w:r>
        <w:t>.00</w:t>
      </w:r>
      <w:r w:rsidRPr="00760E25">
        <w:t xml:space="preserve"> mt. Accordingly, the phase-out in the foam sector is 233.89 mt of HCFC-141b contained in imported pre-blended polyols, which is higher than the minimum phase-out of 222.95 mt specified in decision 91/57(b). The list of SMEs assisted under the PU foam manufacturing sector, as well as those assisted under the refrigeration manufacturing sector, is available in the project completion report submitted by the World Bank, in line with decisions</w:t>
      </w:r>
      <w:r>
        <w:t> </w:t>
      </w:r>
      <w:r w:rsidRPr="00760E25">
        <w:t>90/22(c)(</w:t>
      </w:r>
      <w:proofErr w:type="gramStart"/>
      <w:r w:rsidRPr="00760E25">
        <w:t>ii)c</w:t>
      </w:r>
      <w:proofErr w:type="gramEnd"/>
      <w:r w:rsidRPr="00760E25">
        <w:t xml:space="preserve"> and 90/22(c)(iii)b.</w:t>
      </w:r>
    </w:p>
    <w:p w14:paraId="54812B6E" w14:textId="77777777" w:rsidR="00483708" w:rsidRPr="00C237DE" w:rsidRDefault="00483708" w:rsidP="00483708">
      <w:pPr>
        <w:pStyle w:val="Heading1"/>
        <w:rPr>
          <w:i/>
          <w:iCs/>
        </w:rPr>
      </w:pPr>
      <w:r w:rsidRPr="00760E25">
        <w:t>While some time and effort were needed by GreenMat to initially establish a supply of HFO</w:t>
      </w:r>
      <w:r>
        <w:noBreakHyphen/>
      </w:r>
      <w:r w:rsidRPr="00760E25">
        <w:t xml:space="preserve">1233zd, that supply chain has been established, enabling the availability of the HFO. However, accessibility of HFO-1233zd continues to be </w:t>
      </w:r>
      <w:r>
        <w:t xml:space="preserve">a </w:t>
      </w:r>
      <w:r w:rsidRPr="00760E25">
        <w:t>challenge given the relatively high price of the HFO, a challenge exacerbated by the limited demand and the need to import material in small batches. GreenMat has continued to work on formulations to develop systems that are (further) reduced with water to lower the price of HFO-1233zd pre-blended systems.</w:t>
      </w:r>
    </w:p>
    <w:p w14:paraId="7A6C00DC" w14:textId="77777777" w:rsidR="00483708" w:rsidRPr="00760E25" w:rsidRDefault="00483708" w:rsidP="00483708">
      <w:pPr>
        <w:pStyle w:val="Heading1"/>
        <w:numPr>
          <w:ilvl w:val="0"/>
          <w:numId w:val="0"/>
        </w:numPr>
        <w:rPr>
          <w:i/>
          <w:iCs/>
        </w:rPr>
      </w:pPr>
      <w:r w:rsidRPr="00760E25">
        <w:rPr>
          <w:i/>
          <w:iCs/>
        </w:rPr>
        <w:t>Refrigeration manufacturing sector</w:t>
      </w:r>
    </w:p>
    <w:p w14:paraId="1C69F953" w14:textId="77777777" w:rsidR="00483708" w:rsidRPr="00760E25" w:rsidRDefault="00483708" w:rsidP="00483708">
      <w:pPr>
        <w:pStyle w:val="Heading1"/>
      </w:pPr>
      <w:r w:rsidRPr="00760E25">
        <w:t>As further discussed at the 90</w:t>
      </w:r>
      <w:r w:rsidRPr="00760E25">
        <w:rPr>
          <w:vertAlign w:val="superscript"/>
        </w:rPr>
        <w:t>th</w:t>
      </w:r>
      <w:r w:rsidRPr="00760E25">
        <w:t xml:space="preserve"> meeting, ensuring the participation of enterprises in the refrigeration manufacturing sector was a substantial challenge given that numerous enterprises had shifted from manufacturing to assembly; and the hesitation of enterprises to forgo the flexibility to also manufacture with HFCs. Subsequent to the 90</w:t>
      </w:r>
      <w:r w:rsidRPr="00760E25">
        <w:rPr>
          <w:vertAlign w:val="superscript"/>
        </w:rPr>
        <w:t>th</w:t>
      </w:r>
      <w:r w:rsidRPr="00760E25">
        <w:t xml:space="preserve"> meeting, the enterprise Nam Dung underwent a full subproject preparation but decided not to participate in the project given difficulties faced by the enterprise to substantiate sufficient HCFC-22 consumption to make the subproject worthwhile for the enterprise, and the enterprise’s hesitation to commit not to use HFCs after conversion. Similarly, notwithstanding considerable efforts by the Government, the World Bank and the group project coordinator to work with four SMEs in the refrigeration manufacturing sector to enable their conversion to low-GWP alternatives, only one SME participated in the project and converted to ammonia. The three other SMEs did not participate due</w:t>
      </w:r>
      <w:r w:rsidRPr="00880C94">
        <w:t xml:space="preserve"> </w:t>
      </w:r>
      <w:r w:rsidRPr="00760E25">
        <w:t>to: the death of the first enterprise’s director; the likelihood that the second enterprise would cease manufacturing; and the limited administrative and financial capacity of the third enterprise to provide sufficient documentary evidence of consumption and other baseline information.</w:t>
      </w:r>
    </w:p>
    <w:p w14:paraId="288EB34E" w14:textId="77777777" w:rsidR="00483708" w:rsidRPr="00760E25" w:rsidRDefault="00483708" w:rsidP="00483708">
      <w:pPr>
        <w:keepNext/>
        <w:spacing w:after="240"/>
      </w:pPr>
      <w:r w:rsidRPr="00760E25">
        <w:rPr>
          <w:u w:val="single"/>
        </w:rPr>
        <w:t>Conclusion</w:t>
      </w:r>
    </w:p>
    <w:p w14:paraId="05817C20" w14:textId="77777777" w:rsidR="00483708" w:rsidRPr="00760E25" w:rsidRDefault="00483708" w:rsidP="00483708">
      <w:pPr>
        <w:pStyle w:val="Heading1"/>
      </w:pPr>
      <w:r w:rsidRPr="00760E25">
        <w:t>Notwithstanding the challenges faced during the implementation of the project, stage II of the HPMP was completed, enabling the Government to remain in compliance with targets agreed with the Executive Committee. Savings were realized through diligent efforts on the part of the Government, the PMU, and the World Bank.</w:t>
      </w:r>
    </w:p>
    <w:p w14:paraId="5383815C" w14:textId="77777777" w:rsidR="00483708" w:rsidRPr="00760E25" w:rsidRDefault="00483708" w:rsidP="00483708">
      <w:pPr>
        <w:keepNext/>
        <w:spacing w:after="240"/>
        <w:rPr>
          <w:b/>
          <w:bCs/>
        </w:rPr>
      </w:pPr>
      <w:r w:rsidRPr="00760E25">
        <w:rPr>
          <w:b/>
          <w:bCs/>
        </w:rPr>
        <w:t>Recommendation</w:t>
      </w:r>
    </w:p>
    <w:p w14:paraId="770686ED" w14:textId="77777777" w:rsidR="00483708" w:rsidRPr="00760E25" w:rsidRDefault="00483708" w:rsidP="00483708">
      <w:pPr>
        <w:pStyle w:val="Heading1"/>
      </w:pPr>
      <w:r w:rsidRPr="00760E25">
        <w:t>The Executive Committee may wish to note the final progress report on the implementation of the final tranche of stage II of the HCFC phase-out management plan for Viet Nam, as submitted by the World Bank.</w:t>
      </w:r>
    </w:p>
    <w:p w14:paraId="71D3908E" w14:textId="46298220" w:rsidR="001A2F97" w:rsidRPr="001A2F97" w:rsidRDefault="002D6935" w:rsidP="00891C0E">
      <w:pPr>
        <w:pStyle w:val="Style4"/>
      </w:pPr>
      <w:r w:rsidRPr="001A2F97">
        <w:lastRenderedPageBreak/>
        <w:t xml:space="preserve">Report </w:t>
      </w:r>
      <w:r w:rsidR="00A979A7" w:rsidRPr="001A2F97">
        <w:t>related to</w:t>
      </w:r>
      <w:r w:rsidRPr="001A2F97">
        <w:t xml:space="preserve"> KIP</w:t>
      </w:r>
      <w:r w:rsidR="00DE41D9">
        <w:t>s</w:t>
      </w:r>
    </w:p>
    <w:p w14:paraId="7329CE56" w14:textId="17357429" w:rsidR="001A2F97" w:rsidRPr="001A2F97" w:rsidRDefault="001A2F97" w:rsidP="001A2F97">
      <w:pPr>
        <w:ind w:left="720"/>
        <w:jc w:val="left"/>
        <w:rPr>
          <w:b/>
          <w:bCs/>
          <w:u w:val="single"/>
        </w:rPr>
      </w:pPr>
      <w:bookmarkStart w:id="5" w:name="_Hlk182927330"/>
      <w:r w:rsidRPr="001A2F97">
        <w:rPr>
          <w:b/>
          <w:bCs/>
          <w:u w:val="single"/>
        </w:rPr>
        <w:t xml:space="preserve">Burkina Faso: Kigali HFC implementation plan (stage I – first tranche – feasibility study on establishing a </w:t>
      </w:r>
      <w:r w:rsidR="008D7076">
        <w:rPr>
          <w:b/>
          <w:bCs/>
          <w:u w:val="single"/>
        </w:rPr>
        <w:t>h</w:t>
      </w:r>
      <w:r w:rsidRPr="001A2F97">
        <w:rPr>
          <w:b/>
          <w:bCs/>
          <w:u w:val="single"/>
        </w:rPr>
        <w:t>ydrocarbon distribution centre) (Government of Germany)</w:t>
      </w:r>
    </w:p>
    <w:p w14:paraId="25DDACDC" w14:textId="77777777" w:rsidR="001A2F97" w:rsidRPr="001A2F97" w:rsidRDefault="001A2F97" w:rsidP="001A2F97">
      <w:pPr>
        <w:ind w:left="720"/>
        <w:jc w:val="left"/>
        <w:rPr>
          <w:b/>
          <w:bCs/>
          <w:u w:val="single"/>
        </w:rPr>
      </w:pPr>
    </w:p>
    <w:p w14:paraId="443D31E3" w14:textId="77777777" w:rsidR="001A2F97" w:rsidRPr="001A2F97" w:rsidRDefault="001A2F97" w:rsidP="001A2F97">
      <w:pPr>
        <w:jc w:val="left"/>
        <w:rPr>
          <w:b/>
          <w:bCs/>
        </w:rPr>
      </w:pPr>
      <w:r w:rsidRPr="001A2F97">
        <w:rPr>
          <w:b/>
          <w:bCs/>
        </w:rPr>
        <w:t>Background</w:t>
      </w:r>
    </w:p>
    <w:p w14:paraId="7AAFB39E" w14:textId="77777777" w:rsidR="001A2F97" w:rsidRPr="001A2F97" w:rsidRDefault="001A2F97" w:rsidP="001A2F97">
      <w:pPr>
        <w:jc w:val="left"/>
      </w:pPr>
    </w:p>
    <w:p w14:paraId="418AB2A7" w14:textId="77777777" w:rsidR="001A2F97" w:rsidRPr="001A2F97" w:rsidRDefault="001A2F97" w:rsidP="001A2F97">
      <w:pPr>
        <w:numPr>
          <w:ilvl w:val="0"/>
          <w:numId w:val="31"/>
        </w:numPr>
        <w:spacing w:after="240"/>
        <w:outlineLvl w:val="0"/>
      </w:pPr>
      <w:r w:rsidRPr="001A2F97">
        <w:t>At its 94</w:t>
      </w:r>
      <w:r w:rsidRPr="001A2F97">
        <w:rPr>
          <w:vertAlign w:val="superscript"/>
        </w:rPr>
        <w:t>th</w:t>
      </w:r>
      <w:r w:rsidRPr="001A2F97">
        <w:t> meeting, the Executive Committee approved, in principle, stage I of the Kigali HFC implementation plan (KIP) for Burkina Faso for the period 2024-2029, noting that during the implementation of stage I of the KIP, the Government of Burkina Faso would be allowed, on an exceptional basis, to submit a project for the commercial refrigeration sector to achieve additional HFC reductions (decision 94/40 (b)(iv)), and requested the Government of Germany to submit a detailed plan for the establishment of the refrigerant distribution centre, including a potential business model for ensuring the viability of the centre (decision 94/40(c)).</w:t>
      </w:r>
    </w:p>
    <w:p w14:paraId="00F48D0F" w14:textId="39CA6123" w:rsidR="001A2F97" w:rsidRPr="001A2F97" w:rsidRDefault="001A2F97" w:rsidP="001A2F97">
      <w:pPr>
        <w:numPr>
          <w:ilvl w:val="0"/>
          <w:numId w:val="31"/>
        </w:numPr>
        <w:spacing w:after="240"/>
        <w:outlineLvl w:val="0"/>
      </w:pPr>
      <w:r w:rsidRPr="001A2F97">
        <w:t>In line with decision 94/40(c), the Government of Germany and the Government of Burkina Faso conducted the requested study and concluded that the viability of the distribution centre depends on the volume of refrigerants and currently, the financial sustainability could not be reached by only distributing hydrocarbons (HCs). Consequently, a revision of the activities planned for stage I was submitted as introduced below.</w:t>
      </w:r>
    </w:p>
    <w:p w14:paraId="40D42A80" w14:textId="77777777" w:rsidR="001A2F97" w:rsidRPr="001A2F97" w:rsidRDefault="001A2F97" w:rsidP="001A2F97">
      <w:pPr>
        <w:spacing w:after="240"/>
        <w:jc w:val="left"/>
        <w:outlineLvl w:val="0"/>
        <w:rPr>
          <w:b/>
          <w:bCs/>
        </w:rPr>
      </w:pPr>
      <w:r w:rsidRPr="001A2F97">
        <w:rPr>
          <w:b/>
          <w:bCs/>
        </w:rPr>
        <w:t>Proposed activities</w:t>
      </w:r>
    </w:p>
    <w:p w14:paraId="266F573B" w14:textId="77777777" w:rsidR="001A2F97" w:rsidRPr="001A2F97" w:rsidRDefault="001A2F97" w:rsidP="001A2F97">
      <w:pPr>
        <w:numPr>
          <w:ilvl w:val="0"/>
          <w:numId w:val="31"/>
        </w:numPr>
        <w:spacing w:after="240"/>
        <w:outlineLvl w:val="0"/>
      </w:pPr>
      <w:r w:rsidRPr="001A2F97">
        <w:t xml:space="preserve">The proposal includes starting with a pilot project for establishing a recovery, recycling and reclamation (RRR) centre limited for HCFCs, HFCs and blended refrigerants, and later on once the volume of these refrigerants reaches the necessary threshold, extend it to natural refrigerants. </w:t>
      </w:r>
    </w:p>
    <w:p w14:paraId="18723280" w14:textId="7587CB96" w:rsidR="001A2F97" w:rsidRPr="001A2F97" w:rsidRDefault="001A2F97" w:rsidP="001A2F97">
      <w:pPr>
        <w:numPr>
          <w:ilvl w:val="0"/>
          <w:numId w:val="31"/>
        </w:numPr>
        <w:spacing w:after="240"/>
        <w:outlineLvl w:val="0"/>
      </w:pPr>
      <w:r w:rsidRPr="001A2F97">
        <w:t>The approach is for technicians to bring back the recovered refrigerants to the RRR centre and receive in return the same amount of virgin quality refrigerant at a price lower than in the market. To facilitate the exchange process, the RRR centr</w:t>
      </w:r>
      <w:r w:rsidR="001E754E">
        <w:t>e</w:t>
      </w:r>
      <w:r w:rsidRPr="001A2F97">
        <w:t xml:space="preserve"> will be installed at a major refrigerant distributor in Ouagadougou, the capital city of the country. The RRR centr</w:t>
      </w:r>
      <w:r w:rsidR="00CE02E2">
        <w:t>e</w:t>
      </w:r>
      <w:r w:rsidRPr="001A2F97">
        <w:t xml:space="preserve"> will be responsible for the bulk refrigerant purchase or import, refilling of reusable cylinders, and the reclamation and redistribution of regenerated refrigerants. </w:t>
      </w:r>
    </w:p>
    <w:p w14:paraId="70081796" w14:textId="020D485B" w:rsidR="001A2F97" w:rsidRPr="001A2F97" w:rsidRDefault="001A2F97" w:rsidP="001A2F97">
      <w:pPr>
        <w:numPr>
          <w:ilvl w:val="0"/>
          <w:numId w:val="31"/>
        </w:numPr>
        <w:spacing w:after="240"/>
        <w:outlineLvl w:val="0"/>
      </w:pPr>
      <w:r w:rsidRPr="001A2F97">
        <w:t xml:space="preserve">The project includes the purchase and installation of equipment for establishing the RRR centre, including a refrigerant identification laboratory and reusable cylinders. The total equipment costs for the reclaim and distribution centre is US $112,000 as outlined in table </w:t>
      </w:r>
      <w:r w:rsidR="00F81A98">
        <w:t>2</w:t>
      </w:r>
      <w:r w:rsidRPr="001A2F97">
        <w:t>.</w:t>
      </w:r>
    </w:p>
    <w:p w14:paraId="017DD373" w14:textId="00902DFD" w:rsidR="001A2F97" w:rsidRPr="001A2F97" w:rsidRDefault="001A2F97" w:rsidP="001A2F97">
      <w:pPr>
        <w:rPr>
          <w:b/>
          <w:bCs/>
        </w:rPr>
      </w:pPr>
      <w:r w:rsidRPr="001A2F97">
        <w:rPr>
          <w:b/>
          <w:bCs/>
        </w:rPr>
        <w:t xml:space="preserve">Table </w:t>
      </w:r>
      <w:r w:rsidR="00F81A98">
        <w:rPr>
          <w:b/>
          <w:bCs/>
        </w:rPr>
        <w:t>2</w:t>
      </w:r>
      <w:r w:rsidRPr="001A2F97">
        <w:rPr>
          <w:b/>
          <w:bCs/>
        </w:rPr>
        <w:t xml:space="preserve">: Equipment required and the costs for establishing the RRR centre </w:t>
      </w:r>
    </w:p>
    <w:tbl>
      <w:tblPr>
        <w:tblStyle w:val="TableGrid"/>
        <w:tblW w:w="0" w:type="auto"/>
        <w:tblLayout w:type="fixed"/>
        <w:tblLook w:val="04A0" w:firstRow="1" w:lastRow="0" w:firstColumn="1" w:lastColumn="0" w:noHBand="0" w:noVBand="1"/>
      </w:tblPr>
      <w:tblGrid>
        <w:gridCol w:w="6091"/>
        <w:gridCol w:w="1134"/>
        <w:gridCol w:w="992"/>
        <w:gridCol w:w="1223"/>
      </w:tblGrid>
      <w:tr w:rsidR="001A2F97" w:rsidRPr="001A2F97" w14:paraId="0B7FCC3F" w14:textId="77777777" w:rsidTr="0043252E">
        <w:trPr>
          <w:tblHeader/>
        </w:trPr>
        <w:tc>
          <w:tcPr>
            <w:tcW w:w="6091" w:type="dxa"/>
            <w:shd w:val="clear" w:color="auto" w:fill="auto"/>
            <w:vAlign w:val="center"/>
          </w:tcPr>
          <w:p w14:paraId="5325A34A" w14:textId="77777777" w:rsidR="001A2F97" w:rsidRPr="001A2F97" w:rsidRDefault="001A2F97" w:rsidP="001A2F97">
            <w:pPr>
              <w:rPr>
                <w:b/>
                <w:bCs/>
                <w:sz w:val="20"/>
                <w:szCs w:val="20"/>
              </w:rPr>
            </w:pPr>
            <w:r w:rsidRPr="001A2F97">
              <w:rPr>
                <w:b/>
                <w:bCs/>
                <w:sz w:val="20"/>
                <w:szCs w:val="20"/>
              </w:rPr>
              <w:t>Item</w:t>
            </w:r>
          </w:p>
        </w:tc>
        <w:tc>
          <w:tcPr>
            <w:tcW w:w="1134" w:type="dxa"/>
            <w:shd w:val="clear" w:color="auto" w:fill="auto"/>
          </w:tcPr>
          <w:p w14:paraId="65F636C8" w14:textId="77777777" w:rsidR="001A2F97" w:rsidRPr="001A2F97" w:rsidRDefault="001A2F97" w:rsidP="001A2F97">
            <w:pPr>
              <w:jc w:val="center"/>
              <w:rPr>
                <w:b/>
                <w:bCs/>
                <w:sz w:val="20"/>
                <w:szCs w:val="20"/>
              </w:rPr>
            </w:pPr>
            <w:r w:rsidRPr="001A2F97">
              <w:rPr>
                <w:rFonts w:eastAsia="Arial"/>
                <w:b/>
                <w:bCs/>
                <w:sz w:val="20"/>
                <w:szCs w:val="20"/>
                <w:lang w:val="en-US"/>
              </w:rPr>
              <w:t>Unit Price (US $)</w:t>
            </w:r>
          </w:p>
        </w:tc>
        <w:tc>
          <w:tcPr>
            <w:tcW w:w="992" w:type="dxa"/>
            <w:shd w:val="clear" w:color="auto" w:fill="auto"/>
          </w:tcPr>
          <w:p w14:paraId="31A08759" w14:textId="77777777" w:rsidR="001A2F97" w:rsidRPr="001A2F97" w:rsidRDefault="001A2F97" w:rsidP="001A2F97">
            <w:pPr>
              <w:rPr>
                <w:b/>
                <w:bCs/>
                <w:sz w:val="20"/>
                <w:szCs w:val="20"/>
              </w:rPr>
            </w:pPr>
            <w:r w:rsidRPr="001A2F97">
              <w:rPr>
                <w:rFonts w:eastAsia="Arial"/>
                <w:b/>
                <w:bCs/>
                <w:sz w:val="20"/>
                <w:szCs w:val="20"/>
                <w:lang w:val="en-US"/>
              </w:rPr>
              <w:t>Quantity</w:t>
            </w:r>
          </w:p>
        </w:tc>
        <w:tc>
          <w:tcPr>
            <w:tcW w:w="1223" w:type="dxa"/>
            <w:shd w:val="clear" w:color="auto" w:fill="auto"/>
          </w:tcPr>
          <w:p w14:paraId="7675425C" w14:textId="77777777" w:rsidR="001A2F97" w:rsidRPr="001A2F97" w:rsidRDefault="001A2F97" w:rsidP="001A2F97">
            <w:pPr>
              <w:jc w:val="center"/>
              <w:rPr>
                <w:b/>
                <w:bCs/>
                <w:sz w:val="20"/>
                <w:szCs w:val="20"/>
              </w:rPr>
            </w:pPr>
            <w:r w:rsidRPr="001A2F97">
              <w:rPr>
                <w:rFonts w:eastAsia="Arial"/>
                <w:b/>
                <w:bCs/>
                <w:sz w:val="20"/>
                <w:szCs w:val="20"/>
                <w:lang w:val="en-US"/>
              </w:rPr>
              <w:t>Total Price (US $)</w:t>
            </w:r>
          </w:p>
        </w:tc>
      </w:tr>
      <w:tr w:rsidR="001A2F97" w:rsidRPr="001A2F97" w14:paraId="003F4D1D" w14:textId="77777777" w:rsidTr="0043252E">
        <w:tc>
          <w:tcPr>
            <w:tcW w:w="6091" w:type="dxa"/>
            <w:shd w:val="clear" w:color="auto" w:fill="auto"/>
          </w:tcPr>
          <w:p w14:paraId="40CB3413" w14:textId="77777777" w:rsidR="001A2F97" w:rsidRPr="001A2F97" w:rsidRDefault="001A2F97" w:rsidP="001A2F97">
            <w:pPr>
              <w:rPr>
                <w:sz w:val="20"/>
                <w:szCs w:val="20"/>
              </w:rPr>
            </w:pPr>
            <w:r w:rsidRPr="001A2F97">
              <w:rPr>
                <w:sz w:val="20"/>
                <w:szCs w:val="20"/>
                <w:lang w:val="en-US"/>
              </w:rPr>
              <w:t>Refrigerant Identifier</w:t>
            </w:r>
          </w:p>
        </w:tc>
        <w:tc>
          <w:tcPr>
            <w:tcW w:w="1134" w:type="dxa"/>
            <w:shd w:val="clear" w:color="auto" w:fill="auto"/>
          </w:tcPr>
          <w:p w14:paraId="4E9996AA" w14:textId="77777777" w:rsidR="001A2F97" w:rsidRPr="001A2F97" w:rsidRDefault="001A2F97" w:rsidP="001A2F97">
            <w:pPr>
              <w:jc w:val="right"/>
              <w:rPr>
                <w:sz w:val="20"/>
                <w:szCs w:val="20"/>
              </w:rPr>
            </w:pPr>
            <w:r w:rsidRPr="001A2F97">
              <w:rPr>
                <w:rFonts w:eastAsia="Arial"/>
                <w:sz w:val="20"/>
                <w:szCs w:val="20"/>
                <w:lang w:val="en-US"/>
              </w:rPr>
              <w:t>4,500</w:t>
            </w:r>
          </w:p>
        </w:tc>
        <w:tc>
          <w:tcPr>
            <w:tcW w:w="992" w:type="dxa"/>
            <w:shd w:val="clear" w:color="auto" w:fill="auto"/>
          </w:tcPr>
          <w:p w14:paraId="7535E8D2" w14:textId="77777777" w:rsidR="001A2F97" w:rsidRPr="001A2F97" w:rsidRDefault="001A2F97" w:rsidP="001A2F97">
            <w:pPr>
              <w:jc w:val="right"/>
              <w:rPr>
                <w:sz w:val="20"/>
                <w:szCs w:val="20"/>
              </w:rPr>
            </w:pPr>
            <w:r w:rsidRPr="001A2F97">
              <w:rPr>
                <w:rFonts w:eastAsia="Arial"/>
                <w:sz w:val="20"/>
                <w:szCs w:val="20"/>
                <w:lang w:val="en-US"/>
              </w:rPr>
              <w:t>2</w:t>
            </w:r>
          </w:p>
        </w:tc>
        <w:tc>
          <w:tcPr>
            <w:tcW w:w="1223" w:type="dxa"/>
            <w:shd w:val="clear" w:color="auto" w:fill="auto"/>
          </w:tcPr>
          <w:p w14:paraId="3031C42A" w14:textId="77777777" w:rsidR="001A2F97" w:rsidRPr="001A2F97" w:rsidRDefault="001A2F97" w:rsidP="001A2F97">
            <w:pPr>
              <w:jc w:val="right"/>
              <w:rPr>
                <w:sz w:val="20"/>
                <w:szCs w:val="20"/>
              </w:rPr>
            </w:pPr>
            <w:r w:rsidRPr="001A2F97">
              <w:rPr>
                <w:rFonts w:eastAsia="Arial"/>
                <w:sz w:val="20"/>
                <w:szCs w:val="20"/>
                <w:lang w:val="en-US"/>
              </w:rPr>
              <w:t>9,000</w:t>
            </w:r>
          </w:p>
        </w:tc>
      </w:tr>
      <w:tr w:rsidR="001A2F97" w:rsidRPr="001A2F97" w14:paraId="5EC2849F" w14:textId="77777777" w:rsidTr="0043252E">
        <w:tc>
          <w:tcPr>
            <w:tcW w:w="6091" w:type="dxa"/>
            <w:shd w:val="clear" w:color="auto" w:fill="auto"/>
          </w:tcPr>
          <w:p w14:paraId="177DFA73" w14:textId="77777777" w:rsidR="001A2F97" w:rsidRPr="001A2F97" w:rsidRDefault="001A2F97" w:rsidP="001A2F97">
            <w:pPr>
              <w:rPr>
                <w:sz w:val="20"/>
                <w:szCs w:val="20"/>
              </w:rPr>
            </w:pPr>
            <w:r w:rsidRPr="001A2F97">
              <w:rPr>
                <w:sz w:val="20"/>
                <w:szCs w:val="20"/>
                <w:lang w:val="en-US"/>
              </w:rPr>
              <w:t>A1/A2L Refrigerant Leak Detector</w:t>
            </w:r>
          </w:p>
        </w:tc>
        <w:tc>
          <w:tcPr>
            <w:tcW w:w="1134" w:type="dxa"/>
            <w:shd w:val="clear" w:color="auto" w:fill="auto"/>
          </w:tcPr>
          <w:p w14:paraId="56FDC7FF" w14:textId="77777777" w:rsidR="001A2F97" w:rsidRPr="001A2F97" w:rsidRDefault="001A2F97" w:rsidP="001A2F97">
            <w:pPr>
              <w:jc w:val="right"/>
              <w:rPr>
                <w:sz w:val="20"/>
                <w:szCs w:val="20"/>
              </w:rPr>
            </w:pPr>
            <w:r w:rsidRPr="001A2F97">
              <w:rPr>
                <w:rFonts w:eastAsia="Arial"/>
                <w:sz w:val="20"/>
                <w:szCs w:val="20"/>
                <w:lang w:val="en-US"/>
              </w:rPr>
              <w:t>170</w:t>
            </w:r>
          </w:p>
        </w:tc>
        <w:tc>
          <w:tcPr>
            <w:tcW w:w="992" w:type="dxa"/>
            <w:shd w:val="clear" w:color="auto" w:fill="auto"/>
          </w:tcPr>
          <w:p w14:paraId="60EE6F03" w14:textId="77777777" w:rsidR="001A2F97" w:rsidRPr="001A2F97" w:rsidRDefault="001A2F97" w:rsidP="001A2F97">
            <w:pPr>
              <w:jc w:val="right"/>
              <w:rPr>
                <w:sz w:val="20"/>
                <w:szCs w:val="20"/>
              </w:rPr>
            </w:pPr>
            <w:r w:rsidRPr="001A2F97">
              <w:rPr>
                <w:rFonts w:eastAsia="Arial"/>
                <w:sz w:val="20"/>
                <w:szCs w:val="20"/>
                <w:lang w:val="en-US"/>
              </w:rPr>
              <w:t>2</w:t>
            </w:r>
          </w:p>
        </w:tc>
        <w:tc>
          <w:tcPr>
            <w:tcW w:w="1223" w:type="dxa"/>
            <w:shd w:val="clear" w:color="auto" w:fill="auto"/>
          </w:tcPr>
          <w:p w14:paraId="3625AF4A" w14:textId="77777777" w:rsidR="001A2F97" w:rsidRPr="001A2F97" w:rsidRDefault="001A2F97" w:rsidP="001A2F97">
            <w:pPr>
              <w:jc w:val="right"/>
              <w:rPr>
                <w:sz w:val="20"/>
                <w:szCs w:val="20"/>
              </w:rPr>
            </w:pPr>
            <w:r w:rsidRPr="001A2F97">
              <w:rPr>
                <w:rFonts w:eastAsia="Arial"/>
                <w:sz w:val="20"/>
                <w:szCs w:val="20"/>
                <w:lang w:val="en-US"/>
              </w:rPr>
              <w:t>340</w:t>
            </w:r>
          </w:p>
        </w:tc>
      </w:tr>
      <w:tr w:rsidR="001A2F97" w:rsidRPr="001A2F97" w14:paraId="55B4E627" w14:textId="77777777" w:rsidTr="0043252E">
        <w:tc>
          <w:tcPr>
            <w:tcW w:w="6091" w:type="dxa"/>
            <w:shd w:val="clear" w:color="auto" w:fill="auto"/>
          </w:tcPr>
          <w:p w14:paraId="6766A053" w14:textId="77777777" w:rsidR="001A2F97" w:rsidRPr="001A2F97" w:rsidRDefault="001A2F97" w:rsidP="001A2F97">
            <w:pPr>
              <w:rPr>
                <w:sz w:val="20"/>
                <w:szCs w:val="20"/>
              </w:rPr>
            </w:pPr>
            <w:r w:rsidRPr="001A2F97">
              <w:rPr>
                <w:rFonts w:eastAsia="Arial"/>
                <w:sz w:val="20"/>
                <w:szCs w:val="20"/>
                <w:lang w:val="en-US"/>
              </w:rPr>
              <w:t>50lb/h Claim Machine</w:t>
            </w:r>
          </w:p>
        </w:tc>
        <w:tc>
          <w:tcPr>
            <w:tcW w:w="1134" w:type="dxa"/>
            <w:shd w:val="clear" w:color="auto" w:fill="auto"/>
          </w:tcPr>
          <w:p w14:paraId="672184D0" w14:textId="77777777" w:rsidR="001A2F97" w:rsidRPr="001A2F97" w:rsidRDefault="001A2F97" w:rsidP="001A2F97">
            <w:pPr>
              <w:jc w:val="right"/>
              <w:rPr>
                <w:sz w:val="20"/>
                <w:szCs w:val="20"/>
              </w:rPr>
            </w:pPr>
            <w:r w:rsidRPr="001A2F97">
              <w:rPr>
                <w:rFonts w:eastAsia="Arial"/>
                <w:sz w:val="20"/>
                <w:szCs w:val="20"/>
                <w:lang w:val="en-US"/>
              </w:rPr>
              <w:t>25,000</w:t>
            </w:r>
          </w:p>
        </w:tc>
        <w:tc>
          <w:tcPr>
            <w:tcW w:w="992" w:type="dxa"/>
            <w:shd w:val="clear" w:color="auto" w:fill="auto"/>
          </w:tcPr>
          <w:p w14:paraId="0BF118A6" w14:textId="77777777" w:rsidR="001A2F97" w:rsidRPr="001A2F97" w:rsidRDefault="001A2F97" w:rsidP="001A2F97">
            <w:pPr>
              <w:jc w:val="right"/>
              <w:rPr>
                <w:sz w:val="20"/>
                <w:szCs w:val="20"/>
              </w:rPr>
            </w:pPr>
            <w:r w:rsidRPr="001A2F97">
              <w:rPr>
                <w:rFonts w:eastAsia="Arial"/>
                <w:sz w:val="20"/>
                <w:szCs w:val="20"/>
                <w:lang w:val="en-US"/>
              </w:rPr>
              <w:t>1</w:t>
            </w:r>
          </w:p>
        </w:tc>
        <w:tc>
          <w:tcPr>
            <w:tcW w:w="1223" w:type="dxa"/>
            <w:shd w:val="clear" w:color="auto" w:fill="auto"/>
          </w:tcPr>
          <w:p w14:paraId="3B4B6029" w14:textId="77777777" w:rsidR="001A2F97" w:rsidRPr="001A2F97" w:rsidRDefault="001A2F97" w:rsidP="001A2F97">
            <w:pPr>
              <w:jc w:val="right"/>
              <w:rPr>
                <w:sz w:val="20"/>
                <w:szCs w:val="20"/>
              </w:rPr>
            </w:pPr>
            <w:r w:rsidRPr="001A2F97">
              <w:rPr>
                <w:rFonts w:eastAsia="Arial"/>
                <w:sz w:val="20"/>
                <w:szCs w:val="20"/>
                <w:lang w:val="en-US"/>
              </w:rPr>
              <w:t>25,000</w:t>
            </w:r>
          </w:p>
        </w:tc>
      </w:tr>
      <w:tr w:rsidR="001A2F97" w:rsidRPr="001A2F97" w14:paraId="28B418F1" w14:textId="77777777" w:rsidTr="0043252E">
        <w:tc>
          <w:tcPr>
            <w:tcW w:w="6091" w:type="dxa"/>
            <w:shd w:val="clear" w:color="auto" w:fill="auto"/>
          </w:tcPr>
          <w:p w14:paraId="17EE372B" w14:textId="77777777" w:rsidR="001A2F97" w:rsidRPr="001A2F97" w:rsidRDefault="001A2F97" w:rsidP="001A2F97">
            <w:pPr>
              <w:rPr>
                <w:sz w:val="20"/>
                <w:szCs w:val="20"/>
              </w:rPr>
            </w:pPr>
            <w:r w:rsidRPr="001A2F97">
              <w:rPr>
                <w:rFonts w:eastAsia="Arial"/>
                <w:sz w:val="20"/>
                <w:szCs w:val="20"/>
                <w:lang w:val="en-US"/>
              </w:rPr>
              <w:t>Liquid Refrigerant Transfer Equipment 200Kg/hr</w:t>
            </w:r>
          </w:p>
        </w:tc>
        <w:tc>
          <w:tcPr>
            <w:tcW w:w="1134" w:type="dxa"/>
            <w:shd w:val="clear" w:color="auto" w:fill="auto"/>
          </w:tcPr>
          <w:p w14:paraId="28C72DA9" w14:textId="77777777" w:rsidR="001A2F97" w:rsidRPr="001A2F97" w:rsidRDefault="001A2F97" w:rsidP="001A2F97">
            <w:pPr>
              <w:jc w:val="right"/>
              <w:rPr>
                <w:sz w:val="20"/>
                <w:szCs w:val="20"/>
              </w:rPr>
            </w:pPr>
            <w:r w:rsidRPr="001A2F97">
              <w:rPr>
                <w:rFonts w:eastAsia="Arial"/>
                <w:sz w:val="20"/>
                <w:szCs w:val="20"/>
                <w:lang w:val="en-US"/>
              </w:rPr>
              <w:t>15,000</w:t>
            </w:r>
          </w:p>
        </w:tc>
        <w:tc>
          <w:tcPr>
            <w:tcW w:w="992" w:type="dxa"/>
            <w:shd w:val="clear" w:color="auto" w:fill="auto"/>
          </w:tcPr>
          <w:p w14:paraId="7C2F7958" w14:textId="77777777" w:rsidR="001A2F97" w:rsidRPr="001A2F97" w:rsidRDefault="001A2F97" w:rsidP="001A2F97">
            <w:pPr>
              <w:jc w:val="right"/>
              <w:rPr>
                <w:sz w:val="20"/>
                <w:szCs w:val="20"/>
              </w:rPr>
            </w:pPr>
            <w:r w:rsidRPr="001A2F97">
              <w:rPr>
                <w:rFonts w:eastAsia="Arial"/>
                <w:sz w:val="20"/>
                <w:szCs w:val="20"/>
                <w:lang w:val="en-US"/>
              </w:rPr>
              <w:t>1</w:t>
            </w:r>
          </w:p>
        </w:tc>
        <w:tc>
          <w:tcPr>
            <w:tcW w:w="1223" w:type="dxa"/>
            <w:shd w:val="clear" w:color="auto" w:fill="auto"/>
          </w:tcPr>
          <w:p w14:paraId="444F13B6" w14:textId="77777777" w:rsidR="001A2F97" w:rsidRPr="001A2F97" w:rsidRDefault="001A2F97" w:rsidP="001A2F97">
            <w:pPr>
              <w:jc w:val="right"/>
              <w:rPr>
                <w:sz w:val="20"/>
                <w:szCs w:val="20"/>
              </w:rPr>
            </w:pPr>
            <w:r w:rsidRPr="001A2F97">
              <w:rPr>
                <w:rFonts w:eastAsia="Arial"/>
                <w:sz w:val="20"/>
                <w:szCs w:val="20"/>
                <w:lang w:val="en-US"/>
              </w:rPr>
              <w:t>15,000</w:t>
            </w:r>
          </w:p>
        </w:tc>
      </w:tr>
      <w:tr w:rsidR="001A2F97" w:rsidRPr="001A2F97" w14:paraId="10870B5F" w14:textId="77777777" w:rsidTr="0043252E">
        <w:tc>
          <w:tcPr>
            <w:tcW w:w="6091" w:type="dxa"/>
            <w:shd w:val="clear" w:color="auto" w:fill="auto"/>
          </w:tcPr>
          <w:p w14:paraId="202D97A4" w14:textId="77777777" w:rsidR="001A2F97" w:rsidRPr="001A2F97" w:rsidRDefault="001A2F97" w:rsidP="001A2F97">
            <w:pPr>
              <w:rPr>
                <w:sz w:val="20"/>
                <w:szCs w:val="20"/>
              </w:rPr>
            </w:pPr>
            <w:r w:rsidRPr="001A2F97">
              <w:rPr>
                <w:rFonts w:eastAsia="Arial"/>
                <w:sz w:val="20"/>
                <w:szCs w:val="20"/>
                <w:lang w:val="en-US"/>
              </w:rPr>
              <w:t>Scale 300Kg</w:t>
            </w:r>
          </w:p>
        </w:tc>
        <w:tc>
          <w:tcPr>
            <w:tcW w:w="1134" w:type="dxa"/>
            <w:shd w:val="clear" w:color="auto" w:fill="auto"/>
          </w:tcPr>
          <w:p w14:paraId="101F2A00" w14:textId="77777777" w:rsidR="001A2F97" w:rsidRPr="001A2F97" w:rsidRDefault="001A2F97" w:rsidP="001A2F97">
            <w:pPr>
              <w:jc w:val="right"/>
              <w:rPr>
                <w:sz w:val="20"/>
                <w:szCs w:val="20"/>
              </w:rPr>
            </w:pPr>
            <w:r w:rsidRPr="001A2F97">
              <w:rPr>
                <w:rFonts w:eastAsia="Arial"/>
                <w:sz w:val="20"/>
                <w:szCs w:val="20"/>
                <w:lang w:val="en-US"/>
              </w:rPr>
              <w:t>5,000</w:t>
            </w:r>
          </w:p>
        </w:tc>
        <w:tc>
          <w:tcPr>
            <w:tcW w:w="992" w:type="dxa"/>
            <w:shd w:val="clear" w:color="auto" w:fill="auto"/>
          </w:tcPr>
          <w:p w14:paraId="169AF70D" w14:textId="77777777" w:rsidR="001A2F97" w:rsidRPr="001A2F97" w:rsidRDefault="001A2F97" w:rsidP="001A2F97">
            <w:pPr>
              <w:jc w:val="right"/>
              <w:rPr>
                <w:sz w:val="20"/>
                <w:szCs w:val="20"/>
              </w:rPr>
            </w:pPr>
            <w:r w:rsidRPr="001A2F97">
              <w:rPr>
                <w:rFonts w:eastAsia="Arial"/>
                <w:sz w:val="20"/>
                <w:szCs w:val="20"/>
                <w:lang w:val="en-US"/>
              </w:rPr>
              <w:t>1</w:t>
            </w:r>
          </w:p>
        </w:tc>
        <w:tc>
          <w:tcPr>
            <w:tcW w:w="1223" w:type="dxa"/>
            <w:shd w:val="clear" w:color="auto" w:fill="auto"/>
          </w:tcPr>
          <w:p w14:paraId="52047847" w14:textId="77777777" w:rsidR="001A2F97" w:rsidRPr="001A2F97" w:rsidRDefault="001A2F97" w:rsidP="001A2F97">
            <w:pPr>
              <w:jc w:val="right"/>
              <w:rPr>
                <w:sz w:val="20"/>
                <w:szCs w:val="20"/>
              </w:rPr>
            </w:pPr>
            <w:r w:rsidRPr="001A2F97">
              <w:rPr>
                <w:rFonts w:eastAsia="Arial"/>
                <w:sz w:val="20"/>
                <w:szCs w:val="20"/>
                <w:lang w:val="en-US"/>
              </w:rPr>
              <w:t>5,000</w:t>
            </w:r>
          </w:p>
        </w:tc>
      </w:tr>
      <w:tr w:rsidR="001A2F97" w:rsidRPr="001A2F97" w14:paraId="75B025CC" w14:textId="77777777" w:rsidTr="0043252E">
        <w:tc>
          <w:tcPr>
            <w:tcW w:w="6091" w:type="dxa"/>
            <w:shd w:val="clear" w:color="auto" w:fill="auto"/>
          </w:tcPr>
          <w:p w14:paraId="27CBEB3E" w14:textId="77777777" w:rsidR="001A2F97" w:rsidRPr="001A2F97" w:rsidRDefault="001A2F97" w:rsidP="001A2F97">
            <w:pPr>
              <w:rPr>
                <w:sz w:val="20"/>
                <w:szCs w:val="20"/>
              </w:rPr>
            </w:pPr>
            <w:r w:rsidRPr="001A2F97">
              <w:rPr>
                <w:rFonts w:eastAsia="Arial"/>
                <w:sz w:val="20"/>
                <w:szCs w:val="20"/>
                <w:lang w:val="en-US"/>
              </w:rPr>
              <w:t>30lb Cylinder Cleaning Equipment</w:t>
            </w:r>
          </w:p>
        </w:tc>
        <w:tc>
          <w:tcPr>
            <w:tcW w:w="1134" w:type="dxa"/>
            <w:shd w:val="clear" w:color="auto" w:fill="auto"/>
          </w:tcPr>
          <w:p w14:paraId="550C780C" w14:textId="77777777" w:rsidR="001A2F97" w:rsidRPr="001A2F97" w:rsidRDefault="001A2F97" w:rsidP="001A2F97">
            <w:pPr>
              <w:jc w:val="right"/>
              <w:rPr>
                <w:sz w:val="20"/>
                <w:szCs w:val="20"/>
              </w:rPr>
            </w:pPr>
            <w:r w:rsidRPr="001A2F97">
              <w:rPr>
                <w:rFonts w:eastAsia="Arial"/>
                <w:sz w:val="20"/>
                <w:szCs w:val="20"/>
                <w:lang w:val="en-US"/>
              </w:rPr>
              <w:t>4,500</w:t>
            </w:r>
          </w:p>
        </w:tc>
        <w:tc>
          <w:tcPr>
            <w:tcW w:w="992" w:type="dxa"/>
            <w:shd w:val="clear" w:color="auto" w:fill="auto"/>
          </w:tcPr>
          <w:p w14:paraId="5A664BFC" w14:textId="77777777" w:rsidR="001A2F97" w:rsidRPr="001A2F97" w:rsidRDefault="001A2F97" w:rsidP="001A2F97">
            <w:pPr>
              <w:jc w:val="right"/>
              <w:rPr>
                <w:sz w:val="20"/>
                <w:szCs w:val="20"/>
              </w:rPr>
            </w:pPr>
            <w:r w:rsidRPr="001A2F97">
              <w:rPr>
                <w:sz w:val="20"/>
                <w:szCs w:val="20"/>
              </w:rPr>
              <w:t>2</w:t>
            </w:r>
          </w:p>
        </w:tc>
        <w:tc>
          <w:tcPr>
            <w:tcW w:w="1223" w:type="dxa"/>
            <w:shd w:val="clear" w:color="auto" w:fill="auto"/>
          </w:tcPr>
          <w:p w14:paraId="217DE468" w14:textId="77777777" w:rsidR="001A2F97" w:rsidRPr="001A2F97" w:rsidRDefault="001A2F97" w:rsidP="001A2F97">
            <w:pPr>
              <w:jc w:val="right"/>
              <w:rPr>
                <w:sz w:val="20"/>
                <w:szCs w:val="20"/>
              </w:rPr>
            </w:pPr>
            <w:r w:rsidRPr="001A2F97">
              <w:rPr>
                <w:rFonts w:eastAsia="Arial"/>
                <w:sz w:val="20"/>
                <w:szCs w:val="20"/>
                <w:lang w:val="en-US"/>
              </w:rPr>
              <w:t>9,000</w:t>
            </w:r>
          </w:p>
        </w:tc>
      </w:tr>
      <w:tr w:rsidR="001A2F97" w:rsidRPr="001A2F97" w14:paraId="0B03FA87" w14:textId="77777777" w:rsidTr="0043252E">
        <w:tc>
          <w:tcPr>
            <w:tcW w:w="6091" w:type="dxa"/>
            <w:shd w:val="clear" w:color="auto" w:fill="auto"/>
          </w:tcPr>
          <w:p w14:paraId="01A6EFE9" w14:textId="77777777" w:rsidR="001A2F97" w:rsidRPr="001A2F97" w:rsidRDefault="001A2F97" w:rsidP="001A2F97">
            <w:pPr>
              <w:rPr>
                <w:rFonts w:eastAsia="Arial"/>
                <w:sz w:val="20"/>
                <w:szCs w:val="20"/>
                <w:lang w:val="en-US"/>
              </w:rPr>
            </w:pPr>
            <w:r w:rsidRPr="001A2F97">
              <w:rPr>
                <w:rFonts w:eastAsia="Arial"/>
                <w:sz w:val="20"/>
                <w:szCs w:val="20"/>
                <w:lang w:val="en-US"/>
              </w:rPr>
              <w:t>100lb Cylinder Cleaning Equipment</w:t>
            </w:r>
          </w:p>
        </w:tc>
        <w:tc>
          <w:tcPr>
            <w:tcW w:w="1134" w:type="dxa"/>
            <w:shd w:val="clear" w:color="auto" w:fill="auto"/>
          </w:tcPr>
          <w:p w14:paraId="7C4E673A" w14:textId="77777777" w:rsidR="001A2F97" w:rsidRPr="001A2F97" w:rsidRDefault="001A2F97" w:rsidP="001A2F97">
            <w:pPr>
              <w:jc w:val="right"/>
              <w:rPr>
                <w:rFonts w:eastAsia="Arial"/>
                <w:sz w:val="20"/>
                <w:szCs w:val="20"/>
                <w:lang w:val="en-US"/>
              </w:rPr>
            </w:pPr>
            <w:r w:rsidRPr="001A2F97">
              <w:rPr>
                <w:rFonts w:eastAsia="Arial"/>
                <w:sz w:val="20"/>
                <w:szCs w:val="20"/>
                <w:lang w:val="en-US"/>
              </w:rPr>
              <w:t>5,000</w:t>
            </w:r>
          </w:p>
        </w:tc>
        <w:tc>
          <w:tcPr>
            <w:tcW w:w="992" w:type="dxa"/>
            <w:shd w:val="clear" w:color="auto" w:fill="auto"/>
          </w:tcPr>
          <w:p w14:paraId="66DB1501" w14:textId="77777777" w:rsidR="001A2F97" w:rsidRPr="001A2F97" w:rsidRDefault="001A2F97" w:rsidP="001A2F97">
            <w:pPr>
              <w:jc w:val="right"/>
              <w:rPr>
                <w:rFonts w:eastAsia="Arial"/>
                <w:sz w:val="20"/>
                <w:szCs w:val="20"/>
                <w:lang w:val="en-US"/>
              </w:rPr>
            </w:pPr>
            <w:r w:rsidRPr="001A2F97">
              <w:rPr>
                <w:rFonts w:eastAsia="Arial"/>
                <w:sz w:val="20"/>
                <w:szCs w:val="20"/>
                <w:lang w:val="en-US"/>
              </w:rPr>
              <w:t>1</w:t>
            </w:r>
          </w:p>
        </w:tc>
        <w:tc>
          <w:tcPr>
            <w:tcW w:w="1223" w:type="dxa"/>
            <w:shd w:val="clear" w:color="auto" w:fill="auto"/>
          </w:tcPr>
          <w:p w14:paraId="7DC1B32F" w14:textId="77777777" w:rsidR="001A2F97" w:rsidRPr="001A2F97" w:rsidRDefault="001A2F97" w:rsidP="001A2F97">
            <w:pPr>
              <w:jc w:val="right"/>
              <w:rPr>
                <w:rFonts w:eastAsia="Arial"/>
                <w:sz w:val="20"/>
                <w:szCs w:val="20"/>
                <w:lang w:val="en-US"/>
              </w:rPr>
            </w:pPr>
            <w:r w:rsidRPr="001A2F97">
              <w:rPr>
                <w:rFonts w:eastAsia="Arial"/>
                <w:sz w:val="20"/>
                <w:szCs w:val="20"/>
                <w:lang w:val="en-US"/>
              </w:rPr>
              <w:t>5,000</w:t>
            </w:r>
          </w:p>
        </w:tc>
      </w:tr>
      <w:tr w:rsidR="001A2F97" w:rsidRPr="001A2F97" w14:paraId="6772BA00" w14:textId="77777777" w:rsidTr="0043252E">
        <w:tc>
          <w:tcPr>
            <w:tcW w:w="6091" w:type="dxa"/>
            <w:shd w:val="clear" w:color="auto" w:fill="auto"/>
          </w:tcPr>
          <w:p w14:paraId="32AEC89D" w14:textId="77777777" w:rsidR="001A2F97" w:rsidRPr="001A2F97" w:rsidRDefault="001A2F97" w:rsidP="001A2F97">
            <w:pPr>
              <w:rPr>
                <w:rFonts w:eastAsia="Arial"/>
                <w:sz w:val="20"/>
                <w:szCs w:val="20"/>
                <w:lang w:val="en-US"/>
              </w:rPr>
            </w:pPr>
            <w:r w:rsidRPr="001A2F97">
              <w:rPr>
                <w:rFonts w:eastAsia="Arial"/>
                <w:sz w:val="20"/>
                <w:szCs w:val="20"/>
                <w:lang w:val="en-US"/>
              </w:rPr>
              <w:t>Installation of equipment</w:t>
            </w:r>
          </w:p>
        </w:tc>
        <w:tc>
          <w:tcPr>
            <w:tcW w:w="1134" w:type="dxa"/>
            <w:shd w:val="clear" w:color="auto" w:fill="auto"/>
          </w:tcPr>
          <w:p w14:paraId="7652F205" w14:textId="77777777" w:rsidR="001A2F97" w:rsidRPr="001A2F97" w:rsidRDefault="001A2F97" w:rsidP="001A2F97">
            <w:pPr>
              <w:jc w:val="right"/>
              <w:rPr>
                <w:rFonts w:eastAsia="Arial"/>
                <w:sz w:val="20"/>
                <w:szCs w:val="20"/>
                <w:lang w:val="en-US"/>
              </w:rPr>
            </w:pPr>
            <w:r w:rsidRPr="001A2F97">
              <w:rPr>
                <w:rFonts w:eastAsia="Arial"/>
                <w:sz w:val="20"/>
                <w:szCs w:val="20"/>
                <w:lang w:val="en-US"/>
              </w:rPr>
              <w:t>15,000</w:t>
            </w:r>
          </w:p>
        </w:tc>
        <w:tc>
          <w:tcPr>
            <w:tcW w:w="992" w:type="dxa"/>
            <w:shd w:val="clear" w:color="auto" w:fill="auto"/>
          </w:tcPr>
          <w:p w14:paraId="671B927D" w14:textId="77777777" w:rsidR="001A2F97" w:rsidRPr="001A2F97" w:rsidRDefault="001A2F97" w:rsidP="001A2F97">
            <w:pPr>
              <w:jc w:val="right"/>
              <w:rPr>
                <w:rFonts w:eastAsia="Arial"/>
                <w:sz w:val="20"/>
                <w:szCs w:val="20"/>
                <w:lang w:val="en-US"/>
              </w:rPr>
            </w:pPr>
            <w:r w:rsidRPr="001A2F97">
              <w:rPr>
                <w:rFonts w:eastAsia="Arial"/>
                <w:sz w:val="20"/>
                <w:szCs w:val="20"/>
                <w:lang w:val="en-US"/>
              </w:rPr>
              <w:t>1</w:t>
            </w:r>
          </w:p>
        </w:tc>
        <w:tc>
          <w:tcPr>
            <w:tcW w:w="1223" w:type="dxa"/>
            <w:shd w:val="clear" w:color="auto" w:fill="auto"/>
          </w:tcPr>
          <w:p w14:paraId="27CFBC2C" w14:textId="77777777" w:rsidR="001A2F97" w:rsidRPr="001A2F97" w:rsidRDefault="001A2F97" w:rsidP="001A2F97">
            <w:pPr>
              <w:jc w:val="right"/>
              <w:rPr>
                <w:rFonts w:eastAsia="Arial"/>
                <w:sz w:val="20"/>
                <w:szCs w:val="20"/>
                <w:lang w:val="en-US"/>
              </w:rPr>
            </w:pPr>
            <w:r w:rsidRPr="001A2F97">
              <w:rPr>
                <w:rFonts w:eastAsia="Arial"/>
                <w:sz w:val="20"/>
                <w:szCs w:val="20"/>
                <w:lang w:val="en-US"/>
              </w:rPr>
              <w:t>15,000</w:t>
            </w:r>
          </w:p>
        </w:tc>
      </w:tr>
      <w:tr w:rsidR="001A2F97" w:rsidRPr="001A2F97" w14:paraId="1207511E" w14:textId="77777777" w:rsidTr="0043252E">
        <w:tc>
          <w:tcPr>
            <w:tcW w:w="6091" w:type="dxa"/>
            <w:shd w:val="clear" w:color="auto" w:fill="auto"/>
          </w:tcPr>
          <w:p w14:paraId="37567FEC" w14:textId="77777777" w:rsidR="001A2F97" w:rsidRPr="001A2F97" w:rsidRDefault="001A2F97" w:rsidP="001A2F97">
            <w:pPr>
              <w:rPr>
                <w:rFonts w:eastAsia="Arial"/>
                <w:sz w:val="20"/>
                <w:szCs w:val="20"/>
                <w:lang w:val="en-US"/>
              </w:rPr>
            </w:pPr>
            <w:r w:rsidRPr="001A2F97">
              <w:rPr>
                <w:rFonts w:eastAsia="Arial"/>
                <w:sz w:val="20"/>
                <w:szCs w:val="20"/>
                <w:lang w:val="en-US"/>
              </w:rPr>
              <w:t>Refrigerant Certification Laboratory Equipment</w:t>
            </w:r>
          </w:p>
        </w:tc>
        <w:tc>
          <w:tcPr>
            <w:tcW w:w="1134" w:type="dxa"/>
            <w:shd w:val="clear" w:color="auto" w:fill="auto"/>
          </w:tcPr>
          <w:p w14:paraId="0C76461F" w14:textId="77777777" w:rsidR="001A2F97" w:rsidRPr="001A2F97" w:rsidRDefault="001A2F97" w:rsidP="001A2F97">
            <w:pPr>
              <w:jc w:val="right"/>
              <w:rPr>
                <w:rFonts w:eastAsia="Arial"/>
                <w:sz w:val="20"/>
                <w:szCs w:val="20"/>
                <w:lang w:val="en-US"/>
              </w:rPr>
            </w:pPr>
            <w:r w:rsidRPr="001A2F97">
              <w:rPr>
                <w:rFonts w:eastAsia="Arial"/>
                <w:sz w:val="20"/>
                <w:szCs w:val="20"/>
                <w:lang w:val="en-US"/>
              </w:rPr>
              <w:t>15,000</w:t>
            </w:r>
          </w:p>
        </w:tc>
        <w:tc>
          <w:tcPr>
            <w:tcW w:w="992" w:type="dxa"/>
            <w:shd w:val="clear" w:color="auto" w:fill="auto"/>
          </w:tcPr>
          <w:p w14:paraId="306CCE62" w14:textId="77777777" w:rsidR="001A2F97" w:rsidRPr="001A2F97" w:rsidRDefault="001A2F97" w:rsidP="001A2F97">
            <w:pPr>
              <w:jc w:val="right"/>
              <w:rPr>
                <w:rFonts w:eastAsia="Arial"/>
                <w:sz w:val="20"/>
                <w:szCs w:val="20"/>
                <w:lang w:val="en-US"/>
              </w:rPr>
            </w:pPr>
            <w:r w:rsidRPr="001A2F97">
              <w:rPr>
                <w:rFonts w:eastAsia="Arial"/>
                <w:sz w:val="20"/>
                <w:szCs w:val="20"/>
                <w:lang w:val="en-US"/>
              </w:rPr>
              <w:t>1</w:t>
            </w:r>
          </w:p>
        </w:tc>
        <w:tc>
          <w:tcPr>
            <w:tcW w:w="1223" w:type="dxa"/>
            <w:shd w:val="clear" w:color="auto" w:fill="auto"/>
          </w:tcPr>
          <w:p w14:paraId="59364524" w14:textId="77777777" w:rsidR="001A2F97" w:rsidRPr="001A2F97" w:rsidRDefault="001A2F97" w:rsidP="001A2F97">
            <w:pPr>
              <w:jc w:val="right"/>
              <w:rPr>
                <w:rFonts w:eastAsia="Arial"/>
                <w:sz w:val="20"/>
                <w:szCs w:val="20"/>
                <w:lang w:val="en-US"/>
              </w:rPr>
            </w:pPr>
            <w:r w:rsidRPr="001A2F97">
              <w:rPr>
                <w:rFonts w:eastAsia="Arial"/>
                <w:sz w:val="20"/>
                <w:szCs w:val="20"/>
                <w:lang w:val="en-US"/>
              </w:rPr>
              <w:t>15,000</w:t>
            </w:r>
          </w:p>
        </w:tc>
      </w:tr>
      <w:tr w:rsidR="001A2F97" w:rsidRPr="001A2F97" w14:paraId="6FEFB423" w14:textId="77777777" w:rsidTr="0043252E">
        <w:tc>
          <w:tcPr>
            <w:tcW w:w="6091" w:type="dxa"/>
            <w:shd w:val="clear" w:color="auto" w:fill="auto"/>
          </w:tcPr>
          <w:p w14:paraId="3DBFB9F9" w14:textId="77777777" w:rsidR="001A2F97" w:rsidRPr="001A2F97" w:rsidRDefault="001A2F97" w:rsidP="001A2F97">
            <w:pPr>
              <w:rPr>
                <w:rFonts w:eastAsia="Arial"/>
                <w:sz w:val="20"/>
                <w:szCs w:val="20"/>
                <w:lang w:val="en-US"/>
              </w:rPr>
            </w:pPr>
            <w:r w:rsidRPr="001A2F97">
              <w:rPr>
                <w:rFonts w:eastAsia="Arial"/>
                <w:sz w:val="20"/>
                <w:szCs w:val="20"/>
                <w:lang w:val="en-US"/>
              </w:rPr>
              <w:t>30lb Storage Tank</w:t>
            </w:r>
          </w:p>
        </w:tc>
        <w:tc>
          <w:tcPr>
            <w:tcW w:w="1134" w:type="dxa"/>
            <w:shd w:val="clear" w:color="auto" w:fill="auto"/>
          </w:tcPr>
          <w:p w14:paraId="7F4E69A2" w14:textId="77777777" w:rsidR="001A2F97" w:rsidRPr="001A2F97" w:rsidRDefault="001A2F97" w:rsidP="001A2F97">
            <w:pPr>
              <w:jc w:val="right"/>
              <w:rPr>
                <w:rFonts w:eastAsia="Arial"/>
                <w:sz w:val="20"/>
                <w:szCs w:val="20"/>
                <w:lang w:val="en-US"/>
              </w:rPr>
            </w:pPr>
            <w:r w:rsidRPr="001A2F97">
              <w:rPr>
                <w:rFonts w:eastAsia="Arial"/>
                <w:sz w:val="20"/>
                <w:szCs w:val="20"/>
                <w:lang w:val="en-US"/>
              </w:rPr>
              <w:t>80</w:t>
            </w:r>
          </w:p>
        </w:tc>
        <w:tc>
          <w:tcPr>
            <w:tcW w:w="992" w:type="dxa"/>
            <w:shd w:val="clear" w:color="auto" w:fill="auto"/>
          </w:tcPr>
          <w:p w14:paraId="7E37666E" w14:textId="77777777" w:rsidR="001A2F97" w:rsidRPr="001A2F97" w:rsidRDefault="001A2F97" w:rsidP="001A2F97">
            <w:pPr>
              <w:jc w:val="right"/>
              <w:rPr>
                <w:rFonts w:eastAsia="Arial"/>
                <w:sz w:val="20"/>
                <w:szCs w:val="20"/>
                <w:lang w:val="en-US"/>
              </w:rPr>
            </w:pPr>
            <w:r w:rsidRPr="001A2F97">
              <w:rPr>
                <w:rFonts w:eastAsia="Arial"/>
                <w:sz w:val="20"/>
                <w:szCs w:val="20"/>
                <w:lang w:val="en-US"/>
              </w:rPr>
              <w:t>20</w:t>
            </w:r>
          </w:p>
        </w:tc>
        <w:tc>
          <w:tcPr>
            <w:tcW w:w="1223" w:type="dxa"/>
            <w:shd w:val="clear" w:color="auto" w:fill="auto"/>
          </w:tcPr>
          <w:p w14:paraId="2E619075" w14:textId="77777777" w:rsidR="001A2F97" w:rsidRPr="001A2F97" w:rsidRDefault="001A2F97" w:rsidP="001A2F97">
            <w:pPr>
              <w:jc w:val="right"/>
              <w:rPr>
                <w:rFonts w:eastAsia="Arial"/>
                <w:sz w:val="20"/>
                <w:szCs w:val="20"/>
                <w:lang w:val="en-US"/>
              </w:rPr>
            </w:pPr>
            <w:r w:rsidRPr="001A2F97">
              <w:rPr>
                <w:rFonts w:eastAsia="Arial"/>
                <w:sz w:val="20"/>
                <w:szCs w:val="20"/>
                <w:lang w:val="en-US"/>
              </w:rPr>
              <w:t>1,600</w:t>
            </w:r>
          </w:p>
        </w:tc>
      </w:tr>
      <w:tr w:rsidR="001A2F97" w:rsidRPr="001A2F97" w14:paraId="653B96A2" w14:textId="77777777" w:rsidTr="0043252E">
        <w:tc>
          <w:tcPr>
            <w:tcW w:w="6091" w:type="dxa"/>
            <w:shd w:val="clear" w:color="auto" w:fill="auto"/>
          </w:tcPr>
          <w:p w14:paraId="59DEA889" w14:textId="77777777" w:rsidR="001A2F97" w:rsidRPr="001A2F97" w:rsidRDefault="001A2F97" w:rsidP="001A2F97">
            <w:pPr>
              <w:rPr>
                <w:rFonts w:eastAsia="Arial"/>
                <w:sz w:val="20"/>
                <w:szCs w:val="20"/>
                <w:lang w:val="en-US"/>
              </w:rPr>
            </w:pPr>
            <w:r w:rsidRPr="001A2F97">
              <w:rPr>
                <w:rFonts w:eastAsia="Arial"/>
                <w:sz w:val="20"/>
                <w:szCs w:val="20"/>
                <w:lang w:val="en-US"/>
              </w:rPr>
              <w:t>100lb Storage Tank</w:t>
            </w:r>
          </w:p>
        </w:tc>
        <w:tc>
          <w:tcPr>
            <w:tcW w:w="1134" w:type="dxa"/>
            <w:shd w:val="clear" w:color="auto" w:fill="auto"/>
          </w:tcPr>
          <w:p w14:paraId="4DF4797E" w14:textId="77777777" w:rsidR="001A2F97" w:rsidRPr="001A2F97" w:rsidRDefault="001A2F97" w:rsidP="001A2F97">
            <w:pPr>
              <w:jc w:val="right"/>
              <w:rPr>
                <w:rFonts w:eastAsia="Arial"/>
                <w:sz w:val="20"/>
                <w:szCs w:val="20"/>
                <w:lang w:val="en-US"/>
              </w:rPr>
            </w:pPr>
            <w:r w:rsidRPr="001A2F97">
              <w:rPr>
                <w:rFonts w:eastAsia="Arial"/>
                <w:sz w:val="20"/>
                <w:szCs w:val="20"/>
                <w:lang w:val="en-US"/>
              </w:rPr>
              <w:t>150</w:t>
            </w:r>
          </w:p>
        </w:tc>
        <w:tc>
          <w:tcPr>
            <w:tcW w:w="992" w:type="dxa"/>
            <w:shd w:val="clear" w:color="auto" w:fill="auto"/>
          </w:tcPr>
          <w:p w14:paraId="36E5BBED" w14:textId="77777777" w:rsidR="001A2F97" w:rsidRPr="001A2F97" w:rsidRDefault="001A2F97" w:rsidP="001A2F97">
            <w:pPr>
              <w:jc w:val="right"/>
              <w:rPr>
                <w:rFonts w:eastAsia="Arial"/>
                <w:sz w:val="20"/>
                <w:szCs w:val="20"/>
                <w:lang w:val="en-US"/>
              </w:rPr>
            </w:pPr>
            <w:r w:rsidRPr="001A2F97">
              <w:rPr>
                <w:rFonts w:eastAsia="Arial"/>
                <w:sz w:val="20"/>
                <w:szCs w:val="20"/>
                <w:lang w:val="en-US"/>
              </w:rPr>
              <w:t>6</w:t>
            </w:r>
          </w:p>
        </w:tc>
        <w:tc>
          <w:tcPr>
            <w:tcW w:w="1223" w:type="dxa"/>
            <w:shd w:val="clear" w:color="auto" w:fill="auto"/>
          </w:tcPr>
          <w:p w14:paraId="2667552E" w14:textId="77777777" w:rsidR="001A2F97" w:rsidRPr="001A2F97" w:rsidRDefault="001A2F97" w:rsidP="001A2F97">
            <w:pPr>
              <w:jc w:val="right"/>
              <w:rPr>
                <w:rFonts w:eastAsia="Arial"/>
                <w:sz w:val="20"/>
                <w:szCs w:val="20"/>
                <w:lang w:val="en-US"/>
              </w:rPr>
            </w:pPr>
            <w:r w:rsidRPr="001A2F97">
              <w:rPr>
                <w:rFonts w:eastAsia="Arial"/>
                <w:sz w:val="20"/>
                <w:szCs w:val="20"/>
                <w:lang w:val="en-US"/>
              </w:rPr>
              <w:t>900</w:t>
            </w:r>
          </w:p>
        </w:tc>
      </w:tr>
      <w:tr w:rsidR="001A2F97" w:rsidRPr="001A2F97" w14:paraId="76071CAC" w14:textId="77777777" w:rsidTr="0043252E">
        <w:tc>
          <w:tcPr>
            <w:tcW w:w="6091" w:type="dxa"/>
            <w:shd w:val="clear" w:color="auto" w:fill="auto"/>
          </w:tcPr>
          <w:p w14:paraId="3A0EA549" w14:textId="77777777" w:rsidR="001A2F97" w:rsidRPr="001A2F97" w:rsidRDefault="001A2F97" w:rsidP="001A2F97">
            <w:pPr>
              <w:rPr>
                <w:rFonts w:eastAsia="Arial"/>
                <w:sz w:val="20"/>
                <w:szCs w:val="20"/>
                <w:lang w:val="en-US"/>
              </w:rPr>
            </w:pPr>
            <w:r w:rsidRPr="001A2F97">
              <w:rPr>
                <w:rFonts w:eastAsia="Arial"/>
                <w:sz w:val="20"/>
                <w:szCs w:val="20"/>
                <w:lang w:val="en-US"/>
              </w:rPr>
              <w:t>300lb Storage Tank</w:t>
            </w:r>
          </w:p>
        </w:tc>
        <w:tc>
          <w:tcPr>
            <w:tcW w:w="1134" w:type="dxa"/>
            <w:shd w:val="clear" w:color="auto" w:fill="auto"/>
          </w:tcPr>
          <w:p w14:paraId="5EE7B297" w14:textId="77777777" w:rsidR="001A2F97" w:rsidRPr="001A2F97" w:rsidRDefault="001A2F97" w:rsidP="001A2F97">
            <w:pPr>
              <w:jc w:val="right"/>
              <w:rPr>
                <w:rFonts w:eastAsia="Arial"/>
                <w:sz w:val="20"/>
                <w:szCs w:val="20"/>
                <w:lang w:val="en-US"/>
              </w:rPr>
            </w:pPr>
            <w:r w:rsidRPr="001A2F97">
              <w:rPr>
                <w:rFonts w:eastAsia="Arial"/>
                <w:sz w:val="20"/>
                <w:szCs w:val="20"/>
                <w:lang w:val="en-US"/>
              </w:rPr>
              <w:t>300</w:t>
            </w:r>
          </w:p>
        </w:tc>
        <w:tc>
          <w:tcPr>
            <w:tcW w:w="992" w:type="dxa"/>
            <w:shd w:val="clear" w:color="auto" w:fill="auto"/>
          </w:tcPr>
          <w:p w14:paraId="79BB3939" w14:textId="77777777" w:rsidR="001A2F97" w:rsidRPr="001A2F97" w:rsidRDefault="001A2F97" w:rsidP="001A2F97">
            <w:pPr>
              <w:jc w:val="right"/>
              <w:rPr>
                <w:rFonts w:eastAsia="Arial"/>
                <w:sz w:val="20"/>
                <w:szCs w:val="20"/>
                <w:lang w:val="en-US"/>
              </w:rPr>
            </w:pPr>
            <w:r w:rsidRPr="001A2F97">
              <w:rPr>
                <w:rFonts w:eastAsia="Arial"/>
                <w:sz w:val="20"/>
                <w:szCs w:val="20"/>
                <w:lang w:val="en-US"/>
              </w:rPr>
              <w:t>3</w:t>
            </w:r>
          </w:p>
        </w:tc>
        <w:tc>
          <w:tcPr>
            <w:tcW w:w="1223" w:type="dxa"/>
            <w:shd w:val="clear" w:color="auto" w:fill="auto"/>
          </w:tcPr>
          <w:p w14:paraId="1E8F2EE7" w14:textId="77777777" w:rsidR="001A2F97" w:rsidRPr="001A2F97" w:rsidRDefault="001A2F97" w:rsidP="001A2F97">
            <w:pPr>
              <w:jc w:val="right"/>
              <w:rPr>
                <w:rFonts w:eastAsia="Arial"/>
                <w:sz w:val="20"/>
                <w:szCs w:val="20"/>
                <w:lang w:val="en-US"/>
              </w:rPr>
            </w:pPr>
            <w:r w:rsidRPr="001A2F97">
              <w:rPr>
                <w:rFonts w:eastAsia="Arial"/>
                <w:sz w:val="20"/>
                <w:szCs w:val="20"/>
                <w:lang w:val="en-US"/>
              </w:rPr>
              <w:t>900</w:t>
            </w:r>
          </w:p>
        </w:tc>
      </w:tr>
      <w:tr w:rsidR="001A2F97" w:rsidRPr="001A2F97" w14:paraId="4EFCD358" w14:textId="77777777" w:rsidTr="0043252E">
        <w:tc>
          <w:tcPr>
            <w:tcW w:w="6091" w:type="dxa"/>
            <w:shd w:val="clear" w:color="auto" w:fill="auto"/>
          </w:tcPr>
          <w:p w14:paraId="09E3DAA3" w14:textId="77777777" w:rsidR="001A2F97" w:rsidRPr="001A2F97" w:rsidRDefault="001A2F97" w:rsidP="001A2F97">
            <w:pPr>
              <w:rPr>
                <w:rFonts w:eastAsia="Arial"/>
                <w:sz w:val="20"/>
                <w:szCs w:val="20"/>
                <w:lang w:val="en-US"/>
              </w:rPr>
            </w:pPr>
            <w:r w:rsidRPr="001A2F97">
              <w:rPr>
                <w:rFonts w:eastAsia="Arial"/>
                <w:sz w:val="20"/>
                <w:szCs w:val="20"/>
                <w:lang w:val="en-US"/>
              </w:rPr>
              <w:t>Storage tank 1000lb</w:t>
            </w:r>
          </w:p>
        </w:tc>
        <w:tc>
          <w:tcPr>
            <w:tcW w:w="1134" w:type="dxa"/>
            <w:shd w:val="clear" w:color="auto" w:fill="auto"/>
          </w:tcPr>
          <w:p w14:paraId="05476547" w14:textId="77777777" w:rsidR="001A2F97" w:rsidRPr="001A2F97" w:rsidRDefault="001A2F97" w:rsidP="001A2F97">
            <w:pPr>
              <w:jc w:val="right"/>
              <w:rPr>
                <w:rFonts w:eastAsia="Arial"/>
                <w:sz w:val="20"/>
                <w:szCs w:val="20"/>
                <w:lang w:val="en-US"/>
              </w:rPr>
            </w:pPr>
            <w:r w:rsidRPr="001A2F97">
              <w:rPr>
                <w:rFonts w:eastAsia="Arial"/>
                <w:sz w:val="20"/>
                <w:szCs w:val="20"/>
                <w:lang w:val="en-US"/>
              </w:rPr>
              <w:t>4,000</w:t>
            </w:r>
          </w:p>
        </w:tc>
        <w:tc>
          <w:tcPr>
            <w:tcW w:w="992" w:type="dxa"/>
            <w:shd w:val="clear" w:color="auto" w:fill="auto"/>
          </w:tcPr>
          <w:p w14:paraId="1F0501E7" w14:textId="77777777" w:rsidR="001A2F97" w:rsidRPr="001A2F97" w:rsidRDefault="001A2F97" w:rsidP="001A2F97">
            <w:pPr>
              <w:jc w:val="right"/>
              <w:rPr>
                <w:rFonts w:eastAsia="Arial"/>
                <w:sz w:val="20"/>
                <w:szCs w:val="20"/>
                <w:lang w:val="en-US"/>
              </w:rPr>
            </w:pPr>
            <w:r w:rsidRPr="001A2F97">
              <w:rPr>
                <w:rFonts w:eastAsia="Arial"/>
                <w:sz w:val="20"/>
                <w:szCs w:val="20"/>
                <w:lang w:val="en-US"/>
              </w:rPr>
              <w:t>1</w:t>
            </w:r>
          </w:p>
        </w:tc>
        <w:tc>
          <w:tcPr>
            <w:tcW w:w="1223" w:type="dxa"/>
            <w:shd w:val="clear" w:color="auto" w:fill="auto"/>
          </w:tcPr>
          <w:p w14:paraId="1E26BBBC" w14:textId="77777777" w:rsidR="001A2F97" w:rsidRPr="001A2F97" w:rsidRDefault="001A2F97" w:rsidP="001A2F97">
            <w:pPr>
              <w:jc w:val="right"/>
              <w:rPr>
                <w:rFonts w:eastAsia="Arial"/>
                <w:sz w:val="20"/>
                <w:szCs w:val="20"/>
                <w:lang w:val="en-US"/>
              </w:rPr>
            </w:pPr>
            <w:r w:rsidRPr="001A2F97">
              <w:rPr>
                <w:rFonts w:eastAsia="Arial"/>
                <w:sz w:val="20"/>
                <w:szCs w:val="20"/>
                <w:lang w:val="en-US"/>
              </w:rPr>
              <w:t>4,000</w:t>
            </w:r>
          </w:p>
        </w:tc>
      </w:tr>
      <w:tr w:rsidR="001A2F97" w:rsidRPr="001A2F97" w14:paraId="3632BB9A" w14:textId="77777777" w:rsidTr="0043252E">
        <w:tc>
          <w:tcPr>
            <w:tcW w:w="6091" w:type="dxa"/>
            <w:shd w:val="clear" w:color="auto" w:fill="auto"/>
          </w:tcPr>
          <w:p w14:paraId="5444ABB6" w14:textId="77777777" w:rsidR="001A2F97" w:rsidRPr="001A2F97" w:rsidRDefault="001A2F97" w:rsidP="001A2F97">
            <w:pPr>
              <w:rPr>
                <w:rFonts w:eastAsia="Arial"/>
                <w:sz w:val="20"/>
                <w:szCs w:val="20"/>
                <w:lang w:val="en-US"/>
              </w:rPr>
            </w:pPr>
            <w:r w:rsidRPr="001A2F97">
              <w:rPr>
                <w:rFonts w:eastAsia="Arial"/>
                <w:sz w:val="20"/>
                <w:szCs w:val="20"/>
                <w:lang w:val="en-US"/>
              </w:rPr>
              <w:lastRenderedPageBreak/>
              <w:t>Vacuum pump</w:t>
            </w:r>
          </w:p>
        </w:tc>
        <w:tc>
          <w:tcPr>
            <w:tcW w:w="1134" w:type="dxa"/>
            <w:shd w:val="clear" w:color="auto" w:fill="auto"/>
          </w:tcPr>
          <w:p w14:paraId="697C4FAA" w14:textId="77777777" w:rsidR="001A2F97" w:rsidRPr="001A2F97" w:rsidRDefault="001A2F97" w:rsidP="001A2F97">
            <w:pPr>
              <w:jc w:val="right"/>
              <w:rPr>
                <w:rFonts w:eastAsia="Arial"/>
                <w:sz w:val="20"/>
                <w:szCs w:val="20"/>
                <w:lang w:val="en-US"/>
              </w:rPr>
            </w:pPr>
            <w:r w:rsidRPr="001A2F97">
              <w:rPr>
                <w:rFonts w:eastAsia="Arial"/>
                <w:sz w:val="20"/>
                <w:szCs w:val="20"/>
                <w:lang w:val="en-US"/>
              </w:rPr>
              <w:t>220</w:t>
            </w:r>
          </w:p>
        </w:tc>
        <w:tc>
          <w:tcPr>
            <w:tcW w:w="992" w:type="dxa"/>
            <w:shd w:val="clear" w:color="auto" w:fill="auto"/>
          </w:tcPr>
          <w:p w14:paraId="610911D6" w14:textId="77777777" w:rsidR="001A2F97" w:rsidRPr="001A2F97" w:rsidRDefault="001A2F97" w:rsidP="001A2F97">
            <w:pPr>
              <w:jc w:val="right"/>
              <w:rPr>
                <w:rFonts w:eastAsia="Arial"/>
                <w:sz w:val="20"/>
                <w:szCs w:val="20"/>
                <w:lang w:val="en-US"/>
              </w:rPr>
            </w:pPr>
            <w:r w:rsidRPr="001A2F97">
              <w:rPr>
                <w:rFonts w:eastAsia="Arial"/>
                <w:sz w:val="20"/>
                <w:szCs w:val="20"/>
                <w:lang w:val="en-US"/>
              </w:rPr>
              <w:t>4</w:t>
            </w:r>
          </w:p>
        </w:tc>
        <w:tc>
          <w:tcPr>
            <w:tcW w:w="1223" w:type="dxa"/>
            <w:shd w:val="clear" w:color="auto" w:fill="auto"/>
          </w:tcPr>
          <w:p w14:paraId="33FE19DB" w14:textId="77777777" w:rsidR="001A2F97" w:rsidRPr="001A2F97" w:rsidRDefault="001A2F97" w:rsidP="001A2F97">
            <w:pPr>
              <w:jc w:val="right"/>
              <w:rPr>
                <w:rFonts w:eastAsia="Arial"/>
                <w:sz w:val="20"/>
                <w:szCs w:val="20"/>
                <w:lang w:val="en-US"/>
              </w:rPr>
            </w:pPr>
            <w:r w:rsidRPr="001A2F97">
              <w:rPr>
                <w:rFonts w:eastAsia="Arial"/>
                <w:sz w:val="20"/>
                <w:szCs w:val="20"/>
                <w:lang w:val="en-US"/>
              </w:rPr>
              <w:t>880</w:t>
            </w:r>
          </w:p>
        </w:tc>
      </w:tr>
      <w:tr w:rsidR="001A2F97" w:rsidRPr="001A2F97" w14:paraId="6166416C" w14:textId="77777777" w:rsidTr="0043252E">
        <w:tc>
          <w:tcPr>
            <w:tcW w:w="6091" w:type="dxa"/>
            <w:shd w:val="clear" w:color="auto" w:fill="auto"/>
          </w:tcPr>
          <w:p w14:paraId="5353E301" w14:textId="77777777" w:rsidR="001A2F97" w:rsidRPr="001A2F97" w:rsidRDefault="001A2F97" w:rsidP="001A2F97">
            <w:pPr>
              <w:rPr>
                <w:rFonts w:eastAsia="Arial"/>
                <w:sz w:val="20"/>
                <w:szCs w:val="20"/>
                <w:lang w:val="en-US"/>
              </w:rPr>
            </w:pPr>
            <w:r w:rsidRPr="001A2F97">
              <w:rPr>
                <w:rFonts w:eastAsia="Arial"/>
                <w:sz w:val="20"/>
                <w:szCs w:val="20"/>
                <w:lang w:val="en-US"/>
              </w:rPr>
              <w:t>Refrigerant Reclamation Equipment</w:t>
            </w:r>
          </w:p>
        </w:tc>
        <w:tc>
          <w:tcPr>
            <w:tcW w:w="1134" w:type="dxa"/>
            <w:shd w:val="clear" w:color="auto" w:fill="auto"/>
          </w:tcPr>
          <w:p w14:paraId="543871F5" w14:textId="77777777" w:rsidR="001A2F97" w:rsidRPr="001A2F97" w:rsidRDefault="001A2F97" w:rsidP="001A2F97">
            <w:pPr>
              <w:jc w:val="right"/>
              <w:rPr>
                <w:rFonts w:eastAsia="Arial"/>
                <w:sz w:val="20"/>
                <w:szCs w:val="20"/>
                <w:lang w:val="en-US"/>
              </w:rPr>
            </w:pPr>
            <w:r w:rsidRPr="001A2F97">
              <w:rPr>
                <w:rFonts w:eastAsia="Arial"/>
                <w:sz w:val="20"/>
                <w:szCs w:val="20"/>
                <w:lang w:val="en-US"/>
              </w:rPr>
              <w:t>700</w:t>
            </w:r>
          </w:p>
        </w:tc>
        <w:tc>
          <w:tcPr>
            <w:tcW w:w="992" w:type="dxa"/>
            <w:shd w:val="clear" w:color="auto" w:fill="auto"/>
          </w:tcPr>
          <w:p w14:paraId="1478A09E" w14:textId="77777777" w:rsidR="001A2F97" w:rsidRPr="001A2F97" w:rsidRDefault="001A2F97" w:rsidP="001A2F97">
            <w:pPr>
              <w:jc w:val="right"/>
              <w:rPr>
                <w:rFonts w:eastAsia="Arial"/>
                <w:sz w:val="20"/>
                <w:szCs w:val="20"/>
                <w:lang w:val="en-US"/>
              </w:rPr>
            </w:pPr>
            <w:r w:rsidRPr="001A2F97">
              <w:rPr>
                <w:rFonts w:eastAsia="Arial"/>
                <w:sz w:val="20"/>
                <w:szCs w:val="20"/>
                <w:lang w:val="en-US"/>
              </w:rPr>
              <w:t>3</w:t>
            </w:r>
          </w:p>
        </w:tc>
        <w:tc>
          <w:tcPr>
            <w:tcW w:w="1223" w:type="dxa"/>
            <w:shd w:val="clear" w:color="auto" w:fill="auto"/>
          </w:tcPr>
          <w:p w14:paraId="72B6945A" w14:textId="77777777" w:rsidR="001A2F97" w:rsidRPr="001A2F97" w:rsidRDefault="001A2F97" w:rsidP="001A2F97">
            <w:pPr>
              <w:jc w:val="right"/>
              <w:rPr>
                <w:rFonts w:eastAsia="Arial"/>
                <w:sz w:val="20"/>
                <w:szCs w:val="20"/>
                <w:lang w:val="en-US"/>
              </w:rPr>
            </w:pPr>
            <w:r w:rsidRPr="001A2F97">
              <w:rPr>
                <w:rFonts w:eastAsia="Arial"/>
                <w:sz w:val="20"/>
                <w:szCs w:val="20"/>
                <w:lang w:val="en-US"/>
              </w:rPr>
              <w:t>2,100</w:t>
            </w:r>
          </w:p>
        </w:tc>
      </w:tr>
      <w:tr w:rsidR="001A2F97" w:rsidRPr="001A2F97" w14:paraId="2B107505" w14:textId="77777777" w:rsidTr="0043252E">
        <w:tc>
          <w:tcPr>
            <w:tcW w:w="6091" w:type="dxa"/>
            <w:shd w:val="clear" w:color="auto" w:fill="auto"/>
          </w:tcPr>
          <w:p w14:paraId="2AE8A879" w14:textId="77777777" w:rsidR="001A2F97" w:rsidRPr="001A2F97" w:rsidRDefault="001A2F97" w:rsidP="001A2F97">
            <w:pPr>
              <w:rPr>
                <w:rFonts w:eastAsia="Arial"/>
                <w:sz w:val="20"/>
                <w:szCs w:val="20"/>
                <w:lang w:val="en-US"/>
              </w:rPr>
            </w:pPr>
            <w:r w:rsidRPr="001A2F97">
              <w:rPr>
                <w:rFonts w:eastAsia="Arial"/>
                <w:sz w:val="20"/>
                <w:szCs w:val="20"/>
                <w:lang w:val="en-US"/>
              </w:rPr>
              <w:t>Manifold and service gauge</w:t>
            </w:r>
          </w:p>
        </w:tc>
        <w:tc>
          <w:tcPr>
            <w:tcW w:w="1134" w:type="dxa"/>
            <w:shd w:val="clear" w:color="auto" w:fill="auto"/>
          </w:tcPr>
          <w:p w14:paraId="3A93F470" w14:textId="77777777" w:rsidR="001A2F97" w:rsidRPr="001A2F97" w:rsidRDefault="001A2F97" w:rsidP="001A2F97">
            <w:pPr>
              <w:jc w:val="right"/>
              <w:rPr>
                <w:rFonts w:eastAsia="Arial"/>
                <w:sz w:val="20"/>
                <w:szCs w:val="20"/>
                <w:lang w:val="en-US"/>
              </w:rPr>
            </w:pPr>
            <w:r w:rsidRPr="001A2F97">
              <w:rPr>
                <w:rFonts w:eastAsia="Arial"/>
                <w:sz w:val="20"/>
                <w:szCs w:val="20"/>
                <w:lang w:val="en-US"/>
              </w:rPr>
              <w:t>450</w:t>
            </w:r>
          </w:p>
        </w:tc>
        <w:tc>
          <w:tcPr>
            <w:tcW w:w="992" w:type="dxa"/>
            <w:shd w:val="clear" w:color="auto" w:fill="auto"/>
          </w:tcPr>
          <w:p w14:paraId="5915354B" w14:textId="77777777" w:rsidR="001A2F97" w:rsidRPr="001A2F97" w:rsidRDefault="001A2F97" w:rsidP="001A2F97">
            <w:pPr>
              <w:jc w:val="right"/>
              <w:rPr>
                <w:rFonts w:eastAsia="Arial"/>
                <w:sz w:val="20"/>
                <w:szCs w:val="20"/>
                <w:lang w:val="en-US"/>
              </w:rPr>
            </w:pPr>
            <w:r w:rsidRPr="001A2F97">
              <w:rPr>
                <w:rFonts w:eastAsia="Arial"/>
                <w:sz w:val="20"/>
                <w:szCs w:val="20"/>
                <w:lang w:val="en-US"/>
              </w:rPr>
              <w:t>2</w:t>
            </w:r>
          </w:p>
        </w:tc>
        <w:tc>
          <w:tcPr>
            <w:tcW w:w="1223" w:type="dxa"/>
            <w:shd w:val="clear" w:color="auto" w:fill="auto"/>
          </w:tcPr>
          <w:p w14:paraId="1DAA5876" w14:textId="77777777" w:rsidR="001A2F97" w:rsidRPr="001A2F97" w:rsidRDefault="001A2F97" w:rsidP="001A2F97">
            <w:pPr>
              <w:jc w:val="right"/>
              <w:rPr>
                <w:rFonts w:eastAsia="Arial"/>
                <w:sz w:val="20"/>
                <w:szCs w:val="20"/>
                <w:lang w:val="en-US"/>
              </w:rPr>
            </w:pPr>
            <w:r w:rsidRPr="001A2F97">
              <w:rPr>
                <w:rFonts w:eastAsia="Arial"/>
                <w:sz w:val="20"/>
                <w:szCs w:val="20"/>
                <w:lang w:val="en-US"/>
              </w:rPr>
              <w:t>900</w:t>
            </w:r>
          </w:p>
        </w:tc>
      </w:tr>
      <w:tr w:rsidR="001A2F97" w:rsidRPr="001A2F97" w14:paraId="2BDD432B" w14:textId="77777777" w:rsidTr="0043252E">
        <w:tc>
          <w:tcPr>
            <w:tcW w:w="6091" w:type="dxa"/>
            <w:shd w:val="clear" w:color="auto" w:fill="auto"/>
          </w:tcPr>
          <w:p w14:paraId="3166059A" w14:textId="77777777" w:rsidR="001A2F97" w:rsidRPr="001A2F97" w:rsidRDefault="001A2F97" w:rsidP="001A2F97">
            <w:pPr>
              <w:rPr>
                <w:rFonts w:eastAsia="Arial"/>
                <w:sz w:val="20"/>
                <w:szCs w:val="20"/>
                <w:lang w:val="en-US"/>
              </w:rPr>
            </w:pPr>
            <w:r w:rsidRPr="001A2F97">
              <w:rPr>
                <w:rFonts w:eastAsia="Arial"/>
                <w:sz w:val="20"/>
                <w:szCs w:val="20"/>
                <w:lang w:val="en-US"/>
              </w:rPr>
              <w:t>Drilling pliers</w:t>
            </w:r>
          </w:p>
        </w:tc>
        <w:tc>
          <w:tcPr>
            <w:tcW w:w="1134" w:type="dxa"/>
            <w:shd w:val="clear" w:color="auto" w:fill="auto"/>
          </w:tcPr>
          <w:p w14:paraId="31F1B50B" w14:textId="77777777" w:rsidR="001A2F97" w:rsidRPr="001A2F97" w:rsidRDefault="001A2F97" w:rsidP="001A2F97">
            <w:pPr>
              <w:jc w:val="right"/>
              <w:rPr>
                <w:rFonts w:eastAsia="Arial"/>
                <w:sz w:val="20"/>
                <w:szCs w:val="20"/>
                <w:lang w:val="en-US"/>
              </w:rPr>
            </w:pPr>
            <w:r w:rsidRPr="001A2F97">
              <w:rPr>
                <w:rFonts w:eastAsia="Arial"/>
                <w:sz w:val="20"/>
                <w:szCs w:val="20"/>
                <w:lang w:val="en-US"/>
              </w:rPr>
              <w:t>25</w:t>
            </w:r>
          </w:p>
        </w:tc>
        <w:tc>
          <w:tcPr>
            <w:tcW w:w="992" w:type="dxa"/>
            <w:shd w:val="clear" w:color="auto" w:fill="auto"/>
          </w:tcPr>
          <w:p w14:paraId="20BB4782" w14:textId="77777777" w:rsidR="001A2F97" w:rsidRPr="001A2F97" w:rsidRDefault="001A2F97" w:rsidP="001A2F97">
            <w:pPr>
              <w:jc w:val="right"/>
              <w:rPr>
                <w:rFonts w:eastAsia="Arial"/>
                <w:sz w:val="20"/>
                <w:szCs w:val="20"/>
                <w:lang w:val="en-US"/>
              </w:rPr>
            </w:pPr>
            <w:r w:rsidRPr="001A2F97">
              <w:rPr>
                <w:rFonts w:eastAsia="Arial"/>
                <w:sz w:val="20"/>
                <w:szCs w:val="20"/>
                <w:lang w:val="en-US"/>
              </w:rPr>
              <w:t>2</w:t>
            </w:r>
          </w:p>
        </w:tc>
        <w:tc>
          <w:tcPr>
            <w:tcW w:w="1223" w:type="dxa"/>
            <w:shd w:val="clear" w:color="auto" w:fill="auto"/>
          </w:tcPr>
          <w:p w14:paraId="4BB2F7E7" w14:textId="77777777" w:rsidR="001A2F97" w:rsidRPr="001A2F97" w:rsidRDefault="001A2F97" w:rsidP="001A2F97">
            <w:pPr>
              <w:jc w:val="right"/>
              <w:rPr>
                <w:rFonts w:eastAsia="Arial"/>
                <w:sz w:val="20"/>
                <w:szCs w:val="20"/>
                <w:lang w:val="en-US"/>
              </w:rPr>
            </w:pPr>
            <w:r w:rsidRPr="001A2F97">
              <w:rPr>
                <w:rFonts w:eastAsia="Arial"/>
                <w:sz w:val="20"/>
                <w:szCs w:val="20"/>
                <w:lang w:val="en-US"/>
              </w:rPr>
              <w:t>50</w:t>
            </w:r>
          </w:p>
        </w:tc>
      </w:tr>
      <w:tr w:rsidR="001A2F97" w:rsidRPr="001A2F97" w14:paraId="1BC1A71F" w14:textId="77777777" w:rsidTr="0043252E">
        <w:tc>
          <w:tcPr>
            <w:tcW w:w="6091" w:type="dxa"/>
            <w:shd w:val="clear" w:color="auto" w:fill="auto"/>
          </w:tcPr>
          <w:p w14:paraId="626691D3" w14:textId="77777777" w:rsidR="001A2F97" w:rsidRPr="001A2F97" w:rsidRDefault="001A2F97" w:rsidP="001A2F97">
            <w:pPr>
              <w:rPr>
                <w:rFonts w:eastAsia="Arial"/>
                <w:sz w:val="20"/>
                <w:szCs w:val="20"/>
                <w:lang w:val="en-US"/>
              </w:rPr>
            </w:pPr>
            <w:r w:rsidRPr="001A2F97">
              <w:rPr>
                <w:rFonts w:eastAsia="Arial"/>
                <w:sz w:val="20"/>
                <w:szCs w:val="20"/>
                <w:lang w:val="en-US"/>
              </w:rPr>
              <w:t>Safety Protection</w:t>
            </w:r>
          </w:p>
        </w:tc>
        <w:tc>
          <w:tcPr>
            <w:tcW w:w="1134" w:type="dxa"/>
            <w:shd w:val="clear" w:color="auto" w:fill="auto"/>
          </w:tcPr>
          <w:p w14:paraId="13F53741" w14:textId="77777777" w:rsidR="001A2F97" w:rsidRPr="001A2F97" w:rsidRDefault="001A2F97" w:rsidP="001A2F97">
            <w:pPr>
              <w:jc w:val="right"/>
              <w:rPr>
                <w:rFonts w:eastAsia="Arial"/>
                <w:sz w:val="20"/>
                <w:szCs w:val="20"/>
                <w:lang w:val="en-US"/>
              </w:rPr>
            </w:pPr>
            <w:r w:rsidRPr="001A2F97">
              <w:rPr>
                <w:rFonts w:eastAsia="Arial"/>
                <w:sz w:val="20"/>
                <w:szCs w:val="20"/>
                <w:lang w:val="en-US"/>
              </w:rPr>
              <w:t>23</w:t>
            </w:r>
          </w:p>
        </w:tc>
        <w:tc>
          <w:tcPr>
            <w:tcW w:w="992" w:type="dxa"/>
            <w:shd w:val="clear" w:color="auto" w:fill="auto"/>
          </w:tcPr>
          <w:p w14:paraId="415565CC" w14:textId="77777777" w:rsidR="001A2F97" w:rsidRPr="001A2F97" w:rsidRDefault="001A2F97" w:rsidP="001A2F97">
            <w:pPr>
              <w:jc w:val="right"/>
              <w:rPr>
                <w:rFonts w:eastAsia="Arial"/>
                <w:sz w:val="20"/>
                <w:szCs w:val="20"/>
                <w:lang w:val="en-US"/>
              </w:rPr>
            </w:pPr>
            <w:r w:rsidRPr="001A2F97">
              <w:rPr>
                <w:rFonts w:eastAsia="Arial"/>
                <w:sz w:val="20"/>
                <w:szCs w:val="20"/>
                <w:lang w:val="en-US"/>
              </w:rPr>
              <w:t>10</w:t>
            </w:r>
          </w:p>
        </w:tc>
        <w:tc>
          <w:tcPr>
            <w:tcW w:w="1223" w:type="dxa"/>
            <w:shd w:val="clear" w:color="auto" w:fill="auto"/>
          </w:tcPr>
          <w:p w14:paraId="042F0AE5" w14:textId="77777777" w:rsidR="001A2F97" w:rsidRPr="001A2F97" w:rsidRDefault="001A2F97" w:rsidP="001A2F97">
            <w:pPr>
              <w:jc w:val="right"/>
              <w:rPr>
                <w:rFonts w:eastAsia="Arial"/>
                <w:sz w:val="20"/>
                <w:szCs w:val="20"/>
                <w:lang w:val="en-US"/>
              </w:rPr>
            </w:pPr>
            <w:r w:rsidRPr="001A2F97">
              <w:rPr>
                <w:rFonts w:eastAsia="Arial"/>
                <w:sz w:val="20"/>
                <w:szCs w:val="20"/>
                <w:lang w:val="en-US"/>
              </w:rPr>
              <w:t>230</w:t>
            </w:r>
          </w:p>
        </w:tc>
      </w:tr>
      <w:tr w:rsidR="001A2F97" w:rsidRPr="001A2F97" w14:paraId="19EED0A5" w14:textId="77777777" w:rsidTr="0043252E">
        <w:tc>
          <w:tcPr>
            <w:tcW w:w="6091" w:type="dxa"/>
            <w:shd w:val="clear" w:color="auto" w:fill="auto"/>
          </w:tcPr>
          <w:p w14:paraId="6F34FF04" w14:textId="77777777" w:rsidR="001A2F97" w:rsidRPr="001A2F97" w:rsidRDefault="001A2F97" w:rsidP="001A2F97">
            <w:pPr>
              <w:rPr>
                <w:rFonts w:eastAsia="Arial"/>
                <w:sz w:val="20"/>
                <w:szCs w:val="20"/>
                <w:lang w:val="en-US"/>
              </w:rPr>
            </w:pPr>
            <w:r w:rsidRPr="001A2F97">
              <w:rPr>
                <w:rFonts w:eastAsia="Arial"/>
                <w:sz w:val="20"/>
                <w:szCs w:val="20"/>
                <w:lang w:val="en-US"/>
              </w:rPr>
              <w:t>Toolbox</w:t>
            </w:r>
          </w:p>
        </w:tc>
        <w:tc>
          <w:tcPr>
            <w:tcW w:w="1134" w:type="dxa"/>
            <w:shd w:val="clear" w:color="auto" w:fill="auto"/>
          </w:tcPr>
          <w:p w14:paraId="5F28237A" w14:textId="77777777" w:rsidR="001A2F97" w:rsidRPr="001A2F97" w:rsidRDefault="001A2F97" w:rsidP="001A2F97">
            <w:pPr>
              <w:jc w:val="right"/>
              <w:rPr>
                <w:rFonts w:eastAsia="Arial"/>
                <w:sz w:val="20"/>
                <w:szCs w:val="20"/>
                <w:lang w:val="en-US"/>
              </w:rPr>
            </w:pPr>
            <w:r w:rsidRPr="001A2F97">
              <w:rPr>
                <w:rFonts w:eastAsia="Arial"/>
                <w:sz w:val="20"/>
                <w:szCs w:val="20"/>
                <w:lang w:val="en-US"/>
              </w:rPr>
              <w:t>350</w:t>
            </w:r>
          </w:p>
        </w:tc>
        <w:tc>
          <w:tcPr>
            <w:tcW w:w="992" w:type="dxa"/>
            <w:shd w:val="clear" w:color="auto" w:fill="auto"/>
          </w:tcPr>
          <w:p w14:paraId="21E5F63C" w14:textId="77777777" w:rsidR="001A2F97" w:rsidRPr="001A2F97" w:rsidRDefault="001A2F97" w:rsidP="001A2F97">
            <w:pPr>
              <w:jc w:val="right"/>
              <w:rPr>
                <w:rFonts w:eastAsia="Arial"/>
                <w:sz w:val="20"/>
                <w:szCs w:val="20"/>
                <w:lang w:val="en-US"/>
              </w:rPr>
            </w:pPr>
            <w:r w:rsidRPr="001A2F97">
              <w:rPr>
                <w:rFonts w:eastAsia="Arial"/>
                <w:sz w:val="20"/>
                <w:szCs w:val="20"/>
                <w:lang w:val="en-US"/>
              </w:rPr>
              <w:t>1</w:t>
            </w:r>
          </w:p>
        </w:tc>
        <w:tc>
          <w:tcPr>
            <w:tcW w:w="1223" w:type="dxa"/>
            <w:shd w:val="clear" w:color="auto" w:fill="auto"/>
          </w:tcPr>
          <w:p w14:paraId="0E241964" w14:textId="77777777" w:rsidR="001A2F97" w:rsidRPr="001A2F97" w:rsidRDefault="001A2F97" w:rsidP="001A2F97">
            <w:pPr>
              <w:jc w:val="right"/>
              <w:rPr>
                <w:rFonts w:eastAsia="Arial"/>
                <w:sz w:val="20"/>
                <w:szCs w:val="20"/>
                <w:lang w:val="en-US"/>
              </w:rPr>
            </w:pPr>
            <w:r w:rsidRPr="001A2F97">
              <w:rPr>
                <w:rFonts w:eastAsia="Arial"/>
                <w:sz w:val="20"/>
                <w:szCs w:val="20"/>
                <w:lang w:val="en-US"/>
              </w:rPr>
              <w:t>350</w:t>
            </w:r>
          </w:p>
        </w:tc>
      </w:tr>
      <w:tr w:rsidR="001A2F97" w:rsidRPr="001A2F97" w14:paraId="675724D2" w14:textId="77777777" w:rsidTr="0043252E">
        <w:tc>
          <w:tcPr>
            <w:tcW w:w="6091" w:type="dxa"/>
            <w:shd w:val="clear" w:color="auto" w:fill="auto"/>
          </w:tcPr>
          <w:p w14:paraId="79C71012" w14:textId="77777777" w:rsidR="001A2F97" w:rsidRPr="001A2F97" w:rsidRDefault="001A2F97" w:rsidP="001A2F97">
            <w:pPr>
              <w:rPr>
                <w:rFonts w:eastAsia="Arial"/>
                <w:sz w:val="20"/>
                <w:szCs w:val="20"/>
                <w:lang w:val="en-US"/>
              </w:rPr>
            </w:pPr>
            <w:r w:rsidRPr="001A2F97">
              <w:rPr>
                <w:rFonts w:eastAsia="Arial"/>
                <w:sz w:val="20"/>
                <w:szCs w:val="20"/>
                <w:lang w:val="en-US"/>
              </w:rPr>
              <w:t>Fire extinguisher</w:t>
            </w:r>
          </w:p>
        </w:tc>
        <w:tc>
          <w:tcPr>
            <w:tcW w:w="1134" w:type="dxa"/>
            <w:shd w:val="clear" w:color="auto" w:fill="auto"/>
          </w:tcPr>
          <w:p w14:paraId="64C08357" w14:textId="77777777" w:rsidR="001A2F97" w:rsidRPr="001A2F97" w:rsidRDefault="001A2F97" w:rsidP="001A2F97">
            <w:pPr>
              <w:jc w:val="right"/>
              <w:rPr>
                <w:rFonts w:eastAsia="Arial"/>
                <w:sz w:val="20"/>
                <w:szCs w:val="20"/>
                <w:lang w:val="en-US"/>
              </w:rPr>
            </w:pPr>
            <w:r w:rsidRPr="001A2F97">
              <w:rPr>
                <w:rFonts w:eastAsia="Arial"/>
                <w:sz w:val="20"/>
                <w:szCs w:val="20"/>
                <w:lang w:val="en-US"/>
              </w:rPr>
              <w:t>250</w:t>
            </w:r>
          </w:p>
        </w:tc>
        <w:tc>
          <w:tcPr>
            <w:tcW w:w="992" w:type="dxa"/>
            <w:shd w:val="clear" w:color="auto" w:fill="auto"/>
          </w:tcPr>
          <w:p w14:paraId="487B83BC" w14:textId="77777777" w:rsidR="001A2F97" w:rsidRPr="001A2F97" w:rsidRDefault="001A2F97" w:rsidP="001A2F97">
            <w:pPr>
              <w:jc w:val="right"/>
              <w:rPr>
                <w:rFonts w:eastAsia="Arial"/>
                <w:sz w:val="20"/>
                <w:szCs w:val="20"/>
                <w:lang w:val="en-US"/>
              </w:rPr>
            </w:pPr>
            <w:r w:rsidRPr="001A2F97">
              <w:rPr>
                <w:rFonts w:eastAsia="Arial"/>
                <w:sz w:val="20"/>
                <w:szCs w:val="20"/>
                <w:lang w:val="en-US"/>
              </w:rPr>
              <w:t>3</w:t>
            </w:r>
          </w:p>
        </w:tc>
        <w:tc>
          <w:tcPr>
            <w:tcW w:w="1223" w:type="dxa"/>
            <w:shd w:val="clear" w:color="auto" w:fill="auto"/>
          </w:tcPr>
          <w:p w14:paraId="4579A90D" w14:textId="77777777" w:rsidR="001A2F97" w:rsidRPr="001A2F97" w:rsidRDefault="001A2F97" w:rsidP="001A2F97">
            <w:pPr>
              <w:jc w:val="right"/>
              <w:rPr>
                <w:rFonts w:eastAsia="Arial"/>
                <w:sz w:val="20"/>
                <w:szCs w:val="20"/>
                <w:lang w:val="en-US"/>
              </w:rPr>
            </w:pPr>
            <w:r w:rsidRPr="001A2F97">
              <w:rPr>
                <w:rFonts w:eastAsia="Arial"/>
                <w:sz w:val="20"/>
                <w:szCs w:val="20"/>
                <w:lang w:val="en-US"/>
              </w:rPr>
              <w:t>750</w:t>
            </w:r>
          </w:p>
        </w:tc>
      </w:tr>
      <w:tr w:rsidR="001A2F97" w:rsidRPr="001A2F97" w14:paraId="3D722939" w14:textId="77777777" w:rsidTr="0043252E">
        <w:tc>
          <w:tcPr>
            <w:tcW w:w="6091" w:type="dxa"/>
            <w:shd w:val="clear" w:color="auto" w:fill="auto"/>
          </w:tcPr>
          <w:p w14:paraId="152C88F9" w14:textId="77777777" w:rsidR="001A2F97" w:rsidRPr="001A2F97" w:rsidRDefault="001A2F97" w:rsidP="001A2F97">
            <w:pPr>
              <w:rPr>
                <w:rFonts w:eastAsia="Arial"/>
                <w:sz w:val="20"/>
                <w:szCs w:val="20"/>
                <w:lang w:val="en-US"/>
              </w:rPr>
            </w:pPr>
            <w:r w:rsidRPr="001A2F97">
              <w:rPr>
                <w:rFonts w:eastAsia="Arial"/>
                <w:sz w:val="20"/>
                <w:szCs w:val="20"/>
                <w:lang w:val="en-US"/>
              </w:rPr>
              <w:t>First Aid Kit</w:t>
            </w:r>
          </w:p>
        </w:tc>
        <w:tc>
          <w:tcPr>
            <w:tcW w:w="1134" w:type="dxa"/>
            <w:shd w:val="clear" w:color="auto" w:fill="auto"/>
          </w:tcPr>
          <w:p w14:paraId="688F7585" w14:textId="77777777" w:rsidR="001A2F97" w:rsidRPr="001A2F97" w:rsidRDefault="001A2F97" w:rsidP="001A2F97">
            <w:pPr>
              <w:jc w:val="right"/>
              <w:rPr>
                <w:rFonts w:eastAsia="Arial"/>
                <w:sz w:val="20"/>
                <w:szCs w:val="20"/>
                <w:lang w:val="en-US"/>
              </w:rPr>
            </w:pPr>
            <w:r w:rsidRPr="001A2F97">
              <w:rPr>
                <w:rFonts w:eastAsia="Arial"/>
                <w:sz w:val="20"/>
                <w:szCs w:val="20"/>
                <w:lang w:val="en-US"/>
              </w:rPr>
              <w:t>500</w:t>
            </w:r>
          </w:p>
        </w:tc>
        <w:tc>
          <w:tcPr>
            <w:tcW w:w="992" w:type="dxa"/>
            <w:shd w:val="clear" w:color="auto" w:fill="auto"/>
          </w:tcPr>
          <w:p w14:paraId="629C70F1" w14:textId="77777777" w:rsidR="001A2F97" w:rsidRPr="001A2F97" w:rsidRDefault="001A2F97" w:rsidP="001A2F97">
            <w:pPr>
              <w:jc w:val="right"/>
              <w:rPr>
                <w:rFonts w:eastAsia="Arial"/>
                <w:sz w:val="20"/>
                <w:szCs w:val="20"/>
                <w:lang w:val="en-US"/>
              </w:rPr>
            </w:pPr>
            <w:r w:rsidRPr="001A2F97">
              <w:rPr>
                <w:rFonts w:eastAsia="Arial"/>
                <w:sz w:val="20"/>
                <w:szCs w:val="20"/>
                <w:lang w:val="en-US"/>
              </w:rPr>
              <w:t>2</w:t>
            </w:r>
          </w:p>
        </w:tc>
        <w:tc>
          <w:tcPr>
            <w:tcW w:w="1223" w:type="dxa"/>
            <w:shd w:val="clear" w:color="auto" w:fill="auto"/>
          </w:tcPr>
          <w:p w14:paraId="26A5B088" w14:textId="77777777" w:rsidR="001A2F97" w:rsidRPr="001A2F97" w:rsidRDefault="001A2F97" w:rsidP="001A2F97">
            <w:pPr>
              <w:jc w:val="right"/>
              <w:rPr>
                <w:rFonts w:eastAsia="Arial"/>
                <w:sz w:val="20"/>
                <w:szCs w:val="20"/>
                <w:lang w:val="en-US"/>
              </w:rPr>
            </w:pPr>
            <w:r w:rsidRPr="001A2F97">
              <w:rPr>
                <w:rFonts w:eastAsia="Arial"/>
                <w:sz w:val="20"/>
                <w:szCs w:val="20"/>
                <w:lang w:val="en-US"/>
              </w:rPr>
              <w:t>1,000</w:t>
            </w:r>
          </w:p>
        </w:tc>
      </w:tr>
      <w:tr w:rsidR="001A2F97" w:rsidRPr="001A2F97" w14:paraId="7B11D65A" w14:textId="77777777" w:rsidTr="0043252E">
        <w:tc>
          <w:tcPr>
            <w:tcW w:w="8217" w:type="dxa"/>
            <w:gridSpan w:val="3"/>
            <w:shd w:val="clear" w:color="auto" w:fill="auto"/>
            <w:vAlign w:val="center"/>
          </w:tcPr>
          <w:p w14:paraId="5FA4450C" w14:textId="77777777" w:rsidR="001A2F97" w:rsidRPr="001A2F97" w:rsidRDefault="001A2F97" w:rsidP="001A2F97">
            <w:pPr>
              <w:jc w:val="right"/>
              <w:rPr>
                <w:rFonts w:eastAsia="Arial"/>
                <w:b/>
                <w:bCs/>
                <w:sz w:val="20"/>
                <w:szCs w:val="20"/>
                <w:lang w:val="en-US"/>
              </w:rPr>
            </w:pPr>
            <w:r w:rsidRPr="001A2F97">
              <w:rPr>
                <w:rFonts w:eastAsia="Arial"/>
                <w:b/>
                <w:bCs/>
                <w:sz w:val="20"/>
                <w:szCs w:val="20"/>
                <w:lang w:val="en-US"/>
              </w:rPr>
              <w:t>TOTAL</w:t>
            </w:r>
          </w:p>
        </w:tc>
        <w:tc>
          <w:tcPr>
            <w:tcW w:w="1223" w:type="dxa"/>
            <w:shd w:val="clear" w:color="auto" w:fill="auto"/>
          </w:tcPr>
          <w:p w14:paraId="3BF9D94B" w14:textId="77777777" w:rsidR="001A2F97" w:rsidRPr="001A2F97" w:rsidRDefault="001A2F97" w:rsidP="001A2F97">
            <w:pPr>
              <w:jc w:val="right"/>
              <w:rPr>
                <w:rFonts w:eastAsia="Arial"/>
                <w:b/>
                <w:bCs/>
                <w:sz w:val="20"/>
                <w:szCs w:val="20"/>
                <w:lang w:val="en-US"/>
              </w:rPr>
            </w:pPr>
            <w:r w:rsidRPr="001A2F97">
              <w:rPr>
                <w:rFonts w:eastAsia="Arial"/>
                <w:b/>
                <w:bCs/>
                <w:sz w:val="20"/>
                <w:szCs w:val="20"/>
                <w:lang w:val="en-US"/>
              </w:rPr>
              <w:t>112,000</w:t>
            </w:r>
          </w:p>
        </w:tc>
      </w:tr>
    </w:tbl>
    <w:p w14:paraId="76593F2A" w14:textId="77777777" w:rsidR="001A2F97" w:rsidRPr="001A2F97" w:rsidRDefault="001A2F97" w:rsidP="001A2F97">
      <w:pPr>
        <w:rPr>
          <w:b/>
          <w:bCs/>
        </w:rPr>
      </w:pPr>
    </w:p>
    <w:p w14:paraId="58D933DB" w14:textId="77777777" w:rsidR="001A2F97" w:rsidRPr="001A2F97" w:rsidRDefault="001A2F97" w:rsidP="001A2F97">
      <w:pPr>
        <w:rPr>
          <w:b/>
          <w:bCs/>
        </w:rPr>
      </w:pPr>
      <w:r w:rsidRPr="001A2F97">
        <w:rPr>
          <w:b/>
          <w:bCs/>
        </w:rPr>
        <w:t>Feasibility study</w:t>
      </w:r>
    </w:p>
    <w:p w14:paraId="1FA72D4E" w14:textId="77777777" w:rsidR="001A2F97" w:rsidRPr="001A2F97" w:rsidRDefault="001A2F97" w:rsidP="001A2F97">
      <w:pPr>
        <w:rPr>
          <w:b/>
          <w:bCs/>
        </w:rPr>
      </w:pPr>
    </w:p>
    <w:p w14:paraId="6B81CD85" w14:textId="75B77FF2" w:rsidR="001A2F97" w:rsidRPr="001A2F97" w:rsidRDefault="001A2F97" w:rsidP="001A2F97">
      <w:pPr>
        <w:numPr>
          <w:ilvl w:val="0"/>
          <w:numId w:val="31"/>
        </w:numPr>
        <w:spacing w:after="240"/>
        <w:outlineLvl w:val="0"/>
      </w:pPr>
      <w:r w:rsidRPr="001A2F97">
        <w:t xml:space="preserve">The return on investment is spread over three years, and the RRR centre </w:t>
      </w:r>
      <w:r w:rsidRPr="001A2F97">
        <w:rPr>
          <w:lang w:val="en-US"/>
        </w:rPr>
        <w:t>is predicted to be cost</w:t>
      </w:r>
      <w:r w:rsidRPr="001A2F97">
        <w:rPr>
          <w:lang w:val="en-US"/>
        </w:rPr>
        <w:noBreakHyphen/>
        <w:t>effective once 70 per cent of full capacity is reached,</w:t>
      </w:r>
      <w:r w:rsidRPr="001A2F97">
        <w:t xml:space="preserve"> at a selling price of US $3 per kg of reclaimed refrigerant, and could be profitable within the first six quarters after start</w:t>
      </w:r>
      <w:r w:rsidRPr="001A2F97">
        <w:noBreakHyphen/>
        <w:t xml:space="preserve">up. Costs and revenues of the proposed RRR centre over three years with an original capacity of 10 mt per quarter, increased to 20 mt at the sixth quarter are included in table </w:t>
      </w:r>
      <w:r w:rsidR="00F81A98">
        <w:t>3</w:t>
      </w:r>
      <w:r w:rsidRPr="001A2F97">
        <w:t>.</w:t>
      </w:r>
    </w:p>
    <w:p w14:paraId="6DB64C64" w14:textId="705DF8D1" w:rsidR="001A2F97" w:rsidRPr="001A2F97" w:rsidRDefault="001A2F97" w:rsidP="001A2F97">
      <w:pPr>
        <w:keepNext/>
        <w:rPr>
          <w:b/>
          <w:bCs/>
        </w:rPr>
      </w:pPr>
      <w:r w:rsidRPr="001A2F97">
        <w:rPr>
          <w:b/>
          <w:bCs/>
        </w:rPr>
        <w:t xml:space="preserve">Table </w:t>
      </w:r>
      <w:r w:rsidR="00F81A98">
        <w:rPr>
          <w:b/>
          <w:bCs/>
        </w:rPr>
        <w:t>3</w:t>
      </w:r>
      <w:r w:rsidRPr="001A2F97">
        <w:rPr>
          <w:b/>
          <w:bCs/>
        </w:rPr>
        <w:t>: Cost and revenues of the RRR centre over three years</w:t>
      </w:r>
    </w:p>
    <w:tbl>
      <w:tblPr>
        <w:tblStyle w:val="TableGrid"/>
        <w:tblW w:w="5000" w:type="pct"/>
        <w:tblLayout w:type="fixed"/>
        <w:tblLook w:val="04A0" w:firstRow="1" w:lastRow="0" w:firstColumn="1" w:lastColumn="0" w:noHBand="0" w:noVBand="1"/>
      </w:tblPr>
      <w:tblGrid>
        <w:gridCol w:w="3641"/>
        <w:gridCol w:w="1141"/>
        <w:gridCol w:w="1142"/>
        <w:gridCol w:w="1142"/>
        <w:gridCol w:w="1142"/>
        <w:gridCol w:w="1142"/>
      </w:tblGrid>
      <w:tr w:rsidR="001A2F97" w:rsidRPr="001A2F97" w14:paraId="52A93336" w14:textId="77777777" w:rsidTr="0043252E">
        <w:trPr>
          <w:tblHeader/>
        </w:trPr>
        <w:tc>
          <w:tcPr>
            <w:tcW w:w="3681" w:type="dxa"/>
          </w:tcPr>
          <w:p w14:paraId="059D99E2" w14:textId="77777777" w:rsidR="001A2F97" w:rsidRPr="001A2F97" w:rsidRDefault="001A2F97" w:rsidP="001A2F97">
            <w:pPr>
              <w:rPr>
                <w:b/>
                <w:bCs/>
                <w:sz w:val="20"/>
                <w:szCs w:val="20"/>
                <w:lang w:val="en-US"/>
              </w:rPr>
            </w:pPr>
          </w:p>
        </w:tc>
        <w:tc>
          <w:tcPr>
            <w:tcW w:w="1151" w:type="dxa"/>
          </w:tcPr>
          <w:p w14:paraId="0A2528D4" w14:textId="20581D1C" w:rsidR="001A2F97" w:rsidRPr="001A2F97" w:rsidRDefault="001A2F97" w:rsidP="001A2F97">
            <w:pPr>
              <w:jc w:val="center"/>
              <w:rPr>
                <w:b/>
                <w:bCs/>
                <w:sz w:val="20"/>
                <w:szCs w:val="20"/>
                <w:lang w:val="en-US"/>
              </w:rPr>
            </w:pPr>
            <w:r w:rsidRPr="001A2F97">
              <w:rPr>
                <w:b/>
                <w:bCs/>
                <w:sz w:val="20"/>
                <w:szCs w:val="20"/>
                <w:lang w:val="en-US"/>
              </w:rPr>
              <w:t xml:space="preserve">First </w:t>
            </w:r>
            <w:r w:rsidR="004477C0">
              <w:rPr>
                <w:b/>
                <w:bCs/>
                <w:sz w:val="20"/>
                <w:szCs w:val="20"/>
                <w:lang w:val="en-US"/>
              </w:rPr>
              <w:t>q</w:t>
            </w:r>
            <w:r w:rsidRPr="001A2F97">
              <w:rPr>
                <w:b/>
                <w:bCs/>
                <w:sz w:val="20"/>
                <w:szCs w:val="20"/>
                <w:lang w:val="en-US"/>
              </w:rPr>
              <w:t>uarter</w:t>
            </w:r>
          </w:p>
        </w:tc>
        <w:tc>
          <w:tcPr>
            <w:tcW w:w="1152" w:type="dxa"/>
          </w:tcPr>
          <w:p w14:paraId="4E9C098F" w14:textId="0CEF0DA7" w:rsidR="001A2F97" w:rsidRPr="001A2F97" w:rsidRDefault="001A2F97" w:rsidP="001A2F97">
            <w:pPr>
              <w:jc w:val="center"/>
              <w:rPr>
                <w:b/>
                <w:bCs/>
                <w:sz w:val="20"/>
                <w:szCs w:val="20"/>
                <w:lang w:val="en-US"/>
              </w:rPr>
            </w:pPr>
            <w:r w:rsidRPr="001A2F97">
              <w:rPr>
                <w:b/>
                <w:bCs/>
                <w:sz w:val="20"/>
                <w:szCs w:val="20"/>
                <w:lang w:val="en-US"/>
              </w:rPr>
              <w:t xml:space="preserve">Second </w:t>
            </w:r>
            <w:r w:rsidR="004477C0">
              <w:rPr>
                <w:b/>
                <w:bCs/>
                <w:sz w:val="20"/>
                <w:szCs w:val="20"/>
                <w:lang w:val="en-US"/>
              </w:rPr>
              <w:t>q</w:t>
            </w:r>
            <w:r w:rsidRPr="001A2F97">
              <w:rPr>
                <w:b/>
                <w:bCs/>
                <w:sz w:val="20"/>
                <w:szCs w:val="20"/>
                <w:lang w:val="en-US"/>
              </w:rPr>
              <w:t>uarter</w:t>
            </w:r>
          </w:p>
        </w:tc>
        <w:tc>
          <w:tcPr>
            <w:tcW w:w="1152" w:type="dxa"/>
          </w:tcPr>
          <w:p w14:paraId="532783CC" w14:textId="6BCC4029" w:rsidR="001A2F97" w:rsidRPr="001A2F97" w:rsidRDefault="001A2F97" w:rsidP="001A2F97">
            <w:pPr>
              <w:jc w:val="center"/>
              <w:rPr>
                <w:b/>
                <w:bCs/>
                <w:sz w:val="20"/>
                <w:szCs w:val="20"/>
                <w:lang w:val="en-US"/>
              </w:rPr>
            </w:pPr>
            <w:r w:rsidRPr="001A2F97">
              <w:rPr>
                <w:b/>
                <w:bCs/>
                <w:sz w:val="20"/>
                <w:szCs w:val="20"/>
                <w:lang w:val="en-US"/>
              </w:rPr>
              <w:t xml:space="preserve">From third to fifth </w:t>
            </w:r>
            <w:r w:rsidR="004477C0">
              <w:rPr>
                <w:b/>
                <w:bCs/>
                <w:sz w:val="20"/>
                <w:szCs w:val="20"/>
                <w:lang w:val="en-US"/>
              </w:rPr>
              <w:t>q</w:t>
            </w:r>
            <w:r w:rsidRPr="001A2F97">
              <w:rPr>
                <w:b/>
                <w:bCs/>
                <w:sz w:val="20"/>
                <w:szCs w:val="20"/>
                <w:lang w:val="en-US"/>
              </w:rPr>
              <w:t>uarter</w:t>
            </w:r>
          </w:p>
        </w:tc>
        <w:tc>
          <w:tcPr>
            <w:tcW w:w="1152" w:type="dxa"/>
          </w:tcPr>
          <w:p w14:paraId="2DF80293" w14:textId="72197BC4" w:rsidR="001A2F97" w:rsidRPr="001A2F97" w:rsidRDefault="001A2F97" w:rsidP="001A2F97">
            <w:pPr>
              <w:jc w:val="center"/>
              <w:rPr>
                <w:b/>
                <w:bCs/>
                <w:sz w:val="20"/>
                <w:szCs w:val="20"/>
                <w:lang w:val="en-US"/>
              </w:rPr>
            </w:pPr>
            <w:r w:rsidRPr="001A2F97">
              <w:rPr>
                <w:b/>
                <w:bCs/>
                <w:sz w:val="20"/>
                <w:szCs w:val="20"/>
                <w:lang w:val="en-US"/>
              </w:rPr>
              <w:t xml:space="preserve">Sixth </w:t>
            </w:r>
            <w:r w:rsidR="004477C0">
              <w:rPr>
                <w:b/>
                <w:bCs/>
                <w:sz w:val="20"/>
                <w:szCs w:val="20"/>
                <w:lang w:val="en-US"/>
              </w:rPr>
              <w:t>q</w:t>
            </w:r>
            <w:r w:rsidRPr="001A2F97">
              <w:rPr>
                <w:b/>
                <w:bCs/>
                <w:sz w:val="20"/>
                <w:szCs w:val="20"/>
                <w:lang w:val="en-US"/>
              </w:rPr>
              <w:t>uarter</w:t>
            </w:r>
          </w:p>
        </w:tc>
        <w:tc>
          <w:tcPr>
            <w:tcW w:w="1152" w:type="dxa"/>
          </w:tcPr>
          <w:p w14:paraId="1E879699" w14:textId="6A5DCC4A" w:rsidR="001A2F97" w:rsidRPr="001A2F97" w:rsidRDefault="001A2F97" w:rsidP="001A2F97">
            <w:pPr>
              <w:jc w:val="center"/>
              <w:rPr>
                <w:b/>
                <w:bCs/>
                <w:sz w:val="20"/>
                <w:szCs w:val="20"/>
                <w:lang w:val="en-US"/>
              </w:rPr>
            </w:pPr>
            <w:r w:rsidRPr="001A2F97">
              <w:rPr>
                <w:b/>
                <w:bCs/>
                <w:sz w:val="20"/>
                <w:szCs w:val="20"/>
                <w:lang w:val="en-US"/>
              </w:rPr>
              <w:t xml:space="preserve">From seventh to twelfth </w:t>
            </w:r>
            <w:r w:rsidR="004477C0">
              <w:rPr>
                <w:b/>
                <w:bCs/>
                <w:sz w:val="20"/>
                <w:szCs w:val="20"/>
                <w:lang w:val="en-US"/>
              </w:rPr>
              <w:t>q</w:t>
            </w:r>
            <w:r w:rsidRPr="001A2F97">
              <w:rPr>
                <w:b/>
                <w:bCs/>
                <w:sz w:val="20"/>
                <w:szCs w:val="20"/>
                <w:lang w:val="en-US"/>
              </w:rPr>
              <w:t>uarter</w:t>
            </w:r>
          </w:p>
        </w:tc>
      </w:tr>
      <w:tr w:rsidR="001A2F97" w:rsidRPr="001A2F97" w14:paraId="23AA5F28" w14:textId="77777777" w:rsidTr="0043252E">
        <w:tc>
          <w:tcPr>
            <w:tcW w:w="3681" w:type="dxa"/>
            <w:shd w:val="clear" w:color="auto" w:fill="auto"/>
          </w:tcPr>
          <w:p w14:paraId="401E9155" w14:textId="77777777" w:rsidR="001A2F97" w:rsidRPr="001A2F97" w:rsidRDefault="001A2F97" w:rsidP="001A2F97">
            <w:pPr>
              <w:jc w:val="left"/>
              <w:rPr>
                <w:sz w:val="20"/>
                <w:szCs w:val="20"/>
                <w:lang w:val="en-US"/>
              </w:rPr>
            </w:pPr>
            <w:r w:rsidRPr="001A2F97">
              <w:rPr>
                <w:sz w:val="20"/>
                <w:szCs w:val="20"/>
                <w:lang w:val="en-US"/>
              </w:rPr>
              <w:t>Reclaim capacity (mt)</w:t>
            </w:r>
          </w:p>
        </w:tc>
        <w:tc>
          <w:tcPr>
            <w:tcW w:w="1151" w:type="dxa"/>
            <w:shd w:val="clear" w:color="auto" w:fill="auto"/>
            <w:vAlign w:val="center"/>
          </w:tcPr>
          <w:p w14:paraId="6FBA473D" w14:textId="77777777" w:rsidR="001A2F97" w:rsidRPr="001A2F97" w:rsidRDefault="001A2F97" w:rsidP="001A2F97">
            <w:pPr>
              <w:jc w:val="right"/>
              <w:rPr>
                <w:sz w:val="20"/>
                <w:szCs w:val="20"/>
                <w:lang w:val="en-US"/>
              </w:rPr>
            </w:pPr>
            <w:r w:rsidRPr="001A2F97">
              <w:rPr>
                <w:sz w:val="20"/>
                <w:szCs w:val="20"/>
                <w:lang w:val="en-US"/>
              </w:rPr>
              <w:t>10</w:t>
            </w:r>
          </w:p>
        </w:tc>
        <w:tc>
          <w:tcPr>
            <w:tcW w:w="1152" w:type="dxa"/>
            <w:shd w:val="clear" w:color="auto" w:fill="auto"/>
            <w:vAlign w:val="center"/>
          </w:tcPr>
          <w:p w14:paraId="584BD570" w14:textId="77777777" w:rsidR="001A2F97" w:rsidRPr="001A2F97" w:rsidRDefault="001A2F97" w:rsidP="001A2F97">
            <w:pPr>
              <w:jc w:val="right"/>
              <w:rPr>
                <w:sz w:val="20"/>
                <w:szCs w:val="20"/>
                <w:lang w:val="en-US"/>
              </w:rPr>
            </w:pPr>
            <w:r w:rsidRPr="001A2F97">
              <w:rPr>
                <w:sz w:val="20"/>
                <w:szCs w:val="20"/>
                <w:lang w:val="en-US"/>
              </w:rPr>
              <w:t>10</w:t>
            </w:r>
          </w:p>
        </w:tc>
        <w:tc>
          <w:tcPr>
            <w:tcW w:w="1152" w:type="dxa"/>
            <w:shd w:val="clear" w:color="auto" w:fill="auto"/>
            <w:vAlign w:val="center"/>
          </w:tcPr>
          <w:p w14:paraId="70480147" w14:textId="77777777" w:rsidR="001A2F97" w:rsidRPr="001A2F97" w:rsidRDefault="001A2F97" w:rsidP="001A2F97">
            <w:pPr>
              <w:jc w:val="right"/>
              <w:rPr>
                <w:sz w:val="20"/>
                <w:szCs w:val="20"/>
                <w:lang w:val="en-US"/>
              </w:rPr>
            </w:pPr>
            <w:r w:rsidRPr="001A2F97">
              <w:rPr>
                <w:sz w:val="20"/>
                <w:szCs w:val="20"/>
                <w:lang w:val="en-US"/>
              </w:rPr>
              <w:t>10</w:t>
            </w:r>
          </w:p>
        </w:tc>
        <w:tc>
          <w:tcPr>
            <w:tcW w:w="1152" w:type="dxa"/>
            <w:shd w:val="clear" w:color="auto" w:fill="auto"/>
            <w:vAlign w:val="center"/>
          </w:tcPr>
          <w:p w14:paraId="1565E799" w14:textId="77777777" w:rsidR="001A2F97" w:rsidRPr="001A2F97" w:rsidRDefault="001A2F97" w:rsidP="001A2F97">
            <w:pPr>
              <w:jc w:val="right"/>
              <w:rPr>
                <w:sz w:val="20"/>
                <w:szCs w:val="20"/>
                <w:lang w:val="en-US"/>
              </w:rPr>
            </w:pPr>
            <w:r w:rsidRPr="001A2F97">
              <w:rPr>
                <w:sz w:val="20"/>
                <w:szCs w:val="20"/>
                <w:lang w:val="en-US"/>
              </w:rPr>
              <w:t>20</w:t>
            </w:r>
          </w:p>
        </w:tc>
        <w:tc>
          <w:tcPr>
            <w:tcW w:w="1152" w:type="dxa"/>
            <w:shd w:val="clear" w:color="auto" w:fill="auto"/>
            <w:vAlign w:val="center"/>
          </w:tcPr>
          <w:p w14:paraId="01729427" w14:textId="77777777" w:rsidR="001A2F97" w:rsidRPr="001A2F97" w:rsidRDefault="001A2F97" w:rsidP="001A2F97">
            <w:pPr>
              <w:jc w:val="right"/>
              <w:rPr>
                <w:sz w:val="20"/>
                <w:szCs w:val="20"/>
                <w:lang w:val="en-US"/>
              </w:rPr>
            </w:pPr>
            <w:r w:rsidRPr="001A2F97">
              <w:rPr>
                <w:sz w:val="20"/>
                <w:szCs w:val="20"/>
                <w:lang w:val="en-US"/>
              </w:rPr>
              <w:t>20</w:t>
            </w:r>
          </w:p>
        </w:tc>
      </w:tr>
      <w:tr w:rsidR="001A2F97" w:rsidRPr="001A2F97" w14:paraId="2CAA267B" w14:textId="77777777" w:rsidTr="0043252E">
        <w:tc>
          <w:tcPr>
            <w:tcW w:w="3681" w:type="dxa"/>
            <w:shd w:val="clear" w:color="auto" w:fill="auto"/>
          </w:tcPr>
          <w:p w14:paraId="5A1143D8" w14:textId="77777777" w:rsidR="001A2F97" w:rsidRPr="001A2F97" w:rsidRDefault="001A2F97" w:rsidP="001A2F97">
            <w:pPr>
              <w:jc w:val="left"/>
              <w:rPr>
                <w:sz w:val="20"/>
                <w:szCs w:val="20"/>
                <w:lang w:val="en-US"/>
              </w:rPr>
            </w:pPr>
            <w:r w:rsidRPr="001A2F97">
              <w:rPr>
                <w:sz w:val="20"/>
                <w:szCs w:val="20"/>
                <w:lang w:val="en-US"/>
              </w:rPr>
              <w:t>100% Capacity maintenance cost (US $)</w:t>
            </w:r>
          </w:p>
        </w:tc>
        <w:tc>
          <w:tcPr>
            <w:tcW w:w="1151" w:type="dxa"/>
            <w:shd w:val="clear" w:color="auto" w:fill="auto"/>
            <w:vAlign w:val="center"/>
          </w:tcPr>
          <w:p w14:paraId="6364914B" w14:textId="77777777" w:rsidR="001A2F97" w:rsidRPr="001A2F97" w:rsidRDefault="001A2F97" w:rsidP="001A2F97">
            <w:pPr>
              <w:jc w:val="right"/>
              <w:rPr>
                <w:sz w:val="20"/>
                <w:szCs w:val="20"/>
                <w:lang w:val="en-US"/>
              </w:rPr>
            </w:pPr>
            <w:r w:rsidRPr="001A2F97">
              <w:rPr>
                <w:sz w:val="20"/>
                <w:szCs w:val="20"/>
                <w:lang w:val="en-US"/>
              </w:rPr>
              <w:t>800</w:t>
            </w:r>
          </w:p>
        </w:tc>
        <w:tc>
          <w:tcPr>
            <w:tcW w:w="1152" w:type="dxa"/>
            <w:shd w:val="clear" w:color="auto" w:fill="auto"/>
            <w:vAlign w:val="center"/>
          </w:tcPr>
          <w:p w14:paraId="2426C7E9" w14:textId="77777777" w:rsidR="001A2F97" w:rsidRPr="001A2F97" w:rsidRDefault="001A2F97" w:rsidP="001A2F97">
            <w:pPr>
              <w:jc w:val="right"/>
              <w:rPr>
                <w:sz w:val="20"/>
                <w:szCs w:val="20"/>
                <w:lang w:val="en-US"/>
              </w:rPr>
            </w:pPr>
            <w:r w:rsidRPr="001A2F97">
              <w:rPr>
                <w:sz w:val="20"/>
                <w:szCs w:val="20"/>
                <w:lang w:val="en-US"/>
              </w:rPr>
              <w:t>800</w:t>
            </w:r>
          </w:p>
        </w:tc>
        <w:tc>
          <w:tcPr>
            <w:tcW w:w="1152" w:type="dxa"/>
            <w:shd w:val="clear" w:color="auto" w:fill="auto"/>
            <w:vAlign w:val="center"/>
          </w:tcPr>
          <w:p w14:paraId="7ECFEB11" w14:textId="77777777" w:rsidR="001A2F97" w:rsidRPr="001A2F97" w:rsidRDefault="001A2F97" w:rsidP="001A2F97">
            <w:pPr>
              <w:jc w:val="right"/>
              <w:rPr>
                <w:sz w:val="20"/>
                <w:szCs w:val="20"/>
                <w:lang w:val="en-US"/>
              </w:rPr>
            </w:pPr>
            <w:r w:rsidRPr="001A2F97">
              <w:rPr>
                <w:sz w:val="20"/>
                <w:szCs w:val="20"/>
                <w:lang w:val="en-US"/>
              </w:rPr>
              <w:t>800</w:t>
            </w:r>
          </w:p>
        </w:tc>
        <w:tc>
          <w:tcPr>
            <w:tcW w:w="1152" w:type="dxa"/>
            <w:shd w:val="clear" w:color="auto" w:fill="auto"/>
            <w:vAlign w:val="center"/>
          </w:tcPr>
          <w:p w14:paraId="0979D893" w14:textId="77777777" w:rsidR="001A2F97" w:rsidRPr="001A2F97" w:rsidRDefault="001A2F97" w:rsidP="001A2F97">
            <w:pPr>
              <w:jc w:val="right"/>
              <w:rPr>
                <w:sz w:val="20"/>
                <w:szCs w:val="20"/>
                <w:lang w:val="en-US"/>
              </w:rPr>
            </w:pPr>
            <w:r w:rsidRPr="001A2F97">
              <w:rPr>
                <w:sz w:val="20"/>
                <w:szCs w:val="20"/>
                <w:lang w:val="en-US"/>
              </w:rPr>
              <w:t>1,600</w:t>
            </w:r>
          </w:p>
        </w:tc>
        <w:tc>
          <w:tcPr>
            <w:tcW w:w="1152" w:type="dxa"/>
            <w:shd w:val="clear" w:color="auto" w:fill="auto"/>
            <w:vAlign w:val="center"/>
          </w:tcPr>
          <w:p w14:paraId="22763A5F" w14:textId="77777777" w:rsidR="001A2F97" w:rsidRPr="001A2F97" w:rsidRDefault="001A2F97" w:rsidP="001A2F97">
            <w:pPr>
              <w:jc w:val="right"/>
              <w:rPr>
                <w:sz w:val="20"/>
                <w:szCs w:val="20"/>
                <w:lang w:val="en-US"/>
              </w:rPr>
            </w:pPr>
            <w:r w:rsidRPr="001A2F97">
              <w:rPr>
                <w:sz w:val="20"/>
                <w:szCs w:val="20"/>
                <w:lang w:val="en-US"/>
              </w:rPr>
              <w:t>1,600</w:t>
            </w:r>
          </w:p>
        </w:tc>
      </w:tr>
      <w:tr w:rsidR="001A2F97" w:rsidRPr="001A2F97" w14:paraId="48D15FB6" w14:textId="77777777" w:rsidTr="0043252E">
        <w:tc>
          <w:tcPr>
            <w:tcW w:w="3681" w:type="dxa"/>
            <w:shd w:val="clear" w:color="auto" w:fill="auto"/>
          </w:tcPr>
          <w:p w14:paraId="1692F99A" w14:textId="77777777" w:rsidR="001A2F97" w:rsidRPr="001A2F97" w:rsidRDefault="001A2F97" w:rsidP="001A2F97">
            <w:pPr>
              <w:jc w:val="left"/>
              <w:rPr>
                <w:sz w:val="20"/>
                <w:szCs w:val="20"/>
                <w:lang w:val="en-US"/>
              </w:rPr>
            </w:pPr>
            <w:r w:rsidRPr="001A2F97">
              <w:rPr>
                <w:sz w:val="20"/>
                <w:szCs w:val="20"/>
                <w:lang w:val="en-US"/>
              </w:rPr>
              <w:t>100% Capacity laboratory operation cost (chemicals and others) (US $)</w:t>
            </w:r>
          </w:p>
        </w:tc>
        <w:tc>
          <w:tcPr>
            <w:tcW w:w="1151" w:type="dxa"/>
            <w:shd w:val="clear" w:color="auto" w:fill="auto"/>
            <w:vAlign w:val="center"/>
          </w:tcPr>
          <w:p w14:paraId="1F7E5646" w14:textId="77777777" w:rsidR="001A2F97" w:rsidRPr="001A2F97" w:rsidRDefault="001A2F97" w:rsidP="001A2F97">
            <w:pPr>
              <w:jc w:val="right"/>
              <w:rPr>
                <w:sz w:val="20"/>
                <w:szCs w:val="20"/>
                <w:lang w:val="en-US"/>
              </w:rPr>
            </w:pPr>
            <w:r w:rsidRPr="001A2F97">
              <w:rPr>
                <w:sz w:val="20"/>
                <w:szCs w:val="20"/>
                <w:lang w:val="en-US"/>
              </w:rPr>
              <w:t>800</w:t>
            </w:r>
          </w:p>
        </w:tc>
        <w:tc>
          <w:tcPr>
            <w:tcW w:w="1152" w:type="dxa"/>
            <w:shd w:val="clear" w:color="auto" w:fill="auto"/>
            <w:vAlign w:val="center"/>
          </w:tcPr>
          <w:p w14:paraId="4CC0804A" w14:textId="77777777" w:rsidR="001A2F97" w:rsidRPr="001A2F97" w:rsidRDefault="001A2F97" w:rsidP="001A2F97">
            <w:pPr>
              <w:jc w:val="right"/>
              <w:rPr>
                <w:sz w:val="20"/>
                <w:szCs w:val="20"/>
                <w:lang w:val="en-US"/>
              </w:rPr>
            </w:pPr>
            <w:r w:rsidRPr="001A2F97">
              <w:rPr>
                <w:sz w:val="20"/>
                <w:szCs w:val="20"/>
                <w:lang w:val="en-US"/>
              </w:rPr>
              <w:t>800</w:t>
            </w:r>
          </w:p>
        </w:tc>
        <w:tc>
          <w:tcPr>
            <w:tcW w:w="1152" w:type="dxa"/>
            <w:shd w:val="clear" w:color="auto" w:fill="auto"/>
            <w:vAlign w:val="center"/>
          </w:tcPr>
          <w:p w14:paraId="10066DF4" w14:textId="77777777" w:rsidR="001A2F97" w:rsidRPr="001A2F97" w:rsidRDefault="001A2F97" w:rsidP="001A2F97">
            <w:pPr>
              <w:jc w:val="right"/>
              <w:rPr>
                <w:sz w:val="20"/>
                <w:szCs w:val="20"/>
                <w:lang w:val="en-US"/>
              </w:rPr>
            </w:pPr>
            <w:r w:rsidRPr="001A2F97">
              <w:rPr>
                <w:sz w:val="20"/>
                <w:szCs w:val="20"/>
                <w:lang w:val="en-US"/>
              </w:rPr>
              <w:t>800</w:t>
            </w:r>
          </w:p>
        </w:tc>
        <w:tc>
          <w:tcPr>
            <w:tcW w:w="1152" w:type="dxa"/>
            <w:shd w:val="clear" w:color="auto" w:fill="auto"/>
            <w:vAlign w:val="center"/>
          </w:tcPr>
          <w:p w14:paraId="61B4DFAA" w14:textId="77777777" w:rsidR="001A2F97" w:rsidRPr="001A2F97" w:rsidRDefault="001A2F97" w:rsidP="001A2F97">
            <w:pPr>
              <w:jc w:val="right"/>
              <w:rPr>
                <w:sz w:val="20"/>
                <w:szCs w:val="20"/>
                <w:lang w:val="en-US"/>
              </w:rPr>
            </w:pPr>
            <w:r w:rsidRPr="001A2F97">
              <w:rPr>
                <w:sz w:val="20"/>
                <w:szCs w:val="20"/>
                <w:lang w:val="en-US"/>
              </w:rPr>
              <w:t>1,600</w:t>
            </w:r>
          </w:p>
        </w:tc>
        <w:tc>
          <w:tcPr>
            <w:tcW w:w="1152" w:type="dxa"/>
            <w:shd w:val="clear" w:color="auto" w:fill="auto"/>
            <w:vAlign w:val="center"/>
          </w:tcPr>
          <w:p w14:paraId="72F5552C" w14:textId="77777777" w:rsidR="001A2F97" w:rsidRPr="001A2F97" w:rsidRDefault="001A2F97" w:rsidP="001A2F97">
            <w:pPr>
              <w:jc w:val="right"/>
              <w:rPr>
                <w:sz w:val="20"/>
                <w:szCs w:val="20"/>
                <w:lang w:val="en-US"/>
              </w:rPr>
            </w:pPr>
            <w:r w:rsidRPr="001A2F97">
              <w:rPr>
                <w:sz w:val="20"/>
                <w:szCs w:val="20"/>
                <w:lang w:val="en-US"/>
              </w:rPr>
              <w:t>1,600</w:t>
            </w:r>
          </w:p>
        </w:tc>
      </w:tr>
      <w:tr w:rsidR="001A2F97" w:rsidRPr="001A2F97" w14:paraId="09C804A5" w14:textId="77777777" w:rsidTr="0043252E">
        <w:tc>
          <w:tcPr>
            <w:tcW w:w="3681" w:type="dxa"/>
            <w:shd w:val="clear" w:color="auto" w:fill="auto"/>
          </w:tcPr>
          <w:p w14:paraId="2351A428" w14:textId="77777777" w:rsidR="001A2F97" w:rsidRPr="001A2F97" w:rsidRDefault="001A2F97" w:rsidP="001A2F97">
            <w:pPr>
              <w:jc w:val="left"/>
              <w:rPr>
                <w:sz w:val="20"/>
                <w:szCs w:val="20"/>
                <w:lang w:val="en-US"/>
              </w:rPr>
            </w:pPr>
            <w:r w:rsidRPr="001A2F97">
              <w:rPr>
                <w:sz w:val="20"/>
                <w:szCs w:val="20"/>
                <w:lang w:val="en-US"/>
              </w:rPr>
              <w:t>Utilization rate (%)</w:t>
            </w:r>
          </w:p>
        </w:tc>
        <w:tc>
          <w:tcPr>
            <w:tcW w:w="1151" w:type="dxa"/>
            <w:shd w:val="clear" w:color="auto" w:fill="auto"/>
            <w:vAlign w:val="center"/>
          </w:tcPr>
          <w:p w14:paraId="0E13609C" w14:textId="77777777" w:rsidR="001A2F97" w:rsidRPr="001A2F97" w:rsidRDefault="001A2F97" w:rsidP="001A2F97">
            <w:pPr>
              <w:jc w:val="right"/>
              <w:rPr>
                <w:sz w:val="20"/>
                <w:szCs w:val="20"/>
                <w:lang w:val="en-US"/>
              </w:rPr>
            </w:pPr>
            <w:r w:rsidRPr="001A2F97">
              <w:rPr>
                <w:sz w:val="20"/>
                <w:szCs w:val="20"/>
                <w:lang w:val="en-US"/>
              </w:rPr>
              <w:t>15</w:t>
            </w:r>
          </w:p>
        </w:tc>
        <w:tc>
          <w:tcPr>
            <w:tcW w:w="1152" w:type="dxa"/>
            <w:shd w:val="clear" w:color="auto" w:fill="auto"/>
            <w:vAlign w:val="center"/>
          </w:tcPr>
          <w:p w14:paraId="186DFE7E" w14:textId="77777777" w:rsidR="001A2F97" w:rsidRPr="001A2F97" w:rsidRDefault="001A2F97" w:rsidP="001A2F97">
            <w:pPr>
              <w:jc w:val="right"/>
              <w:rPr>
                <w:sz w:val="20"/>
                <w:szCs w:val="20"/>
                <w:lang w:val="en-US"/>
              </w:rPr>
            </w:pPr>
            <w:r w:rsidRPr="001A2F97">
              <w:rPr>
                <w:sz w:val="20"/>
                <w:szCs w:val="20"/>
                <w:lang w:val="en-US"/>
              </w:rPr>
              <w:t>40</w:t>
            </w:r>
          </w:p>
        </w:tc>
        <w:tc>
          <w:tcPr>
            <w:tcW w:w="1152" w:type="dxa"/>
            <w:shd w:val="clear" w:color="auto" w:fill="auto"/>
            <w:vAlign w:val="center"/>
          </w:tcPr>
          <w:p w14:paraId="4EC8D5A1" w14:textId="77777777" w:rsidR="001A2F97" w:rsidRPr="001A2F97" w:rsidRDefault="001A2F97" w:rsidP="001A2F97">
            <w:pPr>
              <w:jc w:val="right"/>
              <w:rPr>
                <w:sz w:val="20"/>
                <w:szCs w:val="20"/>
                <w:lang w:val="en-US"/>
              </w:rPr>
            </w:pPr>
            <w:r w:rsidRPr="001A2F97">
              <w:rPr>
                <w:sz w:val="20"/>
                <w:szCs w:val="20"/>
                <w:lang w:val="en-US"/>
              </w:rPr>
              <w:t>80</w:t>
            </w:r>
          </w:p>
        </w:tc>
        <w:tc>
          <w:tcPr>
            <w:tcW w:w="1152" w:type="dxa"/>
            <w:shd w:val="clear" w:color="auto" w:fill="auto"/>
            <w:vAlign w:val="center"/>
          </w:tcPr>
          <w:p w14:paraId="09B861A0" w14:textId="77777777" w:rsidR="001A2F97" w:rsidRPr="001A2F97" w:rsidRDefault="001A2F97" w:rsidP="001A2F97">
            <w:pPr>
              <w:jc w:val="right"/>
              <w:rPr>
                <w:sz w:val="20"/>
                <w:szCs w:val="20"/>
                <w:lang w:val="en-US"/>
              </w:rPr>
            </w:pPr>
            <w:r w:rsidRPr="001A2F97">
              <w:rPr>
                <w:sz w:val="20"/>
                <w:szCs w:val="20"/>
                <w:lang w:val="en-US"/>
              </w:rPr>
              <w:t>50</w:t>
            </w:r>
          </w:p>
        </w:tc>
        <w:tc>
          <w:tcPr>
            <w:tcW w:w="1152" w:type="dxa"/>
            <w:shd w:val="clear" w:color="auto" w:fill="auto"/>
            <w:vAlign w:val="center"/>
          </w:tcPr>
          <w:p w14:paraId="0185EC54" w14:textId="77777777" w:rsidR="001A2F97" w:rsidRPr="001A2F97" w:rsidRDefault="001A2F97" w:rsidP="001A2F97">
            <w:pPr>
              <w:jc w:val="right"/>
              <w:rPr>
                <w:sz w:val="20"/>
                <w:szCs w:val="20"/>
                <w:lang w:val="en-US"/>
              </w:rPr>
            </w:pPr>
            <w:r w:rsidRPr="001A2F97">
              <w:rPr>
                <w:sz w:val="20"/>
                <w:szCs w:val="20"/>
                <w:lang w:val="en-US"/>
              </w:rPr>
              <w:t>80</w:t>
            </w:r>
          </w:p>
        </w:tc>
      </w:tr>
      <w:tr w:rsidR="001A2F97" w:rsidRPr="001A2F97" w14:paraId="33B96E73" w14:textId="77777777" w:rsidTr="0043252E">
        <w:tc>
          <w:tcPr>
            <w:tcW w:w="3681" w:type="dxa"/>
            <w:shd w:val="clear" w:color="auto" w:fill="auto"/>
          </w:tcPr>
          <w:p w14:paraId="5966F546" w14:textId="77777777" w:rsidR="001A2F97" w:rsidRPr="001A2F97" w:rsidRDefault="001A2F97" w:rsidP="001A2F97">
            <w:pPr>
              <w:jc w:val="left"/>
              <w:rPr>
                <w:sz w:val="20"/>
                <w:szCs w:val="20"/>
                <w:lang w:val="en-US"/>
              </w:rPr>
            </w:pPr>
            <w:r w:rsidRPr="001A2F97">
              <w:rPr>
                <w:sz w:val="20"/>
                <w:szCs w:val="20"/>
                <w:lang w:val="en-US"/>
              </w:rPr>
              <w:t>Net price per kg of recycled refrigerant (US $)</w:t>
            </w:r>
          </w:p>
        </w:tc>
        <w:tc>
          <w:tcPr>
            <w:tcW w:w="1151" w:type="dxa"/>
            <w:shd w:val="clear" w:color="auto" w:fill="auto"/>
            <w:vAlign w:val="center"/>
          </w:tcPr>
          <w:p w14:paraId="5DDC60C6" w14:textId="77777777" w:rsidR="001A2F97" w:rsidRPr="001A2F97" w:rsidRDefault="001A2F97" w:rsidP="001A2F97">
            <w:pPr>
              <w:jc w:val="right"/>
              <w:rPr>
                <w:sz w:val="20"/>
                <w:szCs w:val="20"/>
                <w:lang w:val="en-US"/>
              </w:rPr>
            </w:pPr>
            <w:r w:rsidRPr="001A2F97">
              <w:rPr>
                <w:sz w:val="20"/>
                <w:szCs w:val="20"/>
                <w:lang w:val="en-US"/>
              </w:rPr>
              <w:t>3.00</w:t>
            </w:r>
          </w:p>
        </w:tc>
        <w:tc>
          <w:tcPr>
            <w:tcW w:w="1152" w:type="dxa"/>
            <w:shd w:val="clear" w:color="auto" w:fill="auto"/>
            <w:vAlign w:val="center"/>
          </w:tcPr>
          <w:p w14:paraId="6A796218" w14:textId="77777777" w:rsidR="001A2F97" w:rsidRPr="001A2F97" w:rsidRDefault="001A2F97" w:rsidP="001A2F97">
            <w:pPr>
              <w:jc w:val="right"/>
              <w:rPr>
                <w:sz w:val="20"/>
                <w:szCs w:val="20"/>
                <w:lang w:val="en-US"/>
              </w:rPr>
            </w:pPr>
            <w:r w:rsidRPr="001A2F97">
              <w:rPr>
                <w:sz w:val="20"/>
                <w:szCs w:val="20"/>
                <w:lang w:val="en-US"/>
              </w:rPr>
              <w:t>3.00</w:t>
            </w:r>
          </w:p>
        </w:tc>
        <w:tc>
          <w:tcPr>
            <w:tcW w:w="1152" w:type="dxa"/>
            <w:shd w:val="clear" w:color="auto" w:fill="auto"/>
            <w:vAlign w:val="center"/>
          </w:tcPr>
          <w:p w14:paraId="4DB52E93" w14:textId="77777777" w:rsidR="001A2F97" w:rsidRPr="001A2F97" w:rsidRDefault="001A2F97" w:rsidP="001A2F97">
            <w:pPr>
              <w:jc w:val="right"/>
              <w:rPr>
                <w:sz w:val="20"/>
                <w:szCs w:val="20"/>
                <w:lang w:val="en-US"/>
              </w:rPr>
            </w:pPr>
            <w:r w:rsidRPr="001A2F97">
              <w:rPr>
                <w:sz w:val="20"/>
                <w:szCs w:val="20"/>
                <w:lang w:val="en-US"/>
              </w:rPr>
              <w:t>3.00</w:t>
            </w:r>
          </w:p>
        </w:tc>
        <w:tc>
          <w:tcPr>
            <w:tcW w:w="1152" w:type="dxa"/>
            <w:shd w:val="clear" w:color="auto" w:fill="auto"/>
            <w:vAlign w:val="center"/>
          </w:tcPr>
          <w:p w14:paraId="3AC8A0E8" w14:textId="77777777" w:rsidR="001A2F97" w:rsidRPr="001A2F97" w:rsidRDefault="001A2F97" w:rsidP="001A2F97">
            <w:pPr>
              <w:jc w:val="right"/>
              <w:rPr>
                <w:sz w:val="20"/>
                <w:szCs w:val="20"/>
                <w:lang w:val="en-US"/>
              </w:rPr>
            </w:pPr>
            <w:r w:rsidRPr="001A2F97">
              <w:rPr>
                <w:sz w:val="20"/>
                <w:szCs w:val="20"/>
                <w:lang w:val="en-US"/>
              </w:rPr>
              <w:t>3.00</w:t>
            </w:r>
          </w:p>
        </w:tc>
        <w:tc>
          <w:tcPr>
            <w:tcW w:w="1152" w:type="dxa"/>
            <w:shd w:val="clear" w:color="auto" w:fill="auto"/>
            <w:vAlign w:val="center"/>
          </w:tcPr>
          <w:p w14:paraId="3DD1C683" w14:textId="77777777" w:rsidR="001A2F97" w:rsidRPr="001A2F97" w:rsidRDefault="001A2F97" w:rsidP="001A2F97">
            <w:pPr>
              <w:jc w:val="right"/>
              <w:rPr>
                <w:sz w:val="20"/>
                <w:szCs w:val="20"/>
                <w:lang w:val="en-US"/>
              </w:rPr>
            </w:pPr>
            <w:r w:rsidRPr="001A2F97">
              <w:rPr>
                <w:sz w:val="20"/>
                <w:szCs w:val="20"/>
                <w:lang w:val="en-US"/>
              </w:rPr>
              <w:t>3.00</w:t>
            </w:r>
          </w:p>
        </w:tc>
      </w:tr>
      <w:tr w:rsidR="001A2F97" w:rsidRPr="001A2F97" w14:paraId="6902F56D" w14:textId="77777777" w:rsidTr="0043252E">
        <w:tc>
          <w:tcPr>
            <w:tcW w:w="3681" w:type="dxa"/>
            <w:shd w:val="clear" w:color="auto" w:fill="auto"/>
          </w:tcPr>
          <w:p w14:paraId="6BCF09F7" w14:textId="77777777" w:rsidR="001A2F97" w:rsidRPr="001A2F97" w:rsidRDefault="001A2F97" w:rsidP="001A2F97">
            <w:pPr>
              <w:jc w:val="left"/>
              <w:rPr>
                <w:b/>
                <w:bCs/>
                <w:sz w:val="20"/>
                <w:szCs w:val="20"/>
                <w:lang w:val="en-US"/>
              </w:rPr>
            </w:pPr>
            <w:r w:rsidRPr="001A2F97">
              <w:rPr>
                <w:b/>
                <w:bCs/>
                <w:sz w:val="20"/>
                <w:szCs w:val="20"/>
                <w:lang w:val="en-US"/>
              </w:rPr>
              <w:t>Net sales (US $)</w:t>
            </w:r>
          </w:p>
        </w:tc>
        <w:tc>
          <w:tcPr>
            <w:tcW w:w="1151" w:type="dxa"/>
            <w:shd w:val="clear" w:color="auto" w:fill="auto"/>
            <w:vAlign w:val="center"/>
          </w:tcPr>
          <w:p w14:paraId="00BE40EB" w14:textId="77777777" w:rsidR="001A2F97" w:rsidRPr="001A2F97" w:rsidRDefault="001A2F97" w:rsidP="001A2F97">
            <w:pPr>
              <w:jc w:val="right"/>
              <w:rPr>
                <w:b/>
                <w:bCs/>
                <w:sz w:val="20"/>
                <w:szCs w:val="20"/>
                <w:lang w:val="en-US"/>
              </w:rPr>
            </w:pPr>
            <w:r w:rsidRPr="001A2F97">
              <w:rPr>
                <w:b/>
                <w:bCs/>
                <w:sz w:val="20"/>
                <w:szCs w:val="20"/>
                <w:lang w:val="en-US"/>
              </w:rPr>
              <w:t>4,500</w:t>
            </w:r>
          </w:p>
        </w:tc>
        <w:tc>
          <w:tcPr>
            <w:tcW w:w="1152" w:type="dxa"/>
            <w:shd w:val="clear" w:color="auto" w:fill="auto"/>
            <w:vAlign w:val="center"/>
          </w:tcPr>
          <w:p w14:paraId="1DCD3856" w14:textId="77777777" w:rsidR="001A2F97" w:rsidRPr="001A2F97" w:rsidRDefault="001A2F97" w:rsidP="001A2F97">
            <w:pPr>
              <w:jc w:val="right"/>
              <w:rPr>
                <w:b/>
                <w:bCs/>
                <w:sz w:val="20"/>
                <w:szCs w:val="20"/>
                <w:lang w:val="en-US"/>
              </w:rPr>
            </w:pPr>
            <w:r w:rsidRPr="001A2F97">
              <w:rPr>
                <w:b/>
                <w:bCs/>
                <w:sz w:val="20"/>
                <w:szCs w:val="20"/>
                <w:lang w:val="en-US"/>
              </w:rPr>
              <w:t>12,000</w:t>
            </w:r>
          </w:p>
        </w:tc>
        <w:tc>
          <w:tcPr>
            <w:tcW w:w="1152" w:type="dxa"/>
            <w:shd w:val="clear" w:color="auto" w:fill="auto"/>
            <w:vAlign w:val="center"/>
          </w:tcPr>
          <w:p w14:paraId="64F70139" w14:textId="77777777" w:rsidR="001A2F97" w:rsidRPr="001A2F97" w:rsidRDefault="001A2F97" w:rsidP="001A2F97">
            <w:pPr>
              <w:jc w:val="right"/>
              <w:rPr>
                <w:b/>
                <w:bCs/>
                <w:sz w:val="20"/>
                <w:szCs w:val="20"/>
                <w:lang w:val="en-US"/>
              </w:rPr>
            </w:pPr>
            <w:r w:rsidRPr="001A2F97">
              <w:rPr>
                <w:b/>
                <w:bCs/>
                <w:sz w:val="20"/>
                <w:szCs w:val="20"/>
                <w:lang w:val="en-US"/>
              </w:rPr>
              <w:t>24,000</w:t>
            </w:r>
          </w:p>
        </w:tc>
        <w:tc>
          <w:tcPr>
            <w:tcW w:w="1152" w:type="dxa"/>
            <w:shd w:val="clear" w:color="auto" w:fill="auto"/>
            <w:vAlign w:val="center"/>
          </w:tcPr>
          <w:p w14:paraId="72F6E612" w14:textId="77777777" w:rsidR="001A2F97" w:rsidRPr="001A2F97" w:rsidRDefault="001A2F97" w:rsidP="001A2F97">
            <w:pPr>
              <w:jc w:val="right"/>
              <w:rPr>
                <w:b/>
                <w:bCs/>
                <w:sz w:val="20"/>
                <w:szCs w:val="20"/>
                <w:lang w:val="en-US"/>
              </w:rPr>
            </w:pPr>
            <w:r w:rsidRPr="001A2F97">
              <w:rPr>
                <w:b/>
                <w:bCs/>
                <w:sz w:val="20"/>
                <w:szCs w:val="20"/>
                <w:lang w:val="en-US"/>
              </w:rPr>
              <w:t>30,000</w:t>
            </w:r>
          </w:p>
        </w:tc>
        <w:tc>
          <w:tcPr>
            <w:tcW w:w="1152" w:type="dxa"/>
            <w:shd w:val="clear" w:color="auto" w:fill="auto"/>
            <w:vAlign w:val="center"/>
          </w:tcPr>
          <w:p w14:paraId="04E53A87" w14:textId="77777777" w:rsidR="001A2F97" w:rsidRPr="001A2F97" w:rsidRDefault="001A2F97" w:rsidP="001A2F97">
            <w:pPr>
              <w:jc w:val="right"/>
              <w:rPr>
                <w:b/>
                <w:bCs/>
                <w:sz w:val="20"/>
                <w:szCs w:val="20"/>
                <w:lang w:val="en-US"/>
              </w:rPr>
            </w:pPr>
            <w:r w:rsidRPr="001A2F97">
              <w:rPr>
                <w:b/>
                <w:bCs/>
                <w:sz w:val="20"/>
                <w:szCs w:val="20"/>
                <w:lang w:val="en-US"/>
              </w:rPr>
              <w:t>48,000</w:t>
            </w:r>
          </w:p>
        </w:tc>
      </w:tr>
      <w:tr w:rsidR="001A2F97" w:rsidRPr="001A2F97" w14:paraId="7D0EB495" w14:textId="77777777" w:rsidTr="0043252E">
        <w:tc>
          <w:tcPr>
            <w:tcW w:w="3681" w:type="dxa"/>
            <w:shd w:val="clear" w:color="auto" w:fill="auto"/>
          </w:tcPr>
          <w:p w14:paraId="318E5321" w14:textId="77777777" w:rsidR="001A2F97" w:rsidRPr="001A2F97" w:rsidRDefault="001A2F97" w:rsidP="001A2F97">
            <w:pPr>
              <w:jc w:val="left"/>
              <w:rPr>
                <w:sz w:val="20"/>
                <w:szCs w:val="20"/>
                <w:lang w:val="en-US"/>
              </w:rPr>
            </w:pPr>
            <w:r w:rsidRPr="001A2F97">
              <w:rPr>
                <w:sz w:val="20"/>
                <w:szCs w:val="20"/>
                <w:lang w:val="en-US"/>
              </w:rPr>
              <w:t>Consumables (US $)</w:t>
            </w:r>
          </w:p>
        </w:tc>
        <w:tc>
          <w:tcPr>
            <w:tcW w:w="1151" w:type="dxa"/>
            <w:shd w:val="clear" w:color="auto" w:fill="auto"/>
            <w:vAlign w:val="center"/>
          </w:tcPr>
          <w:p w14:paraId="3C17EE7B" w14:textId="77777777" w:rsidR="001A2F97" w:rsidRPr="001A2F97" w:rsidRDefault="001A2F97" w:rsidP="001A2F97">
            <w:pPr>
              <w:jc w:val="right"/>
              <w:rPr>
                <w:sz w:val="20"/>
                <w:szCs w:val="20"/>
                <w:lang w:val="en-US"/>
              </w:rPr>
            </w:pPr>
            <w:r w:rsidRPr="001A2F97">
              <w:rPr>
                <w:sz w:val="20"/>
                <w:szCs w:val="20"/>
                <w:lang w:val="en-US"/>
              </w:rPr>
              <w:t>240</w:t>
            </w:r>
          </w:p>
        </w:tc>
        <w:tc>
          <w:tcPr>
            <w:tcW w:w="1152" w:type="dxa"/>
            <w:shd w:val="clear" w:color="auto" w:fill="auto"/>
            <w:vAlign w:val="center"/>
          </w:tcPr>
          <w:p w14:paraId="7D24C82F" w14:textId="77777777" w:rsidR="001A2F97" w:rsidRPr="001A2F97" w:rsidRDefault="001A2F97" w:rsidP="001A2F97">
            <w:pPr>
              <w:jc w:val="right"/>
              <w:rPr>
                <w:sz w:val="20"/>
                <w:szCs w:val="20"/>
                <w:lang w:val="en-US"/>
              </w:rPr>
            </w:pPr>
            <w:r w:rsidRPr="001A2F97">
              <w:rPr>
                <w:sz w:val="20"/>
                <w:szCs w:val="20"/>
                <w:lang w:val="en-US"/>
              </w:rPr>
              <w:t>640</w:t>
            </w:r>
          </w:p>
        </w:tc>
        <w:tc>
          <w:tcPr>
            <w:tcW w:w="1152" w:type="dxa"/>
            <w:shd w:val="clear" w:color="auto" w:fill="auto"/>
            <w:vAlign w:val="center"/>
          </w:tcPr>
          <w:p w14:paraId="0720BBAC" w14:textId="77777777" w:rsidR="001A2F97" w:rsidRPr="001A2F97" w:rsidRDefault="001A2F97" w:rsidP="001A2F97">
            <w:pPr>
              <w:jc w:val="right"/>
              <w:rPr>
                <w:sz w:val="20"/>
                <w:szCs w:val="20"/>
                <w:lang w:val="en-US"/>
              </w:rPr>
            </w:pPr>
            <w:r w:rsidRPr="001A2F97">
              <w:rPr>
                <w:sz w:val="20"/>
                <w:szCs w:val="20"/>
                <w:lang w:val="en-US"/>
              </w:rPr>
              <w:t>1,280</w:t>
            </w:r>
          </w:p>
        </w:tc>
        <w:tc>
          <w:tcPr>
            <w:tcW w:w="1152" w:type="dxa"/>
            <w:shd w:val="clear" w:color="auto" w:fill="auto"/>
            <w:vAlign w:val="center"/>
          </w:tcPr>
          <w:p w14:paraId="0DCC6E0F" w14:textId="77777777" w:rsidR="001A2F97" w:rsidRPr="001A2F97" w:rsidRDefault="001A2F97" w:rsidP="001A2F97">
            <w:pPr>
              <w:jc w:val="right"/>
              <w:rPr>
                <w:sz w:val="20"/>
                <w:szCs w:val="20"/>
                <w:lang w:val="en-US"/>
              </w:rPr>
            </w:pPr>
            <w:r w:rsidRPr="001A2F97">
              <w:rPr>
                <w:sz w:val="20"/>
                <w:szCs w:val="20"/>
                <w:lang w:val="en-US"/>
              </w:rPr>
              <w:t>1,600</w:t>
            </w:r>
          </w:p>
        </w:tc>
        <w:tc>
          <w:tcPr>
            <w:tcW w:w="1152" w:type="dxa"/>
            <w:shd w:val="clear" w:color="auto" w:fill="auto"/>
            <w:vAlign w:val="center"/>
          </w:tcPr>
          <w:p w14:paraId="76A6EE3E" w14:textId="77777777" w:rsidR="001A2F97" w:rsidRPr="001A2F97" w:rsidRDefault="001A2F97" w:rsidP="001A2F97">
            <w:pPr>
              <w:jc w:val="right"/>
              <w:rPr>
                <w:sz w:val="20"/>
                <w:szCs w:val="20"/>
                <w:lang w:val="en-US"/>
              </w:rPr>
            </w:pPr>
            <w:r w:rsidRPr="001A2F97">
              <w:rPr>
                <w:sz w:val="20"/>
                <w:szCs w:val="20"/>
                <w:lang w:val="en-US"/>
              </w:rPr>
              <w:t>2,560</w:t>
            </w:r>
          </w:p>
        </w:tc>
      </w:tr>
      <w:tr w:rsidR="001A2F97" w:rsidRPr="001A2F97" w14:paraId="142EF842" w14:textId="77777777" w:rsidTr="0043252E">
        <w:tc>
          <w:tcPr>
            <w:tcW w:w="3681" w:type="dxa"/>
            <w:shd w:val="clear" w:color="auto" w:fill="auto"/>
          </w:tcPr>
          <w:p w14:paraId="3832C645" w14:textId="77777777" w:rsidR="001A2F97" w:rsidRPr="001A2F97" w:rsidRDefault="001A2F97" w:rsidP="001A2F97">
            <w:pPr>
              <w:jc w:val="left"/>
              <w:rPr>
                <w:b/>
                <w:bCs/>
                <w:sz w:val="20"/>
                <w:szCs w:val="20"/>
                <w:lang w:val="en-US"/>
              </w:rPr>
            </w:pPr>
            <w:r w:rsidRPr="001A2F97">
              <w:rPr>
                <w:b/>
                <w:bCs/>
                <w:sz w:val="20"/>
                <w:szCs w:val="20"/>
                <w:lang w:val="en-US"/>
              </w:rPr>
              <w:t>Gross Profit (US $)</w:t>
            </w:r>
          </w:p>
        </w:tc>
        <w:tc>
          <w:tcPr>
            <w:tcW w:w="1151" w:type="dxa"/>
            <w:shd w:val="clear" w:color="auto" w:fill="auto"/>
            <w:vAlign w:val="center"/>
          </w:tcPr>
          <w:p w14:paraId="0EED0E93" w14:textId="77777777" w:rsidR="001A2F97" w:rsidRPr="001A2F97" w:rsidRDefault="001A2F97" w:rsidP="001A2F97">
            <w:pPr>
              <w:jc w:val="right"/>
              <w:rPr>
                <w:b/>
                <w:bCs/>
                <w:sz w:val="20"/>
                <w:szCs w:val="20"/>
                <w:lang w:val="en-US"/>
              </w:rPr>
            </w:pPr>
            <w:r w:rsidRPr="001A2F97">
              <w:rPr>
                <w:b/>
                <w:bCs/>
                <w:sz w:val="20"/>
                <w:szCs w:val="20"/>
                <w:lang w:val="en-US"/>
              </w:rPr>
              <w:t>4,260</w:t>
            </w:r>
          </w:p>
        </w:tc>
        <w:tc>
          <w:tcPr>
            <w:tcW w:w="1152" w:type="dxa"/>
            <w:shd w:val="clear" w:color="auto" w:fill="auto"/>
            <w:vAlign w:val="center"/>
          </w:tcPr>
          <w:p w14:paraId="3754D826" w14:textId="77777777" w:rsidR="001A2F97" w:rsidRPr="001A2F97" w:rsidRDefault="001A2F97" w:rsidP="001A2F97">
            <w:pPr>
              <w:jc w:val="right"/>
              <w:rPr>
                <w:b/>
                <w:bCs/>
                <w:sz w:val="20"/>
                <w:szCs w:val="20"/>
                <w:lang w:val="en-US"/>
              </w:rPr>
            </w:pPr>
            <w:r w:rsidRPr="001A2F97">
              <w:rPr>
                <w:b/>
                <w:bCs/>
                <w:sz w:val="20"/>
                <w:szCs w:val="20"/>
                <w:lang w:val="en-US"/>
              </w:rPr>
              <w:t>11,360</w:t>
            </w:r>
          </w:p>
        </w:tc>
        <w:tc>
          <w:tcPr>
            <w:tcW w:w="1152" w:type="dxa"/>
            <w:shd w:val="clear" w:color="auto" w:fill="auto"/>
            <w:vAlign w:val="center"/>
          </w:tcPr>
          <w:p w14:paraId="4CF4ECDD" w14:textId="77777777" w:rsidR="001A2F97" w:rsidRPr="001A2F97" w:rsidRDefault="001A2F97" w:rsidP="001A2F97">
            <w:pPr>
              <w:jc w:val="right"/>
              <w:rPr>
                <w:b/>
                <w:bCs/>
                <w:sz w:val="20"/>
                <w:szCs w:val="20"/>
                <w:lang w:val="en-US"/>
              </w:rPr>
            </w:pPr>
            <w:r w:rsidRPr="001A2F97">
              <w:rPr>
                <w:b/>
                <w:bCs/>
                <w:sz w:val="20"/>
                <w:szCs w:val="20"/>
                <w:lang w:val="en-US"/>
              </w:rPr>
              <w:t>22,720</w:t>
            </w:r>
          </w:p>
        </w:tc>
        <w:tc>
          <w:tcPr>
            <w:tcW w:w="1152" w:type="dxa"/>
            <w:shd w:val="clear" w:color="auto" w:fill="auto"/>
            <w:vAlign w:val="center"/>
          </w:tcPr>
          <w:p w14:paraId="6B2FC9ED" w14:textId="77777777" w:rsidR="001A2F97" w:rsidRPr="001A2F97" w:rsidRDefault="001A2F97" w:rsidP="001A2F97">
            <w:pPr>
              <w:jc w:val="right"/>
              <w:rPr>
                <w:b/>
                <w:bCs/>
                <w:sz w:val="20"/>
                <w:szCs w:val="20"/>
                <w:lang w:val="en-US"/>
              </w:rPr>
            </w:pPr>
            <w:r w:rsidRPr="001A2F97">
              <w:rPr>
                <w:b/>
                <w:bCs/>
                <w:sz w:val="20"/>
                <w:szCs w:val="20"/>
                <w:lang w:val="en-US"/>
              </w:rPr>
              <w:t>28,400</w:t>
            </w:r>
          </w:p>
        </w:tc>
        <w:tc>
          <w:tcPr>
            <w:tcW w:w="1152" w:type="dxa"/>
            <w:shd w:val="clear" w:color="auto" w:fill="auto"/>
            <w:vAlign w:val="center"/>
          </w:tcPr>
          <w:p w14:paraId="23627BAA" w14:textId="77777777" w:rsidR="001A2F97" w:rsidRPr="001A2F97" w:rsidRDefault="001A2F97" w:rsidP="001A2F97">
            <w:pPr>
              <w:jc w:val="right"/>
              <w:rPr>
                <w:b/>
                <w:bCs/>
                <w:sz w:val="20"/>
                <w:szCs w:val="20"/>
                <w:lang w:val="en-US"/>
              </w:rPr>
            </w:pPr>
            <w:r w:rsidRPr="001A2F97">
              <w:rPr>
                <w:b/>
                <w:bCs/>
                <w:sz w:val="20"/>
                <w:szCs w:val="20"/>
                <w:lang w:val="en-US"/>
              </w:rPr>
              <w:t>45,440</w:t>
            </w:r>
          </w:p>
        </w:tc>
      </w:tr>
      <w:tr w:rsidR="001A2F97" w:rsidRPr="001A2F97" w14:paraId="48EBCD75" w14:textId="77777777" w:rsidTr="0043252E">
        <w:tc>
          <w:tcPr>
            <w:tcW w:w="3681" w:type="dxa"/>
            <w:shd w:val="clear" w:color="auto" w:fill="auto"/>
          </w:tcPr>
          <w:p w14:paraId="68F6CB19" w14:textId="77777777" w:rsidR="001A2F97" w:rsidRPr="001A2F97" w:rsidRDefault="001A2F97" w:rsidP="001A2F97">
            <w:pPr>
              <w:jc w:val="left"/>
              <w:rPr>
                <w:sz w:val="20"/>
                <w:szCs w:val="20"/>
                <w:lang w:val="en-US"/>
              </w:rPr>
            </w:pPr>
            <w:r w:rsidRPr="001A2F97">
              <w:rPr>
                <w:sz w:val="20"/>
                <w:szCs w:val="20"/>
                <w:lang w:val="en-US"/>
              </w:rPr>
              <w:t>Workforce</w:t>
            </w:r>
          </w:p>
        </w:tc>
        <w:tc>
          <w:tcPr>
            <w:tcW w:w="1151" w:type="dxa"/>
            <w:shd w:val="clear" w:color="auto" w:fill="auto"/>
            <w:vAlign w:val="center"/>
          </w:tcPr>
          <w:p w14:paraId="5EDA7717" w14:textId="77777777" w:rsidR="001A2F97" w:rsidRPr="001A2F97" w:rsidRDefault="001A2F97" w:rsidP="001A2F97">
            <w:pPr>
              <w:jc w:val="right"/>
              <w:rPr>
                <w:sz w:val="20"/>
                <w:szCs w:val="20"/>
                <w:lang w:val="en-US"/>
              </w:rPr>
            </w:pPr>
            <w:r w:rsidRPr="001A2F97">
              <w:rPr>
                <w:sz w:val="20"/>
                <w:szCs w:val="20"/>
                <w:lang w:val="en-US"/>
              </w:rPr>
              <w:t>12,000</w:t>
            </w:r>
          </w:p>
        </w:tc>
        <w:tc>
          <w:tcPr>
            <w:tcW w:w="1152" w:type="dxa"/>
            <w:shd w:val="clear" w:color="auto" w:fill="auto"/>
            <w:vAlign w:val="center"/>
          </w:tcPr>
          <w:p w14:paraId="7E17949A" w14:textId="77777777" w:rsidR="001A2F97" w:rsidRPr="001A2F97" w:rsidRDefault="001A2F97" w:rsidP="001A2F97">
            <w:pPr>
              <w:jc w:val="right"/>
              <w:rPr>
                <w:sz w:val="20"/>
                <w:szCs w:val="20"/>
                <w:lang w:val="en-US"/>
              </w:rPr>
            </w:pPr>
            <w:r w:rsidRPr="001A2F97">
              <w:rPr>
                <w:sz w:val="20"/>
                <w:szCs w:val="20"/>
                <w:lang w:val="en-US"/>
              </w:rPr>
              <w:t>12,000</w:t>
            </w:r>
          </w:p>
        </w:tc>
        <w:tc>
          <w:tcPr>
            <w:tcW w:w="1152" w:type="dxa"/>
            <w:shd w:val="clear" w:color="auto" w:fill="auto"/>
            <w:vAlign w:val="center"/>
          </w:tcPr>
          <w:p w14:paraId="69ACE3AF" w14:textId="77777777" w:rsidR="001A2F97" w:rsidRPr="001A2F97" w:rsidRDefault="001A2F97" w:rsidP="001A2F97">
            <w:pPr>
              <w:jc w:val="right"/>
              <w:rPr>
                <w:sz w:val="20"/>
                <w:szCs w:val="20"/>
                <w:lang w:val="en-US"/>
              </w:rPr>
            </w:pPr>
            <w:r w:rsidRPr="001A2F97">
              <w:rPr>
                <w:sz w:val="20"/>
                <w:szCs w:val="20"/>
                <w:lang w:val="en-US"/>
              </w:rPr>
              <w:t>12,000</w:t>
            </w:r>
          </w:p>
        </w:tc>
        <w:tc>
          <w:tcPr>
            <w:tcW w:w="1152" w:type="dxa"/>
            <w:shd w:val="clear" w:color="auto" w:fill="auto"/>
            <w:vAlign w:val="center"/>
          </w:tcPr>
          <w:p w14:paraId="28A7A7A3" w14:textId="77777777" w:rsidR="001A2F97" w:rsidRPr="001A2F97" w:rsidRDefault="001A2F97" w:rsidP="001A2F97">
            <w:pPr>
              <w:jc w:val="right"/>
              <w:rPr>
                <w:sz w:val="20"/>
                <w:szCs w:val="20"/>
                <w:lang w:val="en-US"/>
              </w:rPr>
            </w:pPr>
            <w:r w:rsidRPr="001A2F97">
              <w:rPr>
                <w:sz w:val="20"/>
                <w:szCs w:val="20"/>
                <w:lang w:val="en-US"/>
              </w:rPr>
              <w:t>24,000</w:t>
            </w:r>
          </w:p>
        </w:tc>
        <w:tc>
          <w:tcPr>
            <w:tcW w:w="1152" w:type="dxa"/>
            <w:shd w:val="clear" w:color="auto" w:fill="auto"/>
            <w:vAlign w:val="center"/>
          </w:tcPr>
          <w:p w14:paraId="42D6E3BE" w14:textId="77777777" w:rsidR="001A2F97" w:rsidRPr="001A2F97" w:rsidRDefault="001A2F97" w:rsidP="001A2F97">
            <w:pPr>
              <w:jc w:val="right"/>
              <w:rPr>
                <w:sz w:val="20"/>
                <w:szCs w:val="20"/>
                <w:lang w:val="en-US"/>
              </w:rPr>
            </w:pPr>
            <w:r w:rsidRPr="001A2F97">
              <w:rPr>
                <w:sz w:val="20"/>
                <w:szCs w:val="20"/>
                <w:lang w:val="en-US"/>
              </w:rPr>
              <w:t>24,000</w:t>
            </w:r>
          </w:p>
        </w:tc>
      </w:tr>
      <w:tr w:rsidR="001A2F97" w:rsidRPr="001A2F97" w14:paraId="7F035BEA" w14:textId="77777777" w:rsidTr="0043252E">
        <w:tc>
          <w:tcPr>
            <w:tcW w:w="3681" w:type="dxa"/>
            <w:shd w:val="clear" w:color="auto" w:fill="auto"/>
          </w:tcPr>
          <w:p w14:paraId="1935EEC1" w14:textId="77777777" w:rsidR="001A2F97" w:rsidRPr="001A2F97" w:rsidRDefault="001A2F97" w:rsidP="001A2F97">
            <w:pPr>
              <w:jc w:val="left"/>
              <w:rPr>
                <w:sz w:val="20"/>
                <w:szCs w:val="20"/>
                <w:lang w:val="en-US"/>
              </w:rPr>
            </w:pPr>
            <w:r w:rsidRPr="001A2F97">
              <w:rPr>
                <w:sz w:val="20"/>
                <w:szCs w:val="20"/>
                <w:lang w:val="en-US"/>
              </w:rPr>
              <w:t>Building and utilities</w:t>
            </w:r>
          </w:p>
        </w:tc>
        <w:tc>
          <w:tcPr>
            <w:tcW w:w="1151" w:type="dxa"/>
            <w:shd w:val="clear" w:color="auto" w:fill="auto"/>
            <w:vAlign w:val="center"/>
          </w:tcPr>
          <w:p w14:paraId="45150F25" w14:textId="77777777" w:rsidR="001A2F97" w:rsidRPr="001A2F97" w:rsidRDefault="001A2F97" w:rsidP="001A2F97">
            <w:pPr>
              <w:jc w:val="right"/>
              <w:rPr>
                <w:sz w:val="20"/>
                <w:szCs w:val="20"/>
                <w:lang w:val="en-US"/>
              </w:rPr>
            </w:pPr>
            <w:r w:rsidRPr="001A2F97">
              <w:rPr>
                <w:sz w:val="20"/>
                <w:szCs w:val="20"/>
                <w:lang w:val="en-US"/>
              </w:rPr>
              <w:t>3,000</w:t>
            </w:r>
          </w:p>
        </w:tc>
        <w:tc>
          <w:tcPr>
            <w:tcW w:w="1152" w:type="dxa"/>
            <w:shd w:val="clear" w:color="auto" w:fill="auto"/>
            <w:vAlign w:val="center"/>
          </w:tcPr>
          <w:p w14:paraId="53F2DEA6" w14:textId="77777777" w:rsidR="001A2F97" w:rsidRPr="001A2F97" w:rsidRDefault="001A2F97" w:rsidP="001A2F97">
            <w:pPr>
              <w:jc w:val="right"/>
              <w:rPr>
                <w:sz w:val="20"/>
                <w:szCs w:val="20"/>
                <w:lang w:val="en-US"/>
              </w:rPr>
            </w:pPr>
            <w:r w:rsidRPr="001A2F97">
              <w:rPr>
                <w:sz w:val="20"/>
                <w:szCs w:val="20"/>
                <w:lang w:val="en-US"/>
              </w:rPr>
              <w:t>3,000</w:t>
            </w:r>
          </w:p>
        </w:tc>
        <w:tc>
          <w:tcPr>
            <w:tcW w:w="1152" w:type="dxa"/>
            <w:shd w:val="clear" w:color="auto" w:fill="auto"/>
            <w:vAlign w:val="center"/>
          </w:tcPr>
          <w:p w14:paraId="275468D6" w14:textId="77777777" w:rsidR="001A2F97" w:rsidRPr="001A2F97" w:rsidRDefault="001A2F97" w:rsidP="001A2F97">
            <w:pPr>
              <w:jc w:val="right"/>
              <w:rPr>
                <w:sz w:val="20"/>
                <w:szCs w:val="20"/>
                <w:lang w:val="en-US"/>
              </w:rPr>
            </w:pPr>
            <w:r w:rsidRPr="001A2F97">
              <w:rPr>
                <w:sz w:val="20"/>
                <w:szCs w:val="20"/>
                <w:lang w:val="en-US"/>
              </w:rPr>
              <w:t>3,000</w:t>
            </w:r>
          </w:p>
        </w:tc>
        <w:tc>
          <w:tcPr>
            <w:tcW w:w="1152" w:type="dxa"/>
            <w:shd w:val="clear" w:color="auto" w:fill="auto"/>
            <w:vAlign w:val="center"/>
          </w:tcPr>
          <w:p w14:paraId="6C46AE1C" w14:textId="77777777" w:rsidR="001A2F97" w:rsidRPr="001A2F97" w:rsidRDefault="001A2F97" w:rsidP="001A2F97">
            <w:pPr>
              <w:jc w:val="right"/>
              <w:rPr>
                <w:sz w:val="20"/>
                <w:szCs w:val="20"/>
                <w:lang w:val="en-US"/>
              </w:rPr>
            </w:pPr>
            <w:r w:rsidRPr="001A2F97">
              <w:rPr>
                <w:sz w:val="20"/>
                <w:szCs w:val="20"/>
                <w:lang w:val="en-US"/>
              </w:rPr>
              <w:t>6,000</w:t>
            </w:r>
          </w:p>
        </w:tc>
        <w:tc>
          <w:tcPr>
            <w:tcW w:w="1152" w:type="dxa"/>
            <w:shd w:val="clear" w:color="auto" w:fill="auto"/>
            <w:vAlign w:val="center"/>
          </w:tcPr>
          <w:p w14:paraId="6E92563D" w14:textId="77777777" w:rsidR="001A2F97" w:rsidRPr="001A2F97" w:rsidRDefault="001A2F97" w:rsidP="001A2F97">
            <w:pPr>
              <w:jc w:val="right"/>
              <w:rPr>
                <w:sz w:val="20"/>
                <w:szCs w:val="20"/>
                <w:lang w:val="en-US"/>
              </w:rPr>
            </w:pPr>
            <w:r w:rsidRPr="001A2F97">
              <w:rPr>
                <w:sz w:val="20"/>
                <w:szCs w:val="20"/>
                <w:lang w:val="en-US"/>
              </w:rPr>
              <w:t>6,000</w:t>
            </w:r>
          </w:p>
        </w:tc>
      </w:tr>
      <w:tr w:rsidR="001A2F97" w:rsidRPr="001A2F97" w14:paraId="7048DDB5" w14:textId="77777777" w:rsidTr="0043252E">
        <w:tc>
          <w:tcPr>
            <w:tcW w:w="3681" w:type="dxa"/>
            <w:shd w:val="clear" w:color="auto" w:fill="auto"/>
          </w:tcPr>
          <w:p w14:paraId="3EEA26A8" w14:textId="77777777" w:rsidR="001A2F97" w:rsidRPr="001A2F97" w:rsidRDefault="001A2F97" w:rsidP="001A2F97">
            <w:pPr>
              <w:jc w:val="left"/>
              <w:rPr>
                <w:sz w:val="20"/>
                <w:szCs w:val="20"/>
                <w:lang w:val="en-US"/>
              </w:rPr>
            </w:pPr>
            <w:r w:rsidRPr="001A2F97">
              <w:rPr>
                <w:sz w:val="20"/>
                <w:szCs w:val="20"/>
                <w:lang w:val="en-US"/>
              </w:rPr>
              <w:t>Other administrative costs</w:t>
            </w:r>
          </w:p>
        </w:tc>
        <w:tc>
          <w:tcPr>
            <w:tcW w:w="1151" w:type="dxa"/>
            <w:shd w:val="clear" w:color="auto" w:fill="auto"/>
            <w:vAlign w:val="center"/>
          </w:tcPr>
          <w:p w14:paraId="37D9BE3E" w14:textId="77777777" w:rsidR="001A2F97" w:rsidRPr="001A2F97" w:rsidRDefault="001A2F97" w:rsidP="001A2F97">
            <w:pPr>
              <w:jc w:val="right"/>
              <w:rPr>
                <w:sz w:val="20"/>
                <w:szCs w:val="20"/>
                <w:lang w:val="en-US"/>
              </w:rPr>
            </w:pPr>
            <w:r w:rsidRPr="001A2F97">
              <w:rPr>
                <w:sz w:val="20"/>
                <w:szCs w:val="20"/>
                <w:lang w:val="en-US"/>
              </w:rPr>
              <w:t>1,500</w:t>
            </w:r>
          </w:p>
        </w:tc>
        <w:tc>
          <w:tcPr>
            <w:tcW w:w="1152" w:type="dxa"/>
            <w:shd w:val="clear" w:color="auto" w:fill="auto"/>
            <w:vAlign w:val="center"/>
          </w:tcPr>
          <w:p w14:paraId="376427BE" w14:textId="77777777" w:rsidR="001A2F97" w:rsidRPr="001A2F97" w:rsidRDefault="001A2F97" w:rsidP="001A2F97">
            <w:pPr>
              <w:jc w:val="right"/>
              <w:rPr>
                <w:sz w:val="20"/>
                <w:szCs w:val="20"/>
                <w:lang w:val="en-US"/>
              </w:rPr>
            </w:pPr>
            <w:r w:rsidRPr="001A2F97">
              <w:rPr>
                <w:sz w:val="20"/>
                <w:szCs w:val="20"/>
                <w:lang w:val="en-US"/>
              </w:rPr>
              <w:t>1,500</w:t>
            </w:r>
          </w:p>
        </w:tc>
        <w:tc>
          <w:tcPr>
            <w:tcW w:w="1152" w:type="dxa"/>
            <w:shd w:val="clear" w:color="auto" w:fill="auto"/>
            <w:vAlign w:val="center"/>
          </w:tcPr>
          <w:p w14:paraId="185567FC" w14:textId="77777777" w:rsidR="001A2F97" w:rsidRPr="001A2F97" w:rsidRDefault="001A2F97" w:rsidP="001A2F97">
            <w:pPr>
              <w:jc w:val="right"/>
              <w:rPr>
                <w:sz w:val="20"/>
                <w:szCs w:val="20"/>
                <w:lang w:val="en-US"/>
              </w:rPr>
            </w:pPr>
            <w:r w:rsidRPr="001A2F97">
              <w:rPr>
                <w:sz w:val="20"/>
                <w:szCs w:val="20"/>
                <w:lang w:val="en-US"/>
              </w:rPr>
              <w:t>1,500</w:t>
            </w:r>
          </w:p>
        </w:tc>
        <w:tc>
          <w:tcPr>
            <w:tcW w:w="1152" w:type="dxa"/>
            <w:shd w:val="clear" w:color="auto" w:fill="auto"/>
            <w:vAlign w:val="center"/>
          </w:tcPr>
          <w:p w14:paraId="1F82FEB9" w14:textId="77777777" w:rsidR="001A2F97" w:rsidRPr="001A2F97" w:rsidRDefault="001A2F97" w:rsidP="001A2F97">
            <w:pPr>
              <w:jc w:val="right"/>
              <w:rPr>
                <w:sz w:val="20"/>
                <w:szCs w:val="20"/>
                <w:lang w:val="en-US"/>
              </w:rPr>
            </w:pPr>
            <w:r w:rsidRPr="001A2F97">
              <w:rPr>
                <w:sz w:val="20"/>
                <w:szCs w:val="20"/>
                <w:lang w:val="en-US"/>
              </w:rPr>
              <w:t>3,000</w:t>
            </w:r>
          </w:p>
        </w:tc>
        <w:tc>
          <w:tcPr>
            <w:tcW w:w="1152" w:type="dxa"/>
            <w:shd w:val="clear" w:color="auto" w:fill="auto"/>
            <w:vAlign w:val="center"/>
          </w:tcPr>
          <w:p w14:paraId="7F72C051" w14:textId="77777777" w:rsidR="001A2F97" w:rsidRPr="001A2F97" w:rsidRDefault="001A2F97" w:rsidP="001A2F97">
            <w:pPr>
              <w:jc w:val="right"/>
              <w:rPr>
                <w:sz w:val="20"/>
                <w:szCs w:val="20"/>
                <w:lang w:val="en-US"/>
              </w:rPr>
            </w:pPr>
            <w:r w:rsidRPr="001A2F97">
              <w:rPr>
                <w:sz w:val="20"/>
                <w:szCs w:val="20"/>
                <w:lang w:val="en-US"/>
              </w:rPr>
              <w:t>3,000</w:t>
            </w:r>
          </w:p>
        </w:tc>
      </w:tr>
      <w:tr w:rsidR="001A2F97" w:rsidRPr="001A2F97" w14:paraId="46396E98" w14:textId="77777777" w:rsidTr="0043252E">
        <w:tc>
          <w:tcPr>
            <w:tcW w:w="3681" w:type="dxa"/>
            <w:shd w:val="clear" w:color="auto" w:fill="auto"/>
          </w:tcPr>
          <w:p w14:paraId="366E5361" w14:textId="77777777" w:rsidR="001A2F97" w:rsidRPr="001A2F97" w:rsidRDefault="001A2F97" w:rsidP="001A2F97">
            <w:pPr>
              <w:jc w:val="left"/>
              <w:rPr>
                <w:b/>
                <w:bCs/>
                <w:sz w:val="20"/>
                <w:szCs w:val="20"/>
                <w:lang w:val="en-US"/>
              </w:rPr>
            </w:pPr>
            <w:r w:rsidRPr="001A2F97">
              <w:rPr>
                <w:b/>
                <w:bCs/>
                <w:sz w:val="20"/>
                <w:szCs w:val="20"/>
                <w:lang w:val="en-US"/>
              </w:rPr>
              <w:t>Total Fixed Costs (US $)</w:t>
            </w:r>
          </w:p>
        </w:tc>
        <w:tc>
          <w:tcPr>
            <w:tcW w:w="1151" w:type="dxa"/>
            <w:shd w:val="clear" w:color="auto" w:fill="auto"/>
            <w:vAlign w:val="center"/>
          </w:tcPr>
          <w:p w14:paraId="418175FF" w14:textId="77777777" w:rsidR="001A2F97" w:rsidRPr="001A2F97" w:rsidRDefault="001A2F97" w:rsidP="001A2F97">
            <w:pPr>
              <w:jc w:val="right"/>
              <w:rPr>
                <w:b/>
                <w:bCs/>
                <w:sz w:val="20"/>
                <w:szCs w:val="20"/>
                <w:lang w:val="en-US"/>
              </w:rPr>
            </w:pPr>
            <w:r w:rsidRPr="001A2F97">
              <w:rPr>
                <w:b/>
                <w:bCs/>
                <w:sz w:val="20"/>
                <w:szCs w:val="20"/>
                <w:lang w:val="en-US"/>
              </w:rPr>
              <w:t>16,500</w:t>
            </w:r>
          </w:p>
        </w:tc>
        <w:tc>
          <w:tcPr>
            <w:tcW w:w="1152" w:type="dxa"/>
            <w:shd w:val="clear" w:color="auto" w:fill="auto"/>
            <w:vAlign w:val="center"/>
          </w:tcPr>
          <w:p w14:paraId="1E989599" w14:textId="77777777" w:rsidR="001A2F97" w:rsidRPr="001A2F97" w:rsidRDefault="001A2F97" w:rsidP="001A2F97">
            <w:pPr>
              <w:jc w:val="right"/>
              <w:rPr>
                <w:b/>
                <w:bCs/>
                <w:sz w:val="20"/>
                <w:szCs w:val="20"/>
                <w:lang w:val="en-US"/>
              </w:rPr>
            </w:pPr>
            <w:r w:rsidRPr="001A2F97">
              <w:rPr>
                <w:b/>
                <w:bCs/>
                <w:sz w:val="20"/>
                <w:szCs w:val="20"/>
                <w:lang w:val="en-US"/>
              </w:rPr>
              <w:t>16,500</w:t>
            </w:r>
          </w:p>
        </w:tc>
        <w:tc>
          <w:tcPr>
            <w:tcW w:w="1152" w:type="dxa"/>
            <w:shd w:val="clear" w:color="auto" w:fill="auto"/>
            <w:vAlign w:val="center"/>
          </w:tcPr>
          <w:p w14:paraId="5EAFDFE1" w14:textId="77777777" w:rsidR="001A2F97" w:rsidRPr="001A2F97" w:rsidRDefault="001A2F97" w:rsidP="001A2F97">
            <w:pPr>
              <w:jc w:val="right"/>
              <w:rPr>
                <w:b/>
                <w:bCs/>
                <w:sz w:val="20"/>
                <w:szCs w:val="20"/>
                <w:lang w:val="en-US"/>
              </w:rPr>
            </w:pPr>
            <w:r w:rsidRPr="001A2F97">
              <w:rPr>
                <w:b/>
                <w:bCs/>
                <w:sz w:val="20"/>
                <w:szCs w:val="20"/>
                <w:lang w:val="en-US"/>
              </w:rPr>
              <w:t>16,500</w:t>
            </w:r>
          </w:p>
        </w:tc>
        <w:tc>
          <w:tcPr>
            <w:tcW w:w="1152" w:type="dxa"/>
            <w:shd w:val="clear" w:color="auto" w:fill="auto"/>
            <w:vAlign w:val="center"/>
          </w:tcPr>
          <w:p w14:paraId="1C2C97A7" w14:textId="77777777" w:rsidR="001A2F97" w:rsidRPr="001A2F97" w:rsidRDefault="001A2F97" w:rsidP="001A2F97">
            <w:pPr>
              <w:jc w:val="right"/>
              <w:rPr>
                <w:b/>
                <w:bCs/>
                <w:sz w:val="20"/>
                <w:szCs w:val="20"/>
                <w:lang w:val="en-US"/>
              </w:rPr>
            </w:pPr>
            <w:r w:rsidRPr="001A2F97">
              <w:rPr>
                <w:b/>
                <w:bCs/>
                <w:sz w:val="20"/>
                <w:szCs w:val="20"/>
                <w:lang w:val="en-US"/>
              </w:rPr>
              <w:t>33,000</w:t>
            </w:r>
          </w:p>
        </w:tc>
        <w:tc>
          <w:tcPr>
            <w:tcW w:w="1152" w:type="dxa"/>
            <w:shd w:val="clear" w:color="auto" w:fill="auto"/>
            <w:vAlign w:val="center"/>
          </w:tcPr>
          <w:p w14:paraId="75C29E22" w14:textId="77777777" w:rsidR="001A2F97" w:rsidRPr="001A2F97" w:rsidRDefault="001A2F97" w:rsidP="001A2F97">
            <w:pPr>
              <w:jc w:val="right"/>
              <w:rPr>
                <w:b/>
                <w:bCs/>
                <w:sz w:val="20"/>
                <w:szCs w:val="20"/>
                <w:lang w:val="en-US"/>
              </w:rPr>
            </w:pPr>
            <w:r w:rsidRPr="001A2F97">
              <w:rPr>
                <w:b/>
                <w:bCs/>
                <w:sz w:val="20"/>
                <w:szCs w:val="20"/>
                <w:lang w:val="en-US"/>
              </w:rPr>
              <w:t>33,000</w:t>
            </w:r>
          </w:p>
        </w:tc>
      </w:tr>
      <w:tr w:rsidR="001A2F97" w:rsidRPr="001A2F97" w14:paraId="61D417D1" w14:textId="77777777" w:rsidTr="0043252E">
        <w:tc>
          <w:tcPr>
            <w:tcW w:w="3681" w:type="dxa"/>
            <w:shd w:val="clear" w:color="auto" w:fill="auto"/>
          </w:tcPr>
          <w:p w14:paraId="24549AF5" w14:textId="77777777" w:rsidR="001A2F97" w:rsidRPr="001A2F97" w:rsidRDefault="001A2F97" w:rsidP="001A2F97">
            <w:pPr>
              <w:jc w:val="left"/>
              <w:rPr>
                <w:b/>
                <w:bCs/>
                <w:sz w:val="20"/>
                <w:szCs w:val="20"/>
                <w:lang w:val="en-US"/>
              </w:rPr>
            </w:pPr>
            <w:r w:rsidRPr="001A2F97">
              <w:rPr>
                <w:b/>
                <w:bCs/>
                <w:sz w:val="20"/>
                <w:szCs w:val="20"/>
                <w:lang w:val="en-US"/>
              </w:rPr>
              <w:t>Net profit before tax (US $)</w:t>
            </w:r>
          </w:p>
        </w:tc>
        <w:tc>
          <w:tcPr>
            <w:tcW w:w="1151" w:type="dxa"/>
            <w:shd w:val="clear" w:color="auto" w:fill="auto"/>
            <w:vAlign w:val="center"/>
          </w:tcPr>
          <w:p w14:paraId="5CC96565" w14:textId="77777777" w:rsidR="001A2F97" w:rsidRPr="001A2F97" w:rsidRDefault="001A2F97" w:rsidP="001A2F97">
            <w:pPr>
              <w:jc w:val="right"/>
              <w:rPr>
                <w:b/>
                <w:bCs/>
                <w:sz w:val="20"/>
                <w:szCs w:val="20"/>
                <w:lang w:val="en-US"/>
              </w:rPr>
            </w:pPr>
            <w:r w:rsidRPr="001A2F97">
              <w:rPr>
                <w:b/>
                <w:bCs/>
                <w:sz w:val="20"/>
                <w:szCs w:val="20"/>
                <w:lang w:val="en-US"/>
              </w:rPr>
              <w:t>(12,240)</w:t>
            </w:r>
          </w:p>
        </w:tc>
        <w:tc>
          <w:tcPr>
            <w:tcW w:w="1152" w:type="dxa"/>
            <w:shd w:val="clear" w:color="auto" w:fill="auto"/>
            <w:vAlign w:val="center"/>
          </w:tcPr>
          <w:p w14:paraId="3543BCF7" w14:textId="77777777" w:rsidR="001A2F97" w:rsidRPr="001A2F97" w:rsidRDefault="001A2F97" w:rsidP="001A2F97">
            <w:pPr>
              <w:jc w:val="right"/>
              <w:rPr>
                <w:b/>
                <w:bCs/>
                <w:sz w:val="20"/>
                <w:szCs w:val="20"/>
                <w:lang w:val="en-US"/>
              </w:rPr>
            </w:pPr>
            <w:r w:rsidRPr="001A2F97">
              <w:rPr>
                <w:b/>
                <w:bCs/>
                <w:sz w:val="20"/>
                <w:szCs w:val="20"/>
                <w:lang w:val="en-US"/>
              </w:rPr>
              <w:t>(5,140)</w:t>
            </w:r>
          </w:p>
        </w:tc>
        <w:tc>
          <w:tcPr>
            <w:tcW w:w="1152" w:type="dxa"/>
            <w:shd w:val="clear" w:color="auto" w:fill="auto"/>
            <w:vAlign w:val="center"/>
          </w:tcPr>
          <w:p w14:paraId="02B53171" w14:textId="77777777" w:rsidR="001A2F97" w:rsidRPr="001A2F97" w:rsidRDefault="001A2F97" w:rsidP="001A2F97">
            <w:pPr>
              <w:jc w:val="right"/>
              <w:rPr>
                <w:b/>
                <w:bCs/>
                <w:sz w:val="20"/>
                <w:szCs w:val="20"/>
                <w:lang w:val="en-US"/>
              </w:rPr>
            </w:pPr>
            <w:r w:rsidRPr="001A2F97">
              <w:rPr>
                <w:b/>
                <w:bCs/>
                <w:sz w:val="20"/>
                <w:szCs w:val="20"/>
                <w:lang w:val="en-US"/>
              </w:rPr>
              <w:t>6,220</w:t>
            </w:r>
          </w:p>
        </w:tc>
        <w:tc>
          <w:tcPr>
            <w:tcW w:w="1152" w:type="dxa"/>
            <w:shd w:val="clear" w:color="auto" w:fill="auto"/>
            <w:vAlign w:val="center"/>
          </w:tcPr>
          <w:p w14:paraId="7C366A21" w14:textId="77777777" w:rsidR="001A2F97" w:rsidRPr="001A2F97" w:rsidRDefault="001A2F97" w:rsidP="001A2F97">
            <w:pPr>
              <w:jc w:val="right"/>
              <w:rPr>
                <w:b/>
                <w:bCs/>
                <w:sz w:val="20"/>
                <w:szCs w:val="20"/>
                <w:lang w:val="en-US"/>
              </w:rPr>
            </w:pPr>
            <w:r w:rsidRPr="001A2F97">
              <w:rPr>
                <w:b/>
                <w:bCs/>
                <w:sz w:val="20"/>
                <w:szCs w:val="20"/>
                <w:lang w:val="en-US"/>
              </w:rPr>
              <w:t>(4,600)</w:t>
            </w:r>
          </w:p>
        </w:tc>
        <w:tc>
          <w:tcPr>
            <w:tcW w:w="1152" w:type="dxa"/>
            <w:shd w:val="clear" w:color="auto" w:fill="auto"/>
            <w:vAlign w:val="center"/>
          </w:tcPr>
          <w:p w14:paraId="4E926907" w14:textId="77777777" w:rsidR="001A2F97" w:rsidRPr="001A2F97" w:rsidRDefault="001A2F97" w:rsidP="001A2F97">
            <w:pPr>
              <w:jc w:val="right"/>
              <w:rPr>
                <w:b/>
                <w:bCs/>
                <w:sz w:val="20"/>
                <w:szCs w:val="20"/>
                <w:lang w:val="en-US"/>
              </w:rPr>
            </w:pPr>
            <w:r w:rsidRPr="001A2F97">
              <w:rPr>
                <w:b/>
                <w:bCs/>
                <w:sz w:val="20"/>
                <w:szCs w:val="20"/>
                <w:lang w:val="en-US"/>
              </w:rPr>
              <w:t>12,440</w:t>
            </w:r>
          </w:p>
        </w:tc>
      </w:tr>
    </w:tbl>
    <w:p w14:paraId="20A2AACF" w14:textId="77777777" w:rsidR="001A2F97" w:rsidRPr="001A2F97" w:rsidRDefault="001A2F97" w:rsidP="001A2F97">
      <w:pPr>
        <w:rPr>
          <w:lang w:val="en-US"/>
        </w:rPr>
      </w:pPr>
    </w:p>
    <w:p w14:paraId="1B7F80AC" w14:textId="3139FC66" w:rsidR="001A2F97" w:rsidRPr="001A2F97" w:rsidRDefault="001A2F97" w:rsidP="001A2F97">
      <w:pPr>
        <w:numPr>
          <w:ilvl w:val="0"/>
          <w:numId w:val="31"/>
        </w:numPr>
        <w:spacing w:after="240"/>
        <w:outlineLvl w:val="0"/>
      </w:pPr>
      <w:r w:rsidRPr="001A2F97">
        <w:t xml:space="preserve">At start-up, the centre will focus on the reclamation of the most used refrigerants </w:t>
      </w:r>
      <w:r w:rsidR="005051F0">
        <w:t>HCFC</w:t>
      </w:r>
      <w:r w:rsidRPr="001A2F97">
        <w:noBreakHyphen/>
        <w:t xml:space="preserve">22 and </w:t>
      </w:r>
      <w:r w:rsidR="005051F0">
        <w:t>HFC</w:t>
      </w:r>
      <w:r w:rsidRPr="001A2F97">
        <w:noBreakHyphen/>
        <w:t>134a, and the installed reclaim capacity is set at 10 tons per quarter. From the sixth quarter onwards, and if necessary, the reclaim capacity can be increased to 20 tons per quarter by installing additional equipment in the same centre, and reclamation will be extended to other refrigerants like R</w:t>
      </w:r>
      <w:r w:rsidRPr="001A2F97">
        <w:noBreakHyphen/>
        <w:t>404A, R</w:t>
      </w:r>
      <w:r w:rsidRPr="001A2F97">
        <w:noBreakHyphen/>
        <w:t>410A, as needed. With a higher reclamation rate, the profitability of the centre is higher. The estimated operational costs are on the high side and are expected to be lower in Burkina Faso based on interviews with local stakeholders, thus making the return on investment shorter and more attractive to potential investors.</w:t>
      </w:r>
    </w:p>
    <w:p w14:paraId="0578062D" w14:textId="77777777" w:rsidR="001A2F97" w:rsidRPr="001A2F97" w:rsidRDefault="001A2F97" w:rsidP="001A2F97">
      <w:pPr>
        <w:jc w:val="left"/>
        <w:rPr>
          <w:b/>
          <w:bCs/>
        </w:rPr>
      </w:pPr>
      <w:r w:rsidRPr="001A2F97">
        <w:rPr>
          <w:b/>
          <w:bCs/>
        </w:rPr>
        <w:t xml:space="preserve">Secretariat’s comments </w:t>
      </w:r>
    </w:p>
    <w:p w14:paraId="6891AEF5" w14:textId="77777777" w:rsidR="001A2F97" w:rsidRPr="001A2F97" w:rsidRDefault="001A2F97" w:rsidP="001A2F97">
      <w:pPr>
        <w:jc w:val="left"/>
        <w:rPr>
          <w:b/>
          <w:bCs/>
        </w:rPr>
      </w:pPr>
    </w:p>
    <w:p w14:paraId="37F1D934" w14:textId="77777777" w:rsidR="001A2F97" w:rsidRPr="001A2F97" w:rsidRDefault="001A2F97" w:rsidP="001A2F97">
      <w:pPr>
        <w:numPr>
          <w:ilvl w:val="0"/>
          <w:numId w:val="31"/>
        </w:numPr>
        <w:spacing w:after="240"/>
        <w:outlineLvl w:val="0"/>
      </w:pPr>
      <w:r w:rsidRPr="001A2F97">
        <w:t>The Secretariat notes that the establishment of the proposed RRR centre costs US $112,000, which corresponds to the budget for establishing the HC distribution centre and acquiring cylinders in the KIP.</w:t>
      </w:r>
    </w:p>
    <w:p w14:paraId="54265E74" w14:textId="77777777" w:rsidR="001A2F97" w:rsidRPr="001A2F97" w:rsidRDefault="001A2F97" w:rsidP="001A2F97">
      <w:pPr>
        <w:numPr>
          <w:ilvl w:val="0"/>
          <w:numId w:val="31"/>
        </w:numPr>
        <w:spacing w:after="240"/>
        <w:outlineLvl w:val="0"/>
      </w:pPr>
      <w:r w:rsidRPr="001A2F97">
        <w:lastRenderedPageBreak/>
        <w:t>The Secretariat also notes that the Government of Germany reported that the RRR centre could be profitable within the first six quarters after start</w:t>
      </w:r>
      <w:r w:rsidRPr="001A2F97">
        <w:noBreakHyphen/>
        <w:t>up</w:t>
      </w:r>
      <w:r w:rsidRPr="001A2F97" w:rsidDel="008665B4">
        <w:t>.</w:t>
      </w:r>
      <w:r w:rsidRPr="001A2F97">
        <w:t xml:space="preserve">  </w:t>
      </w:r>
    </w:p>
    <w:p w14:paraId="5F027BAE" w14:textId="77777777" w:rsidR="001A2F97" w:rsidRPr="001A2F97" w:rsidRDefault="001A2F97" w:rsidP="001A2F97">
      <w:pPr>
        <w:jc w:val="left"/>
        <w:rPr>
          <w:b/>
          <w:bCs/>
        </w:rPr>
      </w:pPr>
      <w:r w:rsidRPr="001A2F97">
        <w:rPr>
          <w:b/>
          <w:bCs/>
        </w:rPr>
        <w:t>Recommendation</w:t>
      </w:r>
    </w:p>
    <w:p w14:paraId="7D4F9F7E" w14:textId="77777777" w:rsidR="001A2F97" w:rsidRPr="001A2F97" w:rsidRDefault="001A2F97" w:rsidP="001A2F97">
      <w:pPr>
        <w:jc w:val="left"/>
      </w:pPr>
    </w:p>
    <w:p w14:paraId="72A6AA71" w14:textId="77777777" w:rsidR="001A2F97" w:rsidRPr="001A2F97" w:rsidRDefault="001A2F97" w:rsidP="001A2F97">
      <w:pPr>
        <w:numPr>
          <w:ilvl w:val="0"/>
          <w:numId w:val="31"/>
        </w:numPr>
        <w:spacing w:after="240"/>
        <w:outlineLvl w:val="0"/>
      </w:pPr>
      <w:r w:rsidRPr="001A2F97">
        <w:t>The Executive Committee may wish:</w:t>
      </w:r>
    </w:p>
    <w:p w14:paraId="7EE5B30C" w14:textId="377FE4C2" w:rsidR="001A2F97" w:rsidRPr="001A2F97" w:rsidRDefault="001A2F97" w:rsidP="00F81A98">
      <w:pPr>
        <w:numPr>
          <w:ilvl w:val="1"/>
          <w:numId w:val="44"/>
        </w:numPr>
        <w:spacing w:after="240"/>
        <w:outlineLvl w:val="1"/>
      </w:pPr>
      <w:r w:rsidRPr="001A2F97">
        <w:t>To note the plan for the establishment of a recovery, recycling and reclamation centre for HCFCs, HFCs and blended refrigerants including a feasibility study, associated with stage I of the Kigali HFC implementation plan (KIP)</w:t>
      </w:r>
      <w:r w:rsidR="004F4C1A">
        <w:t xml:space="preserve"> for Burkina Faso</w:t>
      </w:r>
      <w:r w:rsidRPr="001A2F97">
        <w:t>, as submitted by the Government of Germany and contained in document UNEP/OzL.Pro/ExCom/95/20; and</w:t>
      </w:r>
    </w:p>
    <w:p w14:paraId="4D12D941" w14:textId="4330A3FB" w:rsidR="001A2F97" w:rsidRPr="001A2F97" w:rsidRDefault="001A2F97" w:rsidP="00F81A98">
      <w:pPr>
        <w:widowControl w:val="0"/>
        <w:numPr>
          <w:ilvl w:val="1"/>
          <w:numId w:val="44"/>
        </w:numPr>
        <w:spacing w:after="240"/>
        <w:outlineLvl w:val="1"/>
      </w:pPr>
      <w:r w:rsidRPr="001A2F97">
        <w:t xml:space="preserve">To approve the request of the Government of Burkina Faso to replace the establishment of </w:t>
      </w:r>
      <w:r w:rsidR="00D323CC">
        <w:t xml:space="preserve">a </w:t>
      </w:r>
      <w:r w:rsidRPr="001A2F97">
        <w:t>refrigerant distribution centre for hydrocarbons with th</w:t>
      </w:r>
      <w:r w:rsidR="008D7076">
        <w:t>e</w:t>
      </w:r>
      <w:r w:rsidRPr="001A2F97">
        <w:t xml:space="preserve"> centre referred to </w:t>
      </w:r>
      <w:r w:rsidR="008D7076">
        <w:t xml:space="preserve">in </w:t>
      </w:r>
      <w:r w:rsidRPr="001A2F97">
        <w:t>subparagraph (a) above, at the same cost.</w:t>
      </w:r>
    </w:p>
    <w:p w14:paraId="338BD7E3" w14:textId="285160A8" w:rsidR="002D6935" w:rsidRPr="001A2F97" w:rsidRDefault="002D6935" w:rsidP="001A2F97">
      <w:pPr>
        <w:keepNext/>
        <w:keepLines/>
        <w:rPr>
          <w:b/>
          <w:bCs/>
        </w:rPr>
      </w:pPr>
      <w:r w:rsidRPr="001A2F97">
        <w:rPr>
          <w:b/>
          <w:bCs/>
        </w:rPr>
        <w:t>C.</w:t>
      </w:r>
      <w:r w:rsidRPr="001A2F97">
        <w:rPr>
          <w:b/>
          <w:bCs/>
        </w:rPr>
        <w:tab/>
        <w:t xml:space="preserve">Report </w:t>
      </w:r>
      <w:r w:rsidR="00A979A7" w:rsidRPr="001A2F97">
        <w:rPr>
          <w:b/>
          <w:bCs/>
        </w:rPr>
        <w:t>related to</w:t>
      </w:r>
      <w:r w:rsidRPr="001A2F97">
        <w:rPr>
          <w:b/>
          <w:bCs/>
        </w:rPr>
        <w:t xml:space="preserve"> additional activities to maintain energy efficiency in the refrigeration servicing sector (decision 89/6)</w:t>
      </w:r>
    </w:p>
    <w:bookmarkEnd w:id="5"/>
    <w:p w14:paraId="262D5112" w14:textId="77777777" w:rsidR="002D6935" w:rsidRPr="001A2F97" w:rsidRDefault="002D6935" w:rsidP="001A2F97">
      <w:pPr>
        <w:keepNext/>
        <w:keepLines/>
      </w:pPr>
    </w:p>
    <w:p w14:paraId="1B1C2D71" w14:textId="55DA3CDF" w:rsidR="002D6935" w:rsidRPr="002D6935" w:rsidRDefault="002D6935" w:rsidP="001A2F97">
      <w:pPr>
        <w:keepNext/>
        <w:keepLines/>
        <w:spacing w:after="240"/>
        <w:ind w:left="720"/>
        <w:rPr>
          <w:b/>
          <w:bCs/>
        </w:rPr>
      </w:pPr>
      <w:r w:rsidRPr="002D6935">
        <w:rPr>
          <w:b/>
          <w:bCs/>
          <w:u w:val="single"/>
        </w:rPr>
        <w:t xml:space="preserve">Maldives: Additional activities to maintain energy efficiency </w:t>
      </w:r>
      <w:r w:rsidR="00DE41D9">
        <w:rPr>
          <w:b/>
          <w:bCs/>
          <w:u w:val="single"/>
        </w:rPr>
        <w:t>in</w:t>
      </w:r>
      <w:r w:rsidRPr="002D6935">
        <w:rPr>
          <w:b/>
          <w:bCs/>
          <w:u w:val="single"/>
        </w:rPr>
        <w:t xml:space="preserve"> the </w:t>
      </w:r>
      <w:r w:rsidR="00DE41D9">
        <w:rPr>
          <w:b/>
          <w:bCs/>
          <w:u w:val="single"/>
        </w:rPr>
        <w:t xml:space="preserve">refrigeration </w:t>
      </w:r>
      <w:r w:rsidRPr="002D6935">
        <w:rPr>
          <w:b/>
          <w:bCs/>
          <w:u w:val="single"/>
        </w:rPr>
        <w:t>servicing sector under decision 89/6(b) (progress report)</w:t>
      </w:r>
      <w:r w:rsidRPr="002D6935">
        <w:rPr>
          <w:b/>
          <w:bCs/>
        </w:rPr>
        <w:t xml:space="preserve"> (UNEP)</w:t>
      </w:r>
    </w:p>
    <w:p w14:paraId="2308053B" w14:textId="77777777" w:rsidR="002D6935" w:rsidRPr="002D6935" w:rsidRDefault="002D6935" w:rsidP="002D6935">
      <w:pPr>
        <w:spacing w:after="240"/>
        <w:jc w:val="left"/>
        <w:rPr>
          <w:rFonts w:eastAsiaTheme="minorEastAsia"/>
          <w:b/>
          <w:lang w:eastAsia="zh-CN"/>
        </w:rPr>
      </w:pPr>
      <w:r w:rsidRPr="002D6935">
        <w:rPr>
          <w:rFonts w:eastAsiaTheme="minorEastAsia"/>
          <w:b/>
          <w:lang w:eastAsia="zh-CN"/>
        </w:rPr>
        <w:t>Background</w:t>
      </w:r>
    </w:p>
    <w:p w14:paraId="05BD7AF9" w14:textId="77777777" w:rsidR="002D6935" w:rsidRPr="002D6935" w:rsidRDefault="002D6935" w:rsidP="00337497">
      <w:pPr>
        <w:pStyle w:val="Heading1"/>
      </w:pPr>
      <w:r w:rsidRPr="002D6935">
        <w:t>At the 91</w:t>
      </w:r>
      <w:r w:rsidRPr="002D6935">
        <w:rPr>
          <w:vertAlign w:val="superscript"/>
        </w:rPr>
        <w:t>st</w:t>
      </w:r>
      <w:r w:rsidRPr="002D6935">
        <w:t xml:space="preserve"> meeting, the Executive Committee approved the project on additional activities for the introduction of alternatives to HCFCs with low- or zero-global-warming potential (GWP) and on maintaining energy efficiency in the refrigeration servicing sector in Maldives, in the amount of US $100,000, plus agency support costs of US $13,000, for UNEP (decision 91/60(a)).  </w:t>
      </w:r>
    </w:p>
    <w:p w14:paraId="512345B6" w14:textId="77777777" w:rsidR="002D6935" w:rsidRPr="002D6935" w:rsidRDefault="002D6935" w:rsidP="00337497">
      <w:pPr>
        <w:pStyle w:val="Heading1"/>
      </w:pPr>
      <w:r w:rsidRPr="002D6935">
        <w:t>At the 93</w:t>
      </w:r>
      <w:r w:rsidRPr="002D6935">
        <w:rPr>
          <w:vertAlign w:val="superscript"/>
        </w:rPr>
        <w:t>rd</w:t>
      </w:r>
      <w:r w:rsidRPr="002D6935">
        <w:t xml:space="preserve"> meeting, the Executive Committee approved, on an exceptional basis, the extension, to 30 June 2025, of the project completion date. In approving this extension request, the Executive Committee requested the Government of Maldives and UNEP to continue submitting progress reports on the implementation of the project on a yearly basis until completion, and to submit a project completion report to the second meeting of the Executive Committee in 2025 (decision 93/20(b) and (c)).</w:t>
      </w:r>
    </w:p>
    <w:p w14:paraId="51362F7F" w14:textId="77777777" w:rsidR="002D6935" w:rsidRPr="002D6935" w:rsidRDefault="002D6935" w:rsidP="003479EB">
      <w:pPr>
        <w:pStyle w:val="Heading1"/>
        <w:rPr>
          <w:bCs/>
        </w:rPr>
      </w:pPr>
      <w:r w:rsidRPr="002D6935">
        <w:t>In line with decision 93/20(c), UNEP, on behalf of the Government of Maldives, has submitted a progress report to the present meeting.</w:t>
      </w:r>
    </w:p>
    <w:p w14:paraId="26C8EB29" w14:textId="77777777" w:rsidR="002D6935" w:rsidRPr="002D6935" w:rsidRDefault="002D6935" w:rsidP="002D6935">
      <w:pPr>
        <w:rPr>
          <w:b/>
          <w:bCs/>
        </w:rPr>
      </w:pPr>
      <w:r w:rsidRPr="002D6935">
        <w:rPr>
          <w:b/>
          <w:bCs/>
        </w:rPr>
        <w:t>Progress report</w:t>
      </w:r>
    </w:p>
    <w:p w14:paraId="04F25D70" w14:textId="77777777" w:rsidR="002D6935" w:rsidRPr="002D6935" w:rsidRDefault="002D6935" w:rsidP="002D6935">
      <w:pPr>
        <w:rPr>
          <w:b/>
          <w:bCs/>
        </w:rPr>
      </w:pPr>
    </w:p>
    <w:p w14:paraId="60F7477C" w14:textId="77777777" w:rsidR="002D6935" w:rsidRPr="002D6935" w:rsidRDefault="002D6935" w:rsidP="003479EB">
      <w:pPr>
        <w:pStyle w:val="Heading1"/>
      </w:pPr>
      <w:r w:rsidRPr="002D6935">
        <w:t>The objective of the energy efficiency project in the Maldives was to make mandatory the existing voluntary energy efficiency labelling programme for appliances and equipment called Hakathari which covered certain equipment, including air conditioners</w:t>
      </w:r>
      <w:r w:rsidRPr="002D6935">
        <w:rPr>
          <w:vertAlign w:val="superscript"/>
        </w:rPr>
        <w:footnoteReference w:id="12"/>
      </w:r>
      <w:r w:rsidRPr="002D6935">
        <w:rPr>
          <w:vertAlign w:val="superscript"/>
        </w:rPr>
        <w:t xml:space="preserve"> </w:t>
      </w:r>
      <w:r w:rsidRPr="002D6935">
        <w:t>and domestic refrigerators. The mandated label specifications under the Hakathari programme include information on the refrigerant and its ozone depleting potential and GWP. The programme also establishes the minimum qualification requirements for tested</w:t>
      </w:r>
      <w:r w:rsidRPr="002D6935">
        <w:rPr>
          <w:vertAlign w:val="superscript"/>
        </w:rPr>
        <w:footnoteReference w:id="13"/>
      </w:r>
      <w:r w:rsidRPr="002D6935">
        <w:rPr>
          <w:vertAlign w:val="superscript"/>
        </w:rPr>
        <w:t xml:space="preserve"> </w:t>
      </w:r>
      <w:r w:rsidRPr="002D6935">
        <w:t xml:space="preserve">appliances to be eligible for the energy efficiency labels ensuring that these meet the minimum energy performance standards (MEPS) already present in the country. </w:t>
      </w:r>
    </w:p>
    <w:p w14:paraId="097E49ED" w14:textId="77777777" w:rsidR="002D6935" w:rsidRPr="002D6935" w:rsidRDefault="002D6935" w:rsidP="003479EB">
      <w:pPr>
        <w:widowControl w:val="0"/>
        <w:numPr>
          <w:ilvl w:val="0"/>
          <w:numId w:val="31"/>
        </w:numPr>
        <w:spacing w:after="240"/>
        <w:outlineLvl w:val="0"/>
      </w:pPr>
      <w:r w:rsidRPr="002D6935">
        <w:lastRenderedPageBreak/>
        <w:t>The project included activities to improve the coordination and collaboration between stakeholders, the relevant energy authorities, and the national ozone unit through capacity building of key staff and stakeholders to ensure sustained consideration of the refrigerant in the labelling programme, guide the development of the review approach for refrigerant type and GWP, and understand regulatory challenges related to low-GWP refrigerant labelling information; to raise awareness related to the labelling programme focusing on increasing the demand for air conditioners and refrigerators operating with low- or zero-GWP refrigerants among all labeled energy-efficient products; and a consumer behavior study to evaluate the impact of the project.</w:t>
      </w:r>
    </w:p>
    <w:p w14:paraId="4CE6AF76" w14:textId="5ED0B1C1" w:rsidR="002D6935" w:rsidRPr="002D6935" w:rsidRDefault="002D6935" w:rsidP="003479EB">
      <w:pPr>
        <w:numPr>
          <w:ilvl w:val="0"/>
          <w:numId w:val="31"/>
        </w:numPr>
        <w:spacing w:after="240"/>
        <w:outlineLvl w:val="0"/>
      </w:pPr>
      <w:r w:rsidRPr="002D6935">
        <w:t>As of September 2024, the following activities had been completed: the detailed outputs for the capacity-building study tour were established; the training materials for importers, customs officers, utility agencies, building designers, building developers, and construction companies were developed; and the outreach and impact assessment awareness materials for end</w:t>
      </w:r>
      <w:r w:rsidR="008029C8">
        <w:t xml:space="preserve"> </w:t>
      </w:r>
      <w:r w:rsidRPr="002D6935">
        <w:t xml:space="preserve">users, as well as the questionnaire, were developed. </w:t>
      </w:r>
    </w:p>
    <w:p w14:paraId="48E61BB5" w14:textId="77777777" w:rsidR="002D6935" w:rsidRPr="002D6935" w:rsidRDefault="002D6935" w:rsidP="003479EB">
      <w:pPr>
        <w:numPr>
          <w:ilvl w:val="0"/>
          <w:numId w:val="31"/>
        </w:numPr>
        <w:spacing w:after="240"/>
        <w:outlineLvl w:val="0"/>
      </w:pPr>
      <w:r w:rsidRPr="002D6935">
        <w:t>Furthermore, of the US $100,000 approved, US $14,560 (14.6 per cent) had been disbursed. The balance of US $85,440 will be disbursed in 2024 and 2025.</w:t>
      </w:r>
    </w:p>
    <w:p w14:paraId="3EC1C06D" w14:textId="77777777" w:rsidR="002D6935" w:rsidRPr="002D6935" w:rsidRDefault="002D6935" w:rsidP="002D6935">
      <w:pPr>
        <w:keepNext/>
        <w:spacing w:after="240"/>
        <w:rPr>
          <w:rFonts w:eastAsiaTheme="minorEastAsia"/>
          <w:b/>
          <w:lang w:eastAsia="zh-CN"/>
        </w:rPr>
      </w:pPr>
      <w:r w:rsidRPr="002D6935">
        <w:rPr>
          <w:rFonts w:eastAsiaTheme="minorEastAsia"/>
          <w:b/>
          <w:lang w:eastAsia="zh-CN"/>
        </w:rPr>
        <w:t>Secretariat’s comments</w:t>
      </w:r>
    </w:p>
    <w:p w14:paraId="29FFEEFD" w14:textId="77777777" w:rsidR="002D6935" w:rsidRPr="002D6935" w:rsidRDefault="002D6935" w:rsidP="003479EB">
      <w:pPr>
        <w:numPr>
          <w:ilvl w:val="0"/>
          <w:numId w:val="31"/>
        </w:numPr>
        <w:spacing w:after="240"/>
        <w:outlineLvl w:val="0"/>
      </w:pPr>
      <w:r w:rsidRPr="002D6935">
        <w:t>The Secretariat expressed concern about the low disbursement rate of approved funds and the delays associated with the project, requesting UNEP to provide an updated work plan outlining how activities would be expedited to compensate for the delays in implementation. UNEP indicated that 63.5 per cent of approved funds would be disbursed during the last quarter of 2024, with the remaining 21.9 per cent to be disbursed during the first quarter of 2025. After discussions with the Government of Maldives, UNEP submitted an updated work plan for the project, as shown in the table below.</w:t>
      </w:r>
    </w:p>
    <w:p w14:paraId="5A802E22" w14:textId="5CA38D2A" w:rsidR="002D6935" w:rsidRPr="002D6935" w:rsidRDefault="002D6935" w:rsidP="002D6935">
      <w:pPr>
        <w:rPr>
          <w:b/>
          <w:bCs/>
        </w:rPr>
      </w:pPr>
      <w:r w:rsidRPr="002D6935">
        <w:rPr>
          <w:b/>
          <w:bCs/>
        </w:rPr>
        <w:t xml:space="preserve">Table </w:t>
      </w:r>
      <w:r w:rsidR="00F81A98">
        <w:rPr>
          <w:b/>
          <w:bCs/>
        </w:rPr>
        <w:t>4</w:t>
      </w:r>
      <w:r w:rsidRPr="002D6935">
        <w:rPr>
          <w:b/>
          <w:bCs/>
        </w:rPr>
        <w:t>. Updated workplan for the implementation of activities to maintain energy efficiency in the refrigeration servicing sector in Maldives</w:t>
      </w:r>
    </w:p>
    <w:tbl>
      <w:tblPr>
        <w:tblStyle w:val="TableGrid"/>
        <w:tblW w:w="5005" w:type="pct"/>
        <w:tblInd w:w="-5" w:type="dxa"/>
        <w:tblLayout w:type="fixed"/>
        <w:tblLook w:val="04A0" w:firstRow="1" w:lastRow="0" w:firstColumn="1" w:lastColumn="0" w:noHBand="0" w:noVBand="1"/>
      </w:tblPr>
      <w:tblGrid>
        <w:gridCol w:w="2447"/>
        <w:gridCol w:w="1804"/>
        <w:gridCol w:w="1072"/>
        <w:gridCol w:w="2417"/>
        <w:gridCol w:w="1619"/>
      </w:tblGrid>
      <w:tr w:rsidR="002D6935" w:rsidRPr="002D6935" w14:paraId="7A4DA565" w14:textId="77777777" w:rsidTr="006510DC">
        <w:trPr>
          <w:trHeight w:val="323"/>
          <w:tblHeader/>
        </w:trPr>
        <w:tc>
          <w:tcPr>
            <w:tcW w:w="2447" w:type="dxa"/>
            <w:tcBorders>
              <w:top w:val="single" w:sz="4" w:space="0" w:color="auto"/>
              <w:left w:val="single" w:sz="4" w:space="0" w:color="auto"/>
              <w:bottom w:val="single" w:sz="4" w:space="0" w:color="auto"/>
              <w:right w:val="single" w:sz="4" w:space="0" w:color="auto"/>
            </w:tcBorders>
            <w:hideMark/>
          </w:tcPr>
          <w:p w14:paraId="0276C079" w14:textId="77777777" w:rsidR="002D6935" w:rsidRPr="002D6935" w:rsidRDefault="002D6935" w:rsidP="002D6935">
            <w:pPr>
              <w:jc w:val="left"/>
              <w:rPr>
                <w:b/>
                <w:sz w:val="20"/>
                <w:szCs w:val="20"/>
              </w:rPr>
            </w:pPr>
            <w:r w:rsidRPr="002D6935">
              <w:rPr>
                <w:b/>
                <w:sz w:val="20"/>
                <w:szCs w:val="20"/>
              </w:rPr>
              <w:t>Activity</w:t>
            </w:r>
          </w:p>
        </w:tc>
        <w:tc>
          <w:tcPr>
            <w:tcW w:w="1804" w:type="dxa"/>
            <w:tcBorders>
              <w:top w:val="single" w:sz="4" w:space="0" w:color="auto"/>
              <w:left w:val="single" w:sz="4" w:space="0" w:color="auto"/>
              <w:bottom w:val="single" w:sz="4" w:space="0" w:color="auto"/>
              <w:right w:val="single" w:sz="4" w:space="0" w:color="auto"/>
            </w:tcBorders>
            <w:hideMark/>
          </w:tcPr>
          <w:p w14:paraId="20C28793" w14:textId="77777777" w:rsidR="002D6935" w:rsidRPr="002D6935" w:rsidRDefault="002D6935" w:rsidP="002D6935">
            <w:pPr>
              <w:jc w:val="center"/>
              <w:rPr>
                <w:b/>
                <w:sz w:val="20"/>
                <w:szCs w:val="20"/>
              </w:rPr>
            </w:pPr>
            <w:r w:rsidRPr="002D6935">
              <w:rPr>
                <w:b/>
                <w:sz w:val="20"/>
                <w:szCs w:val="20"/>
              </w:rPr>
              <w:t>Deliverable/target</w:t>
            </w:r>
          </w:p>
        </w:tc>
        <w:tc>
          <w:tcPr>
            <w:tcW w:w="1072" w:type="dxa"/>
            <w:tcBorders>
              <w:top w:val="single" w:sz="4" w:space="0" w:color="auto"/>
              <w:left w:val="single" w:sz="4" w:space="0" w:color="auto"/>
              <w:bottom w:val="single" w:sz="4" w:space="0" w:color="auto"/>
              <w:right w:val="single" w:sz="4" w:space="0" w:color="auto"/>
            </w:tcBorders>
            <w:hideMark/>
          </w:tcPr>
          <w:p w14:paraId="61D7CCEC" w14:textId="77777777" w:rsidR="002D6935" w:rsidRPr="002D6935" w:rsidRDefault="002D6935" w:rsidP="002D6935">
            <w:pPr>
              <w:jc w:val="center"/>
              <w:rPr>
                <w:b/>
                <w:sz w:val="20"/>
                <w:szCs w:val="20"/>
              </w:rPr>
            </w:pPr>
            <w:r w:rsidRPr="002D6935">
              <w:rPr>
                <w:b/>
                <w:sz w:val="20"/>
                <w:szCs w:val="20"/>
              </w:rPr>
              <w:t>Approved funds</w:t>
            </w:r>
          </w:p>
          <w:p w14:paraId="2EDD6542" w14:textId="77777777" w:rsidR="002D6935" w:rsidRPr="002D6935" w:rsidRDefault="002D6935" w:rsidP="002D6935">
            <w:pPr>
              <w:jc w:val="center"/>
              <w:rPr>
                <w:b/>
                <w:sz w:val="20"/>
                <w:szCs w:val="20"/>
              </w:rPr>
            </w:pPr>
            <w:r w:rsidRPr="002D6935">
              <w:rPr>
                <w:b/>
                <w:sz w:val="20"/>
                <w:szCs w:val="20"/>
              </w:rPr>
              <w:t>(US $)</w:t>
            </w:r>
          </w:p>
        </w:tc>
        <w:tc>
          <w:tcPr>
            <w:tcW w:w="2417" w:type="dxa"/>
            <w:tcBorders>
              <w:top w:val="single" w:sz="4" w:space="0" w:color="auto"/>
              <w:left w:val="single" w:sz="4" w:space="0" w:color="auto"/>
              <w:bottom w:val="single" w:sz="4" w:space="0" w:color="auto"/>
              <w:right w:val="single" w:sz="4" w:space="0" w:color="auto"/>
            </w:tcBorders>
          </w:tcPr>
          <w:p w14:paraId="7E82618D" w14:textId="77777777" w:rsidR="002D6935" w:rsidRPr="002D6935" w:rsidRDefault="002D6935" w:rsidP="002D6935">
            <w:pPr>
              <w:jc w:val="center"/>
              <w:rPr>
                <w:b/>
                <w:sz w:val="20"/>
                <w:szCs w:val="20"/>
              </w:rPr>
            </w:pPr>
            <w:r w:rsidRPr="002D6935">
              <w:rPr>
                <w:b/>
                <w:sz w:val="20"/>
                <w:szCs w:val="20"/>
              </w:rPr>
              <w:t>Status</w:t>
            </w:r>
          </w:p>
        </w:tc>
        <w:tc>
          <w:tcPr>
            <w:tcW w:w="1619" w:type="dxa"/>
            <w:tcBorders>
              <w:top w:val="single" w:sz="4" w:space="0" w:color="auto"/>
              <w:left w:val="single" w:sz="4" w:space="0" w:color="auto"/>
              <w:bottom w:val="single" w:sz="4" w:space="0" w:color="auto"/>
              <w:right w:val="single" w:sz="4" w:space="0" w:color="auto"/>
            </w:tcBorders>
          </w:tcPr>
          <w:p w14:paraId="6AE5507C" w14:textId="77777777" w:rsidR="002D6935" w:rsidRPr="002D6935" w:rsidRDefault="002D6935" w:rsidP="002D6935">
            <w:pPr>
              <w:jc w:val="center"/>
              <w:rPr>
                <w:b/>
                <w:sz w:val="20"/>
                <w:szCs w:val="20"/>
              </w:rPr>
            </w:pPr>
            <w:r w:rsidRPr="002D6935">
              <w:rPr>
                <w:b/>
                <w:sz w:val="20"/>
                <w:szCs w:val="20"/>
              </w:rPr>
              <w:t>Expected implementation dates</w:t>
            </w:r>
          </w:p>
        </w:tc>
      </w:tr>
      <w:tr w:rsidR="002D6935" w:rsidRPr="002D6935" w14:paraId="171B3FDB" w14:textId="77777777" w:rsidTr="006510DC">
        <w:tc>
          <w:tcPr>
            <w:tcW w:w="9359" w:type="dxa"/>
            <w:gridSpan w:val="5"/>
            <w:tcBorders>
              <w:top w:val="single" w:sz="4" w:space="0" w:color="auto"/>
              <w:left w:val="single" w:sz="4" w:space="0" w:color="auto"/>
              <w:bottom w:val="single" w:sz="4" w:space="0" w:color="auto"/>
              <w:right w:val="single" w:sz="4" w:space="0" w:color="auto"/>
            </w:tcBorders>
          </w:tcPr>
          <w:p w14:paraId="0FCF19BE" w14:textId="77777777" w:rsidR="002D6935" w:rsidRPr="002D6935" w:rsidRDefault="002D6935" w:rsidP="002D6935">
            <w:pPr>
              <w:jc w:val="left"/>
              <w:rPr>
                <w:b/>
                <w:sz w:val="20"/>
                <w:szCs w:val="20"/>
              </w:rPr>
            </w:pPr>
            <w:r w:rsidRPr="002D6935">
              <w:rPr>
                <w:b/>
                <w:sz w:val="20"/>
                <w:szCs w:val="20"/>
              </w:rPr>
              <w:t>Capacity-building of key staff and stakeholders</w:t>
            </w:r>
          </w:p>
        </w:tc>
      </w:tr>
      <w:tr w:rsidR="002D6935" w:rsidRPr="002D6935" w14:paraId="62F8BE21" w14:textId="77777777" w:rsidTr="006510DC">
        <w:tc>
          <w:tcPr>
            <w:tcW w:w="2447" w:type="dxa"/>
            <w:tcBorders>
              <w:top w:val="single" w:sz="4" w:space="0" w:color="auto"/>
              <w:left w:val="single" w:sz="4" w:space="0" w:color="auto"/>
              <w:bottom w:val="single" w:sz="4" w:space="0" w:color="auto"/>
              <w:right w:val="single" w:sz="4" w:space="0" w:color="auto"/>
            </w:tcBorders>
            <w:hideMark/>
          </w:tcPr>
          <w:p w14:paraId="0B6D6005" w14:textId="77777777" w:rsidR="002D6935" w:rsidRPr="002D6935" w:rsidRDefault="002D6935" w:rsidP="002D6935">
            <w:pPr>
              <w:jc w:val="left"/>
              <w:rPr>
                <w:bCs/>
                <w:sz w:val="20"/>
                <w:szCs w:val="20"/>
              </w:rPr>
            </w:pPr>
            <w:r w:rsidRPr="002D6935">
              <w:rPr>
                <w:sz w:val="20"/>
                <w:szCs w:val="20"/>
              </w:rPr>
              <w:t>Coordination and collaboration with relevant agencies through capacity-building training</w:t>
            </w:r>
          </w:p>
        </w:tc>
        <w:tc>
          <w:tcPr>
            <w:tcW w:w="1804" w:type="dxa"/>
            <w:tcBorders>
              <w:top w:val="single" w:sz="4" w:space="0" w:color="auto"/>
              <w:left w:val="single" w:sz="4" w:space="0" w:color="auto"/>
              <w:bottom w:val="single" w:sz="4" w:space="0" w:color="auto"/>
              <w:right w:val="single" w:sz="4" w:space="0" w:color="auto"/>
            </w:tcBorders>
          </w:tcPr>
          <w:p w14:paraId="7E0960C7" w14:textId="77777777" w:rsidR="002D6935" w:rsidRPr="002D6935" w:rsidRDefault="002D6935" w:rsidP="002D6935">
            <w:pPr>
              <w:jc w:val="left"/>
              <w:rPr>
                <w:sz w:val="20"/>
                <w:szCs w:val="20"/>
              </w:rPr>
            </w:pPr>
            <w:r w:rsidRPr="002D6935">
              <w:rPr>
                <w:sz w:val="20"/>
                <w:szCs w:val="20"/>
              </w:rPr>
              <w:t xml:space="preserve">Study tour, report, and recommendations </w:t>
            </w:r>
          </w:p>
        </w:tc>
        <w:tc>
          <w:tcPr>
            <w:tcW w:w="1072" w:type="dxa"/>
            <w:tcBorders>
              <w:top w:val="single" w:sz="4" w:space="0" w:color="auto"/>
              <w:left w:val="single" w:sz="4" w:space="0" w:color="auto"/>
              <w:bottom w:val="single" w:sz="4" w:space="0" w:color="auto"/>
              <w:right w:val="single" w:sz="4" w:space="0" w:color="auto"/>
            </w:tcBorders>
            <w:hideMark/>
          </w:tcPr>
          <w:p w14:paraId="48D29EA4" w14:textId="77777777" w:rsidR="002D6935" w:rsidRPr="002D6935" w:rsidRDefault="002D6935" w:rsidP="002D6935">
            <w:pPr>
              <w:jc w:val="right"/>
              <w:rPr>
                <w:sz w:val="20"/>
                <w:szCs w:val="20"/>
              </w:rPr>
            </w:pPr>
            <w:r w:rsidRPr="002D6935">
              <w:rPr>
                <w:sz w:val="20"/>
                <w:szCs w:val="20"/>
              </w:rPr>
              <w:t>35,000</w:t>
            </w:r>
          </w:p>
        </w:tc>
        <w:tc>
          <w:tcPr>
            <w:tcW w:w="2417" w:type="dxa"/>
            <w:tcBorders>
              <w:top w:val="single" w:sz="4" w:space="0" w:color="auto"/>
              <w:left w:val="single" w:sz="4" w:space="0" w:color="auto"/>
              <w:bottom w:val="single" w:sz="4" w:space="0" w:color="auto"/>
              <w:right w:val="single" w:sz="4" w:space="0" w:color="auto"/>
            </w:tcBorders>
          </w:tcPr>
          <w:p w14:paraId="531CC63B" w14:textId="77777777" w:rsidR="002D6935" w:rsidRPr="002D6935" w:rsidRDefault="002D6935" w:rsidP="002D6935">
            <w:pPr>
              <w:jc w:val="left"/>
              <w:rPr>
                <w:sz w:val="20"/>
                <w:szCs w:val="20"/>
              </w:rPr>
            </w:pPr>
            <w:r w:rsidRPr="002D6935">
              <w:rPr>
                <w:sz w:val="20"/>
                <w:szCs w:val="20"/>
              </w:rPr>
              <w:t>Bilateral discussions are in progress to confirm the venue for the study tour</w:t>
            </w:r>
          </w:p>
        </w:tc>
        <w:tc>
          <w:tcPr>
            <w:tcW w:w="1619" w:type="dxa"/>
            <w:tcBorders>
              <w:top w:val="single" w:sz="4" w:space="0" w:color="auto"/>
              <w:left w:val="single" w:sz="4" w:space="0" w:color="auto"/>
              <w:bottom w:val="single" w:sz="4" w:space="0" w:color="auto"/>
              <w:right w:val="single" w:sz="4" w:space="0" w:color="auto"/>
            </w:tcBorders>
          </w:tcPr>
          <w:p w14:paraId="11ED984F" w14:textId="77777777" w:rsidR="002D6935" w:rsidRPr="002D6935" w:rsidRDefault="002D6935" w:rsidP="002D6935">
            <w:pPr>
              <w:jc w:val="right"/>
              <w:rPr>
                <w:sz w:val="20"/>
                <w:szCs w:val="20"/>
              </w:rPr>
            </w:pPr>
            <w:r w:rsidRPr="002D6935">
              <w:rPr>
                <w:sz w:val="20"/>
                <w:szCs w:val="20"/>
              </w:rPr>
              <w:t>December 2024</w:t>
            </w:r>
          </w:p>
        </w:tc>
      </w:tr>
      <w:tr w:rsidR="002D6935" w:rsidRPr="002D6935" w14:paraId="3E2F5681" w14:textId="77777777" w:rsidTr="006510DC">
        <w:trPr>
          <w:trHeight w:val="179"/>
        </w:trPr>
        <w:tc>
          <w:tcPr>
            <w:tcW w:w="2447" w:type="dxa"/>
            <w:tcBorders>
              <w:top w:val="single" w:sz="4" w:space="0" w:color="auto"/>
              <w:left w:val="single" w:sz="4" w:space="0" w:color="auto"/>
              <w:bottom w:val="single" w:sz="4" w:space="0" w:color="auto"/>
              <w:right w:val="single" w:sz="4" w:space="0" w:color="auto"/>
            </w:tcBorders>
            <w:hideMark/>
          </w:tcPr>
          <w:p w14:paraId="7BA2D100" w14:textId="77777777" w:rsidR="002D6935" w:rsidRPr="002D6935" w:rsidRDefault="002D6935" w:rsidP="002D6935">
            <w:pPr>
              <w:jc w:val="left"/>
              <w:rPr>
                <w:bCs/>
                <w:sz w:val="20"/>
                <w:szCs w:val="20"/>
              </w:rPr>
            </w:pPr>
            <w:r w:rsidRPr="002D6935">
              <w:rPr>
                <w:sz w:val="20"/>
                <w:szCs w:val="20"/>
              </w:rPr>
              <w:t>Training/information sessions for importers, customs officers, utility agencies, building designers, building developers, and construction companies</w:t>
            </w:r>
          </w:p>
        </w:tc>
        <w:tc>
          <w:tcPr>
            <w:tcW w:w="1804" w:type="dxa"/>
            <w:tcBorders>
              <w:top w:val="single" w:sz="4" w:space="0" w:color="auto"/>
              <w:left w:val="single" w:sz="4" w:space="0" w:color="auto"/>
              <w:bottom w:val="single" w:sz="4" w:space="0" w:color="auto"/>
              <w:right w:val="single" w:sz="4" w:space="0" w:color="auto"/>
            </w:tcBorders>
          </w:tcPr>
          <w:p w14:paraId="3038E51D" w14:textId="77777777" w:rsidR="002D6935" w:rsidRPr="002D6935" w:rsidRDefault="002D6935" w:rsidP="002D6935">
            <w:pPr>
              <w:jc w:val="left"/>
              <w:rPr>
                <w:sz w:val="20"/>
                <w:szCs w:val="20"/>
              </w:rPr>
            </w:pPr>
            <w:r w:rsidRPr="002D6935">
              <w:rPr>
                <w:sz w:val="20"/>
                <w:szCs w:val="20"/>
              </w:rPr>
              <w:t>Five workshops/ information sessions for a total of 140 participants</w:t>
            </w:r>
          </w:p>
        </w:tc>
        <w:tc>
          <w:tcPr>
            <w:tcW w:w="1072" w:type="dxa"/>
            <w:tcBorders>
              <w:top w:val="single" w:sz="4" w:space="0" w:color="auto"/>
              <w:left w:val="single" w:sz="4" w:space="0" w:color="auto"/>
              <w:bottom w:val="single" w:sz="4" w:space="0" w:color="auto"/>
              <w:right w:val="single" w:sz="4" w:space="0" w:color="auto"/>
            </w:tcBorders>
            <w:hideMark/>
          </w:tcPr>
          <w:p w14:paraId="11BA439C" w14:textId="77777777" w:rsidR="002D6935" w:rsidRPr="002D6935" w:rsidRDefault="002D6935" w:rsidP="002D6935">
            <w:pPr>
              <w:jc w:val="right"/>
              <w:rPr>
                <w:sz w:val="20"/>
                <w:szCs w:val="20"/>
              </w:rPr>
            </w:pPr>
            <w:r w:rsidRPr="002D6935">
              <w:rPr>
                <w:sz w:val="20"/>
                <w:szCs w:val="20"/>
              </w:rPr>
              <w:t>13,000</w:t>
            </w:r>
          </w:p>
        </w:tc>
        <w:tc>
          <w:tcPr>
            <w:tcW w:w="2417" w:type="dxa"/>
            <w:tcBorders>
              <w:top w:val="single" w:sz="4" w:space="0" w:color="auto"/>
              <w:left w:val="single" w:sz="4" w:space="0" w:color="auto"/>
              <w:bottom w:val="single" w:sz="4" w:space="0" w:color="auto"/>
              <w:right w:val="single" w:sz="4" w:space="0" w:color="auto"/>
            </w:tcBorders>
          </w:tcPr>
          <w:p w14:paraId="31C06262" w14:textId="77777777" w:rsidR="002D6935" w:rsidRPr="002D6935" w:rsidRDefault="002D6935" w:rsidP="002D6935">
            <w:pPr>
              <w:jc w:val="left"/>
              <w:rPr>
                <w:sz w:val="20"/>
                <w:szCs w:val="20"/>
              </w:rPr>
            </w:pPr>
            <w:r w:rsidRPr="002D6935">
              <w:rPr>
                <w:sz w:val="20"/>
                <w:szCs w:val="20"/>
              </w:rPr>
              <w:t>The dates and venue for the training are being finalized</w:t>
            </w:r>
          </w:p>
        </w:tc>
        <w:tc>
          <w:tcPr>
            <w:tcW w:w="1619" w:type="dxa"/>
            <w:tcBorders>
              <w:top w:val="single" w:sz="4" w:space="0" w:color="auto"/>
              <w:left w:val="single" w:sz="4" w:space="0" w:color="auto"/>
              <w:bottom w:val="single" w:sz="4" w:space="0" w:color="auto"/>
              <w:right w:val="single" w:sz="4" w:space="0" w:color="auto"/>
            </w:tcBorders>
          </w:tcPr>
          <w:p w14:paraId="3C8B119C" w14:textId="77777777" w:rsidR="002D6935" w:rsidRPr="002D6935" w:rsidRDefault="002D6935" w:rsidP="002D6935">
            <w:pPr>
              <w:jc w:val="right"/>
              <w:rPr>
                <w:sz w:val="20"/>
                <w:szCs w:val="20"/>
              </w:rPr>
            </w:pPr>
            <w:r w:rsidRPr="002D6935">
              <w:rPr>
                <w:sz w:val="20"/>
                <w:szCs w:val="20"/>
              </w:rPr>
              <w:t>October 2024-January 2025</w:t>
            </w:r>
          </w:p>
        </w:tc>
      </w:tr>
      <w:tr w:rsidR="002D6935" w:rsidRPr="002D6935" w14:paraId="29C5A48D" w14:textId="77777777" w:rsidTr="006510DC">
        <w:tc>
          <w:tcPr>
            <w:tcW w:w="9359" w:type="dxa"/>
            <w:gridSpan w:val="5"/>
            <w:tcBorders>
              <w:top w:val="single" w:sz="4" w:space="0" w:color="auto"/>
              <w:left w:val="single" w:sz="4" w:space="0" w:color="auto"/>
              <w:bottom w:val="single" w:sz="4" w:space="0" w:color="auto"/>
              <w:right w:val="single" w:sz="4" w:space="0" w:color="auto"/>
            </w:tcBorders>
          </w:tcPr>
          <w:p w14:paraId="39165B9F" w14:textId="77777777" w:rsidR="002D6935" w:rsidRPr="002D6935" w:rsidRDefault="002D6935" w:rsidP="002D6935">
            <w:pPr>
              <w:jc w:val="left"/>
              <w:rPr>
                <w:b/>
                <w:sz w:val="20"/>
                <w:szCs w:val="20"/>
              </w:rPr>
            </w:pPr>
            <w:bookmarkStart w:id="6" w:name="_Hlk115084759"/>
            <w:r w:rsidRPr="002D6935">
              <w:rPr>
                <w:b/>
                <w:sz w:val="20"/>
                <w:szCs w:val="20"/>
              </w:rPr>
              <w:t>Outreach and impact assessment</w:t>
            </w:r>
          </w:p>
        </w:tc>
        <w:bookmarkEnd w:id="6"/>
      </w:tr>
      <w:tr w:rsidR="002D6935" w:rsidRPr="002D6935" w14:paraId="485CA1B4" w14:textId="77777777" w:rsidTr="006510DC">
        <w:trPr>
          <w:trHeight w:val="305"/>
        </w:trPr>
        <w:tc>
          <w:tcPr>
            <w:tcW w:w="2447" w:type="dxa"/>
            <w:tcBorders>
              <w:top w:val="single" w:sz="4" w:space="0" w:color="auto"/>
              <w:left w:val="single" w:sz="4" w:space="0" w:color="auto"/>
              <w:bottom w:val="single" w:sz="4" w:space="0" w:color="auto"/>
              <w:right w:val="single" w:sz="4" w:space="0" w:color="auto"/>
            </w:tcBorders>
            <w:hideMark/>
          </w:tcPr>
          <w:p w14:paraId="1E467B22" w14:textId="77777777" w:rsidR="002D6935" w:rsidRPr="002D6935" w:rsidRDefault="002D6935" w:rsidP="002D6935">
            <w:pPr>
              <w:jc w:val="left"/>
              <w:rPr>
                <w:bCs/>
                <w:sz w:val="20"/>
                <w:szCs w:val="20"/>
              </w:rPr>
            </w:pPr>
            <w:r w:rsidRPr="002D6935">
              <w:rPr>
                <w:sz w:val="20"/>
                <w:szCs w:val="20"/>
              </w:rPr>
              <w:t>Development and dissemination of outreach materials</w:t>
            </w:r>
          </w:p>
        </w:tc>
        <w:tc>
          <w:tcPr>
            <w:tcW w:w="1804" w:type="dxa"/>
            <w:tcBorders>
              <w:top w:val="single" w:sz="4" w:space="0" w:color="auto"/>
              <w:left w:val="single" w:sz="4" w:space="0" w:color="auto"/>
              <w:bottom w:val="single" w:sz="4" w:space="0" w:color="auto"/>
              <w:right w:val="single" w:sz="4" w:space="0" w:color="auto"/>
            </w:tcBorders>
          </w:tcPr>
          <w:p w14:paraId="10EE8CE3" w14:textId="77777777" w:rsidR="002D6935" w:rsidRPr="002D6935" w:rsidRDefault="002D6935" w:rsidP="002D6935">
            <w:pPr>
              <w:jc w:val="left"/>
              <w:rPr>
                <w:sz w:val="20"/>
                <w:szCs w:val="20"/>
              </w:rPr>
            </w:pPr>
            <w:r w:rsidRPr="002D6935">
              <w:rPr>
                <w:sz w:val="20"/>
                <w:szCs w:val="20"/>
              </w:rPr>
              <w:t>Five awareness videos and five infographics produced and disseminated</w:t>
            </w:r>
          </w:p>
        </w:tc>
        <w:tc>
          <w:tcPr>
            <w:tcW w:w="1072" w:type="dxa"/>
            <w:tcBorders>
              <w:top w:val="single" w:sz="4" w:space="0" w:color="auto"/>
              <w:left w:val="single" w:sz="4" w:space="0" w:color="auto"/>
              <w:bottom w:val="single" w:sz="4" w:space="0" w:color="auto"/>
              <w:right w:val="single" w:sz="4" w:space="0" w:color="auto"/>
            </w:tcBorders>
            <w:hideMark/>
          </w:tcPr>
          <w:p w14:paraId="2A9FA986" w14:textId="77777777" w:rsidR="002D6935" w:rsidRPr="002D6935" w:rsidRDefault="002D6935" w:rsidP="002D6935">
            <w:pPr>
              <w:jc w:val="right"/>
              <w:rPr>
                <w:sz w:val="20"/>
                <w:szCs w:val="20"/>
              </w:rPr>
            </w:pPr>
            <w:r w:rsidRPr="002D6935">
              <w:rPr>
                <w:sz w:val="20"/>
                <w:szCs w:val="20"/>
              </w:rPr>
              <w:t>37,000</w:t>
            </w:r>
          </w:p>
        </w:tc>
        <w:tc>
          <w:tcPr>
            <w:tcW w:w="2417" w:type="dxa"/>
            <w:tcBorders>
              <w:top w:val="single" w:sz="4" w:space="0" w:color="auto"/>
              <w:left w:val="single" w:sz="4" w:space="0" w:color="auto"/>
              <w:bottom w:val="single" w:sz="4" w:space="0" w:color="auto"/>
              <w:right w:val="single" w:sz="4" w:space="0" w:color="auto"/>
            </w:tcBorders>
          </w:tcPr>
          <w:p w14:paraId="4A3730FA" w14:textId="77777777" w:rsidR="002D6935" w:rsidRPr="002D6935" w:rsidRDefault="002D6935" w:rsidP="002D6935">
            <w:pPr>
              <w:jc w:val="left"/>
              <w:rPr>
                <w:sz w:val="20"/>
                <w:szCs w:val="20"/>
              </w:rPr>
            </w:pPr>
            <w:r w:rsidRPr="002D6935">
              <w:rPr>
                <w:sz w:val="20"/>
                <w:szCs w:val="20"/>
              </w:rPr>
              <w:t>A service company for the development and dissemination is being hired to produce videos and infographics</w:t>
            </w:r>
          </w:p>
        </w:tc>
        <w:tc>
          <w:tcPr>
            <w:tcW w:w="1619" w:type="dxa"/>
            <w:tcBorders>
              <w:top w:val="single" w:sz="4" w:space="0" w:color="auto"/>
              <w:left w:val="single" w:sz="4" w:space="0" w:color="auto"/>
              <w:bottom w:val="single" w:sz="4" w:space="0" w:color="auto"/>
              <w:right w:val="single" w:sz="4" w:space="0" w:color="auto"/>
            </w:tcBorders>
          </w:tcPr>
          <w:p w14:paraId="425EC29C" w14:textId="77777777" w:rsidR="002D6935" w:rsidRPr="002D6935" w:rsidRDefault="002D6935" w:rsidP="002D6935">
            <w:pPr>
              <w:jc w:val="right"/>
              <w:rPr>
                <w:sz w:val="20"/>
                <w:szCs w:val="20"/>
              </w:rPr>
            </w:pPr>
            <w:r w:rsidRPr="002D6935">
              <w:rPr>
                <w:sz w:val="20"/>
                <w:szCs w:val="20"/>
              </w:rPr>
              <w:t>November 2024-March 2025</w:t>
            </w:r>
          </w:p>
        </w:tc>
      </w:tr>
      <w:tr w:rsidR="002D6935" w:rsidRPr="002D6935" w14:paraId="0E41B246" w14:textId="77777777" w:rsidTr="006510DC">
        <w:tc>
          <w:tcPr>
            <w:tcW w:w="2447" w:type="dxa"/>
            <w:tcBorders>
              <w:top w:val="single" w:sz="4" w:space="0" w:color="auto"/>
              <w:left w:val="single" w:sz="4" w:space="0" w:color="auto"/>
              <w:bottom w:val="single" w:sz="4" w:space="0" w:color="auto"/>
              <w:right w:val="single" w:sz="4" w:space="0" w:color="auto"/>
            </w:tcBorders>
            <w:hideMark/>
          </w:tcPr>
          <w:p w14:paraId="24B457B9" w14:textId="77777777" w:rsidR="002D6935" w:rsidRPr="002D6935" w:rsidRDefault="002D6935" w:rsidP="001E5321">
            <w:pPr>
              <w:keepLines/>
              <w:rPr>
                <w:bCs/>
                <w:sz w:val="20"/>
                <w:szCs w:val="20"/>
              </w:rPr>
            </w:pPr>
            <w:r w:rsidRPr="002D6935">
              <w:rPr>
                <w:sz w:val="20"/>
                <w:szCs w:val="20"/>
              </w:rPr>
              <w:lastRenderedPageBreak/>
              <w:t>Consumer behaviour study</w:t>
            </w:r>
          </w:p>
        </w:tc>
        <w:tc>
          <w:tcPr>
            <w:tcW w:w="1804" w:type="dxa"/>
            <w:tcBorders>
              <w:top w:val="single" w:sz="4" w:space="0" w:color="auto"/>
              <w:left w:val="single" w:sz="4" w:space="0" w:color="auto"/>
              <w:bottom w:val="single" w:sz="4" w:space="0" w:color="auto"/>
              <w:right w:val="single" w:sz="4" w:space="0" w:color="auto"/>
            </w:tcBorders>
          </w:tcPr>
          <w:p w14:paraId="35962C2C" w14:textId="77777777" w:rsidR="002D6935" w:rsidRPr="002D6935" w:rsidRDefault="002D6935" w:rsidP="001E5321">
            <w:pPr>
              <w:keepLines/>
              <w:jc w:val="left"/>
              <w:rPr>
                <w:sz w:val="20"/>
                <w:szCs w:val="20"/>
              </w:rPr>
            </w:pPr>
            <w:r w:rsidRPr="002D6935">
              <w:rPr>
                <w:sz w:val="20"/>
                <w:szCs w:val="20"/>
              </w:rPr>
              <w:t>One consumer behaviour study developed and implemented</w:t>
            </w:r>
          </w:p>
        </w:tc>
        <w:tc>
          <w:tcPr>
            <w:tcW w:w="1072" w:type="dxa"/>
            <w:tcBorders>
              <w:top w:val="single" w:sz="4" w:space="0" w:color="auto"/>
              <w:left w:val="single" w:sz="4" w:space="0" w:color="auto"/>
              <w:bottom w:val="single" w:sz="4" w:space="0" w:color="auto"/>
              <w:right w:val="single" w:sz="4" w:space="0" w:color="auto"/>
            </w:tcBorders>
            <w:hideMark/>
          </w:tcPr>
          <w:p w14:paraId="5D297743" w14:textId="77777777" w:rsidR="002D6935" w:rsidRPr="002D6935" w:rsidRDefault="002D6935" w:rsidP="001E5321">
            <w:pPr>
              <w:keepLines/>
              <w:jc w:val="right"/>
              <w:rPr>
                <w:sz w:val="20"/>
                <w:szCs w:val="20"/>
              </w:rPr>
            </w:pPr>
            <w:r w:rsidRPr="002D6935">
              <w:rPr>
                <w:sz w:val="20"/>
                <w:szCs w:val="20"/>
              </w:rPr>
              <w:t>15,000</w:t>
            </w:r>
          </w:p>
        </w:tc>
        <w:tc>
          <w:tcPr>
            <w:tcW w:w="2417" w:type="dxa"/>
            <w:tcBorders>
              <w:top w:val="single" w:sz="4" w:space="0" w:color="auto"/>
              <w:left w:val="single" w:sz="4" w:space="0" w:color="auto"/>
              <w:bottom w:val="single" w:sz="4" w:space="0" w:color="auto"/>
              <w:right w:val="single" w:sz="4" w:space="0" w:color="auto"/>
            </w:tcBorders>
          </w:tcPr>
          <w:p w14:paraId="1AD13908" w14:textId="77777777" w:rsidR="002D6935" w:rsidRPr="002D6935" w:rsidDel="00105EE1" w:rsidRDefault="002D6935" w:rsidP="001E5321">
            <w:pPr>
              <w:keepLines/>
              <w:jc w:val="left"/>
              <w:rPr>
                <w:sz w:val="20"/>
                <w:szCs w:val="20"/>
              </w:rPr>
            </w:pPr>
            <w:r w:rsidRPr="002D6935">
              <w:rPr>
                <w:sz w:val="20"/>
                <w:szCs w:val="20"/>
              </w:rPr>
              <w:t>A service company for the consumer behaviour study is being hired to conduct the study</w:t>
            </w:r>
          </w:p>
        </w:tc>
        <w:tc>
          <w:tcPr>
            <w:tcW w:w="1619" w:type="dxa"/>
            <w:tcBorders>
              <w:top w:val="single" w:sz="4" w:space="0" w:color="auto"/>
              <w:left w:val="single" w:sz="4" w:space="0" w:color="auto"/>
              <w:bottom w:val="single" w:sz="4" w:space="0" w:color="auto"/>
              <w:right w:val="single" w:sz="4" w:space="0" w:color="auto"/>
            </w:tcBorders>
          </w:tcPr>
          <w:p w14:paraId="6785ACC3" w14:textId="77777777" w:rsidR="002D6935" w:rsidRPr="002D6935" w:rsidRDefault="002D6935" w:rsidP="001E5321">
            <w:pPr>
              <w:keepLines/>
              <w:jc w:val="right"/>
              <w:rPr>
                <w:sz w:val="20"/>
                <w:szCs w:val="20"/>
              </w:rPr>
            </w:pPr>
            <w:r w:rsidRPr="002D6935">
              <w:rPr>
                <w:sz w:val="20"/>
                <w:szCs w:val="20"/>
              </w:rPr>
              <w:t>January 2025-March 2025</w:t>
            </w:r>
          </w:p>
        </w:tc>
      </w:tr>
      <w:tr w:rsidR="002D6935" w:rsidRPr="002D6935" w14:paraId="32D6F8A7" w14:textId="77777777" w:rsidTr="006510DC">
        <w:tc>
          <w:tcPr>
            <w:tcW w:w="4251" w:type="dxa"/>
            <w:gridSpan w:val="2"/>
            <w:tcBorders>
              <w:top w:val="single" w:sz="4" w:space="0" w:color="auto"/>
              <w:left w:val="single" w:sz="4" w:space="0" w:color="auto"/>
              <w:bottom w:val="single" w:sz="4" w:space="0" w:color="auto"/>
              <w:right w:val="single" w:sz="4" w:space="0" w:color="auto"/>
            </w:tcBorders>
            <w:hideMark/>
          </w:tcPr>
          <w:p w14:paraId="0960DD75" w14:textId="77777777" w:rsidR="002D6935" w:rsidRPr="002D6935" w:rsidRDefault="002D6935" w:rsidP="002D6935">
            <w:pPr>
              <w:jc w:val="left"/>
              <w:rPr>
                <w:b/>
                <w:sz w:val="20"/>
                <w:szCs w:val="20"/>
              </w:rPr>
            </w:pPr>
            <w:r w:rsidRPr="002D6935">
              <w:rPr>
                <w:b/>
                <w:sz w:val="20"/>
                <w:szCs w:val="20"/>
              </w:rPr>
              <w:t>Total</w:t>
            </w:r>
          </w:p>
        </w:tc>
        <w:tc>
          <w:tcPr>
            <w:tcW w:w="1072" w:type="dxa"/>
            <w:tcBorders>
              <w:top w:val="single" w:sz="4" w:space="0" w:color="auto"/>
              <w:left w:val="single" w:sz="4" w:space="0" w:color="auto"/>
              <w:bottom w:val="single" w:sz="4" w:space="0" w:color="auto"/>
              <w:right w:val="single" w:sz="4" w:space="0" w:color="auto"/>
            </w:tcBorders>
            <w:hideMark/>
          </w:tcPr>
          <w:p w14:paraId="641C838E" w14:textId="77777777" w:rsidR="002D6935" w:rsidRPr="002D6935" w:rsidRDefault="002D6935" w:rsidP="002D6935">
            <w:pPr>
              <w:jc w:val="right"/>
              <w:rPr>
                <w:b/>
                <w:sz w:val="20"/>
                <w:szCs w:val="20"/>
              </w:rPr>
            </w:pPr>
            <w:r w:rsidRPr="002D6935">
              <w:rPr>
                <w:b/>
                <w:sz w:val="20"/>
                <w:szCs w:val="20"/>
              </w:rPr>
              <w:t>100,000</w:t>
            </w:r>
          </w:p>
        </w:tc>
        <w:tc>
          <w:tcPr>
            <w:tcW w:w="2417" w:type="dxa"/>
            <w:tcBorders>
              <w:top w:val="single" w:sz="4" w:space="0" w:color="auto"/>
              <w:left w:val="single" w:sz="4" w:space="0" w:color="auto"/>
              <w:bottom w:val="single" w:sz="4" w:space="0" w:color="auto"/>
              <w:right w:val="single" w:sz="4" w:space="0" w:color="auto"/>
            </w:tcBorders>
          </w:tcPr>
          <w:p w14:paraId="34EFC550" w14:textId="77777777" w:rsidR="002D6935" w:rsidRPr="002D6935" w:rsidRDefault="002D6935" w:rsidP="002D6935">
            <w:pPr>
              <w:jc w:val="right"/>
              <w:rPr>
                <w:b/>
                <w:sz w:val="20"/>
                <w:szCs w:val="20"/>
              </w:rPr>
            </w:pPr>
          </w:p>
        </w:tc>
        <w:tc>
          <w:tcPr>
            <w:tcW w:w="1619" w:type="dxa"/>
            <w:tcBorders>
              <w:top w:val="single" w:sz="4" w:space="0" w:color="auto"/>
              <w:left w:val="single" w:sz="4" w:space="0" w:color="auto"/>
              <w:bottom w:val="single" w:sz="4" w:space="0" w:color="auto"/>
              <w:right w:val="single" w:sz="4" w:space="0" w:color="auto"/>
            </w:tcBorders>
          </w:tcPr>
          <w:p w14:paraId="6D716906" w14:textId="77777777" w:rsidR="002D6935" w:rsidRPr="002D6935" w:rsidRDefault="002D6935" w:rsidP="002D6935">
            <w:pPr>
              <w:jc w:val="right"/>
              <w:rPr>
                <w:b/>
                <w:sz w:val="20"/>
                <w:szCs w:val="20"/>
              </w:rPr>
            </w:pPr>
          </w:p>
        </w:tc>
      </w:tr>
    </w:tbl>
    <w:p w14:paraId="7C0DE0AD" w14:textId="77777777" w:rsidR="002D6935" w:rsidRPr="002D6935" w:rsidRDefault="002D6935" w:rsidP="002D6935">
      <w:pPr>
        <w:keepNext/>
        <w:outlineLvl w:val="0"/>
        <w:rPr>
          <w:rFonts w:eastAsiaTheme="minorEastAsia"/>
          <w:b/>
          <w:lang w:eastAsia="zh-CN"/>
        </w:rPr>
      </w:pPr>
    </w:p>
    <w:p w14:paraId="3B714E06" w14:textId="77777777" w:rsidR="002D6935" w:rsidRPr="002D6935" w:rsidRDefault="002D6935" w:rsidP="002D6935">
      <w:pPr>
        <w:keepNext/>
        <w:spacing w:after="240"/>
        <w:outlineLvl w:val="0"/>
        <w:rPr>
          <w:rFonts w:eastAsiaTheme="minorEastAsia"/>
          <w:b/>
          <w:lang w:eastAsia="zh-CN"/>
        </w:rPr>
      </w:pPr>
      <w:r w:rsidRPr="002D6935">
        <w:rPr>
          <w:rFonts w:eastAsiaTheme="minorEastAsia"/>
          <w:b/>
          <w:lang w:eastAsia="zh-CN"/>
        </w:rPr>
        <w:t>Recommendation</w:t>
      </w:r>
    </w:p>
    <w:p w14:paraId="421407EE" w14:textId="2D70D6DA" w:rsidR="002D6935" w:rsidRDefault="002D6935" w:rsidP="002D6935">
      <w:pPr>
        <w:pStyle w:val="Heading1"/>
        <w:rPr>
          <w:rFonts w:eastAsiaTheme="minorEastAsia"/>
          <w:lang w:eastAsia="zh-CN"/>
        </w:rPr>
      </w:pPr>
      <w:r w:rsidRPr="002D6935">
        <w:rPr>
          <w:rFonts w:eastAsiaTheme="minorEastAsia"/>
          <w:lang w:eastAsia="zh-CN"/>
        </w:rPr>
        <w:t>The Executive Committee may wish to note the progress report on the project on additional activities for the introduction of alternatives to HCFCs with low- or zero-global-warming potential and on maintaining energy efficiency in the refrigeration servicing sector in Maldives, as submitted by UNEP and contained in document UNEP/OzL.Pro/ExCom/95/20.</w:t>
      </w:r>
    </w:p>
    <w:p w14:paraId="78A3A421" w14:textId="77777777" w:rsidR="00F81A98" w:rsidRPr="00F81A98" w:rsidRDefault="00F81A98" w:rsidP="00F81A98">
      <w:pPr>
        <w:rPr>
          <w:rFonts w:eastAsiaTheme="minorEastAsia"/>
          <w:lang w:eastAsia="zh-CN"/>
        </w:rPr>
      </w:pPr>
    </w:p>
    <w:p w14:paraId="5C0A8549" w14:textId="77777777" w:rsidR="00733751" w:rsidRDefault="00733751" w:rsidP="004E7F9C">
      <w:pPr>
        <w:sectPr w:rsidR="00733751"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5EBA8909" w14:textId="77777777" w:rsidR="00733751" w:rsidRPr="00733751" w:rsidRDefault="00733751" w:rsidP="00733751">
      <w:pPr>
        <w:spacing w:after="240"/>
        <w:jc w:val="center"/>
        <w:rPr>
          <w:rFonts w:eastAsiaTheme="minorEastAsia"/>
          <w:b/>
          <w:bCs/>
          <w:lang w:eastAsia="zh-CN"/>
        </w:rPr>
      </w:pPr>
      <w:r w:rsidRPr="00733751">
        <w:rPr>
          <w:rFonts w:eastAsiaTheme="minorEastAsia"/>
          <w:b/>
          <w:bCs/>
          <w:lang w:eastAsia="zh-CN"/>
        </w:rPr>
        <w:lastRenderedPageBreak/>
        <w:t>Annex I</w:t>
      </w:r>
    </w:p>
    <w:p w14:paraId="3527FB7B" w14:textId="77777777" w:rsidR="00733751" w:rsidRPr="00733751" w:rsidRDefault="00733751" w:rsidP="00733751">
      <w:pPr>
        <w:autoSpaceDE w:val="0"/>
        <w:autoSpaceDN w:val="0"/>
        <w:adjustRightInd w:val="0"/>
        <w:jc w:val="center"/>
        <w:rPr>
          <w:rFonts w:eastAsiaTheme="minorEastAsia"/>
          <w:b/>
          <w:bCs/>
          <w:lang w:eastAsia="zh-CN"/>
        </w:rPr>
      </w:pPr>
      <w:r w:rsidRPr="00733751">
        <w:rPr>
          <w:rFonts w:eastAsiaTheme="minorEastAsia"/>
          <w:b/>
          <w:bCs/>
          <w:lang w:eastAsia="zh-CN"/>
        </w:rPr>
        <w:t>TEXT TO BE INCLUDED IN THE</w:t>
      </w:r>
      <w:r w:rsidRPr="00733751">
        <w:rPr>
          <w:rFonts w:eastAsiaTheme="minorEastAsia"/>
          <w:lang w:eastAsia="zh-CN"/>
        </w:rPr>
        <w:t xml:space="preserve"> </w:t>
      </w:r>
      <w:r w:rsidRPr="00733751">
        <w:rPr>
          <w:rFonts w:eastAsiaTheme="minorEastAsia"/>
          <w:b/>
          <w:bCs/>
          <w:lang w:eastAsia="zh-CN"/>
        </w:rPr>
        <w:t>REVISED</w:t>
      </w:r>
      <w:r w:rsidRPr="00733751">
        <w:rPr>
          <w:rFonts w:eastAsiaTheme="minorEastAsia"/>
          <w:lang w:eastAsia="zh-CN"/>
        </w:rPr>
        <w:t xml:space="preserve"> </w:t>
      </w:r>
      <w:r w:rsidRPr="00733751">
        <w:rPr>
          <w:rFonts w:eastAsiaTheme="minorEastAsia"/>
          <w:b/>
          <w:bCs/>
          <w:lang w:eastAsia="zh-CN"/>
        </w:rPr>
        <w:t xml:space="preserve">UPDATED AGREEMENT BETWEEN THE </w:t>
      </w:r>
      <w:r w:rsidRPr="00733751">
        <w:rPr>
          <w:rFonts w:eastAsiaTheme="minorEastAsia"/>
          <w:b/>
          <w:bCs/>
          <w:lang w:val="en-US" w:eastAsia="zh-CN"/>
        </w:rPr>
        <w:t xml:space="preserve">ISLAMIC REPUBLIC OF AFGHANISTAN </w:t>
      </w:r>
      <w:r w:rsidRPr="00733751">
        <w:rPr>
          <w:rFonts w:eastAsiaTheme="minorEastAsia"/>
          <w:b/>
          <w:bCs/>
          <w:lang w:eastAsia="zh-CN"/>
        </w:rPr>
        <w:t>AND THE EXECUTIVE COMMITTEE OF THE MULTILATERAL FUND FOR THE REDUCTION IN CONSUMPTION OF HYDROCHLOROFLUOROCARBONS</w:t>
      </w:r>
    </w:p>
    <w:p w14:paraId="59E77606" w14:textId="77777777" w:rsidR="00733751" w:rsidRPr="00733751" w:rsidRDefault="00733751" w:rsidP="00733751">
      <w:pPr>
        <w:spacing w:after="360"/>
        <w:jc w:val="center"/>
        <w:rPr>
          <w:rFonts w:eastAsiaTheme="minorEastAsia"/>
          <w:lang w:eastAsia="zh-CN"/>
        </w:rPr>
      </w:pPr>
      <w:r w:rsidRPr="00733751">
        <w:rPr>
          <w:rFonts w:eastAsiaTheme="minorEastAsia"/>
          <w:lang w:eastAsia="zh-CN"/>
        </w:rPr>
        <w:t>(Relevant changes are in bold font for ease of reference)</w:t>
      </w:r>
    </w:p>
    <w:p w14:paraId="1FA7A3F1" w14:textId="77777777" w:rsidR="00733751" w:rsidRPr="00733751" w:rsidRDefault="00733751" w:rsidP="00733751">
      <w:pPr>
        <w:numPr>
          <w:ilvl w:val="0"/>
          <w:numId w:val="40"/>
        </w:numPr>
        <w:spacing w:after="240"/>
        <w:outlineLvl w:val="0"/>
      </w:pPr>
      <w:r w:rsidRPr="00733751">
        <w:t xml:space="preserve">This </w:t>
      </w:r>
      <w:r w:rsidRPr="00733751">
        <w:rPr>
          <w:b/>
          <w:bCs/>
        </w:rPr>
        <w:t>revised</w:t>
      </w:r>
      <w:r w:rsidRPr="00733751">
        <w:t xml:space="preserve"> updated Agreement supersedes the Agreement reached between the Islamic Republic of Afghanistan and the Executive Committee at the </w:t>
      </w:r>
      <w:r w:rsidRPr="00733751">
        <w:rPr>
          <w:b/>
          <w:bCs/>
        </w:rPr>
        <w:t>79</w:t>
      </w:r>
      <w:r w:rsidRPr="00733751">
        <w:rPr>
          <w:b/>
          <w:bCs/>
          <w:vertAlign w:val="superscript"/>
        </w:rPr>
        <w:t>th</w:t>
      </w:r>
      <w:r w:rsidRPr="00733751">
        <w:rPr>
          <w:b/>
          <w:bCs/>
        </w:rPr>
        <w:t xml:space="preserve"> meeting</w:t>
      </w:r>
      <w:r w:rsidRPr="00733751">
        <w:t xml:space="preserve"> of the Executive Committee.</w:t>
      </w:r>
    </w:p>
    <w:p w14:paraId="7D490D45" w14:textId="77777777" w:rsidR="00733751" w:rsidRPr="00733751" w:rsidRDefault="00733751" w:rsidP="00733751">
      <w:pPr>
        <w:keepNext/>
        <w:outlineLvl w:val="0"/>
        <w:rPr>
          <w:b/>
        </w:rPr>
      </w:pPr>
      <w:r w:rsidRPr="00733751">
        <w:rPr>
          <w:b/>
        </w:rPr>
        <w:t>APPENDIX 2-A: THE TARGETS, AND FUNDING</w:t>
      </w:r>
    </w:p>
    <w:tbl>
      <w:tblPr>
        <w:tblW w:w="5000" w:type="pct"/>
        <w:tblLayout w:type="fixed"/>
        <w:tblLook w:val="04A0" w:firstRow="1" w:lastRow="0" w:firstColumn="1" w:lastColumn="0" w:noHBand="0" w:noVBand="1"/>
      </w:tblPr>
      <w:tblGrid>
        <w:gridCol w:w="471"/>
        <w:gridCol w:w="1935"/>
        <w:gridCol w:w="655"/>
        <w:gridCol w:w="559"/>
        <w:gridCol w:w="531"/>
        <w:gridCol w:w="645"/>
        <w:gridCol w:w="477"/>
        <w:gridCol w:w="658"/>
        <w:gridCol w:w="656"/>
        <w:gridCol w:w="496"/>
        <w:gridCol w:w="567"/>
        <w:gridCol w:w="535"/>
        <w:gridCol w:w="492"/>
        <w:gridCol w:w="673"/>
      </w:tblGrid>
      <w:tr w:rsidR="00733751" w:rsidRPr="00733751" w14:paraId="7B56B146" w14:textId="77777777" w:rsidTr="0043252E">
        <w:trPr>
          <w:trHeight w:val="20"/>
        </w:trPr>
        <w:tc>
          <w:tcPr>
            <w:tcW w:w="2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68EFD29"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Row</w:t>
            </w:r>
          </w:p>
        </w:tc>
        <w:tc>
          <w:tcPr>
            <w:tcW w:w="103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692F9B7"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Particulars</w:t>
            </w:r>
          </w:p>
        </w:tc>
        <w:tc>
          <w:tcPr>
            <w:tcW w:w="35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F82CA02"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2011</w:t>
            </w:r>
          </w:p>
        </w:tc>
        <w:tc>
          <w:tcPr>
            <w:tcW w:w="29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78C711D"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2012</w:t>
            </w:r>
          </w:p>
        </w:tc>
        <w:tc>
          <w:tcPr>
            <w:tcW w:w="28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1DC3CD3"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2013</w:t>
            </w:r>
          </w:p>
        </w:tc>
        <w:tc>
          <w:tcPr>
            <w:tcW w:w="34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9165BF2"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2014</w:t>
            </w:r>
          </w:p>
        </w:tc>
        <w:tc>
          <w:tcPr>
            <w:tcW w:w="25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9D21EF7"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2015</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CFAD194"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2016</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D471186"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2017</w:t>
            </w:r>
          </w:p>
        </w:tc>
        <w:tc>
          <w:tcPr>
            <w:tcW w:w="26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A783E22"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2018-2019</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1F49350"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2020</w:t>
            </w:r>
          </w:p>
        </w:tc>
        <w:tc>
          <w:tcPr>
            <w:tcW w:w="28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C452A8"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2021-2024</w:t>
            </w:r>
          </w:p>
        </w:tc>
        <w:tc>
          <w:tcPr>
            <w:tcW w:w="26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CA3D4C4"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2025</w:t>
            </w:r>
          </w:p>
        </w:tc>
        <w:tc>
          <w:tcPr>
            <w:tcW w:w="36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42645F5" w14:textId="77777777" w:rsidR="00733751" w:rsidRPr="00733751" w:rsidRDefault="00733751" w:rsidP="00733751">
            <w:pPr>
              <w:jc w:val="center"/>
              <w:rPr>
                <w:color w:val="000000"/>
                <w:sz w:val="16"/>
                <w:szCs w:val="16"/>
                <w:lang w:val="en-US" w:eastAsia="zh-CN"/>
              </w:rPr>
            </w:pPr>
            <w:r w:rsidRPr="00733751">
              <w:rPr>
                <w:color w:val="000000"/>
                <w:sz w:val="16"/>
                <w:szCs w:val="16"/>
                <w:lang w:val="en-US" w:eastAsia="zh-CN"/>
              </w:rPr>
              <w:t>Total</w:t>
            </w:r>
          </w:p>
        </w:tc>
      </w:tr>
      <w:tr w:rsidR="00733751" w:rsidRPr="00733751" w14:paraId="6B8DE097"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7DBD293"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1.1</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572A2CE4"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Montreal Protocol</w:t>
            </w:r>
            <w:r w:rsidRPr="00733751">
              <w:rPr>
                <w:color w:val="000000"/>
                <w:sz w:val="16"/>
                <w:szCs w:val="16"/>
                <w:lang w:val="en-US" w:eastAsia="zh-CN"/>
              </w:rPr>
              <w:br/>
              <w:t>reduction schedule of</w:t>
            </w:r>
            <w:r w:rsidRPr="00733751">
              <w:rPr>
                <w:color w:val="000000"/>
                <w:sz w:val="16"/>
                <w:szCs w:val="16"/>
                <w:lang w:val="en-US" w:eastAsia="zh-CN"/>
              </w:rPr>
              <w:br/>
              <w:t>Annex C, Group I</w:t>
            </w:r>
            <w:r w:rsidRPr="00733751">
              <w:rPr>
                <w:color w:val="000000"/>
                <w:sz w:val="16"/>
                <w:szCs w:val="16"/>
                <w:lang w:val="en-US" w:eastAsia="zh-CN"/>
              </w:rPr>
              <w:br/>
              <w:t>substances (ODP tonnes)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0808F85B" w14:textId="77777777" w:rsidR="00733751" w:rsidRPr="00733751" w:rsidRDefault="00733751" w:rsidP="00733751">
            <w:pPr>
              <w:jc w:val="right"/>
              <w:rPr>
                <w:color w:val="000000"/>
                <w:sz w:val="16"/>
                <w:szCs w:val="16"/>
                <w:lang w:val="en-US" w:eastAsia="zh-CN"/>
              </w:rPr>
            </w:pP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5B2C6026" w14:textId="77777777" w:rsidR="00733751" w:rsidRPr="00733751" w:rsidRDefault="00733751" w:rsidP="00733751">
            <w:pPr>
              <w:jc w:val="right"/>
              <w:rPr>
                <w:color w:val="000000"/>
                <w:sz w:val="16"/>
                <w:szCs w:val="16"/>
                <w:lang w:val="en-US" w:eastAsia="zh-CN"/>
              </w:rPr>
            </w:pP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5071684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23.6</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9BA106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23.6</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6215455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51224B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416B7C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769605F7"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46FD46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15.34</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0134876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15.34</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573B4A5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7.67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8A0CAB9"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n/a</w:t>
            </w:r>
          </w:p>
        </w:tc>
      </w:tr>
      <w:tr w:rsidR="00733751" w:rsidRPr="00733751" w14:paraId="27EBF599"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EDE256"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1.2</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0D10E339"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Maximum allowable total consumption of Annex C, Group I substances (ODP tonnes)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5BE9BD59" w14:textId="77777777" w:rsidR="00733751" w:rsidRPr="00733751" w:rsidRDefault="00733751" w:rsidP="00733751">
            <w:pPr>
              <w:jc w:val="right"/>
              <w:rPr>
                <w:color w:val="000000"/>
                <w:sz w:val="16"/>
                <w:szCs w:val="16"/>
                <w:lang w:val="en-US" w:eastAsia="zh-CN"/>
              </w:rPr>
            </w:pP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3111EFA7" w14:textId="77777777" w:rsidR="00733751" w:rsidRPr="00733751" w:rsidRDefault="00733751" w:rsidP="00733751">
            <w:pPr>
              <w:jc w:val="right"/>
              <w:rPr>
                <w:color w:val="000000"/>
                <w:sz w:val="16"/>
                <w:szCs w:val="16"/>
                <w:lang w:val="en-US" w:eastAsia="zh-CN"/>
              </w:rPr>
            </w:pP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82397D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23.6</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885A39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23.6</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29E2D64B"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7E43B251"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61CBAAD"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17322C0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21.24</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ACFF6A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15.34</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1737983B"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15.34</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4AD7BE43"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7.67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1AAFE5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n/a</w:t>
            </w:r>
          </w:p>
        </w:tc>
      </w:tr>
      <w:tr w:rsidR="00733751" w:rsidRPr="00733751" w14:paraId="092ECBA2"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239A595"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2.1</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1892050C" w14:textId="77777777" w:rsidR="00733751" w:rsidRPr="00733751" w:rsidRDefault="00733751" w:rsidP="00733751">
            <w:pPr>
              <w:jc w:val="left"/>
              <w:rPr>
                <w:color w:val="000000"/>
                <w:sz w:val="16"/>
                <w:szCs w:val="16"/>
                <w:lang w:val="en-US" w:eastAsia="zh-CN"/>
              </w:rPr>
            </w:pPr>
            <w:r w:rsidRPr="00733751">
              <w:rPr>
                <w:b/>
                <w:bCs/>
                <w:color w:val="000000"/>
                <w:sz w:val="16"/>
                <w:szCs w:val="16"/>
                <w:lang w:val="en-US" w:eastAsia="zh-CN"/>
              </w:rPr>
              <w:t xml:space="preserve">Lead IA (UNIDO) </w:t>
            </w:r>
            <w:r w:rsidRPr="00733751">
              <w:rPr>
                <w:color w:val="000000"/>
                <w:sz w:val="16"/>
                <w:szCs w:val="16"/>
                <w:lang w:val="en-US" w:eastAsia="zh-CN"/>
              </w:rPr>
              <w:t>agreed funding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34D84E83"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6948D76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2A7D304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1FB2497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15BA52F9"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80DD906"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131,938</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64B885B"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83,000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0ABAE859"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3F705747"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56,729</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53D11A6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17EFCD6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5A86B71"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271,667</w:t>
            </w:r>
          </w:p>
        </w:tc>
      </w:tr>
      <w:tr w:rsidR="00733751" w:rsidRPr="00733751" w14:paraId="1004AF8F"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346C9CF"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2.2</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2DB900BD"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Support costs for Lead IA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2D5E13C6"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0D2966D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085B7D7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38E8B730"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2C8836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7166E860"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11,874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3EDADC7"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7,470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20306B5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C936782"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5,106</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3DF6E42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439C9F96"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AA32664"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24,450</w:t>
            </w:r>
          </w:p>
        </w:tc>
      </w:tr>
      <w:tr w:rsidR="00733751" w:rsidRPr="00733751" w14:paraId="4E5EF6F7"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ECFC3A3"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2.3</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23911105"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Cooperating IA (Germany) agreed funding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0F46A744"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37,062</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248B82E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7293E9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45317ED"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22C9963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A95BCBD"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D766DE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53644A6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498756C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6819698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31F1902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B34A9B3"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37,062</w:t>
            </w:r>
          </w:p>
        </w:tc>
      </w:tr>
      <w:tr w:rsidR="00733751" w:rsidRPr="00733751" w14:paraId="28E034C3"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3551C0"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2.4</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148DFB6F"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Support costs for Cooperating IAs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25F38C2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4,818</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0B543179"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37FAB41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7DCAF7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844A739"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CD00F9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4F41F67"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146587B0"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1613398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7A932B5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7AF36C84"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7970D2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4,818</w:t>
            </w:r>
          </w:p>
        </w:tc>
      </w:tr>
      <w:tr w:rsidR="00733751" w:rsidRPr="00733751" w14:paraId="71B82206"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54DB08"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2.5</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1E63929B" w14:textId="77777777" w:rsidR="00733751" w:rsidRPr="00733751" w:rsidRDefault="00733751" w:rsidP="00733751">
            <w:pPr>
              <w:jc w:val="left"/>
              <w:rPr>
                <w:color w:val="000000"/>
                <w:sz w:val="16"/>
                <w:szCs w:val="16"/>
                <w:lang w:val="en-US" w:eastAsia="zh-CN"/>
              </w:rPr>
            </w:pPr>
            <w:r w:rsidRPr="00733751">
              <w:rPr>
                <w:b/>
                <w:bCs/>
                <w:color w:val="000000"/>
                <w:sz w:val="16"/>
                <w:szCs w:val="16"/>
                <w:lang w:val="en-US" w:eastAsia="zh-CN"/>
              </w:rPr>
              <w:t>Cooperating IA (UNEP)</w:t>
            </w:r>
            <w:r w:rsidRPr="00733751">
              <w:rPr>
                <w:color w:val="000000"/>
                <w:sz w:val="16"/>
                <w:szCs w:val="16"/>
                <w:lang w:val="en-US" w:eastAsia="zh-CN"/>
              </w:rPr>
              <w:t xml:space="preserve"> agreed funding (US </w:t>
            </w:r>
            <w:proofErr w:type="gramStart"/>
            <w:r w:rsidRPr="00733751">
              <w:rPr>
                <w:color w:val="000000"/>
                <w:sz w:val="16"/>
                <w:szCs w:val="16"/>
                <w:lang w:val="en-US" w:eastAsia="zh-CN"/>
              </w:rPr>
              <w:t>$)*</w:t>
            </w:r>
            <w:proofErr w:type="gramEnd"/>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6CFC0FD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120,000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1CF8622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7FDB45A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1A0C8B7D"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118,000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6E4FF04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BC1EB00"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96127C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120,000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0F3EFF44"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ED3999C"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12,372</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16B8E19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4DB2671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029E161"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370,372</w:t>
            </w:r>
          </w:p>
        </w:tc>
      </w:tr>
      <w:tr w:rsidR="00733751" w:rsidRPr="00733751" w14:paraId="454948D2"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FFE2D93"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2.6</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152741BD"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Support costs for Cooperating IA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1E11A144"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15,600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25646A9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85B2317"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7B5DEE36"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15,340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D888B0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A4B27E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046628C"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15,600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773F4CF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527914E5"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1,608</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0A237B9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0E4A41DB"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1CD1FC9"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48,148</w:t>
            </w:r>
          </w:p>
        </w:tc>
      </w:tr>
      <w:tr w:rsidR="00733751" w:rsidRPr="00733751" w14:paraId="4D85C87C"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77B8239"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3.1</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483F87B1"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Total agreed funding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484579F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157,062</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2C653C2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42C1267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06EE7B74"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118,000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0602D627"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35DE54C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131,938</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D685D5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203,000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17D1D223"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67774208"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69,101</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652D2B6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10E63FD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C2B205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679,101</w:t>
            </w:r>
          </w:p>
        </w:tc>
      </w:tr>
      <w:tr w:rsidR="00733751" w:rsidRPr="00733751" w14:paraId="46AA11FA"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0690D26"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3.2</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792A24F2"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Total support costs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60D85651"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20,418</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66744BB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68AD4ED"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6717493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15,340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0360708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5CA2265"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11,874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6964260"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23,070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5D7D33D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273BA112"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6,714</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359EE5B7"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2BDF5D79"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311A314"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77,416</w:t>
            </w:r>
          </w:p>
        </w:tc>
      </w:tr>
      <w:tr w:rsidR="00733751" w:rsidRPr="00733751" w14:paraId="099F779A"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5808A40"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3.3</w:t>
            </w:r>
          </w:p>
        </w:tc>
        <w:tc>
          <w:tcPr>
            <w:tcW w:w="1035" w:type="pct"/>
            <w:tcBorders>
              <w:top w:val="nil"/>
              <w:left w:val="nil"/>
              <w:bottom w:val="single" w:sz="4" w:space="0" w:color="auto"/>
              <w:right w:val="single" w:sz="4" w:space="0" w:color="auto"/>
            </w:tcBorders>
            <w:shd w:val="clear" w:color="auto" w:fill="auto"/>
            <w:tcMar>
              <w:left w:w="57" w:type="dxa"/>
              <w:right w:w="57" w:type="dxa"/>
            </w:tcMar>
            <w:hideMark/>
          </w:tcPr>
          <w:p w14:paraId="2F447857"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Total agreed costs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70C9793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177,480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7C3B59F6"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0BF73AAA"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6924ED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133,340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5E69791"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A51883F"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143,812</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4E481F2"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226,070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7D5A0F6E"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030EEC2C"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75,815</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6E86F52D"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4A78AB19" w14:textId="77777777" w:rsidR="00733751" w:rsidRPr="00733751" w:rsidRDefault="00733751" w:rsidP="00733751">
            <w:pPr>
              <w:jc w:val="right"/>
              <w:rPr>
                <w:color w:val="000000"/>
                <w:sz w:val="16"/>
                <w:szCs w:val="16"/>
                <w:lang w:val="en-US" w:eastAsia="zh-CN"/>
              </w:rPr>
            </w:pPr>
            <w:r w:rsidRPr="00733751">
              <w:rPr>
                <w:color w:val="000000"/>
                <w:sz w:val="16"/>
                <w:szCs w:val="16"/>
                <w:lang w:val="en-US" w:eastAsia="zh-CN"/>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248B048" w14:textId="77777777" w:rsidR="00733751" w:rsidRPr="00733751" w:rsidRDefault="00733751" w:rsidP="00733751">
            <w:pPr>
              <w:jc w:val="right"/>
              <w:rPr>
                <w:b/>
                <w:bCs/>
                <w:color w:val="000000"/>
                <w:sz w:val="16"/>
                <w:szCs w:val="16"/>
                <w:lang w:val="en-US" w:eastAsia="zh-CN"/>
              </w:rPr>
            </w:pPr>
            <w:r w:rsidRPr="00733751">
              <w:rPr>
                <w:b/>
                <w:bCs/>
                <w:color w:val="000000"/>
                <w:sz w:val="16"/>
                <w:szCs w:val="16"/>
                <w:lang w:val="en-US" w:eastAsia="zh-CN"/>
              </w:rPr>
              <w:t>756,517</w:t>
            </w:r>
          </w:p>
        </w:tc>
      </w:tr>
      <w:tr w:rsidR="00733751" w:rsidRPr="00733751" w14:paraId="4768E208"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5BC0053"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4.1.1</w:t>
            </w:r>
          </w:p>
        </w:tc>
        <w:tc>
          <w:tcPr>
            <w:tcW w:w="4388"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58653E87"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Total phase-out of HCFC-22 agreed to be achieved under this Agreement (ODP tonnes)</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3F1C9ABC" w14:textId="77777777" w:rsidR="00733751" w:rsidRPr="00733751" w:rsidRDefault="00733751" w:rsidP="00733751">
            <w:pPr>
              <w:jc w:val="right"/>
              <w:rPr>
                <w:b/>
                <w:bCs/>
                <w:color w:val="000000"/>
                <w:sz w:val="16"/>
                <w:szCs w:val="16"/>
                <w:lang w:val="en-US" w:eastAsia="zh-CN"/>
              </w:rPr>
            </w:pPr>
            <w:r w:rsidRPr="00733751">
              <w:rPr>
                <w:color w:val="000000"/>
                <w:sz w:val="16"/>
                <w:szCs w:val="16"/>
                <w:lang w:val="en-US" w:eastAsia="zh-CN"/>
              </w:rPr>
              <w:t>8.26</w:t>
            </w:r>
          </w:p>
        </w:tc>
      </w:tr>
      <w:tr w:rsidR="00733751" w:rsidRPr="00733751" w14:paraId="6364CA6B"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DB42E8A"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4.1.2</w:t>
            </w:r>
          </w:p>
        </w:tc>
        <w:tc>
          <w:tcPr>
            <w:tcW w:w="4388"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246A319C"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Phase-out of HCFC-22 to be achieved through previously approved projects (ODP tonnes)</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18FE0078" w14:textId="77777777" w:rsidR="00733751" w:rsidRPr="00733751" w:rsidRDefault="00733751" w:rsidP="00733751">
            <w:pPr>
              <w:jc w:val="right"/>
              <w:rPr>
                <w:b/>
                <w:bCs/>
                <w:color w:val="000000"/>
                <w:sz w:val="16"/>
                <w:szCs w:val="16"/>
                <w:lang w:val="en-US" w:eastAsia="zh-CN"/>
              </w:rPr>
            </w:pPr>
            <w:r w:rsidRPr="00733751">
              <w:rPr>
                <w:color w:val="000000"/>
                <w:sz w:val="16"/>
                <w:szCs w:val="16"/>
                <w:lang w:val="en-US" w:eastAsia="zh-CN"/>
              </w:rPr>
              <w:t>n/a</w:t>
            </w:r>
          </w:p>
        </w:tc>
      </w:tr>
      <w:tr w:rsidR="00733751" w:rsidRPr="00733751" w14:paraId="568A8C13" w14:textId="77777777" w:rsidTr="0043252E">
        <w:trPr>
          <w:trHeight w:val="20"/>
        </w:trPr>
        <w:tc>
          <w:tcPr>
            <w:tcW w:w="25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CB64802"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4.1.3</w:t>
            </w:r>
          </w:p>
        </w:tc>
        <w:tc>
          <w:tcPr>
            <w:tcW w:w="4388"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67F54619" w14:textId="77777777" w:rsidR="00733751" w:rsidRPr="00733751" w:rsidRDefault="00733751" w:rsidP="00733751">
            <w:pPr>
              <w:jc w:val="left"/>
              <w:rPr>
                <w:color w:val="000000"/>
                <w:sz w:val="16"/>
                <w:szCs w:val="16"/>
                <w:lang w:val="en-US" w:eastAsia="zh-CN"/>
              </w:rPr>
            </w:pPr>
            <w:r w:rsidRPr="00733751">
              <w:rPr>
                <w:color w:val="000000"/>
                <w:sz w:val="16"/>
                <w:szCs w:val="16"/>
                <w:lang w:val="en-US" w:eastAsia="zh-CN"/>
              </w:rPr>
              <w:t>Remaining eligible consumption of HCFC-22 (ODP tonnes)</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478F10F6" w14:textId="77777777" w:rsidR="00733751" w:rsidRPr="00733751" w:rsidRDefault="00733751" w:rsidP="00733751">
            <w:pPr>
              <w:jc w:val="right"/>
              <w:rPr>
                <w:b/>
                <w:bCs/>
                <w:color w:val="000000"/>
                <w:sz w:val="16"/>
                <w:szCs w:val="16"/>
                <w:lang w:val="en-US" w:eastAsia="zh-CN"/>
              </w:rPr>
            </w:pPr>
            <w:r w:rsidRPr="00733751">
              <w:rPr>
                <w:color w:val="000000"/>
                <w:sz w:val="16"/>
                <w:szCs w:val="16"/>
                <w:lang w:val="en-US" w:eastAsia="zh-CN"/>
              </w:rPr>
              <w:t>15.34</w:t>
            </w:r>
          </w:p>
        </w:tc>
      </w:tr>
    </w:tbl>
    <w:p w14:paraId="1C2CA586" w14:textId="77777777" w:rsidR="00733751" w:rsidRPr="00733751" w:rsidRDefault="00733751" w:rsidP="00733751">
      <w:pPr>
        <w:rPr>
          <w:rFonts w:eastAsiaTheme="minorEastAsia"/>
          <w:b/>
          <w:bCs/>
          <w:sz w:val="15"/>
          <w:szCs w:val="15"/>
          <w:lang w:eastAsia="zh-CN"/>
        </w:rPr>
      </w:pPr>
      <w:r w:rsidRPr="00733751">
        <w:rPr>
          <w:b/>
          <w:bCs/>
          <w:color w:val="000000"/>
          <w:sz w:val="15"/>
          <w:szCs w:val="15"/>
          <w:lang w:val="en-US" w:eastAsia="zh-CN"/>
        </w:rPr>
        <w:t>* UNEP stopped being the lead implementing agency at the 94</w:t>
      </w:r>
      <w:r w:rsidRPr="00733751">
        <w:rPr>
          <w:b/>
          <w:bCs/>
          <w:color w:val="000000"/>
          <w:sz w:val="15"/>
          <w:szCs w:val="15"/>
          <w:vertAlign w:val="superscript"/>
          <w:lang w:val="en-US" w:eastAsia="zh-CN"/>
        </w:rPr>
        <w:t>th</w:t>
      </w:r>
      <w:r w:rsidRPr="00733751">
        <w:rPr>
          <w:b/>
          <w:bCs/>
          <w:color w:val="000000"/>
          <w:sz w:val="15"/>
          <w:szCs w:val="15"/>
          <w:lang w:val="en-US" w:eastAsia="zh-CN"/>
        </w:rPr>
        <w:t xml:space="preserve"> meeting and </w:t>
      </w:r>
      <w:r w:rsidRPr="00733751">
        <w:rPr>
          <w:rFonts w:eastAsiaTheme="minorEastAsia"/>
          <w:b/>
          <w:bCs/>
          <w:sz w:val="15"/>
          <w:szCs w:val="15"/>
          <w:lang w:eastAsia="zh-CN"/>
        </w:rPr>
        <w:t>returned US $28,453 plus support costs of US $4,734 from the fourth tranche (AFG/PHA/85/TAS/27).</w:t>
      </w:r>
    </w:p>
    <w:p w14:paraId="77D6B961" w14:textId="77777777" w:rsidR="00733751" w:rsidRPr="00733751" w:rsidRDefault="00733751" w:rsidP="00733751">
      <w:pPr>
        <w:widowControl w:val="0"/>
        <w:autoSpaceDE w:val="0"/>
        <w:autoSpaceDN w:val="0"/>
        <w:spacing w:before="24" w:after="1"/>
        <w:jc w:val="left"/>
        <w:rPr>
          <w:b/>
          <w:sz w:val="20"/>
          <w:lang w:val="en-US"/>
        </w:rPr>
      </w:pPr>
    </w:p>
    <w:p w14:paraId="0392A4D2" w14:textId="77777777" w:rsidR="00733751" w:rsidRPr="00733751" w:rsidRDefault="00733751" w:rsidP="00733751">
      <w:pPr>
        <w:jc w:val="left"/>
        <w:rPr>
          <w:rFonts w:eastAsiaTheme="minorEastAsia"/>
          <w:b/>
          <w:sz w:val="14"/>
          <w:szCs w:val="14"/>
          <w:lang w:eastAsia="zh-CN"/>
        </w:rPr>
        <w:sectPr w:rsidR="00733751" w:rsidRPr="00733751" w:rsidSect="00733751">
          <w:headerReference w:type="even" r:id="rId21"/>
          <w:headerReference w:type="default" r:id="rId22"/>
          <w:footerReference w:type="even" r:id="rId23"/>
          <w:footerReference w:type="default" r:id="rId24"/>
          <w:footerReference w:type="first" r:id="rId25"/>
          <w:pgSz w:w="12240" w:h="15840" w:code="1"/>
          <w:pgMar w:top="720" w:right="1440" w:bottom="864" w:left="1440" w:header="720" w:footer="475" w:gutter="0"/>
          <w:pgNumType w:start="1"/>
          <w:cols w:space="720"/>
          <w:docGrid w:linePitch="299"/>
        </w:sectPr>
      </w:pPr>
    </w:p>
    <w:p w14:paraId="2BC9B307" w14:textId="6974668C" w:rsidR="00733751" w:rsidRPr="00733751" w:rsidRDefault="00733751" w:rsidP="00733751">
      <w:pPr>
        <w:spacing w:after="240"/>
        <w:jc w:val="center"/>
        <w:rPr>
          <w:rFonts w:eastAsiaTheme="minorEastAsia"/>
          <w:b/>
          <w:bCs/>
          <w:lang w:eastAsia="zh-CN"/>
        </w:rPr>
      </w:pPr>
      <w:r w:rsidRPr="00733751">
        <w:rPr>
          <w:rFonts w:eastAsiaTheme="minorEastAsia"/>
          <w:b/>
          <w:bCs/>
          <w:lang w:eastAsia="zh-CN"/>
        </w:rPr>
        <w:lastRenderedPageBreak/>
        <w:t>Annex II</w:t>
      </w:r>
    </w:p>
    <w:p w14:paraId="73E5E9DC" w14:textId="77777777" w:rsidR="00733751" w:rsidRPr="00733751" w:rsidRDefault="00733751" w:rsidP="00733751">
      <w:pPr>
        <w:autoSpaceDE w:val="0"/>
        <w:autoSpaceDN w:val="0"/>
        <w:adjustRightInd w:val="0"/>
        <w:jc w:val="center"/>
        <w:rPr>
          <w:rFonts w:eastAsiaTheme="minorEastAsia"/>
          <w:b/>
          <w:bCs/>
          <w:lang w:eastAsia="zh-CN"/>
        </w:rPr>
      </w:pPr>
      <w:r w:rsidRPr="00733751">
        <w:rPr>
          <w:rFonts w:eastAsiaTheme="minorEastAsia"/>
          <w:b/>
          <w:bCs/>
          <w:lang w:eastAsia="zh-CN"/>
        </w:rPr>
        <w:t>TEXT TO BE INCLUDED IN THE</w:t>
      </w:r>
      <w:r w:rsidRPr="00733751">
        <w:rPr>
          <w:rFonts w:eastAsiaTheme="minorEastAsia"/>
          <w:lang w:eastAsia="zh-CN"/>
        </w:rPr>
        <w:t xml:space="preserve"> </w:t>
      </w:r>
      <w:r w:rsidRPr="00733751">
        <w:rPr>
          <w:rFonts w:eastAsiaTheme="minorEastAsia"/>
          <w:b/>
          <w:bCs/>
          <w:lang w:eastAsia="zh-CN"/>
        </w:rPr>
        <w:t xml:space="preserve">UPDATED AGREEMENT BETWEEN THE </w:t>
      </w:r>
      <w:r w:rsidRPr="00733751">
        <w:rPr>
          <w:rFonts w:eastAsiaTheme="minorEastAsia"/>
          <w:b/>
          <w:bCs/>
          <w:lang w:val="en-US" w:eastAsia="zh-CN"/>
        </w:rPr>
        <w:t xml:space="preserve">ISLAMIC REPUBLIC OF AFGHANISTAN </w:t>
      </w:r>
      <w:r w:rsidRPr="00733751">
        <w:rPr>
          <w:rFonts w:eastAsiaTheme="minorEastAsia"/>
          <w:b/>
          <w:bCs/>
          <w:lang w:eastAsia="zh-CN"/>
        </w:rPr>
        <w:t>AND THE EXECUTIVE COMMITTEE OF THE MULTILATERAL FUND FOR THE REDUCTION IN CONSUMPTION OF HYDROCHLOROFLUOROCARBONS IN ACCORDANCE WITH STAGE II OF THE HCFC PHASE-OUT MANAGEMENT PLAN</w:t>
      </w:r>
    </w:p>
    <w:p w14:paraId="5649805A" w14:textId="77777777" w:rsidR="00733751" w:rsidRPr="00733751" w:rsidRDefault="00733751" w:rsidP="00733751">
      <w:pPr>
        <w:spacing w:after="240"/>
        <w:jc w:val="center"/>
        <w:rPr>
          <w:rFonts w:eastAsiaTheme="minorEastAsia"/>
          <w:lang w:eastAsia="zh-CN"/>
        </w:rPr>
      </w:pPr>
      <w:r w:rsidRPr="00733751">
        <w:rPr>
          <w:rFonts w:eastAsiaTheme="minorEastAsia"/>
          <w:lang w:eastAsia="zh-CN"/>
        </w:rPr>
        <w:t>(Relevant changes are in bold font for ease of reference)</w:t>
      </w:r>
    </w:p>
    <w:p w14:paraId="5CCDD808" w14:textId="77777777" w:rsidR="00733751" w:rsidRPr="00733751" w:rsidRDefault="00733751" w:rsidP="00733751">
      <w:pPr>
        <w:pStyle w:val="Heading1"/>
        <w:numPr>
          <w:ilvl w:val="0"/>
          <w:numId w:val="41"/>
        </w:numPr>
        <w:rPr>
          <w:b/>
          <w:bCs/>
        </w:rPr>
      </w:pPr>
      <w:r w:rsidRPr="00733751">
        <w:rPr>
          <w:b/>
          <w:bCs/>
        </w:rPr>
        <w:t>This updated Agreement supersedes the Agreement reached between the Islamic Republic of Afghanistan and the Executive Committee at the 85</w:t>
      </w:r>
      <w:r w:rsidRPr="00733751">
        <w:rPr>
          <w:b/>
          <w:bCs/>
          <w:vertAlign w:val="superscript"/>
        </w:rPr>
        <w:t>th</w:t>
      </w:r>
      <w:r w:rsidRPr="00733751">
        <w:rPr>
          <w:b/>
          <w:bCs/>
        </w:rPr>
        <w:t xml:space="preserve"> meeting of the Executive Committee.</w:t>
      </w:r>
    </w:p>
    <w:p w14:paraId="5FE594DA" w14:textId="77777777" w:rsidR="00733751" w:rsidRPr="00733751" w:rsidRDefault="00733751" w:rsidP="00733751">
      <w:pPr>
        <w:keepNext/>
        <w:outlineLvl w:val="0"/>
      </w:pPr>
      <w:r w:rsidRPr="00733751">
        <w:rPr>
          <w:b/>
        </w:rPr>
        <w:t>APPENDIX 2-A: THE TARGETS, AND FUNDING</w:t>
      </w:r>
    </w:p>
    <w:tbl>
      <w:tblPr>
        <w:tblW w:w="5000" w:type="pct"/>
        <w:tblLook w:val="04A0" w:firstRow="1" w:lastRow="0" w:firstColumn="1" w:lastColumn="0" w:noHBand="0" w:noVBand="1"/>
      </w:tblPr>
      <w:tblGrid>
        <w:gridCol w:w="562"/>
        <w:gridCol w:w="3827"/>
        <w:gridCol w:w="827"/>
        <w:gridCol w:w="827"/>
        <w:gridCol w:w="827"/>
        <w:gridCol w:w="827"/>
        <w:gridCol w:w="804"/>
        <w:gridCol w:w="849"/>
      </w:tblGrid>
      <w:tr w:rsidR="00733751" w:rsidRPr="00733751" w14:paraId="78758B0E" w14:textId="77777777" w:rsidTr="0043252E">
        <w:trPr>
          <w:trHeight w:val="98"/>
          <w:tblHeader/>
        </w:trPr>
        <w:tc>
          <w:tcPr>
            <w:tcW w:w="3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58C6942"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Row</w:t>
            </w:r>
          </w:p>
        </w:tc>
        <w:tc>
          <w:tcPr>
            <w:tcW w:w="20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6AEB854"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Particulars</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7E266ED"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2020</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393680B"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2021-2024</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90B2E96"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2025</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D06F9FE"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2026</w:t>
            </w:r>
          </w:p>
        </w:tc>
        <w:tc>
          <w:tcPr>
            <w:tcW w:w="43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FB18CBF"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2027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9713E73" w14:textId="77777777" w:rsidR="00733751" w:rsidRPr="00733751" w:rsidRDefault="00733751" w:rsidP="00733751">
            <w:pPr>
              <w:keepNext/>
              <w:keepLines/>
              <w:jc w:val="center"/>
              <w:rPr>
                <w:rFonts w:eastAsiaTheme="minorEastAsia"/>
                <w:b/>
                <w:bCs/>
                <w:color w:val="000000"/>
                <w:sz w:val="18"/>
                <w:szCs w:val="18"/>
                <w:lang w:eastAsia="en-CA"/>
              </w:rPr>
            </w:pPr>
            <w:r w:rsidRPr="00733751">
              <w:rPr>
                <w:rFonts w:eastAsiaTheme="minorEastAsia"/>
                <w:b/>
                <w:bCs/>
                <w:color w:val="000000"/>
                <w:sz w:val="18"/>
                <w:szCs w:val="18"/>
                <w:lang w:eastAsia="en-CA"/>
              </w:rPr>
              <w:t>Total</w:t>
            </w:r>
          </w:p>
        </w:tc>
      </w:tr>
      <w:tr w:rsidR="00733751" w:rsidRPr="00733751" w14:paraId="3E8B48AF" w14:textId="77777777" w:rsidTr="0043252E">
        <w:trPr>
          <w:trHeight w:val="40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0648AA7" w14:textId="77777777" w:rsidR="00733751" w:rsidRPr="00733751" w:rsidRDefault="00733751" w:rsidP="00733751">
            <w:pPr>
              <w:keepNext/>
              <w:keepLines/>
              <w:jc w:val="left"/>
              <w:rPr>
                <w:rFonts w:eastAsiaTheme="minorEastAsia"/>
                <w:color w:val="000000"/>
                <w:sz w:val="18"/>
                <w:szCs w:val="18"/>
                <w:lang w:eastAsia="en-CA"/>
              </w:rPr>
            </w:pPr>
            <w:r w:rsidRPr="00733751">
              <w:rPr>
                <w:rFonts w:eastAsiaTheme="minorEastAsia"/>
                <w:color w:val="000000"/>
                <w:sz w:val="18"/>
                <w:szCs w:val="18"/>
                <w:lang w:eastAsia="en-CA"/>
              </w:rPr>
              <w:t>1.1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3C27F82B" w14:textId="77777777" w:rsidR="00733751" w:rsidRPr="00733751" w:rsidRDefault="00733751" w:rsidP="00733751">
            <w:pPr>
              <w:keepNext/>
              <w:keepLines/>
              <w:jc w:val="left"/>
              <w:rPr>
                <w:rFonts w:eastAsiaTheme="minorEastAsia"/>
                <w:color w:val="000000"/>
                <w:sz w:val="18"/>
                <w:szCs w:val="18"/>
                <w:lang w:eastAsia="en-CA"/>
              </w:rPr>
            </w:pPr>
            <w:r w:rsidRPr="00733751">
              <w:rPr>
                <w:rFonts w:eastAsiaTheme="minorEastAsia"/>
                <w:color w:val="000000"/>
                <w:sz w:val="18"/>
                <w:szCs w:val="18"/>
                <w:lang w:eastAsia="en-CA"/>
              </w:rPr>
              <w:t>Montreal Protocol reduction schedule of Annex C, Group I substances (ODP tonnes)</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46858BE" w14:textId="77777777" w:rsidR="00733751" w:rsidRPr="00733751" w:rsidRDefault="00733751" w:rsidP="00733751">
            <w:pPr>
              <w:keepNext/>
              <w:keepLines/>
              <w:jc w:val="right"/>
              <w:rPr>
                <w:rFonts w:eastAsiaTheme="minorEastAsia"/>
                <w:color w:val="000000"/>
                <w:sz w:val="18"/>
                <w:szCs w:val="18"/>
                <w:lang w:eastAsia="en-CA"/>
              </w:rPr>
            </w:pPr>
            <w:r w:rsidRPr="00733751">
              <w:rPr>
                <w:rFonts w:eastAsiaTheme="minorEastAsia"/>
                <w:color w:val="000000"/>
                <w:sz w:val="18"/>
                <w:szCs w:val="18"/>
                <w:lang w:eastAsia="en-CA"/>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2216A09" w14:textId="77777777" w:rsidR="00733751" w:rsidRPr="00733751" w:rsidRDefault="00733751" w:rsidP="00733751">
            <w:pPr>
              <w:keepNext/>
              <w:keepLines/>
              <w:jc w:val="right"/>
              <w:rPr>
                <w:rFonts w:eastAsiaTheme="minorEastAsia"/>
                <w:color w:val="000000"/>
                <w:sz w:val="18"/>
                <w:szCs w:val="18"/>
                <w:lang w:eastAsia="en-CA"/>
              </w:rPr>
            </w:pPr>
            <w:r w:rsidRPr="00733751">
              <w:rPr>
                <w:rFonts w:eastAsiaTheme="minorEastAsia"/>
                <w:color w:val="000000"/>
                <w:sz w:val="18"/>
                <w:szCs w:val="18"/>
                <w:lang w:eastAsia="en-CA"/>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6ED9C29" w14:textId="77777777" w:rsidR="00733751" w:rsidRPr="00733751" w:rsidRDefault="00733751" w:rsidP="00733751">
            <w:pPr>
              <w:keepNext/>
              <w:keepLines/>
              <w:jc w:val="right"/>
              <w:rPr>
                <w:rFonts w:eastAsiaTheme="minorEastAsia"/>
                <w:color w:val="000000"/>
                <w:sz w:val="18"/>
                <w:szCs w:val="18"/>
                <w:lang w:eastAsia="en-CA"/>
              </w:rPr>
            </w:pPr>
            <w:r w:rsidRPr="00733751">
              <w:rPr>
                <w:rFonts w:eastAsiaTheme="minorEastAsia"/>
                <w:color w:val="000000"/>
                <w:sz w:val="18"/>
                <w:szCs w:val="18"/>
                <w:lang w:eastAsia="en-CA"/>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48C8FEA" w14:textId="77777777" w:rsidR="00733751" w:rsidRPr="00733751" w:rsidRDefault="00733751" w:rsidP="00733751">
            <w:pPr>
              <w:keepNext/>
              <w:keepLines/>
              <w:jc w:val="right"/>
              <w:rPr>
                <w:rFonts w:eastAsiaTheme="minorEastAsia"/>
                <w:color w:val="000000"/>
                <w:sz w:val="18"/>
                <w:szCs w:val="18"/>
                <w:lang w:eastAsia="en-CA"/>
              </w:rPr>
            </w:pPr>
            <w:r w:rsidRPr="00733751">
              <w:rPr>
                <w:rFonts w:eastAsiaTheme="minorEastAsia"/>
                <w:color w:val="000000"/>
                <w:sz w:val="18"/>
                <w:szCs w:val="18"/>
                <w:lang w:eastAsia="en-CA"/>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1F79AE45" w14:textId="77777777" w:rsidR="00733751" w:rsidRPr="00733751" w:rsidRDefault="00733751" w:rsidP="00733751">
            <w:pPr>
              <w:keepNext/>
              <w:keepLines/>
              <w:jc w:val="right"/>
              <w:rPr>
                <w:rFonts w:eastAsiaTheme="minorEastAsia"/>
                <w:color w:val="000000"/>
                <w:sz w:val="18"/>
                <w:szCs w:val="18"/>
                <w:lang w:eastAsia="en-CA"/>
              </w:rPr>
            </w:pPr>
            <w:r w:rsidRPr="00733751">
              <w:rPr>
                <w:rFonts w:eastAsiaTheme="minorEastAsia"/>
                <w:color w:val="000000"/>
                <w:sz w:val="18"/>
                <w:szCs w:val="18"/>
                <w:lang w:eastAsia="en-CA"/>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A1F51A1" w14:textId="77777777" w:rsidR="00733751" w:rsidRPr="00733751" w:rsidRDefault="00733751" w:rsidP="00733751">
            <w:pPr>
              <w:keepNext/>
              <w:keepLines/>
              <w:jc w:val="right"/>
              <w:rPr>
                <w:rFonts w:eastAsiaTheme="minorEastAsia"/>
                <w:color w:val="000000"/>
                <w:sz w:val="18"/>
                <w:szCs w:val="18"/>
                <w:lang w:eastAsia="en-CA"/>
              </w:rPr>
            </w:pPr>
            <w:r w:rsidRPr="00733751">
              <w:rPr>
                <w:rFonts w:eastAsiaTheme="minorEastAsia"/>
                <w:color w:val="000000"/>
                <w:sz w:val="18"/>
                <w:szCs w:val="18"/>
                <w:lang w:eastAsia="en-CA"/>
              </w:rPr>
              <w:t>n/a</w:t>
            </w:r>
          </w:p>
        </w:tc>
      </w:tr>
      <w:tr w:rsidR="00733751" w:rsidRPr="00733751" w14:paraId="1C19F6F0" w14:textId="77777777" w:rsidTr="0043252E">
        <w:trPr>
          <w:trHeight w:val="40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0702816"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1.2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9BE848B"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Maximum allowable total consumption of Annex C, Group I substances (ODP tonnes)</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CEFBD4F"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43E6BD3"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9BB3541"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DF6A98B"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AD33CC6"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04CF3467"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n/a</w:t>
            </w:r>
          </w:p>
        </w:tc>
      </w:tr>
      <w:tr w:rsidR="00733751" w:rsidRPr="00733751" w14:paraId="4207CC23" w14:textId="77777777" w:rsidTr="0043252E">
        <w:trPr>
          <w:trHeight w:val="11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B230C69"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2.1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7A9FECF6"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b/>
                <w:bCs/>
                <w:color w:val="000000"/>
                <w:sz w:val="18"/>
                <w:szCs w:val="18"/>
                <w:lang w:eastAsia="en-CA"/>
              </w:rPr>
              <w:t>Lead IA (UNIDO)</w:t>
            </w:r>
            <w:r w:rsidRPr="00733751">
              <w:rPr>
                <w:rFonts w:eastAsiaTheme="minorEastAsia"/>
                <w:color w:val="000000"/>
                <w:sz w:val="18"/>
                <w:szCs w:val="18"/>
                <w:lang w:eastAsia="en-CA"/>
              </w:rPr>
              <w:t xml:space="preserve"> agreed funding (US $)</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4528AE2" w14:textId="77777777" w:rsidR="00733751" w:rsidRPr="00733751" w:rsidRDefault="00733751" w:rsidP="00733751">
            <w:pPr>
              <w:jc w:val="right"/>
              <w:rPr>
                <w:rFonts w:eastAsiaTheme="minorEastAsia"/>
                <w:b/>
                <w:bCs/>
                <w:color w:val="000000"/>
                <w:sz w:val="18"/>
                <w:szCs w:val="18"/>
                <w:lang w:val="en-US" w:eastAsia="zh-CN"/>
              </w:rPr>
            </w:pPr>
            <w:r w:rsidRPr="00733751">
              <w:rPr>
                <w:rFonts w:eastAsiaTheme="minorEastAsia"/>
                <w:b/>
                <w:bCs/>
                <w:color w:val="000000"/>
                <w:sz w:val="18"/>
                <w:szCs w:val="18"/>
                <w:lang w:val="en-US" w:eastAsia="zh-CN"/>
              </w:rPr>
              <w:t>270,908</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DA6E122"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617B7CF"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280,500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6F34D9A" w14:textId="77777777" w:rsidR="00733751" w:rsidRPr="00733751"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5EF4D8C5"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69,315</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2CF6DF"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zh-CN"/>
              </w:rPr>
              <w:t>620,723</w:t>
            </w:r>
          </w:p>
        </w:tc>
      </w:tr>
      <w:tr w:rsidR="00733751" w:rsidRPr="00733751" w14:paraId="4F3E4918" w14:textId="77777777" w:rsidTr="0043252E">
        <w:trPr>
          <w:trHeight w:val="5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02F2FC2"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2.2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D480588"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Support costs for Lead IA (US $)</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F092D5C"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val="en-US" w:eastAsia="zh-CN"/>
              </w:rPr>
              <w:t>18,964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E1E2579"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59060F6"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19,635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EE47438" w14:textId="77777777" w:rsidR="00733751" w:rsidRPr="00733751"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6D4B3A52"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4,852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A093B8B"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zh-CN"/>
              </w:rPr>
              <w:t>43,451</w:t>
            </w:r>
          </w:p>
        </w:tc>
      </w:tr>
      <w:tr w:rsidR="00733751" w:rsidRPr="00733751" w14:paraId="0FD7131C" w14:textId="77777777" w:rsidTr="0043252E">
        <w:trPr>
          <w:trHeight w:val="161"/>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386F277"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2.3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0B10836B"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b/>
                <w:bCs/>
                <w:color w:val="000000"/>
                <w:sz w:val="18"/>
                <w:szCs w:val="18"/>
                <w:lang w:eastAsia="en-CA"/>
              </w:rPr>
              <w:t>Cooperating IA (UNEP)</w:t>
            </w:r>
            <w:r w:rsidRPr="00733751">
              <w:rPr>
                <w:rFonts w:eastAsiaTheme="minorEastAsia"/>
                <w:color w:val="000000"/>
                <w:sz w:val="18"/>
                <w:szCs w:val="18"/>
                <w:lang w:eastAsia="en-CA"/>
              </w:rPr>
              <w:t xml:space="preserve"> agreed funding (US </w:t>
            </w:r>
            <w:proofErr w:type="gramStart"/>
            <w:r w:rsidRPr="00733751">
              <w:rPr>
                <w:rFonts w:eastAsiaTheme="minorEastAsia"/>
                <w:color w:val="000000"/>
                <w:sz w:val="18"/>
                <w:szCs w:val="18"/>
                <w:lang w:eastAsia="en-CA"/>
              </w:rPr>
              <w:t>$)*</w:t>
            </w:r>
            <w:proofErr w:type="gramEnd"/>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38E5E97"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val="en-US" w:eastAsia="zh-CN"/>
              </w:rPr>
              <w:t>48,659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7CF7B9B"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DC5BE5A"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62462C1" w14:textId="77777777" w:rsidR="00733751" w:rsidRPr="00733751"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CED5AB5"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8BDAE5E"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zh-CN"/>
              </w:rPr>
              <w:t>48,659</w:t>
            </w:r>
          </w:p>
        </w:tc>
      </w:tr>
      <w:tr w:rsidR="00733751" w:rsidRPr="00733751" w14:paraId="50FBD168" w14:textId="77777777" w:rsidTr="0043252E">
        <w:trPr>
          <w:trHeight w:val="60"/>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04CD2C"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2.4</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583FED12"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Support costs for Cooperating IA (US $)</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776AE72"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val="en-US" w:eastAsia="zh-CN"/>
              </w:rPr>
              <w:t>6,326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F0F1C44"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1BC0FCE"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6B72708" w14:textId="77777777" w:rsidR="00733751" w:rsidRPr="00733751"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B61258A"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8E9EB7C"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zh-CN"/>
              </w:rPr>
              <w:t>6,326</w:t>
            </w:r>
          </w:p>
        </w:tc>
      </w:tr>
      <w:tr w:rsidR="00733751" w:rsidRPr="00733751" w14:paraId="1EAC2EDD" w14:textId="77777777" w:rsidTr="0043252E">
        <w:trPr>
          <w:trHeight w:val="62"/>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79D690E"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3.1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1CD43BF8"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Total agreed funding (US $)</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50D5291"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val="en-US" w:eastAsia="zh-CN"/>
              </w:rPr>
              <w:t>319,567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B25445E"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FBC8CC3"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280,500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F70DAAD" w14:textId="77777777" w:rsidR="00733751" w:rsidRPr="00733751" w:rsidRDefault="00733751" w:rsidP="00733751">
            <w:pPr>
              <w:jc w:val="right"/>
              <w:rPr>
                <w:rFonts w:eastAsiaTheme="minorEastAsia"/>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4781DD6A"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69,315</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C17F8AF"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zh-CN"/>
              </w:rPr>
              <w:t>669,382</w:t>
            </w:r>
          </w:p>
        </w:tc>
      </w:tr>
      <w:tr w:rsidR="00733751" w:rsidRPr="00733751" w14:paraId="5A83354D" w14:textId="77777777" w:rsidTr="0043252E">
        <w:trPr>
          <w:trHeight w:val="50"/>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E8E8D3B"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3.2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4DCCEC12"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Total support costs (US $)</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9894DFF"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val="en-US" w:eastAsia="zh-CN"/>
              </w:rPr>
              <w:t>25,289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3821936"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10E03D6"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19,635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1B5ECB4" w14:textId="77777777" w:rsidR="00733751" w:rsidRPr="00733751"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B468591"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4,852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B7ECCCA"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zh-CN"/>
              </w:rPr>
              <w:t>49,776</w:t>
            </w:r>
          </w:p>
        </w:tc>
      </w:tr>
      <w:tr w:rsidR="00733751" w:rsidRPr="00733751" w14:paraId="57E47E42" w14:textId="77777777" w:rsidTr="0043252E">
        <w:trPr>
          <w:trHeight w:val="53"/>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A0B598"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3.3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0E637445"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Total agreed costs (US $)</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8702BD9"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val="en-US" w:eastAsia="zh-CN"/>
              </w:rPr>
              <w:t>344,856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24EE0D3"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713D2F2"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300,135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E907504" w14:textId="77777777" w:rsidR="00733751" w:rsidRPr="00733751"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66E5F1E4"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eastAsia="en-CA"/>
              </w:rPr>
              <w:t>74,167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E7DB70F" w14:textId="77777777" w:rsidR="00733751" w:rsidRPr="00733751" w:rsidRDefault="00733751" w:rsidP="00733751">
            <w:pPr>
              <w:jc w:val="right"/>
              <w:rPr>
                <w:rFonts w:eastAsiaTheme="minorEastAsia"/>
                <w:b/>
                <w:bCs/>
                <w:color w:val="000000"/>
                <w:sz w:val="18"/>
                <w:szCs w:val="18"/>
                <w:lang w:eastAsia="en-CA"/>
              </w:rPr>
            </w:pPr>
            <w:r w:rsidRPr="00733751">
              <w:rPr>
                <w:rFonts w:eastAsiaTheme="minorEastAsia"/>
                <w:b/>
                <w:bCs/>
                <w:color w:val="000000"/>
                <w:sz w:val="18"/>
                <w:szCs w:val="18"/>
                <w:lang w:val="en-US" w:eastAsia="zh-CN"/>
              </w:rPr>
              <w:t>719,158</w:t>
            </w:r>
          </w:p>
        </w:tc>
      </w:tr>
      <w:tr w:rsidR="00733751" w:rsidRPr="00733751" w14:paraId="5B26AE7F" w14:textId="77777777" w:rsidTr="0043252E">
        <w:trPr>
          <w:trHeight w:val="53"/>
        </w:trPr>
        <w:tc>
          <w:tcPr>
            <w:tcW w:w="3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3CC9293"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4.1.1</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A200120"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Total phase-out of HCFC-22 agreed to be achieved under this Agreement (ODP tonnes)</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D7D583"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7.67</w:t>
            </w:r>
          </w:p>
        </w:tc>
      </w:tr>
      <w:tr w:rsidR="00733751" w:rsidRPr="00733751" w14:paraId="635AD14E" w14:textId="77777777" w:rsidTr="0043252E">
        <w:trPr>
          <w:trHeight w:val="11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0128E8"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4.1.2</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58B4644"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Phase-out of HCFC-22 to be achieved in the previous stage (ODP tonnes)</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B136D73"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8.26</w:t>
            </w:r>
          </w:p>
        </w:tc>
      </w:tr>
      <w:tr w:rsidR="00733751" w:rsidRPr="00733751" w14:paraId="2FDC93F1" w14:textId="77777777" w:rsidTr="0043252E">
        <w:trPr>
          <w:trHeight w:val="9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E1C9958"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4.1.3</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A33900D" w14:textId="77777777" w:rsidR="00733751" w:rsidRPr="00733751" w:rsidRDefault="00733751" w:rsidP="00733751">
            <w:pPr>
              <w:jc w:val="left"/>
              <w:rPr>
                <w:rFonts w:eastAsiaTheme="minorEastAsia"/>
                <w:color w:val="000000"/>
                <w:sz w:val="18"/>
                <w:szCs w:val="18"/>
                <w:lang w:eastAsia="en-CA"/>
              </w:rPr>
            </w:pPr>
            <w:r w:rsidRPr="00733751">
              <w:rPr>
                <w:rFonts w:eastAsiaTheme="minorEastAsia"/>
                <w:color w:val="000000"/>
                <w:sz w:val="18"/>
                <w:szCs w:val="18"/>
                <w:lang w:eastAsia="en-CA"/>
              </w:rPr>
              <w:t>Remaining eligible consumption for HCFC-22 (ODP tonnes)</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729F659" w14:textId="77777777" w:rsidR="00733751" w:rsidRPr="00733751" w:rsidRDefault="00733751" w:rsidP="00733751">
            <w:pPr>
              <w:jc w:val="right"/>
              <w:rPr>
                <w:rFonts w:eastAsiaTheme="minorEastAsia"/>
                <w:color w:val="000000"/>
                <w:sz w:val="18"/>
                <w:szCs w:val="18"/>
                <w:lang w:eastAsia="en-CA"/>
              </w:rPr>
            </w:pPr>
            <w:r w:rsidRPr="00733751">
              <w:rPr>
                <w:rFonts w:eastAsiaTheme="minorEastAsia"/>
                <w:color w:val="000000"/>
                <w:sz w:val="18"/>
                <w:szCs w:val="18"/>
                <w:lang w:eastAsia="en-CA"/>
              </w:rPr>
              <w:t>7.67</w:t>
            </w:r>
          </w:p>
        </w:tc>
      </w:tr>
    </w:tbl>
    <w:p w14:paraId="3C2455B3" w14:textId="77777777" w:rsidR="00733751" w:rsidRPr="00733751" w:rsidRDefault="00733751" w:rsidP="00733751">
      <w:pPr>
        <w:rPr>
          <w:rFonts w:eastAsiaTheme="minorEastAsia"/>
          <w:b/>
          <w:bCs/>
          <w:sz w:val="16"/>
          <w:szCs w:val="16"/>
          <w:lang w:eastAsia="zh-CN"/>
        </w:rPr>
      </w:pPr>
      <w:r w:rsidRPr="00733751">
        <w:rPr>
          <w:b/>
          <w:bCs/>
          <w:color w:val="000000"/>
          <w:sz w:val="16"/>
          <w:szCs w:val="16"/>
          <w:lang w:val="en-US" w:eastAsia="zh-CN"/>
        </w:rPr>
        <w:t>* UNEP stopped being the lead implementing agency at the 94</w:t>
      </w:r>
      <w:r w:rsidRPr="00733751">
        <w:rPr>
          <w:b/>
          <w:bCs/>
          <w:color w:val="000000"/>
          <w:sz w:val="16"/>
          <w:szCs w:val="16"/>
          <w:vertAlign w:val="superscript"/>
          <w:lang w:val="en-US" w:eastAsia="zh-CN"/>
        </w:rPr>
        <w:t>th</w:t>
      </w:r>
      <w:r w:rsidRPr="00733751">
        <w:rPr>
          <w:b/>
          <w:bCs/>
          <w:color w:val="000000"/>
          <w:sz w:val="16"/>
          <w:szCs w:val="16"/>
          <w:lang w:val="en-US" w:eastAsia="zh-CN"/>
        </w:rPr>
        <w:t xml:space="preserve"> meeting and </w:t>
      </w:r>
      <w:r w:rsidRPr="00733751">
        <w:rPr>
          <w:rFonts w:eastAsiaTheme="minorEastAsia"/>
          <w:b/>
          <w:bCs/>
          <w:sz w:val="16"/>
          <w:szCs w:val="16"/>
          <w:lang w:eastAsia="zh-CN"/>
        </w:rPr>
        <w:t>returned US $180,908 plus support costs of US $23,518 from the first tranche (AFG/PHA/85/TAS/29).</w:t>
      </w:r>
    </w:p>
    <w:p w14:paraId="58F88300" w14:textId="77777777" w:rsidR="00733751" w:rsidRPr="00733751" w:rsidRDefault="00733751" w:rsidP="00733751">
      <w:pPr>
        <w:rPr>
          <w:rFonts w:eastAsiaTheme="minorEastAsia"/>
          <w:lang w:eastAsia="zh-CN"/>
        </w:rPr>
      </w:pPr>
    </w:p>
    <w:p w14:paraId="17147DA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B077C">
        <w:tc>
          <w:tcPr>
            <w:tcW w:w="1915" w:type="dxa"/>
          </w:tcPr>
          <w:p w14:paraId="08241A33" w14:textId="77777777" w:rsidR="00E85409" w:rsidRPr="009B0D30" w:rsidRDefault="00E85409" w:rsidP="00FB077C"/>
        </w:tc>
        <w:tc>
          <w:tcPr>
            <w:tcW w:w="1915" w:type="dxa"/>
          </w:tcPr>
          <w:p w14:paraId="6C0DDD68" w14:textId="77777777" w:rsidR="00E85409" w:rsidRPr="009B0D30" w:rsidRDefault="00E85409" w:rsidP="00FB077C"/>
        </w:tc>
        <w:tc>
          <w:tcPr>
            <w:tcW w:w="1915" w:type="dxa"/>
            <w:tcBorders>
              <w:bottom w:val="single" w:sz="4" w:space="0" w:color="auto"/>
            </w:tcBorders>
          </w:tcPr>
          <w:p w14:paraId="6AF3D88A" w14:textId="77777777" w:rsidR="00E85409" w:rsidRPr="009B0D30" w:rsidRDefault="00E85409" w:rsidP="00FB077C"/>
        </w:tc>
        <w:tc>
          <w:tcPr>
            <w:tcW w:w="1915" w:type="dxa"/>
          </w:tcPr>
          <w:p w14:paraId="27C7066B" w14:textId="77777777" w:rsidR="00E85409" w:rsidRPr="009B0D30" w:rsidRDefault="00E85409" w:rsidP="00FB077C"/>
        </w:tc>
        <w:tc>
          <w:tcPr>
            <w:tcW w:w="1916"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733751">
      <w:headerReference w:type="first" r:id="rId26"/>
      <w:pgSz w:w="12240" w:h="15840" w:code="1"/>
      <w:pgMar w:top="720" w:right="1440" w:bottom="864" w:left="1440" w:header="720" w:footer="475"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9BCE6" w14:textId="77777777" w:rsidR="00B46A93" w:rsidRDefault="00B46A93" w:rsidP="004A504B">
      <w:r>
        <w:separator/>
      </w:r>
    </w:p>
  </w:endnote>
  <w:endnote w:type="continuationSeparator" w:id="0">
    <w:p w14:paraId="188A3865" w14:textId="77777777" w:rsidR="00B46A93" w:rsidRDefault="00B46A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EE957" w14:textId="77777777" w:rsidR="00733751" w:rsidRPr="0033525D" w:rsidRDefault="0073375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9A215" w14:textId="77777777" w:rsidR="00733751" w:rsidRPr="0033525D" w:rsidRDefault="0073375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DFC65" w14:textId="77777777" w:rsidR="00733751" w:rsidRDefault="0073375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48562E" w14:textId="77777777" w:rsidR="00733751" w:rsidRDefault="0073375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512F4" w14:textId="77777777" w:rsidR="00B46A93" w:rsidRDefault="00B46A93" w:rsidP="004A504B">
      <w:r>
        <w:separator/>
      </w:r>
    </w:p>
  </w:footnote>
  <w:footnote w:type="continuationSeparator" w:id="0">
    <w:p w14:paraId="452563E5" w14:textId="77777777" w:rsidR="00B46A93" w:rsidRDefault="00B46A93" w:rsidP="004A504B">
      <w:r>
        <w:continuationSeparator/>
      </w:r>
    </w:p>
  </w:footnote>
  <w:footnote w:id="1">
    <w:p w14:paraId="03919EEA" w14:textId="26ABBF32"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5F95918A" w14:textId="0F9B9F0B" w:rsidR="00CB65AB" w:rsidRPr="001110B7" w:rsidRDefault="00CB65AB" w:rsidP="00CB65AB">
      <w:pPr>
        <w:pStyle w:val="FootnoteText"/>
        <w:rPr>
          <w:lang w:val="en-US"/>
        </w:rPr>
      </w:pPr>
      <w:r>
        <w:rPr>
          <w:rStyle w:val="FootnoteReference"/>
        </w:rPr>
        <w:footnoteRef/>
      </w:r>
      <w:r>
        <w:t xml:space="preserve"> </w:t>
      </w:r>
      <w:r w:rsidR="002C2749">
        <w:t>I</w:t>
      </w:r>
      <w:r w:rsidR="00144BF7">
        <w:t>n</w:t>
      </w:r>
      <w:r w:rsidR="002C2749">
        <w:t xml:space="preserve"> line w</w:t>
      </w:r>
      <w:r w:rsidR="00A66E3B">
        <w:t>i</w:t>
      </w:r>
      <w:r w:rsidR="002C2749">
        <w:t>th decision</w:t>
      </w:r>
      <w:r w:rsidR="00D747BB">
        <w:t xml:space="preserve"> </w:t>
      </w:r>
      <w:r w:rsidR="00481C71">
        <w:t>94/16(b)</w:t>
      </w:r>
      <w:r w:rsidR="00D747BB">
        <w:t xml:space="preserve">, </w:t>
      </w:r>
      <w:r w:rsidR="002C2749">
        <w:t>Algeria also submitted a report</w:t>
      </w:r>
      <w:r w:rsidR="00D747BB">
        <w:t xml:space="preserve"> on</w:t>
      </w:r>
      <w:r>
        <w:t xml:space="preserve"> </w:t>
      </w:r>
      <w:r w:rsidR="00481C71" w:rsidRPr="00481C71">
        <w:t>all remaining ongoing activities under stage I of the HPMP to the 95</w:t>
      </w:r>
      <w:r w:rsidR="00481C71" w:rsidRPr="004C3364">
        <w:rPr>
          <w:vertAlign w:val="superscript"/>
        </w:rPr>
        <w:t>th</w:t>
      </w:r>
      <w:r w:rsidR="00481C71">
        <w:t xml:space="preserve"> </w:t>
      </w:r>
      <w:r w:rsidR="00481C71" w:rsidRPr="00481C71">
        <w:t>meeting</w:t>
      </w:r>
      <w:r w:rsidR="00481C71">
        <w:t>. The report</w:t>
      </w:r>
      <w:r w:rsidR="002C2749">
        <w:t xml:space="preserve"> </w:t>
      </w:r>
      <w:r w:rsidR="00BF2D04">
        <w:t xml:space="preserve">is presented in the </w:t>
      </w:r>
      <w:r>
        <w:t>project proposal</w:t>
      </w:r>
      <w:r w:rsidR="008D7076">
        <w:t xml:space="preserve"> </w:t>
      </w:r>
      <w:r w:rsidR="00E14C57">
        <w:t xml:space="preserve">document </w:t>
      </w:r>
      <w:r w:rsidR="00BF2D04">
        <w:t>for Algeria (</w:t>
      </w:r>
      <w:r w:rsidRPr="001E1147">
        <w:rPr>
          <w:lang w:val="en-US"/>
        </w:rPr>
        <w:t>UNEP/OzL.Pro/ExCom/9</w:t>
      </w:r>
      <w:r>
        <w:rPr>
          <w:lang w:val="en-US"/>
        </w:rPr>
        <w:t>5</w:t>
      </w:r>
      <w:r w:rsidRPr="001E1147">
        <w:rPr>
          <w:lang w:val="en-US"/>
        </w:rPr>
        <w:t>/</w:t>
      </w:r>
      <w:r>
        <w:rPr>
          <w:lang w:val="en-US"/>
        </w:rPr>
        <w:t>39</w:t>
      </w:r>
      <w:r w:rsidR="00D747BB">
        <w:rPr>
          <w:lang w:val="en-US"/>
        </w:rPr>
        <w:t>)</w:t>
      </w:r>
      <w:r w:rsidR="004C3364">
        <w:rPr>
          <w:lang w:val="en-US"/>
        </w:rPr>
        <w:t>.</w:t>
      </w:r>
    </w:p>
  </w:footnote>
  <w:footnote w:id="3">
    <w:p w14:paraId="75410C61" w14:textId="77777777" w:rsidR="00891C0E" w:rsidRPr="00DE41D9" w:rsidRDefault="00891C0E" w:rsidP="00891C0E">
      <w:pPr>
        <w:pStyle w:val="FootnoteText"/>
      </w:pPr>
      <w:r>
        <w:rPr>
          <w:rStyle w:val="FootnoteReference"/>
        </w:rPr>
        <w:footnoteRef/>
      </w:r>
      <w:r w:rsidRPr="00DE41D9">
        <w:t xml:space="preserve"> Decision 63/52</w:t>
      </w:r>
    </w:p>
  </w:footnote>
  <w:footnote w:id="4">
    <w:p w14:paraId="5B84D1F5" w14:textId="77777777" w:rsidR="00891C0E" w:rsidRPr="00DE41D9" w:rsidRDefault="00891C0E" w:rsidP="00891C0E">
      <w:pPr>
        <w:pStyle w:val="FootnoteText"/>
        <w:rPr>
          <w:lang w:val="en-US"/>
        </w:rPr>
      </w:pPr>
      <w:r>
        <w:rPr>
          <w:rStyle w:val="FootnoteReference"/>
        </w:rPr>
        <w:footnoteRef/>
      </w:r>
      <w:r w:rsidRPr="00DE41D9">
        <w:t xml:space="preserve"> </w:t>
      </w:r>
      <w:r w:rsidRPr="00DE41D9">
        <w:rPr>
          <w:lang w:val="en-US"/>
        </w:rPr>
        <w:t>Decision 79/27(a)(i)</w:t>
      </w:r>
    </w:p>
  </w:footnote>
  <w:footnote w:id="5">
    <w:p w14:paraId="1177936D" w14:textId="77777777" w:rsidR="00891C0E" w:rsidRPr="00DE41D9" w:rsidRDefault="00891C0E" w:rsidP="00891C0E">
      <w:pPr>
        <w:pStyle w:val="FootnoteText"/>
        <w:rPr>
          <w:lang w:val="en-US"/>
        </w:rPr>
      </w:pPr>
      <w:r>
        <w:rPr>
          <w:rStyle w:val="FootnoteReference"/>
        </w:rPr>
        <w:footnoteRef/>
      </w:r>
      <w:r w:rsidRPr="00DE41D9">
        <w:t xml:space="preserve"> </w:t>
      </w:r>
      <w:r w:rsidRPr="00DE41D9">
        <w:rPr>
          <w:lang w:val="en-US"/>
        </w:rPr>
        <w:t>Decision 85/24</w:t>
      </w:r>
    </w:p>
  </w:footnote>
  <w:footnote w:id="6">
    <w:p w14:paraId="335F73E5" w14:textId="4323024C" w:rsidR="00891C0E" w:rsidRPr="00DD0D4C" w:rsidRDefault="00891C0E" w:rsidP="00891C0E">
      <w:pPr>
        <w:pStyle w:val="FootnoteText"/>
        <w:rPr>
          <w:lang w:val="en-US"/>
        </w:rPr>
      </w:pPr>
      <w:r>
        <w:rPr>
          <w:rStyle w:val="FootnoteReference"/>
        </w:rPr>
        <w:footnoteRef/>
      </w:r>
      <w:r>
        <w:t xml:space="preserve"> </w:t>
      </w:r>
      <w:r>
        <w:rPr>
          <w:lang w:val="en-US"/>
        </w:rPr>
        <w:t>See also paragraphs 4-6 of document UNEP/OzL.Pro/ExCom/95/4</w:t>
      </w:r>
    </w:p>
  </w:footnote>
  <w:footnote w:id="7">
    <w:p w14:paraId="2DC3F285" w14:textId="77777777" w:rsidR="006C61E1" w:rsidRPr="004C3364" w:rsidRDefault="006C61E1" w:rsidP="006C61E1">
      <w:pPr>
        <w:pStyle w:val="FootnoteText"/>
        <w:rPr>
          <w:lang w:val="fr-FR"/>
        </w:rPr>
      </w:pPr>
      <w:r>
        <w:rPr>
          <w:rStyle w:val="FootnoteReference"/>
        </w:rPr>
        <w:footnoteRef/>
      </w:r>
      <w:r w:rsidRPr="004C3364">
        <w:rPr>
          <w:lang w:val="fr-FR"/>
        </w:rPr>
        <w:t xml:space="preserve"> Document UNEP/OzL.Pro/ExCom/93/43</w:t>
      </w:r>
    </w:p>
  </w:footnote>
  <w:footnote w:id="8">
    <w:p w14:paraId="513BA2CB" w14:textId="0B488065" w:rsidR="006C61E1" w:rsidRPr="006C17AA" w:rsidRDefault="006C61E1" w:rsidP="006C61E1">
      <w:pPr>
        <w:pStyle w:val="FootnoteText"/>
        <w:rPr>
          <w:lang w:val="en-US"/>
        </w:rPr>
      </w:pPr>
      <w:r>
        <w:rPr>
          <w:rStyle w:val="FootnoteReference"/>
        </w:rPr>
        <w:footnoteRef/>
      </w:r>
      <w:r>
        <w:t xml:space="preserve"> Blanket approval decision and provision contained in </w:t>
      </w:r>
      <w:r>
        <w:rPr>
          <w:lang w:val="en-US"/>
        </w:rPr>
        <w:t>annex XIV of document UNEP/OzL.Pro/ExCom/93/105</w:t>
      </w:r>
      <w:r w:rsidR="00C75679">
        <w:rPr>
          <w:lang w:val="en-US"/>
        </w:rPr>
        <w:t>.</w:t>
      </w:r>
    </w:p>
  </w:footnote>
  <w:footnote w:id="9">
    <w:p w14:paraId="6D1ABBB7" w14:textId="77777777" w:rsidR="00CA4D81" w:rsidRPr="00EF1DAE" w:rsidRDefault="00CA4D81" w:rsidP="00CA4D81">
      <w:pPr>
        <w:pStyle w:val="FootnoteText"/>
        <w:rPr>
          <w:lang w:val="en-US"/>
        </w:rPr>
      </w:pPr>
      <w:r>
        <w:rPr>
          <w:rStyle w:val="FootnoteReference"/>
        </w:rPr>
        <w:footnoteRef/>
      </w:r>
      <w:r>
        <w:t xml:space="preserve"> Blanket approval decision and provision contained in </w:t>
      </w:r>
      <w:r>
        <w:rPr>
          <w:lang w:val="en-US"/>
        </w:rPr>
        <w:t>annex IX of document UNEP/OzL.Pro/ExCom/92/56.</w:t>
      </w:r>
    </w:p>
  </w:footnote>
  <w:footnote w:id="10">
    <w:p w14:paraId="50733080" w14:textId="77777777" w:rsidR="00483708" w:rsidRPr="00DC142F" w:rsidRDefault="00483708" w:rsidP="00483708">
      <w:pPr>
        <w:pStyle w:val="FootnoteText"/>
      </w:pPr>
      <w:r>
        <w:rPr>
          <w:rStyle w:val="FootnoteReference"/>
        </w:rPr>
        <w:footnoteRef/>
      </w:r>
      <w:r>
        <w:t xml:space="preserve"> At the 94</w:t>
      </w:r>
      <w:r w:rsidRPr="00C50BCC">
        <w:rPr>
          <w:vertAlign w:val="superscript"/>
        </w:rPr>
        <w:t>th</w:t>
      </w:r>
      <w:r>
        <w:t xml:space="preserve"> meeting, the Executive Committee took note of the submission, which would be reviewed by the Secretariat and presented at the 95</w:t>
      </w:r>
      <w:r w:rsidRPr="00C50BCC">
        <w:rPr>
          <w:vertAlign w:val="superscript"/>
        </w:rPr>
        <w:t>th</w:t>
      </w:r>
      <w:r>
        <w:t xml:space="preserve"> meeting (paragraph 61 of document UNEP/OzL.Pro/ExCom/94/67).</w:t>
      </w:r>
    </w:p>
  </w:footnote>
  <w:footnote w:id="11">
    <w:p w14:paraId="6E1888D2" w14:textId="77777777" w:rsidR="00483708" w:rsidRPr="008D2C91" w:rsidRDefault="00483708" w:rsidP="00483708">
      <w:pPr>
        <w:pStyle w:val="FootnoteText"/>
        <w:rPr>
          <w:lang w:val="en-US"/>
        </w:rPr>
      </w:pPr>
      <w:r>
        <w:rPr>
          <w:rStyle w:val="FootnoteReference"/>
        </w:rPr>
        <w:footnoteRef/>
      </w:r>
      <w:r>
        <w:t xml:space="preserve"> As reflected in document </w:t>
      </w:r>
      <w:r w:rsidRPr="003C2E13">
        <w:t>UNEP/OzL.Pro/ExCom/95</w:t>
      </w:r>
      <w:r>
        <w:t>/4.</w:t>
      </w:r>
    </w:p>
  </w:footnote>
  <w:footnote w:id="12">
    <w:p w14:paraId="4C2CF77D" w14:textId="77777777" w:rsidR="002D6935" w:rsidRDefault="002D6935" w:rsidP="001604E7">
      <w:pPr>
        <w:pStyle w:val="FootnoteText"/>
      </w:pPr>
      <w:r>
        <w:rPr>
          <w:rStyle w:val="FootnoteReference"/>
        </w:rPr>
        <w:footnoteRef/>
      </w:r>
      <w:r>
        <w:t xml:space="preserve"> Single-phase, single-split and unitary type air conditioners of both fixed speed and variable speed, up to rated capacities of 24,226 BTU/hr (equivalent to 7.1 kW).</w:t>
      </w:r>
    </w:p>
  </w:footnote>
  <w:footnote w:id="13">
    <w:p w14:paraId="741F612E" w14:textId="77777777" w:rsidR="002D6935" w:rsidRDefault="002D6935" w:rsidP="001604E7">
      <w:pPr>
        <w:pStyle w:val="FootnoteText"/>
        <w:rPr>
          <w:lang w:val="en-US"/>
        </w:rPr>
      </w:pPr>
      <w:r>
        <w:rPr>
          <w:rStyle w:val="FootnoteReference"/>
        </w:rPr>
        <w:footnoteRef/>
      </w:r>
      <w:r>
        <w:t xml:space="preserve"> Testing is done by a laboratory accredited by a recognized authority which is a Mutual Recognition Arrangement (MRA) signatory such as (International Laboratory Accreditation Cooperation (ILAC)/Asia Pacific Laboratory Accreditation Cooperation (APLAC) as per certain test standards or protocols for testing laboratories (using ISO/IEC 17025).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164322F2" w:rsidR="00DC6A10" w:rsidRPr="0033525D" w:rsidRDefault="00CA4D81">
    <w:fldSimple w:instr=" DOCPROPERTY &quot;Document number&quot;  \* MERGEFORMAT ">
      <w:r>
        <w:t>UNEP/OzL.Pro/ExCom/95/20</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43DAB62F" w:rsidR="00DC6A10" w:rsidRPr="0033525D" w:rsidRDefault="00CA4D81">
    <w:pPr>
      <w:jc w:val="right"/>
    </w:pPr>
    <w:fldSimple w:instr=" DOCPROPERTY &quot;Document number&quot;  \* MERGEFORMAT ">
      <w:r>
        <w:t>UNEP/OzL.Pro/ExCom/95/20</w:t>
      </w:r>
    </w:fldSimple>
  </w:p>
  <w:p w14:paraId="206883EF" w14:textId="77777777" w:rsidR="00DC6A10" w:rsidRPr="0033525D" w:rsidRDefault="00DC6A10"/>
  <w:p w14:paraId="649A1F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68212" w14:textId="77777777" w:rsidR="00733751" w:rsidRPr="0033525D" w:rsidRDefault="00733751" w:rsidP="00E65AFE">
    <w:pPr>
      <w:jc w:val="right"/>
    </w:pPr>
    <w:fldSimple w:instr=" DOCPROPERTY &quot;Document number&quot;  \* MERGEFORMAT ">
      <w:r>
        <w:t>UNEP/OzL.Pro/ExCom/95/20</w:t>
      </w:r>
    </w:fldSimple>
  </w:p>
  <w:p w14:paraId="6A78DC08" w14:textId="0A6C2DB6" w:rsidR="00733751" w:rsidRPr="0033525D" w:rsidRDefault="00733751" w:rsidP="00E65AFE">
    <w:pPr>
      <w:jc w:val="right"/>
    </w:pPr>
    <w:r>
      <w:t>Annex II</w:t>
    </w:r>
  </w:p>
  <w:p w14:paraId="399E0389" w14:textId="77777777" w:rsidR="00733751" w:rsidRPr="0033525D" w:rsidRDefault="00733751" w:rsidP="00E65AFE">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E6E19" w14:textId="77777777" w:rsidR="00733751" w:rsidRPr="0033525D" w:rsidRDefault="00733751">
    <w:pPr>
      <w:jc w:val="right"/>
    </w:pPr>
    <w:fldSimple w:instr=" DOCPROPERTY &quot;Document number&quot;  \* MERGEFORMAT ">
      <w:r>
        <w:t>UNEP/OzL.Pro/ExCom/95/20</w:t>
      </w:r>
    </w:fldSimple>
  </w:p>
  <w:p w14:paraId="34F26C9B" w14:textId="426B3D86" w:rsidR="00733751" w:rsidRPr="0033525D" w:rsidRDefault="00733751" w:rsidP="008A0CA7">
    <w:pPr>
      <w:jc w:val="right"/>
    </w:pPr>
    <w:r>
      <w:t>Annex I</w:t>
    </w:r>
  </w:p>
  <w:p w14:paraId="533D40A3" w14:textId="77777777" w:rsidR="00733751" w:rsidRPr="0033525D" w:rsidRDefault="00733751" w:rsidP="008A0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72EEA" w14:textId="77777777" w:rsidR="00733751" w:rsidRDefault="00733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DA35B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EB27533"/>
    <w:multiLevelType w:val="multilevel"/>
    <w:tmpl w:val="D660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220362"/>
    <w:multiLevelType w:val="hybridMultilevel"/>
    <w:tmpl w:val="52D0859E"/>
    <w:lvl w:ilvl="0" w:tplc="70E22596">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B105298"/>
    <w:multiLevelType w:val="multilevel"/>
    <w:tmpl w:val="96C219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83503C"/>
    <w:multiLevelType w:val="multilevel"/>
    <w:tmpl w:val="A058D91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D6C265C"/>
    <w:multiLevelType w:val="multilevel"/>
    <w:tmpl w:val="C5DC3F0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5064D07"/>
    <w:multiLevelType w:val="multilevel"/>
    <w:tmpl w:val="B64C11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D011EC"/>
    <w:multiLevelType w:val="multilevel"/>
    <w:tmpl w:val="E2208650"/>
    <w:lvl w:ilvl="0">
      <w:start w:val="40"/>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D446E72"/>
    <w:multiLevelType w:val="multilevel"/>
    <w:tmpl w:val="71DA35B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7E523F"/>
    <w:multiLevelType w:val="multilevel"/>
    <w:tmpl w:val="A354654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6AD95806"/>
    <w:multiLevelType w:val="multilevel"/>
    <w:tmpl w:val="4FC24F8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6D9B2BE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2737E13"/>
    <w:multiLevelType w:val="multilevel"/>
    <w:tmpl w:val="F9BC485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77F720BC"/>
    <w:multiLevelType w:val="multilevel"/>
    <w:tmpl w:val="F37EBCF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2"/>
  </w:num>
  <w:num w:numId="18" w16cid:durableId="559828470">
    <w:abstractNumId w:val="24"/>
  </w:num>
  <w:num w:numId="19" w16cid:durableId="1488010068">
    <w:abstractNumId w:val="29"/>
  </w:num>
  <w:num w:numId="20" w16cid:durableId="444007775">
    <w:abstractNumId w:val="17"/>
  </w:num>
  <w:num w:numId="21" w16cid:durableId="1055355135">
    <w:abstractNumId w:val="11"/>
  </w:num>
  <w:num w:numId="22" w16cid:durableId="1607426149">
    <w:abstractNumId w:val="15"/>
  </w:num>
  <w:num w:numId="23" w16cid:durableId="749734394">
    <w:abstractNumId w:val="18"/>
  </w:num>
  <w:num w:numId="24" w16cid:durableId="770010620">
    <w:abstractNumId w:val="25"/>
  </w:num>
  <w:num w:numId="25" w16cid:durableId="1859732904">
    <w:abstractNumId w:val="28"/>
  </w:num>
  <w:num w:numId="26" w16cid:durableId="2066752562">
    <w:abstractNumId w:val="27"/>
  </w:num>
  <w:num w:numId="27" w16cid:durableId="1247106796">
    <w:abstractNumId w:val="13"/>
  </w:num>
  <w:num w:numId="28" w16cid:durableId="87314112">
    <w:abstractNumId w:val="19"/>
  </w:num>
  <w:num w:numId="29" w16cid:durableId="284964895">
    <w:abstractNumId w:val="16"/>
  </w:num>
  <w:num w:numId="30" w16cid:durableId="609434000">
    <w:abstractNumId w:val="12"/>
  </w:num>
  <w:num w:numId="31" w16cid:durableId="1117258930">
    <w:abstractNumId w:val="23"/>
  </w:num>
  <w:num w:numId="32" w16cid:durableId="839613540">
    <w:abstractNumId w:val="26"/>
  </w:num>
  <w:num w:numId="33" w16cid:durableId="1116604668">
    <w:abstractNumId w:val="20"/>
  </w:num>
  <w:num w:numId="34" w16cid:durableId="188957092">
    <w:abstractNumId w:val="23"/>
  </w:num>
  <w:num w:numId="35" w16cid:durableId="1051929567">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09308740">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7561354">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2949598">
    <w:abstractNumId w:val="2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2998907">
    <w:abstractNumId w:val="23"/>
  </w:num>
  <w:num w:numId="40" w16cid:durableId="626816953">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02206314">
    <w:abstractNumId w:val="2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7886993">
    <w:abstractNumId w:val="2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95780784">
    <w:abstractNumId w:val="23"/>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4795725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3465"/>
    <w:rsid w:val="0000434E"/>
    <w:rsid w:val="000051F7"/>
    <w:rsid w:val="000211A9"/>
    <w:rsid w:val="00021238"/>
    <w:rsid w:val="00022071"/>
    <w:rsid w:val="00031260"/>
    <w:rsid w:val="0003681A"/>
    <w:rsid w:val="000372B7"/>
    <w:rsid w:val="00050F6E"/>
    <w:rsid w:val="00061EC2"/>
    <w:rsid w:val="00066CE8"/>
    <w:rsid w:val="00075F0D"/>
    <w:rsid w:val="00077FD6"/>
    <w:rsid w:val="00080ED0"/>
    <w:rsid w:val="00085B8F"/>
    <w:rsid w:val="00090481"/>
    <w:rsid w:val="000913AA"/>
    <w:rsid w:val="000A3826"/>
    <w:rsid w:val="000A6C26"/>
    <w:rsid w:val="000B36C8"/>
    <w:rsid w:val="000D52A4"/>
    <w:rsid w:val="000E07BC"/>
    <w:rsid w:val="000E2E21"/>
    <w:rsid w:val="000F1CD4"/>
    <w:rsid w:val="000F4103"/>
    <w:rsid w:val="000F70A7"/>
    <w:rsid w:val="00104B1D"/>
    <w:rsid w:val="00113CCA"/>
    <w:rsid w:val="00122F25"/>
    <w:rsid w:val="00135980"/>
    <w:rsid w:val="00136F54"/>
    <w:rsid w:val="0013786F"/>
    <w:rsid w:val="00144BF7"/>
    <w:rsid w:val="001563A5"/>
    <w:rsid w:val="001604E7"/>
    <w:rsid w:val="00164719"/>
    <w:rsid w:val="00166FC4"/>
    <w:rsid w:val="001677AC"/>
    <w:rsid w:val="001804EA"/>
    <w:rsid w:val="00190A61"/>
    <w:rsid w:val="00191C31"/>
    <w:rsid w:val="00197179"/>
    <w:rsid w:val="001A2215"/>
    <w:rsid w:val="001A2F97"/>
    <w:rsid w:val="001A3342"/>
    <w:rsid w:val="001A3E3D"/>
    <w:rsid w:val="001A7049"/>
    <w:rsid w:val="001B1E40"/>
    <w:rsid w:val="001C764E"/>
    <w:rsid w:val="001D363D"/>
    <w:rsid w:val="001D4E83"/>
    <w:rsid w:val="001E1052"/>
    <w:rsid w:val="001E21B1"/>
    <w:rsid w:val="001E2F93"/>
    <w:rsid w:val="001E4554"/>
    <w:rsid w:val="001E5321"/>
    <w:rsid w:val="001E61E5"/>
    <w:rsid w:val="001E754E"/>
    <w:rsid w:val="001F1E1D"/>
    <w:rsid w:val="001F2159"/>
    <w:rsid w:val="001F53FD"/>
    <w:rsid w:val="001F64A7"/>
    <w:rsid w:val="00210B8B"/>
    <w:rsid w:val="00214863"/>
    <w:rsid w:val="002156B4"/>
    <w:rsid w:val="00217D4B"/>
    <w:rsid w:val="00222D9A"/>
    <w:rsid w:val="00224FCD"/>
    <w:rsid w:val="00246A17"/>
    <w:rsid w:val="00253222"/>
    <w:rsid w:val="00261C13"/>
    <w:rsid w:val="00262847"/>
    <w:rsid w:val="0027109A"/>
    <w:rsid w:val="002767B2"/>
    <w:rsid w:val="00281BB2"/>
    <w:rsid w:val="002A03C3"/>
    <w:rsid w:val="002B254E"/>
    <w:rsid w:val="002B4CE8"/>
    <w:rsid w:val="002B72E9"/>
    <w:rsid w:val="002C2749"/>
    <w:rsid w:val="002C7998"/>
    <w:rsid w:val="002D6935"/>
    <w:rsid w:val="002F1E53"/>
    <w:rsid w:val="002F2CAA"/>
    <w:rsid w:val="0030052C"/>
    <w:rsid w:val="00303DE8"/>
    <w:rsid w:val="00327028"/>
    <w:rsid w:val="003306E1"/>
    <w:rsid w:val="00330CDE"/>
    <w:rsid w:val="003320E4"/>
    <w:rsid w:val="0033525D"/>
    <w:rsid w:val="00337497"/>
    <w:rsid w:val="003414F3"/>
    <w:rsid w:val="003479EB"/>
    <w:rsid w:val="003548CB"/>
    <w:rsid w:val="0035613E"/>
    <w:rsid w:val="00363EE9"/>
    <w:rsid w:val="00376128"/>
    <w:rsid w:val="0037742E"/>
    <w:rsid w:val="00377D56"/>
    <w:rsid w:val="0038245A"/>
    <w:rsid w:val="003840E6"/>
    <w:rsid w:val="00385CFC"/>
    <w:rsid w:val="0039337A"/>
    <w:rsid w:val="00393478"/>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4100"/>
    <w:rsid w:val="004477C0"/>
    <w:rsid w:val="004504A9"/>
    <w:rsid w:val="00456EB4"/>
    <w:rsid w:val="00457827"/>
    <w:rsid w:val="004718F3"/>
    <w:rsid w:val="00475040"/>
    <w:rsid w:val="00481C71"/>
    <w:rsid w:val="00483708"/>
    <w:rsid w:val="00490C06"/>
    <w:rsid w:val="00493D40"/>
    <w:rsid w:val="00493EE3"/>
    <w:rsid w:val="004967B6"/>
    <w:rsid w:val="004A504B"/>
    <w:rsid w:val="004A6911"/>
    <w:rsid w:val="004B3652"/>
    <w:rsid w:val="004B54E0"/>
    <w:rsid w:val="004B7384"/>
    <w:rsid w:val="004C3364"/>
    <w:rsid w:val="004C4269"/>
    <w:rsid w:val="004D6236"/>
    <w:rsid w:val="004D7F90"/>
    <w:rsid w:val="004E4C5B"/>
    <w:rsid w:val="004E4DBB"/>
    <w:rsid w:val="004E4E41"/>
    <w:rsid w:val="004E73DB"/>
    <w:rsid w:val="004E7F9C"/>
    <w:rsid w:val="004F3493"/>
    <w:rsid w:val="004F4C1A"/>
    <w:rsid w:val="004F5143"/>
    <w:rsid w:val="005051F0"/>
    <w:rsid w:val="00512B09"/>
    <w:rsid w:val="005220ED"/>
    <w:rsid w:val="00533796"/>
    <w:rsid w:val="00537343"/>
    <w:rsid w:val="005516F3"/>
    <w:rsid w:val="00555D75"/>
    <w:rsid w:val="00560DF0"/>
    <w:rsid w:val="0056759C"/>
    <w:rsid w:val="0059513E"/>
    <w:rsid w:val="005A6A82"/>
    <w:rsid w:val="005A6AA4"/>
    <w:rsid w:val="005A6D9F"/>
    <w:rsid w:val="005B48FF"/>
    <w:rsid w:val="005C1E32"/>
    <w:rsid w:val="005C670D"/>
    <w:rsid w:val="005D363F"/>
    <w:rsid w:val="005E2C67"/>
    <w:rsid w:val="00604C15"/>
    <w:rsid w:val="00610E6C"/>
    <w:rsid w:val="006158D5"/>
    <w:rsid w:val="006227A4"/>
    <w:rsid w:val="00625D83"/>
    <w:rsid w:val="00631A53"/>
    <w:rsid w:val="00651984"/>
    <w:rsid w:val="00653AF4"/>
    <w:rsid w:val="006623E7"/>
    <w:rsid w:val="00662B80"/>
    <w:rsid w:val="0066768F"/>
    <w:rsid w:val="006709E3"/>
    <w:rsid w:val="00670F6C"/>
    <w:rsid w:val="0067205E"/>
    <w:rsid w:val="00676E58"/>
    <w:rsid w:val="006852C7"/>
    <w:rsid w:val="006852CE"/>
    <w:rsid w:val="00692D14"/>
    <w:rsid w:val="006958CE"/>
    <w:rsid w:val="006A2A9E"/>
    <w:rsid w:val="006A7A3B"/>
    <w:rsid w:val="006B65C7"/>
    <w:rsid w:val="006C1727"/>
    <w:rsid w:val="006C32FD"/>
    <w:rsid w:val="006C39CE"/>
    <w:rsid w:val="006C61E1"/>
    <w:rsid w:val="006D0FCC"/>
    <w:rsid w:val="006D21F5"/>
    <w:rsid w:val="006D3089"/>
    <w:rsid w:val="006E126D"/>
    <w:rsid w:val="006E1FC3"/>
    <w:rsid w:val="006F03D0"/>
    <w:rsid w:val="006F2381"/>
    <w:rsid w:val="00704CE9"/>
    <w:rsid w:val="0070616B"/>
    <w:rsid w:val="00706295"/>
    <w:rsid w:val="00706FDA"/>
    <w:rsid w:val="00711F9A"/>
    <w:rsid w:val="00713810"/>
    <w:rsid w:val="0072218E"/>
    <w:rsid w:val="007303A5"/>
    <w:rsid w:val="00730B3E"/>
    <w:rsid w:val="00733751"/>
    <w:rsid w:val="0073420B"/>
    <w:rsid w:val="00736367"/>
    <w:rsid w:val="0074760E"/>
    <w:rsid w:val="007548C4"/>
    <w:rsid w:val="00754ABA"/>
    <w:rsid w:val="00755715"/>
    <w:rsid w:val="00757E2E"/>
    <w:rsid w:val="00782B0D"/>
    <w:rsid w:val="00792803"/>
    <w:rsid w:val="0079781A"/>
    <w:rsid w:val="007A1546"/>
    <w:rsid w:val="007A228C"/>
    <w:rsid w:val="007A368E"/>
    <w:rsid w:val="007A3BC3"/>
    <w:rsid w:val="007A5868"/>
    <w:rsid w:val="007A73A6"/>
    <w:rsid w:val="007B04CE"/>
    <w:rsid w:val="007B2497"/>
    <w:rsid w:val="007B6871"/>
    <w:rsid w:val="007B7A2F"/>
    <w:rsid w:val="007C2B69"/>
    <w:rsid w:val="007C32EE"/>
    <w:rsid w:val="007C3D33"/>
    <w:rsid w:val="007D294A"/>
    <w:rsid w:val="007D47D2"/>
    <w:rsid w:val="007D6EC0"/>
    <w:rsid w:val="007D7E1D"/>
    <w:rsid w:val="007E503C"/>
    <w:rsid w:val="008029C8"/>
    <w:rsid w:val="0080345C"/>
    <w:rsid w:val="0082522F"/>
    <w:rsid w:val="00831979"/>
    <w:rsid w:val="00851352"/>
    <w:rsid w:val="00856260"/>
    <w:rsid w:val="00857077"/>
    <w:rsid w:val="00863230"/>
    <w:rsid w:val="00865BD0"/>
    <w:rsid w:val="008717D8"/>
    <w:rsid w:val="0087215C"/>
    <w:rsid w:val="00875D25"/>
    <w:rsid w:val="00880E35"/>
    <w:rsid w:val="008875FE"/>
    <w:rsid w:val="00887AA5"/>
    <w:rsid w:val="00887F8E"/>
    <w:rsid w:val="00891C0E"/>
    <w:rsid w:val="00896234"/>
    <w:rsid w:val="00897E43"/>
    <w:rsid w:val="008A28B4"/>
    <w:rsid w:val="008C222B"/>
    <w:rsid w:val="008C5738"/>
    <w:rsid w:val="008C73A0"/>
    <w:rsid w:val="008C7EAD"/>
    <w:rsid w:val="008D0CFE"/>
    <w:rsid w:val="008D6152"/>
    <w:rsid w:val="008D7076"/>
    <w:rsid w:val="008E7BA9"/>
    <w:rsid w:val="008F0F81"/>
    <w:rsid w:val="008F27BF"/>
    <w:rsid w:val="008F2E64"/>
    <w:rsid w:val="008F4CF8"/>
    <w:rsid w:val="009142EC"/>
    <w:rsid w:val="009145E4"/>
    <w:rsid w:val="009154C3"/>
    <w:rsid w:val="00923540"/>
    <w:rsid w:val="009239F8"/>
    <w:rsid w:val="00926767"/>
    <w:rsid w:val="009361D5"/>
    <w:rsid w:val="00941B79"/>
    <w:rsid w:val="009428A4"/>
    <w:rsid w:val="00960D12"/>
    <w:rsid w:val="009659F4"/>
    <w:rsid w:val="00970D60"/>
    <w:rsid w:val="00980E4B"/>
    <w:rsid w:val="009874D0"/>
    <w:rsid w:val="0099390E"/>
    <w:rsid w:val="009953B5"/>
    <w:rsid w:val="009960E5"/>
    <w:rsid w:val="00996AE8"/>
    <w:rsid w:val="009A0B3B"/>
    <w:rsid w:val="009A7ADC"/>
    <w:rsid w:val="009A7E60"/>
    <w:rsid w:val="009B0D30"/>
    <w:rsid w:val="009C19B7"/>
    <w:rsid w:val="009C5ABB"/>
    <w:rsid w:val="009D7C51"/>
    <w:rsid w:val="009E196C"/>
    <w:rsid w:val="009E6A0A"/>
    <w:rsid w:val="009F36BF"/>
    <w:rsid w:val="009F7A85"/>
    <w:rsid w:val="00A111B6"/>
    <w:rsid w:val="00A14F41"/>
    <w:rsid w:val="00A23764"/>
    <w:rsid w:val="00A26D27"/>
    <w:rsid w:val="00A376EE"/>
    <w:rsid w:val="00A42A99"/>
    <w:rsid w:val="00A43AA6"/>
    <w:rsid w:val="00A5151A"/>
    <w:rsid w:val="00A57E0A"/>
    <w:rsid w:val="00A66E3B"/>
    <w:rsid w:val="00A7036F"/>
    <w:rsid w:val="00A77919"/>
    <w:rsid w:val="00A823F6"/>
    <w:rsid w:val="00A8719E"/>
    <w:rsid w:val="00A979A7"/>
    <w:rsid w:val="00AA0455"/>
    <w:rsid w:val="00AA0A89"/>
    <w:rsid w:val="00AA5368"/>
    <w:rsid w:val="00AA6429"/>
    <w:rsid w:val="00AB5229"/>
    <w:rsid w:val="00AB5296"/>
    <w:rsid w:val="00AC01AA"/>
    <w:rsid w:val="00AC3EE9"/>
    <w:rsid w:val="00AC4F72"/>
    <w:rsid w:val="00AC5041"/>
    <w:rsid w:val="00AC5601"/>
    <w:rsid w:val="00AE09BC"/>
    <w:rsid w:val="00AE482E"/>
    <w:rsid w:val="00AF1B39"/>
    <w:rsid w:val="00AF741A"/>
    <w:rsid w:val="00B00788"/>
    <w:rsid w:val="00B01ADB"/>
    <w:rsid w:val="00B04161"/>
    <w:rsid w:val="00B056F9"/>
    <w:rsid w:val="00B11E3D"/>
    <w:rsid w:val="00B14D2C"/>
    <w:rsid w:val="00B17E82"/>
    <w:rsid w:val="00B20214"/>
    <w:rsid w:val="00B32392"/>
    <w:rsid w:val="00B4575A"/>
    <w:rsid w:val="00B46A93"/>
    <w:rsid w:val="00B51D38"/>
    <w:rsid w:val="00B575BA"/>
    <w:rsid w:val="00B61A68"/>
    <w:rsid w:val="00B71608"/>
    <w:rsid w:val="00B76429"/>
    <w:rsid w:val="00B86471"/>
    <w:rsid w:val="00B956D4"/>
    <w:rsid w:val="00B96631"/>
    <w:rsid w:val="00B97446"/>
    <w:rsid w:val="00BA354C"/>
    <w:rsid w:val="00BA7432"/>
    <w:rsid w:val="00BB2764"/>
    <w:rsid w:val="00BB318F"/>
    <w:rsid w:val="00BC1AA0"/>
    <w:rsid w:val="00BC2495"/>
    <w:rsid w:val="00BC314A"/>
    <w:rsid w:val="00BC52DA"/>
    <w:rsid w:val="00BC7EB9"/>
    <w:rsid w:val="00BD2643"/>
    <w:rsid w:val="00BD56B1"/>
    <w:rsid w:val="00BD6558"/>
    <w:rsid w:val="00BE5726"/>
    <w:rsid w:val="00BF2AD7"/>
    <w:rsid w:val="00BF2D04"/>
    <w:rsid w:val="00BF2F76"/>
    <w:rsid w:val="00BF3022"/>
    <w:rsid w:val="00BF3214"/>
    <w:rsid w:val="00BF5573"/>
    <w:rsid w:val="00BF63B9"/>
    <w:rsid w:val="00C15867"/>
    <w:rsid w:val="00C22398"/>
    <w:rsid w:val="00C2296D"/>
    <w:rsid w:val="00C23155"/>
    <w:rsid w:val="00C40C41"/>
    <w:rsid w:val="00C45885"/>
    <w:rsid w:val="00C50F22"/>
    <w:rsid w:val="00C57971"/>
    <w:rsid w:val="00C5799C"/>
    <w:rsid w:val="00C615BD"/>
    <w:rsid w:val="00C65BD7"/>
    <w:rsid w:val="00C75679"/>
    <w:rsid w:val="00C76BA4"/>
    <w:rsid w:val="00C83A48"/>
    <w:rsid w:val="00C85865"/>
    <w:rsid w:val="00C85E85"/>
    <w:rsid w:val="00C926C8"/>
    <w:rsid w:val="00C9281E"/>
    <w:rsid w:val="00C9699B"/>
    <w:rsid w:val="00CA2EAE"/>
    <w:rsid w:val="00CA4AC1"/>
    <w:rsid w:val="00CA4D81"/>
    <w:rsid w:val="00CA59FB"/>
    <w:rsid w:val="00CB0316"/>
    <w:rsid w:val="00CB0B11"/>
    <w:rsid w:val="00CB1DBA"/>
    <w:rsid w:val="00CB426A"/>
    <w:rsid w:val="00CB5354"/>
    <w:rsid w:val="00CB65AB"/>
    <w:rsid w:val="00CC3C9E"/>
    <w:rsid w:val="00CC6A14"/>
    <w:rsid w:val="00CC70A3"/>
    <w:rsid w:val="00CC7CF1"/>
    <w:rsid w:val="00CD4442"/>
    <w:rsid w:val="00CD53C3"/>
    <w:rsid w:val="00CD574E"/>
    <w:rsid w:val="00CE02E2"/>
    <w:rsid w:val="00CE4C22"/>
    <w:rsid w:val="00CE76E5"/>
    <w:rsid w:val="00CF41EC"/>
    <w:rsid w:val="00CF5D04"/>
    <w:rsid w:val="00D04DE4"/>
    <w:rsid w:val="00D063F1"/>
    <w:rsid w:val="00D11735"/>
    <w:rsid w:val="00D14F22"/>
    <w:rsid w:val="00D25253"/>
    <w:rsid w:val="00D307C6"/>
    <w:rsid w:val="00D323CC"/>
    <w:rsid w:val="00D4741C"/>
    <w:rsid w:val="00D522A2"/>
    <w:rsid w:val="00D57918"/>
    <w:rsid w:val="00D73DC6"/>
    <w:rsid w:val="00D747BB"/>
    <w:rsid w:val="00D74C1A"/>
    <w:rsid w:val="00D754C1"/>
    <w:rsid w:val="00D77393"/>
    <w:rsid w:val="00D77A35"/>
    <w:rsid w:val="00D81B3E"/>
    <w:rsid w:val="00D90C70"/>
    <w:rsid w:val="00D90E49"/>
    <w:rsid w:val="00D9697C"/>
    <w:rsid w:val="00D96ADE"/>
    <w:rsid w:val="00DA0CE2"/>
    <w:rsid w:val="00DA2387"/>
    <w:rsid w:val="00DC6A10"/>
    <w:rsid w:val="00DE41D9"/>
    <w:rsid w:val="00DE657E"/>
    <w:rsid w:val="00DF4704"/>
    <w:rsid w:val="00E024AA"/>
    <w:rsid w:val="00E03D73"/>
    <w:rsid w:val="00E056AA"/>
    <w:rsid w:val="00E139C9"/>
    <w:rsid w:val="00E14C57"/>
    <w:rsid w:val="00E15C77"/>
    <w:rsid w:val="00E1693E"/>
    <w:rsid w:val="00E250F1"/>
    <w:rsid w:val="00E33263"/>
    <w:rsid w:val="00E3550D"/>
    <w:rsid w:val="00E44C93"/>
    <w:rsid w:val="00E478E9"/>
    <w:rsid w:val="00E52838"/>
    <w:rsid w:val="00E61330"/>
    <w:rsid w:val="00E614E0"/>
    <w:rsid w:val="00E61DEE"/>
    <w:rsid w:val="00E62175"/>
    <w:rsid w:val="00E73F7F"/>
    <w:rsid w:val="00E753E8"/>
    <w:rsid w:val="00E83D37"/>
    <w:rsid w:val="00E85409"/>
    <w:rsid w:val="00E9339B"/>
    <w:rsid w:val="00EA23D6"/>
    <w:rsid w:val="00EA429F"/>
    <w:rsid w:val="00EA4F9E"/>
    <w:rsid w:val="00EA63CA"/>
    <w:rsid w:val="00EA6D3B"/>
    <w:rsid w:val="00EB00AD"/>
    <w:rsid w:val="00EB136C"/>
    <w:rsid w:val="00EB480E"/>
    <w:rsid w:val="00EB5EC6"/>
    <w:rsid w:val="00EB7FC9"/>
    <w:rsid w:val="00ED27E8"/>
    <w:rsid w:val="00ED390D"/>
    <w:rsid w:val="00ED3A44"/>
    <w:rsid w:val="00ED7137"/>
    <w:rsid w:val="00EE2FA2"/>
    <w:rsid w:val="00EF06EA"/>
    <w:rsid w:val="00F00FE7"/>
    <w:rsid w:val="00F07604"/>
    <w:rsid w:val="00F21088"/>
    <w:rsid w:val="00F326BF"/>
    <w:rsid w:val="00F327E7"/>
    <w:rsid w:val="00F35746"/>
    <w:rsid w:val="00F40DD7"/>
    <w:rsid w:val="00F447C7"/>
    <w:rsid w:val="00F459B4"/>
    <w:rsid w:val="00F5211B"/>
    <w:rsid w:val="00F554A9"/>
    <w:rsid w:val="00F7025C"/>
    <w:rsid w:val="00F716FD"/>
    <w:rsid w:val="00F80355"/>
    <w:rsid w:val="00F81A98"/>
    <w:rsid w:val="00F86E2B"/>
    <w:rsid w:val="00F87C43"/>
    <w:rsid w:val="00FA0F94"/>
    <w:rsid w:val="00FA5722"/>
    <w:rsid w:val="00FB0C81"/>
    <w:rsid w:val="00FC2200"/>
    <w:rsid w:val="00FC2540"/>
    <w:rsid w:val="00FD6DEB"/>
    <w:rsid w:val="00FE0DE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560211BF-FE62-462D-B2D4-84094E3D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3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9"/>
      </w:numPr>
      <w:spacing w:before="240" w:after="60"/>
      <w:outlineLvl w:val="5"/>
    </w:pPr>
    <w:rPr>
      <w:rFonts w:ascii="Arial" w:hAnsi="Arial"/>
      <w:i/>
    </w:rPr>
  </w:style>
  <w:style w:type="paragraph" w:styleId="Heading7">
    <w:name w:val="heading 7"/>
    <w:basedOn w:val="Normal"/>
    <w:next w:val="Normal"/>
    <w:qFormat/>
    <w:rsid w:val="00A5151A"/>
    <w:pPr>
      <w:numPr>
        <w:ilvl w:val="6"/>
        <w:numId w:val="3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Geneva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217D4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217D4B"/>
  </w:style>
  <w:style w:type="character" w:customStyle="1" w:styleId="eop">
    <w:name w:val="eop"/>
    <w:basedOn w:val="DefaultParagraphFont"/>
    <w:rsid w:val="00217D4B"/>
  </w:style>
  <w:style w:type="paragraph" w:styleId="ListParagraph">
    <w:name w:val="List Paragraph"/>
    <w:basedOn w:val="Normal"/>
    <w:uiPriority w:val="34"/>
    <w:qFormat/>
    <w:rsid w:val="007A3BC3"/>
    <w:pPr>
      <w:ind w:left="720"/>
      <w:contextualSpacing/>
    </w:pPr>
  </w:style>
  <w:style w:type="character" w:customStyle="1" w:styleId="Style4Char">
    <w:name w:val="Style 4 Char"/>
    <w:basedOn w:val="DefaultParagraphFont"/>
    <w:link w:val="Style4"/>
    <w:locked/>
    <w:rsid w:val="00891C0E"/>
    <w:rPr>
      <w:b/>
      <w:sz w:val="22"/>
      <w:szCs w:val="22"/>
      <w:lang w:val="en-CA"/>
    </w:rPr>
  </w:style>
  <w:style w:type="paragraph" w:customStyle="1" w:styleId="Style4">
    <w:name w:val="Style 4"/>
    <w:basedOn w:val="Normal"/>
    <w:link w:val="Style4Char"/>
    <w:autoRedefine/>
    <w:qFormat/>
    <w:rsid w:val="00891C0E"/>
    <w:pPr>
      <w:keepNext/>
      <w:numPr>
        <w:numId w:val="30"/>
      </w:numPr>
      <w:spacing w:after="240"/>
      <w:ind w:hanging="720"/>
    </w:pPr>
    <w:rPr>
      <w:b/>
    </w:rPr>
  </w:style>
  <w:style w:type="paragraph" w:customStyle="1" w:styleId="BVIfnrChar">
    <w:name w:val="BVI fnr Char"/>
    <w:aliases w:val="BVI fnr Car Car Char,BVI fnr Car Char,BVI fnr Car Car Car Car Char,4_G Char Char"/>
    <w:basedOn w:val="Normal"/>
    <w:link w:val="FootnoteReference"/>
    <w:uiPriority w:val="99"/>
    <w:rsid w:val="006C61E1"/>
    <w:pPr>
      <w:spacing w:after="160" w:line="240" w:lineRule="exact"/>
      <w:jc w:val="left"/>
    </w:pPr>
    <w:rPr>
      <w:sz w:val="20"/>
      <w:szCs w:val="20"/>
      <w:vertAlign w:val="superscript"/>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CB65AB"/>
    <w:pPr>
      <w:spacing w:after="160" w:line="240" w:lineRule="exact"/>
    </w:pPr>
    <w:rPr>
      <w:sz w:val="20"/>
      <w:szCs w:val="20"/>
      <w:vertAlign w:val="superscript"/>
      <w:lang w:val="en-US"/>
    </w:rPr>
  </w:style>
  <w:style w:type="paragraph" w:styleId="BodyText">
    <w:name w:val="Body Text"/>
    <w:basedOn w:val="Normal"/>
    <w:link w:val="BodyTextChar"/>
    <w:uiPriority w:val="99"/>
    <w:semiHidden/>
    <w:unhideWhenUsed/>
    <w:rsid w:val="00733751"/>
    <w:pPr>
      <w:spacing w:after="120"/>
    </w:pPr>
  </w:style>
  <w:style w:type="character" w:customStyle="1" w:styleId="BodyTextChar">
    <w:name w:val="Body Text Char"/>
    <w:basedOn w:val="DefaultParagraphFont"/>
    <w:link w:val="BodyText"/>
    <w:uiPriority w:val="99"/>
    <w:semiHidden/>
    <w:rsid w:val="00733751"/>
    <w:rPr>
      <w:sz w:val="22"/>
      <w:szCs w:val="22"/>
      <w:lang w:val="en-CA"/>
    </w:rPr>
  </w:style>
  <w:style w:type="paragraph" w:styleId="Revision">
    <w:name w:val="Revision"/>
    <w:hidden/>
    <w:uiPriority w:val="99"/>
    <w:semiHidden/>
    <w:rsid w:val="00E14C5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66380">
      <w:bodyDiv w:val="1"/>
      <w:marLeft w:val="0"/>
      <w:marRight w:val="0"/>
      <w:marTop w:val="0"/>
      <w:marBottom w:val="0"/>
      <w:divBdr>
        <w:top w:val="none" w:sz="0" w:space="0" w:color="auto"/>
        <w:left w:val="none" w:sz="0" w:space="0" w:color="auto"/>
        <w:bottom w:val="none" w:sz="0" w:space="0" w:color="auto"/>
        <w:right w:val="none" w:sz="0" w:space="0" w:color="auto"/>
      </w:divBdr>
      <w:divsChild>
        <w:div w:id="1894729190">
          <w:marLeft w:val="0"/>
          <w:marRight w:val="0"/>
          <w:marTop w:val="0"/>
          <w:marBottom w:val="0"/>
          <w:divBdr>
            <w:top w:val="none" w:sz="0" w:space="0" w:color="auto"/>
            <w:left w:val="none" w:sz="0" w:space="0" w:color="auto"/>
            <w:bottom w:val="none" w:sz="0" w:space="0" w:color="auto"/>
            <w:right w:val="none" w:sz="0" w:space="0" w:color="auto"/>
          </w:divBdr>
          <w:divsChild>
            <w:div w:id="1527478747">
              <w:marLeft w:val="0"/>
              <w:marRight w:val="0"/>
              <w:marTop w:val="0"/>
              <w:marBottom w:val="0"/>
              <w:divBdr>
                <w:top w:val="none" w:sz="0" w:space="0" w:color="auto"/>
                <w:left w:val="none" w:sz="0" w:space="0" w:color="auto"/>
                <w:bottom w:val="none" w:sz="0" w:space="0" w:color="auto"/>
                <w:right w:val="none" w:sz="0" w:space="0" w:color="auto"/>
              </w:divBdr>
            </w:div>
          </w:divsChild>
        </w:div>
        <w:div w:id="1170101994">
          <w:marLeft w:val="0"/>
          <w:marRight w:val="0"/>
          <w:marTop w:val="0"/>
          <w:marBottom w:val="0"/>
          <w:divBdr>
            <w:top w:val="none" w:sz="0" w:space="0" w:color="auto"/>
            <w:left w:val="none" w:sz="0" w:space="0" w:color="auto"/>
            <w:bottom w:val="none" w:sz="0" w:space="0" w:color="auto"/>
            <w:right w:val="none" w:sz="0" w:space="0" w:color="auto"/>
          </w:divBdr>
          <w:divsChild>
            <w:div w:id="448163880">
              <w:marLeft w:val="0"/>
              <w:marRight w:val="0"/>
              <w:marTop w:val="0"/>
              <w:marBottom w:val="0"/>
              <w:divBdr>
                <w:top w:val="none" w:sz="0" w:space="0" w:color="auto"/>
                <w:left w:val="none" w:sz="0" w:space="0" w:color="auto"/>
                <w:bottom w:val="none" w:sz="0" w:space="0" w:color="auto"/>
                <w:right w:val="none" w:sz="0" w:space="0" w:color="auto"/>
              </w:divBdr>
            </w:div>
          </w:divsChild>
        </w:div>
        <w:div w:id="573509163">
          <w:marLeft w:val="0"/>
          <w:marRight w:val="0"/>
          <w:marTop w:val="0"/>
          <w:marBottom w:val="0"/>
          <w:divBdr>
            <w:top w:val="none" w:sz="0" w:space="0" w:color="auto"/>
            <w:left w:val="none" w:sz="0" w:space="0" w:color="auto"/>
            <w:bottom w:val="none" w:sz="0" w:space="0" w:color="auto"/>
            <w:right w:val="none" w:sz="0" w:space="0" w:color="auto"/>
          </w:divBdr>
          <w:divsChild>
            <w:div w:id="1955817874">
              <w:marLeft w:val="0"/>
              <w:marRight w:val="0"/>
              <w:marTop w:val="0"/>
              <w:marBottom w:val="0"/>
              <w:divBdr>
                <w:top w:val="none" w:sz="0" w:space="0" w:color="auto"/>
                <w:left w:val="none" w:sz="0" w:space="0" w:color="auto"/>
                <w:bottom w:val="none" w:sz="0" w:space="0" w:color="auto"/>
                <w:right w:val="none" w:sz="0" w:space="0" w:color="auto"/>
              </w:divBdr>
            </w:div>
          </w:divsChild>
        </w:div>
        <w:div w:id="405691244">
          <w:marLeft w:val="0"/>
          <w:marRight w:val="0"/>
          <w:marTop w:val="0"/>
          <w:marBottom w:val="0"/>
          <w:divBdr>
            <w:top w:val="none" w:sz="0" w:space="0" w:color="auto"/>
            <w:left w:val="none" w:sz="0" w:space="0" w:color="auto"/>
            <w:bottom w:val="none" w:sz="0" w:space="0" w:color="auto"/>
            <w:right w:val="none" w:sz="0" w:space="0" w:color="auto"/>
          </w:divBdr>
          <w:divsChild>
            <w:div w:id="1929003283">
              <w:marLeft w:val="0"/>
              <w:marRight w:val="0"/>
              <w:marTop w:val="0"/>
              <w:marBottom w:val="0"/>
              <w:divBdr>
                <w:top w:val="none" w:sz="0" w:space="0" w:color="auto"/>
                <w:left w:val="none" w:sz="0" w:space="0" w:color="auto"/>
                <w:bottom w:val="none" w:sz="0" w:space="0" w:color="auto"/>
                <w:right w:val="none" w:sz="0" w:space="0" w:color="auto"/>
              </w:divBdr>
            </w:div>
          </w:divsChild>
        </w:div>
        <w:div w:id="93988710">
          <w:marLeft w:val="0"/>
          <w:marRight w:val="0"/>
          <w:marTop w:val="0"/>
          <w:marBottom w:val="0"/>
          <w:divBdr>
            <w:top w:val="none" w:sz="0" w:space="0" w:color="auto"/>
            <w:left w:val="none" w:sz="0" w:space="0" w:color="auto"/>
            <w:bottom w:val="none" w:sz="0" w:space="0" w:color="auto"/>
            <w:right w:val="none" w:sz="0" w:space="0" w:color="auto"/>
          </w:divBdr>
          <w:divsChild>
            <w:div w:id="1766342700">
              <w:marLeft w:val="0"/>
              <w:marRight w:val="0"/>
              <w:marTop w:val="0"/>
              <w:marBottom w:val="0"/>
              <w:divBdr>
                <w:top w:val="none" w:sz="0" w:space="0" w:color="auto"/>
                <w:left w:val="none" w:sz="0" w:space="0" w:color="auto"/>
                <w:bottom w:val="none" w:sz="0" w:space="0" w:color="auto"/>
                <w:right w:val="none" w:sz="0" w:space="0" w:color="auto"/>
              </w:divBdr>
            </w:div>
          </w:divsChild>
        </w:div>
        <w:div w:id="433718931">
          <w:marLeft w:val="0"/>
          <w:marRight w:val="0"/>
          <w:marTop w:val="0"/>
          <w:marBottom w:val="0"/>
          <w:divBdr>
            <w:top w:val="none" w:sz="0" w:space="0" w:color="auto"/>
            <w:left w:val="none" w:sz="0" w:space="0" w:color="auto"/>
            <w:bottom w:val="none" w:sz="0" w:space="0" w:color="auto"/>
            <w:right w:val="none" w:sz="0" w:space="0" w:color="auto"/>
          </w:divBdr>
          <w:divsChild>
            <w:div w:id="372078150">
              <w:marLeft w:val="0"/>
              <w:marRight w:val="0"/>
              <w:marTop w:val="0"/>
              <w:marBottom w:val="0"/>
              <w:divBdr>
                <w:top w:val="none" w:sz="0" w:space="0" w:color="auto"/>
                <w:left w:val="none" w:sz="0" w:space="0" w:color="auto"/>
                <w:bottom w:val="none" w:sz="0" w:space="0" w:color="auto"/>
                <w:right w:val="none" w:sz="0" w:space="0" w:color="auto"/>
              </w:divBdr>
            </w:div>
          </w:divsChild>
        </w:div>
        <w:div w:id="1026326211">
          <w:marLeft w:val="0"/>
          <w:marRight w:val="0"/>
          <w:marTop w:val="0"/>
          <w:marBottom w:val="0"/>
          <w:divBdr>
            <w:top w:val="none" w:sz="0" w:space="0" w:color="auto"/>
            <w:left w:val="none" w:sz="0" w:space="0" w:color="auto"/>
            <w:bottom w:val="none" w:sz="0" w:space="0" w:color="auto"/>
            <w:right w:val="none" w:sz="0" w:space="0" w:color="auto"/>
          </w:divBdr>
          <w:divsChild>
            <w:div w:id="883952135">
              <w:marLeft w:val="0"/>
              <w:marRight w:val="0"/>
              <w:marTop w:val="0"/>
              <w:marBottom w:val="0"/>
              <w:divBdr>
                <w:top w:val="none" w:sz="0" w:space="0" w:color="auto"/>
                <w:left w:val="none" w:sz="0" w:space="0" w:color="auto"/>
                <w:bottom w:val="none" w:sz="0" w:space="0" w:color="auto"/>
                <w:right w:val="none" w:sz="0" w:space="0" w:color="auto"/>
              </w:divBdr>
            </w:div>
          </w:divsChild>
        </w:div>
        <w:div w:id="195890713">
          <w:marLeft w:val="0"/>
          <w:marRight w:val="0"/>
          <w:marTop w:val="0"/>
          <w:marBottom w:val="0"/>
          <w:divBdr>
            <w:top w:val="none" w:sz="0" w:space="0" w:color="auto"/>
            <w:left w:val="none" w:sz="0" w:space="0" w:color="auto"/>
            <w:bottom w:val="none" w:sz="0" w:space="0" w:color="auto"/>
            <w:right w:val="none" w:sz="0" w:space="0" w:color="auto"/>
          </w:divBdr>
          <w:divsChild>
            <w:div w:id="492647618">
              <w:marLeft w:val="0"/>
              <w:marRight w:val="0"/>
              <w:marTop w:val="0"/>
              <w:marBottom w:val="0"/>
              <w:divBdr>
                <w:top w:val="none" w:sz="0" w:space="0" w:color="auto"/>
                <w:left w:val="none" w:sz="0" w:space="0" w:color="auto"/>
                <w:bottom w:val="none" w:sz="0" w:space="0" w:color="auto"/>
                <w:right w:val="none" w:sz="0" w:space="0" w:color="auto"/>
              </w:divBdr>
            </w:div>
          </w:divsChild>
        </w:div>
        <w:div w:id="415171271">
          <w:marLeft w:val="0"/>
          <w:marRight w:val="0"/>
          <w:marTop w:val="0"/>
          <w:marBottom w:val="0"/>
          <w:divBdr>
            <w:top w:val="none" w:sz="0" w:space="0" w:color="auto"/>
            <w:left w:val="none" w:sz="0" w:space="0" w:color="auto"/>
            <w:bottom w:val="none" w:sz="0" w:space="0" w:color="auto"/>
            <w:right w:val="none" w:sz="0" w:space="0" w:color="auto"/>
          </w:divBdr>
          <w:divsChild>
            <w:div w:id="1530488423">
              <w:marLeft w:val="0"/>
              <w:marRight w:val="0"/>
              <w:marTop w:val="0"/>
              <w:marBottom w:val="0"/>
              <w:divBdr>
                <w:top w:val="none" w:sz="0" w:space="0" w:color="auto"/>
                <w:left w:val="none" w:sz="0" w:space="0" w:color="auto"/>
                <w:bottom w:val="none" w:sz="0" w:space="0" w:color="auto"/>
                <w:right w:val="none" w:sz="0" w:space="0" w:color="auto"/>
              </w:divBdr>
            </w:div>
          </w:divsChild>
        </w:div>
        <w:div w:id="1177845665">
          <w:marLeft w:val="0"/>
          <w:marRight w:val="0"/>
          <w:marTop w:val="0"/>
          <w:marBottom w:val="0"/>
          <w:divBdr>
            <w:top w:val="none" w:sz="0" w:space="0" w:color="auto"/>
            <w:left w:val="none" w:sz="0" w:space="0" w:color="auto"/>
            <w:bottom w:val="none" w:sz="0" w:space="0" w:color="auto"/>
            <w:right w:val="none" w:sz="0" w:space="0" w:color="auto"/>
          </w:divBdr>
          <w:divsChild>
            <w:div w:id="310645219">
              <w:marLeft w:val="0"/>
              <w:marRight w:val="0"/>
              <w:marTop w:val="0"/>
              <w:marBottom w:val="0"/>
              <w:divBdr>
                <w:top w:val="none" w:sz="0" w:space="0" w:color="auto"/>
                <w:left w:val="none" w:sz="0" w:space="0" w:color="auto"/>
                <w:bottom w:val="none" w:sz="0" w:space="0" w:color="auto"/>
                <w:right w:val="none" w:sz="0" w:space="0" w:color="auto"/>
              </w:divBdr>
            </w:div>
          </w:divsChild>
        </w:div>
        <w:div w:id="888761922">
          <w:marLeft w:val="0"/>
          <w:marRight w:val="0"/>
          <w:marTop w:val="0"/>
          <w:marBottom w:val="0"/>
          <w:divBdr>
            <w:top w:val="none" w:sz="0" w:space="0" w:color="auto"/>
            <w:left w:val="none" w:sz="0" w:space="0" w:color="auto"/>
            <w:bottom w:val="none" w:sz="0" w:space="0" w:color="auto"/>
            <w:right w:val="none" w:sz="0" w:space="0" w:color="auto"/>
          </w:divBdr>
          <w:divsChild>
            <w:div w:id="1654135284">
              <w:marLeft w:val="0"/>
              <w:marRight w:val="0"/>
              <w:marTop w:val="0"/>
              <w:marBottom w:val="0"/>
              <w:divBdr>
                <w:top w:val="none" w:sz="0" w:space="0" w:color="auto"/>
                <w:left w:val="none" w:sz="0" w:space="0" w:color="auto"/>
                <w:bottom w:val="none" w:sz="0" w:space="0" w:color="auto"/>
                <w:right w:val="none" w:sz="0" w:space="0" w:color="auto"/>
              </w:divBdr>
            </w:div>
          </w:divsChild>
        </w:div>
        <w:div w:id="1210724457">
          <w:marLeft w:val="0"/>
          <w:marRight w:val="0"/>
          <w:marTop w:val="0"/>
          <w:marBottom w:val="0"/>
          <w:divBdr>
            <w:top w:val="none" w:sz="0" w:space="0" w:color="auto"/>
            <w:left w:val="none" w:sz="0" w:space="0" w:color="auto"/>
            <w:bottom w:val="none" w:sz="0" w:space="0" w:color="auto"/>
            <w:right w:val="none" w:sz="0" w:space="0" w:color="auto"/>
          </w:divBdr>
          <w:divsChild>
            <w:div w:id="34931687">
              <w:marLeft w:val="0"/>
              <w:marRight w:val="0"/>
              <w:marTop w:val="0"/>
              <w:marBottom w:val="0"/>
              <w:divBdr>
                <w:top w:val="none" w:sz="0" w:space="0" w:color="auto"/>
                <w:left w:val="none" w:sz="0" w:space="0" w:color="auto"/>
                <w:bottom w:val="none" w:sz="0" w:space="0" w:color="auto"/>
                <w:right w:val="none" w:sz="0" w:space="0" w:color="auto"/>
              </w:divBdr>
            </w:div>
          </w:divsChild>
        </w:div>
        <w:div w:id="816844930">
          <w:marLeft w:val="0"/>
          <w:marRight w:val="0"/>
          <w:marTop w:val="0"/>
          <w:marBottom w:val="0"/>
          <w:divBdr>
            <w:top w:val="none" w:sz="0" w:space="0" w:color="auto"/>
            <w:left w:val="none" w:sz="0" w:space="0" w:color="auto"/>
            <w:bottom w:val="none" w:sz="0" w:space="0" w:color="auto"/>
            <w:right w:val="none" w:sz="0" w:space="0" w:color="auto"/>
          </w:divBdr>
          <w:divsChild>
            <w:div w:id="1408112469">
              <w:marLeft w:val="0"/>
              <w:marRight w:val="0"/>
              <w:marTop w:val="0"/>
              <w:marBottom w:val="0"/>
              <w:divBdr>
                <w:top w:val="none" w:sz="0" w:space="0" w:color="auto"/>
                <w:left w:val="none" w:sz="0" w:space="0" w:color="auto"/>
                <w:bottom w:val="none" w:sz="0" w:space="0" w:color="auto"/>
                <w:right w:val="none" w:sz="0" w:space="0" w:color="auto"/>
              </w:divBdr>
            </w:div>
          </w:divsChild>
        </w:div>
        <w:div w:id="1587760001">
          <w:marLeft w:val="0"/>
          <w:marRight w:val="0"/>
          <w:marTop w:val="0"/>
          <w:marBottom w:val="0"/>
          <w:divBdr>
            <w:top w:val="none" w:sz="0" w:space="0" w:color="auto"/>
            <w:left w:val="none" w:sz="0" w:space="0" w:color="auto"/>
            <w:bottom w:val="none" w:sz="0" w:space="0" w:color="auto"/>
            <w:right w:val="none" w:sz="0" w:space="0" w:color="auto"/>
          </w:divBdr>
          <w:divsChild>
            <w:div w:id="1327318784">
              <w:marLeft w:val="0"/>
              <w:marRight w:val="0"/>
              <w:marTop w:val="0"/>
              <w:marBottom w:val="0"/>
              <w:divBdr>
                <w:top w:val="none" w:sz="0" w:space="0" w:color="auto"/>
                <w:left w:val="none" w:sz="0" w:space="0" w:color="auto"/>
                <w:bottom w:val="none" w:sz="0" w:space="0" w:color="auto"/>
                <w:right w:val="none" w:sz="0" w:space="0" w:color="auto"/>
              </w:divBdr>
            </w:div>
          </w:divsChild>
        </w:div>
        <w:div w:id="642930463">
          <w:marLeft w:val="0"/>
          <w:marRight w:val="0"/>
          <w:marTop w:val="0"/>
          <w:marBottom w:val="0"/>
          <w:divBdr>
            <w:top w:val="none" w:sz="0" w:space="0" w:color="auto"/>
            <w:left w:val="none" w:sz="0" w:space="0" w:color="auto"/>
            <w:bottom w:val="none" w:sz="0" w:space="0" w:color="auto"/>
            <w:right w:val="none" w:sz="0" w:space="0" w:color="auto"/>
          </w:divBdr>
          <w:divsChild>
            <w:div w:id="1100174706">
              <w:marLeft w:val="0"/>
              <w:marRight w:val="0"/>
              <w:marTop w:val="0"/>
              <w:marBottom w:val="0"/>
              <w:divBdr>
                <w:top w:val="none" w:sz="0" w:space="0" w:color="auto"/>
                <w:left w:val="none" w:sz="0" w:space="0" w:color="auto"/>
                <w:bottom w:val="none" w:sz="0" w:space="0" w:color="auto"/>
                <w:right w:val="none" w:sz="0" w:space="0" w:color="auto"/>
              </w:divBdr>
            </w:div>
          </w:divsChild>
        </w:div>
        <w:div w:id="377975360">
          <w:marLeft w:val="0"/>
          <w:marRight w:val="0"/>
          <w:marTop w:val="0"/>
          <w:marBottom w:val="0"/>
          <w:divBdr>
            <w:top w:val="none" w:sz="0" w:space="0" w:color="auto"/>
            <w:left w:val="none" w:sz="0" w:space="0" w:color="auto"/>
            <w:bottom w:val="none" w:sz="0" w:space="0" w:color="auto"/>
            <w:right w:val="none" w:sz="0" w:space="0" w:color="auto"/>
          </w:divBdr>
          <w:divsChild>
            <w:div w:id="1944729985">
              <w:marLeft w:val="0"/>
              <w:marRight w:val="0"/>
              <w:marTop w:val="0"/>
              <w:marBottom w:val="0"/>
              <w:divBdr>
                <w:top w:val="none" w:sz="0" w:space="0" w:color="auto"/>
                <w:left w:val="none" w:sz="0" w:space="0" w:color="auto"/>
                <w:bottom w:val="none" w:sz="0" w:space="0" w:color="auto"/>
                <w:right w:val="none" w:sz="0" w:space="0" w:color="auto"/>
              </w:divBdr>
            </w:div>
          </w:divsChild>
        </w:div>
        <w:div w:id="1283882726">
          <w:marLeft w:val="0"/>
          <w:marRight w:val="0"/>
          <w:marTop w:val="0"/>
          <w:marBottom w:val="0"/>
          <w:divBdr>
            <w:top w:val="none" w:sz="0" w:space="0" w:color="auto"/>
            <w:left w:val="none" w:sz="0" w:space="0" w:color="auto"/>
            <w:bottom w:val="none" w:sz="0" w:space="0" w:color="auto"/>
            <w:right w:val="none" w:sz="0" w:space="0" w:color="auto"/>
          </w:divBdr>
          <w:divsChild>
            <w:div w:id="537158488">
              <w:marLeft w:val="0"/>
              <w:marRight w:val="0"/>
              <w:marTop w:val="0"/>
              <w:marBottom w:val="0"/>
              <w:divBdr>
                <w:top w:val="none" w:sz="0" w:space="0" w:color="auto"/>
                <w:left w:val="none" w:sz="0" w:space="0" w:color="auto"/>
                <w:bottom w:val="none" w:sz="0" w:space="0" w:color="auto"/>
                <w:right w:val="none" w:sz="0" w:space="0" w:color="auto"/>
              </w:divBdr>
            </w:div>
          </w:divsChild>
        </w:div>
        <w:div w:id="358244114">
          <w:marLeft w:val="0"/>
          <w:marRight w:val="0"/>
          <w:marTop w:val="0"/>
          <w:marBottom w:val="0"/>
          <w:divBdr>
            <w:top w:val="none" w:sz="0" w:space="0" w:color="auto"/>
            <w:left w:val="none" w:sz="0" w:space="0" w:color="auto"/>
            <w:bottom w:val="none" w:sz="0" w:space="0" w:color="auto"/>
            <w:right w:val="none" w:sz="0" w:space="0" w:color="auto"/>
          </w:divBdr>
          <w:divsChild>
            <w:div w:id="2119980218">
              <w:marLeft w:val="0"/>
              <w:marRight w:val="0"/>
              <w:marTop w:val="0"/>
              <w:marBottom w:val="0"/>
              <w:divBdr>
                <w:top w:val="none" w:sz="0" w:space="0" w:color="auto"/>
                <w:left w:val="none" w:sz="0" w:space="0" w:color="auto"/>
                <w:bottom w:val="none" w:sz="0" w:space="0" w:color="auto"/>
                <w:right w:val="none" w:sz="0" w:space="0" w:color="auto"/>
              </w:divBdr>
            </w:div>
          </w:divsChild>
        </w:div>
        <w:div w:id="602493945">
          <w:marLeft w:val="0"/>
          <w:marRight w:val="0"/>
          <w:marTop w:val="0"/>
          <w:marBottom w:val="0"/>
          <w:divBdr>
            <w:top w:val="none" w:sz="0" w:space="0" w:color="auto"/>
            <w:left w:val="none" w:sz="0" w:space="0" w:color="auto"/>
            <w:bottom w:val="none" w:sz="0" w:space="0" w:color="auto"/>
            <w:right w:val="none" w:sz="0" w:space="0" w:color="auto"/>
          </w:divBdr>
          <w:divsChild>
            <w:div w:id="1559198726">
              <w:marLeft w:val="0"/>
              <w:marRight w:val="0"/>
              <w:marTop w:val="0"/>
              <w:marBottom w:val="0"/>
              <w:divBdr>
                <w:top w:val="none" w:sz="0" w:space="0" w:color="auto"/>
                <w:left w:val="none" w:sz="0" w:space="0" w:color="auto"/>
                <w:bottom w:val="none" w:sz="0" w:space="0" w:color="auto"/>
                <w:right w:val="none" w:sz="0" w:space="0" w:color="auto"/>
              </w:divBdr>
            </w:div>
          </w:divsChild>
        </w:div>
        <w:div w:id="615721831">
          <w:marLeft w:val="0"/>
          <w:marRight w:val="0"/>
          <w:marTop w:val="0"/>
          <w:marBottom w:val="0"/>
          <w:divBdr>
            <w:top w:val="none" w:sz="0" w:space="0" w:color="auto"/>
            <w:left w:val="none" w:sz="0" w:space="0" w:color="auto"/>
            <w:bottom w:val="none" w:sz="0" w:space="0" w:color="auto"/>
            <w:right w:val="none" w:sz="0" w:space="0" w:color="auto"/>
          </w:divBdr>
          <w:divsChild>
            <w:div w:id="270014346">
              <w:marLeft w:val="0"/>
              <w:marRight w:val="0"/>
              <w:marTop w:val="0"/>
              <w:marBottom w:val="0"/>
              <w:divBdr>
                <w:top w:val="none" w:sz="0" w:space="0" w:color="auto"/>
                <w:left w:val="none" w:sz="0" w:space="0" w:color="auto"/>
                <w:bottom w:val="none" w:sz="0" w:space="0" w:color="auto"/>
                <w:right w:val="none" w:sz="0" w:space="0" w:color="auto"/>
              </w:divBdr>
            </w:div>
          </w:divsChild>
        </w:div>
        <w:div w:id="1083332024">
          <w:marLeft w:val="0"/>
          <w:marRight w:val="0"/>
          <w:marTop w:val="0"/>
          <w:marBottom w:val="0"/>
          <w:divBdr>
            <w:top w:val="none" w:sz="0" w:space="0" w:color="auto"/>
            <w:left w:val="none" w:sz="0" w:space="0" w:color="auto"/>
            <w:bottom w:val="none" w:sz="0" w:space="0" w:color="auto"/>
            <w:right w:val="none" w:sz="0" w:space="0" w:color="auto"/>
          </w:divBdr>
          <w:divsChild>
            <w:div w:id="886994277">
              <w:marLeft w:val="0"/>
              <w:marRight w:val="0"/>
              <w:marTop w:val="0"/>
              <w:marBottom w:val="0"/>
              <w:divBdr>
                <w:top w:val="none" w:sz="0" w:space="0" w:color="auto"/>
                <w:left w:val="none" w:sz="0" w:space="0" w:color="auto"/>
                <w:bottom w:val="none" w:sz="0" w:space="0" w:color="auto"/>
                <w:right w:val="none" w:sz="0" w:space="0" w:color="auto"/>
              </w:divBdr>
            </w:div>
          </w:divsChild>
        </w:div>
        <w:div w:id="1825123106">
          <w:marLeft w:val="0"/>
          <w:marRight w:val="0"/>
          <w:marTop w:val="0"/>
          <w:marBottom w:val="0"/>
          <w:divBdr>
            <w:top w:val="none" w:sz="0" w:space="0" w:color="auto"/>
            <w:left w:val="none" w:sz="0" w:space="0" w:color="auto"/>
            <w:bottom w:val="none" w:sz="0" w:space="0" w:color="auto"/>
            <w:right w:val="none" w:sz="0" w:space="0" w:color="auto"/>
          </w:divBdr>
          <w:divsChild>
            <w:div w:id="616058958">
              <w:marLeft w:val="0"/>
              <w:marRight w:val="0"/>
              <w:marTop w:val="0"/>
              <w:marBottom w:val="0"/>
              <w:divBdr>
                <w:top w:val="none" w:sz="0" w:space="0" w:color="auto"/>
                <w:left w:val="none" w:sz="0" w:space="0" w:color="auto"/>
                <w:bottom w:val="none" w:sz="0" w:space="0" w:color="auto"/>
                <w:right w:val="none" w:sz="0" w:space="0" w:color="auto"/>
              </w:divBdr>
            </w:div>
          </w:divsChild>
        </w:div>
        <w:div w:id="1074861882">
          <w:marLeft w:val="0"/>
          <w:marRight w:val="0"/>
          <w:marTop w:val="0"/>
          <w:marBottom w:val="0"/>
          <w:divBdr>
            <w:top w:val="none" w:sz="0" w:space="0" w:color="auto"/>
            <w:left w:val="none" w:sz="0" w:space="0" w:color="auto"/>
            <w:bottom w:val="none" w:sz="0" w:space="0" w:color="auto"/>
            <w:right w:val="none" w:sz="0" w:space="0" w:color="auto"/>
          </w:divBdr>
          <w:divsChild>
            <w:div w:id="1742603703">
              <w:marLeft w:val="0"/>
              <w:marRight w:val="0"/>
              <w:marTop w:val="0"/>
              <w:marBottom w:val="0"/>
              <w:divBdr>
                <w:top w:val="none" w:sz="0" w:space="0" w:color="auto"/>
                <w:left w:val="none" w:sz="0" w:space="0" w:color="auto"/>
                <w:bottom w:val="none" w:sz="0" w:space="0" w:color="auto"/>
                <w:right w:val="none" w:sz="0" w:space="0" w:color="auto"/>
              </w:divBdr>
            </w:div>
          </w:divsChild>
        </w:div>
        <w:div w:id="1557206798">
          <w:marLeft w:val="0"/>
          <w:marRight w:val="0"/>
          <w:marTop w:val="0"/>
          <w:marBottom w:val="0"/>
          <w:divBdr>
            <w:top w:val="none" w:sz="0" w:space="0" w:color="auto"/>
            <w:left w:val="none" w:sz="0" w:space="0" w:color="auto"/>
            <w:bottom w:val="none" w:sz="0" w:space="0" w:color="auto"/>
            <w:right w:val="none" w:sz="0" w:space="0" w:color="auto"/>
          </w:divBdr>
          <w:divsChild>
            <w:div w:id="245767472">
              <w:marLeft w:val="0"/>
              <w:marRight w:val="0"/>
              <w:marTop w:val="0"/>
              <w:marBottom w:val="0"/>
              <w:divBdr>
                <w:top w:val="none" w:sz="0" w:space="0" w:color="auto"/>
                <w:left w:val="none" w:sz="0" w:space="0" w:color="auto"/>
                <w:bottom w:val="none" w:sz="0" w:space="0" w:color="auto"/>
                <w:right w:val="none" w:sz="0" w:space="0" w:color="auto"/>
              </w:divBdr>
            </w:div>
          </w:divsChild>
        </w:div>
        <w:div w:id="35356274">
          <w:marLeft w:val="0"/>
          <w:marRight w:val="0"/>
          <w:marTop w:val="0"/>
          <w:marBottom w:val="0"/>
          <w:divBdr>
            <w:top w:val="none" w:sz="0" w:space="0" w:color="auto"/>
            <w:left w:val="none" w:sz="0" w:space="0" w:color="auto"/>
            <w:bottom w:val="none" w:sz="0" w:space="0" w:color="auto"/>
            <w:right w:val="none" w:sz="0" w:space="0" w:color="auto"/>
          </w:divBdr>
          <w:divsChild>
            <w:div w:id="1984847024">
              <w:marLeft w:val="0"/>
              <w:marRight w:val="0"/>
              <w:marTop w:val="0"/>
              <w:marBottom w:val="0"/>
              <w:divBdr>
                <w:top w:val="none" w:sz="0" w:space="0" w:color="auto"/>
                <w:left w:val="none" w:sz="0" w:space="0" w:color="auto"/>
                <w:bottom w:val="none" w:sz="0" w:space="0" w:color="auto"/>
                <w:right w:val="none" w:sz="0" w:space="0" w:color="auto"/>
              </w:divBdr>
            </w:div>
          </w:divsChild>
        </w:div>
        <w:div w:id="275871095">
          <w:marLeft w:val="0"/>
          <w:marRight w:val="0"/>
          <w:marTop w:val="0"/>
          <w:marBottom w:val="0"/>
          <w:divBdr>
            <w:top w:val="none" w:sz="0" w:space="0" w:color="auto"/>
            <w:left w:val="none" w:sz="0" w:space="0" w:color="auto"/>
            <w:bottom w:val="none" w:sz="0" w:space="0" w:color="auto"/>
            <w:right w:val="none" w:sz="0" w:space="0" w:color="auto"/>
          </w:divBdr>
          <w:divsChild>
            <w:div w:id="111754221">
              <w:marLeft w:val="0"/>
              <w:marRight w:val="0"/>
              <w:marTop w:val="0"/>
              <w:marBottom w:val="0"/>
              <w:divBdr>
                <w:top w:val="none" w:sz="0" w:space="0" w:color="auto"/>
                <w:left w:val="none" w:sz="0" w:space="0" w:color="auto"/>
                <w:bottom w:val="none" w:sz="0" w:space="0" w:color="auto"/>
                <w:right w:val="none" w:sz="0" w:space="0" w:color="auto"/>
              </w:divBdr>
            </w:div>
          </w:divsChild>
        </w:div>
        <w:div w:id="1450277932">
          <w:marLeft w:val="0"/>
          <w:marRight w:val="0"/>
          <w:marTop w:val="0"/>
          <w:marBottom w:val="0"/>
          <w:divBdr>
            <w:top w:val="none" w:sz="0" w:space="0" w:color="auto"/>
            <w:left w:val="none" w:sz="0" w:space="0" w:color="auto"/>
            <w:bottom w:val="none" w:sz="0" w:space="0" w:color="auto"/>
            <w:right w:val="none" w:sz="0" w:space="0" w:color="auto"/>
          </w:divBdr>
          <w:divsChild>
            <w:div w:id="478036302">
              <w:marLeft w:val="0"/>
              <w:marRight w:val="0"/>
              <w:marTop w:val="0"/>
              <w:marBottom w:val="0"/>
              <w:divBdr>
                <w:top w:val="none" w:sz="0" w:space="0" w:color="auto"/>
                <w:left w:val="none" w:sz="0" w:space="0" w:color="auto"/>
                <w:bottom w:val="none" w:sz="0" w:space="0" w:color="auto"/>
                <w:right w:val="none" w:sz="0" w:space="0" w:color="auto"/>
              </w:divBdr>
            </w:div>
          </w:divsChild>
        </w:div>
        <w:div w:id="1984264306">
          <w:marLeft w:val="0"/>
          <w:marRight w:val="0"/>
          <w:marTop w:val="0"/>
          <w:marBottom w:val="0"/>
          <w:divBdr>
            <w:top w:val="none" w:sz="0" w:space="0" w:color="auto"/>
            <w:left w:val="none" w:sz="0" w:space="0" w:color="auto"/>
            <w:bottom w:val="none" w:sz="0" w:space="0" w:color="auto"/>
            <w:right w:val="none" w:sz="0" w:space="0" w:color="auto"/>
          </w:divBdr>
          <w:divsChild>
            <w:div w:id="1615864380">
              <w:marLeft w:val="0"/>
              <w:marRight w:val="0"/>
              <w:marTop w:val="0"/>
              <w:marBottom w:val="0"/>
              <w:divBdr>
                <w:top w:val="none" w:sz="0" w:space="0" w:color="auto"/>
                <w:left w:val="none" w:sz="0" w:space="0" w:color="auto"/>
                <w:bottom w:val="none" w:sz="0" w:space="0" w:color="auto"/>
                <w:right w:val="none" w:sz="0" w:space="0" w:color="auto"/>
              </w:divBdr>
            </w:div>
          </w:divsChild>
        </w:div>
        <w:div w:id="178547413">
          <w:marLeft w:val="0"/>
          <w:marRight w:val="0"/>
          <w:marTop w:val="0"/>
          <w:marBottom w:val="0"/>
          <w:divBdr>
            <w:top w:val="none" w:sz="0" w:space="0" w:color="auto"/>
            <w:left w:val="none" w:sz="0" w:space="0" w:color="auto"/>
            <w:bottom w:val="none" w:sz="0" w:space="0" w:color="auto"/>
            <w:right w:val="none" w:sz="0" w:space="0" w:color="auto"/>
          </w:divBdr>
          <w:divsChild>
            <w:div w:id="1506287291">
              <w:marLeft w:val="0"/>
              <w:marRight w:val="0"/>
              <w:marTop w:val="0"/>
              <w:marBottom w:val="0"/>
              <w:divBdr>
                <w:top w:val="none" w:sz="0" w:space="0" w:color="auto"/>
                <w:left w:val="none" w:sz="0" w:space="0" w:color="auto"/>
                <w:bottom w:val="none" w:sz="0" w:space="0" w:color="auto"/>
                <w:right w:val="none" w:sz="0" w:space="0" w:color="auto"/>
              </w:divBdr>
            </w:div>
          </w:divsChild>
        </w:div>
        <w:div w:id="1136486162">
          <w:marLeft w:val="0"/>
          <w:marRight w:val="0"/>
          <w:marTop w:val="0"/>
          <w:marBottom w:val="0"/>
          <w:divBdr>
            <w:top w:val="none" w:sz="0" w:space="0" w:color="auto"/>
            <w:left w:val="none" w:sz="0" w:space="0" w:color="auto"/>
            <w:bottom w:val="none" w:sz="0" w:space="0" w:color="auto"/>
            <w:right w:val="none" w:sz="0" w:space="0" w:color="auto"/>
          </w:divBdr>
          <w:divsChild>
            <w:div w:id="319891317">
              <w:marLeft w:val="0"/>
              <w:marRight w:val="0"/>
              <w:marTop w:val="0"/>
              <w:marBottom w:val="0"/>
              <w:divBdr>
                <w:top w:val="none" w:sz="0" w:space="0" w:color="auto"/>
                <w:left w:val="none" w:sz="0" w:space="0" w:color="auto"/>
                <w:bottom w:val="none" w:sz="0" w:space="0" w:color="auto"/>
                <w:right w:val="none" w:sz="0" w:space="0" w:color="auto"/>
              </w:divBdr>
            </w:div>
          </w:divsChild>
        </w:div>
        <w:div w:id="1678730346">
          <w:marLeft w:val="0"/>
          <w:marRight w:val="0"/>
          <w:marTop w:val="0"/>
          <w:marBottom w:val="0"/>
          <w:divBdr>
            <w:top w:val="none" w:sz="0" w:space="0" w:color="auto"/>
            <w:left w:val="none" w:sz="0" w:space="0" w:color="auto"/>
            <w:bottom w:val="none" w:sz="0" w:space="0" w:color="auto"/>
            <w:right w:val="none" w:sz="0" w:space="0" w:color="auto"/>
          </w:divBdr>
          <w:divsChild>
            <w:div w:id="1845827421">
              <w:marLeft w:val="0"/>
              <w:marRight w:val="0"/>
              <w:marTop w:val="0"/>
              <w:marBottom w:val="0"/>
              <w:divBdr>
                <w:top w:val="none" w:sz="0" w:space="0" w:color="auto"/>
                <w:left w:val="none" w:sz="0" w:space="0" w:color="auto"/>
                <w:bottom w:val="none" w:sz="0" w:space="0" w:color="auto"/>
                <w:right w:val="none" w:sz="0" w:space="0" w:color="auto"/>
              </w:divBdr>
            </w:div>
          </w:divsChild>
        </w:div>
        <w:div w:id="158735801">
          <w:marLeft w:val="0"/>
          <w:marRight w:val="0"/>
          <w:marTop w:val="0"/>
          <w:marBottom w:val="0"/>
          <w:divBdr>
            <w:top w:val="none" w:sz="0" w:space="0" w:color="auto"/>
            <w:left w:val="none" w:sz="0" w:space="0" w:color="auto"/>
            <w:bottom w:val="none" w:sz="0" w:space="0" w:color="auto"/>
            <w:right w:val="none" w:sz="0" w:space="0" w:color="auto"/>
          </w:divBdr>
          <w:divsChild>
            <w:div w:id="1860654226">
              <w:marLeft w:val="0"/>
              <w:marRight w:val="0"/>
              <w:marTop w:val="0"/>
              <w:marBottom w:val="0"/>
              <w:divBdr>
                <w:top w:val="none" w:sz="0" w:space="0" w:color="auto"/>
                <w:left w:val="none" w:sz="0" w:space="0" w:color="auto"/>
                <w:bottom w:val="none" w:sz="0" w:space="0" w:color="auto"/>
                <w:right w:val="none" w:sz="0" w:space="0" w:color="auto"/>
              </w:divBdr>
            </w:div>
          </w:divsChild>
        </w:div>
        <w:div w:id="1009528408">
          <w:marLeft w:val="0"/>
          <w:marRight w:val="0"/>
          <w:marTop w:val="0"/>
          <w:marBottom w:val="0"/>
          <w:divBdr>
            <w:top w:val="none" w:sz="0" w:space="0" w:color="auto"/>
            <w:left w:val="none" w:sz="0" w:space="0" w:color="auto"/>
            <w:bottom w:val="none" w:sz="0" w:space="0" w:color="auto"/>
            <w:right w:val="none" w:sz="0" w:space="0" w:color="auto"/>
          </w:divBdr>
          <w:divsChild>
            <w:div w:id="1425540628">
              <w:marLeft w:val="0"/>
              <w:marRight w:val="0"/>
              <w:marTop w:val="0"/>
              <w:marBottom w:val="0"/>
              <w:divBdr>
                <w:top w:val="none" w:sz="0" w:space="0" w:color="auto"/>
                <w:left w:val="none" w:sz="0" w:space="0" w:color="auto"/>
                <w:bottom w:val="none" w:sz="0" w:space="0" w:color="auto"/>
                <w:right w:val="none" w:sz="0" w:space="0" w:color="auto"/>
              </w:divBdr>
            </w:div>
          </w:divsChild>
        </w:div>
        <w:div w:id="980187758">
          <w:marLeft w:val="0"/>
          <w:marRight w:val="0"/>
          <w:marTop w:val="0"/>
          <w:marBottom w:val="0"/>
          <w:divBdr>
            <w:top w:val="none" w:sz="0" w:space="0" w:color="auto"/>
            <w:left w:val="none" w:sz="0" w:space="0" w:color="auto"/>
            <w:bottom w:val="none" w:sz="0" w:space="0" w:color="auto"/>
            <w:right w:val="none" w:sz="0" w:space="0" w:color="auto"/>
          </w:divBdr>
          <w:divsChild>
            <w:div w:id="1909609920">
              <w:marLeft w:val="0"/>
              <w:marRight w:val="0"/>
              <w:marTop w:val="0"/>
              <w:marBottom w:val="0"/>
              <w:divBdr>
                <w:top w:val="none" w:sz="0" w:space="0" w:color="auto"/>
                <w:left w:val="none" w:sz="0" w:space="0" w:color="auto"/>
                <w:bottom w:val="none" w:sz="0" w:space="0" w:color="auto"/>
                <w:right w:val="none" w:sz="0" w:space="0" w:color="auto"/>
              </w:divBdr>
            </w:div>
          </w:divsChild>
        </w:div>
        <w:div w:id="833686744">
          <w:marLeft w:val="0"/>
          <w:marRight w:val="0"/>
          <w:marTop w:val="0"/>
          <w:marBottom w:val="0"/>
          <w:divBdr>
            <w:top w:val="none" w:sz="0" w:space="0" w:color="auto"/>
            <w:left w:val="none" w:sz="0" w:space="0" w:color="auto"/>
            <w:bottom w:val="none" w:sz="0" w:space="0" w:color="auto"/>
            <w:right w:val="none" w:sz="0" w:space="0" w:color="auto"/>
          </w:divBdr>
          <w:divsChild>
            <w:div w:id="485585606">
              <w:marLeft w:val="0"/>
              <w:marRight w:val="0"/>
              <w:marTop w:val="0"/>
              <w:marBottom w:val="0"/>
              <w:divBdr>
                <w:top w:val="none" w:sz="0" w:space="0" w:color="auto"/>
                <w:left w:val="none" w:sz="0" w:space="0" w:color="auto"/>
                <w:bottom w:val="none" w:sz="0" w:space="0" w:color="auto"/>
                <w:right w:val="none" w:sz="0" w:space="0" w:color="auto"/>
              </w:divBdr>
            </w:div>
          </w:divsChild>
        </w:div>
        <w:div w:id="1682119478">
          <w:marLeft w:val="0"/>
          <w:marRight w:val="0"/>
          <w:marTop w:val="0"/>
          <w:marBottom w:val="0"/>
          <w:divBdr>
            <w:top w:val="none" w:sz="0" w:space="0" w:color="auto"/>
            <w:left w:val="none" w:sz="0" w:space="0" w:color="auto"/>
            <w:bottom w:val="none" w:sz="0" w:space="0" w:color="auto"/>
            <w:right w:val="none" w:sz="0" w:space="0" w:color="auto"/>
          </w:divBdr>
          <w:divsChild>
            <w:div w:id="1022978868">
              <w:marLeft w:val="0"/>
              <w:marRight w:val="0"/>
              <w:marTop w:val="0"/>
              <w:marBottom w:val="0"/>
              <w:divBdr>
                <w:top w:val="none" w:sz="0" w:space="0" w:color="auto"/>
                <w:left w:val="none" w:sz="0" w:space="0" w:color="auto"/>
                <w:bottom w:val="none" w:sz="0" w:space="0" w:color="auto"/>
                <w:right w:val="none" w:sz="0" w:space="0" w:color="auto"/>
              </w:divBdr>
            </w:div>
          </w:divsChild>
        </w:div>
        <w:div w:id="194584460">
          <w:marLeft w:val="0"/>
          <w:marRight w:val="0"/>
          <w:marTop w:val="0"/>
          <w:marBottom w:val="0"/>
          <w:divBdr>
            <w:top w:val="none" w:sz="0" w:space="0" w:color="auto"/>
            <w:left w:val="none" w:sz="0" w:space="0" w:color="auto"/>
            <w:bottom w:val="none" w:sz="0" w:space="0" w:color="auto"/>
            <w:right w:val="none" w:sz="0" w:space="0" w:color="auto"/>
          </w:divBdr>
          <w:divsChild>
            <w:div w:id="147942631">
              <w:marLeft w:val="0"/>
              <w:marRight w:val="0"/>
              <w:marTop w:val="0"/>
              <w:marBottom w:val="0"/>
              <w:divBdr>
                <w:top w:val="none" w:sz="0" w:space="0" w:color="auto"/>
                <w:left w:val="none" w:sz="0" w:space="0" w:color="auto"/>
                <w:bottom w:val="none" w:sz="0" w:space="0" w:color="auto"/>
                <w:right w:val="none" w:sz="0" w:space="0" w:color="auto"/>
              </w:divBdr>
            </w:div>
          </w:divsChild>
        </w:div>
        <w:div w:id="1435323180">
          <w:marLeft w:val="0"/>
          <w:marRight w:val="0"/>
          <w:marTop w:val="0"/>
          <w:marBottom w:val="0"/>
          <w:divBdr>
            <w:top w:val="none" w:sz="0" w:space="0" w:color="auto"/>
            <w:left w:val="none" w:sz="0" w:space="0" w:color="auto"/>
            <w:bottom w:val="none" w:sz="0" w:space="0" w:color="auto"/>
            <w:right w:val="none" w:sz="0" w:space="0" w:color="auto"/>
          </w:divBdr>
          <w:divsChild>
            <w:div w:id="163390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402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4680725">
      <w:bodyDiv w:val="1"/>
      <w:marLeft w:val="0"/>
      <w:marRight w:val="0"/>
      <w:marTop w:val="0"/>
      <w:marBottom w:val="0"/>
      <w:divBdr>
        <w:top w:val="none" w:sz="0" w:space="0" w:color="auto"/>
        <w:left w:val="none" w:sz="0" w:space="0" w:color="auto"/>
        <w:bottom w:val="none" w:sz="0" w:space="0" w:color="auto"/>
        <w:right w:val="none" w:sz="0" w:space="0" w:color="auto"/>
      </w:divBdr>
      <w:divsChild>
        <w:div w:id="681859017">
          <w:marLeft w:val="0"/>
          <w:marRight w:val="0"/>
          <w:marTop w:val="0"/>
          <w:marBottom w:val="0"/>
          <w:divBdr>
            <w:top w:val="none" w:sz="0" w:space="0" w:color="auto"/>
            <w:left w:val="none" w:sz="0" w:space="0" w:color="auto"/>
            <w:bottom w:val="none" w:sz="0" w:space="0" w:color="auto"/>
            <w:right w:val="none" w:sz="0" w:space="0" w:color="auto"/>
          </w:divBdr>
        </w:div>
        <w:div w:id="1382902263">
          <w:marLeft w:val="0"/>
          <w:marRight w:val="0"/>
          <w:marTop w:val="0"/>
          <w:marBottom w:val="0"/>
          <w:divBdr>
            <w:top w:val="none" w:sz="0" w:space="0" w:color="auto"/>
            <w:left w:val="none" w:sz="0" w:space="0" w:color="auto"/>
            <w:bottom w:val="none" w:sz="0" w:space="0" w:color="auto"/>
            <w:right w:val="none" w:sz="0" w:space="0" w:color="auto"/>
          </w:divBdr>
        </w:div>
        <w:div w:id="774640593">
          <w:marLeft w:val="0"/>
          <w:marRight w:val="0"/>
          <w:marTop w:val="0"/>
          <w:marBottom w:val="0"/>
          <w:divBdr>
            <w:top w:val="none" w:sz="0" w:space="0" w:color="auto"/>
            <w:left w:val="none" w:sz="0" w:space="0" w:color="auto"/>
            <w:bottom w:val="none" w:sz="0" w:space="0" w:color="auto"/>
            <w:right w:val="none" w:sz="0" w:space="0" w:color="auto"/>
          </w:divBdr>
        </w:div>
        <w:div w:id="1382049772">
          <w:marLeft w:val="0"/>
          <w:marRight w:val="0"/>
          <w:marTop w:val="0"/>
          <w:marBottom w:val="0"/>
          <w:divBdr>
            <w:top w:val="none" w:sz="0" w:space="0" w:color="auto"/>
            <w:left w:val="none" w:sz="0" w:space="0" w:color="auto"/>
            <w:bottom w:val="none" w:sz="0" w:space="0" w:color="auto"/>
            <w:right w:val="none" w:sz="0" w:space="0" w:color="auto"/>
          </w:divBdr>
        </w:div>
        <w:div w:id="1304846338">
          <w:marLeft w:val="0"/>
          <w:marRight w:val="0"/>
          <w:marTop w:val="0"/>
          <w:marBottom w:val="0"/>
          <w:divBdr>
            <w:top w:val="none" w:sz="0" w:space="0" w:color="auto"/>
            <w:left w:val="none" w:sz="0" w:space="0" w:color="auto"/>
            <w:bottom w:val="none" w:sz="0" w:space="0" w:color="auto"/>
            <w:right w:val="none" w:sz="0" w:space="0" w:color="auto"/>
          </w:divBdr>
        </w:div>
        <w:div w:id="1125345345">
          <w:marLeft w:val="0"/>
          <w:marRight w:val="0"/>
          <w:marTop w:val="0"/>
          <w:marBottom w:val="0"/>
          <w:divBdr>
            <w:top w:val="none" w:sz="0" w:space="0" w:color="auto"/>
            <w:left w:val="none" w:sz="0" w:space="0" w:color="auto"/>
            <w:bottom w:val="none" w:sz="0" w:space="0" w:color="auto"/>
            <w:right w:val="none" w:sz="0" w:space="0" w:color="auto"/>
          </w:divBdr>
        </w:div>
        <w:div w:id="363871510">
          <w:marLeft w:val="-75"/>
          <w:marRight w:val="0"/>
          <w:marTop w:val="30"/>
          <w:marBottom w:val="30"/>
          <w:divBdr>
            <w:top w:val="none" w:sz="0" w:space="0" w:color="auto"/>
            <w:left w:val="none" w:sz="0" w:space="0" w:color="auto"/>
            <w:bottom w:val="none" w:sz="0" w:space="0" w:color="auto"/>
            <w:right w:val="none" w:sz="0" w:space="0" w:color="auto"/>
          </w:divBdr>
          <w:divsChild>
            <w:div w:id="1528133259">
              <w:marLeft w:val="0"/>
              <w:marRight w:val="0"/>
              <w:marTop w:val="0"/>
              <w:marBottom w:val="0"/>
              <w:divBdr>
                <w:top w:val="none" w:sz="0" w:space="0" w:color="auto"/>
                <w:left w:val="none" w:sz="0" w:space="0" w:color="auto"/>
                <w:bottom w:val="none" w:sz="0" w:space="0" w:color="auto"/>
                <w:right w:val="none" w:sz="0" w:space="0" w:color="auto"/>
              </w:divBdr>
              <w:divsChild>
                <w:div w:id="479149540">
                  <w:marLeft w:val="0"/>
                  <w:marRight w:val="0"/>
                  <w:marTop w:val="0"/>
                  <w:marBottom w:val="0"/>
                  <w:divBdr>
                    <w:top w:val="none" w:sz="0" w:space="0" w:color="auto"/>
                    <w:left w:val="none" w:sz="0" w:space="0" w:color="auto"/>
                    <w:bottom w:val="none" w:sz="0" w:space="0" w:color="auto"/>
                    <w:right w:val="none" w:sz="0" w:space="0" w:color="auto"/>
                  </w:divBdr>
                </w:div>
              </w:divsChild>
            </w:div>
            <w:div w:id="572545163">
              <w:marLeft w:val="0"/>
              <w:marRight w:val="0"/>
              <w:marTop w:val="0"/>
              <w:marBottom w:val="0"/>
              <w:divBdr>
                <w:top w:val="none" w:sz="0" w:space="0" w:color="auto"/>
                <w:left w:val="none" w:sz="0" w:space="0" w:color="auto"/>
                <w:bottom w:val="none" w:sz="0" w:space="0" w:color="auto"/>
                <w:right w:val="none" w:sz="0" w:space="0" w:color="auto"/>
              </w:divBdr>
              <w:divsChild>
                <w:div w:id="1435245407">
                  <w:marLeft w:val="0"/>
                  <w:marRight w:val="0"/>
                  <w:marTop w:val="0"/>
                  <w:marBottom w:val="0"/>
                  <w:divBdr>
                    <w:top w:val="none" w:sz="0" w:space="0" w:color="auto"/>
                    <w:left w:val="none" w:sz="0" w:space="0" w:color="auto"/>
                    <w:bottom w:val="none" w:sz="0" w:space="0" w:color="auto"/>
                    <w:right w:val="none" w:sz="0" w:space="0" w:color="auto"/>
                  </w:divBdr>
                </w:div>
              </w:divsChild>
            </w:div>
            <w:div w:id="2067103506">
              <w:marLeft w:val="0"/>
              <w:marRight w:val="0"/>
              <w:marTop w:val="0"/>
              <w:marBottom w:val="0"/>
              <w:divBdr>
                <w:top w:val="none" w:sz="0" w:space="0" w:color="auto"/>
                <w:left w:val="none" w:sz="0" w:space="0" w:color="auto"/>
                <w:bottom w:val="none" w:sz="0" w:space="0" w:color="auto"/>
                <w:right w:val="none" w:sz="0" w:space="0" w:color="auto"/>
              </w:divBdr>
              <w:divsChild>
                <w:div w:id="1830291336">
                  <w:marLeft w:val="0"/>
                  <w:marRight w:val="0"/>
                  <w:marTop w:val="0"/>
                  <w:marBottom w:val="0"/>
                  <w:divBdr>
                    <w:top w:val="none" w:sz="0" w:space="0" w:color="auto"/>
                    <w:left w:val="none" w:sz="0" w:space="0" w:color="auto"/>
                    <w:bottom w:val="none" w:sz="0" w:space="0" w:color="auto"/>
                    <w:right w:val="none" w:sz="0" w:space="0" w:color="auto"/>
                  </w:divBdr>
                </w:div>
              </w:divsChild>
            </w:div>
            <w:div w:id="2036884379">
              <w:marLeft w:val="0"/>
              <w:marRight w:val="0"/>
              <w:marTop w:val="0"/>
              <w:marBottom w:val="0"/>
              <w:divBdr>
                <w:top w:val="none" w:sz="0" w:space="0" w:color="auto"/>
                <w:left w:val="none" w:sz="0" w:space="0" w:color="auto"/>
                <w:bottom w:val="none" w:sz="0" w:space="0" w:color="auto"/>
                <w:right w:val="none" w:sz="0" w:space="0" w:color="auto"/>
              </w:divBdr>
              <w:divsChild>
                <w:div w:id="85931922">
                  <w:marLeft w:val="0"/>
                  <w:marRight w:val="0"/>
                  <w:marTop w:val="0"/>
                  <w:marBottom w:val="0"/>
                  <w:divBdr>
                    <w:top w:val="none" w:sz="0" w:space="0" w:color="auto"/>
                    <w:left w:val="none" w:sz="0" w:space="0" w:color="auto"/>
                    <w:bottom w:val="none" w:sz="0" w:space="0" w:color="auto"/>
                    <w:right w:val="none" w:sz="0" w:space="0" w:color="auto"/>
                  </w:divBdr>
                </w:div>
              </w:divsChild>
            </w:div>
            <w:div w:id="982077794">
              <w:marLeft w:val="0"/>
              <w:marRight w:val="0"/>
              <w:marTop w:val="0"/>
              <w:marBottom w:val="0"/>
              <w:divBdr>
                <w:top w:val="none" w:sz="0" w:space="0" w:color="auto"/>
                <w:left w:val="none" w:sz="0" w:space="0" w:color="auto"/>
                <w:bottom w:val="none" w:sz="0" w:space="0" w:color="auto"/>
                <w:right w:val="none" w:sz="0" w:space="0" w:color="auto"/>
              </w:divBdr>
              <w:divsChild>
                <w:div w:id="1566376495">
                  <w:marLeft w:val="0"/>
                  <w:marRight w:val="0"/>
                  <w:marTop w:val="0"/>
                  <w:marBottom w:val="0"/>
                  <w:divBdr>
                    <w:top w:val="none" w:sz="0" w:space="0" w:color="auto"/>
                    <w:left w:val="none" w:sz="0" w:space="0" w:color="auto"/>
                    <w:bottom w:val="none" w:sz="0" w:space="0" w:color="auto"/>
                    <w:right w:val="none" w:sz="0" w:space="0" w:color="auto"/>
                  </w:divBdr>
                </w:div>
              </w:divsChild>
            </w:div>
            <w:div w:id="881132120">
              <w:marLeft w:val="0"/>
              <w:marRight w:val="0"/>
              <w:marTop w:val="0"/>
              <w:marBottom w:val="0"/>
              <w:divBdr>
                <w:top w:val="none" w:sz="0" w:space="0" w:color="auto"/>
                <w:left w:val="none" w:sz="0" w:space="0" w:color="auto"/>
                <w:bottom w:val="none" w:sz="0" w:space="0" w:color="auto"/>
                <w:right w:val="none" w:sz="0" w:space="0" w:color="auto"/>
              </w:divBdr>
              <w:divsChild>
                <w:div w:id="985627361">
                  <w:marLeft w:val="0"/>
                  <w:marRight w:val="0"/>
                  <w:marTop w:val="0"/>
                  <w:marBottom w:val="0"/>
                  <w:divBdr>
                    <w:top w:val="none" w:sz="0" w:space="0" w:color="auto"/>
                    <w:left w:val="none" w:sz="0" w:space="0" w:color="auto"/>
                    <w:bottom w:val="none" w:sz="0" w:space="0" w:color="auto"/>
                    <w:right w:val="none" w:sz="0" w:space="0" w:color="auto"/>
                  </w:divBdr>
                </w:div>
              </w:divsChild>
            </w:div>
            <w:div w:id="698698466">
              <w:marLeft w:val="0"/>
              <w:marRight w:val="0"/>
              <w:marTop w:val="0"/>
              <w:marBottom w:val="0"/>
              <w:divBdr>
                <w:top w:val="none" w:sz="0" w:space="0" w:color="auto"/>
                <w:left w:val="none" w:sz="0" w:space="0" w:color="auto"/>
                <w:bottom w:val="none" w:sz="0" w:space="0" w:color="auto"/>
                <w:right w:val="none" w:sz="0" w:space="0" w:color="auto"/>
              </w:divBdr>
              <w:divsChild>
                <w:div w:id="2046052265">
                  <w:marLeft w:val="0"/>
                  <w:marRight w:val="0"/>
                  <w:marTop w:val="0"/>
                  <w:marBottom w:val="0"/>
                  <w:divBdr>
                    <w:top w:val="none" w:sz="0" w:space="0" w:color="auto"/>
                    <w:left w:val="none" w:sz="0" w:space="0" w:color="auto"/>
                    <w:bottom w:val="none" w:sz="0" w:space="0" w:color="auto"/>
                    <w:right w:val="none" w:sz="0" w:space="0" w:color="auto"/>
                  </w:divBdr>
                </w:div>
                <w:div w:id="789591558">
                  <w:marLeft w:val="0"/>
                  <w:marRight w:val="0"/>
                  <w:marTop w:val="0"/>
                  <w:marBottom w:val="0"/>
                  <w:divBdr>
                    <w:top w:val="none" w:sz="0" w:space="0" w:color="auto"/>
                    <w:left w:val="none" w:sz="0" w:space="0" w:color="auto"/>
                    <w:bottom w:val="none" w:sz="0" w:space="0" w:color="auto"/>
                    <w:right w:val="none" w:sz="0" w:space="0" w:color="auto"/>
                  </w:divBdr>
                </w:div>
              </w:divsChild>
            </w:div>
            <w:div w:id="1011104695">
              <w:marLeft w:val="0"/>
              <w:marRight w:val="0"/>
              <w:marTop w:val="0"/>
              <w:marBottom w:val="0"/>
              <w:divBdr>
                <w:top w:val="none" w:sz="0" w:space="0" w:color="auto"/>
                <w:left w:val="none" w:sz="0" w:space="0" w:color="auto"/>
                <w:bottom w:val="none" w:sz="0" w:space="0" w:color="auto"/>
                <w:right w:val="none" w:sz="0" w:space="0" w:color="auto"/>
              </w:divBdr>
              <w:divsChild>
                <w:div w:id="1271471741">
                  <w:marLeft w:val="0"/>
                  <w:marRight w:val="0"/>
                  <w:marTop w:val="0"/>
                  <w:marBottom w:val="0"/>
                  <w:divBdr>
                    <w:top w:val="none" w:sz="0" w:space="0" w:color="auto"/>
                    <w:left w:val="none" w:sz="0" w:space="0" w:color="auto"/>
                    <w:bottom w:val="none" w:sz="0" w:space="0" w:color="auto"/>
                    <w:right w:val="none" w:sz="0" w:space="0" w:color="auto"/>
                  </w:divBdr>
                </w:div>
              </w:divsChild>
            </w:div>
            <w:div w:id="1000232167">
              <w:marLeft w:val="0"/>
              <w:marRight w:val="0"/>
              <w:marTop w:val="0"/>
              <w:marBottom w:val="0"/>
              <w:divBdr>
                <w:top w:val="none" w:sz="0" w:space="0" w:color="auto"/>
                <w:left w:val="none" w:sz="0" w:space="0" w:color="auto"/>
                <w:bottom w:val="none" w:sz="0" w:space="0" w:color="auto"/>
                <w:right w:val="none" w:sz="0" w:space="0" w:color="auto"/>
              </w:divBdr>
              <w:divsChild>
                <w:div w:id="2017342259">
                  <w:marLeft w:val="0"/>
                  <w:marRight w:val="0"/>
                  <w:marTop w:val="0"/>
                  <w:marBottom w:val="0"/>
                  <w:divBdr>
                    <w:top w:val="none" w:sz="0" w:space="0" w:color="auto"/>
                    <w:left w:val="none" w:sz="0" w:space="0" w:color="auto"/>
                    <w:bottom w:val="none" w:sz="0" w:space="0" w:color="auto"/>
                    <w:right w:val="none" w:sz="0" w:space="0" w:color="auto"/>
                  </w:divBdr>
                </w:div>
              </w:divsChild>
            </w:div>
            <w:div w:id="32584358">
              <w:marLeft w:val="0"/>
              <w:marRight w:val="0"/>
              <w:marTop w:val="0"/>
              <w:marBottom w:val="0"/>
              <w:divBdr>
                <w:top w:val="none" w:sz="0" w:space="0" w:color="auto"/>
                <w:left w:val="none" w:sz="0" w:space="0" w:color="auto"/>
                <w:bottom w:val="none" w:sz="0" w:space="0" w:color="auto"/>
                <w:right w:val="none" w:sz="0" w:space="0" w:color="auto"/>
              </w:divBdr>
              <w:divsChild>
                <w:div w:id="1299921894">
                  <w:marLeft w:val="0"/>
                  <w:marRight w:val="0"/>
                  <w:marTop w:val="0"/>
                  <w:marBottom w:val="0"/>
                  <w:divBdr>
                    <w:top w:val="none" w:sz="0" w:space="0" w:color="auto"/>
                    <w:left w:val="none" w:sz="0" w:space="0" w:color="auto"/>
                    <w:bottom w:val="none" w:sz="0" w:space="0" w:color="auto"/>
                    <w:right w:val="none" w:sz="0" w:space="0" w:color="auto"/>
                  </w:divBdr>
                </w:div>
              </w:divsChild>
            </w:div>
            <w:div w:id="1887184911">
              <w:marLeft w:val="0"/>
              <w:marRight w:val="0"/>
              <w:marTop w:val="0"/>
              <w:marBottom w:val="0"/>
              <w:divBdr>
                <w:top w:val="none" w:sz="0" w:space="0" w:color="auto"/>
                <w:left w:val="none" w:sz="0" w:space="0" w:color="auto"/>
                <w:bottom w:val="none" w:sz="0" w:space="0" w:color="auto"/>
                <w:right w:val="none" w:sz="0" w:space="0" w:color="auto"/>
              </w:divBdr>
              <w:divsChild>
                <w:div w:id="865094984">
                  <w:marLeft w:val="0"/>
                  <w:marRight w:val="0"/>
                  <w:marTop w:val="0"/>
                  <w:marBottom w:val="0"/>
                  <w:divBdr>
                    <w:top w:val="none" w:sz="0" w:space="0" w:color="auto"/>
                    <w:left w:val="none" w:sz="0" w:space="0" w:color="auto"/>
                    <w:bottom w:val="none" w:sz="0" w:space="0" w:color="auto"/>
                    <w:right w:val="none" w:sz="0" w:space="0" w:color="auto"/>
                  </w:divBdr>
                </w:div>
              </w:divsChild>
            </w:div>
            <w:div w:id="1025054726">
              <w:marLeft w:val="0"/>
              <w:marRight w:val="0"/>
              <w:marTop w:val="0"/>
              <w:marBottom w:val="0"/>
              <w:divBdr>
                <w:top w:val="none" w:sz="0" w:space="0" w:color="auto"/>
                <w:left w:val="none" w:sz="0" w:space="0" w:color="auto"/>
                <w:bottom w:val="none" w:sz="0" w:space="0" w:color="auto"/>
                <w:right w:val="none" w:sz="0" w:space="0" w:color="auto"/>
              </w:divBdr>
              <w:divsChild>
                <w:div w:id="1374620573">
                  <w:marLeft w:val="0"/>
                  <w:marRight w:val="0"/>
                  <w:marTop w:val="0"/>
                  <w:marBottom w:val="0"/>
                  <w:divBdr>
                    <w:top w:val="none" w:sz="0" w:space="0" w:color="auto"/>
                    <w:left w:val="none" w:sz="0" w:space="0" w:color="auto"/>
                    <w:bottom w:val="none" w:sz="0" w:space="0" w:color="auto"/>
                    <w:right w:val="none" w:sz="0" w:space="0" w:color="auto"/>
                  </w:divBdr>
                </w:div>
                <w:div w:id="571936093">
                  <w:marLeft w:val="0"/>
                  <w:marRight w:val="0"/>
                  <w:marTop w:val="0"/>
                  <w:marBottom w:val="0"/>
                  <w:divBdr>
                    <w:top w:val="none" w:sz="0" w:space="0" w:color="auto"/>
                    <w:left w:val="none" w:sz="0" w:space="0" w:color="auto"/>
                    <w:bottom w:val="none" w:sz="0" w:space="0" w:color="auto"/>
                    <w:right w:val="none" w:sz="0" w:space="0" w:color="auto"/>
                  </w:divBdr>
                </w:div>
              </w:divsChild>
            </w:div>
            <w:div w:id="895822257">
              <w:marLeft w:val="0"/>
              <w:marRight w:val="0"/>
              <w:marTop w:val="0"/>
              <w:marBottom w:val="0"/>
              <w:divBdr>
                <w:top w:val="none" w:sz="0" w:space="0" w:color="auto"/>
                <w:left w:val="none" w:sz="0" w:space="0" w:color="auto"/>
                <w:bottom w:val="none" w:sz="0" w:space="0" w:color="auto"/>
                <w:right w:val="none" w:sz="0" w:space="0" w:color="auto"/>
              </w:divBdr>
              <w:divsChild>
                <w:div w:id="487064177">
                  <w:marLeft w:val="0"/>
                  <w:marRight w:val="0"/>
                  <w:marTop w:val="0"/>
                  <w:marBottom w:val="0"/>
                  <w:divBdr>
                    <w:top w:val="none" w:sz="0" w:space="0" w:color="auto"/>
                    <w:left w:val="none" w:sz="0" w:space="0" w:color="auto"/>
                    <w:bottom w:val="none" w:sz="0" w:space="0" w:color="auto"/>
                    <w:right w:val="none" w:sz="0" w:space="0" w:color="auto"/>
                  </w:divBdr>
                </w:div>
              </w:divsChild>
            </w:div>
            <w:div w:id="1936937704">
              <w:marLeft w:val="0"/>
              <w:marRight w:val="0"/>
              <w:marTop w:val="0"/>
              <w:marBottom w:val="0"/>
              <w:divBdr>
                <w:top w:val="none" w:sz="0" w:space="0" w:color="auto"/>
                <w:left w:val="none" w:sz="0" w:space="0" w:color="auto"/>
                <w:bottom w:val="none" w:sz="0" w:space="0" w:color="auto"/>
                <w:right w:val="none" w:sz="0" w:space="0" w:color="auto"/>
              </w:divBdr>
              <w:divsChild>
                <w:div w:id="2127188123">
                  <w:marLeft w:val="0"/>
                  <w:marRight w:val="0"/>
                  <w:marTop w:val="0"/>
                  <w:marBottom w:val="0"/>
                  <w:divBdr>
                    <w:top w:val="none" w:sz="0" w:space="0" w:color="auto"/>
                    <w:left w:val="none" w:sz="0" w:space="0" w:color="auto"/>
                    <w:bottom w:val="none" w:sz="0" w:space="0" w:color="auto"/>
                    <w:right w:val="none" w:sz="0" w:space="0" w:color="auto"/>
                  </w:divBdr>
                </w:div>
              </w:divsChild>
            </w:div>
            <w:div w:id="918173415">
              <w:marLeft w:val="0"/>
              <w:marRight w:val="0"/>
              <w:marTop w:val="0"/>
              <w:marBottom w:val="0"/>
              <w:divBdr>
                <w:top w:val="none" w:sz="0" w:space="0" w:color="auto"/>
                <w:left w:val="none" w:sz="0" w:space="0" w:color="auto"/>
                <w:bottom w:val="none" w:sz="0" w:space="0" w:color="auto"/>
                <w:right w:val="none" w:sz="0" w:space="0" w:color="auto"/>
              </w:divBdr>
              <w:divsChild>
                <w:div w:id="892734413">
                  <w:marLeft w:val="0"/>
                  <w:marRight w:val="0"/>
                  <w:marTop w:val="0"/>
                  <w:marBottom w:val="0"/>
                  <w:divBdr>
                    <w:top w:val="none" w:sz="0" w:space="0" w:color="auto"/>
                    <w:left w:val="none" w:sz="0" w:space="0" w:color="auto"/>
                    <w:bottom w:val="none" w:sz="0" w:space="0" w:color="auto"/>
                    <w:right w:val="none" w:sz="0" w:space="0" w:color="auto"/>
                  </w:divBdr>
                </w:div>
              </w:divsChild>
            </w:div>
            <w:div w:id="1868563262">
              <w:marLeft w:val="0"/>
              <w:marRight w:val="0"/>
              <w:marTop w:val="0"/>
              <w:marBottom w:val="0"/>
              <w:divBdr>
                <w:top w:val="none" w:sz="0" w:space="0" w:color="auto"/>
                <w:left w:val="none" w:sz="0" w:space="0" w:color="auto"/>
                <w:bottom w:val="none" w:sz="0" w:space="0" w:color="auto"/>
                <w:right w:val="none" w:sz="0" w:space="0" w:color="auto"/>
              </w:divBdr>
              <w:divsChild>
                <w:div w:id="1255166858">
                  <w:marLeft w:val="0"/>
                  <w:marRight w:val="0"/>
                  <w:marTop w:val="0"/>
                  <w:marBottom w:val="0"/>
                  <w:divBdr>
                    <w:top w:val="none" w:sz="0" w:space="0" w:color="auto"/>
                    <w:left w:val="none" w:sz="0" w:space="0" w:color="auto"/>
                    <w:bottom w:val="none" w:sz="0" w:space="0" w:color="auto"/>
                    <w:right w:val="none" w:sz="0" w:space="0" w:color="auto"/>
                  </w:divBdr>
                </w:div>
              </w:divsChild>
            </w:div>
            <w:div w:id="2131973432">
              <w:marLeft w:val="0"/>
              <w:marRight w:val="0"/>
              <w:marTop w:val="0"/>
              <w:marBottom w:val="0"/>
              <w:divBdr>
                <w:top w:val="none" w:sz="0" w:space="0" w:color="auto"/>
                <w:left w:val="none" w:sz="0" w:space="0" w:color="auto"/>
                <w:bottom w:val="none" w:sz="0" w:space="0" w:color="auto"/>
                <w:right w:val="none" w:sz="0" w:space="0" w:color="auto"/>
              </w:divBdr>
              <w:divsChild>
                <w:div w:id="1691030733">
                  <w:marLeft w:val="0"/>
                  <w:marRight w:val="0"/>
                  <w:marTop w:val="0"/>
                  <w:marBottom w:val="0"/>
                  <w:divBdr>
                    <w:top w:val="none" w:sz="0" w:space="0" w:color="auto"/>
                    <w:left w:val="none" w:sz="0" w:space="0" w:color="auto"/>
                    <w:bottom w:val="none" w:sz="0" w:space="0" w:color="auto"/>
                    <w:right w:val="none" w:sz="0" w:space="0" w:color="auto"/>
                  </w:divBdr>
                </w:div>
              </w:divsChild>
            </w:div>
            <w:div w:id="690768437">
              <w:marLeft w:val="0"/>
              <w:marRight w:val="0"/>
              <w:marTop w:val="0"/>
              <w:marBottom w:val="0"/>
              <w:divBdr>
                <w:top w:val="none" w:sz="0" w:space="0" w:color="auto"/>
                <w:left w:val="none" w:sz="0" w:space="0" w:color="auto"/>
                <w:bottom w:val="none" w:sz="0" w:space="0" w:color="auto"/>
                <w:right w:val="none" w:sz="0" w:space="0" w:color="auto"/>
              </w:divBdr>
              <w:divsChild>
                <w:div w:id="1418475485">
                  <w:marLeft w:val="0"/>
                  <w:marRight w:val="0"/>
                  <w:marTop w:val="0"/>
                  <w:marBottom w:val="0"/>
                  <w:divBdr>
                    <w:top w:val="none" w:sz="0" w:space="0" w:color="auto"/>
                    <w:left w:val="none" w:sz="0" w:space="0" w:color="auto"/>
                    <w:bottom w:val="none" w:sz="0" w:space="0" w:color="auto"/>
                    <w:right w:val="none" w:sz="0" w:space="0" w:color="auto"/>
                  </w:divBdr>
                </w:div>
              </w:divsChild>
            </w:div>
            <w:div w:id="1867063110">
              <w:marLeft w:val="0"/>
              <w:marRight w:val="0"/>
              <w:marTop w:val="0"/>
              <w:marBottom w:val="0"/>
              <w:divBdr>
                <w:top w:val="none" w:sz="0" w:space="0" w:color="auto"/>
                <w:left w:val="none" w:sz="0" w:space="0" w:color="auto"/>
                <w:bottom w:val="none" w:sz="0" w:space="0" w:color="auto"/>
                <w:right w:val="none" w:sz="0" w:space="0" w:color="auto"/>
              </w:divBdr>
              <w:divsChild>
                <w:div w:id="24991629">
                  <w:marLeft w:val="0"/>
                  <w:marRight w:val="0"/>
                  <w:marTop w:val="0"/>
                  <w:marBottom w:val="0"/>
                  <w:divBdr>
                    <w:top w:val="none" w:sz="0" w:space="0" w:color="auto"/>
                    <w:left w:val="none" w:sz="0" w:space="0" w:color="auto"/>
                    <w:bottom w:val="none" w:sz="0" w:space="0" w:color="auto"/>
                    <w:right w:val="none" w:sz="0" w:space="0" w:color="auto"/>
                  </w:divBdr>
                </w:div>
              </w:divsChild>
            </w:div>
            <w:div w:id="1641570663">
              <w:marLeft w:val="0"/>
              <w:marRight w:val="0"/>
              <w:marTop w:val="0"/>
              <w:marBottom w:val="0"/>
              <w:divBdr>
                <w:top w:val="none" w:sz="0" w:space="0" w:color="auto"/>
                <w:left w:val="none" w:sz="0" w:space="0" w:color="auto"/>
                <w:bottom w:val="none" w:sz="0" w:space="0" w:color="auto"/>
                <w:right w:val="none" w:sz="0" w:space="0" w:color="auto"/>
              </w:divBdr>
              <w:divsChild>
                <w:div w:id="1408260235">
                  <w:marLeft w:val="0"/>
                  <w:marRight w:val="0"/>
                  <w:marTop w:val="0"/>
                  <w:marBottom w:val="0"/>
                  <w:divBdr>
                    <w:top w:val="none" w:sz="0" w:space="0" w:color="auto"/>
                    <w:left w:val="none" w:sz="0" w:space="0" w:color="auto"/>
                    <w:bottom w:val="none" w:sz="0" w:space="0" w:color="auto"/>
                    <w:right w:val="none" w:sz="0" w:space="0" w:color="auto"/>
                  </w:divBdr>
                </w:div>
              </w:divsChild>
            </w:div>
            <w:div w:id="730735864">
              <w:marLeft w:val="0"/>
              <w:marRight w:val="0"/>
              <w:marTop w:val="0"/>
              <w:marBottom w:val="0"/>
              <w:divBdr>
                <w:top w:val="none" w:sz="0" w:space="0" w:color="auto"/>
                <w:left w:val="none" w:sz="0" w:space="0" w:color="auto"/>
                <w:bottom w:val="none" w:sz="0" w:space="0" w:color="auto"/>
                <w:right w:val="none" w:sz="0" w:space="0" w:color="auto"/>
              </w:divBdr>
              <w:divsChild>
                <w:div w:id="1286934867">
                  <w:marLeft w:val="0"/>
                  <w:marRight w:val="0"/>
                  <w:marTop w:val="0"/>
                  <w:marBottom w:val="0"/>
                  <w:divBdr>
                    <w:top w:val="none" w:sz="0" w:space="0" w:color="auto"/>
                    <w:left w:val="none" w:sz="0" w:space="0" w:color="auto"/>
                    <w:bottom w:val="none" w:sz="0" w:space="0" w:color="auto"/>
                    <w:right w:val="none" w:sz="0" w:space="0" w:color="auto"/>
                  </w:divBdr>
                </w:div>
              </w:divsChild>
            </w:div>
            <w:div w:id="970481577">
              <w:marLeft w:val="0"/>
              <w:marRight w:val="0"/>
              <w:marTop w:val="0"/>
              <w:marBottom w:val="0"/>
              <w:divBdr>
                <w:top w:val="none" w:sz="0" w:space="0" w:color="auto"/>
                <w:left w:val="none" w:sz="0" w:space="0" w:color="auto"/>
                <w:bottom w:val="none" w:sz="0" w:space="0" w:color="auto"/>
                <w:right w:val="none" w:sz="0" w:space="0" w:color="auto"/>
              </w:divBdr>
              <w:divsChild>
                <w:div w:id="1364358847">
                  <w:marLeft w:val="0"/>
                  <w:marRight w:val="0"/>
                  <w:marTop w:val="0"/>
                  <w:marBottom w:val="0"/>
                  <w:divBdr>
                    <w:top w:val="none" w:sz="0" w:space="0" w:color="auto"/>
                    <w:left w:val="none" w:sz="0" w:space="0" w:color="auto"/>
                    <w:bottom w:val="none" w:sz="0" w:space="0" w:color="auto"/>
                    <w:right w:val="none" w:sz="0" w:space="0" w:color="auto"/>
                  </w:divBdr>
                </w:div>
              </w:divsChild>
            </w:div>
            <w:div w:id="826675266">
              <w:marLeft w:val="0"/>
              <w:marRight w:val="0"/>
              <w:marTop w:val="0"/>
              <w:marBottom w:val="0"/>
              <w:divBdr>
                <w:top w:val="none" w:sz="0" w:space="0" w:color="auto"/>
                <w:left w:val="none" w:sz="0" w:space="0" w:color="auto"/>
                <w:bottom w:val="none" w:sz="0" w:space="0" w:color="auto"/>
                <w:right w:val="none" w:sz="0" w:space="0" w:color="auto"/>
              </w:divBdr>
              <w:divsChild>
                <w:div w:id="2025741450">
                  <w:marLeft w:val="0"/>
                  <w:marRight w:val="0"/>
                  <w:marTop w:val="0"/>
                  <w:marBottom w:val="0"/>
                  <w:divBdr>
                    <w:top w:val="none" w:sz="0" w:space="0" w:color="auto"/>
                    <w:left w:val="none" w:sz="0" w:space="0" w:color="auto"/>
                    <w:bottom w:val="none" w:sz="0" w:space="0" w:color="auto"/>
                    <w:right w:val="none" w:sz="0" w:space="0" w:color="auto"/>
                  </w:divBdr>
                </w:div>
              </w:divsChild>
            </w:div>
            <w:div w:id="1399933836">
              <w:marLeft w:val="0"/>
              <w:marRight w:val="0"/>
              <w:marTop w:val="0"/>
              <w:marBottom w:val="0"/>
              <w:divBdr>
                <w:top w:val="none" w:sz="0" w:space="0" w:color="auto"/>
                <w:left w:val="none" w:sz="0" w:space="0" w:color="auto"/>
                <w:bottom w:val="none" w:sz="0" w:space="0" w:color="auto"/>
                <w:right w:val="none" w:sz="0" w:space="0" w:color="auto"/>
              </w:divBdr>
              <w:divsChild>
                <w:div w:id="1106803973">
                  <w:marLeft w:val="0"/>
                  <w:marRight w:val="0"/>
                  <w:marTop w:val="0"/>
                  <w:marBottom w:val="0"/>
                  <w:divBdr>
                    <w:top w:val="none" w:sz="0" w:space="0" w:color="auto"/>
                    <w:left w:val="none" w:sz="0" w:space="0" w:color="auto"/>
                    <w:bottom w:val="none" w:sz="0" w:space="0" w:color="auto"/>
                    <w:right w:val="none" w:sz="0" w:space="0" w:color="auto"/>
                  </w:divBdr>
                </w:div>
              </w:divsChild>
            </w:div>
            <w:div w:id="989092970">
              <w:marLeft w:val="0"/>
              <w:marRight w:val="0"/>
              <w:marTop w:val="0"/>
              <w:marBottom w:val="0"/>
              <w:divBdr>
                <w:top w:val="none" w:sz="0" w:space="0" w:color="auto"/>
                <w:left w:val="none" w:sz="0" w:space="0" w:color="auto"/>
                <w:bottom w:val="none" w:sz="0" w:space="0" w:color="auto"/>
                <w:right w:val="none" w:sz="0" w:space="0" w:color="auto"/>
              </w:divBdr>
              <w:divsChild>
                <w:div w:id="1186410387">
                  <w:marLeft w:val="0"/>
                  <w:marRight w:val="0"/>
                  <w:marTop w:val="0"/>
                  <w:marBottom w:val="0"/>
                  <w:divBdr>
                    <w:top w:val="none" w:sz="0" w:space="0" w:color="auto"/>
                    <w:left w:val="none" w:sz="0" w:space="0" w:color="auto"/>
                    <w:bottom w:val="none" w:sz="0" w:space="0" w:color="auto"/>
                    <w:right w:val="none" w:sz="0" w:space="0" w:color="auto"/>
                  </w:divBdr>
                </w:div>
              </w:divsChild>
            </w:div>
            <w:div w:id="1498420534">
              <w:marLeft w:val="0"/>
              <w:marRight w:val="0"/>
              <w:marTop w:val="0"/>
              <w:marBottom w:val="0"/>
              <w:divBdr>
                <w:top w:val="none" w:sz="0" w:space="0" w:color="auto"/>
                <w:left w:val="none" w:sz="0" w:space="0" w:color="auto"/>
                <w:bottom w:val="none" w:sz="0" w:space="0" w:color="auto"/>
                <w:right w:val="none" w:sz="0" w:space="0" w:color="auto"/>
              </w:divBdr>
              <w:divsChild>
                <w:div w:id="44525180">
                  <w:marLeft w:val="0"/>
                  <w:marRight w:val="0"/>
                  <w:marTop w:val="0"/>
                  <w:marBottom w:val="0"/>
                  <w:divBdr>
                    <w:top w:val="none" w:sz="0" w:space="0" w:color="auto"/>
                    <w:left w:val="none" w:sz="0" w:space="0" w:color="auto"/>
                    <w:bottom w:val="none" w:sz="0" w:space="0" w:color="auto"/>
                    <w:right w:val="none" w:sz="0" w:space="0" w:color="auto"/>
                  </w:divBdr>
                </w:div>
              </w:divsChild>
            </w:div>
            <w:div w:id="713315447">
              <w:marLeft w:val="0"/>
              <w:marRight w:val="0"/>
              <w:marTop w:val="0"/>
              <w:marBottom w:val="0"/>
              <w:divBdr>
                <w:top w:val="none" w:sz="0" w:space="0" w:color="auto"/>
                <w:left w:val="none" w:sz="0" w:space="0" w:color="auto"/>
                <w:bottom w:val="none" w:sz="0" w:space="0" w:color="auto"/>
                <w:right w:val="none" w:sz="0" w:space="0" w:color="auto"/>
              </w:divBdr>
              <w:divsChild>
                <w:div w:id="1412892683">
                  <w:marLeft w:val="0"/>
                  <w:marRight w:val="0"/>
                  <w:marTop w:val="0"/>
                  <w:marBottom w:val="0"/>
                  <w:divBdr>
                    <w:top w:val="none" w:sz="0" w:space="0" w:color="auto"/>
                    <w:left w:val="none" w:sz="0" w:space="0" w:color="auto"/>
                    <w:bottom w:val="none" w:sz="0" w:space="0" w:color="auto"/>
                    <w:right w:val="none" w:sz="0" w:space="0" w:color="auto"/>
                  </w:divBdr>
                </w:div>
              </w:divsChild>
            </w:div>
            <w:div w:id="1954821466">
              <w:marLeft w:val="0"/>
              <w:marRight w:val="0"/>
              <w:marTop w:val="0"/>
              <w:marBottom w:val="0"/>
              <w:divBdr>
                <w:top w:val="none" w:sz="0" w:space="0" w:color="auto"/>
                <w:left w:val="none" w:sz="0" w:space="0" w:color="auto"/>
                <w:bottom w:val="none" w:sz="0" w:space="0" w:color="auto"/>
                <w:right w:val="none" w:sz="0" w:space="0" w:color="auto"/>
              </w:divBdr>
              <w:divsChild>
                <w:div w:id="2113820117">
                  <w:marLeft w:val="0"/>
                  <w:marRight w:val="0"/>
                  <w:marTop w:val="0"/>
                  <w:marBottom w:val="0"/>
                  <w:divBdr>
                    <w:top w:val="none" w:sz="0" w:space="0" w:color="auto"/>
                    <w:left w:val="none" w:sz="0" w:space="0" w:color="auto"/>
                    <w:bottom w:val="none" w:sz="0" w:space="0" w:color="auto"/>
                    <w:right w:val="none" w:sz="0" w:space="0" w:color="auto"/>
                  </w:divBdr>
                </w:div>
              </w:divsChild>
            </w:div>
            <w:div w:id="1345323428">
              <w:marLeft w:val="0"/>
              <w:marRight w:val="0"/>
              <w:marTop w:val="0"/>
              <w:marBottom w:val="0"/>
              <w:divBdr>
                <w:top w:val="none" w:sz="0" w:space="0" w:color="auto"/>
                <w:left w:val="none" w:sz="0" w:space="0" w:color="auto"/>
                <w:bottom w:val="none" w:sz="0" w:space="0" w:color="auto"/>
                <w:right w:val="none" w:sz="0" w:space="0" w:color="auto"/>
              </w:divBdr>
              <w:divsChild>
                <w:div w:id="1130634981">
                  <w:marLeft w:val="0"/>
                  <w:marRight w:val="0"/>
                  <w:marTop w:val="0"/>
                  <w:marBottom w:val="0"/>
                  <w:divBdr>
                    <w:top w:val="none" w:sz="0" w:space="0" w:color="auto"/>
                    <w:left w:val="none" w:sz="0" w:space="0" w:color="auto"/>
                    <w:bottom w:val="none" w:sz="0" w:space="0" w:color="auto"/>
                    <w:right w:val="none" w:sz="0" w:space="0" w:color="auto"/>
                  </w:divBdr>
                </w:div>
              </w:divsChild>
            </w:div>
            <w:div w:id="1866941206">
              <w:marLeft w:val="0"/>
              <w:marRight w:val="0"/>
              <w:marTop w:val="0"/>
              <w:marBottom w:val="0"/>
              <w:divBdr>
                <w:top w:val="none" w:sz="0" w:space="0" w:color="auto"/>
                <w:left w:val="none" w:sz="0" w:space="0" w:color="auto"/>
                <w:bottom w:val="none" w:sz="0" w:space="0" w:color="auto"/>
                <w:right w:val="none" w:sz="0" w:space="0" w:color="auto"/>
              </w:divBdr>
              <w:divsChild>
                <w:div w:id="1740784904">
                  <w:marLeft w:val="0"/>
                  <w:marRight w:val="0"/>
                  <w:marTop w:val="0"/>
                  <w:marBottom w:val="0"/>
                  <w:divBdr>
                    <w:top w:val="none" w:sz="0" w:space="0" w:color="auto"/>
                    <w:left w:val="none" w:sz="0" w:space="0" w:color="auto"/>
                    <w:bottom w:val="none" w:sz="0" w:space="0" w:color="auto"/>
                    <w:right w:val="none" w:sz="0" w:space="0" w:color="auto"/>
                  </w:divBdr>
                </w:div>
              </w:divsChild>
            </w:div>
            <w:div w:id="1200047937">
              <w:marLeft w:val="0"/>
              <w:marRight w:val="0"/>
              <w:marTop w:val="0"/>
              <w:marBottom w:val="0"/>
              <w:divBdr>
                <w:top w:val="none" w:sz="0" w:space="0" w:color="auto"/>
                <w:left w:val="none" w:sz="0" w:space="0" w:color="auto"/>
                <w:bottom w:val="none" w:sz="0" w:space="0" w:color="auto"/>
                <w:right w:val="none" w:sz="0" w:space="0" w:color="auto"/>
              </w:divBdr>
              <w:divsChild>
                <w:div w:id="921181064">
                  <w:marLeft w:val="0"/>
                  <w:marRight w:val="0"/>
                  <w:marTop w:val="0"/>
                  <w:marBottom w:val="0"/>
                  <w:divBdr>
                    <w:top w:val="none" w:sz="0" w:space="0" w:color="auto"/>
                    <w:left w:val="none" w:sz="0" w:space="0" w:color="auto"/>
                    <w:bottom w:val="none" w:sz="0" w:space="0" w:color="auto"/>
                    <w:right w:val="none" w:sz="0" w:space="0" w:color="auto"/>
                  </w:divBdr>
                </w:div>
              </w:divsChild>
            </w:div>
            <w:div w:id="962156089">
              <w:marLeft w:val="0"/>
              <w:marRight w:val="0"/>
              <w:marTop w:val="0"/>
              <w:marBottom w:val="0"/>
              <w:divBdr>
                <w:top w:val="none" w:sz="0" w:space="0" w:color="auto"/>
                <w:left w:val="none" w:sz="0" w:space="0" w:color="auto"/>
                <w:bottom w:val="none" w:sz="0" w:space="0" w:color="auto"/>
                <w:right w:val="none" w:sz="0" w:space="0" w:color="auto"/>
              </w:divBdr>
              <w:divsChild>
                <w:div w:id="757480307">
                  <w:marLeft w:val="0"/>
                  <w:marRight w:val="0"/>
                  <w:marTop w:val="0"/>
                  <w:marBottom w:val="0"/>
                  <w:divBdr>
                    <w:top w:val="none" w:sz="0" w:space="0" w:color="auto"/>
                    <w:left w:val="none" w:sz="0" w:space="0" w:color="auto"/>
                    <w:bottom w:val="none" w:sz="0" w:space="0" w:color="auto"/>
                    <w:right w:val="none" w:sz="0" w:space="0" w:color="auto"/>
                  </w:divBdr>
                </w:div>
              </w:divsChild>
            </w:div>
            <w:div w:id="1835947985">
              <w:marLeft w:val="0"/>
              <w:marRight w:val="0"/>
              <w:marTop w:val="0"/>
              <w:marBottom w:val="0"/>
              <w:divBdr>
                <w:top w:val="none" w:sz="0" w:space="0" w:color="auto"/>
                <w:left w:val="none" w:sz="0" w:space="0" w:color="auto"/>
                <w:bottom w:val="none" w:sz="0" w:space="0" w:color="auto"/>
                <w:right w:val="none" w:sz="0" w:space="0" w:color="auto"/>
              </w:divBdr>
              <w:divsChild>
                <w:div w:id="2005355992">
                  <w:marLeft w:val="0"/>
                  <w:marRight w:val="0"/>
                  <w:marTop w:val="0"/>
                  <w:marBottom w:val="0"/>
                  <w:divBdr>
                    <w:top w:val="none" w:sz="0" w:space="0" w:color="auto"/>
                    <w:left w:val="none" w:sz="0" w:space="0" w:color="auto"/>
                    <w:bottom w:val="none" w:sz="0" w:space="0" w:color="auto"/>
                    <w:right w:val="none" w:sz="0" w:space="0" w:color="auto"/>
                  </w:divBdr>
                </w:div>
              </w:divsChild>
            </w:div>
            <w:div w:id="281305733">
              <w:marLeft w:val="0"/>
              <w:marRight w:val="0"/>
              <w:marTop w:val="0"/>
              <w:marBottom w:val="0"/>
              <w:divBdr>
                <w:top w:val="none" w:sz="0" w:space="0" w:color="auto"/>
                <w:left w:val="none" w:sz="0" w:space="0" w:color="auto"/>
                <w:bottom w:val="none" w:sz="0" w:space="0" w:color="auto"/>
                <w:right w:val="none" w:sz="0" w:space="0" w:color="auto"/>
              </w:divBdr>
              <w:divsChild>
                <w:div w:id="1206403">
                  <w:marLeft w:val="0"/>
                  <w:marRight w:val="0"/>
                  <w:marTop w:val="0"/>
                  <w:marBottom w:val="0"/>
                  <w:divBdr>
                    <w:top w:val="none" w:sz="0" w:space="0" w:color="auto"/>
                    <w:left w:val="none" w:sz="0" w:space="0" w:color="auto"/>
                    <w:bottom w:val="none" w:sz="0" w:space="0" w:color="auto"/>
                    <w:right w:val="none" w:sz="0" w:space="0" w:color="auto"/>
                  </w:divBdr>
                </w:div>
              </w:divsChild>
            </w:div>
            <w:div w:id="1597327524">
              <w:marLeft w:val="0"/>
              <w:marRight w:val="0"/>
              <w:marTop w:val="0"/>
              <w:marBottom w:val="0"/>
              <w:divBdr>
                <w:top w:val="none" w:sz="0" w:space="0" w:color="auto"/>
                <w:left w:val="none" w:sz="0" w:space="0" w:color="auto"/>
                <w:bottom w:val="none" w:sz="0" w:space="0" w:color="auto"/>
                <w:right w:val="none" w:sz="0" w:space="0" w:color="auto"/>
              </w:divBdr>
              <w:divsChild>
                <w:div w:id="808866727">
                  <w:marLeft w:val="0"/>
                  <w:marRight w:val="0"/>
                  <w:marTop w:val="0"/>
                  <w:marBottom w:val="0"/>
                  <w:divBdr>
                    <w:top w:val="none" w:sz="0" w:space="0" w:color="auto"/>
                    <w:left w:val="none" w:sz="0" w:space="0" w:color="auto"/>
                    <w:bottom w:val="none" w:sz="0" w:space="0" w:color="auto"/>
                    <w:right w:val="none" w:sz="0" w:space="0" w:color="auto"/>
                  </w:divBdr>
                </w:div>
              </w:divsChild>
            </w:div>
            <w:div w:id="1740711046">
              <w:marLeft w:val="0"/>
              <w:marRight w:val="0"/>
              <w:marTop w:val="0"/>
              <w:marBottom w:val="0"/>
              <w:divBdr>
                <w:top w:val="none" w:sz="0" w:space="0" w:color="auto"/>
                <w:left w:val="none" w:sz="0" w:space="0" w:color="auto"/>
                <w:bottom w:val="none" w:sz="0" w:space="0" w:color="auto"/>
                <w:right w:val="none" w:sz="0" w:space="0" w:color="auto"/>
              </w:divBdr>
              <w:divsChild>
                <w:div w:id="1761099066">
                  <w:marLeft w:val="0"/>
                  <w:marRight w:val="0"/>
                  <w:marTop w:val="0"/>
                  <w:marBottom w:val="0"/>
                  <w:divBdr>
                    <w:top w:val="none" w:sz="0" w:space="0" w:color="auto"/>
                    <w:left w:val="none" w:sz="0" w:space="0" w:color="auto"/>
                    <w:bottom w:val="none" w:sz="0" w:space="0" w:color="auto"/>
                    <w:right w:val="none" w:sz="0" w:space="0" w:color="auto"/>
                  </w:divBdr>
                </w:div>
              </w:divsChild>
            </w:div>
            <w:div w:id="883711633">
              <w:marLeft w:val="0"/>
              <w:marRight w:val="0"/>
              <w:marTop w:val="0"/>
              <w:marBottom w:val="0"/>
              <w:divBdr>
                <w:top w:val="none" w:sz="0" w:space="0" w:color="auto"/>
                <w:left w:val="none" w:sz="0" w:space="0" w:color="auto"/>
                <w:bottom w:val="none" w:sz="0" w:space="0" w:color="auto"/>
                <w:right w:val="none" w:sz="0" w:space="0" w:color="auto"/>
              </w:divBdr>
              <w:divsChild>
                <w:div w:id="1267034417">
                  <w:marLeft w:val="0"/>
                  <w:marRight w:val="0"/>
                  <w:marTop w:val="0"/>
                  <w:marBottom w:val="0"/>
                  <w:divBdr>
                    <w:top w:val="none" w:sz="0" w:space="0" w:color="auto"/>
                    <w:left w:val="none" w:sz="0" w:space="0" w:color="auto"/>
                    <w:bottom w:val="none" w:sz="0" w:space="0" w:color="auto"/>
                    <w:right w:val="none" w:sz="0" w:space="0" w:color="auto"/>
                  </w:divBdr>
                </w:div>
              </w:divsChild>
            </w:div>
            <w:div w:id="745539040">
              <w:marLeft w:val="0"/>
              <w:marRight w:val="0"/>
              <w:marTop w:val="0"/>
              <w:marBottom w:val="0"/>
              <w:divBdr>
                <w:top w:val="none" w:sz="0" w:space="0" w:color="auto"/>
                <w:left w:val="none" w:sz="0" w:space="0" w:color="auto"/>
                <w:bottom w:val="none" w:sz="0" w:space="0" w:color="auto"/>
                <w:right w:val="none" w:sz="0" w:space="0" w:color="auto"/>
              </w:divBdr>
              <w:divsChild>
                <w:div w:id="2135714434">
                  <w:marLeft w:val="0"/>
                  <w:marRight w:val="0"/>
                  <w:marTop w:val="0"/>
                  <w:marBottom w:val="0"/>
                  <w:divBdr>
                    <w:top w:val="none" w:sz="0" w:space="0" w:color="auto"/>
                    <w:left w:val="none" w:sz="0" w:space="0" w:color="auto"/>
                    <w:bottom w:val="none" w:sz="0" w:space="0" w:color="auto"/>
                    <w:right w:val="none" w:sz="0" w:space="0" w:color="auto"/>
                  </w:divBdr>
                </w:div>
              </w:divsChild>
            </w:div>
            <w:div w:id="1787960850">
              <w:marLeft w:val="0"/>
              <w:marRight w:val="0"/>
              <w:marTop w:val="0"/>
              <w:marBottom w:val="0"/>
              <w:divBdr>
                <w:top w:val="none" w:sz="0" w:space="0" w:color="auto"/>
                <w:left w:val="none" w:sz="0" w:space="0" w:color="auto"/>
                <w:bottom w:val="none" w:sz="0" w:space="0" w:color="auto"/>
                <w:right w:val="none" w:sz="0" w:space="0" w:color="auto"/>
              </w:divBdr>
              <w:divsChild>
                <w:div w:id="1805123707">
                  <w:marLeft w:val="0"/>
                  <w:marRight w:val="0"/>
                  <w:marTop w:val="0"/>
                  <w:marBottom w:val="0"/>
                  <w:divBdr>
                    <w:top w:val="none" w:sz="0" w:space="0" w:color="auto"/>
                    <w:left w:val="none" w:sz="0" w:space="0" w:color="auto"/>
                    <w:bottom w:val="none" w:sz="0" w:space="0" w:color="auto"/>
                    <w:right w:val="none" w:sz="0" w:space="0" w:color="auto"/>
                  </w:divBdr>
                </w:div>
              </w:divsChild>
            </w:div>
            <w:div w:id="199167129">
              <w:marLeft w:val="0"/>
              <w:marRight w:val="0"/>
              <w:marTop w:val="0"/>
              <w:marBottom w:val="0"/>
              <w:divBdr>
                <w:top w:val="none" w:sz="0" w:space="0" w:color="auto"/>
                <w:left w:val="none" w:sz="0" w:space="0" w:color="auto"/>
                <w:bottom w:val="none" w:sz="0" w:space="0" w:color="auto"/>
                <w:right w:val="none" w:sz="0" w:space="0" w:color="auto"/>
              </w:divBdr>
              <w:divsChild>
                <w:div w:id="971448032">
                  <w:marLeft w:val="0"/>
                  <w:marRight w:val="0"/>
                  <w:marTop w:val="0"/>
                  <w:marBottom w:val="0"/>
                  <w:divBdr>
                    <w:top w:val="none" w:sz="0" w:space="0" w:color="auto"/>
                    <w:left w:val="none" w:sz="0" w:space="0" w:color="auto"/>
                    <w:bottom w:val="none" w:sz="0" w:space="0" w:color="auto"/>
                    <w:right w:val="none" w:sz="0" w:space="0" w:color="auto"/>
                  </w:divBdr>
                </w:div>
              </w:divsChild>
            </w:div>
            <w:div w:id="148520335">
              <w:marLeft w:val="0"/>
              <w:marRight w:val="0"/>
              <w:marTop w:val="0"/>
              <w:marBottom w:val="0"/>
              <w:divBdr>
                <w:top w:val="none" w:sz="0" w:space="0" w:color="auto"/>
                <w:left w:val="none" w:sz="0" w:space="0" w:color="auto"/>
                <w:bottom w:val="none" w:sz="0" w:space="0" w:color="auto"/>
                <w:right w:val="none" w:sz="0" w:space="0" w:color="auto"/>
              </w:divBdr>
              <w:divsChild>
                <w:div w:id="1604024999">
                  <w:marLeft w:val="0"/>
                  <w:marRight w:val="0"/>
                  <w:marTop w:val="0"/>
                  <w:marBottom w:val="0"/>
                  <w:divBdr>
                    <w:top w:val="none" w:sz="0" w:space="0" w:color="auto"/>
                    <w:left w:val="none" w:sz="0" w:space="0" w:color="auto"/>
                    <w:bottom w:val="none" w:sz="0" w:space="0" w:color="auto"/>
                    <w:right w:val="none" w:sz="0" w:space="0" w:color="auto"/>
                  </w:divBdr>
                </w:div>
              </w:divsChild>
            </w:div>
            <w:div w:id="1644312176">
              <w:marLeft w:val="0"/>
              <w:marRight w:val="0"/>
              <w:marTop w:val="0"/>
              <w:marBottom w:val="0"/>
              <w:divBdr>
                <w:top w:val="none" w:sz="0" w:space="0" w:color="auto"/>
                <w:left w:val="none" w:sz="0" w:space="0" w:color="auto"/>
                <w:bottom w:val="none" w:sz="0" w:space="0" w:color="auto"/>
                <w:right w:val="none" w:sz="0" w:space="0" w:color="auto"/>
              </w:divBdr>
              <w:divsChild>
                <w:div w:id="9445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05404">
          <w:marLeft w:val="0"/>
          <w:marRight w:val="0"/>
          <w:marTop w:val="0"/>
          <w:marBottom w:val="0"/>
          <w:divBdr>
            <w:top w:val="none" w:sz="0" w:space="0" w:color="auto"/>
            <w:left w:val="none" w:sz="0" w:space="0" w:color="auto"/>
            <w:bottom w:val="none" w:sz="0" w:space="0" w:color="auto"/>
            <w:right w:val="none" w:sz="0" w:space="0" w:color="auto"/>
          </w:divBdr>
        </w:div>
        <w:div w:id="1081945970">
          <w:marLeft w:val="0"/>
          <w:marRight w:val="0"/>
          <w:marTop w:val="0"/>
          <w:marBottom w:val="0"/>
          <w:divBdr>
            <w:top w:val="none" w:sz="0" w:space="0" w:color="auto"/>
            <w:left w:val="none" w:sz="0" w:space="0" w:color="auto"/>
            <w:bottom w:val="none" w:sz="0" w:space="0" w:color="auto"/>
            <w:right w:val="none" w:sz="0" w:space="0" w:color="auto"/>
          </w:divBdr>
        </w:div>
        <w:div w:id="862594532">
          <w:marLeft w:val="0"/>
          <w:marRight w:val="0"/>
          <w:marTop w:val="0"/>
          <w:marBottom w:val="0"/>
          <w:divBdr>
            <w:top w:val="none" w:sz="0" w:space="0" w:color="auto"/>
            <w:left w:val="none" w:sz="0" w:space="0" w:color="auto"/>
            <w:bottom w:val="none" w:sz="0" w:space="0" w:color="auto"/>
            <w:right w:val="none" w:sz="0" w:space="0" w:color="auto"/>
          </w:divBdr>
        </w:div>
        <w:div w:id="826091266">
          <w:marLeft w:val="0"/>
          <w:marRight w:val="0"/>
          <w:marTop w:val="0"/>
          <w:marBottom w:val="0"/>
          <w:divBdr>
            <w:top w:val="none" w:sz="0" w:space="0" w:color="auto"/>
            <w:left w:val="none" w:sz="0" w:space="0" w:color="auto"/>
            <w:bottom w:val="none" w:sz="0" w:space="0" w:color="auto"/>
            <w:right w:val="none" w:sz="0" w:space="0" w:color="auto"/>
          </w:divBdr>
        </w:div>
        <w:div w:id="1373115321">
          <w:marLeft w:val="0"/>
          <w:marRight w:val="0"/>
          <w:marTop w:val="0"/>
          <w:marBottom w:val="0"/>
          <w:divBdr>
            <w:top w:val="none" w:sz="0" w:space="0" w:color="auto"/>
            <w:left w:val="none" w:sz="0" w:space="0" w:color="auto"/>
            <w:bottom w:val="none" w:sz="0" w:space="0" w:color="auto"/>
            <w:right w:val="none" w:sz="0" w:space="0" w:color="auto"/>
          </w:divBdr>
        </w:div>
        <w:div w:id="1543126392">
          <w:marLeft w:val="0"/>
          <w:marRight w:val="0"/>
          <w:marTop w:val="0"/>
          <w:marBottom w:val="0"/>
          <w:divBdr>
            <w:top w:val="none" w:sz="0" w:space="0" w:color="auto"/>
            <w:left w:val="none" w:sz="0" w:space="0" w:color="auto"/>
            <w:bottom w:val="none" w:sz="0" w:space="0" w:color="auto"/>
            <w:right w:val="none" w:sz="0" w:space="0" w:color="auto"/>
          </w:divBdr>
        </w:div>
        <w:div w:id="1869173519">
          <w:marLeft w:val="0"/>
          <w:marRight w:val="0"/>
          <w:marTop w:val="0"/>
          <w:marBottom w:val="0"/>
          <w:divBdr>
            <w:top w:val="none" w:sz="0" w:space="0" w:color="auto"/>
            <w:left w:val="none" w:sz="0" w:space="0" w:color="auto"/>
            <w:bottom w:val="none" w:sz="0" w:space="0" w:color="auto"/>
            <w:right w:val="none" w:sz="0" w:space="0" w:color="auto"/>
          </w:divBdr>
        </w:div>
        <w:div w:id="2057583969">
          <w:marLeft w:val="0"/>
          <w:marRight w:val="0"/>
          <w:marTop w:val="0"/>
          <w:marBottom w:val="0"/>
          <w:divBdr>
            <w:top w:val="none" w:sz="0" w:space="0" w:color="auto"/>
            <w:left w:val="none" w:sz="0" w:space="0" w:color="auto"/>
            <w:bottom w:val="none" w:sz="0" w:space="0" w:color="auto"/>
            <w:right w:val="none" w:sz="0" w:space="0" w:color="auto"/>
          </w:divBdr>
        </w:div>
        <w:div w:id="1451433505">
          <w:marLeft w:val="0"/>
          <w:marRight w:val="0"/>
          <w:marTop w:val="0"/>
          <w:marBottom w:val="0"/>
          <w:divBdr>
            <w:top w:val="none" w:sz="0" w:space="0" w:color="auto"/>
            <w:left w:val="none" w:sz="0" w:space="0" w:color="auto"/>
            <w:bottom w:val="none" w:sz="0" w:space="0" w:color="auto"/>
            <w:right w:val="none" w:sz="0" w:space="0" w:color="auto"/>
          </w:divBdr>
        </w:div>
        <w:div w:id="1988244510">
          <w:marLeft w:val="0"/>
          <w:marRight w:val="0"/>
          <w:marTop w:val="0"/>
          <w:marBottom w:val="0"/>
          <w:divBdr>
            <w:top w:val="none" w:sz="0" w:space="0" w:color="auto"/>
            <w:left w:val="none" w:sz="0" w:space="0" w:color="auto"/>
            <w:bottom w:val="none" w:sz="0" w:space="0" w:color="auto"/>
            <w:right w:val="none" w:sz="0" w:space="0" w:color="auto"/>
          </w:divBdr>
        </w:div>
        <w:div w:id="2167980">
          <w:marLeft w:val="0"/>
          <w:marRight w:val="0"/>
          <w:marTop w:val="0"/>
          <w:marBottom w:val="0"/>
          <w:divBdr>
            <w:top w:val="none" w:sz="0" w:space="0" w:color="auto"/>
            <w:left w:val="none" w:sz="0" w:space="0" w:color="auto"/>
            <w:bottom w:val="none" w:sz="0" w:space="0" w:color="auto"/>
            <w:right w:val="none" w:sz="0" w:space="0" w:color="auto"/>
          </w:divBdr>
        </w:div>
        <w:div w:id="413552405">
          <w:marLeft w:val="0"/>
          <w:marRight w:val="0"/>
          <w:marTop w:val="0"/>
          <w:marBottom w:val="0"/>
          <w:divBdr>
            <w:top w:val="none" w:sz="0" w:space="0" w:color="auto"/>
            <w:left w:val="none" w:sz="0" w:space="0" w:color="auto"/>
            <w:bottom w:val="none" w:sz="0" w:space="0" w:color="auto"/>
            <w:right w:val="none" w:sz="0" w:space="0" w:color="auto"/>
          </w:divBdr>
        </w:div>
        <w:div w:id="1767070508">
          <w:marLeft w:val="0"/>
          <w:marRight w:val="0"/>
          <w:marTop w:val="0"/>
          <w:marBottom w:val="0"/>
          <w:divBdr>
            <w:top w:val="none" w:sz="0" w:space="0" w:color="auto"/>
            <w:left w:val="none" w:sz="0" w:space="0" w:color="auto"/>
            <w:bottom w:val="none" w:sz="0" w:space="0" w:color="auto"/>
            <w:right w:val="none" w:sz="0" w:space="0" w:color="auto"/>
          </w:divBdr>
        </w:div>
        <w:div w:id="1587610404">
          <w:marLeft w:val="0"/>
          <w:marRight w:val="0"/>
          <w:marTop w:val="0"/>
          <w:marBottom w:val="0"/>
          <w:divBdr>
            <w:top w:val="none" w:sz="0" w:space="0" w:color="auto"/>
            <w:left w:val="none" w:sz="0" w:space="0" w:color="auto"/>
            <w:bottom w:val="none" w:sz="0" w:space="0" w:color="auto"/>
            <w:right w:val="none" w:sz="0" w:space="0" w:color="auto"/>
          </w:divBdr>
        </w:div>
        <w:div w:id="163202932">
          <w:marLeft w:val="0"/>
          <w:marRight w:val="0"/>
          <w:marTop w:val="0"/>
          <w:marBottom w:val="0"/>
          <w:divBdr>
            <w:top w:val="none" w:sz="0" w:space="0" w:color="auto"/>
            <w:left w:val="none" w:sz="0" w:space="0" w:color="auto"/>
            <w:bottom w:val="none" w:sz="0" w:space="0" w:color="auto"/>
            <w:right w:val="none" w:sz="0" w:space="0" w:color="auto"/>
          </w:divBdr>
        </w:div>
        <w:div w:id="2060740982">
          <w:marLeft w:val="-75"/>
          <w:marRight w:val="0"/>
          <w:marTop w:val="30"/>
          <w:marBottom w:val="30"/>
          <w:divBdr>
            <w:top w:val="none" w:sz="0" w:space="0" w:color="auto"/>
            <w:left w:val="none" w:sz="0" w:space="0" w:color="auto"/>
            <w:bottom w:val="none" w:sz="0" w:space="0" w:color="auto"/>
            <w:right w:val="none" w:sz="0" w:space="0" w:color="auto"/>
          </w:divBdr>
          <w:divsChild>
            <w:div w:id="1037394195">
              <w:marLeft w:val="0"/>
              <w:marRight w:val="0"/>
              <w:marTop w:val="0"/>
              <w:marBottom w:val="0"/>
              <w:divBdr>
                <w:top w:val="none" w:sz="0" w:space="0" w:color="auto"/>
                <w:left w:val="none" w:sz="0" w:space="0" w:color="auto"/>
                <w:bottom w:val="none" w:sz="0" w:space="0" w:color="auto"/>
                <w:right w:val="none" w:sz="0" w:space="0" w:color="auto"/>
              </w:divBdr>
              <w:divsChild>
                <w:div w:id="1066611774">
                  <w:marLeft w:val="0"/>
                  <w:marRight w:val="0"/>
                  <w:marTop w:val="0"/>
                  <w:marBottom w:val="0"/>
                  <w:divBdr>
                    <w:top w:val="none" w:sz="0" w:space="0" w:color="auto"/>
                    <w:left w:val="none" w:sz="0" w:space="0" w:color="auto"/>
                    <w:bottom w:val="none" w:sz="0" w:space="0" w:color="auto"/>
                    <w:right w:val="none" w:sz="0" w:space="0" w:color="auto"/>
                  </w:divBdr>
                </w:div>
              </w:divsChild>
            </w:div>
            <w:div w:id="1110785287">
              <w:marLeft w:val="0"/>
              <w:marRight w:val="0"/>
              <w:marTop w:val="0"/>
              <w:marBottom w:val="0"/>
              <w:divBdr>
                <w:top w:val="none" w:sz="0" w:space="0" w:color="auto"/>
                <w:left w:val="none" w:sz="0" w:space="0" w:color="auto"/>
                <w:bottom w:val="none" w:sz="0" w:space="0" w:color="auto"/>
                <w:right w:val="none" w:sz="0" w:space="0" w:color="auto"/>
              </w:divBdr>
              <w:divsChild>
                <w:div w:id="802771965">
                  <w:marLeft w:val="0"/>
                  <w:marRight w:val="0"/>
                  <w:marTop w:val="0"/>
                  <w:marBottom w:val="0"/>
                  <w:divBdr>
                    <w:top w:val="none" w:sz="0" w:space="0" w:color="auto"/>
                    <w:left w:val="none" w:sz="0" w:space="0" w:color="auto"/>
                    <w:bottom w:val="none" w:sz="0" w:space="0" w:color="auto"/>
                    <w:right w:val="none" w:sz="0" w:space="0" w:color="auto"/>
                  </w:divBdr>
                </w:div>
              </w:divsChild>
            </w:div>
            <w:div w:id="935016185">
              <w:marLeft w:val="0"/>
              <w:marRight w:val="0"/>
              <w:marTop w:val="0"/>
              <w:marBottom w:val="0"/>
              <w:divBdr>
                <w:top w:val="none" w:sz="0" w:space="0" w:color="auto"/>
                <w:left w:val="none" w:sz="0" w:space="0" w:color="auto"/>
                <w:bottom w:val="none" w:sz="0" w:space="0" w:color="auto"/>
                <w:right w:val="none" w:sz="0" w:space="0" w:color="auto"/>
              </w:divBdr>
              <w:divsChild>
                <w:div w:id="1582175235">
                  <w:marLeft w:val="0"/>
                  <w:marRight w:val="0"/>
                  <w:marTop w:val="0"/>
                  <w:marBottom w:val="0"/>
                  <w:divBdr>
                    <w:top w:val="none" w:sz="0" w:space="0" w:color="auto"/>
                    <w:left w:val="none" w:sz="0" w:space="0" w:color="auto"/>
                    <w:bottom w:val="none" w:sz="0" w:space="0" w:color="auto"/>
                    <w:right w:val="none" w:sz="0" w:space="0" w:color="auto"/>
                  </w:divBdr>
                </w:div>
              </w:divsChild>
            </w:div>
            <w:div w:id="1272203743">
              <w:marLeft w:val="0"/>
              <w:marRight w:val="0"/>
              <w:marTop w:val="0"/>
              <w:marBottom w:val="0"/>
              <w:divBdr>
                <w:top w:val="none" w:sz="0" w:space="0" w:color="auto"/>
                <w:left w:val="none" w:sz="0" w:space="0" w:color="auto"/>
                <w:bottom w:val="none" w:sz="0" w:space="0" w:color="auto"/>
                <w:right w:val="none" w:sz="0" w:space="0" w:color="auto"/>
              </w:divBdr>
              <w:divsChild>
                <w:div w:id="851838291">
                  <w:marLeft w:val="0"/>
                  <w:marRight w:val="0"/>
                  <w:marTop w:val="0"/>
                  <w:marBottom w:val="0"/>
                  <w:divBdr>
                    <w:top w:val="none" w:sz="0" w:space="0" w:color="auto"/>
                    <w:left w:val="none" w:sz="0" w:space="0" w:color="auto"/>
                    <w:bottom w:val="none" w:sz="0" w:space="0" w:color="auto"/>
                    <w:right w:val="none" w:sz="0" w:space="0" w:color="auto"/>
                  </w:divBdr>
                </w:div>
              </w:divsChild>
            </w:div>
            <w:div w:id="1522822188">
              <w:marLeft w:val="0"/>
              <w:marRight w:val="0"/>
              <w:marTop w:val="0"/>
              <w:marBottom w:val="0"/>
              <w:divBdr>
                <w:top w:val="none" w:sz="0" w:space="0" w:color="auto"/>
                <w:left w:val="none" w:sz="0" w:space="0" w:color="auto"/>
                <w:bottom w:val="none" w:sz="0" w:space="0" w:color="auto"/>
                <w:right w:val="none" w:sz="0" w:space="0" w:color="auto"/>
              </w:divBdr>
              <w:divsChild>
                <w:div w:id="465126921">
                  <w:marLeft w:val="0"/>
                  <w:marRight w:val="0"/>
                  <w:marTop w:val="0"/>
                  <w:marBottom w:val="0"/>
                  <w:divBdr>
                    <w:top w:val="none" w:sz="0" w:space="0" w:color="auto"/>
                    <w:left w:val="none" w:sz="0" w:space="0" w:color="auto"/>
                    <w:bottom w:val="none" w:sz="0" w:space="0" w:color="auto"/>
                    <w:right w:val="none" w:sz="0" w:space="0" w:color="auto"/>
                  </w:divBdr>
                </w:div>
              </w:divsChild>
            </w:div>
            <w:div w:id="914319589">
              <w:marLeft w:val="0"/>
              <w:marRight w:val="0"/>
              <w:marTop w:val="0"/>
              <w:marBottom w:val="0"/>
              <w:divBdr>
                <w:top w:val="none" w:sz="0" w:space="0" w:color="auto"/>
                <w:left w:val="none" w:sz="0" w:space="0" w:color="auto"/>
                <w:bottom w:val="none" w:sz="0" w:space="0" w:color="auto"/>
                <w:right w:val="none" w:sz="0" w:space="0" w:color="auto"/>
              </w:divBdr>
              <w:divsChild>
                <w:div w:id="157506321">
                  <w:marLeft w:val="0"/>
                  <w:marRight w:val="0"/>
                  <w:marTop w:val="0"/>
                  <w:marBottom w:val="0"/>
                  <w:divBdr>
                    <w:top w:val="none" w:sz="0" w:space="0" w:color="auto"/>
                    <w:left w:val="none" w:sz="0" w:space="0" w:color="auto"/>
                    <w:bottom w:val="none" w:sz="0" w:space="0" w:color="auto"/>
                    <w:right w:val="none" w:sz="0" w:space="0" w:color="auto"/>
                  </w:divBdr>
                </w:div>
              </w:divsChild>
            </w:div>
            <w:div w:id="368645775">
              <w:marLeft w:val="0"/>
              <w:marRight w:val="0"/>
              <w:marTop w:val="0"/>
              <w:marBottom w:val="0"/>
              <w:divBdr>
                <w:top w:val="none" w:sz="0" w:space="0" w:color="auto"/>
                <w:left w:val="none" w:sz="0" w:space="0" w:color="auto"/>
                <w:bottom w:val="none" w:sz="0" w:space="0" w:color="auto"/>
                <w:right w:val="none" w:sz="0" w:space="0" w:color="auto"/>
              </w:divBdr>
              <w:divsChild>
                <w:div w:id="784956956">
                  <w:marLeft w:val="0"/>
                  <w:marRight w:val="0"/>
                  <w:marTop w:val="0"/>
                  <w:marBottom w:val="0"/>
                  <w:divBdr>
                    <w:top w:val="none" w:sz="0" w:space="0" w:color="auto"/>
                    <w:left w:val="none" w:sz="0" w:space="0" w:color="auto"/>
                    <w:bottom w:val="none" w:sz="0" w:space="0" w:color="auto"/>
                    <w:right w:val="none" w:sz="0" w:space="0" w:color="auto"/>
                  </w:divBdr>
                </w:div>
              </w:divsChild>
            </w:div>
            <w:div w:id="1933857365">
              <w:marLeft w:val="0"/>
              <w:marRight w:val="0"/>
              <w:marTop w:val="0"/>
              <w:marBottom w:val="0"/>
              <w:divBdr>
                <w:top w:val="none" w:sz="0" w:space="0" w:color="auto"/>
                <w:left w:val="none" w:sz="0" w:space="0" w:color="auto"/>
                <w:bottom w:val="none" w:sz="0" w:space="0" w:color="auto"/>
                <w:right w:val="none" w:sz="0" w:space="0" w:color="auto"/>
              </w:divBdr>
              <w:divsChild>
                <w:div w:id="2062515692">
                  <w:marLeft w:val="0"/>
                  <w:marRight w:val="0"/>
                  <w:marTop w:val="0"/>
                  <w:marBottom w:val="0"/>
                  <w:divBdr>
                    <w:top w:val="none" w:sz="0" w:space="0" w:color="auto"/>
                    <w:left w:val="none" w:sz="0" w:space="0" w:color="auto"/>
                    <w:bottom w:val="none" w:sz="0" w:space="0" w:color="auto"/>
                    <w:right w:val="none" w:sz="0" w:space="0" w:color="auto"/>
                  </w:divBdr>
                </w:div>
              </w:divsChild>
            </w:div>
            <w:div w:id="388460720">
              <w:marLeft w:val="0"/>
              <w:marRight w:val="0"/>
              <w:marTop w:val="0"/>
              <w:marBottom w:val="0"/>
              <w:divBdr>
                <w:top w:val="none" w:sz="0" w:space="0" w:color="auto"/>
                <w:left w:val="none" w:sz="0" w:space="0" w:color="auto"/>
                <w:bottom w:val="none" w:sz="0" w:space="0" w:color="auto"/>
                <w:right w:val="none" w:sz="0" w:space="0" w:color="auto"/>
              </w:divBdr>
              <w:divsChild>
                <w:div w:id="359211881">
                  <w:marLeft w:val="0"/>
                  <w:marRight w:val="0"/>
                  <w:marTop w:val="0"/>
                  <w:marBottom w:val="0"/>
                  <w:divBdr>
                    <w:top w:val="none" w:sz="0" w:space="0" w:color="auto"/>
                    <w:left w:val="none" w:sz="0" w:space="0" w:color="auto"/>
                    <w:bottom w:val="none" w:sz="0" w:space="0" w:color="auto"/>
                    <w:right w:val="none" w:sz="0" w:space="0" w:color="auto"/>
                  </w:divBdr>
                </w:div>
              </w:divsChild>
            </w:div>
            <w:div w:id="141432429">
              <w:marLeft w:val="0"/>
              <w:marRight w:val="0"/>
              <w:marTop w:val="0"/>
              <w:marBottom w:val="0"/>
              <w:divBdr>
                <w:top w:val="none" w:sz="0" w:space="0" w:color="auto"/>
                <w:left w:val="none" w:sz="0" w:space="0" w:color="auto"/>
                <w:bottom w:val="none" w:sz="0" w:space="0" w:color="auto"/>
                <w:right w:val="none" w:sz="0" w:space="0" w:color="auto"/>
              </w:divBdr>
              <w:divsChild>
                <w:div w:id="1271279466">
                  <w:marLeft w:val="0"/>
                  <w:marRight w:val="0"/>
                  <w:marTop w:val="0"/>
                  <w:marBottom w:val="0"/>
                  <w:divBdr>
                    <w:top w:val="none" w:sz="0" w:space="0" w:color="auto"/>
                    <w:left w:val="none" w:sz="0" w:space="0" w:color="auto"/>
                    <w:bottom w:val="none" w:sz="0" w:space="0" w:color="auto"/>
                    <w:right w:val="none" w:sz="0" w:space="0" w:color="auto"/>
                  </w:divBdr>
                </w:div>
                <w:div w:id="97869723">
                  <w:marLeft w:val="0"/>
                  <w:marRight w:val="0"/>
                  <w:marTop w:val="0"/>
                  <w:marBottom w:val="0"/>
                  <w:divBdr>
                    <w:top w:val="none" w:sz="0" w:space="0" w:color="auto"/>
                    <w:left w:val="none" w:sz="0" w:space="0" w:color="auto"/>
                    <w:bottom w:val="none" w:sz="0" w:space="0" w:color="auto"/>
                    <w:right w:val="none" w:sz="0" w:space="0" w:color="auto"/>
                  </w:divBdr>
                </w:div>
                <w:div w:id="1613126903">
                  <w:marLeft w:val="0"/>
                  <w:marRight w:val="0"/>
                  <w:marTop w:val="0"/>
                  <w:marBottom w:val="0"/>
                  <w:divBdr>
                    <w:top w:val="none" w:sz="0" w:space="0" w:color="auto"/>
                    <w:left w:val="none" w:sz="0" w:space="0" w:color="auto"/>
                    <w:bottom w:val="none" w:sz="0" w:space="0" w:color="auto"/>
                    <w:right w:val="none" w:sz="0" w:space="0" w:color="auto"/>
                  </w:divBdr>
                </w:div>
              </w:divsChild>
            </w:div>
            <w:div w:id="1501197418">
              <w:marLeft w:val="0"/>
              <w:marRight w:val="0"/>
              <w:marTop w:val="0"/>
              <w:marBottom w:val="0"/>
              <w:divBdr>
                <w:top w:val="none" w:sz="0" w:space="0" w:color="auto"/>
                <w:left w:val="none" w:sz="0" w:space="0" w:color="auto"/>
                <w:bottom w:val="none" w:sz="0" w:space="0" w:color="auto"/>
                <w:right w:val="none" w:sz="0" w:space="0" w:color="auto"/>
              </w:divBdr>
              <w:divsChild>
                <w:div w:id="1524049721">
                  <w:marLeft w:val="0"/>
                  <w:marRight w:val="0"/>
                  <w:marTop w:val="0"/>
                  <w:marBottom w:val="0"/>
                  <w:divBdr>
                    <w:top w:val="none" w:sz="0" w:space="0" w:color="auto"/>
                    <w:left w:val="none" w:sz="0" w:space="0" w:color="auto"/>
                    <w:bottom w:val="none" w:sz="0" w:space="0" w:color="auto"/>
                    <w:right w:val="none" w:sz="0" w:space="0" w:color="auto"/>
                  </w:divBdr>
                </w:div>
              </w:divsChild>
            </w:div>
            <w:div w:id="463277782">
              <w:marLeft w:val="0"/>
              <w:marRight w:val="0"/>
              <w:marTop w:val="0"/>
              <w:marBottom w:val="0"/>
              <w:divBdr>
                <w:top w:val="none" w:sz="0" w:space="0" w:color="auto"/>
                <w:left w:val="none" w:sz="0" w:space="0" w:color="auto"/>
                <w:bottom w:val="none" w:sz="0" w:space="0" w:color="auto"/>
                <w:right w:val="none" w:sz="0" w:space="0" w:color="auto"/>
              </w:divBdr>
              <w:divsChild>
                <w:div w:id="1119571617">
                  <w:marLeft w:val="0"/>
                  <w:marRight w:val="0"/>
                  <w:marTop w:val="0"/>
                  <w:marBottom w:val="0"/>
                  <w:divBdr>
                    <w:top w:val="none" w:sz="0" w:space="0" w:color="auto"/>
                    <w:left w:val="none" w:sz="0" w:space="0" w:color="auto"/>
                    <w:bottom w:val="none" w:sz="0" w:space="0" w:color="auto"/>
                    <w:right w:val="none" w:sz="0" w:space="0" w:color="auto"/>
                  </w:divBdr>
                </w:div>
              </w:divsChild>
            </w:div>
            <w:div w:id="1389573022">
              <w:marLeft w:val="0"/>
              <w:marRight w:val="0"/>
              <w:marTop w:val="0"/>
              <w:marBottom w:val="0"/>
              <w:divBdr>
                <w:top w:val="none" w:sz="0" w:space="0" w:color="auto"/>
                <w:left w:val="none" w:sz="0" w:space="0" w:color="auto"/>
                <w:bottom w:val="none" w:sz="0" w:space="0" w:color="auto"/>
                <w:right w:val="none" w:sz="0" w:space="0" w:color="auto"/>
              </w:divBdr>
              <w:divsChild>
                <w:div w:id="835804742">
                  <w:marLeft w:val="0"/>
                  <w:marRight w:val="0"/>
                  <w:marTop w:val="0"/>
                  <w:marBottom w:val="0"/>
                  <w:divBdr>
                    <w:top w:val="none" w:sz="0" w:space="0" w:color="auto"/>
                    <w:left w:val="none" w:sz="0" w:space="0" w:color="auto"/>
                    <w:bottom w:val="none" w:sz="0" w:space="0" w:color="auto"/>
                    <w:right w:val="none" w:sz="0" w:space="0" w:color="auto"/>
                  </w:divBdr>
                </w:div>
              </w:divsChild>
            </w:div>
            <w:div w:id="1182282028">
              <w:marLeft w:val="0"/>
              <w:marRight w:val="0"/>
              <w:marTop w:val="0"/>
              <w:marBottom w:val="0"/>
              <w:divBdr>
                <w:top w:val="none" w:sz="0" w:space="0" w:color="auto"/>
                <w:left w:val="none" w:sz="0" w:space="0" w:color="auto"/>
                <w:bottom w:val="none" w:sz="0" w:space="0" w:color="auto"/>
                <w:right w:val="none" w:sz="0" w:space="0" w:color="auto"/>
              </w:divBdr>
              <w:divsChild>
                <w:div w:id="1074553047">
                  <w:marLeft w:val="0"/>
                  <w:marRight w:val="0"/>
                  <w:marTop w:val="0"/>
                  <w:marBottom w:val="0"/>
                  <w:divBdr>
                    <w:top w:val="none" w:sz="0" w:space="0" w:color="auto"/>
                    <w:left w:val="none" w:sz="0" w:space="0" w:color="auto"/>
                    <w:bottom w:val="none" w:sz="0" w:space="0" w:color="auto"/>
                    <w:right w:val="none" w:sz="0" w:space="0" w:color="auto"/>
                  </w:divBdr>
                </w:div>
              </w:divsChild>
            </w:div>
            <w:div w:id="1846507624">
              <w:marLeft w:val="0"/>
              <w:marRight w:val="0"/>
              <w:marTop w:val="0"/>
              <w:marBottom w:val="0"/>
              <w:divBdr>
                <w:top w:val="none" w:sz="0" w:space="0" w:color="auto"/>
                <w:left w:val="none" w:sz="0" w:space="0" w:color="auto"/>
                <w:bottom w:val="none" w:sz="0" w:space="0" w:color="auto"/>
                <w:right w:val="none" w:sz="0" w:space="0" w:color="auto"/>
              </w:divBdr>
              <w:divsChild>
                <w:div w:id="2092434035">
                  <w:marLeft w:val="0"/>
                  <w:marRight w:val="0"/>
                  <w:marTop w:val="0"/>
                  <w:marBottom w:val="0"/>
                  <w:divBdr>
                    <w:top w:val="none" w:sz="0" w:space="0" w:color="auto"/>
                    <w:left w:val="none" w:sz="0" w:space="0" w:color="auto"/>
                    <w:bottom w:val="none" w:sz="0" w:space="0" w:color="auto"/>
                    <w:right w:val="none" w:sz="0" w:space="0" w:color="auto"/>
                  </w:divBdr>
                </w:div>
              </w:divsChild>
            </w:div>
            <w:div w:id="1545212016">
              <w:marLeft w:val="0"/>
              <w:marRight w:val="0"/>
              <w:marTop w:val="0"/>
              <w:marBottom w:val="0"/>
              <w:divBdr>
                <w:top w:val="none" w:sz="0" w:space="0" w:color="auto"/>
                <w:left w:val="none" w:sz="0" w:space="0" w:color="auto"/>
                <w:bottom w:val="none" w:sz="0" w:space="0" w:color="auto"/>
                <w:right w:val="none" w:sz="0" w:space="0" w:color="auto"/>
              </w:divBdr>
              <w:divsChild>
                <w:div w:id="1802185069">
                  <w:marLeft w:val="0"/>
                  <w:marRight w:val="0"/>
                  <w:marTop w:val="0"/>
                  <w:marBottom w:val="0"/>
                  <w:divBdr>
                    <w:top w:val="none" w:sz="0" w:space="0" w:color="auto"/>
                    <w:left w:val="none" w:sz="0" w:space="0" w:color="auto"/>
                    <w:bottom w:val="none" w:sz="0" w:space="0" w:color="auto"/>
                    <w:right w:val="none" w:sz="0" w:space="0" w:color="auto"/>
                  </w:divBdr>
                </w:div>
              </w:divsChild>
            </w:div>
            <w:div w:id="1898085824">
              <w:marLeft w:val="0"/>
              <w:marRight w:val="0"/>
              <w:marTop w:val="0"/>
              <w:marBottom w:val="0"/>
              <w:divBdr>
                <w:top w:val="none" w:sz="0" w:space="0" w:color="auto"/>
                <w:left w:val="none" w:sz="0" w:space="0" w:color="auto"/>
                <w:bottom w:val="none" w:sz="0" w:space="0" w:color="auto"/>
                <w:right w:val="none" w:sz="0" w:space="0" w:color="auto"/>
              </w:divBdr>
              <w:divsChild>
                <w:div w:id="804661540">
                  <w:marLeft w:val="0"/>
                  <w:marRight w:val="0"/>
                  <w:marTop w:val="0"/>
                  <w:marBottom w:val="0"/>
                  <w:divBdr>
                    <w:top w:val="none" w:sz="0" w:space="0" w:color="auto"/>
                    <w:left w:val="none" w:sz="0" w:space="0" w:color="auto"/>
                    <w:bottom w:val="none" w:sz="0" w:space="0" w:color="auto"/>
                    <w:right w:val="none" w:sz="0" w:space="0" w:color="auto"/>
                  </w:divBdr>
                </w:div>
              </w:divsChild>
            </w:div>
            <w:div w:id="1246651153">
              <w:marLeft w:val="0"/>
              <w:marRight w:val="0"/>
              <w:marTop w:val="0"/>
              <w:marBottom w:val="0"/>
              <w:divBdr>
                <w:top w:val="none" w:sz="0" w:space="0" w:color="auto"/>
                <w:left w:val="none" w:sz="0" w:space="0" w:color="auto"/>
                <w:bottom w:val="none" w:sz="0" w:space="0" w:color="auto"/>
                <w:right w:val="none" w:sz="0" w:space="0" w:color="auto"/>
              </w:divBdr>
              <w:divsChild>
                <w:div w:id="1636597637">
                  <w:marLeft w:val="0"/>
                  <w:marRight w:val="0"/>
                  <w:marTop w:val="0"/>
                  <w:marBottom w:val="0"/>
                  <w:divBdr>
                    <w:top w:val="none" w:sz="0" w:space="0" w:color="auto"/>
                    <w:left w:val="none" w:sz="0" w:space="0" w:color="auto"/>
                    <w:bottom w:val="none" w:sz="0" w:space="0" w:color="auto"/>
                    <w:right w:val="none" w:sz="0" w:space="0" w:color="auto"/>
                  </w:divBdr>
                </w:div>
              </w:divsChild>
            </w:div>
            <w:div w:id="742067799">
              <w:marLeft w:val="0"/>
              <w:marRight w:val="0"/>
              <w:marTop w:val="0"/>
              <w:marBottom w:val="0"/>
              <w:divBdr>
                <w:top w:val="none" w:sz="0" w:space="0" w:color="auto"/>
                <w:left w:val="none" w:sz="0" w:space="0" w:color="auto"/>
                <w:bottom w:val="none" w:sz="0" w:space="0" w:color="auto"/>
                <w:right w:val="none" w:sz="0" w:space="0" w:color="auto"/>
              </w:divBdr>
              <w:divsChild>
                <w:div w:id="375354811">
                  <w:marLeft w:val="0"/>
                  <w:marRight w:val="0"/>
                  <w:marTop w:val="0"/>
                  <w:marBottom w:val="0"/>
                  <w:divBdr>
                    <w:top w:val="none" w:sz="0" w:space="0" w:color="auto"/>
                    <w:left w:val="none" w:sz="0" w:space="0" w:color="auto"/>
                    <w:bottom w:val="none" w:sz="0" w:space="0" w:color="auto"/>
                    <w:right w:val="none" w:sz="0" w:space="0" w:color="auto"/>
                  </w:divBdr>
                </w:div>
              </w:divsChild>
            </w:div>
            <w:div w:id="1246376662">
              <w:marLeft w:val="0"/>
              <w:marRight w:val="0"/>
              <w:marTop w:val="0"/>
              <w:marBottom w:val="0"/>
              <w:divBdr>
                <w:top w:val="none" w:sz="0" w:space="0" w:color="auto"/>
                <w:left w:val="none" w:sz="0" w:space="0" w:color="auto"/>
                <w:bottom w:val="none" w:sz="0" w:space="0" w:color="auto"/>
                <w:right w:val="none" w:sz="0" w:space="0" w:color="auto"/>
              </w:divBdr>
              <w:divsChild>
                <w:div w:id="835413948">
                  <w:marLeft w:val="0"/>
                  <w:marRight w:val="0"/>
                  <w:marTop w:val="0"/>
                  <w:marBottom w:val="0"/>
                  <w:divBdr>
                    <w:top w:val="none" w:sz="0" w:space="0" w:color="auto"/>
                    <w:left w:val="none" w:sz="0" w:space="0" w:color="auto"/>
                    <w:bottom w:val="none" w:sz="0" w:space="0" w:color="auto"/>
                    <w:right w:val="none" w:sz="0" w:space="0" w:color="auto"/>
                  </w:divBdr>
                </w:div>
              </w:divsChild>
            </w:div>
            <w:div w:id="979000295">
              <w:marLeft w:val="0"/>
              <w:marRight w:val="0"/>
              <w:marTop w:val="0"/>
              <w:marBottom w:val="0"/>
              <w:divBdr>
                <w:top w:val="none" w:sz="0" w:space="0" w:color="auto"/>
                <w:left w:val="none" w:sz="0" w:space="0" w:color="auto"/>
                <w:bottom w:val="none" w:sz="0" w:space="0" w:color="auto"/>
                <w:right w:val="none" w:sz="0" w:space="0" w:color="auto"/>
              </w:divBdr>
              <w:divsChild>
                <w:div w:id="1438284483">
                  <w:marLeft w:val="0"/>
                  <w:marRight w:val="0"/>
                  <w:marTop w:val="0"/>
                  <w:marBottom w:val="0"/>
                  <w:divBdr>
                    <w:top w:val="none" w:sz="0" w:space="0" w:color="auto"/>
                    <w:left w:val="none" w:sz="0" w:space="0" w:color="auto"/>
                    <w:bottom w:val="none" w:sz="0" w:space="0" w:color="auto"/>
                    <w:right w:val="none" w:sz="0" w:space="0" w:color="auto"/>
                  </w:divBdr>
                </w:div>
              </w:divsChild>
            </w:div>
            <w:div w:id="408962802">
              <w:marLeft w:val="0"/>
              <w:marRight w:val="0"/>
              <w:marTop w:val="0"/>
              <w:marBottom w:val="0"/>
              <w:divBdr>
                <w:top w:val="none" w:sz="0" w:space="0" w:color="auto"/>
                <w:left w:val="none" w:sz="0" w:space="0" w:color="auto"/>
                <w:bottom w:val="none" w:sz="0" w:space="0" w:color="auto"/>
                <w:right w:val="none" w:sz="0" w:space="0" w:color="auto"/>
              </w:divBdr>
              <w:divsChild>
                <w:div w:id="1508442635">
                  <w:marLeft w:val="0"/>
                  <w:marRight w:val="0"/>
                  <w:marTop w:val="0"/>
                  <w:marBottom w:val="0"/>
                  <w:divBdr>
                    <w:top w:val="none" w:sz="0" w:space="0" w:color="auto"/>
                    <w:left w:val="none" w:sz="0" w:space="0" w:color="auto"/>
                    <w:bottom w:val="none" w:sz="0" w:space="0" w:color="auto"/>
                    <w:right w:val="none" w:sz="0" w:space="0" w:color="auto"/>
                  </w:divBdr>
                </w:div>
                <w:div w:id="2045712630">
                  <w:marLeft w:val="0"/>
                  <w:marRight w:val="0"/>
                  <w:marTop w:val="0"/>
                  <w:marBottom w:val="0"/>
                  <w:divBdr>
                    <w:top w:val="none" w:sz="0" w:space="0" w:color="auto"/>
                    <w:left w:val="none" w:sz="0" w:space="0" w:color="auto"/>
                    <w:bottom w:val="none" w:sz="0" w:space="0" w:color="auto"/>
                    <w:right w:val="none" w:sz="0" w:space="0" w:color="auto"/>
                  </w:divBdr>
                </w:div>
              </w:divsChild>
            </w:div>
            <w:div w:id="1643147124">
              <w:marLeft w:val="0"/>
              <w:marRight w:val="0"/>
              <w:marTop w:val="0"/>
              <w:marBottom w:val="0"/>
              <w:divBdr>
                <w:top w:val="none" w:sz="0" w:space="0" w:color="auto"/>
                <w:left w:val="none" w:sz="0" w:space="0" w:color="auto"/>
                <w:bottom w:val="none" w:sz="0" w:space="0" w:color="auto"/>
                <w:right w:val="none" w:sz="0" w:space="0" w:color="auto"/>
              </w:divBdr>
              <w:divsChild>
                <w:div w:id="1354526857">
                  <w:marLeft w:val="0"/>
                  <w:marRight w:val="0"/>
                  <w:marTop w:val="0"/>
                  <w:marBottom w:val="0"/>
                  <w:divBdr>
                    <w:top w:val="none" w:sz="0" w:space="0" w:color="auto"/>
                    <w:left w:val="none" w:sz="0" w:space="0" w:color="auto"/>
                    <w:bottom w:val="none" w:sz="0" w:space="0" w:color="auto"/>
                    <w:right w:val="none" w:sz="0" w:space="0" w:color="auto"/>
                  </w:divBdr>
                </w:div>
              </w:divsChild>
            </w:div>
            <w:div w:id="1722749270">
              <w:marLeft w:val="0"/>
              <w:marRight w:val="0"/>
              <w:marTop w:val="0"/>
              <w:marBottom w:val="0"/>
              <w:divBdr>
                <w:top w:val="none" w:sz="0" w:space="0" w:color="auto"/>
                <w:left w:val="none" w:sz="0" w:space="0" w:color="auto"/>
                <w:bottom w:val="none" w:sz="0" w:space="0" w:color="auto"/>
                <w:right w:val="none" w:sz="0" w:space="0" w:color="auto"/>
              </w:divBdr>
              <w:divsChild>
                <w:div w:id="1867793652">
                  <w:marLeft w:val="0"/>
                  <w:marRight w:val="0"/>
                  <w:marTop w:val="0"/>
                  <w:marBottom w:val="0"/>
                  <w:divBdr>
                    <w:top w:val="none" w:sz="0" w:space="0" w:color="auto"/>
                    <w:left w:val="none" w:sz="0" w:space="0" w:color="auto"/>
                    <w:bottom w:val="none" w:sz="0" w:space="0" w:color="auto"/>
                    <w:right w:val="none" w:sz="0" w:space="0" w:color="auto"/>
                  </w:divBdr>
                </w:div>
              </w:divsChild>
            </w:div>
            <w:div w:id="519512592">
              <w:marLeft w:val="0"/>
              <w:marRight w:val="0"/>
              <w:marTop w:val="0"/>
              <w:marBottom w:val="0"/>
              <w:divBdr>
                <w:top w:val="none" w:sz="0" w:space="0" w:color="auto"/>
                <w:left w:val="none" w:sz="0" w:space="0" w:color="auto"/>
                <w:bottom w:val="none" w:sz="0" w:space="0" w:color="auto"/>
                <w:right w:val="none" w:sz="0" w:space="0" w:color="auto"/>
              </w:divBdr>
              <w:divsChild>
                <w:div w:id="713236002">
                  <w:marLeft w:val="0"/>
                  <w:marRight w:val="0"/>
                  <w:marTop w:val="0"/>
                  <w:marBottom w:val="0"/>
                  <w:divBdr>
                    <w:top w:val="none" w:sz="0" w:space="0" w:color="auto"/>
                    <w:left w:val="none" w:sz="0" w:space="0" w:color="auto"/>
                    <w:bottom w:val="none" w:sz="0" w:space="0" w:color="auto"/>
                    <w:right w:val="none" w:sz="0" w:space="0" w:color="auto"/>
                  </w:divBdr>
                </w:div>
              </w:divsChild>
            </w:div>
            <w:div w:id="1183593072">
              <w:marLeft w:val="0"/>
              <w:marRight w:val="0"/>
              <w:marTop w:val="0"/>
              <w:marBottom w:val="0"/>
              <w:divBdr>
                <w:top w:val="none" w:sz="0" w:space="0" w:color="auto"/>
                <w:left w:val="none" w:sz="0" w:space="0" w:color="auto"/>
                <w:bottom w:val="none" w:sz="0" w:space="0" w:color="auto"/>
                <w:right w:val="none" w:sz="0" w:space="0" w:color="auto"/>
              </w:divBdr>
              <w:divsChild>
                <w:div w:id="1510362790">
                  <w:marLeft w:val="0"/>
                  <w:marRight w:val="0"/>
                  <w:marTop w:val="0"/>
                  <w:marBottom w:val="0"/>
                  <w:divBdr>
                    <w:top w:val="none" w:sz="0" w:space="0" w:color="auto"/>
                    <w:left w:val="none" w:sz="0" w:space="0" w:color="auto"/>
                    <w:bottom w:val="none" w:sz="0" w:space="0" w:color="auto"/>
                    <w:right w:val="none" w:sz="0" w:space="0" w:color="auto"/>
                  </w:divBdr>
                </w:div>
              </w:divsChild>
            </w:div>
            <w:div w:id="1078598424">
              <w:marLeft w:val="0"/>
              <w:marRight w:val="0"/>
              <w:marTop w:val="0"/>
              <w:marBottom w:val="0"/>
              <w:divBdr>
                <w:top w:val="none" w:sz="0" w:space="0" w:color="auto"/>
                <w:left w:val="none" w:sz="0" w:space="0" w:color="auto"/>
                <w:bottom w:val="none" w:sz="0" w:space="0" w:color="auto"/>
                <w:right w:val="none" w:sz="0" w:space="0" w:color="auto"/>
              </w:divBdr>
              <w:divsChild>
                <w:div w:id="454830071">
                  <w:marLeft w:val="0"/>
                  <w:marRight w:val="0"/>
                  <w:marTop w:val="0"/>
                  <w:marBottom w:val="0"/>
                  <w:divBdr>
                    <w:top w:val="none" w:sz="0" w:space="0" w:color="auto"/>
                    <w:left w:val="none" w:sz="0" w:space="0" w:color="auto"/>
                    <w:bottom w:val="none" w:sz="0" w:space="0" w:color="auto"/>
                    <w:right w:val="none" w:sz="0" w:space="0" w:color="auto"/>
                  </w:divBdr>
                </w:div>
              </w:divsChild>
            </w:div>
            <w:div w:id="620765972">
              <w:marLeft w:val="0"/>
              <w:marRight w:val="0"/>
              <w:marTop w:val="0"/>
              <w:marBottom w:val="0"/>
              <w:divBdr>
                <w:top w:val="none" w:sz="0" w:space="0" w:color="auto"/>
                <w:left w:val="none" w:sz="0" w:space="0" w:color="auto"/>
                <w:bottom w:val="none" w:sz="0" w:space="0" w:color="auto"/>
                <w:right w:val="none" w:sz="0" w:space="0" w:color="auto"/>
              </w:divBdr>
              <w:divsChild>
                <w:div w:id="1826890949">
                  <w:marLeft w:val="0"/>
                  <w:marRight w:val="0"/>
                  <w:marTop w:val="0"/>
                  <w:marBottom w:val="0"/>
                  <w:divBdr>
                    <w:top w:val="none" w:sz="0" w:space="0" w:color="auto"/>
                    <w:left w:val="none" w:sz="0" w:space="0" w:color="auto"/>
                    <w:bottom w:val="none" w:sz="0" w:space="0" w:color="auto"/>
                    <w:right w:val="none" w:sz="0" w:space="0" w:color="auto"/>
                  </w:divBdr>
                </w:div>
              </w:divsChild>
            </w:div>
            <w:div w:id="664434658">
              <w:marLeft w:val="0"/>
              <w:marRight w:val="0"/>
              <w:marTop w:val="0"/>
              <w:marBottom w:val="0"/>
              <w:divBdr>
                <w:top w:val="none" w:sz="0" w:space="0" w:color="auto"/>
                <w:left w:val="none" w:sz="0" w:space="0" w:color="auto"/>
                <w:bottom w:val="none" w:sz="0" w:space="0" w:color="auto"/>
                <w:right w:val="none" w:sz="0" w:space="0" w:color="auto"/>
              </w:divBdr>
              <w:divsChild>
                <w:div w:id="1432509951">
                  <w:marLeft w:val="0"/>
                  <w:marRight w:val="0"/>
                  <w:marTop w:val="0"/>
                  <w:marBottom w:val="0"/>
                  <w:divBdr>
                    <w:top w:val="none" w:sz="0" w:space="0" w:color="auto"/>
                    <w:left w:val="none" w:sz="0" w:space="0" w:color="auto"/>
                    <w:bottom w:val="none" w:sz="0" w:space="0" w:color="auto"/>
                    <w:right w:val="none" w:sz="0" w:space="0" w:color="auto"/>
                  </w:divBdr>
                </w:div>
              </w:divsChild>
            </w:div>
            <w:div w:id="389110074">
              <w:marLeft w:val="0"/>
              <w:marRight w:val="0"/>
              <w:marTop w:val="0"/>
              <w:marBottom w:val="0"/>
              <w:divBdr>
                <w:top w:val="none" w:sz="0" w:space="0" w:color="auto"/>
                <w:left w:val="none" w:sz="0" w:space="0" w:color="auto"/>
                <w:bottom w:val="none" w:sz="0" w:space="0" w:color="auto"/>
                <w:right w:val="none" w:sz="0" w:space="0" w:color="auto"/>
              </w:divBdr>
              <w:divsChild>
                <w:div w:id="1278873845">
                  <w:marLeft w:val="0"/>
                  <w:marRight w:val="0"/>
                  <w:marTop w:val="0"/>
                  <w:marBottom w:val="0"/>
                  <w:divBdr>
                    <w:top w:val="none" w:sz="0" w:space="0" w:color="auto"/>
                    <w:left w:val="none" w:sz="0" w:space="0" w:color="auto"/>
                    <w:bottom w:val="none" w:sz="0" w:space="0" w:color="auto"/>
                    <w:right w:val="none" w:sz="0" w:space="0" w:color="auto"/>
                  </w:divBdr>
                </w:div>
              </w:divsChild>
            </w:div>
            <w:div w:id="571696949">
              <w:marLeft w:val="0"/>
              <w:marRight w:val="0"/>
              <w:marTop w:val="0"/>
              <w:marBottom w:val="0"/>
              <w:divBdr>
                <w:top w:val="none" w:sz="0" w:space="0" w:color="auto"/>
                <w:left w:val="none" w:sz="0" w:space="0" w:color="auto"/>
                <w:bottom w:val="none" w:sz="0" w:space="0" w:color="auto"/>
                <w:right w:val="none" w:sz="0" w:space="0" w:color="auto"/>
              </w:divBdr>
              <w:divsChild>
                <w:div w:id="857473652">
                  <w:marLeft w:val="0"/>
                  <w:marRight w:val="0"/>
                  <w:marTop w:val="0"/>
                  <w:marBottom w:val="0"/>
                  <w:divBdr>
                    <w:top w:val="none" w:sz="0" w:space="0" w:color="auto"/>
                    <w:left w:val="none" w:sz="0" w:space="0" w:color="auto"/>
                    <w:bottom w:val="none" w:sz="0" w:space="0" w:color="auto"/>
                    <w:right w:val="none" w:sz="0" w:space="0" w:color="auto"/>
                  </w:divBdr>
                </w:div>
              </w:divsChild>
            </w:div>
            <w:div w:id="645743036">
              <w:marLeft w:val="0"/>
              <w:marRight w:val="0"/>
              <w:marTop w:val="0"/>
              <w:marBottom w:val="0"/>
              <w:divBdr>
                <w:top w:val="none" w:sz="0" w:space="0" w:color="auto"/>
                <w:left w:val="none" w:sz="0" w:space="0" w:color="auto"/>
                <w:bottom w:val="none" w:sz="0" w:space="0" w:color="auto"/>
                <w:right w:val="none" w:sz="0" w:space="0" w:color="auto"/>
              </w:divBdr>
              <w:divsChild>
                <w:div w:id="2054570577">
                  <w:marLeft w:val="0"/>
                  <w:marRight w:val="0"/>
                  <w:marTop w:val="0"/>
                  <w:marBottom w:val="0"/>
                  <w:divBdr>
                    <w:top w:val="none" w:sz="0" w:space="0" w:color="auto"/>
                    <w:left w:val="none" w:sz="0" w:space="0" w:color="auto"/>
                    <w:bottom w:val="none" w:sz="0" w:space="0" w:color="auto"/>
                    <w:right w:val="none" w:sz="0" w:space="0" w:color="auto"/>
                  </w:divBdr>
                </w:div>
              </w:divsChild>
            </w:div>
            <w:div w:id="1941450098">
              <w:marLeft w:val="0"/>
              <w:marRight w:val="0"/>
              <w:marTop w:val="0"/>
              <w:marBottom w:val="0"/>
              <w:divBdr>
                <w:top w:val="none" w:sz="0" w:space="0" w:color="auto"/>
                <w:left w:val="none" w:sz="0" w:space="0" w:color="auto"/>
                <w:bottom w:val="none" w:sz="0" w:space="0" w:color="auto"/>
                <w:right w:val="none" w:sz="0" w:space="0" w:color="auto"/>
              </w:divBdr>
              <w:divsChild>
                <w:div w:id="2007978777">
                  <w:marLeft w:val="0"/>
                  <w:marRight w:val="0"/>
                  <w:marTop w:val="0"/>
                  <w:marBottom w:val="0"/>
                  <w:divBdr>
                    <w:top w:val="none" w:sz="0" w:space="0" w:color="auto"/>
                    <w:left w:val="none" w:sz="0" w:space="0" w:color="auto"/>
                    <w:bottom w:val="none" w:sz="0" w:space="0" w:color="auto"/>
                    <w:right w:val="none" w:sz="0" w:space="0" w:color="auto"/>
                  </w:divBdr>
                </w:div>
              </w:divsChild>
            </w:div>
            <w:div w:id="1337924268">
              <w:marLeft w:val="0"/>
              <w:marRight w:val="0"/>
              <w:marTop w:val="0"/>
              <w:marBottom w:val="0"/>
              <w:divBdr>
                <w:top w:val="none" w:sz="0" w:space="0" w:color="auto"/>
                <w:left w:val="none" w:sz="0" w:space="0" w:color="auto"/>
                <w:bottom w:val="none" w:sz="0" w:space="0" w:color="auto"/>
                <w:right w:val="none" w:sz="0" w:space="0" w:color="auto"/>
              </w:divBdr>
              <w:divsChild>
                <w:div w:id="2072339398">
                  <w:marLeft w:val="0"/>
                  <w:marRight w:val="0"/>
                  <w:marTop w:val="0"/>
                  <w:marBottom w:val="0"/>
                  <w:divBdr>
                    <w:top w:val="none" w:sz="0" w:space="0" w:color="auto"/>
                    <w:left w:val="none" w:sz="0" w:space="0" w:color="auto"/>
                    <w:bottom w:val="none" w:sz="0" w:space="0" w:color="auto"/>
                    <w:right w:val="none" w:sz="0" w:space="0" w:color="auto"/>
                  </w:divBdr>
                </w:div>
              </w:divsChild>
            </w:div>
            <w:div w:id="1877617167">
              <w:marLeft w:val="0"/>
              <w:marRight w:val="0"/>
              <w:marTop w:val="0"/>
              <w:marBottom w:val="0"/>
              <w:divBdr>
                <w:top w:val="none" w:sz="0" w:space="0" w:color="auto"/>
                <w:left w:val="none" w:sz="0" w:space="0" w:color="auto"/>
                <w:bottom w:val="none" w:sz="0" w:space="0" w:color="auto"/>
                <w:right w:val="none" w:sz="0" w:space="0" w:color="auto"/>
              </w:divBdr>
              <w:divsChild>
                <w:div w:id="919486061">
                  <w:marLeft w:val="0"/>
                  <w:marRight w:val="0"/>
                  <w:marTop w:val="0"/>
                  <w:marBottom w:val="0"/>
                  <w:divBdr>
                    <w:top w:val="none" w:sz="0" w:space="0" w:color="auto"/>
                    <w:left w:val="none" w:sz="0" w:space="0" w:color="auto"/>
                    <w:bottom w:val="none" w:sz="0" w:space="0" w:color="auto"/>
                    <w:right w:val="none" w:sz="0" w:space="0" w:color="auto"/>
                  </w:divBdr>
                </w:div>
              </w:divsChild>
            </w:div>
            <w:div w:id="833958485">
              <w:marLeft w:val="0"/>
              <w:marRight w:val="0"/>
              <w:marTop w:val="0"/>
              <w:marBottom w:val="0"/>
              <w:divBdr>
                <w:top w:val="none" w:sz="0" w:space="0" w:color="auto"/>
                <w:left w:val="none" w:sz="0" w:space="0" w:color="auto"/>
                <w:bottom w:val="none" w:sz="0" w:space="0" w:color="auto"/>
                <w:right w:val="none" w:sz="0" w:space="0" w:color="auto"/>
              </w:divBdr>
              <w:divsChild>
                <w:div w:id="667444245">
                  <w:marLeft w:val="0"/>
                  <w:marRight w:val="0"/>
                  <w:marTop w:val="0"/>
                  <w:marBottom w:val="0"/>
                  <w:divBdr>
                    <w:top w:val="none" w:sz="0" w:space="0" w:color="auto"/>
                    <w:left w:val="none" w:sz="0" w:space="0" w:color="auto"/>
                    <w:bottom w:val="none" w:sz="0" w:space="0" w:color="auto"/>
                    <w:right w:val="none" w:sz="0" w:space="0" w:color="auto"/>
                  </w:divBdr>
                </w:div>
              </w:divsChild>
            </w:div>
            <w:div w:id="846672493">
              <w:marLeft w:val="0"/>
              <w:marRight w:val="0"/>
              <w:marTop w:val="0"/>
              <w:marBottom w:val="0"/>
              <w:divBdr>
                <w:top w:val="none" w:sz="0" w:space="0" w:color="auto"/>
                <w:left w:val="none" w:sz="0" w:space="0" w:color="auto"/>
                <w:bottom w:val="none" w:sz="0" w:space="0" w:color="auto"/>
                <w:right w:val="none" w:sz="0" w:space="0" w:color="auto"/>
              </w:divBdr>
              <w:divsChild>
                <w:div w:id="82800849">
                  <w:marLeft w:val="0"/>
                  <w:marRight w:val="0"/>
                  <w:marTop w:val="0"/>
                  <w:marBottom w:val="0"/>
                  <w:divBdr>
                    <w:top w:val="none" w:sz="0" w:space="0" w:color="auto"/>
                    <w:left w:val="none" w:sz="0" w:space="0" w:color="auto"/>
                    <w:bottom w:val="none" w:sz="0" w:space="0" w:color="auto"/>
                    <w:right w:val="none" w:sz="0" w:space="0" w:color="auto"/>
                  </w:divBdr>
                </w:div>
              </w:divsChild>
            </w:div>
            <w:div w:id="978343250">
              <w:marLeft w:val="0"/>
              <w:marRight w:val="0"/>
              <w:marTop w:val="0"/>
              <w:marBottom w:val="0"/>
              <w:divBdr>
                <w:top w:val="none" w:sz="0" w:space="0" w:color="auto"/>
                <w:left w:val="none" w:sz="0" w:space="0" w:color="auto"/>
                <w:bottom w:val="none" w:sz="0" w:space="0" w:color="auto"/>
                <w:right w:val="none" w:sz="0" w:space="0" w:color="auto"/>
              </w:divBdr>
              <w:divsChild>
                <w:div w:id="907494419">
                  <w:marLeft w:val="0"/>
                  <w:marRight w:val="0"/>
                  <w:marTop w:val="0"/>
                  <w:marBottom w:val="0"/>
                  <w:divBdr>
                    <w:top w:val="none" w:sz="0" w:space="0" w:color="auto"/>
                    <w:left w:val="none" w:sz="0" w:space="0" w:color="auto"/>
                    <w:bottom w:val="none" w:sz="0" w:space="0" w:color="auto"/>
                    <w:right w:val="none" w:sz="0" w:space="0" w:color="auto"/>
                  </w:divBdr>
                </w:div>
              </w:divsChild>
            </w:div>
            <w:div w:id="664742302">
              <w:marLeft w:val="0"/>
              <w:marRight w:val="0"/>
              <w:marTop w:val="0"/>
              <w:marBottom w:val="0"/>
              <w:divBdr>
                <w:top w:val="none" w:sz="0" w:space="0" w:color="auto"/>
                <w:left w:val="none" w:sz="0" w:space="0" w:color="auto"/>
                <w:bottom w:val="none" w:sz="0" w:space="0" w:color="auto"/>
                <w:right w:val="none" w:sz="0" w:space="0" w:color="auto"/>
              </w:divBdr>
              <w:divsChild>
                <w:div w:id="1246302514">
                  <w:marLeft w:val="0"/>
                  <w:marRight w:val="0"/>
                  <w:marTop w:val="0"/>
                  <w:marBottom w:val="0"/>
                  <w:divBdr>
                    <w:top w:val="none" w:sz="0" w:space="0" w:color="auto"/>
                    <w:left w:val="none" w:sz="0" w:space="0" w:color="auto"/>
                    <w:bottom w:val="none" w:sz="0" w:space="0" w:color="auto"/>
                    <w:right w:val="none" w:sz="0" w:space="0" w:color="auto"/>
                  </w:divBdr>
                </w:div>
              </w:divsChild>
            </w:div>
            <w:div w:id="505248174">
              <w:marLeft w:val="0"/>
              <w:marRight w:val="0"/>
              <w:marTop w:val="0"/>
              <w:marBottom w:val="0"/>
              <w:divBdr>
                <w:top w:val="none" w:sz="0" w:space="0" w:color="auto"/>
                <w:left w:val="none" w:sz="0" w:space="0" w:color="auto"/>
                <w:bottom w:val="none" w:sz="0" w:space="0" w:color="auto"/>
                <w:right w:val="none" w:sz="0" w:space="0" w:color="auto"/>
              </w:divBdr>
              <w:divsChild>
                <w:div w:id="776750549">
                  <w:marLeft w:val="0"/>
                  <w:marRight w:val="0"/>
                  <w:marTop w:val="0"/>
                  <w:marBottom w:val="0"/>
                  <w:divBdr>
                    <w:top w:val="none" w:sz="0" w:space="0" w:color="auto"/>
                    <w:left w:val="none" w:sz="0" w:space="0" w:color="auto"/>
                    <w:bottom w:val="none" w:sz="0" w:space="0" w:color="auto"/>
                    <w:right w:val="none" w:sz="0" w:space="0" w:color="auto"/>
                  </w:divBdr>
                </w:div>
              </w:divsChild>
            </w:div>
            <w:div w:id="2111581625">
              <w:marLeft w:val="0"/>
              <w:marRight w:val="0"/>
              <w:marTop w:val="0"/>
              <w:marBottom w:val="0"/>
              <w:divBdr>
                <w:top w:val="none" w:sz="0" w:space="0" w:color="auto"/>
                <w:left w:val="none" w:sz="0" w:space="0" w:color="auto"/>
                <w:bottom w:val="none" w:sz="0" w:space="0" w:color="auto"/>
                <w:right w:val="none" w:sz="0" w:space="0" w:color="auto"/>
              </w:divBdr>
              <w:divsChild>
                <w:div w:id="98797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97793">
          <w:marLeft w:val="0"/>
          <w:marRight w:val="0"/>
          <w:marTop w:val="0"/>
          <w:marBottom w:val="0"/>
          <w:divBdr>
            <w:top w:val="none" w:sz="0" w:space="0" w:color="auto"/>
            <w:left w:val="none" w:sz="0" w:space="0" w:color="auto"/>
            <w:bottom w:val="none" w:sz="0" w:space="0" w:color="auto"/>
            <w:right w:val="none" w:sz="0" w:space="0" w:color="auto"/>
          </w:divBdr>
        </w:div>
        <w:div w:id="168565342">
          <w:marLeft w:val="0"/>
          <w:marRight w:val="0"/>
          <w:marTop w:val="0"/>
          <w:marBottom w:val="0"/>
          <w:divBdr>
            <w:top w:val="none" w:sz="0" w:space="0" w:color="auto"/>
            <w:left w:val="none" w:sz="0" w:space="0" w:color="auto"/>
            <w:bottom w:val="none" w:sz="0" w:space="0" w:color="auto"/>
            <w:right w:val="none" w:sz="0" w:space="0" w:color="auto"/>
          </w:divBdr>
        </w:div>
      </w:divsChild>
    </w:div>
    <w:div w:id="29545520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663494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82802510">
      <w:bodyDiv w:val="1"/>
      <w:marLeft w:val="0"/>
      <w:marRight w:val="0"/>
      <w:marTop w:val="0"/>
      <w:marBottom w:val="0"/>
      <w:divBdr>
        <w:top w:val="none" w:sz="0" w:space="0" w:color="auto"/>
        <w:left w:val="none" w:sz="0" w:space="0" w:color="auto"/>
        <w:bottom w:val="none" w:sz="0" w:space="0" w:color="auto"/>
        <w:right w:val="none" w:sz="0" w:space="0" w:color="auto"/>
      </w:divBdr>
    </w:div>
    <w:div w:id="1302421064">
      <w:bodyDiv w:val="1"/>
      <w:marLeft w:val="0"/>
      <w:marRight w:val="0"/>
      <w:marTop w:val="0"/>
      <w:marBottom w:val="0"/>
      <w:divBdr>
        <w:top w:val="none" w:sz="0" w:space="0" w:color="auto"/>
        <w:left w:val="none" w:sz="0" w:space="0" w:color="auto"/>
        <w:bottom w:val="none" w:sz="0" w:space="0" w:color="auto"/>
        <w:right w:val="none" w:sz="0" w:space="0" w:color="auto"/>
      </w:divBdr>
      <w:divsChild>
        <w:div w:id="1838619380">
          <w:marLeft w:val="-75"/>
          <w:marRight w:val="0"/>
          <w:marTop w:val="30"/>
          <w:marBottom w:val="30"/>
          <w:divBdr>
            <w:top w:val="none" w:sz="0" w:space="0" w:color="auto"/>
            <w:left w:val="none" w:sz="0" w:space="0" w:color="auto"/>
            <w:bottom w:val="none" w:sz="0" w:space="0" w:color="auto"/>
            <w:right w:val="none" w:sz="0" w:space="0" w:color="auto"/>
          </w:divBdr>
          <w:divsChild>
            <w:div w:id="259601790">
              <w:marLeft w:val="0"/>
              <w:marRight w:val="0"/>
              <w:marTop w:val="0"/>
              <w:marBottom w:val="0"/>
              <w:divBdr>
                <w:top w:val="none" w:sz="0" w:space="0" w:color="auto"/>
                <w:left w:val="none" w:sz="0" w:space="0" w:color="auto"/>
                <w:bottom w:val="none" w:sz="0" w:space="0" w:color="auto"/>
                <w:right w:val="none" w:sz="0" w:space="0" w:color="auto"/>
              </w:divBdr>
              <w:divsChild>
                <w:div w:id="600265691">
                  <w:marLeft w:val="0"/>
                  <w:marRight w:val="0"/>
                  <w:marTop w:val="0"/>
                  <w:marBottom w:val="0"/>
                  <w:divBdr>
                    <w:top w:val="none" w:sz="0" w:space="0" w:color="auto"/>
                    <w:left w:val="none" w:sz="0" w:space="0" w:color="auto"/>
                    <w:bottom w:val="none" w:sz="0" w:space="0" w:color="auto"/>
                    <w:right w:val="none" w:sz="0" w:space="0" w:color="auto"/>
                  </w:divBdr>
                </w:div>
              </w:divsChild>
            </w:div>
            <w:div w:id="2144108026">
              <w:marLeft w:val="0"/>
              <w:marRight w:val="0"/>
              <w:marTop w:val="0"/>
              <w:marBottom w:val="0"/>
              <w:divBdr>
                <w:top w:val="none" w:sz="0" w:space="0" w:color="auto"/>
                <w:left w:val="none" w:sz="0" w:space="0" w:color="auto"/>
                <w:bottom w:val="none" w:sz="0" w:space="0" w:color="auto"/>
                <w:right w:val="none" w:sz="0" w:space="0" w:color="auto"/>
              </w:divBdr>
              <w:divsChild>
                <w:div w:id="1001929475">
                  <w:marLeft w:val="0"/>
                  <w:marRight w:val="0"/>
                  <w:marTop w:val="0"/>
                  <w:marBottom w:val="0"/>
                  <w:divBdr>
                    <w:top w:val="none" w:sz="0" w:space="0" w:color="auto"/>
                    <w:left w:val="none" w:sz="0" w:space="0" w:color="auto"/>
                    <w:bottom w:val="none" w:sz="0" w:space="0" w:color="auto"/>
                    <w:right w:val="none" w:sz="0" w:space="0" w:color="auto"/>
                  </w:divBdr>
                </w:div>
              </w:divsChild>
            </w:div>
            <w:div w:id="1466577764">
              <w:marLeft w:val="0"/>
              <w:marRight w:val="0"/>
              <w:marTop w:val="0"/>
              <w:marBottom w:val="0"/>
              <w:divBdr>
                <w:top w:val="none" w:sz="0" w:space="0" w:color="auto"/>
                <w:left w:val="none" w:sz="0" w:space="0" w:color="auto"/>
                <w:bottom w:val="none" w:sz="0" w:space="0" w:color="auto"/>
                <w:right w:val="none" w:sz="0" w:space="0" w:color="auto"/>
              </w:divBdr>
              <w:divsChild>
                <w:div w:id="2141679079">
                  <w:marLeft w:val="0"/>
                  <w:marRight w:val="0"/>
                  <w:marTop w:val="0"/>
                  <w:marBottom w:val="0"/>
                  <w:divBdr>
                    <w:top w:val="none" w:sz="0" w:space="0" w:color="auto"/>
                    <w:left w:val="none" w:sz="0" w:space="0" w:color="auto"/>
                    <w:bottom w:val="none" w:sz="0" w:space="0" w:color="auto"/>
                    <w:right w:val="none" w:sz="0" w:space="0" w:color="auto"/>
                  </w:divBdr>
                </w:div>
              </w:divsChild>
            </w:div>
            <w:div w:id="1331520672">
              <w:marLeft w:val="0"/>
              <w:marRight w:val="0"/>
              <w:marTop w:val="0"/>
              <w:marBottom w:val="0"/>
              <w:divBdr>
                <w:top w:val="none" w:sz="0" w:space="0" w:color="auto"/>
                <w:left w:val="none" w:sz="0" w:space="0" w:color="auto"/>
                <w:bottom w:val="none" w:sz="0" w:space="0" w:color="auto"/>
                <w:right w:val="none" w:sz="0" w:space="0" w:color="auto"/>
              </w:divBdr>
              <w:divsChild>
                <w:div w:id="1020662784">
                  <w:marLeft w:val="0"/>
                  <w:marRight w:val="0"/>
                  <w:marTop w:val="0"/>
                  <w:marBottom w:val="0"/>
                  <w:divBdr>
                    <w:top w:val="none" w:sz="0" w:space="0" w:color="auto"/>
                    <w:left w:val="none" w:sz="0" w:space="0" w:color="auto"/>
                    <w:bottom w:val="none" w:sz="0" w:space="0" w:color="auto"/>
                    <w:right w:val="none" w:sz="0" w:space="0" w:color="auto"/>
                  </w:divBdr>
                </w:div>
              </w:divsChild>
            </w:div>
            <w:div w:id="2119911220">
              <w:marLeft w:val="0"/>
              <w:marRight w:val="0"/>
              <w:marTop w:val="0"/>
              <w:marBottom w:val="0"/>
              <w:divBdr>
                <w:top w:val="none" w:sz="0" w:space="0" w:color="auto"/>
                <w:left w:val="none" w:sz="0" w:space="0" w:color="auto"/>
                <w:bottom w:val="none" w:sz="0" w:space="0" w:color="auto"/>
                <w:right w:val="none" w:sz="0" w:space="0" w:color="auto"/>
              </w:divBdr>
              <w:divsChild>
                <w:div w:id="1983197931">
                  <w:marLeft w:val="0"/>
                  <w:marRight w:val="0"/>
                  <w:marTop w:val="0"/>
                  <w:marBottom w:val="0"/>
                  <w:divBdr>
                    <w:top w:val="none" w:sz="0" w:space="0" w:color="auto"/>
                    <w:left w:val="none" w:sz="0" w:space="0" w:color="auto"/>
                    <w:bottom w:val="none" w:sz="0" w:space="0" w:color="auto"/>
                    <w:right w:val="none" w:sz="0" w:space="0" w:color="auto"/>
                  </w:divBdr>
                </w:div>
              </w:divsChild>
            </w:div>
            <w:div w:id="1581328809">
              <w:marLeft w:val="0"/>
              <w:marRight w:val="0"/>
              <w:marTop w:val="0"/>
              <w:marBottom w:val="0"/>
              <w:divBdr>
                <w:top w:val="none" w:sz="0" w:space="0" w:color="auto"/>
                <w:left w:val="none" w:sz="0" w:space="0" w:color="auto"/>
                <w:bottom w:val="none" w:sz="0" w:space="0" w:color="auto"/>
                <w:right w:val="none" w:sz="0" w:space="0" w:color="auto"/>
              </w:divBdr>
              <w:divsChild>
                <w:div w:id="1127775130">
                  <w:marLeft w:val="0"/>
                  <w:marRight w:val="0"/>
                  <w:marTop w:val="0"/>
                  <w:marBottom w:val="0"/>
                  <w:divBdr>
                    <w:top w:val="none" w:sz="0" w:space="0" w:color="auto"/>
                    <w:left w:val="none" w:sz="0" w:space="0" w:color="auto"/>
                    <w:bottom w:val="none" w:sz="0" w:space="0" w:color="auto"/>
                    <w:right w:val="none" w:sz="0" w:space="0" w:color="auto"/>
                  </w:divBdr>
                </w:div>
              </w:divsChild>
            </w:div>
            <w:div w:id="104933672">
              <w:marLeft w:val="0"/>
              <w:marRight w:val="0"/>
              <w:marTop w:val="0"/>
              <w:marBottom w:val="0"/>
              <w:divBdr>
                <w:top w:val="none" w:sz="0" w:space="0" w:color="auto"/>
                <w:left w:val="none" w:sz="0" w:space="0" w:color="auto"/>
                <w:bottom w:val="none" w:sz="0" w:space="0" w:color="auto"/>
                <w:right w:val="none" w:sz="0" w:space="0" w:color="auto"/>
              </w:divBdr>
              <w:divsChild>
                <w:div w:id="1086608400">
                  <w:marLeft w:val="0"/>
                  <w:marRight w:val="0"/>
                  <w:marTop w:val="0"/>
                  <w:marBottom w:val="0"/>
                  <w:divBdr>
                    <w:top w:val="none" w:sz="0" w:space="0" w:color="auto"/>
                    <w:left w:val="none" w:sz="0" w:space="0" w:color="auto"/>
                    <w:bottom w:val="none" w:sz="0" w:space="0" w:color="auto"/>
                    <w:right w:val="none" w:sz="0" w:space="0" w:color="auto"/>
                  </w:divBdr>
                </w:div>
              </w:divsChild>
            </w:div>
            <w:div w:id="1567296678">
              <w:marLeft w:val="0"/>
              <w:marRight w:val="0"/>
              <w:marTop w:val="0"/>
              <w:marBottom w:val="0"/>
              <w:divBdr>
                <w:top w:val="none" w:sz="0" w:space="0" w:color="auto"/>
                <w:left w:val="none" w:sz="0" w:space="0" w:color="auto"/>
                <w:bottom w:val="none" w:sz="0" w:space="0" w:color="auto"/>
                <w:right w:val="none" w:sz="0" w:space="0" w:color="auto"/>
              </w:divBdr>
              <w:divsChild>
                <w:div w:id="125317613">
                  <w:marLeft w:val="0"/>
                  <w:marRight w:val="0"/>
                  <w:marTop w:val="0"/>
                  <w:marBottom w:val="0"/>
                  <w:divBdr>
                    <w:top w:val="none" w:sz="0" w:space="0" w:color="auto"/>
                    <w:left w:val="none" w:sz="0" w:space="0" w:color="auto"/>
                    <w:bottom w:val="none" w:sz="0" w:space="0" w:color="auto"/>
                    <w:right w:val="none" w:sz="0" w:space="0" w:color="auto"/>
                  </w:divBdr>
                </w:div>
              </w:divsChild>
            </w:div>
            <w:div w:id="357047689">
              <w:marLeft w:val="0"/>
              <w:marRight w:val="0"/>
              <w:marTop w:val="0"/>
              <w:marBottom w:val="0"/>
              <w:divBdr>
                <w:top w:val="none" w:sz="0" w:space="0" w:color="auto"/>
                <w:left w:val="none" w:sz="0" w:space="0" w:color="auto"/>
                <w:bottom w:val="none" w:sz="0" w:space="0" w:color="auto"/>
                <w:right w:val="none" w:sz="0" w:space="0" w:color="auto"/>
              </w:divBdr>
              <w:divsChild>
                <w:div w:id="1490516881">
                  <w:marLeft w:val="0"/>
                  <w:marRight w:val="0"/>
                  <w:marTop w:val="0"/>
                  <w:marBottom w:val="0"/>
                  <w:divBdr>
                    <w:top w:val="none" w:sz="0" w:space="0" w:color="auto"/>
                    <w:left w:val="none" w:sz="0" w:space="0" w:color="auto"/>
                    <w:bottom w:val="none" w:sz="0" w:space="0" w:color="auto"/>
                    <w:right w:val="none" w:sz="0" w:space="0" w:color="auto"/>
                  </w:divBdr>
                </w:div>
              </w:divsChild>
            </w:div>
            <w:div w:id="1791244805">
              <w:marLeft w:val="0"/>
              <w:marRight w:val="0"/>
              <w:marTop w:val="0"/>
              <w:marBottom w:val="0"/>
              <w:divBdr>
                <w:top w:val="none" w:sz="0" w:space="0" w:color="auto"/>
                <w:left w:val="none" w:sz="0" w:space="0" w:color="auto"/>
                <w:bottom w:val="none" w:sz="0" w:space="0" w:color="auto"/>
                <w:right w:val="none" w:sz="0" w:space="0" w:color="auto"/>
              </w:divBdr>
              <w:divsChild>
                <w:div w:id="362439159">
                  <w:marLeft w:val="0"/>
                  <w:marRight w:val="0"/>
                  <w:marTop w:val="0"/>
                  <w:marBottom w:val="0"/>
                  <w:divBdr>
                    <w:top w:val="none" w:sz="0" w:space="0" w:color="auto"/>
                    <w:left w:val="none" w:sz="0" w:space="0" w:color="auto"/>
                    <w:bottom w:val="none" w:sz="0" w:space="0" w:color="auto"/>
                    <w:right w:val="none" w:sz="0" w:space="0" w:color="auto"/>
                  </w:divBdr>
                </w:div>
              </w:divsChild>
            </w:div>
            <w:div w:id="189149702">
              <w:marLeft w:val="0"/>
              <w:marRight w:val="0"/>
              <w:marTop w:val="0"/>
              <w:marBottom w:val="0"/>
              <w:divBdr>
                <w:top w:val="none" w:sz="0" w:space="0" w:color="auto"/>
                <w:left w:val="none" w:sz="0" w:space="0" w:color="auto"/>
                <w:bottom w:val="none" w:sz="0" w:space="0" w:color="auto"/>
                <w:right w:val="none" w:sz="0" w:space="0" w:color="auto"/>
              </w:divBdr>
              <w:divsChild>
                <w:div w:id="1691879538">
                  <w:marLeft w:val="0"/>
                  <w:marRight w:val="0"/>
                  <w:marTop w:val="0"/>
                  <w:marBottom w:val="0"/>
                  <w:divBdr>
                    <w:top w:val="none" w:sz="0" w:space="0" w:color="auto"/>
                    <w:left w:val="none" w:sz="0" w:space="0" w:color="auto"/>
                    <w:bottom w:val="none" w:sz="0" w:space="0" w:color="auto"/>
                    <w:right w:val="none" w:sz="0" w:space="0" w:color="auto"/>
                  </w:divBdr>
                </w:div>
              </w:divsChild>
            </w:div>
            <w:div w:id="1410080593">
              <w:marLeft w:val="0"/>
              <w:marRight w:val="0"/>
              <w:marTop w:val="0"/>
              <w:marBottom w:val="0"/>
              <w:divBdr>
                <w:top w:val="none" w:sz="0" w:space="0" w:color="auto"/>
                <w:left w:val="none" w:sz="0" w:space="0" w:color="auto"/>
                <w:bottom w:val="none" w:sz="0" w:space="0" w:color="auto"/>
                <w:right w:val="none" w:sz="0" w:space="0" w:color="auto"/>
              </w:divBdr>
              <w:divsChild>
                <w:div w:id="953632625">
                  <w:marLeft w:val="0"/>
                  <w:marRight w:val="0"/>
                  <w:marTop w:val="0"/>
                  <w:marBottom w:val="0"/>
                  <w:divBdr>
                    <w:top w:val="none" w:sz="0" w:space="0" w:color="auto"/>
                    <w:left w:val="none" w:sz="0" w:space="0" w:color="auto"/>
                    <w:bottom w:val="none" w:sz="0" w:space="0" w:color="auto"/>
                    <w:right w:val="none" w:sz="0" w:space="0" w:color="auto"/>
                  </w:divBdr>
                </w:div>
              </w:divsChild>
            </w:div>
            <w:div w:id="84618810">
              <w:marLeft w:val="0"/>
              <w:marRight w:val="0"/>
              <w:marTop w:val="0"/>
              <w:marBottom w:val="0"/>
              <w:divBdr>
                <w:top w:val="none" w:sz="0" w:space="0" w:color="auto"/>
                <w:left w:val="none" w:sz="0" w:space="0" w:color="auto"/>
                <w:bottom w:val="none" w:sz="0" w:space="0" w:color="auto"/>
                <w:right w:val="none" w:sz="0" w:space="0" w:color="auto"/>
              </w:divBdr>
              <w:divsChild>
                <w:div w:id="54553381">
                  <w:marLeft w:val="0"/>
                  <w:marRight w:val="0"/>
                  <w:marTop w:val="0"/>
                  <w:marBottom w:val="0"/>
                  <w:divBdr>
                    <w:top w:val="none" w:sz="0" w:space="0" w:color="auto"/>
                    <w:left w:val="none" w:sz="0" w:space="0" w:color="auto"/>
                    <w:bottom w:val="none" w:sz="0" w:space="0" w:color="auto"/>
                    <w:right w:val="none" w:sz="0" w:space="0" w:color="auto"/>
                  </w:divBdr>
                </w:div>
              </w:divsChild>
            </w:div>
            <w:div w:id="320079878">
              <w:marLeft w:val="0"/>
              <w:marRight w:val="0"/>
              <w:marTop w:val="0"/>
              <w:marBottom w:val="0"/>
              <w:divBdr>
                <w:top w:val="none" w:sz="0" w:space="0" w:color="auto"/>
                <w:left w:val="none" w:sz="0" w:space="0" w:color="auto"/>
                <w:bottom w:val="none" w:sz="0" w:space="0" w:color="auto"/>
                <w:right w:val="none" w:sz="0" w:space="0" w:color="auto"/>
              </w:divBdr>
              <w:divsChild>
                <w:div w:id="147790523">
                  <w:marLeft w:val="0"/>
                  <w:marRight w:val="0"/>
                  <w:marTop w:val="0"/>
                  <w:marBottom w:val="0"/>
                  <w:divBdr>
                    <w:top w:val="none" w:sz="0" w:space="0" w:color="auto"/>
                    <w:left w:val="none" w:sz="0" w:space="0" w:color="auto"/>
                    <w:bottom w:val="none" w:sz="0" w:space="0" w:color="auto"/>
                    <w:right w:val="none" w:sz="0" w:space="0" w:color="auto"/>
                  </w:divBdr>
                </w:div>
              </w:divsChild>
            </w:div>
            <w:div w:id="2125463711">
              <w:marLeft w:val="0"/>
              <w:marRight w:val="0"/>
              <w:marTop w:val="0"/>
              <w:marBottom w:val="0"/>
              <w:divBdr>
                <w:top w:val="none" w:sz="0" w:space="0" w:color="auto"/>
                <w:left w:val="none" w:sz="0" w:space="0" w:color="auto"/>
                <w:bottom w:val="none" w:sz="0" w:space="0" w:color="auto"/>
                <w:right w:val="none" w:sz="0" w:space="0" w:color="auto"/>
              </w:divBdr>
              <w:divsChild>
                <w:div w:id="1612398590">
                  <w:marLeft w:val="0"/>
                  <w:marRight w:val="0"/>
                  <w:marTop w:val="0"/>
                  <w:marBottom w:val="0"/>
                  <w:divBdr>
                    <w:top w:val="none" w:sz="0" w:space="0" w:color="auto"/>
                    <w:left w:val="none" w:sz="0" w:space="0" w:color="auto"/>
                    <w:bottom w:val="none" w:sz="0" w:space="0" w:color="auto"/>
                    <w:right w:val="none" w:sz="0" w:space="0" w:color="auto"/>
                  </w:divBdr>
                </w:div>
              </w:divsChild>
            </w:div>
            <w:div w:id="1988319734">
              <w:marLeft w:val="0"/>
              <w:marRight w:val="0"/>
              <w:marTop w:val="0"/>
              <w:marBottom w:val="0"/>
              <w:divBdr>
                <w:top w:val="none" w:sz="0" w:space="0" w:color="auto"/>
                <w:left w:val="none" w:sz="0" w:space="0" w:color="auto"/>
                <w:bottom w:val="none" w:sz="0" w:space="0" w:color="auto"/>
                <w:right w:val="none" w:sz="0" w:space="0" w:color="auto"/>
              </w:divBdr>
              <w:divsChild>
                <w:div w:id="1398474509">
                  <w:marLeft w:val="0"/>
                  <w:marRight w:val="0"/>
                  <w:marTop w:val="0"/>
                  <w:marBottom w:val="0"/>
                  <w:divBdr>
                    <w:top w:val="none" w:sz="0" w:space="0" w:color="auto"/>
                    <w:left w:val="none" w:sz="0" w:space="0" w:color="auto"/>
                    <w:bottom w:val="none" w:sz="0" w:space="0" w:color="auto"/>
                    <w:right w:val="none" w:sz="0" w:space="0" w:color="auto"/>
                  </w:divBdr>
                </w:div>
              </w:divsChild>
            </w:div>
            <w:div w:id="2056349745">
              <w:marLeft w:val="0"/>
              <w:marRight w:val="0"/>
              <w:marTop w:val="0"/>
              <w:marBottom w:val="0"/>
              <w:divBdr>
                <w:top w:val="none" w:sz="0" w:space="0" w:color="auto"/>
                <w:left w:val="none" w:sz="0" w:space="0" w:color="auto"/>
                <w:bottom w:val="none" w:sz="0" w:space="0" w:color="auto"/>
                <w:right w:val="none" w:sz="0" w:space="0" w:color="auto"/>
              </w:divBdr>
              <w:divsChild>
                <w:div w:id="1359308597">
                  <w:marLeft w:val="0"/>
                  <w:marRight w:val="0"/>
                  <w:marTop w:val="0"/>
                  <w:marBottom w:val="0"/>
                  <w:divBdr>
                    <w:top w:val="none" w:sz="0" w:space="0" w:color="auto"/>
                    <w:left w:val="none" w:sz="0" w:space="0" w:color="auto"/>
                    <w:bottom w:val="none" w:sz="0" w:space="0" w:color="auto"/>
                    <w:right w:val="none" w:sz="0" w:space="0" w:color="auto"/>
                  </w:divBdr>
                </w:div>
              </w:divsChild>
            </w:div>
            <w:div w:id="1766144634">
              <w:marLeft w:val="0"/>
              <w:marRight w:val="0"/>
              <w:marTop w:val="0"/>
              <w:marBottom w:val="0"/>
              <w:divBdr>
                <w:top w:val="none" w:sz="0" w:space="0" w:color="auto"/>
                <w:left w:val="none" w:sz="0" w:space="0" w:color="auto"/>
                <w:bottom w:val="none" w:sz="0" w:space="0" w:color="auto"/>
                <w:right w:val="none" w:sz="0" w:space="0" w:color="auto"/>
              </w:divBdr>
              <w:divsChild>
                <w:div w:id="1313218295">
                  <w:marLeft w:val="0"/>
                  <w:marRight w:val="0"/>
                  <w:marTop w:val="0"/>
                  <w:marBottom w:val="0"/>
                  <w:divBdr>
                    <w:top w:val="none" w:sz="0" w:space="0" w:color="auto"/>
                    <w:left w:val="none" w:sz="0" w:space="0" w:color="auto"/>
                    <w:bottom w:val="none" w:sz="0" w:space="0" w:color="auto"/>
                    <w:right w:val="none" w:sz="0" w:space="0" w:color="auto"/>
                  </w:divBdr>
                </w:div>
              </w:divsChild>
            </w:div>
            <w:div w:id="1868637342">
              <w:marLeft w:val="0"/>
              <w:marRight w:val="0"/>
              <w:marTop w:val="0"/>
              <w:marBottom w:val="0"/>
              <w:divBdr>
                <w:top w:val="none" w:sz="0" w:space="0" w:color="auto"/>
                <w:left w:val="none" w:sz="0" w:space="0" w:color="auto"/>
                <w:bottom w:val="none" w:sz="0" w:space="0" w:color="auto"/>
                <w:right w:val="none" w:sz="0" w:space="0" w:color="auto"/>
              </w:divBdr>
              <w:divsChild>
                <w:div w:id="1619684092">
                  <w:marLeft w:val="0"/>
                  <w:marRight w:val="0"/>
                  <w:marTop w:val="0"/>
                  <w:marBottom w:val="0"/>
                  <w:divBdr>
                    <w:top w:val="none" w:sz="0" w:space="0" w:color="auto"/>
                    <w:left w:val="none" w:sz="0" w:space="0" w:color="auto"/>
                    <w:bottom w:val="none" w:sz="0" w:space="0" w:color="auto"/>
                    <w:right w:val="none" w:sz="0" w:space="0" w:color="auto"/>
                  </w:divBdr>
                </w:div>
              </w:divsChild>
            </w:div>
            <w:div w:id="724185179">
              <w:marLeft w:val="0"/>
              <w:marRight w:val="0"/>
              <w:marTop w:val="0"/>
              <w:marBottom w:val="0"/>
              <w:divBdr>
                <w:top w:val="none" w:sz="0" w:space="0" w:color="auto"/>
                <w:left w:val="none" w:sz="0" w:space="0" w:color="auto"/>
                <w:bottom w:val="none" w:sz="0" w:space="0" w:color="auto"/>
                <w:right w:val="none" w:sz="0" w:space="0" w:color="auto"/>
              </w:divBdr>
              <w:divsChild>
                <w:div w:id="1652366402">
                  <w:marLeft w:val="0"/>
                  <w:marRight w:val="0"/>
                  <w:marTop w:val="0"/>
                  <w:marBottom w:val="0"/>
                  <w:divBdr>
                    <w:top w:val="none" w:sz="0" w:space="0" w:color="auto"/>
                    <w:left w:val="none" w:sz="0" w:space="0" w:color="auto"/>
                    <w:bottom w:val="none" w:sz="0" w:space="0" w:color="auto"/>
                    <w:right w:val="none" w:sz="0" w:space="0" w:color="auto"/>
                  </w:divBdr>
                </w:div>
              </w:divsChild>
            </w:div>
            <w:div w:id="1823498315">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 w:id="1881817254">
              <w:marLeft w:val="0"/>
              <w:marRight w:val="0"/>
              <w:marTop w:val="0"/>
              <w:marBottom w:val="0"/>
              <w:divBdr>
                <w:top w:val="none" w:sz="0" w:space="0" w:color="auto"/>
                <w:left w:val="none" w:sz="0" w:space="0" w:color="auto"/>
                <w:bottom w:val="none" w:sz="0" w:space="0" w:color="auto"/>
                <w:right w:val="none" w:sz="0" w:space="0" w:color="auto"/>
              </w:divBdr>
              <w:divsChild>
                <w:div w:id="1243175271">
                  <w:marLeft w:val="0"/>
                  <w:marRight w:val="0"/>
                  <w:marTop w:val="0"/>
                  <w:marBottom w:val="0"/>
                  <w:divBdr>
                    <w:top w:val="none" w:sz="0" w:space="0" w:color="auto"/>
                    <w:left w:val="none" w:sz="0" w:space="0" w:color="auto"/>
                    <w:bottom w:val="none" w:sz="0" w:space="0" w:color="auto"/>
                    <w:right w:val="none" w:sz="0" w:space="0" w:color="auto"/>
                  </w:divBdr>
                </w:div>
              </w:divsChild>
            </w:div>
            <w:div w:id="328100861">
              <w:marLeft w:val="0"/>
              <w:marRight w:val="0"/>
              <w:marTop w:val="0"/>
              <w:marBottom w:val="0"/>
              <w:divBdr>
                <w:top w:val="none" w:sz="0" w:space="0" w:color="auto"/>
                <w:left w:val="none" w:sz="0" w:space="0" w:color="auto"/>
                <w:bottom w:val="none" w:sz="0" w:space="0" w:color="auto"/>
                <w:right w:val="none" w:sz="0" w:space="0" w:color="auto"/>
              </w:divBdr>
              <w:divsChild>
                <w:div w:id="1886021650">
                  <w:marLeft w:val="0"/>
                  <w:marRight w:val="0"/>
                  <w:marTop w:val="0"/>
                  <w:marBottom w:val="0"/>
                  <w:divBdr>
                    <w:top w:val="none" w:sz="0" w:space="0" w:color="auto"/>
                    <w:left w:val="none" w:sz="0" w:space="0" w:color="auto"/>
                    <w:bottom w:val="none" w:sz="0" w:space="0" w:color="auto"/>
                    <w:right w:val="none" w:sz="0" w:space="0" w:color="auto"/>
                  </w:divBdr>
                </w:div>
              </w:divsChild>
            </w:div>
            <w:div w:id="377895304">
              <w:marLeft w:val="0"/>
              <w:marRight w:val="0"/>
              <w:marTop w:val="0"/>
              <w:marBottom w:val="0"/>
              <w:divBdr>
                <w:top w:val="none" w:sz="0" w:space="0" w:color="auto"/>
                <w:left w:val="none" w:sz="0" w:space="0" w:color="auto"/>
                <w:bottom w:val="none" w:sz="0" w:space="0" w:color="auto"/>
                <w:right w:val="none" w:sz="0" w:space="0" w:color="auto"/>
              </w:divBdr>
              <w:divsChild>
                <w:div w:id="1877114359">
                  <w:marLeft w:val="0"/>
                  <w:marRight w:val="0"/>
                  <w:marTop w:val="0"/>
                  <w:marBottom w:val="0"/>
                  <w:divBdr>
                    <w:top w:val="none" w:sz="0" w:space="0" w:color="auto"/>
                    <w:left w:val="none" w:sz="0" w:space="0" w:color="auto"/>
                    <w:bottom w:val="none" w:sz="0" w:space="0" w:color="auto"/>
                    <w:right w:val="none" w:sz="0" w:space="0" w:color="auto"/>
                  </w:divBdr>
                </w:div>
              </w:divsChild>
            </w:div>
            <w:div w:id="892042979">
              <w:marLeft w:val="0"/>
              <w:marRight w:val="0"/>
              <w:marTop w:val="0"/>
              <w:marBottom w:val="0"/>
              <w:divBdr>
                <w:top w:val="none" w:sz="0" w:space="0" w:color="auto"/>
                <w:left w:val="none" w:sz="0" w:space="0" w:color="auto"/>
                <w:bottom w:val="none" w:sz="0" w:space="0" w:color="auto"/>
                <w:right w:val="none" w:sz="0" w:space="0" w:color="auto"/>
              </w:divBdr>
              <w:divsChild>
                <w:div w:id="782071090">
                  <w:marLeft w:val="0"/>
                  <w:marRight w:val="0"/>
                  <w:marTop w:val="0"/>
                  <w:marBottom w:val="0"/>
                  <w:divBdr>
                    <w:top w:val="none" w:sz="0" w:space="0" w:color="auto"/>
                    <w:left w:val="none" w:sz="0" w:space="0" w:color="auto"/>
                    <w:bottom w:val="none" w:sz="0" w:space="0" w:color="auto"/>
                    <w:right w:val="none" w:sz="0" w:space="0" w:color="auto"/>
                  </w:divBdr>
                </w:div>
              </w:divsChild>
            </w:div>
            <w:div w:id="453250742">
              <w:marLeft w:val="0"/>
              <w:marRight w:val="0"/>
              <w:marTop w:val="0"/>
              <w:marBottom w:val="0"/>
              <w:divBdr>
                <w:top w:val="none" w:sz="0" w:space="0" w:color="auto"/>
                <w:left w:val="none" w:sz="0" w:space="0" w:color="auto"/>
                <w:bottom w:val="none" w:sz="0" w:space="0" w:color="auto"/>
                <w:right w:val="none" w:sz="0" w:space="0" w:color="auto"/>
              </w:divBdr>
              <w:divsChild>
                <w:div w:id="2125609575">
                  <w:marLeft w:val="0"/>
                  <w:marRight w:val="0"/>
                  <w:marTop w:val="0"/>
                  <w:marBottom w:val="0"/>
                  <w:divBdr>
                    <w:top w:val="none" w:sz="0" w:space="0" w:color="auto"/>
                    <w:left w:val="none" w:sz="0" w:space="0" w:color="auto"/>
                    <w:bottom w:val="none" w:sz="0" w:space="0" w:color="auto"/>
                    <w:right w:val="none" w:sz="0" w:space="0" w:color="auto"/>
                  </w:divBdr>
                </w:div>
              </w:divsChild>
            </w:div>
            <w:div w:id="810557780">
              <w:marLeft w:val="0"/>
              <w:marRight w:val="0"/>
              <w:marTop w:val="0"/>
              <w:marBottom w:val="0"/>
              <w:divBdr>
                <w:top w:val="none" w:sz="0" w:space="0" w:color="auto"/>
                <w:left w:val="none" w:sz="0" w:space="0" w:color="auto"/>
                <w:bottom w:val="none" w:sz="0" w:space="0" w:color="auto"/>
                <w:right w:val="none" w:sz="0" w:space="0" w:color="auto"/>
              </w:divBdr>
              <w:divsChild>
                <w:div w:id="529999736">
                  <w:marLeft w:val="0"/>
                  <w:marRight w:val="0"/>
                  <w:marTop w:val="0"/>
                  <w:marBottom w:val="0"/>
                  <w:divBdr>
                    <w:top w:val="none" w:sz="0" w:space="0" w:color="auto"/>
                    <w:left w:val="none" w:sz="0" w:space="0" w:color="auto"/>
                    <w:bottom w:val="none" w:sz="0" w:space="0" w:color="auto"/>
                    <w:right w:val="none" w:sz="0" w:space="0" w:color="auto"/>
                  </w:divBdr>
                </w:div>
              </w:divsChild>
            </w:div>
            <w:div w:id="1892379234">
              <w:marLeft w:val="0"/>
              <w:marRight w:val="0"/>
              <w:marTop w:val="0"/>
              <w:marBottom w:val="0"/>
              <w:divBdr>
                <w:top w:val="none" w:sz="0" w:space="0" w:color="auto"/>
                <w:left w:val="none" w:sz="0" w:space="0" w:color="auto"/>
                <w:bottom w:val="none" w:sz="0" w:space="0" w:color="auto"/>
                <w:right w:val="none" w:sz="0" w:space="0" w:color="auto"/>
              </w:divBdr>
              <w:divsChild>
                <w:div w:id="359546740">
                  <w:marLeft w:val="0"/>
                  <w:marRight w:val="0"/>
                  <w:marTop w:val="0"/>
                  <w:marBottom w:val="0"/>
                  <w:divBdr>
                    <w:top w:val="none" w:sz="0" w:space="0" w:color="auto"/>
                    <w:left w:val="none" w:sz="0" w:space="0" w:color="auto"/>
                    <w:bottom w:val="none" w:sz="0" w:space="0" w:color="auto"/>
                    <w:right w:val="none" w:sz="0" w:space="0" w:color="auto"/>
                  </w:divBdr>
                </w:div>
              </w:divsChild>
            </w:div>
            <w:div w:id="337315856">
              <w:marLeft w:val="0"/>
              <w:marRight w:val="0"/>
              <w:marTop w:val="0"/>
              <w:marBottom w:val="0"/>
              <w:divBdr>
                <w:top w:val="none" w:sz="0" w:space="0" w:color="auto"/>
                <w:left w:val="none" w:sz="0" w:space="0" w:color="auto"/>
                <w:bottom w:val="none" w:sz="0" w:space="0" w:color="auto"/>
                <w:right w:val="none" w:sz="0" w:space="0" w:color="auto"/>
              </w:divBdr>
              <w:divsChild>
                <w:div w:id="1245341393">
                  <w:marLeft w:val="0"/>
                  <w:marRight w:val="0"/>
                  <w:marTop w:val="0"/>
                  <w:marBottom w:val="0"/>
                  <w:divBdr>
                    <w:top w:val="none" w:sz="0" w:space="0" w:color="auto"/>
                    <w:left w:val="none" w:sz="0" w:space="0" w:color="auto"/>
                    <w:bottom w:val="none" w:sz="0" w:space="0" w:color="auto"/>
                    <w:right w:val="none" w:sz="0" w:space="0" w:color="auto"/>
                  </w:divBdr>
                </w:div>
              </w:divsChild>
            </w:div>
            <w:div w:id="1056047237">
              <w:marLeft w:val="0"/>
              <w:marRight w:val="0"/>
              <w:marTop w:val="0"/>
              <w:marBottom w:val="0"/>
              <w:divBdr>
                <w:top w:val="none" w:sz="0" w:space="0" w:color="auto"/>
                <w:left w:val="none" w:sz="0" w:space="0" w:color="auto"/>
                <w:bottom w:val="none" w:sz="0" w:space="0" w:color="auto"/>
                <w:right w:val="none" w:sz="0" w:space="0" w:color="auto"/>
              </w:divBdr>
              <w:divsChild>
                <w:div w:id="1418940677">
                  <w:marLeft w:val="0"/>
                  <w:marRight w:val="0"/>
                  <w:marTop w:val="0"/>
                  <w:marBottom w:val="0"/>
                  <w:divBdr>
                    <w:top w:val="none" w:sz="0" w:space="0" w:color="auto"/>
                    <w:left w:val="none" w:sz="0" w:space="0" w:color="auto"/>
                    <w:bottom w:val="none" w:sz="0" w:space="0" w:color="auto"/>
                    <w:right w:val="none" w:sz="0" w:space="0" w:color="auto"/>
                  </w:divBdr>
                </w:div>
              </w:divsChild>
            </w:div>
            <w:div w:id="1102996654">
              <w:marLeft w:val="0"/>
              <w:marRight w:val="0"/>
              <w:marTop w:val="0"/>
              <w:marBottom w:val="0"/>
              <w:divBdr>
                <w:top w:val="none" w:sz="0" w:space="0" w:color="auto"/>
                <w:left w:val="none" w:sz="0" w:space="0" w:color="auto"/>
                <w:bottom w:val="none" w:sz="0" w:space="0" w:color="auto"/>
                <w:right w:val="none" w:sz="0" w:space="0" w:color="auto"/>
              </w:divBdr>
              <w:divsChild>
                <w:div w:id="2119792193">
                  <w:marLeft w:val="0"/>
                  <w:marRight w:val="0"/>
                  <w:marTop w:val="0"/>
                  <w:marBottom w:val="0"/>
                  <w:divBdr>
                    <w:top w:val="none" w:sz="0" w:space="0" w:color="auto"/>
                    <w:left w:val="none" w:sz="0" w:space="0" w:color="auto"/>
                    <w:bottom w:val="none" w:sz="0" w:space="0" w:color="auto"/>
                    <w:right w:val="none" w:sz="0" w:space="0" w:color="auto"/>
                  </w:divBdr>
                </w:div>
              </w:divsChild>
            </w:div>
            <w:div w:id="391539062">
              <w:marLeft w:val="0"/>
              <w:marRight w:val="0"/>
              <w:marTop w:val="0"/>
              <w:marBottom w:val="0"/>
              <w:divBdr>
                <w:top w:val="none" w:sz="0" w:space="0" w:color="auto"/>
                <w:left w:val="none" w:sz="0" w:space="0" w:color="auto"/>
                <w:bottom w:val="none" w:sz="0" w:space="0" w:color="auto"/>
                <w:right w:val="none" w:sz="0" w:space="0" w:color="auto"/>
              </w:divBdr>
              <w:divsChild>
                <w:div w:id="275212286">
                  <w:marLeft w:val="0"/>
                  <w:marRight w:val="0"/>
                  <w:marTop w:val="0"/>
                  <w:marBottom w:val="0"/>
                  <w:divBdr>
                    <w:top w:val="none" w:sz="0" w:space="0" w:color="auto"/>
                    <w:left w:val="none" w:sz="0" w:space="0" w:color="auto"/>
                    <w:bottom w:val="none" w:sz="0" w:space="0" w:color="auto"/>
                    <w:right w:val="none" w:sz="0" w:space="0" w:color="auto"/>
                  </w:divBdr>
                </w:div>
              </w:divsChild>
            </w:div>
            <w:div w:id="252322423">
              <w:marLeft w:val="0"/>
              <w:marRight w:val="0"/>
              <w:marTop w:val="0"/>
              <w:marBottom w:val="0"/>
              <w:divBdr>
                <w:top w:val="none" w:sz="0" w:space="0" w:color="auto"/>
                <w:left w:val="none" w:sz="0" w:space="0" w:color="auto"/>
                <w:bottom w:val="none" w:sz="0" w:space="0" w:color="auto"/>
                <w:right w:val="none" w:sz="0" w:space="0" w:color="auto"/>
              </w:divBdr>
              <w:divsChild>
                <w:div w:id="181670864">
                  <w:marLeft w:val="0"/>
                  <w:marRight w:val="0"/>
                  <w:marTop w:val="0"/>
                  <w:marBottom w:val="0"/>
                  <w:divBdr>
                    <w:top w:val="none" w:sz="0" w:space="0" w:color="auto"/>
                    <w:left w:val="none" w:sz="0" w:space="0" w:color="auto"/>
                    <w:bottom w:val="none" w:sz="0" w:space="0" w:color="auto"/>
                    <w:right w:val="none" w:sz="0" w:space="0" w:color="auto"/>
                  </w:divBdr>
                </w:div>
              </w:divsChild>
            </w:div>
            <w:div w:id="1505436677">
              <w:marLeft w:val="0"/>
              <w:marRight w:val="0"/>
              <w:marTop w:val="0"/>
              <w:marBottom w:val="0"/>
              <w:divBdr>
                <w:top w:val="none" w:sz="0" w:space="0" w:color="auto"/>
                <w:left w:val="none" w:sz="0" w:space="0" w:color="auto"/>
                <w:bottom w:val="none" w:sz="0" w:space="0" w:color="auto"/>
                <w:right w:val="none" w:sz="0" w:space="0" w:color="auto"/>
              </w:divBdr>
              <w:divsChild>
                <w:div w:id="871843150">
                  <w:marLeft w:val="0"/>
                  <w:marRight w:val="0"/>
                  <w:marTop w:val="0"/>
                  <w:marBottom w:val="0"/>
                  <w:divBdr>
                    <w:top w:val="none" w:sz="0" w:space="0" w:color="auto"/>
                    <w:left w:val="none" w:sz="0" w:space="0" w:color="auto"/>
                    <w:bottom w:val="none" w:sz="0" w:space="0" w:color="auto"/>
                    <w:right w:val="none" w:sz="0" w:space="0" w:color="auto"/>
                  </w:divBdr>
                </w:div>
              </w:divsChild>
            </w:div>
            <w:div w:id="1985237220">
              <w:marLeft w:val="0"/>
              <w:marRight w:val="0"/>
              <w:marTop w:val="0"/>
              <w:marBottom w:val="0"/>
              <w:divBdr>
                <w:top w:val="none" w:sz="0" w:space="0" w:color="auto"/>
                <w:left w:val="none" w:sz="0" w:space="0" w:color="auto"/>
                <w:bottom w:val="none" w:sz="0" w:space="0" w:color="auto"/>
                <w:right w:val="none" w:sz="0" w:space="0" w:color="auto"/>
              </w:divBdr>
              <w:divsChild>
                <w:div w:id="1197768122">
                  <w:marLeft w:val="0"/>
                  <w:marRight w:val="0"/>
                  <w:marTop w:val="0"/>
                  <w:marBottom w:val="0"/>
                  <w:divBdr>
                    <w:top w:val="none" w:sz="0" w:space="0" w:color="auto"/>
                    <w:left w:val="none" w:sz="0" w:space="0" w:color="auto"/>
                    <w:bottom w:val="none" w:sz="0" w:space="0" w:color="auto"/>
                    <w:right w:val="none" w:sz="0" w:space="0" w:color="auto"/>
                  </w:divBdr>
                </w:div>
              </w:divsChild>
            </w:div>
            <w:div w:id="871188966">
              <w:marLeft w:val="0"/>
              <w:marRight w:val="0"/>
              <w:marTop w:val="0"/>
              <w:marBottom w:val="0"/>
              <w:divBdr>
                <w:top w:val="none" w:sz="0" w:space="0" w:color="auto"/>
                <w:left w:val="none" w:sz="0" w:space="0" w:color="auto"/>
                <w:bottom w:val="none" w:sz="0" w:space="0" w:color="auto"/>
                <w:right w:val="none" w:sz="0" w:space="0" w:color="auto"/>
              </w:divBdr>
              <w:divsChild>
                <w:div w:id="1204363024">
                  <w:marLeft w:val="0"/>
                  <w:marRight w:val="0"/>
                  <w:marTop w:val="0"/>
                  <w:marBottom w:val="0"/>
                  <w:divBdr>
                    <w:top w:val="none" w:sz="0" w:space="0" w:color="auto"/>
                    <w:left w:val="none" w:sz="0" w:space="0" w:color="auto"/>
                    <w:bottom w:val="none" w:sz="0" w:space="0" w:color="auto"/>
                    <w:right w:val="none" w:sz="0" w:space="0" w:color="auto"/>
                  </w:divBdr>
                </w:div>
              </w:divsChild>
            </w:div>
            <w:div w:id="1838306593">
              <w:marLeft w:val="0"/>
              <w:marRight w:val="0"/>
              <w:marTop w:val="0"/>
              <w:marBottom w:val="0"/>
              <w:divBdr>
                <w:top w:val="none" w:sz="0" w:space="0" w:color="auto"/>
                <w:left w:val="none" w:sz="0" w:space="0" w:color="auto"/>
                <w:bottom w:val="none" w:sz="0" w:space="0" w:color="auto"/>
                <w:right w:val="none" w:sz="0" w:space="0" w:color="auto"/>
              </w:divBdr>
              <w:divsChild>
                <w:div w:id="759831633">
                  <w:marLeft w:val="0"/>
                  <w:marRight w:val="0"/>
                  <w:marTop w:val="0"/>
                  <w:marBottom w:val="0"/>
                  <w:divBdr>
                    <w:top w:val="none" w:sz="0" w:space="0" w:color="auto"/>
                    <w:left w:val="none" w:sz="0" w:space="0" w:color="auto"/>
                    <w:bottom w:val="none" w:sz="0" w:space="0" w:color="auto"/>
                    <w:right w:val="none" w:sz="0" w:space="0" w:color="auto"/>
                  </w:divBdr>
                </w:div>
              </w:divsChild>
            </w:div>
            <w:div w:id="1279532287">
              <w:marLeft w:val="0"/>
              <w:marRight w:val="0"/>
              <w:marTop w:val="0"/>
              <w:marBottom w:val="0"/>
              <w:divBdr>
                <w:top w:val="none" w:sz="0" w:space="0" w:color="auto"/>
                <w:left w:val="none" w:sz="0" w:space="0" w:color="auto"/>
                <w:bottom w:val="none" w:sz="0" w:space="0" w:color="auto"/>
                <w:right w:val="none" w:sz="0" w:space="0" w:color="auto"/>
              </w:divBdr>
              <w:divsChild>
                <w:div w:id="16809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38056">
          <w:marLeft w:val="0"/>
          <w:marRight w:val="0"/>
          <w:marTop w:val="0"/>
          <w:marBottom w:val="0"/>
          <w:divBdr>
            <w:top w:val="none" w:sz="0" w:space="0" w:color="auto"/>
            <w:left w:val="none" w:sz="0" w:space="0" w:color="auto"/>
            <w:bottom w:val="none" w:sz="0" w:space="0" w:color="auto"/>
            <w:right w:val="none" w:sz="0" w:space="0" w:color="auto"/>
          </w:divBdr>
        </w:div>
        <w:div w:id="1723091097">
          <w:marLeft w:val="0"/>
          <w:marRight w:val="0"/>
          <w:marTop w:val="0"/>
          <w:marBottom w:val="0"/>
          <w:divBdr>
            <w:top w:val="none" w:sz="0" w:space="0" w:color="auto"/>
            <w:left w:val="none" w:sz="0" w:space="0" w:color="auto"/>
            <w:bottom w:val="none" w:sz="0" w:space="0" w:color="auto"/>
            <w:right w:val="none" w:sz="0" w:space="0" w:color="auto"/>
          </w:divBdr>
        </w:div>
        <w:div w:id="887759903">
          <w:marLeft w:val="0"/>
          <w:marRight w:val="0"/>
          <w:marTop w:val="0"/>
          <w:marBottom w:val="0"/>
          <w:divBdr>
            <w:top w:val="none" w:sz="0" w:space="0" w:color="auto"/>
            <w:left w:val="none" w:sz="0" w:space="0" w:color="auto"/>
            <w:bottom w:val="none" w:sz="0" w:space="0" w:color="auto"/>
            <w:right w:val="none" w:sz="0" w:space="0" w:color="auto"/>
          </w:divBdr>
        </w:div>
        <w:div w:id="1266108706">
          <w:marLeft w:val="0"/>
          <w:marRight w:val="0"/>
          <w:marTop w:val="0"/>
          <w:marBottom w:val="0"/>
          <w:divBdr>
            <w:top w:val="none" w:sz="0" w:space="0" w:color="auto"/>
            <w:left w:val="none" w:sz="0" w:space="0" w:color="auto"/>
            <w:bottom w:val="none" w:sz="0" w:space="0" w:color="auto"/>
            <w:right w:val="none" w:sz="0" w:space="0" w:color="auto"/>
          </w:divBdr>
        </w:div>
        <w:div w:id="1928418822">
          <w:marLeft w:val="0"/>
          <w:marRight w:val="0"/>
          <w:marTop w:val="0"/>
          <w:marBottom w:val="0"/>
          <w:divBdr>
            <w:top w:val="none" w:sz="0" w:space="0" w:color="auto"/>
            <w:left w:val="none" w:sz="0" w:space="0" w:color="auto"/>
            <w:bottom w:val="none" w:sz="0" w:space="0" w:color="auto"/>
            <w:right w:val="none" w:sz="0" w:space="0" w:color="auto"/>
          </w:divBdr>
        </w:div>
      </w:divsChild>
    </w:div>
    <w:div w:id="1330865631">
      <w:bodyDiv w:val="1"/>
      <w:marLeft w:val="0"/>
      <w:marRight w:val="0"/>
      <w:marTop w:val="0"/>
      <w:marBottom w:val="0"/>
      <w:divBdr>
        <w:top w:val="none" w:sz="0" w:space="0" w:color="auto"/>
        <w:left w:val="none" w:sz="0" w:space="0" w:color="auto"/>
        <w:bottom w:val="none" w:sz="0" w:space="0" w:color="auto"/>
        <w:right w:val="none" w:sz="0" w:space="0" w:color="auto"/>
      </w:divBdr>
      <w:divsChild>
        <w:div w:id="2052414210">
          <w:marLeft w:val="0"/>
          <w:marRight w:val="0"/>
          <w:marTop w:val="0"/>
          <w:marBottom w:val="0"/>
          <w:divBdr>
            <w:top w:val="none" w:sz="0" w:space="0" w:color="auto"/>
            <w:left w:val="none" w:sz="0" w:space="0" w:color="auto"/>
            <w:bottom w:val="none" w:sz="0" w:space="0" w:color="auto"/>
            <w:right w:val="none" w:sz="0" w:space="0" w:color="auto"/>
          </w:divBdr>
        </w:div>
        <w:div w:id="1839228190">
          <w:marLeft w:val="0"/>
          <w:marRight w:val="0"/>
          <w:marTop w:val="0"/>
          <w:marBottom w:val="0"/>
          <w:divBdr>
            <w:top w:val="none" w:sz="0" w:space="0" w:color="auto"/>
            <w:left w:val="none" w:sz="0" w:space="0" w:color="auto"/>
            <w:bottom w:val="none" w:sz="0" w:space="0" w:color="auto"/>
            <w:right w:val="none" w:sz="0" w:space="0" w:color="auto"/>
          </w:divBdr>
        </w:div>
        <w:div w:id="1746218818">
          <w:marLeft w:val="0"/>
          <w:marRight w:val="0"/>
          <w:marTop w:val="0"/>
          <w:marBottom w:val="0"/>
          <w:divBdr>
            <w:top w:val="none" w:sz="0" w:space="0" w:color="auto"/>
            <w:left w:val="none" w:sz="0" w:space="0" w:color="auto"/>
            <w:bottom w:val="none" w:sz="0" w:space="0" w:color="auto"/>
            <w:right w:val="none" w:sz="0" w:space="0" w:color="auto"/>
          </w:divBdr>
        </w:div>
        <w:div w:id="229463098">
          <w:marLeft w:val="0"/>
          <w:marRight w:val="0"/>
          <w:marTop w:val="0"/>
          <w:marBottom w:val="0"/>
          <w:divBdr>
            <w:top w:val="none" w:sz="0" w:space="0" w:color="auto"/>
            <w:left w:val="none" w:sz="0" w:space="0" w:color="auto"/>
            <w:bottom w:val="none" w:sz="0" w:space="0" w:color="auto"/>
            <w:right w:val="none" w:sz="0" w:space="0" w:color="auto"/>
          </w:divBdr>
        </w:div>
        <w:div w:id="1107117567">
          <w:marLeft w:val="0"/>
          <w:marRight w:val="0"/>
          <w:marTop w:val="0"/>
          <w:marBottom w:val="0"/>
          <w:divBdr>
            <w:top w:val="none" w:sz="0" w:space="0" w:color="auto"/>
            <w:left w:val="none" w:sz="0" w:space="0" w:color="auto"/>
            <w:bottom w:val="none" w:sz="0" w:space="0" w:color="auto"/>
            <w:right w:val="none" w:sz="0" w:space="0" w:color="auto"/>
          </w:divBdr>
        </w:div>
        <w:div w:id="1511988025">
          <w:marLeft w:val="0"/>
          <w:marRight w:val="0"/>
          <w:marTop w:val="0"/>
          <w:marBottom w:val="0"/>
          <w:divBdr>
            <w:top w:val="none" w:sz="0" w:space="0" w:color="auto"/>
            <w:left w:val="none" w:sz="0" w:space="0" w:color="auto"/>
            <w:bottom w:val="none" w:sz="0" w:space="0" w:color="auto"/>
            <w:right w:val="none" w:sz="0" w:space="0" w:color="auto"/>
          </w:divBdr>
        </w:div>
        <w:div w:id="1638216860">
          <w:marLeft w:val="-75"/>
          <w:marRight w:val="0"/>
          <w:marTop w:val="30"/>
          <w:marBottom w:val="30"/>
          <w:divBdr>
            <w:top w:val="none" w:sz="0" w:space="0" w:color="auto"/>
            <w:left w:val="none" w:sz="0" w:space="0" w:color="auto"/>
            <w:bottom w:val="none" w:sz="0" w:space="0" w:color="auto"/>
            <w:right w:val="none" w:sz="0" w:space="0" w:color="auto"/>
          </w:divBdr>
          <w:divsChild>
            <w:div w:id="760612897">
              <w:marLeft w:val="0"/>
              <w:marRight w:val="0"/>
              <w:marTop w:val="0"/>
              <w:marBottom w:val="0"/>
              <w:divBdr>
                <w:top w:val="none" w:sz="0" w:space="0" w:color="auto"/>
                <w:left w:val="none" w:sz="0" w:space="0" w:color="auto"/>
                <w:bottom w:val="none" w:sz="0" w:space="0" w:color="auto"/>
                <w:right w:val="none" w:sz="0" w:space="0" w:color="auto"/>
              </w:divBdr>
              <w:divsChild>
                <w:div w:id="1559826297">
                  <w:marLeft w:val="0"/>
                  <w:marRight w:val="0"/>
                  <w:marTop w:val="0"/>
                  <w:marBottom w:val="0"/>
                  <w:divBdr>
                    <w:top w:val="none" w:sz="0" w:space="0" w:color="auto"/>
                    <w:left w:val="none" w:sz="0" w:space="0" w:color="auto"/>
                    <w:bottom w:val="none" w:sz="0" w:space="0" w:color="auto"/>
                    <w:right w:val="none" w:sz="0" w:space="0" w:color="auto"/>
                  </w:divBdr>
                </w:div>
              </w:divsChild>
            </w:div>
            <w:div w:id="1458985681">
              <w:marLeft w:val="0"/>
              <w:marRight w:val="0"/>
              <w:marTop w:val="0"/>
              <w:marBottom w:val="0"/>
              <w:divBdr>
                <w:top w:val="none" w:sz="0" w:space="0" w:color="auto"/>
                <w:left w:val="none" w:sz="0" w:space="0" w:color="auto"/>
                <w:bottom w:val="none" w:sz="0" w:space="0" w:color="auto"/>
                <w:right w:val="none" w:sz="0" w:space="0" w:color="auto"/>
              </w:divBdr>
              <w:divsChild>
                <w:div w:id="1961262488">
                  <w:marLeft w:val="0"/>
                  <w:marRight w:val="0"/>
                  <w:marTop w:val="0"/>
                  <w:marBottom w:val="0"/>
                  <w:divBdr>
                    <w:top w:val="none" w:sz="0" w:space="0" w:color="auto"/>
                    <w:left w:val="none" w:sz="0" w:space="0" w:color="auto"/>
                    <w:bottom w:val="none" w:sz="0" w:space="0" w:color="auto"/>
                    <w:right w:val="none" w:sz="0" w:space="0" w:color="auto"/>
                  </w:divBdr>
                </w:div>
              </w:divsChild>
            </w:div>
            <w:div w:id="884216828">
              <w:marLeft w:val="0"/>
              <w:marRight w:val="0"/>
              <w:marTop w:val="0"/>
              <w:marBottom w:val="0"/>
              <w:divBdr>
                <w:top w:val="none" w:sz="0" w:space="0" w:color="auto"/>
                <w:left w:val="none" w:sz="0" w:space="0" w:color="auto"/>
                <w:bottom w:val="none" w:sz="0" w:space="0" w:color="auto"/>
                <w:right w:val="none" w:sz="0" w:space="0" w:color="auto"/>
              </w:divBdr>
              <w:divsChild>
                <w:div w:id="887493985">
                  <w:marLeft w:val="0"/>
                  <w:marRight w:val="0"/>
                  <w:marTop w:val="0"/>
                  <w:marBottom w:val="0"/>
                  <w:divBdr>
                    <w:top w:val="none" w:sz="0" w:space="0" w:color="auto"/>
                    <w:left w:val="none" w:sz="0" w:space="0" w:color="auto"/>
                    <w:bottom w:val="none" w:sz="0" w:space="0" w:color="auto"/>
                    <w:right w:val="none" w:sz="0" w:space="0" w:color="auto"/>
                  </w:divBdr>
                </w:div>
              </w:divsChild>
            </w:div>
            <w:div w:id="1559583692">
              <w:marLeft w:val="0"/>
              <w:marRight w:val="0"/>
              <w:marTop w:val="0"/>
              <w:marBottom w:val="0"/>
              <w:divBdr>
                <w:top w:val="none" w:sz="0" w:space="0" w:color="auto"/>
                <w:left w:val="none" w:sz="0" w:space="0" w:color="auto"/>
                <w:bottom w:val="none" w:sz="0" w:space="0" w:color="auto"/>
                <w:right w:val="none" w:sz="0" w:space="0" w:color="auto"/>
              </w:divBdr>
              <w:divsChild>
                <w:div w:id="733091844">
                  <w:marLeft w:val="0"/>
                  <w:marRight w:val="0"/>
                  <w:marTop w:val="0"/>
                  <w:marBottom w:val="0"/>
                  <w:divBdr>
                    <w:top w:val="none" w:sz="0" w:space="0" w:color="auto"/>
                    <w:left w:val="none" w:sz="0" w:space="0" w:color="auto"/>
                    <w:bottom w:val="none" w:sz="0" w:space="0" w:color="auto"/>
                    <w:right w:val="none" w:sz="0" w:space="0" w:color="auto"/>
                  </w:divBdr>
                </w:div>
              </w:divsChild>
            </w:div>
            <w:div w:id="1771968053">
              <w:marLeft w:val="0"/>
              <w:marRight w:val="0"/>
              <w:marTop w:val="0"/>
              <w:marBottom w:val="0"/>
              <w:divBdr>
                <w:top w:val="none" w:sz="0" w:space="0" w:color="auto"/>
                <w:left w:val="none" w:sz="0" w:space="0" w:color="auto"/>
                <w:bottom w:val="none" w:sz="0" w:space="0" w:color="auto"/>
                <w:right w:val="none" w:sz="0" w:space="0" w:color="auto"/>
              </w:divBdr>
              <w:divsChild>
                <w:div w:id="1402556281">
                  <w:marLeft w:val="0"/>
                  <w:marRight w:val="0"/>
                  <w:marTop w:val="0"/>
                  <w:marBottom w:val="0"/>
                  <w:divBdr>
                    <w:top w:val="none" w:sz="0" w:space="0" w:color="auto"/>
                    <w:left w:val="none" w:sz="0" w:space="0" w:color="auto"/>
                    <w:bottom w:val="none" w:sz="0" w:space="0" w:color="auto"/>
                    <w:right w:val="none" w:sz="0" w:space="0" w:color="auto"/>
                  </w:divBdr>
                </w:div>
              </w:divsChild>
            </w:div>
            <w:div w:id="1657344917">
              <w:marLeft w:val="0"/>
              <w:marRight w:val="0"/>
              <w:marTop w:val="0"/>
              <w:marBottom w:val="0"/>
              <w:divBdr>
                <w:top w:val="none" w:sz="0" w:space="0" w:color="auto"/>
                <w:left w:val="none" w:sz="0" w:space="0" w:color="auto"/>
                <w:bottom w:val="none" w:sz="0" w:space="0" w:color="auto"/>
                <w:right w:val="none" w:sz="0" w:space="0" w:color="auto"/>
              </w:divBdr>
              <w:divsChild>
                <w:div w:id="97257708">
                  <w:marLeft w:val="0"/>
                  <w:marRight w:val="0"/>
                  <w:marTop w:val="0"/>
                  <w:marBottom w:val="0"/>
                  <w:divBdr>
                    <w:top w:val="none" w:sz="0" w:space="0" w:color="auto"/>
                    <w:left w:val="none" w:sz="0" w:space="0" w:color="auto"/>
                    <w:bottom w:val="none" w:sz="0" w:space="0" w:color="auto"/>
                    <w:right w:val="none" w:sz="0" w:space="0" w:color="auto"/>
                  </w:divBdr>
                </w:div>
              </w:divsChild>
            </w:div>
            <w:div w:id="955213409">
              <w:marLeft w:val="0"/>
              <w:marRight w:val="0"/>
              <w:marTop w:val="0"/>
              <w:marBottom w:val="0"/>
              <w:divBdr>
                <w:top w:val="none" w:sz="0" w:space="0" w:color="auto"/>
                <w:left w:val="none" w:sz="0" w:space="0" w:color="auto"/>
                <w:bottom w:val="none" w:sz="0" w:space="0" w:color="auto"/>
                <w:right w:val="none" w:sz="0" w:space="0" w:color="auto"/>
              </w:divBdr>
              <w:divsChild>
                <w:div w:id="1394886016">
                  <w:marLeft w:val="0"/>
                  <w:marRight w:val="0"/>
                  <w:marTop w:val="0"/>
                  <w:marBottom w:val="0"/>
                  <w:divBdr>
                    <w:top w:val="none" w:sz="0" w:space="0" w:color="auto"/>
                    <w:left w:val="none" w:sz="0" w:space="0" w:color="auto"/>
                    <w:bottom w:val="none" w:sz="0" w:space="0" w:color="auto"/>
                    <w:right w:val="none" w:sz="0" w:space="0" w:color="auto"/>
                  </w:divBdr>
                </w:div>
                <w:div w:id="1323391404">
                  <w:marLeft w:val="0"/>
                  <w:marRight w:val="0"/>
                  <w:marTop w:val="0"/>
                  <w:marBottom w:val="0"/>
                  <w:divBdr>
                    <w:top w:val="none" w:sz="0" w:space="0" w:color="auto"/>
                    <w:left w:val="none" w:sz="0" w:space="0" w:color="auto"/>
                    <w:bottom w:val="none" w:sz="0" w:space="0" w:color="auto"/>
                    <w:right w:val="none" w:sz="0" w:space="0" w:color="auto"/>
                  </w:divBdr>
                </w:div>
              </w:divsChild>
            </w:div>
            <w:div w:id="1193422101">
              <w:marLeft w:val="0"/>
              <w:marRight w:val="0"/>
              <w:marTop w:val="0"/>
              <w:marBottom w:val="0"/>
              <w:divBdr>
                <w:top w:val="none" w:sz="0" w:space="0" w:color="auto"/>
                <w:left w:val="none" w:sz="0" w:space="0" w:color="auto"/>
                <w:bottom w:val="none" w:sz="0" w:space="0" w:color="auto"/>
                <w:right w:val="none" w:sz="0" w:space="0" w:color="auto"/>
              </w:divBdr>
              <w:divsChild>
                <w:div w:id="1116757914">
                  <w:marLeft w:val="0"/>
                  <w:marRight w:val="0"/>
                  <w:marTop w:val="0"/>
                  <w:marBottom w:val="0"/>
                  <w:divBdr>
                    <w:top w:val="none" w:sz="0" w:space="0" w:color="auto"/>
                    <w:left w:val="none" w:sz="0" w:space="0" w:color="auto"/>
                    <w:bottom w:val="none" w:sz="0" w:space="0" w:color="auto"/>
                    <w:right w:val="none" w:sz="0" w:space="0" w:color="auto"/>
                  </w:divBdr>
                </w:div>
              </w:divsChild>
            </w:div>
            <w:div w:id="346178254">
              <w:marLeft w:val="0"/>
              <w:marRight w:val="0"/>
              <w:marTop w:val="0"/>
              <w:marBottom w:val="0"/>
              <w:divBdr>
                <w:top w:val="none" w:sz="0" w:space="0" w:color="auto"/>
                <w:left w:val="none" w:sz="0" w:space="0" w:color="auto"/>
                <w:bottom w:val="none" w:sz="0" w:space="0" w:color="auto"/>
                <w:right w:val="none" w:sz="0" w:space="0" w:color="auto"/>
              </w:divBdr>
              <w:divsChild>
                <w:div w:id="287325699">
                  <w:marLeft w:val="0"/>
                  <w:marRight w:val="0"/>
                  <w:marTop w:val="0"/>
                  <w:marBottom w:val="0"/>
                  <w:divBdr>
                    <w:top w:val="none" w:sz="0" w:space="0" w:color="auto"/>
                    <w:left w:val="none" w:sz="0" w:space="0" w:color="auto"/>
                    <w:bottom w:val="none" w:sz="0" w:space="0" w:color="auto"/>
                    <w:right w:val="none" w:sz="0" w:space="0" w:color="auto"/>
                  </w:divBdr>
                </w:div>
              </w:divsChild>
            </w:div>
            <w:div w:id="1339424986">
              <w:marLeft w:val="0"/>
              <w:marRight w:val="0"/>
              <w:marTop w:val="0"/>
              <w:marBottom w:val="0"/>
              <w:divBdr>
                <w:top w:val="none" w:sz="0" w:space="0" w:color="auto"/>
                <w:left w:val="none" w:sz="0" w:space="0" w:color="auto"/>
                <w:bottom w:val="none" w:sz="0" w:space="0" w:color="auto"/>
                <w:right w:val="none" w:sz="0" w:space="0" w:color="auto"/>
              </w:divBdr>
              <w:divsChild>
                <w:div w:id="1919824501">
                  <w:marLeft w:val="0"/>
                  <w:marRight w:val="0"/>
                  <w:marTop w:val="0"/>
                  <w:marBottom w:val="0"/>
                  <w:divBdr>
                    <w:top w:val="none" w:sz="0" w:space="0" w:color="auto"/>
                    <w:left w:val="none" w:sz="0" w:space="0" w:color="auto"/>
                    <w:bottom w:val="none" w:sz="0" w:space="0" w:color="auto"/>
                    <w:right w:val="none" w:sz="0" w:space="0" w:color="auto"/>
                  </w:divBdr>
                </w:div>
              </w:divsChild>
            </w:div>
            <w:div w:id="1679044406">
              <w:marLeft w:val="0"/>
              <w:marRight w:val="0"/>
              <w:marTop w:val="0"/>
              <w:marBottom w:val="0"/>
              <w:divBdr>
                <w:top w:val="none" w:sz="0" w:space="0" w:color="auto"/>
                <w:left w:val="none" w:sz="0" w:space="0" w:color="auto"/>
                <w:bottom w:val="none" w:sz="0" w:space="0" w:color="auto"/>
                <w:right w:val="none" w:sz="0" w:space="0" w:color="auto"/>
              </w:divBdr>
              <w:divsChild>
                <w:div w:id="949555384">
                  <w:marLeft w:val="0"/>
                  <w:marRight w:val="0"/>
                  <w:marTop w:val="0"/>
                  <w:marBottom w:val="0"/>
                  <w:divBdr>
                    <w:top w:val="none" w:sz="0" w:space="0" w:color="auto"/>
                    <w:left w:val="none" w:sz="0" w:space="0" w:color="auto"/>
                    <w:bottom w:val="none" w:sz="0" w:space="0" w:color="auto"/>
                    <w:right w:val="none" w:sz="0" w:space="0" w:color="auto"/>
                  </w:divBdr>
                </w:div>
              </w:divsChild>
            </w:div>
            <w:div w:id="877159944">
              <w:marLeft w:val="0"/>
              <w:marRight w:val="0"/>
              <w:marTop w:val="0"/>
              <w:marBottom w:val="0"/>
              <w:divBdr>
                <w:top w:val="none" w:sz="0" w:space="0" w:color="auto"/>
                <w:left w:val="none" w:sz="0" w:space="0" w:color="auto"/>
                <w:bottom w:val="none" w:sz="0" w:space="0" w:color="auto"/>
                <w:right w:val="none" w:sz="0" w:space="0" w:color="auto"/>
              </w:divBdr>
              <w:divsChild>
                <w:div w:id="957224945">
                  <w:marLeft w:val="0"/>
                  <w:marRight w:val="0"/>
                  <w:marTop w:val="0"/>
                  <w:marBottom w:val="0"/>
                  <w:divBdr>
                    <w:top w:val="none" w:sz="0" w:space="0" w:color="auto"/>
                    <w:left w:val="none" w:sz="0" w:space="0" w:color="auto"/>
                    <w:bottom w:val="none" w:sz="0" w:space="0" w:color="auto"/>
                    <w:right w:val="none" w:sz="0" w:space="0" w:color="auto"/>
                  </w:divBdr>
                </w:div>
                <w:div w:id="2071462393">
                  <w:marLeft w:val="0"/>
                  <w:marRight w:val="0"/>
                  <w:marTop w:val="0"/>
                  <w:marBottom w:val="0"/>
                  <w:divBdr>
                    <w:top w:val="none" w:sz="0" w:space="0" w:color="auto"/>
                    <w:left w:val="none" w:sz="0" w:space="0" w:color="auto"/>
                    <w:bottom w:val="none" w:sz="0" w:space="0" w:color="auto"/>
                    <w:right w:val="none" w:sz="0" w:space="0" w:color="auto"/>
                  </w:divBdr>
                </w:div>
              </w:divsChild>
            </w:div>
            <w:div w:id="1677607136">
              <w:marLeft w:val="0"/>
              <w:marRight w:val="0"/>
              <w:marTop w:val="0"/>
              <w:marBottom w:val="0"/>
              <w:divBdr>
                <w:top w:val="none" w:sz="0" w:space="0" w:color="auto"/>
                <w:left w:val="none" w:sz="0" w:space="0" w:color="auto"/>
                <w:bottom w:val="none" w:sz="0" w:space="0" w:color="auto"/>
                <w:right w:val="none" w:sz="0" w:space="0" w:color="auto"/>
              </w:divBdr>
              <w:divsChild>
                <w:div w:id="1877232431">
                  <w:marLeft w:val="0"/>
                  <w:marRight w:val="0"/>
                  <w:marTop w:val="0"/>
                  <w:marBottom w:val="0"/>
                  <w:divBdr>
                    <w:top w:val="none" w:sz="0" w:space="0" w:color="auto"/>
                    <w:left w:val="none" w:sz="0" w:space="0" w:color="auto"/>
                    <w:bottom w:val="none" w:sz="0" w:space="0" w:color="auto"/>
                    <w:right w:val="none" w:sz="0" w:space="0" w:color="auto"/>
                  </w:divBdr>
                </w:div>
              </w:divsChild>
            </w:div>
            <w:div w:id="149029945">
              <w:marLeft w:val="0"/>
              <w:marRight w:val="0"/>
              <w:marTop w:val="0"/>
              <w:marBottom w:val="0"/>
              <w:divBdr>
                <w:top w:val="none" w:sz="0" w:space="0" w:color="auto"/>
                <w:left w:val="none" w:sz="0" w:space="0" w:color="auto"/>
                <w:bottom w:val="none" w:sz="0" w:space="0" w:color="auto"/>
                <w:right w:val="none" w:sz="0" w:space="0" w:color="auto"/>
              </w:divBdr>
              <w:divsChild>
                <w:div w:id="1675498648">
                  <w:marLeft w:val="0"/>
                  <w:marRight w:val="0"/>
                  <w:marTop w:val="0"/>
                  <w:marBottom w:val="0"/>
                  <w:divBdr>
                    <w:top w:val="none" w:sz="0" w:space="0" w:color="auto"/>
                    <w:left w:val="none" w:sz="0" w:space="0" w:color="auto"/>
                    <w:bottom w:val="none" w:sz="0" w:space="0" w:color="auto"/>
                    <w:right w:val="none" w:sz="0" w:space="0" w:color="auto"/>
                  </w:divBdr>
                </w:div>
              </w:divsChild>
            </w:div>
            <w:div w:id="1136139250">
              <w:marLeft w:val="0"/>
              <w:marRight w:val="0"/>
              <w:marTop w:val="0"/>
              <w:marBottom w:val="0"/>
              <w:divBdr>
                <w:top w:val="none" w:sz="0" w:space="0" w:color="auto"/>
                <w:left w:val="none" w:sz="0" w:space="0" w:color="auto"/>
                <w:bottom w:val="none" w:sz="0" w:space="0" w:color="auto"/>
                <w:right w:val="none" w:sz="0" w:space="0" w:color="auto"/>
              </w:divBdr>
              <w:divsChild>
                <w:div w:id="2063359024">
                  <w:marLeft w:val="0"/>
                  <w:marRight w:val="0"/>
                  <w:marTop w:val="0"/>
                  <w:marBottom w:val="0"/>
                  <w:divBdr>
                    <w:top w:val="none" w:sz="0" w:space="0" w:color="auto"/>
                    <w:left w:val="none" w:sz="0" w:space="0" w:color="auto"/>
                    <w:bottom w:val="none" w:sz="0" w:space="0" w:color="auto"/>
                    <w:right w:val="none" w:sz="0" w:space="0" w:color="auto"/>
                  </w:divBdr>
                </w:div>
              </w:divsChild>
            </w:div>
            <w:div w:id="500464124">
              <w:marLeft w:val="0"/>
              <w:marRight w:val="0"/>
              <w:marTop w:val="0"/>
              <w:marBottom w:val="0"/>
              <w:divBdr>
                <w:top w:val="none" w:sz="0" w:space="0" w:color="auto"/>
                <w:left w:val="none" w:sz="0" w:space="0" w:color="auto"/>
                <w:bottom w:val="none" w:sz="0" w:space="0" w:color="auto"/>
                <w:right w:val="none" w:sz="0" w:space="0" w:color="auto"/>
              </w:divBdr>
              <w:divsChild>
                <w:div w:id="345980299">
                  <w:marLeft w:val="0"/>
                  <w:marRight w:val="0"/>
                  <w:marTop w:val="0"/>
                  <w:marBottom w:val="0"/>
                  <w:divBdr>
                    <w:top w:val="none" w:sz="0" w:space="0" w:color="auto"/>
                    <w:left w:val="none" w:sz="0" w:space="0" w:color="auto"/>
                    <w:bottom w:val="none" w:sz="0" w:space="0" w:color="auto"/>
                    <w:right w:val="none" w:sz="0" w:space="0" w:color="auto"/>
                  </w:divBdr>
                </w:div>
              </w:divsChild>
            </w:div>
            <w:div w:id="935211367">
              <w:marLeft w:val="0"/>
              <w:marRight w:val="0"/>
              <w:marTop w:val="0"/>
              <w:marBottom w:val="0"/>
              <w:divBdr>
                <w:top w:val="none" w:sz="0" w:space="0" w:color="auto"/>
                <w:left w:val="none" w:sz="0" w:space="0" w:color="auto"/>
                <w:bottom w:val="none" w:sz="0" w:space="0" w:color="auto"/>
                <w:right w:val="none" w:sz="0" w:space="0" w:color="auto"/>
              </w:divBdr>
              <w:divsChild>
                <w:div w:id="1921208153">
                  <w:marLeft w:val="0"/>
                  <w:marRight w:val="0"/>
                  <w:marTop w:val="0"/>
                  <w:marBottom w:val="0"/>
                  <w:divBdr>
                    <w:top w:val="none" w:sz="0" w:space="0" w:color="auto"/>
                    <w:left w:val="none" w:sz="0" w:space="0" w:color="auto"/>
                    <w:bottom w:val="none" w:sz="0" w:space="0" w:color="auto"/>
                    <w:right w:val="none" w:sz="0" w:space="0" w:color="auto"/>
                  </w:divBdr>
                </w:div>
              </w:divsChild>
            </w:div>
            <w:div w:id="990448072">
              <w:marLeft w:val="0"/>
              <w:marRight w:val="0"/>
              <w:marTop w:val="0"/>
              <w:marBottom w:val="0"/>
              <w:divBdr>
                <w:top w:val="none" w:sz="0" w:space="0" w:color="auto"/>
                <w:left w:val="none" w:sz="0" w:space="0" w:color="auto"/>
                <w:bottom w:val="none" w:sz="0" w:space="0" w:color="auto"/>
                <w:right w:val="none" w:sz="0" w:space="0" w:color="auto"/>
              </w:divBdr>
              <w:divsChild>
                <w:div w:id="1651247273">
                  <w:marLeft w:val="0"/>
                  <w:marRight w:val="0"/>
                  <w:marTop w:val="0"/>
                  <w:marBottom w:val="0"/>
                  <w:divBdr>
                    <w:top w:val="none" w:sz="0" w:space="0" w:color="auto"/>
                    <w:left w:val="none" w:sz="0" w:space="0" w:color="auto"/>
                    <w:bottom w:val="none" w:sz="0" w:space="0" w:color="auto"/>
                    <w:right w:val="none" w:sz="0" w:space="0" w:color="auto"/>
                  </w:divBdr>
                </w:div>
              </w:divsChild>
            </w:div>
            <w:div w:id="713114097">
              <w:marLeft w:val="0"/>
              <w:marRight w:val="0"/>
              <w:marTop w:val="0"/>
              <w:marBottom w:val="0"/>
              <w:divBdr>
                <w:top w:val="none" w:sz="0" w:space="0" w:color="auto"/>
                <w:left w:val="none" w:sz="0" w:space="0" w:color="auto"/>
                <w:bottom w:val="none" w:sz="0" w:space="0" w:color="auto"/>
                <w:right w:val="none" w:sz="0" w:space="0" w:color="auto"/>
              </w:divBdr>
              <w:divsChild>
                <w:div w:id="1450660427">
                  <w:marLeft w:val="0"/>
                  <w:marRight w:val="0"/>
                  <w:marTop w:val="0"/>
                  <w:marBottom w:val="0"/>
                  <w:divBdr>
                    <w:top w:val="none" w:sz="0" w:space="0" w:color="auto"/>
                    <w:left w:val="none" w:sz="0" w:space="0" w:color="auto"/>
                    <w:bottom w:val="none" w:sz="0" w:space="0" w:color="auto"/>
                    <w:right w:val="none" w:sz="0" w:space="0" w:color="auto"/>
                  </w:divBdr>
                </w:div>
              </w:divsChild>
            </w:div>
            <w:div w:id="891620753">
              <w:marLeft w:val="0"/>
              <w:marRight w:val="0"/>
              <w:marTop w:val="0"/>
              <w:marBottom w:val="0"/>
              <w:divBdr>
                <w:top w:val="none" w:sz="0" w:space="0" w:color="auto"/>
                <w:left w:val="none" w:sz="0" w:space="0" w:color="auto"/>
                <w:bottom w:val="none" w:sz="0" w:space="0" w:color="auto"/>
                <w:right w:val="none" w:sz="0" w:space="0" w:color="auto"/>
              </w:divBdr>
              <w:divsChild>
                <w:div w:id="1323893558">
                  <w:marLeft w:val="0"/>
                  <w:marRight w:val="0"/>
                  <w:marTop w:val="0"/>
                  <w:marBottom w:val="0"/>
                  <w:divBdr>
                    <w:top w:val="none" w:sz="0" w:space="0" w:color="auto"/>
                    <w:left w:val="none" w:sz="0" w:space="0" w:color="auto"/>
                    <w:bottom w:val="none" w:sz="0" w:space="0" w:color="auto"/>
                    <w:right w:val="none" w:sz="0" w:space="0" w:color="auto"/>
                  </w:divBdr>
                </w:div>
              </w:divsChild>
            </w:div>
            <w:div w:id="287005902">
              <w:marLeft w:val="0"/>
              <w:marRight w:val="0"/>
              <w:marTop w:val="0"/>
              <w:marBottom w:val="0"/>
              <w:divBdr>
                <w:top w:val="none" w:sz="0" w:space="0" w:color="auto"/>
                <w:left w:val="none" w:sz="0" w:space="0" w:color="auto"/>
                <w:bottom w:val="none" w:sz="0" w:space="0" w:color="auto"/>
                <w:right w:val="none" w:sz="0" w:space="0" w:color="auto"/>
              </w:divBdr>
              <w:divsChild>
                <w:div w:id="265891760">
                  <w:marLeft w:val="0"/>
                  <w:marRight w:val="0"/>
                  <w:marTop w:val="0"/>
                  <w:marBottom w:val="0"/>
                  <w:divBdr>
                    <w:top w:val="none" w:sz="0" w:space="0" w:color="auto"/>
                    <w:left w:val="none" w:sz="0" w:space="0" w:color="auto"/>
                    <w:bottom w:val="none" w:sz="0" w:space="0" w:color="auto"/>
                    <w:right w:val="none" w:sz="0" w:space="0" w:color="auto"/>
                  </w:divBdr>
                </w:div>
              </w:divsChild>
            </w:div>
            <w:div w:id="1569195887">
              <w:marLeft w:val="0"/>
              <w:marRight w:val="0"/>
              <w:marTop w:val="0"/>
              <w:marBottom w:val="0"/>
              <w:divBdr>
                <w:top w:val="none" w:sz="0" w:space="0" w:color="auto"/>
                <w:left w:val="none" w:sz="0" w:space="0" w:color="auto"/>
                <w:bottom w:val="none" w:sz="0" w:space="0" w:color="auto"/>
                <w:right w:val="none" w:sz="0" w:space="0" w:color="auto"/>
              </w:divBdr>
              <w:divsChild>
                <w:div w:id="1542747493">
                  <w:marLeft w:val="0"/>
                  <w:marRight w:val="0"/>
                  <w:marTop w:val="0"/>
                  <w:marBottom w:val="0"/>
                  <w:divBdr>
                    <w:top w:val="none" w:sz="0" w:space="0" w:color="auto"/>
                    <w:left w:val="none" w:sz="0" w:space="0" w:color="auto"/>
                    <w:bottom w:val="none" w:sz="0" w:space="0" w:color="auto"/>
                    <w:right w:val="none" w:sz="0" w:space="0" w:color="auto"/>
                  </w:divBdr>
                </w:div>
              </w:divsChild>
            </w:div>
            <w:div w:id="1233665428">
              <w:marLeft w:val="0"/>
              <w:marRight w:val="0"/>
              <w:marTop w:val="0"/>
              <w:marBottom w:val="0"/>
              <w:divBdr>
                <w:top w:val="none" w:sz="0" w:space="0" w:color="auto"/>
                <w:left w:val="none" w:sz="0" w:space="0" w:color="auto"/>
                <w:bottom w:val="none" w:sz="0" w:space="0" w:color="auto"/>
                <w:right w:val="none" w:sz="0" w:space="0" w:color="auto"/>
              </w:divBdr>
              <w:divsChild>
                <w:div w:id="1036924703">
                  <w:marLeft w:val="0"/>
                  <w:marRight w:val="0"/>
                  <w:marTop w:val="0"/>
                  <w:marBottom w:val="0"/>
                  <w:divBdr>
                    <w:top w:val="none" w:sz="0" w:space="0" w:color="auto"/>
                    <w:left w:val="none" w:sz="0" w:space="0" w:color="auto"/>
                    <w:bottom w:val="none" w:sz="0" w:space="0" w:color="auto"/>
                    <w:right w:val="none" w:sz="0" w:space="0" w:color="auto"/>
                  </w:divBdr>
                </w:div>
              </w:divsChild>
            </w:div>
            <w:div w:id="149101159">
              <w:marLeft w:val="0"/>
              <w:marRight w:val="0"/>
              <w:marTop w:val="0"/>
              <w:marBottom w:val="0"/>
              <w:divBdr>
                <w:top w:val="none" w:sz="0" w:space="0" w:color="auto"/>
                <w:left w:val="none" w:sz="0" w:space="0" w:color="auto"/>
                <w:bottom w:val="none" w:sz="0" w:space="0" w:color="auto"/>
                <w:right w:val="none" w:sz="0" w:space="0" w:color="auto"/>
              </w:divBdr>
              <w:divsChild>
                <w:div w:id="2012445571">
                  <w:marLeft w:val="0"/>
                  <w:marRight w:val="0"/>
                  <w:marTop w:val="0"/>
                  <w:marBottom w:val="0"/>
                  <w:divBdr>
                    <w:top w:val="none" w:sz="0" w:space="0" w:color="auto"/>
                    <w:left w:val="none" w:sz="0" w:space="0" w:color="auto"/>
                    <w:bottom w:val="none" w:sz="0" w:space="0" w:color="auto"/>
                    <w:right w:val="none" w:sz="0" w:space="0" w:color="auto"/>
                  </w:divBdr>
                </w:div>
              </w:divsChild>
            </w:div>
            <w:div w:id="91317737">
              <w:marLeft w:val="0"/>
              <w:marRight w:val="0"/>
              <w:marTop w:val="0"/>
              <w:marBottom w:val="0"/>
              <w:divBdr>
                <w:top w:val="none" w:sz="0" w:space="0" w:color="auto"/>
                <w:left w:val="none" w:sz="0" w:space="0" w:color="auto"/>
                <w:bottom w:val="none" w:sz="0" w:space="0" w:color="auto"/>
                <w:right w:val="none" w:sz="0" w:space="0" w:color="auto"/>
              </w:divBdr>
              <w:divsChild>
                <w:div w:id="1757745497">
                  <w:marLeft w:val="0"/>
                  <w:marRight w:val="0"/>
                  <w:marTop w:val="0"/>
                  <w:marBottom w:val="0"/>
                  <w:divBdr>
                    <w:top w:val="none" w:sz="0" w:space="0" w:color="auto"/>
                    <w:left w:val="none" w:sz="0" w:space="0" w:color="auto"/>
                    <w:bottom w:val="none" w:sz="0" w:space="0" w:color="auto"/>
                    <w:right w:val="none" w:sz="0" w:space="0" w:color="auto"/>
                  </w:divBdr>
                </w:div>
              </w:divsChild>
            </w:div>
            <w:div w:id="92094109">
              <w:marLeft w:val="0"/>
              <w:marRight w:val="0"/>
              <w:marTop w:val="0"/>
              <w:marBottom w:val="0"/>
              <w:divBdr>
                <w:top w:val="none" w:sz="0" w:space="0" w:color="auto"/>
                <w:left w:val="none" w:sz="0" w:space="0" w:color="auto"/>
                <w:bottom w:val="none" w:sz="0" w:space="0" w:color="auto"/>
                <w:right w:val="none" w:sz="0" w:space="0" w:color="auto"/>
              </w:divBdr>
              <w:divsChild>
                <w:div w:id="1388451101">
                  <w:marLeft w:val="0"/>
                  <w:marRight w:val="0"/>
                  <w:marTop w:val="0"/>
                  <w:marBottom w:val="0"/>
                  <w:divBdr>
                    <w:top w:val="none" w:sz="0" w:space="0" w:color="auto"/>
                    <w:left w:val="none" w:sz="0" w:space="0" w:color="auto"/>
                    <w:bottom w:val="none" w:sz="0" w:space="0" w:color="auto"/>
                    <w:right w:val="none" w:sz="0" w:space="0" w:color="auto"/>
                  </w:divBdr>
                </w:div>
              </w:divsChild>
            </w:div>
            <w:div w:id="2085181944">
              <w:marLeft w:val="0"/>
              <w:marRight w:val="0"/>
              <w:marTop w:val="0"/>
              <w:marBottom w:val="0"/>
              <w:divBdr>
                <w:top w:val="none" w:sz="0" w:space="0" w:color="auto"/>
                <w:left w:val="none" w:sz="0" w:space="0" w:color="auto"/>
                <w:bottom w:val="none" w:sz="0" w:space="0" w:color="auto"/>
                <w:right w:val="none" w:sz="0" w:space="0" w:color="auto"/>
              </w:divBdr>
              <w:divsChild>
                <w:div w:id="780688537">
                  <w:marLeft w:val="0"/>
                  <w:marRight w:val="0"/>
                  <w:marTop w:val="0"/>
                  <w:marBottom w:val="0"/>
                  <w:divBdr>
                    <w:top w:val="none" w:sz="0" w:space="0" w:color="auto"/>
                    <w:left w:val="none" w:sz="0" w:space="0" w:color="auto"/>
                    <w:bottom w:val="none" w:sz="0" w:space="0" w:color="auto"/>
                    <w:right w:val="none" w:sz="0" w:space="0" w:color="auto"/>
                  </w:divBdr>
                </w:div>
              </w:divsChild>
            </w:div>
            <w:div w:id="212087401">
              <w:marLeft w:val="0"/>
              <w:marRight w:val="0"/>
              <w:marTop w:val="0"/>
              <w:marBottom w:val="0"/>
              <w:divBdr>
                <w:top w:val="none" w:sz="0" w:space="0" w:color="auto"/>
                <w:left w:val="none" w:sz="0" w:space="0" w:color="auto"/>
                <w:bottom w:val="none" w:sz="0" w:space="0" w:color="auto"/>
                <w:right w:val="none" w:sz="0" w:space="0" w:color="auto"/>
              </w:divBdr>
              <w:divsChild>
                <w:div w:id="776944244">
                  <w:marLeft w:val="0"/>
                  <w:marRight w:val="0"/>
                  <w:marTop w:val="0"/>
                  <w:marBottom w:val="0"/>
                  <w:divBdr>
                    <w:top w:val="none" w:sz="0" w:space="0" w:color="auto"/>
                    <w:left w:val="none" w:sz="0" w:space="0" w:color="auto"/>
                    <w:bottom w:val="none" w:sz="0" w:space="0" w:color="auto"/>
                    <w:right w:val="none" w:sz="0" w:space="0" w:color="auto"/>
                  </w:divBdr>
                </w:div>
              </w:divsChild>
            </w:div>
            <w:div w:id="1665015707">
              <w:marLeft w:val="0"/>
              <w:marRight w:val="0"/>
              <w:marTop w:val="0"/>
              <w:marBottom w:val="0"/>
              <w:divBdr>
                <w:top w:val="none" w:sz="0" w:space="0" w:color="auto"/>
                <w:left w:val="none" w:sz="0" w:space="0" w:color="auto"/>
                <w:bottom w:val="none" w:sz="0" w:space="0" w:color="auto"/>
                <w:right w:val="none" w:sz="0" w:space="0" w:color="auto"/>
              </w:divBdr>
              <w:divsChild>
                <w:div w:id="1780101653">
                  <w:marLeft w:val="0"/>
                  <w:marRight w:val="0"/>
                  <w:marTop w:val="0"/>
                  <w:marBottom w:val="0"/>
                  <w:divBdr>
                    <w:top w:val="none" w:sz="0" w:space="0" w:color="auto"/>
                    <w:left w:val="none" w:sz="0" w:space="0" w:color="auto"/>
                    <w:bottom w:val="none" w:sz="0" w:space="0" w:color="auto"/>
                    <w:right w:val="none" w:sz="0" w:space="0" w:color="auto"/>
                  </w:divBdr>
                </w:div>
              </w:divsChild>
            </w:div>
            <w:div w:id="330641371">
              <w:marLeft w:val="0"/>
              <w:marRight w:val="0"/>
              <w:marTop w:val="0"/>
              <w:marBottom w:val="0"/>
              <w:divBdr>
                <w:top w:val="none" w:sz="0" w:space="0" w:color="auto"/>
                <w:left w:val="none" w:sz="0" w:space="0" w:color="auto"/>
                <w:bottom w:val="none" w:sz="0" w:space="0" w:color="auto"/>
                <w:right w:val="none" w:sz="0" w:space="0" w:color="auto"/>
              </w:divBdr>
              <w:divsChild>
                <w:div w:id="339310327">
                  <w:marLeft w:val="0"/>
                  <w:marRight w:val="0"/>
                  <w:marTop w:val="0"/>
                  <w:marBottom w:val="0"/>
                  <w:divBdr>
                    <w:top w:val="none" w:sz="0" w:space="0" w:color="auto"/>
                    <w:left w:val="none" w:sz="0" w:space="0" w:color="auto"/>
                    <w:bottom w:val="none" w:sz="0" w:space="0" w:color="auto"/>
                    <w:right w:val="none" w:sz="0" w:space="0" w:color="auto"/>
                  </w:divBdr>
                </w:div>
              </w:divsChild>
            </w:div>
            <w:div w:id="1098404459">
              <w:marLeft w:val="0"/>
              <w:marRight w:val="0"/>
              <w:marTop w:val="0"/>
              <w:marBottom w:val="0"/>
              <w:divBdr>
                <w:top w:val="none" w:sz="0" w:space="0" w:color="auto"/>
                <w:left w:val="none" w:sz="0" w:space="0" w:color="auto"/>
                <w:bottom w:val="none" w:sz="0" w:space="0" w:color="auto"/>
                <w:right w:val="none" w:sz="0" w:space="0" w:color="auto"/>
              </w:divBdr>
              <w:divsChild>
                <w:div w:id="1892771028">
                  <w:marLeft w:val="0"/>
                  <w:marRight w:val="0"/>
                  <w:marTop w:val="0"/>
                  <w:marBottom w:val="0"/>
                  <w:divBdr>
                    <w:top w:val="none" w:sz="0" w:space="0" w:color="auto"/>
                    <w:left w:val="none" w:sz="0" w:space="0" w:color="auto"/>
                    <w:bottom w:val="none" w:sz="0" w:space="0" w:color="auto"/>
                    <w:right w:val="none" w:sz="0" w:space="0" w:color="auto"/>
                  </w:divBdr>
                </w:div>
              </w:divsChild>
            </w:div>
            <w:div w:id="425540611">
              <w:marLeft w:val="0"/>
              <w:marRight w:val="0"/>
              <w:marTop w:val="0"/>
              <w:marBottom w:val="0"/>
              <w:divBdr>
                <w:top w:val="none" w:sz="0" w:space="0" w:color="auto"/>
                <w:left w:val="none" w:sz="0" w:space="0" w:color="auto"/>
                <w:bottom w:val="none" w:sz="0" w:space="0" w:color="auto"/>
                <w:right w:val="none" w:sz="0" w:space="0" w:color="auto"/>
              </w:divBdr>
              <w:divsChild>
                <w:div w:id="75396081">
                  <w:marLeft w:val="0"/>
                  <w:marRight w:val="0"/>
                  <w:marTop w:val="0"/>
                  <w:marBottom w:val="0"/>
                  <w:divBdr>
                    <w:top w:val="none" w:sz="0" w:space="0" w:color="auto"/>
                    <w:left w:val="none" w:sz="0" w:space="0" w:color="auto"/>
                    <w:bottom w:val="none" w:sz="0" w:space="0" w:color="auto"/>
                    <w:right w:val="none" w:sz="0" w:space="0" w:color="auto"/>
                  </w:divBdr>
                </w:div>
              </w:divsChild>
            </w:div>
            <w:div w:id="1497039554">
              <w:marLeft w:val="0"/>
              <w:marRight w:val="0"/>
              <w:marTop w:val="0"/>
              <w:marBottom w:val="0"/>
              <w:divBdr>
                <w:top w:val="none" w:sz="0" w:space="0" w:color="auto"/>
                <w:left w:val="none" w:sz="0" w:space="0" w:color="auto"/>
                <w:bottom w:val="none" w:sz="0" w:space="0" w:color="auto"/>
                <w:right w:val="none" w:sz="0" w:space="0" w:color="auto"/>
              </w:divBdr>
              <w:divsChild>
                <w:div w:id="1612930994">
                  <w:marLeft w:val="0"/>
                  <w:marRight w:val="0"/>
                  <w:marTop w:val="0"/>
                  <w:marBottom w:val="0"/>
                  <w:divBdr>
                    <w:top w:val="none" w:sz="0" w:space="0" w:color="auto"/>
                    <w:left w:val="none" w:sz="0" w:space="0" w:color="auto"/>
                    <w:bottom w:val="none" w:sz="0" w:space="0" w:color="auto"/>
                    <w:right w:val="none" w:sz="0" w:space="0" w:color="auto"/>
                  </w:divBdr>
                </w:div>
              </w:divsChild>
            </w:div>
            <w:div w:id="793518593">
              <w:marLeft w:val="0"/>
              <w:marRight w:val="0"/>
              <w:marTop w:val="0"/>
              <w:marBottom w:val="0"/>
              <w:divBdr>
                <w:top w:val="none" w:sz="0" w:space="0" w:color="auto"/>
                <w:left w:val="none" w:sz="0" w:space="0" w:color="auto"/>
                <w:bottom w:val="none" w:sz="0" w:space="0" w:color="auto"/>
                <w:right w:val="none" w:sz="0" w:space="0" w:color="auto"/>
              </w:divBdr>
              <w:divsChild>
                <w:div w:id="1590430925">
                  <w:marLeft w:val="0"/>
                  <w:marRight w:val="0"/>
                  <w:marTop w:val="0"/>
                  <w:marBottom w:val="0"/>
                  <w:divBdr>
                    <w:top w:val="none" w:sz="0" w:space="0" w:color="auto"/>
                    <w:left w:val="none" w:sz="0" w:space="0" w:color="auto"/>
                    <w:bottom w:val="none" w:sz="0" w:space="0" w:color="auto"/>
                    <w:right w:val="none" w:sz="0" w:space="0" w:color="auto"/>
                  </w:divBdr>
                </w:div>
              </w:divsChild>
            </w:div>
            <w:div w:id="756906609">
              <w:marLeft w:val="0"/>
              <w:marRight w:val="0"/>
              <w:marTop w:val="0"/>
              <w:marBottom w:val="0"/>
              <w:divBdr>
                <w:top w:val="none" w:sz="0" w:space="0" w:color="auto"/>
                <w:left w:val="none" w:sz="0" w:space="0" w:color="auto"/>
                <w:bottom w:val="none" w:sz="0" w:space="0" w:color="auto"/>
                <w:right w:val="none" w:sz="0" w:space="0" w:color="auto"/>
              </w:divBdr>
              <w:divsChild>
                <w:div w:id="289557964">
                  <w:marLeft w:val="0"/>
                  <w:marRight w:val="0"/>
                  <w:marTop w:val="0"/>
                  <w:marBottom w:val="0"/>
                  <w:divBdr>
                    <w:top w:val="none" w:sz="0" w:space="0" w:color="auto"/>
                    <w:left w:val="none" w:sz="0" w:space="0" w:color="auto"/>
                    <w:bottom w:val="none" w:sz="0" w:space="0" w:color="auto"/>
                    <w:right w:val="none" w:sz="0" w:space="0" w:color="auto"/>
                  </w:divBdr>
                </w:div>
              </w:divsChild>
            </w:div>
            <w:div w:id="1495953200">
              <w:marLeft w:val="0"/>
              <w:marRight w:val="0"/>
              <w:marTop w:val="0"/>
              <w:marBottom w:val="0"/>
              <w:divBdr>
                <w:top w:val="none" w:sz="0" w:space="0" w:color="auto"/>
                <w:left w:val="none" w:sz="0" w:space="0" w:color="auto"/>
                <w:bottom w:val="none" w:sz="0" w:space="0" w:color="auto"/>
                <w:right w:val="none" w:sz="0" w:space="0" w:color="auto"/>
              </w:divBdr>
              <w:divsChild>
                <w:div w:id="1885018363">
                  <w:marLeft w:val="0"/>
                  <w:marRight w:val="0"/>
                  <w:marTop w:val="0"/>
                  <w:marBottom w:val="0"/>
                  <w:divBdr>
                    <w:top w:val="none" w:sz="0" w:space="0" w:color="auto"/>
                    <w:left w:val="none" w:sz="0" w:space="0" w:color="auto"/>
                    <w:bottom w:val="none" w:sz="0" w:space="0" w:color="auto"/>
                    <w:right w:val="none" w:sz="0" w:space="0" w:color="auto"/>
                  </w:divBdr>
                </w:div>
              </w:divsChild>
            </w:div>
            <w:div w:id="1833250558">
              <w:marLeft w:val="0"/>
              <w:marRight w:val="0"/>
              <w:marTop w:val="0"/>
              <w:marBottom w:val="0"/>
              <w:divBdr>
                <w:top w:val="none" w:sz="0" w:space="0" w:color="auto"/>
                <w:left w:val="none" w:sz="0" w:space="0" w:color="auto"/>
                <w:bottom w:val="none" w:sz="0" w:space="0" w:color="auto"/>
                <w:right w:val="none" w:sz="0" w:space="0" w:color="auto"/>
              </w:divBdr>
              <w:divsChild>
                <w:div w:id="532881843">
                  <w:marLeft w:val="0"/>
                  <w:marRight w:val="0"/>
                  <w:marTop w:val="0"/>
                  <w:marBottom w:val="0"/>
                  <w:divBdr>
                    <w:top w:val="none" w:sz="0" w:space="0" w:color="auto"/>
                    <w:left w:val="none" w:sz="0" w:space="0" w:color="auto"/>
                    <w:bottom w:val="none" w:sz="0" w:space="0" w:color="auto"/>
                    <w:right w:val="none" w:sz="0" w:space="0" w:color="auto"/>
                  </w:divBdr>
                </w:div>
              </w:divsChild>
            </w:div>
            <w:div w:id="913710046">
              <w:marLeft w:val="0"/>
              <w:marRight w:val="0"/>
              <w:marTop w:val="0"/>
              <w:marBottom w:val="0"/>
              <w:divBdr>
                <w:top w:val="none" w:sz="0" w:space="0" w:color="auto"/>
                <w:left w:val="none" w:sz="0" w:space="0" w:color="auto"/>
                <w:bottom w:val="none" w:sz="0" w:space="0" w:color="auto"/>
                <w:right w:val="none" w:sz="0" w:space="0" w:color="auto"/>
              </w:divBdr>
              <w:divsChild>
                <w:div w:id="1369255160">
                  <w:marLeft w:val="0"/>
                  <w:marRight w:val="0"/>
                  <w:marTop w:val="0"/>
                  <w:marBottom w:val="0"/>
                  <w:divBdr>
                    <w:top w:val="none" w:sz="0" w:space="0" w:color="auto"/>
                    <w:left w:val="none" w:sz="0" w:space="0" w:color="auto"/>
                    <w:bottom w:val="none" w:sz="0" w:space="0" w:color="auto"/>
                    <w:right w:val="none" w:sz="0" w:space="0" w:color="auto"/>
                  </w:divBdr>
                </w:div>
              </w:divsChild>
            </w:div>
            <w:div w:id="282426169">
              <w:marLeft w:val="0"/>
              <w:marRight w:val="0"/>
              <w:marTop w:val="0"/>
              <w:marBottom w:val="0"/>
              <w:divBdr>
                <w:top w:val="none" w:sz="0" w:space="0" w:color="auto"/>
                <w:left w:val="none" w:sz="0" w:space="0" w:color="auto"/>
                <w:bottom w:val="none" w:sz="0" w:space="0" w:color="auto"/>
                <w:right w:val="none" w:sz="0" w:space="0" w:color="auto"/>
              </w:divBdr>
              <w:divsChild>
                <w:div w:id="862480468">
                  <w:marLeft w:val="0"/>
                  <w:marRight w:val="0"/>
                  <w:marTop w:val="0"/>
                  <w:marBottom w:val="0"/>
                  <w:divBdr>
                    <w:top w:val="none" w:sz="0" w:space="0" w:color="auto"/>
                    <w:left w:val="none" w:sz="0" w:space="0" w:color="auto"/>
                    <w:bottom w:val="none" w:sz="0" w:space="0" w:color="auto"/>
                    <w:right w:val="none" w:sz="0" w:space="0" w:color="auto"/>
                  </w:divBdr>
                </w:div>
              </w:divsChild>
            </w:div>
            <w:div w:id="478348818">
              <w:marLeft w:val="0"/>
              <w:marRight w:val="0"/>
              <w:marTop w:val="0"/>
              <w:marBottom w:val="0"/>
              <w:divBdr>
                <w:top w:val="none" w:sz="0" w:space="0" w:color="auto"/>
                <w:left w:val="none" w:sz="0" w:space="0" w:color="auto"/>
                <w:bottom w:val="none" w:sz="0" w:space="0" w:color="auto"/>
                <w:right w:val="none" w:sz="0" w:space="0" w:color="auto"/>
              </w:divBdr>
              <w:divsChild>
                <w:div w:id="1859157121">
                  <w:marLeft w:val="0"/>
                  <w:marRight w:val="0"/>
                  <w:marTop w:val="0"/>
                  <w:marBottom w:val="0"/>
                  <w:divBdr>
                    <w:top w:val="none" w:sz="0" w:space="0" w:color="auto"/>
                    <w:left w:val="none" w:sz="0" w:space="0" w:color="auto"/>
                    <w:bottom w:val="none" w:sz="0" w:space="0" w:color="auto"/>
                    <w:right w:val="none" w:sz="0" w:space="0" w:color="auto"/>
                  </w:divBdr>
                </w:div>
              </w:divsChild>
            </w:div>
            <w:div w:id="1945072479">
              <w:marLeft w:val="0"/>
              <w:marRight w:val="0"/>
              <w:marTop w:val="0"/>
              <w:marBottom w:val="0"/>
              <w:divBdr>
                <w:top w:val="none" w:sz="0" w:space="0" w:color="auto"/>
                <w:left w:val="none" w:sz="0" w:space="0" w:color="auto"/>
                <w:bottom w:val="none" w:sz="0" w:space="0" w:color="auto"/>
                <w:right w:val="none" w:sz="0" w:space="0" w:color="auto"/>
              </w:divBdr>
              <w:divsChild>
                <w:div w:id="1660422211">
                  <w:marLeft w:val="0"/>
                  <w:marRight w:val="0"/>
                  <w:marTop w:val="0"/>
                  <w:marBottom w:val="0"/>
                  <w:divBdr>
                    <w:top w:val="none" w:sz="0" w:space="0" w:color="auto"/>
                    <w:left w:val="none" w:sz="0" w:space="0" w:color="auto"/>
                    <w:bottom w:val="none" w:sz="0" w:space="0" w:color="auto"/>
                    <w:right w:val="none" w:sz="0" w:space="0" w:color="auto"/>
                  </w:divBdr>
                </w:div>
              </w:divsChild>
            </w:div>
            <w:div w:id="986323636">
              <w:marLeft w:val="0"/>
              <w:marRight w:val="0"/>
              <w:marTop w:val="0"/>
              <w:marBottom w:val="0"/>
              <w:divBdr>
                <w:top w:val="none" w:sz="0" w:space="0" w:color="auto"/>
                <w:left w:val="none" w:sz="0" w:space="0" w:color="auto"/>
                <w:bottom w:val="none" w:sz="0" w:space="0" w:color="auto"/>
                <w:right w:val="none" w:sz="0" w:space="0" w:color="auto"/>
              </w:divBdr>
              <w:divsChild>
                <w:div w:id="76861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97910">
          <w:marLeft w:val="0"/>
          <w:marRight w:val="0"/>
          <w:marTop w:val="0"/>
          <w:marBottom w:val="0"/>
          <w:divBdr>
            <w:top w:val="none" w:sz="0" w:space="0" w:color="auto"/>
            <w:left w:val="none" w:sz="0" w:space="0" w:color="auto"/>
            <w:bottom w:val="none" w:sz="0" w:space="0" w:color="auto"/>
            <w:right w:val="none" w:sz="0" w:space="0" w:color="auto"/>
          </w:divBdr>
        </w:div>
        <w:div w:id="23597162">
          <w:marLeft w:val="0"/>
          <w:marRight w:val="0"/>
          <w:marTop w:val="0"/>
          <w:marBottom w:val="0"/>
          <w:divBdr>
            <w:top w:val="none" w:sz="0" w:space="0" w:color="auto"/>
            <w:left w:val="none" w:sz="0" w:space="0" w:color="auto"/>
            <w:bottom w:val="none" w:sz="0" w:space="0" w:color="auto"/>
            <w:right w:val="none" w:sz="0" w:space="0" w:color="auto"/>
          </w:divBdr>
        </w:div>
        <w:div w:id="1345398961">
          <w:marLeft w:val="0"/>
          <w:marRight w:val="0"/>
          <w:marTop w:val="0"/>
          <w:marBottom w:val="0"/>
          <w:divBdr>
            <w:top w:val="none" w:sz="0" w:space="0" w:color="auto"/>
            <w:left w:val="none" w:sz="0" w:space="0" w:color="auto"/>
            <w:bottom w:val="none" w:sz="0" w:space="0" w:color="auto"/>
            <w:right w:val="none" w:sz="0" w:space="0" w:color="auto"/>
          </w:divBdr>
        </w:div>
        <w:div w:id="780301960">
          <w:marLeft w:val="0"/>
          <w:marRight w:val="0"/>
          <w:marTop w:val="0"/>
          <w:marBottom w:val="0"/>
          <w:divBdr>
            <w:top w:val="none" w:sz="0" w:space="0" w:color="auto"/>
            <w:left w:val="none" w:sz="0" w:space="0" w:color="auto"/>
            <w:bottom w:val="none" w:sz="0" w:space="0" w:color="auto"/>
            <w:right w:val="none" w:sz="0" w:space="0" w:color="auto"/>
          </w:divBdr>
        </w:div>
        <w:div w:id="1025211891">
          <w:marLeft w:val="0"/>
          <w:marRight w:val="0"/>
          <w:marTop w:val="0"/>
          <w:marBottom w:val="0"/>
          <w:divBdr>
            <w:top w:val="none" w:sz="0" w:space="0" w:color="auto"/>
            <w:left w:val="none" w:sz="0" w:space="0" w:color="auto"/>
            <w:bottom w:val="none" w:sz="0" w:space="0" w:color="auto"/>
            <w:right w:val="none" w:sz="0" w:space="0" w:color="auto"/>
          </w:divBdr>
        </w:div>
        <w:div w:id="670914064">
          <w:marLeft w:val="0"/>
          <w:marRight w:val="0"/>
          <w:marTop w:val="0"/>
          <w:marBottom w:val="0"/>
          <w:divBdr>
            <w:top w:val="none" w:sz="0" w:space="0" w:color="auto"/>
            <w:left w:val="none" w:sz="0" w:space="0" w:color="auto"/>
            <w:bottom w:val="none" w:sz="0" w:space="0" w:color="auto"/>
            <w:right w:val="none" w:sz="0" w:space="0" w:color="auto"/>
          </w:divBdr>
        </w:div>
        <w:div w:id="1096053773">
          <w:marLeft w:val="0"/>
          <w:marRight w:val="0"/>
          <w:marTop w:val="0"/>
          <w:marBottom w:val="0"/>
          <w:divBdr>
            <w:top w:val="none" w:sz="0" w:space="0" w:color="auto"/>
            <w:left w:val="none" w:sz="0" w:space="0" w:color="auto"/>
            <w:bottom w:val="none" w:sz="0" w:space="0" w:color="auto"/>
            <w:right w:val="none" w:sz="0" w:space="0" w:color="auto"/>
          </w:divBdr>
        </w:div>
        <w:div w:id="625087360">
          <w:marLeft w:val="0"/>
          <w:marRight w:val="0"/>
          <w:marTop w:val="0"/>
          <w:marBottom w:val="0"/>
          <w:divBdr>
            <w:top w:val="none" w:sz="0" w:space="0" w:color="auto"/>
            <w:left w:val="none" w:sz="0" w:space="0" w:color="auto"/>
            <w:bottom w:val="none" w:sz="0" w:space="0" w:color="auto"/>
            <w:right w:val="none" w:sz="0" w:space="0" w:color="auto"/>
          </w:divBdr>
        </w:div>
        <w:div w:id="951327792">
          <w:marLeft w:val="0"/>
          <w:marRight w:val="0"/>
          <w:marTop w:val="0"/>
          <w:marBottom w:val="0"/>
          <w:divBdr>
            <w:top w:val="none" w:sz="0" w:space="0" w:color="auto"/>
            <w:left w:val="none" w:sz="0" w:space="0" w:color="auto"/>
            <w:bottom w:val="none" w:sz="0" w:space="0" w:color="auto"/>
            <w:right w:val="none" w:sz="0" w:space="0" w:color="auto"/>
          </w:divBdr>
        </w:div>
        <w:div w:id="1645887994">
          <w:marLeft w:val="0"/>
          <w:marRight w:val="0"/>
          <w:marTop w:val="0"/>
          <w:marBottom w:val="0"/>
          <w:divBdr>
            <w:top w:val="none" w:sz="0" w:space="0" w:color="auto"/>
            <w:left w:val="none" w:sz="0" w:space="0" w:color="auto"/>
            <w:bottom w:val="none" w:sz="0" w:space="0" w:color="auto"/>
            <w:right w:val="none" w:sz="0" w:space="0" w:color="auto"/>
          </w:divBdr>
        </w:div>
        <w:div w:id="1037780897">
          <w:marLeft w:val="0"/>
          <w:marRight w:val="0"/>
          <w:marTop w:val="0"/>
          <w:marBottom w:val="0"/>
          <w:divBdr>
            <w:top w:val="none" w:sz="0" w:space="0" w:color="auto"/>
            <w:left w:val="none" w:sz="0" w:space="0" w:color="auto"/>
            <w:bottom w:val="none" w:sz="0" w:space="0" w:color="auto"/>
            <w:right w:val="none" w:sz="0" w:space="0" w:color="auto"/>
          </w:divBdr>
        </w:div>
        <w:div w:id="154347026">
          <w:marLeft w:val="0"/>
          <w:marRight w:val="0"/>
          <w:marTop w:val="0"/>
          <w:marBottom w:val="0"/>
          <w:divBdr>
            <w:top w:val="none" w:sz="0" w:space="0" w:color="auto"/>
            <w:left w:val="none" w:sz="0" w:space="0" w:color="auto"/>
            <w:bottom w:val="none" w:sz="0" w:space="0" w:color="auto"/>
            <w:right w:val="none" w:sz="0" w:space="0" w:color="auto"/>
          </w:divBdr>
        </w:div>
        <w:div w:id="513223984">
          <w:marLeft w:val="0"/>
          <w:marRight w:val="0"/>
          <w:marTop w:val="0"/>
          <w:marBottom w:val="0"/>
          <w:divBdr>
            <w:top w:val="none" w:sz="0" w:space="0" w:color="auto"/>
            <w:left w:val="none" w:sz="0" w:space="0" w:color="auto"/>
            <w:bottom w:val="none" w:sz="0" w:space="0" w:color="auto"/>
            <w:right w:val="none" w:sz="0" w:space="0" w:color="auto"/>
          </w:divBdr>
        </w:div>
        <w:div w:id="109399558">
          <w:marLeft w:val="0"/>
          <w:marRight w:val="0"/>
          <w:marTop w:val="0"/>
          <w:marBottom w:val="0"/>
          <w:divBdr>
            <w:top w:val="none" w:sz="0" w:space="0" w:color="auto"/>
            <w:left w:val="none" w:sz="0" w:space="0" w:color="auto"/>
            <w:bottom w:val="none" w:sz="0" w:space="0" w:color="auto"/>
            <w:right w:val="none" w:sz="0" w:space="0" w:color="auto"/>
          </w:divBdr>
        </w:div>
        <w:div w:id="1572617554">
          <w:marLeft w:val="0"/>
          <w:marRight w:val="0"/>
          <w:marTop w:val="0"/>
          <w:marBottom w:val="0"/>
          <w:divBdr>
            <w:top w:val="none" w:sz="0" w:space="0" w:color="auto"/>
            <w:left w:val="none" w:sz="0" w:space="0" w:color="auto"/>
            <w:bottom w:val="none" w:sz="0" w:space="0" w:color="auto"/>
            <w:right w:val="none" w:sz="0" w:space="0" w:color="auto"/>
          </w:divBdr>
        </w:div>
        <w:div w:id="1375693627">
          <w:marLeft w:val="-75"/>
          <w:marRight w:val="0"/>
          <w:marTop w:val="30"/>
          <w:marBottom w:val="30"/>
          <w:divBdr>
            <w:top w:val="none" w:sz="0" w:space="0" w:color="auto"/>
            <w:left w:val="none" w:sz="0" w:space="0" w:color="auto"/>
            <w:bottom w:val="none" w:sz="0" w:space="0" w:color="auto"/>
            <w:right w:val="none" w:sz="0" w:space="0" w:color="auto"/>
          </w:divBdr>
          <w:divsChild>
            <w:div w:id="31658042">
              <w:marLeft w:val="0"/>
              <w:marRight w:val="0"/>
              <w:marTop w:val="0"/>
              <w:marBottom w:val="0"/>
              <w:divBdr>
                <w:top w:val="none" w:sz="0" w:space="0" w:color="auto"/>
                <w:left w:val="none" w:sz="0" w:space="0" w:color="auto"/>
                <w:bottom w:val="none" w:sz="0" w:space="0" w:color="auto"/>
                <w:right w:val="none" w:sz="0" w:space="0" w:color="auto"/>
              </w:divBdr>
              <w:divsChild>
                <w:div w:id="2094738709">
                  <w:marLeft w:val="0"/>
                  <w:marRight w:val="0"/>
                  <w:marTop w:val="0"/>
                  <w:marBottom w:val="0"/>
                  <w:divBdr>
                    <w:top w:val="none" w:sz="0" w:space="0" w:color="auto"/>
                    <w:left w:val="none" w:sz="0" w:space="0" w:color="auto"/>
                    <w:bottom w:val="none" w:sz="0" w:space="0" w:color="auto"/>
                    <w:right w:val="none" w:sz="0" w:space="0" w:color="auto"/>
                  </w:divBdr>
                </w:div>
              </w:divsChild>
            </w:div>
            <w:div w:id="188028716">
              <w:marLeft w:val="0"/>
              <w:marRight w:val="0"/>
              <w:marTop w:val="0"/>
              <w:marBottom w:val="0"/>
              <w:divBdr>
                <w:top w:val="none" w:sz="0" w:space="0" w:color="auto"/>
                <w:left w:val="none" w:sz="0" w:space="0" w:color="auto"/>
                <w:bottom w:val="none" w:sz="0" w:space="0" w:color="auto"/>
                <w:right w:val="none" w:sz="0" w:space="0" w:color="auto"/>
              </w:divBdr>
              <w:divsChild>
                <w:div w:id="319651652">
                  <w:marLeft w:val="0"/>
                  <w:marRight w:val="0"/>
                  <w:marTop w:val="0"/>
                  <w:marBottom w:val="0"/>
                  <w:divBdr>
                    <w:top w:val="none" w:sz="0" w:space="0" w:color="auto"/>
                    <w:left w:val="none" w:sz="0" w:space="0" w:color="auto"/>
                    <w:bottom w:val="none" w:sz="0" w:space="0" w:color="auto"/>
                    <w:right w:val="none" w:sz="0" w:space="0" w:color="auto"/>
                  </w:divBdr>
                </w:div>
              </w:divsChild>
            </w:div>
            <w:div w:id="1396313183">
              <w:marLeft w:val="0"/>
              <w:marRight w:val="0"/>
              <w:marTop w:val="0"/>
              <w:marBottom w:val="0"/>
              <w:divBdr>
                <w:top w:val="none" w:sz="0" w:space="0" w:color="auto"/>
                <w:left w:val="none" w:sz="0" w:space="0" w:color="auto"/>
                <w:bottom w:val="none" w:sz="0" w:space="0" w:color="auto"/>
                <w:right w:val="none" w:sz="0" w:space="0" w:color="auto"/>
              </w:divBdr>
              <w:divsChild>
                <w:div w:id="2096317310">
                  <w:marLeft w:val="0"/>
                  <w:marRight w:val="0"/>
                  <w:marTop w:val="0"/>
                  <w:marBottom w:val="0"/>
                  <w:divBdr>
                    <w:top w:val="none" w:sz="0" w:space="0" w:color="auto"/>
                    <w:left w:val="none" w:sz="0" w:space="0" w:color="auto"/>
                    <w:bottom w:val="none" w:sz="0" w:space="0" w:color="auto"/>
                    <w:right w:val="none" w:sz="0" w:space="0" w:color="auto"/>
                  </w:divBdr>
                </w:div>
              </w:divsChild>
            </w:div>
            <w:div w:id="1572616683">
              <w:marLeft w:val="0"/>
              <w:marRight w:val="0"/>
              <w:marTop w:val="0"/>
              <w:marBottom w:val="0"/>
              <w:divBdr>
                <w:top w:val="none" w:sz="0" w:space="0" w:color="auto"/>
                <w:left w:val="none" w:sz="0" w:space="0" w:color="auto"/>
                <w:bottom w:val="none" w:sz="0" w:space="0" w:color="auto"/>
                <w:right w:val="none" w:sz="0" w:space="0" w:color="auto"/>
              </w:divBdr>
              <w:divsChild>
                <w:div w:id="1851796789">
                  <w:marLeft w:val="0"/>
                  <w:marRight w:val="0"/>
                  <w:marTop w:val="0"/>
                  <w:marBottom w:val="0"/>
                  <w:divBdr>
                    <w:top w:val="none" w:sz="0" w:space="0" w:color="auto"/>
                    <w:left w:val="none" w:sz="0" w:space="0" w:color="auto"/>
                    <w:bottom w:val="none" w:sz="0" w:space="0" w:color="auto"/>
                    <w:right w:val="none" w:sz="0" w:space="0" w:color="auto"/>
                  </w:divBdr>
                </w:div>
              </w:divsChild>
            </w:div>
            <w:div w:id="656501074">
              <w:marLeft w:val="0"/>
              <w:marRight w:val="0"/>
              <w:marTop w:val="0"/>
              <w:marBottom w:val="0"/>
              <w:divBdr>
                <w:top w:val="none" w:sz="0" w:space="0" w:color="auto"/>
                <w:left w:val="none" w:sz="0" w:space="0" w:color="auto"/>
                <w:bottom w:val="none" w:sz="0" w:space="0" w:color="auto"/>
                <w:right w:val="none" w:sz="0" w:space="0" w:color="auto"/>
              </w:divBdr>
              <w:divsChild>
                <w:div w:id="2092700584">
                  <w:marLeft w:val="0"/>
                  <w:marRight w:val="0"/>
                  <w:marTop w:val="0"/>
                  <w:marBottom w:val="0"/>
                  <w:divBdr>
                    <w:top w:val="none" w:sz="0" w:space="0" w:color="auto"/>
                    <w:left w:val="none" w:sz="0" w:space="0" w:color="auto"/>
                    <w:bottom w:val="none" w:sz="0" w:space="0" w:color="auto"/>
                    <w:right w:val="none" w:sz="0" w:space="0" w:color="auto"/>
                  </w:divBdr>
                </w:div>
              </w:divsChild>
            </w:div>
            <w:div w:id="2080708485">
              <w:marLeft w:val="0"/>
              <w:marRight w:val="0"/>
              <w:marTop w:val="0"/>
              <w:marBottom w:val="0"/>
              <w:divBdr>
                <w:top w:val="none" w:sz="0" w:space="0" w:color="auto"/>
                <w:left w:val="none" w:sz="0" w:space="0" w:color="auto"/>
                <w:bottom w:val="none" w:sz="0" w:space="0" w:color="auto"/>
                <w:right w:val="none" w:sz="0" w:space="0" w:color="auto"/>
              </w:divBdr>
              <w:divsChild>
                <w:div w:id="179319247">
                  <w:marLeft w:val="0"/>
                  <w:marRight w:val="0"/>
                  <w:marTop w:val="0"/>
                  <w:marBottom w:val="0"/>
                  <w:divBdr>
                    <w:top w:val="none" w:sz="0" w:space="0" w:color="auto"/>
                    <w:left w:val="none" w:sz="0" w:space="0" w:color="auto"/>
                    <w:bottom w:val="none" w:sz="0" w:space="0" w:color="auto"/>
                    <w:right w:val="none" w:sz="0" w:space="0" w:color="auto"/>
                  </w:divBdr>
                </w:div>
              </w:divsChild>
            </w:div>
            <w:div w:id="1636134763">
              <w:marLeft w:val="0"/>
              <w:marRight w:val="0"/>
              <w:marTop w:val="0"/>
              <w:marBottom w:val="0"/>
              <w:divBdr>
                <w:top w:val="none" w:sz="0" w:space="0" w:color="auto"/>
                <w:left w:val="none" w:sz="0" w:space="0" w:color="auto"/>
                <w:bottom w:val="none" w:sz="0" w:space="0" w:color="auto"/>
                <w:right w:val="none" w:sz="0" w:space="0" w:color="auto"/>
              </w:divBdr>
              <w:divsChild>
                <w:div w:id="1320691707">
                  <w:marLeft w:val="0"/>
                  <w:marRight w:val="0"/>
                  <w:marTop w:val="0"/>
                  <w:marBottom w:val="0"/>
                  <w:divBdr>
                    <w:top w:val="none" w:sz="0" w:space="0" w:color="auto"/>
                    <w:left w:val="none" w:sz="0" w:space="0" w:color="auto"/>
                    <w:bottom w:val="none" w:sz="0" w:space="0" w:color="auto"/>
                    <w:right w:val="none" w:sz="0" w:space="0" w:color="auto"/>
                  </w:divBdr>
                </w:div>
              </w:divsChild>
            </w:div>
            <w:div w:id="765464171">
              <w:marLeft w:val="0"/>
              <w:marRight w:val="0"/>
              <w:marTop w:val="0"/>
              <w:marBottom w:val="0"/>
              <w:divBdr>
                <w:top w:val="none" w:sz="0" w:space="0" w:color="auto"/>
                <w:left w:val="none" w:sz="0" w:space="0" w:color="auto"/>
                <w:bottom w:val="none" w:sz="0" w:space="0" w:color="auto"/>
                <w:right w:val="none" w:sz="0" w:space="0" w:color="auto"/>
              </w:divBdr>
              <w:divsChild>
                <w:div w:id="316111311">
                  <w:marLeft w:val="0"/>
                  <w:marRight w:val="0"/>
                  <w:marTop w:val="0"/>
                  <w:marBottom w:val="0"/>
                  <w:divBdr>
                    <w:top w:val="none" w:sz="0" w:space="0" w:color="auto"/>
                    <w:left w:val="none" w:sz="0" w:space="0" w:color="auto"/>
                    <w:bottom w:val="none" w:sz="0" w:space="0" w:color="auto"/>
                    <w:right w:val="none" w:sz="0" w:space="0" w:color="auto"/>
                  </w:divBdr>
                </w:div>
              </w:divsChild>
            </w:div>
            <w:div w:id="1215897692">
              <w:marLeft w:val="0"/>
              <w:marRight w:val="0"/>
              <w:marTop w:val="0"/>
              <w:marBottom w:val="0"/>
              <w:divBdr>
                <w:top w:val="none" w:sz="0" w:space="0" w:color="auto"/>
                <w:left w:val="none" w:sz="0" w:space="0" w:color="auto"/>
                <w:bottom w:val="none" w:sz="0" w:space="0" w:color="auto"/>
                <w:right w:val="none" w:sz="0" w:space="0" w:color="auto"/>
              </w:divBdr>
              <w:divsChild>
                <w:div w:id="1021322031">
                  <w:marLeft w:val="0"/>
                  <w:marRight w:val="0"/>
                  <w:marTop w:val="0"/>
                  <w:marBottom w:val="0"/>
                  <w:divBdr>
                    <w:top w:val="none" w:sz="0" w:space="0" w:color="auto"/>
                    <w:left w:val="none" w:sz="0" w:space="0" w:color="auto"/>
                    <w:bottom w:val="none" w:sz="0" w:space="0" w:color="auto"/>
                    <w:right w:val="none" w:sz="0" w:space="0" w:color="auto"/>
                  </w:divBdr>
                </w:div>
              </w:divsChild>
            </w:div>
            <w:div w:id="610286155">
              <w:marLeft w:val="0"/>
              <w:marRight w:val="0"/>
              <w:marTop w:val="0"/>
              <w:marBottom w:val="0"/>
              <w:divBdr>
                <w:top w:val="none" w:sz="0" w:space="0" w:color="auto"/>
                <w:left w:val="none" w:sz="0" w:space="0" w:color="auto"/>
                <w:bottom w:val="none" w:sz="0" w:space="0" w:color="auto"/>
                <w:right w:val="none" w:sz="0" w:space="0" w:color="auto"/>
              </w:divBdr>
              <w:divsChild>
                <w:div w:id="2000376161">
                  <w:marLeft w:val="0"/>
                  <w:marRight w:val="0"/>
                  <w:marTop w:val="0"/>
                  <w:marBottom w:val="0"/>
                  <w:divBdr>
                    <w:top w:val="none" w:sz="0" w:space="0" w:color="auto"/>
                    <w:left w:val="none" w:sz="0" w:space="0" w:color="auto"/>
                    <w:bottom w:val="none" w:sz="0" w:space="0" w:color="auto"/>
                    <w:right w:val="none" w:sz="0" w:space="0" w:color="auto"/>
                  </w:divBdr>
                </w:div>
                <w:div w:id="449082995">
                  <w:marLeft w:val="0"/>
                  <w:marRight w:val="0"/>
                  <w:marTop w:val="0"/>
                  <w:marBottom w:val="0"/>
                  <w:divBdr>
                    <w:top w:val="none" w:sz="0" w:space="0" w:color="auto"/>
                    <w:left w:val="none" w:sz="0" w:space="0" w:color="auto"/>
                    <w:bottom w:val="none" w:sz="0" w:space="0" w:color="auto"/>
                    <w:right w:val="none" w:sz="0" w:space="0" w:color="auto"/>
                  </w:divBdr>
                </w:div>
                <w:div w:id="1297833695">
                  <w:marLeft w:val="0"/>
                  <w:marRight w:val="0"/>
                  <w:marTop w:val="0"/>
                  <w:marBottom w:val="0"/>
                  <w:divBdr>
                    <w:top w:val="none" w:sz="0" w:space="0" w:color="auto"/>
                    <w:left w:val="none" w:sz="0" w:space="0" w:color="auto"/>
                    <w:bottom w:val="none" w:sz="0" w:space="0" w:color="auto"/>
                    <w:right w:val="none" w:sz="0" w:space="0" w:color="auto"/>
                  </w:divBdr>
                </w:div>
              </w:divsChild>
            </w:div>
            <w:div w:id="1513300097">
              <w:marLeft w:val="0"/>
              <w:marRight w:val="0"/>
              <w:marTop w:val="0"/>
              <w:marBottom w:val="0"/>
              <w:divBdr>
                <w:top w:val="none" w:sz="0" w:space="0" w:color="auto"/>
                <w:left w:val="none" w:sz="0" w:space="0" w:color="auto"/>
                <w:bottom w:val="none" w:sz="0" w:space="0" w:color="auto"/>
                <w:right w:val="none" w:sz="0" w:space="0" w:color="auto"/>
              </w:divBdr>
              <w:divsChild>
                <w:div w:id="1899439109">
                  <w:marLeft w:val="0"/>
                  <w:marRight w:val="0"/>
                  <w:marTop w:val="0"/>
                  <w:marBottom w:val="0"/>
                  <w:divBdr>
                    <w:top w:val="none" w:sz="0" w:space="0" w:color="auto"/>
                    <w:left w:val="none" w:sz="0" w:space="0" w:color="auto"/>
                    <w:bottom w:val="none" w:sz="0" w:space="0" w:color="auto"/>
                    <w:right w:val="none" w:sz="0" w:space="0" w:color="auto"/>
                  </w:divBdr>
                </w:div>
              </w:divsChild>
            </w:div>
            <w:div w:id="154498595">
              <w:marLeft w:val="0"/>
              <w:marRight w:val="0"/>
              <w:marTop w:val="0"/>
              <w:marBottom w:val="0"/>
              <w:divBdr>
                <w:top w:val="none" w:sz="0" w:space="0" w:color="auto"/>
                <w:left w:val="none" w:sz="0" w:space="0" w:color="auto"/>
                <w:bottom w:val="none" w:sz="0" w:space="0" w:color="auto"/>
                <w:right w:val="none" w:sz="0" w:space="0" w:color="auto"/>
              </w:divBdr>
              <w:divsChild>
                <w:div w:id="101533511">
                  <w:marLeft w:val="0"/>
                  <w:marRight w:val="0"/>
                  <w:marTop w:val="0"/>
                  <w:marBottom w:val="0"/>
                  <w:divBdr>
                    <w:top w:val="none" w:sz="0" w:space="0" w:color="auto"/>
                    <w:left w:val="none" w:sz="0" w:space="0" w:color="auto"/>
                    <w:bottom w:val="none" w:sz="0" w:space="0" w:color="auto"/>
                    <w:right w:val="none" w:sz="0" w:space="0" w:color="auto"/>
                  </w:divBdr>
                </w:div>
              </w:divsChild>
            </w:div>
            <w:div w:id="761536700">
              <w:marLeft w:val="0"/>
              <w:marRight w:val="0"/>
              <w:marTop w:val="0"/>
              <w:marBottom w:val="0"/>
              <w:divBdr>
                <w:top w:val="none" w:sz="0" w:space="0" w:color="auto"/>
                <w:left w:val="none" w:sz="0" w:space="0" w:color="auto"/>
                <w:bottom w:val="none" w:sz="0" w:space="0" w:color="auto"/>
                <w:right w:val="none" w:sz="0" w:space="0" w:color="auto"/>
              </w:divBdr>
              <w:divsChild>
                <w:div w:id="1445880466">
                  <w:marLeft w:val="0"/>
                  <w:marRight w:val="0"/>
                  <w:marTop w:val="0"/>
                  <w:marBottom w:val="0"/>
                  <w:divBdr>
                    <w:top w:val="none" w:sz="0" w:space="0" w:color="auto"/>
                    <w:left w:val="none" w:sz="0" w:space="0" w:color="auto"/>
                    <w:bottom w:val="none" w:sz="0" w:space="0" w:color="auto"/>
                    <w:right w:val="none" w:sz="0" w:space="0" w:color="auto"/>
                  </w:divBdr>
                </w:div>
              </w:divsChild>
            </w:div>
            <w:div w:id="540366396">
              <w:marLeft w:val="0"/>
              <w:marRight w:val="0"/>
              <w:marTop w:val="0"/>
              <w:marBottom w:val="0"/>
              <w:divBdr>
                <w:top w:val="none" w:sz="0" w:space="0" w:color="auto"/>
                <w:left w:val="none" w:sz="0" w:space="0" w:color="auto"/>
                <w:bottom w:val="none" w:sz="0" w:space="0" w:color="auto"/>
                <w:right w:val="none" w:sz="0" w:space="0" w:color="auto"/>
              </w:divBdr>
              <w:divsChild>
                <w:div w:id="1894851944">
                  <w:marLeft w:val="0"/>
                  <w:marRight w:val="0"/>
                  <w:marTop w:val="0"/>
                  <w:marBottom w:val="0"/>
                  <w:divBdr>
                    <w:top w:val="none" w:sz="0" w:space="0" w:color="auto"/>
                    <w:left w:val="none" w:sz="0" w:space="0" w:color="auto"/>
                    <w:bottom w:val="none" w:sz="0" w:space="0" w:color="auto"/>
                    <w:right w:val="none" w:sz="0" w:space="0" w:color="auto"/>
                  </w:divBdr>
                </w:div>
              </w:divsChild>
            </w:div>
            <w:div w:id="2089110832">
              <w:marLeft w:val="0"/>
              <w:marRight w:val="0"/>
              <w:marTop w:val="0"/>
              <w:marBottom w:val="0"/>
              <w:divBdr>
                <w:top w:val="none" w:sz="0" w:space="0" w:color="auto"/>
                <w:left w:val="none" w:sz="0" w:space="0" w:color="auto"/>
                <w:bottom w:val="none" w:sz="0" w:space="0" w:color="auto"/>
                <w:right w:val="none" w:sz="0" w:space="0" w:color="auto"/>
              </w:divBdr>
              <w:divsChild>
                <w:div w:id="1772625728">
                  <w:marLeft w:val="0"/>
                  <w:marRight w:val="0"/>
                  <w:marTop w:val="0"/>
                  <w:marBottom w:val="0"/>
                  <w:divBdr>
                    <w:top w:val="none" w:sz="0" w:space="0" w:color="auto"/>
                    <w:left w:val="none" w:sz="0" w:space="0" w:color="auto"/>
                    <w:bottom w:val="none" w:sz="0" w:space="0" w:color="auto"/>
                    <w:right w:val="none" w:sz="0" w:space="0" w:color="auto"/>
                  </w:divBdr>
                </w:div>
              </w:divsChild>
            </w:div>
            <w:div w:id="1341463891">
              <w:marLeft w:val="0"/>
              <w:marRight w:val="0"/>
              <w:marTop w:val="0"/>
              <w:marBottom w:val="0"/>
              <w:divBdr>
                <w:top w:val="none" w:sz="0" w:space="0" w:color="auto"/>
                <w:left w:val="none" w:sz="0" w:space="0" w:color="auto"/>
                <w:bottom w:val="none" w:sz="0" w:space="0" w:color="auto"/>
                <w:right w:val="none" w:sz="0" w:space="0" w:color="auto"/>
              </w:divBdr>
              <w:divsChild>
                <w:div w:id="980571671">
                  <w:marLeft w:val="0"/>
                  <w:marRight w:val="0"/>
                  <w:marTop w:val="0"/>
                  <w:marBottom w:val="0"/>
                  <w:divBdr>
                    <w:top w:val="none" w:sz="0" w:space="0" w:color="auto"/>
                    <w:left w:val="none" w:sz="0" w:space="0" w:color="auto"/>
                    <w:bottom w:val="none" w:sz="0" w:space="0" w:color="auto"/>
                    <w:right w:val="none" w:sz="0" w:space="0" w:color="auto"/>
                  </w:divBdr>
                </w:div>
              </w:divsChild>
            </w:div>
            <w:div w:id="1503735413">
              <w:marLeft w:val="0"/>
              <w:marRight w:val="0"/>
              <w:marTop w:val="0"/>
              <w:marBottom w:val="0"/>
              <w:divBdr>
                <w:top w:val="none" w:sz="0" w:space="0" w:color="auto"/>
                <w:left w:val="none" w:sz="0" w:space="0" w:color="auto"/>
                <w:bottom w:val="none" w:sz="0" w:space="0" w:color="auto"/>
                <w:right w:val="none" w:sz="0" w:space="0" w:color="auto"/>
              </w:divBdr>
              <w:divsChild>
                <w:div w:id="8485398">
                  <w:marLeft w:val="0"/>
                  <w:marRight w:val="0"/>
                  <w:marTop w:val="0"/>
                  <w:marBottom w:val="0"/>
                  <w:divBdr>
                    <w:top w:val="none" w:sz="0" w:space="0" w:color="auto"/>
                    <w:left w:val="none" w:sz="0" w:space="0" w:color="auto"/>
                    <w:bottom w:val="none" w:sz="0" w:space="0" w:color="auto"/>
                    <w:right w:val="none" w:sz="0" w:space="0" w:color="auto"/>
                  </w:divBdr>
                </w:div>
              </w:divsChild>
            </w:div>
            <w:div w:id="1585407694">
              <w:marLeft w:val="0"/>
              <w:marRight w:val="0"/>
              <w:marTop w:val="0"/>
              <w:marBottom w:val="0"/>
              <w:divBdr>
                <w:top w:val="none" w:sz="0" w:space="0" w:color="auto"/>
                <w:left w:val="none" w:sz="0" w:space="0" w:color="auto"/>
                <w:bottom w:val="none" w:sz="0" w:space="0" w:color="auto"/>
                <w:right w:val="none" w:sz="0" w:space="0" w:color="auto"/>
              </w:divBdr>
              <w:divsChild>
                <w:div w:id="1701469149">
                  <w:marLeft w:val="0"/>
                  <w:marRight w:val="0"/>
                  <w:marTop w:val="0"/>
                  <w:marBottom w:val="0"/>
                  <w:divBdr>
                    <w:top w:val="none" w:sz="0" w:space="0" w:color="auto"/>
                    <w:left w:val="none" w:sz="0" w:space="0" w:color="auto"/>
                    <w:bottom w:val="none" w:sz="0" w:space="0" w:color="auto"/>
                    <w:right w:val="none" w:sz="0" w:space="0" w:color="auto"/>
                  </w:divBdr>
                </w:div>
              </w:divsChild>
            </w:div>
            <w:div w:id="1981689182">
              <w:marLeft w:val="0"/>
              <w:marRight w:val="0"/>
              <w:marTop w:val="0"/>
              <w:marBottom w:val="0"/>
              <w:divBdr>
                <w:top w:val="none" w:sz="0" w:space="0" w:color="auto"/>
                <w:left w:val="none" w:sz="0" w:space="0" w:color="auto"/>
                <w:bottom w:val="none" w:sz="0" w:space="0" w:color="auto"/>
                <w:right w:val="none" w:sz="0" w:space="0" w:color="auto"/>
              </w:divBdr>
              <w:divsChild>
                <w:div w:id="508065213">
                  <w:marLeft w:val="0"/>
                  <w:marRight w:val="0"/>
                  <w:marTop w:val="0"/>
                  <w:marBottom w:val="0"/>
                  <w:divBdr>
                    <w:top w:val="none" w:sz="0" w:space="0" w:color="auto"/>
                    <w:left w:val="none" w:sz="0" w:space="0" w:color="auto"/>
                    <w:bottom w:val="none" w:sz="0" w:space="0" w:color="auto"/>
                    <w:right w:val="none" w:sz="0" w:space="0" w:color="auto"/>
                  </w:divBdr>
                </w:div>
              </w:divsChild>
            </w:div>
            <w:div w:id="1016081235">
              <w:marLeft w:val="0"/>
              <w:marRight w:val="0"/>
              <w:marTop w:val="0"/>
              <w:marBottom w:val="0"/>
              <w:divBdr>
                <w:top w:val="none" w:sz="0" w:space="0" w:color="auto"/>
                <w:left w:val="none" w:sz="0" w:space="0" w:color="auto"/>
                <w:bottom w:val="none" w:sz="0" w:space="0" w:color="auto"/>
                <w:right w:val="none" w:sz="0" w:space="0" w:color="auto"/>
              </w:divBdr>
              <w:divsChild>
                <w:div w:id="233785771">
                  <w:marLeft w:val="0"/>
                  <w:marRight w:val="0"/>
                  <w:marTop w:val="0"/>
                  <w:marBottom w:val="0"/>
                  <w:divBdr>
                    <w:top w:val="none" w:sz="0" w:space="0" w:color="auto"/>
                    <w:left w:val="none" w:sz="0" w:space="0" w:color="auto"/>
                    <w:bottom w:val="none" w:sz="0" w:space="0" w:color="auto"/>
                    <w:right w:val="none" w:sz="0" w:space="0" w:color="auto"/>
                  </w:divBdr>
                </w:div>
              </w:divsChild>
            </w:div>
            <w:div w:id="428743946">
              <w:marLeft w:val="0"/>
              <w:marRight w:val="0"/>
              <w:marTop w:val="0"/>
              <w:marBottom w:val="0"/>
              <w:divBdr>
                <w:top w:val="none" w:sz="0" w:space="0" w:color="auto"/>
                <w:left w:val="none" w:sz="0" w:space="0" w:color="auto"/>
                <w:bottom w:val="none" w:sz="0" w:space="0" w:color="auto"/>
                <w:right w:val="none" w:sz="0" w:space="0" w:color="auto"/>
              </w:divBdr>
              <w:divsChild>
                <w:div w:id="723917036">
                  <w:marLeft w:val="0"/>
                  <w:marRight w:val="0"/>
                  <w:marTop w:val="0"/>
                  <w:marBottom w:val="0"/>
                  <w:divBdr>
                    <w:top w:val="none" w:sz="0" w:space="0" w:color="auto"/>
                    <w:left w:val="none" w:sz="0" w:space="0" w:color="auto"/>
                    <w:bottom w:val="none" w:sz="0" w:space="0" w:color="auto"/>
                    <w:right w:val="none" w:sz="0" w:space="0" w:color="auto"/>
                  </w:divBdr>
                </w:div>
              </w:divsChild>
            </w:div>
            <w:div w:id="185411194">
              <w:marLeft w:val="0"/>
              <w:marRight w:val="0"/>
              <w:marTop w:val="0"/>
              <w:marBottom w:val="0"/>
              <w:divBdr>
                <w:top w:val="none" w:sz="0" w:space="0" w:color="auto"/>
                <w:left w:val="none" w:sz="0" w:space="0" w:color="auto"/>
                <w:bottom w:val="none" w:sz="0" w:space="0" w:color="auto"/>
                <w:right w:val="none" w:sz="0" w:space="0" w:color="auto"/>
              </w:divBdr>
              <w:divsChild>
                <w:div w:id="389038138">
                  <w:marLeft w:val="0"/>
                  <w:marRight w:val="0"/>
                  <w:marTop w:val="0"/>
                  <w:marBottom w:val="0"/>
                  <w:divBdr>
                    <w:top w:val="none" w:sz="0" w:space="0" w:color="auto"/>
                    <w:left w:val="none" w:sz="0" w:space="0" w:color="auto"/>
                    <w:bottom w:val="none" w:sz="0" w:space="0" w:color="auto"/>
                    <w:right w:val="none" w:sz="0" w:space="0" w:color="auto"/>
                  </w:divBdr>
                </w:div>
                <w:div w:id="176891857">
                  <w:marLeft w:val="0"/>
                  <w:marRight w:val="0"/>
                  <w:marTop w:val="0"/>
                  <w:marBottom w:val="0"/>
                  <w:divBdr>
                    <w:top w:val="none" w:sz="0" w:space="0" w:color="auto"/>
                    <w:left w:val="none" w:sz="0" w:space="0" w:color="auto"/>
                    <w:bottom w:val="none" w:sz="0" w:space="0" w:color="auto"/>
                    <w:right w:val="none" w:sz="0" w:space="0" w:color="auto"/>
                  </w:divBdr>
                </w:div>
              </w:divsChild>
            </w:div>
            <w:div w:id="419379048">
              <w:marLeft w:val="0"/>
              <w:marRight w:val="0"/>
              <w:marTop w:val="0"/>
              <w:marBottom w:val="0"/>
              <w:divBdr>
                <w:top w:val="none" w:sz="0" w:space="0" w:color="auto"/>
                <w:left w:val="none" w:sz="0" w:space="0" w:color="auto"/>
                <w:bottom w:val="none" w:sz="0" w:space="0" w:color="auto"/>
                <w:right w:val="none" w:sz="0" w:space="0" w:color="auto"/>
              </w:divBdr>
              <w:divsChild>
                <w:div w:id="1005210019">
                  <w:marLeft w:val="0"/>
                  <w:marRight w:val="0"/>
                  <w:marTop w:val="0"/>
                  <w:marBottom w:val="0"/>
                  <w:divBdr>
                    <w:top w:val="none" w:sz="0" w:space="0" w:color="auto"/>
                    <w:left w:val="none" w:sz="0" w:space="0" w:color="auto"/>
                    <w:bottom w:val="none" w:sz="0" w:space="0" w:color="auto"/>
                    <w:right w:val="none" w:sz="0" w:space="0" w:color="auto"/>
                  </w:divBdr>
                </w:div>
              </w:divsChild>
            </w:div>
            <w:div w:id="1192764896">
              <w:marLeft w:val="0"/>
              <w:marRight w:val="0"/>
              <w:marTop w:val="0"/>
              <w:marBottom w:val="0"/>
              <w:divBdr>
                <w:top w:val="none" w:sz="0" w:space="0" w:color="auto"/>
                <w:left w:val="none" w:sz="0" w:space="0" w:color="auto"/>
                <w:bottom w:val="none" w:sz="0" w:space="0" w:color="auto"/>
                <w:right w:val="none" w:sz="0" w:space="0" w:color="auto"/>
              </w:divBdr>
              <w:divsChild>
                <w:div w:id="987628890">
                  <w:marLeft w:val="0"/>
                  <w:marRight w:val="0"/>
                  <w:marTop w:val="0"/>
                  <w:marBottom w:val="0"/>
                  <w:divBdr>
                    <w:top w:val="none" w:sz="0" w:space="0" w:color="auto"/>
                    <w:left w:val="none" w:sz="0" w:space="0" w:color="auto"/>
                    <w:bottom w:val="none" w:sz="0" w:space="0" w:color="auto"/>
                    <w:right w:val="none" w:sz="0" w:space="0" w:color="auto"/>
                  </w:divBdr>
                </w:div>
              </w:divsChild>
            </w:div>
            <w:div w:id="917135391">
              <w:marLeft w:val="0"/>
              <w:marRight w:val="0"/>
              <w:marTop w:val="0"/>
              <w:marBottom w:val="0"/>
              <w:divBdr>
                <w:top w:val="none" w:sz="0" w:space="0" w:color="auto"/>
                <w:left w:val="none" w:sz="0" w:space="0" w:color="auto"/>
                <w:bottom w:val="none" w:sz="0" w:space="0" w:color="auto"/>
                <w:right w:val="none" w:sz="0" w:space="0" w:color="auto"/>
              </w:divBdr>
              <w:divsChild>
                <w:div w:id="366957245">
                  <w:marLeft w:val="0"/>
                  <w:marRight w:val="0"/>
                  <w:marTop w:val="0"/>
                  <w:marBottom w:val="0"/>
                  <w:divBdr>
                    <w:top w:val="none" w:sz="0" w:space="0" w:color="auto"/>
                    <w:left w:val="none" w:sz="0" w:space="0" w:color="auto"/>
                    <w:bottom w:val="none" w:sz="0" w:space="0" w:color="auto"/>
                    <w:right w:val="none" w:sz="0" w:space="0" w:color="auto"/>
                  </w:divBdr>
                </w:div>
              </w:divsChild>
            </w:div>
            <w:div w:id="44988330">
              <w:marLeft w:val="0"/>
              <w:marRight w:val="0"/>
              <w:marTop w:val="0"/>
              <w:marBottom w:val="0"/>
              <w:divBdr>
                <w:top w:val="none" w:sz="0" w:space="0" w:color="auto"/>
                <w:left w:val="none" w:sz="0" w:space="0" w:color="auto"/>
                <w:bottom w:val="none" w:sz="0" w:space="0" w:color="auto"/>
                <w:right w:val="none" w:sz="0" w:space="0" w:color="auto"/>
              </w:divBdr>
              <w:divsChild>
                <w:div w:id="632827934">
                  <w:marLeft w:val="0"/>
                  <w:marRight w:val="0"/>
                  <w:marTop w:val="0"/>
                  <w:marBottom w:val="0"/>
                  <w:divBdr>
                    <w:top w:val="none" w:sz="0" w:space="0" w:color="auto"/>
                    <w:left w:val="none" w:sz="0" w:space="0" w:color="auto"/>
                    <w:bottom w:val="none" w:sz="0" w:space="0" w:color="auto"/>
                    <w:right w:val="none" w:sz="0" w:space="0" w:color="auto"/>
                  </w:divBdr>
                </w:div>
              </w:divsChild>
            </w:div>
            <w:div w:id="816610943">
              <w:marLeft w:val="0"/>
              <w:marRight w:val="0"/>
              <w:marTop w:val="0"/>
              <w:marBottom w:val="0"/>
              <w:divBdr>
                <w:top w:val="none" w:sz="0" w:space="0" w:color="auto"/>
                <w:left w:val="none" w:sz="0" w:space="0" w:color="auto"/>
                <w:bottom w:val="none" w:sz="0" w:space="0" w:color="auto"/>
                <w:right w:val="none" w:sz="0" w:space="0" w:color="auto"/>
              </w:divBdr>
              <w:divsChild>
                <w:div w:id="1658877835">
                  <w:marLeft w:val="0"/>
                  <w:marRight w:val="0"/>
                  <w:marTop w:val="0"/>
                  <w:marBottom w:val="0"/>
                  <w:divBdr>
                    <w:top w:val="none" w:sz="0" w:space="0" w:color="auto"/>
                    <w:left w:val="none" w:sz="0" w:space="0" w:color="auto"/>
                    <w:bottom w:val="none" w:sz="0" w:space="0" w:color="auto"/>
                    <w:right w:val="none" w:sz="0" w:space="0" w:color="auto"/>
                  </w:divBdr>
                </w:div>
              </w:divsChild>
            </w:div>
            <w:div w:id="1437015833">
              <w:marLeft w:val="0"/>
              <w:marRight w:val="0"/>
              <w:marTop w:val="0"/>
              <w:marBottom w:val="0"/>
              <w:divBdr>
                <w:top w:val="none" w:sz="0" w:space="0" w:color="auto"/>
                <w:left w:val="none" w:sz="0" w:space="0" w:color="auto"/>
                <w:bottom w:val="none" w:sz="0" w:space="0" w:color="auto"/>
                <w:right w:val="none" w:sz="0" w:space="0" w:color="auto"/>
              </w:divBdr>
              <w:divsChild>
                <w:div w:id="1993101310">
                  <w:marLeft w:val="0"/>
                  <w:marRight w:val="0"/>
                  <w:marTop w:val="0"/>
                  <w:marBottom w:val="0"/>
                  <w:divBdr>
                    <w:top w:val="none" w:sz="0" w:space="0" w:color="auto"/>
                    <w:left w:val="none" w:sz="0" w:space="0" w:color="auto"/>
                    <w:bottom w:val="none" w:sz="0" w:space="0" w:color="auto"/>
                    <w:right w:val="none" w:sz="0" w:space="0" w:color="auto"/>
                  </w:divBdr>
                </w:div>
              </w:divsChild>
            </w:div>
            <w:div w:id="1461150463">
              <w:marLeft w:val="0"/>
              <w:marRight w:val="0"/>
              <w:marTop w:val="0"/>
              <w:marBottom w:val="0"/>
              <w:divBdr>
                <w:top w:val="none" w:sz="0" w:space="0" w:color="auto"/>
                <w:left w:val="none" w:sz="0" w:space="0" w:color="auto"/>
                <w:bottom w:val="none" w:sz="0" w:space="0" w:color="auto"/>
                <w:right w:val="none" w:sz="0" w:space="0" w:color="auto"/>
              </w:divBdr>
              <w:divsChild>
                <w:div w:id="518159861">
                  <w:marLeft w:val="0"/>
                  <w:marRight w:val="0"/>
                  <w:marTop w:val="0"/>
                  <w:marBottom w:val="0"/>
                  <w:divBdr>
                    <w:top w:val="none" w:sz="0" w:space="0" w:color="auto"/>
                    <w:left w:val="none" w:sz="0" w:space="0" w:color="auto"/>
                    <w:bottom w:val="none" w:sz="0" w:space="0" w:color="auto"/>
                    <w:right w:val="none" w:sz="0" w:space="0" w:color="auto"/>
                  </w:divBdr>
                </w:div>
              </w:divsChild>
            </w:div>
            <w:div w:id="1807043267">
              <w:marLeft w:val="0"/>
              <w:marRight w:val="0"/>
              <w:marTop w:val="0"/>
              <w:marBottom w:val="0"/>
              <w:divBdr>
                <w:top w:val="none" w:sz="0" w:space="0" w:color="auto"/>
                <w:left w:val="none" w:sz="0" w:space="0" w:color="auto"/>
                <w:bottom w:val="none" w:sz="0" w:space="0" w:color="auto"/>
                <w:right w:val="none" w:sz="0" w:space="0" w:color="auto"/>
              </w:divBdr>
              <w:divsChild>
                <w:div w:id="1812286552">
                  <w:marLeft w:val="0"/>
                  <w:marRight w:val="0"/>
                  <w:marTop w:val="0"/>
                  <w:marBottom w:val="0"/>
                  <w:divBdr>
                    <w:top w:val="none" w:sz="0" w:space="0" w:color="auto"/>
                    <w:left w:val="none" w:sz="0" w:space="0" w:color="auto"/>
                    <w:bottom w:val="none" w:sz="0" w:space="0" w:color="auto"/>
                    <w:right w:val="none" w:sz="0" w:space="0" w:color="auto"/>
                  </w:divBdr>
                </w:div>
              </w:divsChild>
            </w:div>
            <w:div w:id="679620826">
              <w:marLeft w:val="0"/>
              <w:marRight w:val="0"/>
              <w:marTop w:val="0"/>
              <w:marBottom w:val="0"/>
              <w:divBdr>
                <w:top w:val="none" w:sz="0" w:space="0" w:color="auto"/>
                <w:left w:val="none" w:sz="0" w:space="0" w:color="auto"/>
                <w:bottom w:val="none" w:sz="0" w:space="0" w:color="auto"/>
                <w:right w:val="none" w:sz="0" w:space="0" w:color="auto"/>
              </w:divBdr>
              <w:divsChild>
                <w:div w:id="1203902113">
                  <w:marLeft w:val="0"/>
                  <w:marRight w:val="0"/>
                  <w:marTop w:val="0"/>
                  <w:marBottom w:val="0"/>
                  <w:divBdr>
                    <w:top w:val="none" w:sz="0" w:space="0" w:color="auto"/>
                    <w:left w:val="none" w:sz="0" w:space="0" w:color="auto"/>
                    <w:bottom w:val="none" w:sz="0" w:space="0" w:color="auto"/>
                    <w:right w:val="none" w:sz="0" w:space="0" w:color="auto"/>
                  </w:divBdr>
                </w:div>
              </w:divsChild>
            </w:div>
            <w:div w:id="884679175">
              <w:marLeft w:val="0"/>
              <w:marRight w:val="0"/>
              <w:marTop w:val="0"/>
              <w:marBottom w:val="0"/>
              <w:divBdr>
                <w:top w:val="none" w:sz="0" w:space="0" w:color="auto"/>
                <w:left w:val="none" w:sz="0" w:space="0" w:color="auto"/>
                <w:bottom w:val="none" w:sz="0" w:space="0" w:color="auto"/>
                <w:right w:val="none" w:sz="0" w:space="0" w:color="auto"/>
              </w:divBdr>
              <w:divsChild>
                <w:div w:id="824322813">
                  <w:marLeft w:val="0"/>
                  <w:marRight w:val="0"/>
                  <w:marTop w:val="0"/>
                  <w:marBottom w:val="0"/>
                  <w:divBdr>
                    <w:top w:val="none" w:sz="0" w:space="0" w:color="auto"/>
                    <w:left w:val="none" w:sz="0" w:space="0" w:color="auto"/>
                    <w:bottom w:val="none" w:sz="0" w:space="0" w:color="auto"/>
                    <w:right w:val="none" w:sz="0" w:space="0" w:color="auto"/>
                  </w:divBdr>
                </w:div>
              </w:divsChild>
            </w:div>
            <w:div w:id="8602880">
              <w:marLeft w:val="0"/>
              <w:marRight w:val="0"/>
              <w:marTop w:val="0"/>
              <w:marBottom w:val="0"/>
              <w:divBdr>
                <w:top w:val="none" w:sz="0" w:space="0" w:color="auto"/>
                <w:left w:val="none" w:sz="0" w:space="0" w:color="auto"/>
                <w:bottom w:val="none" w:sz="0" w:space="0" w:color="auto"/>
                <w:right w:val="none" w:sz="0" w:space="0" w:color="auto"/>
              </w:divBdr>
              <w:divsChild>
                <w:div w:id="2030251338">
                  <w:marLeft w:val="0"/>
                  <w:marRight w:val="0"/>
                  <w:marTop w:val="0"/>
                  <w:marBottom w:val="0"/>
                  <w:divBdr>
                    <w:top w:val="none" w:sz="0" w:space="0" w:color="auto"/>
                    <w:left w:val="none" w:sz="0" w:space="0" w:color="auto"/>
                    <w:bottom w:val="none" w:sz="0" w:space="0" w:color="auto"/>
                    <w:right w:val="none" w:sz="0" w:space="0" w:color="auto"/>
                  </w:divBdr>
                </w:div>
              </w:divsChild>
            </w:div>
            <w:div w:id="28990833">
              <w:marLeft w:val="0"/>
              <w:marRight w:val="0"/>
              <w:marTop w:val="0"/>
              <w:marBottom w:val="0"/>
              <w:divBdr>
                <w:top w:val="none" w:sz="0" w:space="0" w:color="auto"/>
                <w:left w:val="none" w:sz="0" w:space="0" w:color="auto"/>
                <w:bottom w:val="none" w:sz="0" w:space="0" w:color="auto"/>
                <w:right w:val="none" w:sz="0" w:space="0" w:color="auto"/>
              </w:divBdr>
              <w:divsChild>
                <w:div w:id="541017203">
                  <w:marLeft w:val="0"/>
                  <w:marRight w:val="0"/>
                  <w:marTop w:val="0"/>
                  <w:marBottom w:val="0"/>
                  <w:divBdr>
                    <w:top w:val="none" w:sz="0" w:space="0" w:color="auto"/>
                    <w:left w:val="none" w:sz="0" w:space="0" w:color="auto"/>
                    <w:bottom w:val="none" w:sz="0" w:space="0" w:color="auto"/>
                    <w:right w:val="none" w:sz="0" w:space="0" w:color="auto"/>
                  </w:divBdr>
                </w:div>
              </w:divsChild>
            </w:div>
            <w:div w:id="1213228926">
              <w:marLeft w:val="0"/>
              <w:marRight w:val="0"/>
              <w:marTop w:val="0"/>
              <w:marBottom w:val="0"/>
              <w:divBdr>
                <w:top w:val="none" w:sz="0" w:space="0" w:color="auto"/>
                <w:left w:val="none" w:sz="0" w:space="0" w:color="auto"/>
                <w:bottom w:val="none" w:sz="0" w:space="0" w:color="auto"/>
                <w:right w:val="none" w:sz="0" w:space="0" w:color="auto"/>
              </w:divBdr>
              <w:divsChild>
                <w:div w:id="1584098130">
                  <w:marLeft w:val="0"/>
                  <w:marRight w:val="0"/>
                  <w:marTop w:val="0"/>
                  <w:marBottom w:val="0"/>
                  <w:divBdr>
                    <w:top w:val="none" w:sz="0" w:space="0" w:color="auto"/>
                    <w:left w:val="none" w:sz="0" w:space="0" w:color="auto"/>
                    <w:bottom w:val="none" w:sz="0" w:space="0" w:color="auto"/>
                    <w:right w:val="none" w:sz="0" w:space="0" w:color="auto"/>
                  </w:divBdr>
                </w:div>
              </w:divsChild>
            </w:div>
            <w:div w:id="1982423485">
              <w:marLeft w:val="0"/>
              <w:marRight w:val="0"/>
              <w:marTop w:val="0"/>
              <w:marBottom w:val="0"/>
              <w:divBdr>
                <w:top w:val="none" w:sz="0" w:space="0" w:color="auto"/>
                <w:left w:val="none" w:sz="0" w:space="0" w:color="auto"/>
                <w:bottom w:val="none" w:sz="0" w:space="0" w:color="auto"/>
                <w:right w:val="none" w:sz="0" w:space="0" w:color="auto"/>
              </w:divBdr>
              <w:divsChild>
                <w:div w:id="2113043478">
                  <w:marLeft w:val="0"/>
                  <w:marRight w:val="0"/>
                  <w:marTop w:val="0"/>
                  <w:marBottom w:val="0"/>
                  <w:divBdr>
                    <w:top w:val="none" w:sz="0" w:space="0" w:color="auto"/>
                    <w:left w:val="none" w:sz="0" w:space="0" w:color="auto"/>
                    <w:bottom w:val="none" w:sz="0" w:space="0" w:color="auto"/>
                    <w:right w:val="none" w:sz="0" w:space="0" w:color="auto"/>
                  </w:divBdr>
                </w:div>
              </w:divsChild>
            </w:div>
            <w:div w:id="610475234">
              <w:marLeft w:val="0"/>
              <w:marRight w:val="0"/>
              <w:marTop w:val="0"/>
              <w:marBottom w:val="0"/>
              <w:divBdr>
                <w:top w:val="none" w:sz="0" w:space="0" w:color="auto"/>
                <w:left w:val="none" w:sz="0" w:space="0" w:color="auto"/>
                <w:bottom w:val="none" w:sz="0" w:space="0" w:color="auto"/>
                <w:right w:val="none" w:sz="0" w:space="0" w:color="auto"/>
              </w:divBdr>
              <w:divsChild>
                <w:div w:id="696472139">
                  <w:marLeft w:val="0"/>
                  <w:marRight w:val="0"/>
                  <w:marTop w:val="0"/>
                  <w:marBottom w:val="0"/>
                  <w:divBdr>
                    <w:top w:val="none" w:sz="0" w:space="0" w:color="auto"/>
                    <w:left w:val="none" w:sz="0" w:space="0" w:color="auto"/>
                    <w:bottom w:val="none" w:sz="0" w:space="0" w:color="auto"/>
                    <w:right w:val="none" w:sz="0" w:space="0" w:color="auto"/>
                  </w:divBdr>
                </w:div>
              </w:divsChild>
            </w:div>
            <w:div w:id="1499225741">
              <w:marLeft w:val="0"/>
              <w:marRight w:val="0"/>
              <w:marTop w:val="0"/>
              <w:marBottom w:val="0"/>
              <w:divBdr>
                <w:top w:val="none" w:sz="0" w:space="0" w:color="auto"/>
                <w:left w:val="none" w:sz="0" w:space="0" w:color="auto"/>
                <w:bottom w:val="none" w:sz="0" w:space="0" w:color="auto"/>
                <w:right w:val="none" w:sz="0" w:space="0" w:color="auto"/>
              </w:divBdr>
              <w:divsChild>
                <w:div w:id="1754282884">
                  <w:marLeft w:val="0"/>
                  <w:marRight w:val="0"/>
                  <w:marTop w:val="0"/>
                  <w:marBottom w:val="0"/>
                  <w:divBdr>
                    <w:top w:val="none" w:sz="0" w:space="0" w:color="auto"/>
                    <w:left w:val="none" w:sz="0" w:space="0" w:color="auto"/>
                    <w:bottom w:val="none" w:sz="0" w:space="0" w:color="auto"/>
                    <w:right w:val="none" w:sz="0" w:space="0" w:color="auto"/>
                  </w:divBdr>
                </w:div>
              </w:divsChild>
            </w:div>
            <w:div w:id="1566989543">
              <w:marLeft w:val="0"/>
              <w:marRight w:val="0"/>
              <w:marTop w:val="0"/>
              <w:marBottom w:val="0"/>
              <w:divBdr>
                <w:top w:val="none" w:sz="0" w:space="0" w:color="auto"/>
                <w:left w:val="none" w:sz="0" w:space="0" w:color="auto"/>
                <w:bottom w:val="none" w:sz="0" w:space="0" w:color="auto"/>
                <w:right w:val="none" w:sz="0" w:space="0" w:color="auto"/>
              </w:divBdr>
              <w:divsChild>
                <w:div w:id="1742363400">
                  <w:marLeft w:val="0"/>
                  <w:marRight w:val="0"/>
                  <w:marTop w:val="0"/>
                  <w:marBottom w:val="0"/>
                  <w:divBdr>
                    <w:top w:val="none" w:sz="0" w:space="0" w:color="auto"/>
                    <w:left w:val="none" w:sz="0" w:space="0" w:color="auto"/>
                    <w:bottom w:val="none" w:sz="0" w:space="0" w:color="auto"/>
                    <w:right w:val="none" w:sz="0" w:space="0" w:color="auto"/>
                  </w:divBdr>
                </w:div>
              </w:divsChild>
            </w:div>
            <w:div w:id="1793593414">
              <w:marLeft w:val="0"/>
              <w:marRight w:val="0"/>
              <w:marTop w:val="0"/>
              <w:marBottom w:val="0"/>
              <w:divBdr>
                <w:top w:val="none" w:sz="0" w:space="0" w:color="auto"/>
                <w:left w:val="none" w:sz="0" w:space="0" w:color="auto"/>
                <w:bottom w:val="none" w:sz="0" w:space="0" w:color="auto"/>
                <w:right w:val="none" w:sz="0" w:space="0" w:color="auto"/>
              </w:divBdr>
              <w:divsChild>
                <w:div w:id="732847330">
                  <w:marLeft w:val="0"/>
                  <w:marRight w:val="0"/>
                  <w:marTop w:val="0"/>
                  <w:marBottom w:val="0"/>
                  <w:divBdr>
                    <w:top w:val="none" w:sz="0" w:space="0" w:color="auto"/>
                    <w:left w:val="none" w:sz="0" w:space="0" w:color="auto"/>
                    <w:bottom w:val="none" w:sz="0" w:space="0" w:color="auto"/>
                    <w:right w:val="none" w:sz="0" w:space="0" w:color="auto"/>
                  </w:divBdr>
                </w:div>
              </w:divsChild>
            </w:div>
            <w:div w:id="904024593">
              <w:marLeft w:val="0"/>
              <w:marRight w:val="0"/>
              <w:marTop w:val="0"/>
              <w:marBottom w:val="0"/>
              <w:divBdr>
                <w:top w:val="none" w:sz="0" w:space="0" w:color="auto"/>
                <w:left w:val="none" w:sz="0" w:space="0" w:color="auto"/>
                <w:bottom w:val="none" w:sz="0" w:space="0" w:color="auto"/>
                <w:right w:val="none" w:sz="0" w:space="0" w:color="auto"/>
              </w:divBdr>
              <w:divsChild>
                <w:div w:id="13408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10839">
          <w:marLeft w:val="0"/>
          <w:marRight w:val="0"/>
          <w:marTop w:val="0"/>
          <w:marBottom w:val="0"/>
          <w:divBdr>
            <w:top w:val="none" w:sz="0" w:space="0" w:color="auto"/>
            <w:left w:val="none" w:sz="0" w:space="0" w:color="auto"/>
            <w:bottom w:val="none" w:sz="0" w:space="0" w:color="auto"/>
            <w:right w:val="none" w:sz="0" w:space="0" w:color="auto"/>
          </w:divBdr>
        </w:div>
        <w:div w:id="55247841">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openxmlformats.org/package/2006/metadata/core-properties"/>
    <ds:schemaRef ds:uri="http://purl.org/dc/dcmitype/"/>
    <ds:schemaRef ds:uri="http://schemas.microsoft.com/office/2006/metadata/properties"/>
    <ds:schemaRef ds:uri="b93c647f-d63b-431a-95c8-8e00048cff23"/>
    <ds:schemaRef ds:uri="http://www.w3.org/XML/1998/namespace"/>
    <ds:schemaRef ds:uri="http://schemas.microsoft.com/office/infopath/2007/PartnerControls"/>
    <ds:schemaRef ds:uri="http://schemas.microsoft.com/office/2006/documentManagement/types"/>
    <ds:schemaRef ds:uri="eb6c2e4c-3f1c-4103-a37b-37c984dbe58f"/>
    <ds:schemaRef ds:uri="http://purl.org/dc/terms/"/>
    <ds:schemaRef ds:uri="http://purl.org/dc/elements/1.1/"/>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8500</Words>
  <Characters>46574</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reports with no outstanding issues</dc:title>
  <dc:creator>Mulu Alem</dc:creator>
  <cp:lastModifiedBy>Kata Koppel</cp:lastModifiedBy>
  <cp:revision>4</cp:revision>
  <cp:lastPrinted>2001-05-26T16:40:00Z</cp:lastPrinted>
  <dcterms:created xsi:type="dcterms:W3CDTF">2024-11-21T01:31:00Z</dcterms:created>
  <dcterms:modified xsi:type="dcterms:W3CDTF">2024-11-21T01:36:00Z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