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3577747" w14:textId="77777777">
        <w:trPr>
          <w:trHeight w:val="720"/>
        </w:trPr>
        <w:tc>
          <w:tcPr>
            <w:tcW w:w="4410" w:type="dxa"/>
            <w:gridSpan w:val="2"/>
            <w:tcBorders>
              <w:bottom w:val="single" w:sz="18" w:space="0" w:color="auto"/>
            </w:tcBorders>
          </w:tcPr>
          <w:p w14:paraId="7D26274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BBD2C4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4E334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D87CB7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AB19C86" wp14:editId="0ACEAE7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6074FAA" wp14:editId="5187F71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D947010" w14:textId="77777777" w:rsidR="007E5D09" w:rsidRDefault="00E1360E">
            <w:pPr>
              <w:spacing w:before="120"/>
              <w:jc w:val="left"/>
              <w:rPr>
                <w:lang w:val="en-US"/>
              </w:rPr>
            </w:pPr>
            <w:r>
              <w:rPr>
                <w:lang w:val="en-US"/>
              </w:rPr>
              <w:t>GENERAL</w:t>
            </w:r>
          </w:p>
          <w:p w14:paraId="529BF0A0" w14:textId="77777777" w:rsidR="007E5D09" w:rsidRDefault="007E5D09">
            <w:pPr>
              <w:spacing w:before="120"/>
              <w:jc w:val="left"/>
              <w:rPr>
                <w:lang w:val="en-US"/>
              </w:rPr>
            </w:pPr>
          </w:p>
          <w:p w14:paraId="436B09A9" w14:textId="05071437" w:rsidR="007E5D09" w:rsidRDefault="00580259">
            <w:pPr>
              <w:rPr>
                <w:rtl/>
              </w:rPr>
            </w:pPr>
            <w:r>
              <w:fldChar w:fldCharType="begin"/>
            </w:r>
            <w:r>
              <w:instrText xml:space="preserve"> DOCPROPERTY "Document number"  \* MERGEFORMAT </w:instrText>
            </w:r>
            <w:r>
              <w:fldChar w:fldCharType="separate"/>
            </w:r>
            <w:r w:rsidR="00F840EB">
              <w:t>UNEP/</w:t>
            </w:r>
            <w:proofErr w:type="spellStart"/>
            <w:r w:rsidR="00F840EB">
              <w:t>OzL.Pro</w:t>
            </w:r>
            <w:proofErr w:type="spellEnd"/>
            <w:r w:rsidR="00F840EB">
              <w:t>/ExCom/89/12</w:t>
            </w:r>
            <w:r>
              <w:fldChar w:fldCharType="end"/>
            </w:r>
          </w:p>
          <w:p w14:paraId="7C5E6292" w14:textId="22A70BD0"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840EB">
              <w:rPr>
                <w:lang w:val="en-US"/>
              </w:rPr>
              <w:t>5</w:t>
            </w:r>
            <w:r w:rsidR="00F840EB" w:rsidRPr="00F840EB">
              <w:t xml:space="preserve"> </w:t>
            </w:r>
            <w:r w:rsidR="00F840EB">
              <w:rPr>
                <w:lang w:val="en-US"/>
              </w:rPr>
              <w:t>May</w:t>
            </w:r>
            <w:r w:rsidR="00F840EB" w:rsidRPr="00F840EB">
              <w:t xml:space="preserve"> 2022</w:t>
            </w:r>
            <w:r>
              <w:fldChar w:fldCharType="end"/>
            </w:r>
          </w:p>
          <w:p w14:paraId="4BF8747F" w14:textId="77777777" w:rsidR="00662A73" w:rsidRDefault="00662A73">
            <w:pPr>
              <w:spacing w:before="120"/>
              <w:jc w:val="left"/>
              <w:rPr>
                <w:rtl/>
                <w:lang w:val="en-US" w:bidi="ar-AE"/>
              </w:rPr>
            </w:pPr>
          </w:p>
          <w:p w14:paraId="159A16EA" w14:textId="77777777" w:rsidR="007E5D09" w:rsidRDefault="00E1360E">
            <w:pPr>
              <w:spacing w:before="120"/>
              <w:jc w:val="left"/>
              <w:rPr>
                <w:lang w:val="en-US"/>
              </w:rPr>
            </w:pPr>
            <w:r>
              <w:rPr>
                <w:lang w:val="en-US"/>
              </w:rPr>
              <w:t>ARABIC</w:t>
            </w:r>
          </w:p>
          <w:p w14:paraId="536DBC4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3DC4B7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547774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1B8E731"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D8A264E"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7EC6091" w14:textId="77777777" w:rsidR="007E5D09" w:rsidRDefault="007E5D09">
            <w:pPr>
              <w:rPr>
                <w:caps/>
                <w:lang w:val="en-US"/>
              </w:rPr>
            </w:pPr>
          </w:p>
          <w:p w14:paraId="7241799B" w14:textId="77777777" w:rsidR="007E5D09" w:rsidRDefault="007E5D09">
            <w:pPr>
              <w:rPr>
                <w:lang w:val="en-US"/>
              </w:rPr>
            </w:pPr>
          </w:p>
        </w:tc>
      </w:tr>
    </w:tbl>
    <w:p w14:paraId="2B6E9D3B" w14:textId="77777777" w:rsidR="007E5D09" w:rsidRDefault="007E5D09">
      <w:pPr>
        <w:pStyle w:val="Caption"/>
        <w:spacing w:line="200" w:lineRule="exact"/>
        <w:ind w:left="187" w:right="187" w:hanging="187"/>
        <w:jc w:val="both"/>
        <w:rPr>
          <w:rFonts w:cs="Akhbar MT"/>
          <w:b/>
          <w:bCs/>
          <w:sz w:val="28"/>
          <w:szCs w:val="28"/>
          <w:rtl/>
        </w:rPr>
      </w:pPr>
    </w:p>
    <w:p w14:paraId="4D92AFB5"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F6B935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D00294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7A3B6260"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339ECD1" w14:textId="77777777" w:rsidR="00702662" w:rsidRDefault="00702662" w:rsidP="00702662">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آيار 2002 (الجزء الأول)</w:t>
      </w:r>
    </w:p>
    <w:p w14:paraId="703EF626" w14:textId="77777777" w:rsidR="00702662" w:rsidRDefault="00702662" w:rsidP="00702662">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3A76030C" w14:textId="77777777" w:rsidR="00702662" w:rsidRDefault="00702662" w:rsidP="00702662">
      <w:pPr>
        <w:bidi/>
        <w:jc w:val="left"/>
        <w:rPr>
          <w:szCs w:val="24"/>
          <w:rtl/>
          <w:lang w:val="en-US" w:eastAsia="zh-CN" w:bidi="ar-EG"/>
        </w:rPr>
      </w:pPr>
    </w:p>
    <w:p w14:paraId="278208A3" w14:textId="77777777" w:rsidR="00717685" w:rsidRPr="00F840EB" w:rsidRDefault="00717685" w:rsidP="00717685">
      <w:pPr>
        <w:bidi/>
        <w:jc w:val="center"/>
        <w:rPr>
          <w:b/>
          <w:sz w:val="32"/>
          <w:szCs w:val="32"/>
          <w:lang w:val="en-CA" w:bidi="ar-SA"/>
        </w:rPr>
      </w:pPr>
      <w:r w:rsidRPr="00F840EB">
        <w:rPr>
          <w:rFonts w:hint="cs"/>
          <w:b/>
          <w:bCs/>
          <w:sz w:val="32"/>
          <w:szCs w:val="32"/>
          <w:rtl/>
          <w:lang w:eastAsia="ar" w:bidi="ar-EG"/>
        </w:rPr>
        <w:t>الوقوف على خيارات، شاملة الإجراءات والشروط ذات الصلة، حشد الموارد المالية للحفاظ على كفاءة الطاقة و/أو تعزيزها عند الاستعاضة عن المواد الهيدروفلوروكربونية بالبدائل ذات القدرة المنخفضة على إحداث الاحترار العالمي (المقرر 87/51)</w:t>
      </w:r>
    </w:p>
    <w:p w14:paraId="42922577" w14:textId="77777777" w:rsidR="00717685" w:rsidRDefault="00717685" w:rsidP="00717685">
      <w:pPr>
        <w:bidi/>
        <w:jc w:val="center"/>
        <w:rPr>
          <w:b/>
          <w:sz w:val="26"/>
          <w:szCs w:val="26"/>
        </w:rPr>
      </w:pPr>
    </w:p>
    <w:p w14:paraId="7BB40E4F" w14:textId="77777777" w:rsidR="00717685" w:rsidRPr="00F840EB" w:rsidRDefault="00717685" w:rsidP="00717685">
      <w:pPr>
        <w:bidi/>
        <w:jc w:val="center"/>
        <w:rPr>
          <w:b/>
          <w:sz w:val="28"/>
          <w:szCs w:val="28"/>
        </w:rPr>
      </w:pPr>
      <w:r w:rsidRPr="00F840EB">
        <w:rPr>
          <w:rFonts w:hint="cs"/>
          <w:b/>
          <w:bCs/>
          <w:sz w:val="28"/>
          <w:szCs w:val="28"/>
          <w:rtl/>
          <w:lang w:eastAsia="ar" w:bidi="ar-EG"/>
        </w:rPr>
        <w:t>تقرير الأمانة:</w:t>
      </w:r>
    </w:p>
    <w:p w14:paraId="222CFCFF" w14:textId="77777777" w:rsidR="00717685" w:rsidRPr="00F840EB" w:rsidRDefault="00717685" w:rsidP="00717685">
      <w:pPr>
        <w:bidi/>
        <w:jc w:val="left"/>
        <w:rPr>
          <w:b/>
          <w:sz w:val="28"/>
          <w:szCs w:val="28"/>
        </w:rPr>
      </w:pPr>
      <w:r w:rsidRPr="00F840EB">
        <w:rPr>
          <w:rFonts w:hint="cs"/>
          <w:b/>
          <w:bCs/>
          <w:sz w:val="28"/>
          <w:szCs w:val="28"/>
          <w:rtl/>
          <w:lang w:eastAsia="ar" w:bidi="ar-EG"/>
        </w:rPr>
        <w:t>مقدمة</w:t>
      </w:r>
    </w:p>
    <w:p w14:paraId="32F28BC5" w14:textId="77777777" w:rsidR="00717685" w:rsidRDefault="00717685" w:rsidP="00717685">
      <w:pPr>
        <w:bidi/>
        <w:jc w:val="left"/>
        <w:rPr>
          <w:sz w:val="26"/>
          <w:szCs w:val="26"/>
        </w:rPr>
      </w:pPr>
    </w:p>
    <w:p w14:paraId="1DE8C2D6" w14:textId="0D31098C" w:rsidR="00717685" w:rsidRPr="0041799B" w:rsidRDefault="00717685" w:rsidP="0041799B">
      <w:pPr>
        <w:pStyle w:val="Heading1"/>
        <w:numPr>
          <w:ilvl w:val="0"/>
          <w:numId w:val="32"/>
        </w:numPr>
        <w:bidi/>
        <w:rPr>
          <w:sz w:val="26"/>
          <w:szCs w:val="26"/>
        </w:rPr>
      </w:pPr>
      <w:r w:rsidRPr="0041799B">
        <w:rPr>
          <w:rFonts w:hint="cs"/>
          <w:sz w:val="26"/>
          <w:szCs w:val="26"/>
          <w:rtl/>
          <w:lang w:eastAsia="ar" w:bidi="ar-EG"/>
        </w:rPr>
        <w:t>اعتمدت الأطراف في اجتماعها الثامن والعشرين تعديل كيغالي لبروتوكول مونتريال (المقرر 28/1)، كما اعتمدت المقرر 28/2 بشأن المسائل المتصلة بالتخفيض التدريجي للمواد الهيدروفلوروكربونية. وفي الفقرة 22 من ذلك المقرر، طلبت الأطراف إلى اللجنة التنفيذية وضع توجيه بالتكلفة المرتبطة بالحفاظ على كفاءة الطاقة و/أو تعزيزها عن طريق التكنولوجيات البديلة والمعدات ذات القدرة المنخفضة، أو المعدومة، على إحداث الاحترار العالم</w:t>
      </w:r>
      <w:r w:rsidR="00995F8A" w:rsidRPr="0041799B">
        <w:rPr>
          <w:rFonts w:hint="cs"/>
          <w:sz w:val="26"/>
          <w:szCs w:val="26"/>
          <w:rtl/>
          <w:lang w:eastAsia="ar" w:bidi="ar-EG"/>
        </w:rPr>
        <w:t>ي</w:t>
      </w:r>
      <w:r w:rsidRPr="0041799B">
        <w:rPr>
          <w:rFonts w:hint="cs"/>
          <w:sz w:val="26"/>
          <w:szCs w:val="26"/>
          <w:rtl/>
          <w:lang w:eastAsia="ar" w:bidi="ar-EG"/>
        </w:rPr>
        <w:t>، وذلك عند التخفيض التدريجي للمواد الهيدروفلوروكربونية، مع الإحاطة علماً بدور المؤسسات الأخرى الت</w:t>
      </w:r>
      <w:r w:rsidR="00995F8A" w:rsidRPr="0041799B">
        <w:rPr>
          <w:rFonts w:hint="cs"/>
          <w:sz w:val="26"/>
          <w:szCs w:val="26"/>
          <w:rtl/>
          <w:lang w:eastAsia="ar" w:bidi="ar-EG"/>
        </w:rPr>
        <w:t>ي</w:t>
      </w:r>
      <w:r w:rsidRPr="0041799B">
        <w:rPr>
          <w:rFonts w:hint="cs"/>
          <w:sz w:val="26"/>
          <w:szCs w:val="26"/>
          <w:rtl/>
          <w:lang w:eastAsia="ar" w:bidi="ar-EG"/>
        </w:rPr>
        <w:t xml:space="preserve"> تتناول كفاءة الطاقة، حسب الاقتضاء.</w:t>
      </w:r>
    </w:p>
    <w:p w14:paraId="05873D0D"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وفي الاجتماع الثاني والثمانين، طلبت اللجنة التنفيذية إلى الأمانة إعداد وثائق داعمة بمعلومات عن الصناديق والمؤسسات المالية ذات الصلة التي يمكنها حشد الموارد لتحقيق كفاءة الطاقة عند التخفيض التدريجي للمواد الهيدروفلوروكربونية، بما في ذلك الطرائق التي تستخدمها تلك المؤسسات لتوفير الموارد إلى البلدان النامية، بالإضافة إلى جدوى الوكالات المنفذة للحصول على هذه الموارد لتنفيذ تلك المشروعات. ومنذ ذلك الحين، عقدت اللجنة التنفيذية سلسلة من المناقشات في الجلسات العامة المكتملة وفي فريق اتصال. ويرد في المرفق الأول لهذه الوثيقة موجز بالوثائق التي أُعدت، والمناقشات التي أُجريت بشأن هذه المسألة. </w:t>
      </w:r>
    </w:p>
    <w:p w14:paraId="303DBCC4" w14:textId="77777777" w:rsidR="00717685" w:rsidRDefault="00717685" w:rsidP="00717685">
      <w:pPr>
        <w:pStyle w:val="Heading1"/>
        <w:numPr>
          <w:ilvl w:val="0"/>
          <w:numId w:val="23"/>
        </w:numPr>
        <w:bidi/>
        <w:rPr>
          <w:b/>
          <w:sz w:val="26"/>
          <w:szCs w:val="26"/>
        </w:rPr>
      </w:pPr>
      <w:r>
        <w:rPr>
          <w:rFonts w:hint="cs"/>
          <w:sz w:val="26"/>
          <w:szCs w:val="26"/>
          <w:rtl/>
          <w:lang w:eastAsia="ar" w:bidi="ar-EG"/>
        </w:rPr>
        <w:lastRenderedPageBreak/>
        <w:t xml:space="preserve">وعقب المناقشة التي أجراها فريق الاتصال في يونيه/حزيران 2021، </w:t>
      </w:r>
      <w:r>
        <w:rPr>
          <w:rStyle w:val="FootnoteReference"/>
          <w:sz w:val="26"/>
          <w:szCs w:val="26"/>
          <w:rtl/>
          <w:lang w:eastAsia="ar" w:bidi="ar-EG"/>
        </w:rPr>
        <w:footnoteReference w:id="2"/>
      </w:r>
      <w:r>
        <w:rPr>
          <w:rFonts w:hint="cs"/>
          <w:sz w:val="26"/>
          <w:szCs w:val="26"/>
          <w:rtl/>
          <w:lang w:eastAsia="ar" w:bidi="ar-EG"/>
        </w:rPr>
        <w:t xml:space="preserve">اضطلعت اللجنة التنفيذية بجملة أمور منها: (أ) أحاطت علماً بالتقرير الوارد في الوثيقة </w:t>
      </w:r>
      <w:r>
        <w:rPr>
          <w:sz w:val="26"/>
          <w:szCs w:val="26"/>
          <w:lang w:eastAsia="ar" w:bidi="en-GB"/>
        </w:rPr>
        <w:t>UNEP/OzL.Pro/ExCom</w:t>
      </w:r>
      <w:r>
        <w:rPr>
          <w:sz w:val="26"/>
          <w:szCs w:val="26"/>
          <w:lang w:eastAsia="ar" w:bidi="ar-EG"/>
        </w:rPr>
        <w:t>/87/51</w:t>
      </w:r>
      <w:r>
        <w:rPr>
          <w:rFonts w:hint="cs"/>
          <w:sz w:val="26"/>
          <w:szCs w:val="26"/>
          <w:rtl/>
          <w:lang w:eastAsia="ar" w:bidi="ar-EG"/>
        </w:rPr>
        <w:t xml:space="preserve">؛ (ب) وطلبت إلى الأمانة إعداد تقرير اجتماع الجنة التنفيذية الأول في عام 2022 يحدد خيارات حشد الموارد المالية بغرض الحفاظ على كفاءة الطاقة و/أو تعزيزها، داخل الصندوق المتعدد الأطراف وبالعمل مع المؤسسات المالية الأخرى التي مولت كفاءة الطاقة والتي قد تتوافق إجراءاتها مع إجراءات الصندوق المتعدد الأطراف، عند الاستعاضة عن المواد الهيدروفلوروكربونية ببدائل منخفضة القدرة على إحداث الاحترار العالمي في القطاعات الفرعية لتصنيع الرغاوي والتبريد وتكييف الهواء والمضخات الحرارية؛ (ج) وطلبت إلى الأمانة أيضاً أن تحدد، في التقرير المطلوب، الإجراءات والشروط ذات الصلة المتعلقة بتقديم المنح، وغيرها من خيارات التمويل التي تقدمها المؤسسات المالية الأخرى للحفاظ على كفاءة  الطاقة و/أو تعزيزها (المقرر 87/51). </w:t>
      </w:r>
    </w:p>
    <w:p w14:paraId="4B7F8903"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تقدم الأمانة هذا التقرير عملاً بالمقرر 87/51. وهو ينقسم إلى خمسة أقسام: يسرد الأول المؤسسات المالية التي يمكنها تمويل كفاءة الطاقة في القطاعات الفرعية لتصنيع الرغاوي وقطاعات التبريد وتكيف الهواء والمضخات الحرارية. ويعرض القسم الثاني المشروعات والأنشطة المحتملة التي يمكن الاضطلاع بها للحفاظ على كفاءة الطاقة و/أو تعزيزها في قطاعي التصنيع والخدمات، مع التخفيض التدريجي للمواد الهيدروفلوروكربونية وتأثيرها. ويتناول القسم الثالث خيارات التمويل للحفاظ على كفاءة الطاقة و/أو تعزيزها مع التخفيض التدريجي للمواد الهيدروفلوروكربونية، ومدى توافق تلك الخيارات مع عمليات الصندوق المتعدد الأطراف. وفي القسم الرابع، تُعرض إجراءات وشروط الحصول على المنح وخيارات التمويل الأخرى من المؤسسات المالية لتمويل كفاءة الطاقة أثناء التخفيض التدريجي للمواد الهيدروفلوروكربونية. ويختتم القسم الخامس التقرير بملاحظات الأمانة وتوصياتها. </w:t>
      </w:r>
    </w:p>
    <w:p w14:paraId="76B821D0" w14:textId="77777777" w:rsidR="00717685" w:rsidRDefault="00717685" w:rsidP="00717685">
      <w:pPr>
        <w:pStyle w:val="StyleHeader4Para4Left0Firstline0"/>
        <w:numPr>
          <w:ilvl w:val="0"/>
          <w:numId w:val="0"/>
        </w:numPr>
        <w:tabs>
          <w:tab w:val="clear" w:pos="2880"/>
          <w:tab w:val="left" w:pos="720"/>
        </w:tabs>
        <w:bidi/>
        <w:ind w:left="720" w:hanging="720"/>
        <w:rPr>
          <w:b/>
          <w:sz w:val="26"/>
          <w:szCs w:val="26"/>
        </w:rPr>
      </w:pPr>
      <w:r>
        <w:rPr>
          <w:rFonts w:hint="cs"/>
          <w:b/>
          <w:bCs/>
          <w:sz w:val="26"/>
          <w:szCs w:val="26"/>
          <w:rtl/>
          <w:lang w:eastAsia="ar" w:bidi="ar-EG"/>
        </w:rPr>
        <w:t>أولا-</w:t>
      </w:r>
      <w:r>
        <w:rPr>
          <w:rFonts w:hint="cs"/>
          <w:b/>
          <w:bCs/>
          <w:sz w:val="26"/>
          <w:szCs w:val="26"/>
          <w:rtl/>
          <w:lang w:eastAsia="ar" w:bidi="ar-EG"/>
        </w:rPr>
        <w:tab/>
        <w:t>المؤسسات المالية التي يمكنها تمويل كفاءة الطاقة في القطاعات الفرعية لتصنيع الرغاوي وقطاعات التبريد وتكيف الهواء والمضخات الحرارية.</w:t>
      </w:r>
    </w:p>
    <w:p w14:paraId="10F60DB8" w14:textId="77777777" w:rsidR="00717685" w:rsidRDefault="00717685" w:rsidP="00717685">
      <w:pPr>
        <w:pStyle w:val="Heading1"/>
        <w:numPr>
          <w:ilvl w:val="0"/>
          <w:numId w:val="23"/>
        </w:numPr>
        <w:bidi/>
        <w:rPr>
          <w:sz w:val="26"/>
          <w:szCs w:val="26"/>
        </w:rPr>
      </w:pPr>
      <w:r>
        <w:rPr>
          <w:rFonts w:hint="cs"/>
          <w:sz w:val="26"/>
          <w:szCs w:val="26"/>
          <w:rtl/>
          <w:lang w:eastAsia="ar" w:bidi="ar-EG"/>
        </w:rPr>
        <w:t>عند إعداد هذا التقرير، استعرضت الأمانة المعلومات المقدمة في تقرير فريق التكنولوجيا والتقييم الاقتصادي في عام 2018</w:t>
      </w:r>
      <w:r>
        <w:rPr>
          <w:rStyle w:val="FootnoteReference"/>
          <w:sz w:val="26"/>
          <w:szCs w:val="26"/>
          <w:rtl/>
          <w:lang w:eastAsia="ar" w:bidi="ar-EG"/>
        </w:rPr>
        <w:footnoteReference w:id="3"/>
      </w:r>
      <w:r>
        <w:rPr>
          <w:rFonts w:hint="cs"/>
          <w:sz w:val="26"/>
          <w:szCs w:val="26"/>
          <w:rtl/>
          <w:lang w:eastAsia="ar" w:bidi="ar-EG"/>
        </w:rPr>
        <w:t xml:space="preserve"> وعقدت مشاورات غير رسمية مع ممثلين عن عدة مؤسسات وأفراد آخرين يتعاملون مع مشروعات ذات صلة بكفاءة الطاقة وتطبيقات التبريد، ومنها المشروعات المرتبطة بالتخفيض التدريجي للهيدروفلوروكربون.  ونظرت الأمانة أيضاً في التجربة الأخيرة بشأن التمويل الإضافي الذي يتجاوز الإسهامات المتعهد بها من الأطراف المقدمة إلى الصندوق المتعدد الأطراف لدعم البداية السريعة لتنفيذ تعديل كيغالي. </w:t>
      </w:r>
    </w:p>
    <w:p w14:paraId="4A7907B6"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وبناءً على هذه المشاورات، حُددت المؤسسات المبينة في الجدول 1، وجرى التواصل معها لجمع معلومات عن مصادر التمويل المحتملة لكفاءة الطاقة ولفهم إجراءاتها التشغيلية، وشروط المنح، وخيارات التمويل الأخرى، من خلال استبيان وضعته الأمانة، ويرد في المرفق الثاني لهذه الوثيقة. وقائمة المؤسسات هذه ليست حصرية، فربما تُحدد في المستقبل مزيد من المؤسسات التي يمكن أن تمول كفاءة الطاقة. </w:t>
      </w:r>
    </w:p>
    <w:p w14:paraId="2029AFFB" w14:textId="77777777" w:rsidR="00717685" w:rsidRDefault="00717685" w:rsidP="00717685">
      <w:pPr>
        <w:pStyle w:val="StyleHeader4Para4Left0Firstline0"/>
        <w:numPr>
          <w:ilvl w:val="0"/>
          <w:numId w:val="0"/>
        </w:numPr>
        <w:bidi/>
        <w:spacing w:after="0"/>
        <w:rPr>
          <w:b/>
          <w:sz w:val="26"/>
          <w:szCs w:val="26"/>
        </w:rPr>
      </w:pPr>
      <w:r>
        <w:rPr>
          <w:rFonts w:hint="cs"/>
          <w:b/>
          <w:bCs/>
          <w:sz w:val="26"/>
          <w:szCs w:val="26"/>
          <w:rtl/>
          <w:lang w:eastAsia="ar" w:bidi="ar-EG"/>
        </w:rPr>
        <w:t>الجدول 1- المؤسسات ذات مصادر التمويل المحتملة لكفاءة الطاقة، المُحددة والتي جرى التواصل معها</w:t>
      </w:r>
    </w:p>
    <w:tbl>
      <w:tblPr>
        <w:tblStyle w:val="TableGrid"/>
        <w:bidiVisual/>
        <w:tblW w:w="0" w:type="auto"/>
        <w:tblLook w:val="04A0" w:firstRow="1" w:lastRow="0" w:firstColumn="1" w:lastColumn="0" w:noHBand="0" w:noVBand="1"/>
      </w:tblPr>
      <w:tblGrid>
        <w:gridCol w:w="3539"/>
        <w:gridCol w:w="5811"/>
      </w:tblGrid>
      <w:tr w:rsidR="00717685" w14:paraId="4574F7F8" w14:textId="77777777" w:rsidTr="00717685">
        <w:trPr>
          <w:tblHeader/>
        </w:trPr>
        <w:tc>
          <w:tcPr>
            <w:tcW w:w="3539" w:type="dxa"/>
            <w:tcBorders>
              <w:top w:val="single" w:sz="4" w:space="0" w:color="auto"/>
              <w:left w:val="single" w:sz="4" w:space="0" w:color="auto"/>
              <w:bottom w:val="single" w:sz="4" w:space="0" w:color="auto"/>
              <w:right w:val="single" w:sz="4" w:space="0" w:color="auto"/>
            </w:tcBorders>
            <w:hideMark/>
          </w:tcPr>
          <w:p w14:paraId="7A50E202" w14:textId="77777777" w:rsidR="00717685" w:rsidRDefault="00717685">
            <w:pPr>
              <w:pStyle w:val="StyleHeader4Para4Left0Firstline0"/>
              <w:numPr>
                <w:ilvl w:val="0"/>
                <w:numId w:val="0"/>
              </w:numPr>
              <w:bidi/>
              <w:spacing w:after="0"/>
              <w:rPr>
                <w:b/>
                <w:sz w:val="26"/>
                <w:szCs w:val="26"/>
              </w:rPr>
            </w:pPr>
            <w:r>
              <w:rPr>
                <w:rFonts w:hint="cs"/>
                <w:b/>
                <w:bCs/>
                <w:sz w:val="26"/>
                <w:szCs w:val="26"/>
                <w:rtl/>
                <w:lang w:eastAsia="ar" w:bidi="ar-EG"/>
              </w:rPr>
              <w:t>الفئة</w:t>
            </w:r>
          </w:p>
        </w:tc>
        <w:tc>
          <w:tcPr>
            <w:tcW w:w="5811" w:type="dxa"/>
            <w:tcBorders>
              <w:top w:val="single" w:sz="4" w:space="0" w:color="auto"/>
              <w:left w:val="single" w:sz="4" w:space="0" w:color="auto"/>
              <w:bottom w:val="single" w:sz="4" w:space="0" w:color="auto"/>
              <w:right w:val="single" w:sz="4" w:space="0" w:color="auto"/>
            </w:tcBorders>
            <w:hideMark/>
          </w:tcPr>
          <w:p w14:paraId="0BFB5EEA" w14:textId="77777777" w:rsidR="00717685" w:rsidRDefault="00717685">
            <w:pPr>
              <w:pStyle w:val="StyleHeader4Para4Left0Firstline0"/>
              <w:numPr>
                <w:ilvl w:val="0"/>
                <w:numId w:val="0"/>
              </w:numPr>
              <w:bidi/>
              <w:spacing w:after="0"/>
              <w:rPr>
                <w:b/>
                <w:sz w:val="26"/>
                <w:szCs w:val="26"/>
              </w:rPr>
            </w:pPr>
            <w:r>
              <w:rPr>
                <w:rFonts w:hint="cs"/>
                <w:b/>
                <w:bCs/>
                <w:sz w:val="26"/>
                <w:szCs w:val="26"/>
                <w:rtl/>
                <w:lang w:eastAsia="ar" w:bidi="ar-EG"/>
              </w:rPr>
              <w:t>أسماء المؤسسات</w:t>
            </w:r>
          </w:p>
        </w:tc>
      </w:tr>
      <w:tr w:rsidR="00717685" w14:paraId="35B7105A" w14:textId="77777777" w:rsidTr="00717685">
        <w:tc>
          <w:tcPr>
            <w:tcW w:w="3539" w:type="dxa"/>
            <w:tcBorders>
              <w:top w:val="single" w:sz="4" w:space="0" w:color="auto"/>
              <w:left w:val="single" w:sz="4" w:space="0" w:color="auto"/>
              <w:bottom w:val="single" w:sz="4" w:space="0" w:color="auto"/>
              <w:right w:val="single" w:sz="4" w:space="0" w:color="auto"/>
            </w:tcBorders>
            <w:hideMark/>
          </w:tcPr>
          <w:p w14:paraId="3359D171"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مؤسسات التمويل المتعددة الأطراف</w:t>
            </w:r>
          </w:p>
        </w:tc>
        <w:tc>
          <w:tcPr>
            <w:tcW w:w="5811" w:type="dxa"/>
            <w:tcBorders>
              <w:top w:val="single" w:sz="4" w:space="0" w:color="auto"/>
              <w:left w:val="single" w:sz="4" w:space="0" w:color="auto"/>
              <w:bottom w:val="single" w:sz="4" w:space="0" w:color="auto"/>
              <w:right w:val="single" w:sz="4" w:space="0" w:color="auto"/>
            </w:tcBorders>
            <w:hideMark/>
          </w:tcPr>
          <w:p w14:paraId="17C4A88E"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مرفق البيئة العالمية</w:t>
            </w:r>
          </w:p>
          <w:p w14:paraId="6E831484"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صندوق المناخ الأخضر</w:t>
            </w:r>
          </w:p>
        </w:tc>
      </w:tr>
      <w:tr w:rsidR="00717685" w14:paraId="47FB8513" w14:textId="77777777" w:rsidTr="00717685">
        <w:tc>
          <w:tcPr>
            <w:tcW w:w="3539" w:type="dxa"/>
            <w:tcBorders>
              <w:top w:val="single" w:sz="4" w:space="0" w:color="auto"/>
              <w:left w:val="single" w:sz="4" w:space="0" w:color="auto"/>
              <w:bottom w:val="single" w:sz="4" w:space="0" w:color="auto"/>
              <w:right w:val="single" w:sz="4" w:space="0" w:color="auto"/>
            </w:tcBorders>
            <w:hideMark/>
          </w:tcPr>
          <w:p w14:paraId="4AFB2509" w14:textId="77777777" w:rsidR="00717685" w:rsidRDefault="00717685">
            <w:pPr>
              <w:pStyle w:val="StyleHeader4Para4Left0Firstline0"/>
              <w:numPr>
                <w:ilvl w:val="0"/>
                <w:numId w:val="0"/>
              </w:numPr>
              <w:bidi/>
              <w:spacing w:after="0"/>
              <w:jc w:val="left"/>
              <w:rPr>
                <w:sz w:val="26"/>
                <w:szCs w:val="26"/>
              </w:rPr>
            </w:pPr>
            <w:r>
              <w:rPr>
                <w:rFonts w:hint="cs"/>
                <w:sz w:val="26"/>
                <w:szCs w:val="26"/>
                <w:rtl/>
                <w:lang w:eastAsia="ar" w:bidi="ar-EG"/>
              </w:rPr>
              <w:t>المفوضية الأوروبية ومصارف التنمية الإقليمية والمتعددة الأطراف</w:t>
            </w:r>
          </w:p>
        </w:tc>
        <w:tc>
          <w:tcPr>
            <w:tcW w:w="5811" w:type="dxa"/>
            <w:tcBorders>
              <w:top w:val="single" w:sz="4" w:space="0" w:color="auto"/>
              <w:left w:val="single" w:sz="4" w:space="0" w:color="auto"/>
              <w:bottom w:val="single" w:sz="4" w:space="0" w:color="auto"/>
              <w:right w:val="single" w:sz="4" w:space="0" w:color="auto"/>
            </w:tcBorders>
            <w:hideMark/>
          </w:tcPr>
          <w:p w14:paraId="1FC8AA08"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المفوضية الأوروبية</w:t>
            </w:r>
          </w:p>
          <w:p w14:paraId="702FADA0"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بنك التنمية الآسيوي</w:t>
            </w:r>
          </w:p>
          <w:p w14:paraId="7024C038"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مجموعة بنك التنمية الأفريقي</w:t>
            </w:r>
          </w:p>
          <w:p w14:paraId="4CEF102A"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 xml:space="preserve">المصرف الأوروبي للإنشاء والتعمير </w:t>
            </w:r>
          </w:p>
          <w:p w14:paraId="0A4C03C9"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بنك التنمية للبلدان الأمريكية</w:t>
            </w:r>
          </w:p>
          <w:p w14:paraId="2139F869" w14:textId="77777777" w:rsidR="00717685" w:rsidRDefault="00717685">
            <w:pPr>
              <w:pStyle w:val="StyleHeader4Para4Left0Firstline0"/>
              <w:numPr>
                <w:ilvl w:val="0"/>
                <w:numId w:val="0"/>
              </w:numPr>
              <w:bidi/>
              <w:spacing w:after="0"/>
              <w:rPr>
                <w:sz w:val="26"/>
                <w:szCs w:val="26"/>
              </w:rPr>
            </w:pPr>
            <w:r>
              <w:rPr>
                <w:rFonts w:hint="cs"/>
                <w:sz w:val="26"/>
                <w:szCs w:val="26"/>
                <w:rtl/>
                <w:lang w:eastAsia="ar" w:bidi="ar-EG"/>
              </w:rPr>
              <w:t>مجموعة البنك الدولي</w:t>
            </w:r>
          </w:p>
        </w:tc>
      </w:tr>
      <w:tr w:rsidR="00717685" w14:paraId="0BF572D1" w14:textId="77777777" w:rsidTr="00717685">
        <w:tc>
          <w:tcPr>
            <w:tcW w:w="3539" w:type="dxa"/>
            <w:tcBorders>
              <w:top w:val="single" w:sz="4" w:space="0" w:color="auto"/>
              <w:left w:val="single" w:sz="4" w:space="0" w:color="auto"/>
              <w:bottom w:val="single" w:sz="4" w:space="0" w:color="auto"/>
              <w:right w:val="single" w:sz="4" w:space="0" w:color="auto"/>
            </w:tcBorders>
            <w:hideMark/>
          </w:tcPr>
          <w:p w14:paraId="172CF4D5" w14:textId="77777777" w:rsidR="00717685" w:rsidRDefault="00717685">
            <w:pPr>
              <w:pStyle w:val="StyleHeader4Para4Left0Firstline0"/>
              <w:keepNext/>
              <w:keepLines/>
              <w:numPr>
                <w:ilvl w:val="0"/>
                <w:numId w:val="0"/>
              </w:numPr>
              <w:bidi/>
              <w:spacing w:after="0"/>
              <w:jc w:val="left"/>
              <w:rPr>
                <w:sz w:val="26"/>
                <w:szCs w:val="26"/>
              </w:rPr>
            </w:pPr>
            <w:r>
              <w:rPr>
                <w:rFonts w:hint="cs"/>
                <w:sz w:val="26"/>
                <w:szCs w:val="26"/>
                <w:rtl/>
                <w:lang w:eastAsia="ar" w:bidi="ar-EG"/>
              </w:rPr>
              <w:t>الحكومات التي تمول التعاون الإنمائي</w:t>
            </w:r>
          </w:p>
        </w:tc>
        <w:tc>
          <w:tcPr>
            <w:tcW w:w="5811" w:type="dxa"/>
            <w:tcBorders>
              <w:top w:val="single" w:sz="4" w:space="0" w:color="auto"/>
              <w:left w:val="single" w:sz="4" w:space="0" w:color="auto"/>
              <w:bottom w:val="single" w:sz="4" w:space="0" w:color="auto"/>
              <w:right w:val="single" w:sz="4" w:space="0" w:color="auto"/>
            </w:tcBorders>
            <w:hideMark/>
          </w:tcPr>
          <w:p w14:paraId="32B95B6F" w14:textId="77777777" w:rsidR="00717685" w:rsidRDefault="00717685">
            <w:pPr>
              <w:pStyle w:val="StyleHeader4Para4Left0Firstline0"/>
              <w:keepNext/>
              <w:keepLines/>
              <w:numPr>
                <w:ilvl w:val="0"/>
                <w:numId w:val="0"/>
              </w:numPr>
              <w:bidi/>
              <w:spacing w:after="0"/>
              <w:rPr>
                <w:sz w:val="26"/>
                <w:szCs w:val="26"/>
              </w:rPr>
            </w:pPr>
            <w:r>
              <w:rPr>
                <w:rFonts w:hint="cs"/>
                <w:sz w:val="26"/>
                <w:szCs w:val="26"/>
                <w:rtl/>
                <w:lang w:eastAsia="ar" w:bidi="ar-EG"/>
              </w:rPr>
              <w:t xml:space="preserve">أستراليا </w:t>
            </w:r>
            <w:r>
              <w:rPr>
                <w:rFonts w:hint="cs"/>
                <w:sz w:val="26"/>
                <w:szCs w:val="26"/>
                <w:vertAlign w:val="superscript"/>
                <w:rtl/>
                <w:lang w:eastAsia="ar" w:bidi="ar-EG"/>
              </w:rPr>
              <w:t>#</w:t>
            </w:r>
            <w:r>
              <w:rPr>
                <w:rFonts w:hint="cs"/>
                <w:sz w:val="26"/>
                <w:szCs w:val="26"/>
                <w:rtl/>
                <w:lang w:eastAsia="ar" w:bidi="ar-EG"/>
              </w:rPr>
              <w:t xml:space="preserve">، والنمسا، وبلجيكا </w:t>
            </w:r>
            <w:r>
              <w:rPr>
                <w:rFonts w:hint="cs"/>
                <w:sz w:val="26"/>
                <w:szCs w:val="26"/>
                <w:vertAlign w:val="superscript"/>
                <w:rtl/>
                <w:lang w:eastAsia="ar" w:bidi="ar-EG"/>
              </w:rPr>
              <w:t>#</w:t>
            </w:r>
            <w:r>
              <w:rPr>
                <w:rFonts w:hint="cs"/>
                <w:sz w:val="26"/>
                <w:szCs w:val="26"/>
                <w:rtl/>
                <w:lang w:eastAsia="ar" w:bidi="ar-EG"/>
              </w:rPr>
              <w:t xml:space="preserve">، وكندا </w:t>
            </w:r>
            <w:r>
              <w:rPr>
                <w:rFonts w:hint="cs"/>
                <w:sz w:val="26"/>
                <w:szCs w:val="26"/>
                <w:vertAlign w:val="superscript"/>
                <w:rtl/>
                <w:lang w:eastAsia="ar" w:bidi="ar-EG"/>
              </w:rPr>
              <w:t>#</w:t>
            </w:r>
            <w:r>
              <w:rPr>
                <w:rFonts w:hint="cs"/>
                <w:sz w:val="26"/>
                <w:szCs w:val="26"/>
                <w:rtl/>
                <w:lang w:eastAsia="ar" w:bidi="ar-EG"/>
              </w:rPr>
              <w:t xml:space="preserve"> والدانمرك، وفرنسا، وألمانيا، وإيطاليا، واليابان، وهولندا، والنرويج </w:t>
            </w:r>
            <w:r>
              <w:rPr>
                <w:rFonts w:hint="cs"/>
                <w:sz w:val="26"/>
                <w:szCs w:val="26"/>
                <w:vertAlign w:val="superscript"/>
                <w:rtl/>
                <w:lang w:eastAsia="ar" w:bidi="ar-EG"/>
              </w:rPr>
              <w:t>#</w:t>
            </w:r>
            <w:r>
              <w:rPr>
                <w:rFonts w:hint="cs"/>
                <w:sz w:val="26"/>
                <w:szCs w:val="26"/>
                <w:rtl/>
                <w:lang w:eastAsia="ar" w:bidi="ar-EG"/>
              </w:rPr>
              <w:t>، والسويد، وسويسرا، والمملكة المتحدة لبريطانيا العظمى وأيرلندا الشمالية، والولايات المتحدة الأمريكية</w:t>
            </w:r>
          </w:p>
        </w:tc>
      </w:tr>
      <w:tr w:rsidR="00717685" w14:paraId="626DF185" w14:textId="77777777" w:rsidTr="00717685">
        <w:trPr>
          <w:trHeight w:val="251"/>
        </w:trPr>
        <w:tc>
          <w:tcPr>
            <w:tcW w:w="3539" w:type="dxa"/>
            <w:tcBorders>
              <w:top w:val="single" w:sz="4" w:space="0" w:color="auto"/>
              <w:left w:val="single" w:sz="4" w:space="0" w:color="auto"/>
              <w:bottom w:val="single" w:sz="4" w:space="0" w:color="auto"/>
              <w:right w:val="single" w:sz="4" w:space="0" w:color="auto"/>
            </w:tcBorders>
            <w:hideMark/>
          </w:tcPr>
          <w:p w14:paraId="624265F5" w14:textId="77777777" w:rsidR="00717685" w:rsidRDefault="00717685">
            <w:pPr>
              <w:pStyle w:val="StyleHeader4Para4Left0Firstline0"/>
              <w:keepNext/>
              <w:keepLines/>
              <w:numPr>
                <w:ilvl w:val="0"/>
                <w:numId w:val="0"/>
              </w:numPr>
              <w:bidi/>
              <w:spacing w:after="0"/>
              <w:rPr>
                <w:sz w:val="26"/>
                <w:szCs w:val="26"/>
              </w:rPr>
            </w:pPr>
            <w:r>
              <w:rPr>
                <w:rFonts w:hint="cs"/>
                <w:sz w:val="26"/>
                <w:szCs w:val="26"/>
                <w:rtl/>
                <w:lang w:eastAsia="ar" w:bidi="ar-EG"/>
              </w:rPr>
              <w:t>الصناديق والمبادرات الخيرية</w:t>
            </w:r>
          </w:p>
        </w:tc>
        <w:tc>
          <w:tcPr>
            <w:tcW w:w="5811" w:type="dxa"/>
            <w:tcBorders>
              <w:top w:val="single" w:sz="4" w:space="0" w:color="auto"/>
              <w:left w:val="single" w:sz="4" w:space="0" w:color="auto"/>
              <w:bottom w:val="single" w:sz="4" w:space="0" w:color="auto"/>
              <w:right w:val="single" w:sz="4" w:space="0" w:color="auto"/>
            </w:tcBorders>
            <w:hideMark/>
          </w:tcPr>
          <w:p w14:paraId="284E6463" w14:textId="77777777" w:rsidR="00717685" w:rsidRDefault="00717685">
            <w:pPr>
              <w:pStyle w:val="StyleHeader4Para4Left0Firstline0"/>
              <w:keepNext/>
              <w:keepLines/>
              <w:numPr>
                <w:ilvl w:val="0"/>
                <w:numId w:val="0"/>
              </w:numPr>
              <w:bidi/>
              <w:spacing w:after="0"/>
              <w:rPr>
                <w:sz w:val="26"/>
                <w:szCs w:val="26"/>
              </w:rPr>
            </w:pPr>
            <w:r>
              <w:rPr>
                <w:rFonts w:hint="cs"/>
                <w:sz w:val="26"/>
                <w:szCs w:val="26"/>
                <w:rtl/>
                <w:lang w:eastAsia="ar" w:bidi="ar-EG"/>
              </w:rPr>
              <w:t>برنامج كيغالي لكفاءة التبريد</w:t>
            </w:r>
            <w:r>
              <w:rPr>
                <w:rStyle w:val="FootnoteReference"/>
                <w:sz w:val="26"/>
                <w:szCs w:val="26"/>
                <w:rtl/>
                <w:lang w:eastAsia="ar" w:bidi="ar-EG"/>
              </w:rPr>
              <w:footnoteReference w:id="4"/>
            </w:r>
          </w:p>
        </w:tc>
      </w:tr>
    </w:tbl>
    <w:p w14:paraId="2ED76711" w14:textId="77777777" w:rsidR="00717685" w:rsidRDefault="00717685" w:rsidP="00717685">
      <w:pPr>
        <w:pStyle w:val="StyleHeader4Para4Left0Firstline0"/>
        <w:numPr>
          <w:ilvl w:val="0"/>
          <w:numId w:val="0"/>
        </w:numPr>
        <w:bidi/>
        <w:spacing w:after="0"/>
        <w:rPr>
          <w:sz w:val="26"/>
          <w:szCs w:val="26"/>
          <w:lang w:val="en-CA" w:eastAsia="ar-EG"/>
        </w:rPr>
      </w:pPr>
      <w:r>
        <w:rPr>
          <w:rFonts w:hint="cs"/>
          <w:sz w:val="26"/>
          <w:szCs w:val="26"/>
          <w:u w:val="single"/>
          <w:rtl/>
          <w:lang w:eastAsia="ar" w:bidi="ar-EG"/>
        </w:rPr>
        <w:t>ملاحظة:</w:t>
      </w:r>
      <w:r>
        <w:rPr>
          <w:rFonts w:hint="cs"/>
          <w:sz w:val="26"/>
          <w:szCs w:val="26"/>
          <w:rtl/>
          <w:lang w:eastAsia="ar" w:bidi="ar-EG"/>
        </w:rPr>
        <w:t xml:space="preserve"> لم يصل رد من مصرف تنمية إقليمي واحد، وخمس حكومات تمول التعاون الإنمائي.</w:t>
      </w:r>
    </w:p>
    <w:p w14:paraId="1899B24C" w14:textId="77777777" w:rsidR="00717685" w:rsidRDefault="00717685" w:rsidP="00717685">
      <w:pPr>
        <w:pStyle w:val="StyleHeader4Para4Left0Firstline0"/>
        <w:numPr>
          <w:ilvl w:val="0"/>
          <w:numId w:val="0"/>
        </w:numPr>
        <w:bidi/>
        <w:spacing w:after="0"/>
        <w:rPr>
          <w:sz w:val="26"/>
          <w:szCs w:val="26"/>
        </w:rPr>
      </w:pPr>
      <w:r>
        <w:rPr>
          <w:rFonts w:hint="cs"/>
          <w:sz w:val="26"/>
          <w:szCs w:val="26"/>
          <w:vertAlign w:val="superscript"/>
          <w:rtl/>
          <w:lang w:eastAsia="ar" w:bidi="ar-EG"/>
        </w:rPr>
        <w:t>#</w:t>
      </w:r>
      <w:r>
        <w:rPr>
          <w:rFonts w:hint="cs"/>
          <w:sz w:val="26"/>
          <w:szCs w:val="26"/>
          <w:rtl/>
          <w:lang w:eastAsia="ar" w:bidi="ar-EG"/>
        </w:rPr>
        <w:t xml:space="preserve">  تمويل كفاءة الطاقة فيما يتعلق بالتخفيض التدريجي للهيدروفلوروكربون غير متاح بوصفه فئة؛ ويمكن إجراء مفاوضات ثنائية على مشروعات منفصلة لتشمل مكونات كفاءة الطاقة المتعلقة بالتخفيض التدريجي للهيدروفلوروكربون.</w:t>
      </w:r>
    </w:p>
    <w:p w14:paraId="5B59CD26" w14:textId="77777777" w:rsidR="00717685" w:rsidRDefault="00717685" w:rsidP="00717685">
      <w:pPr>
        <w:pStyle w:val="StyleHeader4Para4Left0Firstline0"/>
        <w:numPr>
          <w:ilvl w:val="0"/>
          <w:numId w:val="0"/>
        </w:numPr>
        <w:bidi/>
        <w:spacing w:after="0"/>
        <w:rPr>
          <w:sz w:val="26"/>
          <w:szCs w:val="26"/>
        </w:rPr>
      </w:pPr>
    </w:p>
    <w:p w14:paraId="1F2005D8"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وتعرب الأمانة عن تقديرها لهذه المؤسسات التي عبرت عن آرائها في المناقشات الخطية أو الهاتفية. </w:t>
      </w:r>
    </w:p>
    <w:p w14:paraId="2A8CFD8C" w14:textId="77777777" w:rsidR="00717685" w:rsidRDefault="00717685" w:rsidP="00717685">
      <w:pPr>
        <w:bidi/>
        <w:ind w:left="720" w:hanging="720"/>
        <w:rPr>
          <w:b/>
          <w:sz w:val="26"/>
          <w:szCs w:val="26"/>
        </w:rPr>
      </w:pPr>
      <w:r>
        <w:rPr>
          <w:rFonts w:hint="cs"/>
          <w:b/>
          <w:bCs/>
          <w:sz w:val="26"/>
          <w:szCs w:val="26"/>
          <w:rtl/>
          <w:lang w:eastAsia="ar" w:bidi="ar-EG"/>
        </w:rPr>
        <w:t>ثانياً-</w:t>
      </w:r>
      <w:r>
        <w:rPr>
          <w:rFonts w:hint="cs"/>
          <w:b/>
          <w:bCs/>
          <w:sz w:val="26"/>
          <w:szCs w:val="26"/>
          <w:rtl/>
          <w:lang w:eastAsia="ar" w:bidi="ar-EG"/>
        </w:rPr>
        <w:tab/>
        <w:t>المشروعات والأنشطة المحتملة للحفاظ على كفاءة الطاقة و/أو تعزيزها في قطاعي التصنيع والخدمات وتأثيرها</w:t>
      </w:r>
    </w:p>
    <w:p w14:paraId="7DE7A1AC" w14:textId="77777777" w:rsidR="00717685" w:rsidRDefault="00717685" w:rsidP="00717685">
      <w:pPr>
        <w:bidi/>
        <w:jc w:val="left"/>
        <w:rPr>
          <w:sz w:val="26"/>
          <w:szCs w:val="26"/>
        </w:rPr>
      </w:pPr>
    </w:p>
    <w:p w14:paraId="3A323E11" w14:textId="77777777" w:rsidR="00717685" w:rsidRPr="00F41F30" w:rsidRDefault="00717685" w:rsidP="00717685">
      <w:pPr>
        <w:pStyle w:val="ListParagraph"/>
        <w:numPr>
          <w:ilvl w:val="0"/>
          <w:numId w:val="25"/>
        </w:numPr>
        <w:bidi/>
        <w:ind w:hanging="720"/>
        <w:jc w:val="left"/>
        <w:rPr>
          <w:b/>
          <w:bCs/>
          <w:sz w:val="26"/>
          <w:szCs w:val="26"/>
        </w:rPr>
      </w:pPr>
      <w:r w:rsidRPr="00F41F30">
        <w:rPr>
          <w:rFonts w:hint="cs"/>
          <w:b/>
          <w:bCs/>
          <w:sz w:val="26"/>
          <w:szCs w:val="26"/>
          <w:rtl/>
          <w:lang w:eastAsia="ar" w:bidi="ar-EG"/>
        </w:rPr>
        <w:t>المشروعات والأنشطة</w:t>
      </w:r>
    </w:p>
    <w:p w14:paraId="3483F24F" w14:textId="77777777" w:rsidR="00717685" w:rsidRDefault="00717685" w:rsidP="00717685">
      <w:pPr>
        <w:bidi/>
        <w:jc w:val="left"/>
        <w:rPr>
          <w:sz w:val="26"/>
          <w:szCs w:val="26"/>
        </w:rPr>
      </w:pPr>
    </w:p>
    <w:p w14:paraId="44F39C43" w14:textId="1AE6BE28" w:rsidR="00717685" w:rsidRDefault="00717685" w:rsidP="00717685">
      <w:pPr>
        <w:pStyle w:val="Heading1"/>
        <w:numPr>
          <w:ilvl w:val="0"/>
          <w:numId w:val="23"/>
        </w:numPr>
        <w:bidi/>
        <w:rPr>
          <w:sz w:val="26"/>
          <w:szCs w:val="26"/>
        </w:rPr>
      </w:pPr>
      <w:r>
        <w:rPr>
          <w:rFonts w:hint="cs"/>
          <w:sz w:val="26"/>
          <w:szCs w:val="26"/>
          <w:rtl/>
          <w:lang w:eastAsia="ar" w:bidi="ar-EG"/>
        </w:rPr>
        <w:t xml:space="preserve">للوقوف على خيارات حشد الموارد المالية على النحو كما طلبت اللجنة التنفيذية في المقرر 87/51(ب)، رأت الأمانة أنه من المفيد وصف أنواع المشروعات والأنشطة التي يمكن الاضطلاع بها للحفاظ على كفاءة الطاقة و/أو تعزيزها مع التخفيض التدريجي للمواد الهيدروفلوروكربونية. والأنشطة المعروضة أدناه ليست حصرية، ولا تحكم مسبقاً على أي مقرر (أو مقررات) تتخذه اللجنة التنفيذية بشأن شروط الحفاظ على كفاءة الطاقة و/أو تعزيزها مع التخفيض التدريجي </w:t>
      </w:r>
      <w:r w:rsidR="00117E38">
        <w:rPr>
          <w:rFonts w:hint="cs"/>
          <w:sz w:val="26"/>
          <w:szCs w:val="26"/>
          <w:rtl/>
          <w:lang w:eastAsia="ar" w:bidi="ar-EG"/>
        </w:rPr>
        <w:t>ل</w:t>
      </w:r>
      <w:r w:rsidR="00117E38" w:rsidRPr="00117E38">
        <w:rPr>
          <w:sz w:val="26"/>
          <w:szCs w:val="26"/>
          <w:rtl/>
          <w:lang w:eastAsia="ar" w:bidi="ar-EG"/>
        </w:rPr>
        <w:t>لمواد الهيدروفلوروكربونية</w:t>
      </w:r>
      <w:r>
        <w:rPr>
          <w:rFonts w:hint="cs"/>
          <w:sz w:val="26"/>
          <w:szCs w:val="26"/>
          <w:rtl/>
          <w:lang w:eastAsia="ar" w:bidi="ar-EG"/>
        </w:rPr>
        <w:t xml:space="preserve">.  </w:t>
      </w:r>
    </w:p>
    <w:p w14:paraId="50BE8ED4"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وفي العديد من البلدان العاملة بالمادة 5، من المتوقع من مشروعات الحفاظ على كفاءة الطاقة و/أو تعزيزها مع التخفيض التدريجي للمواد الهيدروفلوروكربونية أن تشمل أنشطةً في قطاعي التصنيع والخدمات، وأن تقوم على الظروف والأولويات الخاصة بكل بلد على حدة. وعلى غرار إزالة المواد الهيدروكلوروفلوروكربونية، من شأن دعم السياسات وأنشطة الرصد أن تكفل النتائج المستدامة التي تحققها المشروعات والأنشطة.   </w:t>
      </w:r>
    </w:p>
    <w:p w14:paraId="397A48B6" w14:textId="77777777" w:rsidR="00717685" w:rsidRDefault="00717685" w:rsidP="00717685">
      <w:pPr>
        <w:pStyle w:val="Heading1"/>
        <w:numPr>
          <w:ilvl w:val="0"/>
          <w:numId w:val="23"/>
        </w:numPr>
        <w:bidi/>
        <w:rPr>
          <w:i/>
          <w:iCs/>
          <w:sz w:val="26"/>
          <w:szCs w:val="26"/>
        </w:rPr>
      </w:pPr>
      <w:r>
        <w:rPr>
          <w:rFonts w:hint="cs"/>
          <w:sz w:val="26"/>
          <w:szCs w:val="26"/>
          <w:rtl/>
          <w:lang w:eastAsia="ar" w:bidi="ar-EG"/>
        </w:rPr>
        <w:t xml:space="preserve">المبادئ التوجيهية لإعداد خطط تنفيذ خطط تنفيذ تعديل كيغالي فيما يخص الهيدروفلوروكربون تسمح للبلدان الراغبة في ذلك بوصف المبادرات والسياسات والتشريعات والمعايير الوطنية المرتبطة بالحفاظ على كفاءة الطاقة و/أو تعزيزها في استراتيجياتها الشاملة للمرحلة الأولى من خطط تنفيذ تعديل كيغالي فيما يخص الهيدروفلوروكربون (المقرر 87/50(ب)’5‘)؛ وعليه، يمكن لبعض البلدان أن تقدم معلومات عن هذه الجوانب.  </w:t>
      </w:r>
    </w:p>
    <w:p w14:paraId="234444F6" w14:textId="77777777" w:rsidR="00717685" w:rsidRDefault="00717685" w:rsidP="00717685">
      <w:pPr>
        <w:pStyle w:val="Heading1"/>
        <w:numPr>
          <w:ilvl w:val="0"/>
          <w:numId w:val="0"/>
        </w:numPr>
        <w:tabs>
          <w:tab w:val="left" w:pos="720"/>
        </w:tabs>
        <w:bidi/>
        <w:rPr>
          <w:i/>
          <w:iCs/>
          <w:sz w:val="26"/>
          <w:szCs w:val="26"/>
        </w:rPr>
      </w:pPr>
      <w:r>
        <w:rPr>
          <w:rFonts w:hint="cs"/>
          <w:i/>
          <w:iCs/>
          <w:sz w:val="26"/>
          <w:szCs w:val="26"/>
          <w:rtl/>
          <w:lang w:eastAsia="ar" w:bidi="ar-EG"/>
        </w:rPr>
        <w:t>تصنيع المنتجات وتصميمها</w:t>
      </w:r>
    </w:p>
    <w:p w14:paraId="0D1658DA" w14:textId="15346F4C" w:rsidR="00717685" w:rsidRDefault="00717685" w:rsidP="00717685">
      <w:pPr>
        <w:pStyle w:val="Heading1"/>
        <w:numPr>
          <w:ilvl w:val="0"/>
          <w:numId w:val="23"/>
        </w:numPr>
        <w:bidi/>
        <w:rPr>
          <w:sz w:val="26"/>
          <w:szCs w:val="26"/>
        </w:rPr>
      </w:pPr>
      <w:r>
        <w:rPr>
          <w:rFonts w:hint="cs"/>
          <w:sz w:val="26"/>
          <w:szCs w:val="26"/>
          <w:rtl/>
          <w:lang w:eastAsia="ar" w:bidi="ar-EG"/>
        </w:rPr>
        <w:t xml:space="preserve">في حين أن جميع البلدان العاملة بالمادة 5 ستظل بحاجة إلى خدمة معدات التبريد وتكييف الهواء والمضخات الحرارية، لا توجد مرافق لتصنيع منتجات الرغاوي ومعدات التبريد وتكييف الهواء والمضخات الحرارية التي تستخدم </w:t>
      </w:r>
      <w:r w:rsidR="00117E38" w:rsidRPr="00117E38">
        <w:rPr>
          <w:sz w:val="26"/>
          <w:szCs w:val="26"/>
          <w:rtl/>
          <w:lang w:eastAsia="ar" w:bidi="ar-EG"/>
        </w:rPr>
        <w:t>المواد الهيدروفلوروكربونية</w:t>
      </w:r>
      <w:r>
        <w:rPr>
          <w:rFonts w:hint="cs"/>
          <w:sz w:val="26"/>
          <w:szCs w:val="26"/>
          <w:rtl/>
          <w:lang w:eastAsia="ar" w:bidi="ar-EG"/>
        </w:rPr>
        <w:t xml:space="preserve"> إلا في عدد محدود من البلدان.</w:t>
      </w:r>
    </w:p>
    <w:p w14:paraId="2D5B619D" w14:textId="77777777" w:rsidR="00717685" w:rsidRDefault="00717685" w:rsidP="00717685">
      <w:pPr>
        <w:pStyle w:val="Heading1"/>
        <w:numPr>
          <w:ilvl w:val="0"/>
          <w:numId w:val="23"/>
        </w:numPr>
        <w:bidi/>
        <w:rPr>
          <w:sz w:val="26"/>
          <w:szCs w:val="26"/>
        </w:rPr>
      </w:pPr>
      <w:r>
        <w:rPr>
          <w:rFonts w:hint="cs"/>
          <w:sz w:val="26"/>
          <w:szCs w:val="26"/>
          <w:rtl/>
          <w:lang w:eastAsia="ar" w:bidi="ar-EG"/>
        </w:rPr>
        <w:t>ويجب تصميم ووضع المشروعات المتعلقة بأساليب الصنع للقطاعات الفرعية لتصنيع الرغاوي وقطاعات التبريد وتكييف الهواء والمضخات الحرارية، لضمان التنفيذ المتزامن للعناصر التي من شأنها تحسين كفاءة الطاقة في المعدات بالإضافة إلى الخفض التدريجي لاستخدام المواد الهيدروفلوروكربونية لتحقيق تنفيذ فعال من حيث التكلفة (على سبيل المثال، تصميم المنتجات المتكاملة، والتعديلات في مرافق المصنع مع تقليل زمن التعطيل إلى الحد الأدنى).</w:t>
      </w:r>
    </w:p>
    <w:p w14:paraId="25BC8347" w14:textId="77777777" w:rsidR="00717685" w:rsidRDefault="00717685" w:rsidP="00717685">
      <w:pPr>
        <w:pStyle w:val="Heading1"/>
        <w:numPr>
          <w:ilvl w:val="0"/>
          <w:numId w:val="23"/>
        </w:numPr>
        <w:bidi/>
        <w:rPr>
          <w:sz w:val="26"/>
          <w:szCs w:val="26"/>
        </w:rPr>
      </w:pPr>
      <w:r>
        <w:rPr>
          <w:rFonts w:hint="cs"/>
          <w:sz w:val="26"/>
          <w:szCs w:val="26"/>
          <w:rtl/>
          <w:lang w:eastAsia="ar" w:bidi="ar-EG"/>
        </w:rPr>
        <w:t>تحسين كفاءة الطاقة في معدات التبريد وتكييف الهواء والمضخات الحرارية مدفوعٌ أساساً بتطور التكنولوجيا، وعوامل السوق، والتدابير التنظيمية التي تتطور بمرور الوقت. وبشكل عام، إعادة تصميم المنتجات وتطويرها لتحسين كفاءة الطاقة (على سبيل المثال، التحسينات في تصميم الكباسات والمبادلات الحرارية وأجهزة التحكم) هو نشاط يجب على الشركات تنفيذه على أساس مستمر لضمان تفوق أداء المنتج والاستمرار في المنافسة في السوق. علاوةً على ذلك، للشركات عموماً مجموعة من المنتجات ذات معايير أداء كفاءة طاقة مختلفة بناءً على استراتيجية الأعمال الخاصة بكل منها ولوائح كفاءة الطاقة.</w:t>
      </w:r>
    </w:p>
    <w:p w14:paraId="4C04F9F5"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وعادة ما يستغرق تنفيذ المشروع في سياق خطة تنفيذ تعديل كيغالي فيما يخص الهيدروفلوروكربون من سنتين إلى ثلاث سنوات من تاريخ الموافقة عليه، وبالتالي فإن تحديد معايير كفاءة الطاقة على مستويات الأداء المستقبلية (بمعنى مستويات أعلى) من شأنه أن يضمن، عند إنجاز المشروع، أن أداء المنتجات المشمولة في المشروع سيكون عند معيار كفاءة طاقة أعلى محدد (أي معيار أعلى مما يمكن تحقيقه في سيناريو «العمل المعتاد»). وعلاوة على ذلك، يجب إدراج عناصر لضمان دمج تحسين إضافي مستدام في كفاءة الطاقة بمرور الوقت في تصميم المشروع وعملية تنفيذه. وقد يتطلب ذلك النظر إلى كفاءة الطاقة على أنها «عملية» تجري أثناء التنفيذ مصحوبة بأنشطة مصممة تصميماً مناسباً عند نقاط زمنية مختلفة.  </w:t>
      </w:r>
    </w:p>
    <w:p w14:paraId="75F60A8F"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وسوف تؤثر المشروعات الرامية إلى تحسين كفاءة استخدام المعدات للطاقة في البلدان المصنعة في مجال التبريد وتكييف الهواء والمضخات الحرارية على استخدام هذه المنتجات في الأسواق المعتمدة على الواردات، بما في ذلك على المستوى الإقليمي. فكلما أسرعت البلدان الصناعية في تنفيذ تدابير تحسين كفاءة الطاقة في المعدات التي تصنعها، يسر ذلك تنفيذ لوائح اعتماد المعدات ذات الكفاءة العالية في استخدام الطاقة في البلدان المعتمدة على الواردات وتجنب التقنيات غير الفعالة التي تتسم بـ «تقييد» الطاقة. </w:t>
      </w:r>
    </w:p>
    <w:p w14:paraId="7B0018FD"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وتشمل المشروعات في قطاع التصنيع عادة تحسينات في تصميم المكونات والمنتجات و/أو تطويرها (مثل تعديل الكباسات) أثناء تصنيع </w:t>
      </w:r>
      <w:r>
        <w:rPr>
          <w:rStyle w:val="FootnoteReference"/>
          <w:sz w:val="26"/>
          <w:szCs w:val="26"/>
          <w:rtl/>
          <w:lang w:eastAsia="ar" w:bidi="ar-EG"/>
        </w:rPr>
        <w:footnoteReference w:id="5"/>
      </w:r>
      <w:r>
        <w:rPr>
          <w:rFonts w:hint="cs"/>
          <w:sz w:val="26"/>
          <w:szCs w:val="26"/>
          <w:rtl/>
          <w:lang w:eastAsia="ar" w:bidi="ar-EG"/>
        </w:rPr>
        <w:t xml:space="preserve"> معدات التبريد وتكييف الهواء والمضخات الحرارية و/أو تركيبها، وإدخال تحسينات على تركيب نظم الرغاوي من أجل تعزيز أداء عزل المنتجات من الرغاوي. ويمكن أن تؤدي تلك الأنشطة إلى زيادة إجمالية في تكاليف التصنيع و/أو التركيب (مثل استخدام الكباسات العاكسة، والضوابط الإضافية للعمليات الكفء في استخدام الطاقة)، ولكنها قد تؤدي أيضاً في بعض الحالات إلى انخفاض في تكاليف التصنيع الإجمالية (مثل استخدام مواد خام أقل تكلفة، وانخفاض التكاليف بمرور الوقت بسبب وفورات الحجم للمنتجات و/أو المكونات). </w:t>
      </w:r>
    </w:p>
    <w:p w14:paraId="4DCBAAA7" w14:textId="77777777" w:rsidR="00717685" w:rsidRDefault="00717685" w:rsidP="00717685">
      <w:pPr>
        <w:pStyle w:val="Heading1"/>
        <w:numPr>
          <w:ilvl w:val="0"/>
          <w:numId w:val="0"/>
        </w:numPr>
        <w:tabs>
          <w:tab w:val="left" w:pos="720"/>
        </w:tabs>
        <w:bidi/>
        <w:rPr>
          <w:i/>
          <w:iCs/>
          <w:sz w:val="26"/>
          <w:szCs w:val="26"/>
        </w:rPr>
      </w:pPr>
      <w:r>
        <w:rPr>
          <w:rFonts w:hint="cs"/>
          <w:i/>
          <w:iCs/>
          <w:sz w:val="26"/>
          <w:szCs w:val="26"/>
          <w:rtl/>
          <w:lang w:eastAsia="ar" w:bidi="ar-EG"/>
        </w:rPr>
        <w:t xml:space="preserve">تركيب المعدات وخدمتها وصيانتها </w:t>
      </w:r>
    </w:p>
    <w:p w14:paraId="195EB58B" w14:textId="77777777" w:rsidR="00717685" w:rsidRDefault="00717685" w:rsidP="00F41F30">
      <w:pPr>
        <w:pStyle w:val="Heading1"/>
        <w:numPr>
          <w:ilvl w:val="0"/>
          <w:numId w:val="23"/>
        </w:numPr>
        <w:bidi/>
        <w:rPr>
          <w:strike/>
          <w:sz w:val="26"/>
          <w:szCs w:val="26"/>
        </w:rPr>
      </w:pPr>
      <w:r>
        <w:rPr>
          <w:rFonts w:hint="cs"/>
          <w:sz w:val="26"/>
          <w:szCs w:val="26"/>
          <w:rtl/>
          <w:lang w:eastAsia="ar" w:bidi="ar-EG"/>
        </w:rPr>
        <w:t>على عكس المعدات المصنعة بكميات كبيرة مثل الثلاجات المنزلية أو مكيفات الهواء، يمكن، في فئات معينة من المعدات، مثل معدات التبريد في محلات السوبر ماركت وتكييف الهواء في المباني التجارية الكبيرة، تحقيق تشغيل يتسم بالكفاءة في استخدام الطاقة لمستويات الطلب نفسها على التبريد من خلال مجموعة أوسع من التدخلات، لا سيما على مستوى التركيب والتشغيل. ويشمل ذلك تهيئة المنتج وتصميمه بحيث يستخدم طاقة أقل، واستخدام المكونات والملحقات التي تتسم بالكفاءة في استخدام الطاقة في المنشآت، والتغييرات في ممارسات استخدام المستهلكين بتوعية المستهلك والبرامج ذات الصلة، وتقديم الخدمات والصيانة للعمليات التي تتسم بالكفاءة في استخدام الطاقة.</w:t>
      </w:r>
      <w:r>
        <w:rPr>
          <w:rStyle w:val="FootnoteReference"/>
          <w:sz w:val="26"/>
          <w:szCs w:val="26"/>
          <w:rtl/>
          <w:lang w:eastAsia="ar" w:bidi="ar-EG"/>
        </w:rPr>
        <w:footnoteReference w:id="6"/>
      </w:r>
      <w:r>
        <w:rPr>
          <w:rFonts w:hint="cs"/>
          <w:sz w:val="26"/>
          <w:szCs w:val="26"/>
          <w:rtl/>
          <w:lang w:eastAsia="ar" w:bidi="ar-EG"/>
        </w:rPr>
        <w:t xml:space="preserve"> </w:t>
      </w:r>
    </w:p>
    <w:p w14:paraId="6167460C" w14:textId="77777777" w:rsidR="00717685" w:rsidRDefault="00717685" w:rsidP="00717685">
      <w:pPr>
        <w:pStyle w:val="Heading1"/>
        <w:numPr>
          <w:ilvl w:val="0"/>
          <w:numId w:val="23"/>
        </w:numPr>
        <w:bidi/>
        <w:rPr>
          <w:sz w:val="26"/>
          <w:szCs w:val="26"/>
        </w:rPr>
      </w:pPr>
      <w:r>
        <w:rPr>
          <w:rFonts w:hint="cs"/>
          <w:sz w:val="26"/>
          <w:szCs w:val="26"/>
          <w:rtl/>
          <w:lang w:eastAsia="ar" w:bidi="ar-EG"/>
        </w:rPr>
        <w:t>على البلدان العاملة بالمادة 5 التي تصنع وتستورد معدات التبريد وتكييف الهواء والمضخات الحرارية تنفيذ أنشطة في قطاع الخدمات لضمان تشغيل المعدات مع تحقيق كفاءة الطاقة على مستويات كفاءة الطاقة المصممة. وستشمل المشروعات في قطاع الخدمات عدة أمور منها:</w:t>
      </w:r>
    </w:p>
    <w:p w14:paraId="51F72F2C" w14:textId="77777777" w:rsidR="00717685" w:rsidRDefault="00717685" w:rsidP="00717685">
      <w:pPr>
        <w:pStyle w:val="Heading2"/>
        <w:bidi/>
        <w:rPr>
          <w:sz w:val="26"/>
          <w:szCs w:val="26"/>
        </w:rPr>
      </w:pPr>
      <w:r>
        <w:rPr>
          <w:rFonts w:hint="cs"/>
          <w:sz w:val="26"/>
          <w:szCs w:val="26"/>
          <w:rtl/>
          <w:lang w:eastAsia="ar" w:bidi="ar-EG"/>
        </w:rPr>
        <w:t>تحديث المواد التدريبية لتعزيز الممارسات الجيدة والجوانب ذات الصلة بكفاءة الطاقة أثناء تقييم معدات التبريد وتكييف الهواء والمضخات الحرارية وتركيبها وصيانتها وخدمتها؛</w:t>
      </w:r>
    </w:p>
    <w:p w14:paraId="12D98BA5" w14:textId="77777777" w:rsidR="00717685" w:rsidRDefault="00717685" w:rsidP="00717685">
      <w:pPr>
        <w:pStyle w:val="Heading2"/>
        <w:keepNext/>
        <w:keepLines/>
        <w:bidi/>
        <w:rPr>
          <w:sz w:val="26"/>
          <w:szCs w:val="26"/>
        </w:rPr>
      </w:pPr>
      <w:r>
        <w:rPr>
          <w:rFonts w:hint="cs"/>
          <w:sz w:val="26"/>
          <w:szCs w:val="26"/>
          <w:rtl/>
          <w:lang w:eastAsia="ar" w:bidi="ar-EG"/>
        </w:rPr>
        <w:t>ووضع برامج اعتماد التقنيين على أساس الكفاءة، وتنفيذها، وتعزيز المؤسسات الوطنية بحيث تشمل مكونات تتعلق بالحفاظ على كفاءة الطاقة؛</w:t>
      </w:r>
    </w:p>
    <w:p w14:paraId="3ECEF88E" w14:textId="77777777" w:rsidR="00717685" w:rsidRDefault="00717685" w:rsidP="00717685">
      <w:pPr>
        <w:pStyle w:val="Heading2"/>
        <w:bidi/>
        <w:rPr>
          <w:sz w:val="26"/>
          <w:szCs w:val="26"/>
        </w:rPr>
      </w:pPr>
      <w:r>
        <w:rPr>
          <w:rFonts w:hint="cs"/>
          <w:sz w:val="26"/>
          <w:szCs w:val="26"/>
          <w:rtl/>
          <w:lang w:eastAsia="ar" w:bidi="ar-EG"/>
        </w:rPr>
        <w:t>والمشروعات التجريبية المصممة للمستخدمين النهائيين والمقاولين، وتستهدفهم، لاعتماد التركيب والتشغيل المناسبين للمعدات على مستوى كفاءة الطاقة المصمم؛</w:t>
      </w:r>
    </w:p>
    <w:p w14:paraId="25224198" w14:textId="77777777" w:rsidR="00717685" w:rsidRDefault="00717685" w:rsidP="00717685">
      <w:pPr>
        <w:pStyle w:val="Heading2"/>
        <w:bidi/>
        <w:rPr>
          <w:sz w:val="26"/>
          <w:szCs w:val="26"/>
        </w:rPr>
      </w:pPr>
      <w:r>
        <w:rPr>
          <w:rFonts w:hint="cs"/>
          <w:sz w:val="26"/>
          <w:szCs w:val="26"/>
          <w:rtl/>
          <w:lang w:eastAsia="ar" w:bidi="ar-EG"/>
        </w:rPr>
        <w:t>ورصد أثر الأنشطة المرتبطة بكفاءة الطاقة، وبرامج التوعية ونشر المعلومات للترويج لإدخال المعدات الكفء في استخدام الطاقة وتشغيلها الموفر للطاقة.</w:t>
      </w:r>
      <w:r>
        <w:rPr>
          <w:rStyle w:val="FootnoteReference"/>
          <w:sz w:val="26"/>
          <w:szCs w:val="26"/>
          <w:rtl/>
          <w:lang w:eastAsia="ar" w:bidi="ar-EG"/>
        </w:rPr>
        <w:footnoteReference w:id="7"/>
      </w:r>
    </w:p>
    <w:p w14:paraId="2E3B2E2D"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وفي قطاع الخدمات، الجمع بين تنفيذ الأنشطة المتعلقة بالتخفيض التدريجي للمواد الهيدروفلوروكربونية، والأنشطة المتعلقة بالحفاظ على كفاءة الطاقة، سيكون أمراً فعالاً من حيث التكلفة، لإمكانية تنفيذ أنشطة التدريب وبناء القدرات، وأنشطة السياسات والإنفاذ، وأنشطة نشر المعلومات التي تشمل التخفيض التدريجي للهيدروفلوروكربون وكفاءة الطاقة بطريقة متكاملة. </w:t>
      </w:r>
    </w:p>
    <w:p w14:paraId="2F67328A" w14:textId="77777777" w:rsidR="00717685" w:rsidRDefault="00717685" w:rsidP="00717685">
      <w:pPr>
        <w:pStyle w:val="Heading1"/>
        <w:numPr>
          <w:ilvl w:val="0"/>
          <w:numId w:val="23"/>
        </w:numPr>
        <w:bidi/>
        <w:rPr>
          <w:sz w:val="26"/>
          <w:szCs w:val="26"/>
        </w:rPr>
      </w:pPr>
      <w:r>
        <w:rPr>
          <w:rFonts w:hint="cs"/>
          <w:sz w:val="26"/>
          <w:szCs w:val="26"/>
          <w:rtl/>
          <w:lang w:eastAsia="ar" w:bidi="ar-EG"/>
        </w:rPr>
        <w:t>وأجرى كبير موظفي الرصد والتقييم دراسة نظرية عن كفاءة الطاقة في قطاع الخدمات</w:t>
      </w:r>
      <w:r>
        <w:rPr>
          <w:rStyle w:val="FootnoteReference"/>
          <w:sz w:val="26"/>
          <w:szCs w:val="26"/>
          <w:rtl/>
          <w:lang w:eastAsia="ar" w:bidi="ar-EG"/>
        </w:rPr>
        <w:footnoteReference w:id="8"/>
      </w:r>
      <w:r>
        <w:rPr>
          <w:rFonts w:hint="cs"/>
          <w:sz w:val="26"/>
          <w:szCs w:val="26"/>
          <w:rtl/>
          <w:lang w:eastAsia="ar" w:bidi="ar-EG"/>
        </w:rPr>
        <w:t xml:space="preserve"> عملاً بالمقرر 83/9؛ وأُخذت المعلومات ذات الصلة التي أتاحتها الدراسة النظرية بعين الاعتبار، بما فيها الدروس المستفادة وفقا للمقرر 88/9(ب)،</w:t>
      </w:r>
      <w:r>
        <w:rPr>
          <w:rStyle w:val="FootnoteReference"/>
          <w:sz w:val="26"/>
          <w:szCs w:val="26"/>
          <w:rtl/>
          <w:lang w:eastAsia="ar" w:bidi="ar-EG"/>
        </w:rPr>
        <w:footnoteReference w:id="9"/>
      </w:r>
      <w:r>
        <w:rPr>
          <w:rFonts w:hint="cs"/>
          <w:sz w:val="26"/>
          <w:szCs w:val="26"/>
          <w:rtl/>
          <w:lang w:eastAsia="ar" w:bidi="ar-EG"/>
        </w:rPr>
        <w:t xml:space="preserve"> ويمكن الاستعانة بها عند تنفيذ الأنشطة المتصلة بكفاءة الطاقة في قطاع الخدمات.</w:t>
      </w:r>
    </w:p>
    <w:p w14:paraId="250AA8D5" w14:textId="77777777" w:rsidR="00717685" w:rsidRDefault="00717685" w:rsidP="00717685">
      <w:pPr>
        <w:pStyle w:val="Heading1"/>
        <w:numPr>
          <w:ilvl w:val="0"/>
          <w:numId w:val="0"/>
        </w:numPr>
        <w:tabs>
          <w:tab w:val="left" w:pos="720"/>
        </w:tabs>
        <w:bidi/>
        <w:rPr>
          <w:i/>
          <w:iCs/>
          <w:sz w:val="26"/>
          <w:szCs w:val="26"/>
        </w:rPr>
      </w:pPr>
      <w:r>
        <w:rPr>
          <w:rFonts w:hint="cs"/>
          <w:i/>
          <w:iCs/>
          <w:sz w:val="26"/>
          <w:szCs w:val="26"/>
          <w:rtl/>
          <w:lang w:eastAsia="ar" w:bidi="ar-EG"/>
        </w:rPr>
        <w:t>تطوير وتنفيذ سياسات الحفاظ على كفاءة الطاقة و/أو تعزيزها ولوائحها</w:t>
      </w:r>
    </w:p>
    <w:p w14:paraId="24FBBEE9"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وضع سياسات وأنظمة لكفاءة الطاقة، وتنفيذها، أمرٌ ضروريٌ لضمان تحسينات مستدامة تتفوق على معايير كفاءة الطاقة التي تتحقق في سياق سيناريو العمل المعتاد. وفي الوقت الحالي، تسمح معايير أداء الطاقة الدنيا، وخطط التوصيف، بتوريد المعدات وفقاً لمعايير كفاءة الطاقة المختلفة وبمستويات أسعار مختلفة في السوق.  وغالباً ما تباع المنتجات ذات تصنيفات كفاءة الطاقة الأقل بأسعار أقل، مما يؤدي في كثير من الأحيان إلى تثبيط اعتماد المعدات التي تتسم بكفاءة طاقة أعلى. فتظهر لذلك الحاجة إلى وضع سياسات وحوافز مناسبة لتعزيز استيعاب المعدات ذات تصنيفات كفاءة طاقة أعلى على نطاق أوسع. وينبغي أن يراعى في ذلك أيضاً أن توفير الحوافز والامتيازات المالية (مثل الامتيازات الضريبية على المعدات الكفء في استخدام الطاقة، والعناصر الرئيسية مثل الكباسات والمبادلات الحرارية)، إن تحقق للمصنعين وسلسلة التوزيع، سيؤدي إلى إنتاجها وتوفيرها بتصنيفات كفاءة طاقة أعلى بأسعار أكثر ملاءمة للمستهلك العادي. </w:t>
      </w:r>
    </w:p>
    <w:p w14:paraId="68D7A7B7"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بالإضافة إلى ذلك، اتفاقات الاعتراف المتبادل بين البلدان بشأن معايير كفاءة الطاقة من شأنها أن توفر وسيلة فعالة لضمان توافر المعدات الكفء في استخدام الطاقة والمتوافقة مع معايير كفاءة الطاقة ذات الصلة في الأسواق المستورِدة؛ ويتفادى ذلك التكلفة المرتفعة لإنشاء المعامل اللازمة للاختبار وإصدار الشهادات، وإدارتها، في البلدان العاملة بالمادة 5 المعتمدة على الاستيراد. بالإضافة إلى ذلك، إنشاء مراكز إقليمية لاختبار كفاءة الطاقة قد يعزز عمليات الاختبار والتصديق الفعالة من حيث التكلفة لتشجيع اعتماد معدات كفء في استخدام الطاقة على المستوى الإقليمي.  ويمكن لأنشطة الشبكة الإقليمية لبرنامج المساعدة على الامتثال التابعة لليونيب أن تأخذ ذلك في الاعتبار في مشاوراتها المتعلقة بخطط تنفيذ تعديل كيغالي فيما يخص الهيدروفلوروكربون.  </w:t>
      </w:r>
    </w:p>
    <w:p w14:paraId="344A04BA"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والتنسيق المؤسسي بين وحدات الأوزون الوطنية وسلطات كفاءة الطاقة في البلد أمرٌ بالغ الأهمية لضمان أن السياسات والتدابير المتعلقة بكفاءة الطاقة المنفَذة في البلد تراعي التزامات وأولويات التخفيض التدريجي للهيدروفلوروكربون بموجب تعديل كيغالي. والتنسيق المستدام جوهري لضمان مراعاة التزامات البلدان العاملة بالمادة 5 وأولوياتها المتعلقة بالتخفيض التدريجي للهيدروفلوروكربون، وذلك عند وضع السياسات واللوائح الوطنية لكفاءة الطاقة، على أساس مستمر. وقد أظهرت التجارب السابقة في مشروعات إزالة المواد المستنفدة للأوزون فوائد هذا التنسيق (مثل إشراك كل من السلطات الجمركية في رصد المواد الخاضعة للرقابة ومراقبتها، والسلطات التنظيمية التي تتناول التبخير في تطبيقات الحجر الصحي، ومعالجات ما قبل الشحن لاعتماد بدائل لبروميد الميثيل). ويمكن أن يتخذ التعاون بين سلطات الأوزون والطاقة في البلدان شكل دورات تدريبية بينهما، أو حتى اتفاقات بين مختلف جهات الحكومة من أجل إشراك سلطات الطاقة في تصميم المشروعات وتنفيذها. وسيحتل هذا التعاون أهمية أيضاً في ربط المشروعات التي تعزز كفاءة الطاقة في المنتجات والنظم بمعايير أداء الطاقة الدنيا السارية في كل بلد، حيث إن إنفاذ معايير أداء الطاقة الدنيا سيضمن أن تمويل كفاءة الطاقة أثناء التخفيض التدريجي للمواد الهيدروفلوروكربونية يوفر أقصى كفاءة طاقة مستفادة. </w:t>
      </w:r>
    </w:p>
    <w:p w14:paraId="16A426F8" w14:textId="77777777" w:rsidR="00717685" w:rsidRDefault="00717685" w:rsidP="00717685">
      <w:pPr>
        <w:bidi/>
        <w:rPr>
          <w:i/>
          <w:sz w:val="26"/>
          <w:szCs w:val="26"/>
        </w:rPr>
      </w:pPr>
      <w:r>
        <w:rPr>
          <w:rFonts w:hint="cs"/>
          <w:i/>
          <w:iCs/>
          <w:sz w:val="26"/>
          <w:szCs w:val="26"/>
          <w:rtl/>
          <w:lang w:eastAsia="ar" w:bidi="ar-EG"/>
        </w:rPr>
        <w:t>رصد كفاءة الطاقة المحُققة على مستوى المشروع وعلى مستوى المستخدم</w:t>
      </w:r>
    </w:p>
    <w:p w14:paraId="3277B1F1" w14:textId="77777777" w:rsidR="00717685" w:rsidRDefault="00717685" w:rsidP="00717685">
      <w:pPr>
        <w:bidi/>
        <w:rPr>
          <w:sz w:val="26"/>
          <w:szCs w:val="26"/>
        </w:rPr>
      </w:pPr>
    </w:p>
    <w:p w14:paraId="34F226B8"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يجب تصميم وإدارة عمليات الرصد والإبلاغ عن وفورات الطاقة بعناية لإظهار تأثير الإجراءات المتخذة، وهي تتحقق من خلال استحداث واستخدام معدات التبريد وتكييف الهواء والمضخات الحرارية الكفء في استخدام الطاقة. وتتباين سمات الاستخدام واستهلاك الطاقة لمعدات التبريد وتكييف الهواء والمضخات الحرارية، ما يجعل رصد فوائد معدات التبريد وتكييف الهواء والمضخات الحرارية الكفء في استخدام الطاقة على مستوى المستخدم النهائي عمليةً معقدة ومكلفة. يجب الاطلاع على آليات الرصد من الجانب المورد للمعدات، مع معايير قياس كفاءة الطاقة المُصممة بشكل مناسب (مثل إجراءات اختبار كفاءة الطاقة لإنتاج و/أو استيراد المعدات، ورصد اعتماد معايير إنتاج المعدات و/أو الواردات الكفء في استخدام الطاقة)، بالإضافة إلى عمليات القياس على مستوى المستخدم النهائي (مثل مواقع العرض، وتقنيات أخذ العينات الطبقية للمستخدمين النهائيين)، وذلك لبيان أثر التدخلات ذات الصلة بكفاءة الطاقة. ومن شأن التعلم من تنفيذ آليات الرصد والإبلاغ للمشروعات و/أو الأنشطة المتشابهة أن يساعد في تصميم نظم فعالة لرصد كفاءة الطاقة والإبلاغ عنها. </w:t>
      </w:r>
    </w:p>
    <w:p w14:paraId="48C43536" w14:textId="77777777" w:rsidR="00717685" w:rsidRDefault="00717685" w:rsidP="00717685">
      <w:pPr>
        <w:pStyle w:val="Heading1"/>
        <w:keepNext/>
        <w:numPr>
          <w:ilvl w:val="0"/>
          <w:numId w:val="0"/>
        </w:numPr>
        <w:tabs>
          <w:tab w:val="left" w:pos="720"/>
        </w:tabs>
        <w:bidi/>
        <w:rPr>
          <w:b/>
          <w:iCs/>
          <w:sz w:val="26"/>
          <w:szCs w:val="26"/>
        </w:rPr>
      </w:pPr>
      <w:r>
        <w:rPr>
          <w:rFonts w:hint="cs"/>
          <w:b/>
          <w:bCs/>
          <w:sz w:val="26"/>
          <w:szCs w:val="26"/>
          <w:rtl/>
          <w:lang w:eastAsia="ar" w:bidi="ar-EG"/>
        </w:rPr>
        <w:t>ب-</w:t>
      </w:r>
      <w:r>
        <w:rPr>
          <w:rFonts w:hint="cs"/>
          <w:b/>
          <w:bCs/>
          <w:sz w:val="26"/>
          <w:szCs w:val="26"/>
          <w:rtl/>
          <w:lang w:eastAsia="ar" w:bidi="ar-EG"/>
        </w:rPr>
        <w:tab/>
        <w:t>التأثير</w:t>
      </w:r>
    </w:p>
    <w:p w14:paraId="2A3A46B0" w14:textId="77777777" w:rsidR="00717685" w:rsidRDefault="00717685" w:rsidP="00717685">
      <w:pPr>
        <w:pStyle w:val="Heading1"/>
        <w:keepNext/>
        <w:numPr>
          <w:ilvl w:val="0"/>
          <w:numId w:val="0"/>
        </w:numPr>
        <w:tabs>
          <w:tab w:val="left" w:pos="720"/>
        </w:tabs>
        <w:bidi/>
        <w:rPr>
          <w:iCs/>
          <w:sz w:val="26"/>
          <w:szCs w:val="26"/>
        </w:rPr>
      </w:pPr>
      <w:r>
        <w:rPr>
          <w:rFonts w:hint="cs"/>
          <w:i/>
          <w:iCs/>
          <w:sz w:val="26"/>
          <w:szCs w:val="26"/>
          <w:rtl/>
          <w:lang w:eastAsia="ar" w:bidi="ar-EG"/>
        </w:rPr>
        <w:t>الاسترداد</w:t>
      </w:r>
    </w:p>
    <w:p w14:paraId="18B6A143" w14:textId="77777777" w:rsidR="00717685" w:rsidRDefault="00717685" w:rsidP="00717685">
      <w:pPr>
        <w:pStyle w:val="Heading1"/>
        <w:numPr>
          <w:ilvl w:val="0"/>
          <w:numId w:val="23"/>
        </w:numPr>
        <w:bidi/>
        <w:rPr>
          <w:sz w:val="26"/>
          <w:szCs w:val="26"/>
        </w:rPr>
      </w:pPr>
      <w:r>
        <w:rPr>
          <w:rFonts w:hint="cs"/>
          <w:sz w:val="26"/>
          <w:szCs w:val="26"/>
          <w:rtl/>
          <w:lang w:eastAsia="ar" w:bidi="ar-EG"/>
        </w:rPr>
        <w:t>سيعود تحسين كفاءة الطاقة لمعدات التبريد وتكييف الهواء والمضخات الحرارية بالنفع على مستخدم تلك المعدات، وعلى البلد أيضاً. وسيؤدي استخدام المعدات الكفء في استخدام الطاقة إلى تحقيق وفورات في استهلاك الطاقة للمستخدمين في مسكنهم، كما سيؤدي إلى تحقيق وفورات في التكاليف في استخدام الكهرباء/والطاقة. وتتوقف فترة الاسترداد للمستهلك على عدة أمور، من بينها مستويات استهلاك المعدات للطاقة بالمقارنة مع معدات خط الأساس المستبدلة، وسمات الاستخدام، ومنها طريقة تركيب المعدات وتشغيلها، وسعر الكهرباء، فضلاً عن تأثير سعر الكهرباء على نمط استخدام المعدات، وبالتالي يختلف النمط من بلد لآخر.</w:t>
      </w:r>
      <w:r>
        <w:rPr>
          <w:rStyle w:val="FootnoteReference"/>
          <w:sz w:val="26"/>
          <w:szCs w:val="26"/>
          <w:rtl/>
          <w:lang w:eastAsia="ar" w:bidi="ar-EG"/>
        </w:rPr>
        <w:footnoteReference w:id="10"/>
      </w:r>
      <w:r>
        <w:rPr>
          <w:rFonts w:hint="cs"/>
          <w:sz w:val="26"/>
          <w:szCs w:val="26"/>
          <w:rtl/>
          <w:lang w:eastAsia="ar" w:bidi="ar-EG"/>
        </w:rPr>
        <w:t xml:space="preserve"> علاوة على ذلك، يزداد ميل المستهلكين لشراء منتجات كفء في استخدام الطاقة بزيادة ارتفاع أسعار الكهرباء، ويمكن أن يؤدي ارتفاع الأسعار أيضاً إلى تغيير سمات استخدام المعدات. وكما قد يجعل الاسترداد اعتماد المعدات الكفء في استخدام الطاقة جذاباً، ويزيد من طلب المستهلكين عليها، تقليل تكلفة تصنيع المعدات الكفء في استخدام الطاقة، على الجانب الآخر، سيسهل توافرها واعتمادها أسرع. ومن شأن الحوافز أن تساعد على إزالة هذه الحواجز وتيسير الاعتماد السريع للمعدات الكفء في استخدام الطاقة، ومن أمثلة هذه الحواجز خطط التمويل المنخفض التكلفة، ونماذج الدفع المبتكرة التي تشمل مقدمي الطاقة ومرافق الطاقة، والحوافز الضريبية المحددة بوقت للمعدات الكفء في استخدام الطاقة.  </w:t>
      </w:r>
    </w:p>
    <w:p w14:paraId="31553A38"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ويبين الجدول 2 الاسترداد المحتمل حسب مستويات مختلفة من استخدام مكيف الهواء المنزلي لبلد افتراضي يبلغ سعر الكهرباء فيه 0.1 دولاراً أمريكياً لكل كيلو وات/ساعة، والفرق في سعر مكيف الهواء الكفء في استخدام الطاقة، الذي يستهلك طاقة أقل بنسبة 10 في المائة بالمقارنة مع مكيف هواء عادي، هو 80 دولاراً أمريكياً.  </w:t>
      </w:r>
    </w:p>
    <w:p w14:paraId="2DA736A2" w14:textId="5A06B007" w:rsidR="00717685" w:rsidRDefault="00717685" w:rsidP="005F1A51">
      <w:pPr>
        <w:pStyle w:val="ListParagraph"/>
        <w:bidi/>
        <w:ind w:left="0"/>
        <w:jc w:val="left"/>
        <w:rPr>
          <w:b/>
          <w:sz w:val="26"/>
          <w:szCs w:val="26"/>
          <w:lang w:val="en-CA"/>
        </w:rPr>
      </w:pPr>
      <w:r>
        <w:rPr>
          <w:rFonts w:hint="cs"/>
          <w:b/>
          <w:bCs/>
          <w:sz w:val="26"/>
          <w:szCs w:val="26"/>
          <w:rtl/>
          <w:lang w:eastAsia="ar" w:bidi="ar-EG"/>
        </w:rPr>
        <w:t>الجدول 2</w:t>
      </w:r>
      <w:r w:rsidR="00E11350">
        <w:rPr>
          <w:rFonts w:hint="cs"/>
          <w:b/>
          <w:bCs/>
          <w:sz w:val="26"/>
          <w:szCs w:val="26"/>
          <w:rtl/>
          <w:lang w:eastAsia="ar" w:bidi="ar-EG"/>
        </w:rPr>
        <w:t>-</w:t>
      </w:r>
      <w:r>
        <w:rPr>
          <w:rFonts w:hint="cs"/>
          <w:b/>
          <w:bCs/>
          <w:sz w:val="26"/>
          <w:szCs w:val="26"/>
          <w:rtl/>
          <w:lang w:eastAsia="ar" w:bidi="ar-EG"/>
        </w:rPr>
        <w:t xml:space="preserve"> استرداد تشغيل مكيف هواء بمعدل طاقة يساوي 1 كيلو وات</w:t>
      </w:r>
      <w:r w:rsidR="00577ACF">
        <w:rPr>
          <w:rStyle w:val="FootnoteReference"/>
          <w:b/>
          <w:bCs/>
          <w:sz w:val="26"/>
          <w:szCs w:val="26"/>
          <w:rtl/>
          <w:lang w:eastAsia="ar" w:bidi="ar-EG"/>
        </w:rPr>
        <w:footnoteReference w:id="11"/>
      </w:r>
    </w:p>
    <w:tbl>
      <w:tblPr>
        <w:tblStyle w:val="TableGrid"/>
        <w:tblpPr w:leftFromText="180" w:rightFromText="180" w:vertAnchor="text" w:tblpY="1"/>
        <w:tblOverlap w:val="never"/>
        <w:bidiVisual/>
        <w:tblW w:w="9391" w:type="dxa"/>
        <w:tblLook w:val="04A0" w:firstRow="1" w:lastRow="0" w:firstColumn="1" w:lastColumn="0" w:noHBand="0" w:noVBand="1"/>
      </w:tblPr>
      <w:tblGrid>
        <w:gridCol w:w="1229"/>
        <w:gridCol w:w="995"/>
        <w:gridCol w:w="1062"/>
        <w:gridCol w:w="1250"/>
        <w:gridCol w:w="1219"/>
        <w:gridCol w:w="1350"/>
        <w:gridCol w:w="1312"/>
        <w:gridCol w:w="974"/>
      </w:tblGrid>
      <w:tr w:rsidR="00717685" w:rsidRPr="005F1A51" w14:paraId="518B19BC" w14:textId="77777777" w:rsidTr="00717685">
        <w:trPr>
          <w:trHeight w:val="243"/>
        </w:trPr>
        <w:tc>
          <w:tcPr>
            <w:tcW w:w="1229"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2E7B8DA" w14:textId="77777777" w:rsidR="00717685" w:rsidRPr="005F1A51" w:rsidRDefault="00717685">
            <w:pPr>
              <w:pStyle w:val="ListParagraph"/>
              <w:bidi/>
              <w:ind w:left="0"/>
              <w:jc w:val="center"/>
              <w:rPr>
                <w:lang w:val="en-CA"/>
              </w:rPr>
            </w:pPr>
            <w:r w:rsidRPr="005F1A51">
              <w:rPr>
                <w:rFonts w:hint="cs"/>
                <w:rtl/>
                <w:lang w:eastAsia="ar" w:bidi="ar-EG"/>
              </w:rPr>
              <w:t>التفاصيل</w:t>
            </w:r>
          </w:p>
        </w:tc>
        <w:tc>
          <w:tcPr>
            <w:tcW w:w="4526" w:type="dxa"/>
            <w:gridSpan w:val="4"/>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EAB2810" w14:textId="77777777" w:rsidR="00717685" w:rsidRPr="005F1A51" w:rsidRDefault="00717685">
            <w:pPr>
              <w:pStyle w:val="ListParagraph"/>
              <w:bidi/>
              <w:ind w:left="0"/>
              <w:jc w:val="center"/>
              <w:rPr>
                <w:lang w:val="en-CA"/>
              </w:rPr>
            </w:pPr>
            <w:r w:rsidRPr="005F1A51">
              <w:rPr>
                <w:rFonts w:hint="cs"/>
                <w:rtl/>
                <w:lang w:eastAsia="ar" w:bidi="ar-EG"/>
              </w:rPr>
              <w:t>معدات خط الأساس*</w:t>
            </w:r>
          </w:p>
        </w:tc>
        <w:tc>
          <w:tcPr>
            <w:tcW w:w="1350"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72CAF60" w14:textId="77777777" w:rsidR="00717685" w:rsidRPr="005F1A51" w:rsidRDefault="00717685">
            <w:pPr>
              <w:pStyle w:val="ListParagraph"/>
              <w:bidi/>
              <w:ind w:left="0"/>
              <w:jc w:val="center"/>
              <w:rPr>
                <w:lang w:val="en-CA"/>
              </w:rPr>
            </w:pPr>
            <w:r w:rsidRPr="005F1A51">
              <w:rPr>
                <w:rFonts w:hint="cs"/>
                <w:rtl/>
                <w:lang w:eastAsia="ar" w:bidi="ar-EG"/>
              </w:rPr>
              <w:t xml:space="preserve">وفورات سنوية (10٪) لمعدات موفرة للطاقة </w:t>
            </w:r>
          </w:p>
          <w:p w14:paraId="6850E43E" w14:textId="77777777" w:rsidR="00717685" w:rsidRPr="005F1A51" w:rsidRDefault="00717685">
            <w:pPr>
              <w:pStyle w:val="ListParagraph"/>
              <w:bidi/>
              <w:ind w:left="0"/>
              <w:jc w:val="center"/>
              <w:rPr>
                <w:lang w:val="en-CA"/>
              </w:rPr>
            </w:pPr>
            <w:r w:rsidRPr="005F1A51">
              <w:rPr>
                <w:rFonts w:hint="cs"/>
                <w:rtl/>
                <w:lang w:eastAsia="ar" w:bidi="ar-EG"/>
              </w:rPr>
              <w:t>(دولار أمريكي)</w:t>
            </w:r>
          </w:p>
        </w:tc>
        <w:tc>
          <w:tcPr>
            <w:tcW w:w="1312"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2510DB9" w14:textId="77777777" w:rsidR="00717685" w:rsidRPr="005F1A51" w:rsidRDefault="00717685">
            <w:pPr>
              <w:pStyle w:val="ListParagraph"/>
              <w:bidi/>
              <w:ind w:left="0"/>
              <w:jc w:val="center"/>
              <w:rPr>
                <w:lang w:val="en-CA"/>
              </w:rPr>
            </w:pPr>
            <w:r w:rsidRPr="005F1A51">
              <w:rPr>
                <w:rFonts w:hint="cs"/>
                <w:rtl/>
                <w:lang w:eastAsia="ar" w:bidi="ar-EG"/>
              </w:rPr>
              <w:t>فرق سعر المعدات الموفرة للطاقة (بالدولار الأمريكي)</w:t>
            </w:r>
          </w:p>
        </w:tc>
        <w:tc>
          <w:tcPr>
            <w:tcW w:w="974" w:type="dxa"/>
            <w:vMerge w:val="restar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A881499" w14:textId="77777777" w:rsidR="00717685" w:rsidRPr="005F1A51" w:rsidRDefault="00717685">
            <w:pPr>
              <w:pStyle w:val="ListParagraph"/>
              <w:bidi/>
              <w:ind w:left="0"/>
              <w:jc w:val="center"/>
              <w:rPr>
                <w:lang w:val="en-CA"/>
              </w:rPr>
            </w:pPr>
            <w:r w:rsidRPr="005F1A51">
              <w:rPr>
                <w:rFonts w:hint="cs"/>
                <w:rtl/>
                <w:lang w:eastAsia="ar" w:bidi="ar-EG"/>
              </w:rPr>
              <w:t>الاسترداد (بالسنوات)</w:t>
            </w:r>
          </w:p>
        </w:tc>
      </w:tr>
      <w:tr w:rsidR="00717685" w:rsidRPr="005F1A51" w14:paraId="019753DB" w14:textId="77777777" w:rsidTr="00717685">
        <w:trPr>
          <w:trHeight w:val="10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671E48" w14:textId="77777777" w:rsidR="00717685" w:rsidRPr="005F1A51" w:rsidRDefault="00717685">
            <w:pPr>
              <w:bidi/>
              <w:rPr>
                <w:sz w:val="22"/>
                <w:szCs w:val="22"/>
                <w:lang w:val="en-CA" w:eastAsia="ar-EG"/>
              </w:rPr>
            </w:pPr>
          </w:p>
        </w:tc>
        <w:tc>
          <w:tcPr>
            <w:tcW w:w="995"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F0199F4" w14:textId="77777777" w:rsidR="00717685" w:rsidRPr="005F1A51" w:rsidRDefault="00717685">
            <w:pPr>
              <w:pStyle w:val="ListParagraph"/>
              <w:bidi/>
              <w:ind w:left="0"/>
              <w:jc w:val="center"/>
              <w:rPr>
                <w:lang w:val="en-CA"/>
              </w:rPr>
            </w:pPr>
            <w:r w:rsidRPr="005F1A51">
              <w:rPr>
                <w:rFonts w:hint="cs"/>
                <w:rtl/>
                <w:lang w:eastAsia="ar" w:bidi="ar-EG"/>
              </w:rPr>
              <w:t xml:space="preserve">استهلاك الطاقة بالوات </w:t>
            </w:r>
          </w:p>
        </w:tc>
        <w:tc>
          <w:tcPr>
            <w:tcW w:w="106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B7C11C4" w14:textId="77777777" w:rsidR="00717685" w:rsidRPr="005F1A51" w:rsidRDefault="00717685">
            <w:pPr>
              <w:pStyle w:val="ListParagraph"/>
              <w:bidi/>
              <w:ind w:left="0"/>
              <w:jc w:val="center"/>
              <w:rPr>
                <w:lang w:val="en-CA"/>
              </w:rPr>
            </w:pPr>
            <w:r w:rsidRPr="005F1A51">
              <w:rPr>
                <w:rFonts w:hint="cs"/>
                <w:rtl/>
                <w:lang w:eastAsia="ar" w:bidi="ar-EG"/>
              </w:rPr>
              <w:t>ساعات الاستخدام في السنة</w:t>
            </w:r>
          </w:p>
        </w:tc>
        <w:tc>
          <w:tcPr>
            <w:tcW w:w="12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51C243E0" w14:textId="77777777" w:rsidR="00717685" w:rsidRPr="005F1A51" w:rsidRDefault="00717685">
            <w:pPr>
              <w:pStyle w:val="ListParagraph"/>
              <w:bidi/>
              <w:ind w:left="0"/>
              <w:jc w:val="center"/>
              <w:rPr>
                <w:lang w:val="en-CA"/>
              </w:rPr>
            </w:pPr>
            <w:r w:rsidRPr="005F1A51">
              <w:rPr>
                <w:rFonts w:hint="cs"/>
                <w:rtl/>
                <w:lang w:eastAsia="ar" w:bidi="ar-EG"/>
              </w:rPr>
              <w:t>استهلاك الطاقة في السنة (كيلو وات ساعة)</w:t>
            </w:r>
          </w:p>
        </w:tc>
        <w:tc>
          <w:tcPr>
            <w:tcW w:w="121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4B2C0A4" w14:textId="77777777" w:rsidR="00717685" w:rsidRPr="005F1A51" w:rsidRDefault="00717685">
            <w:pPr>
              <w:pStyle w:val="ListParagraph"/>
              <w:bidi/>
              <w:ind w:left="0"/>
              <w:jc w:val="center"/>
              <w:rPr>
                <w:lang w:val="en-CA"/>
              </w:rPr>
            </w:pPr>
            <w:r w:rsidRPr="005F1A51">
              <w:rPr>
                <w:rFonts w:hint="cs"/>
                <w:rtl/>
                <w:lang w:eastAsia="ar" w:bidi="ar-EG"/>
              </w:rPr>
              <w:t xml:space="preserve">التكلفة السنوية للكهرباء (بالدولار الأمريكي) </w:t>
            </w:r>
            <w:r w:rsidRPr="005F1A51">
              <w:rPr>
                <w:rFonts w:hint="cs"/>
                <w:vertAlign w:val="superscript"/>
                <w:rtl/>
                <w:lang w:eastAsia="ar" w:bidi="ar-EG"/>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952C5D" w14:textId="77777777" w:rsidR="00717685" w:rsidRPr="005F1A51" w:rsidRDefault="00717685">
            <w:pPr>
              <w:bidi/>
              <w:rPr>
                <w:sz w:val="22"/>
                <w:szCs w:val="22"/>
                <w:lang w:val="en-CA" w:eastAsia="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D3F55B" w14:textId="77777777" w:rsidR="00717685" w:rsidRPr="005F1A51" w:rsidRDefault="00717685">
            <w:pPr>
              <w:bidi/>
              <w:rPr>
                <w:sz w:val="22"/>
                <w:szCs w:val="22"/>
                <w:lang w:val="en-CA" w:eastAsia="ar-EG"/>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786A6B" w14:textId="77777777" w:rsidR="00717685" w:rsidRPr="005F1A51" w:rsidRDefault="00717685">
            <w:pPr>
              <w:bidi/>
              <w:rPr>
                <w:sz w:val="22"/>
                <w:szCs w:val="22"/>
                <w:lang w:val="en-CA" w:eastAsia="ar-EG"/>
              </w:rPr>
            </w:pPr>
          </w:p>
        </w:tc>
      </w:tr>
      <w:tr w:rsidR="00717685" w:rsidRPr="005F1A51" w14:paraId="009AA6AE" w14:textId="77777777" w:rsidTr="00717685">
        <w:trPr>
          <w:trHeight w:val="234"/>
        </w:trPr>
        <w:tc>
          <w:tcPr>
            <w:tcW w:w="122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578A8E4" w14:textId="77777777" w:rsidR="00717685" w:rsidRPr="005F1A51" w:rsidRDefault="00717685">
            <w:pPr>
              <w:pStyle w:val="ListParagraph"/>
              <w:bidi/>
              <w:ind w:left="0"/>
              <w:jc w:val="left"/>
              <w:rPr>
                <w:lang w:val="en-CA"/>
              </w:rPr>
            </w:pPr>
            <w:r w:rsidRPr="005F1A51">
              <w:rPr>
                <w:rFonts w:hint="cs"/>
                <w:rtl/>
                <w:lang w:eastAsia="ar" w:bidi="ar-EG"/>
              </w:rPr>
              <w:t>الوضع أ</w:t>
            </w:r>
          </w:p>
        </w:tc>
        <w:tc>
          <w:tcPr>
            <w:tcW w:w="995"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0F3EC60" w14:textId="77777777" w:rsidR="00717685" w:rsidRPr="005F1A51" w:rsidRDefault="00717685">
            <w:pPr>
              <w:pStyle w:val="ListParagraph"/>
              <w:bidi/>
              <w:ind w:left="0"/>
              <w:jc w:val="right"/>
              <w:rPr>
                <w:lang w:val="en-CA"/>
              </w:rPr>
            </w:pPr>
            <w:r w:rsidRPr="005F1A51">
              <w:rPr>
                <w:rFonts w:hint="cs"/>
                <w:rtl/>
                <w:lang w:eastAsia="ar" w:bidi="ar-EG"/>
              </w:rPr>
              <w:t>1,000</w:t>
            </w:r>
          </w:p>
        </w:tc>
        <w:tc>
          <w:tcPr>
            <w:tcW w:w="106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8BFF109" w14:textId="77777777" w:rsidR="00717685" w:rsidRPr="005F1A51" w:rsidRDefault="00717685">
            <w:pPr>
              <w:pStyle w:val="ListParagraph"/>
              <w:bidi/>
              <w:ind w:left="0"/>
              <w:jc w:val="right"/>
              <w:rPr>
                <w:lang w:val="en-CA"/>
              </w:rPr>
            </w:pPr>
            <w:r w:rsidRPr="005F1A51">
              <w:rPr>
                <w:rFonts w:hint="cs"/>
                <w:rtl/>
                <w:lang w:eastAsia="ar" w:bidi="ar-EG"/>
              </w:rPr>
              <w:t>2,000</w:t>
            </w:r>
          </w:p>
        </w:tc>
        <w:tc>
          <w:tcPr>
            <w:tcW w:w="12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068EB369" w14:textId="77777777" w:rsidR="00717685" w:rsidRPr="005F1A51" w:rsidRDefault="00717685">
            <w:pPr>
              <w:pStyle w:val="ListParagraph"/>
              <w:bidi/>
              <w:ind w:left="0"/>
              <w:jc w:val="right"/>
              <w:rPr>
                <w:lang w:val="en-CA"/>
              </w:rPr>
            </w:pPr>
            <w:r w:rsidRPr="005F1A51">
              <w:rPr>
                <w:rFonts w:hint="cs"/>
                <w:rtl/>
                <w:lang w:eastAsia="ar" w:bidi="ar-EG"/>
              </w:rPr>
              <w:t>2,000</w:t>
            </w:r>
          </w:p>
        </w:tc>
        <w:tc>
          <w:tcPr>
            <w:tcW w:w="121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2B8589BB" w14:textId="77777777" w:rsidR="00717685" w:rsidRPr="005F1A51" w:rsidRDefault="00717685">
            <w:pPr>
              <w:pStyle w:val="ListParagraph"/>
              <w:bidi/>
              <w:ind w:left="0"/>
              <w:jc w:val="right"/>
              <w:rPr>
                <w:lang w:val="en-CA"/>
              </w:rPr>
            </w:pPr>
            <w:r w:rsidRPr="005F1A51">
              <w:rPr>
                <w:rFonts w:hint="cs"/>
                <w:rtl/>
                <w:lang w:eastAsia="ar" w:bidi="ar-EG"/>
              </w:rPr>
              <w:t>200</w:t>
            </w:r>
          </w:p>
        </w:tc>
        <w:tc>
          <w:tcPr>
            <w:tcW w:w="13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D018275" w14:textId="77777777" w:rsidR="00717685" w:rsidRPr="005F1A51" w:rsidRDefault="00717685">
            <w:pPr>
              <w:pStyle w:val="ListParagraph"/>
              <w:bidi/>
              <w:ind w:left="0"/>
              <w:jc w:val="right"/>
              <w:rPr>
                <w:lang w:val="en-CA"/>
              </w:rPr>
            </w:pPr>
            <w:r w:rsidRPr="005F1A51">
              <w:rPr>
                <w:rFonts w:hint="cs"/>
                <w:rtl/>
                <w:lang w:eastAsia="ar" w:bidi="ar-EG"/>
              </w:rPr>
              <w:t>20</w:t>
            </w:r>
          </w:p>
        </w:tc>
        <w:tc>
          <w:tcPr>
            <w:tcW w:w="13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DF68CD4" w14:textId="77777777" w:rsidR="00717685" w:rsidRPr="005F1A51" w:rsidRDefault="00717685">
            <w:pPr>
              <w:pStyle w:val="ListParagraph"/>
              <w:bidi/>
              <w:ind w:left="0"/>
              <w:jc w:val="right"/>
              <w:rPr>
                <w:lang w:val="en-CA"/>
              </w:rPr>
            </w:pPr>
            <w:r w:rsidRPr="005F1A51">
              <w:rPr>
                <w:rFonts w:hint="cs"/>
                <w:rtl/>
                <w:lang w:eastAsia="ar" w:bidi="ar-EG"/>
              </w:rPr>
              <w:t>80</w:t>
            </w:r>
          </w:p>
        </w:tc>
        <w:tc>
          <w:tcPr>
            <w:tcW w:w="974"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685A868" w14:textId="77777777" w:rsidR="00717685" w:rsidRPr="005F1A51" w:rsidRDefault="00717685">
            <w:pPr>
              <w:pStyle w:val="ListParagraph"/>
              <w:bidi/>
              <w:ind w:left="0"/>
              <w:jc w:val="right"/>
              <w:rPr>
                <w:lang w:val="en-CA"/>
              </w:rPr>
            </w:pPr>
            <w:r w:rsidRPr="005F1A51">
              <w:rPr>
                <w:rFonts w:hint="cs"/>
                <w:rtl/>
                <w:lang w:eastAsia="ar" w:bidi="ar-EG"/>
              </w:rPr>
              <w:t>4.00</w:t>
            </w:r>
          </w:p>
        </w:tc>
      </w:tr>
      <w:tr w:rsidR="00717685" w:rsidRPr="005F1A51" w14:paraId="119B7D61" w14:textId="77777777" w:rsidTr="00717685">
        <w:trPr>
          <w:trHeight w:val="243"/>
        </w:trPr>
        <w:tc>
          <w:tcPr>
            <w:tcW w:w="122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7F90F4B" w14:textId="77777777" w:rsidR="00717685" w:rsidRPr="005F1A51" w:rsidRDefault="00717685">
            <w:pPr>
              <w:pStyle w:val="ListParagraph"/>
              <w:bidi/>
              <w:ind w:left="0"/>
              <w:jc w:val="left"/>
              <w:rPr>
                <w:lang w:val="en-CA"/>
              </w:rPr>
            </w:pPr>
            <w:r w:rsidRPr="005F1A51">
              <w:rPr>
                <w:rFonts w:hint="cs"/>
                <w:rtl/>
                <w:lang w:eastAsia="ar" w:bidi="ar-EG"/>
              </w:rPr>
              <w:t>الوضع ب</w:t>
            </w:r>
          </w:p>
        </w:tc>
        <w:tc>
          <w:tcPr>
            <w:tcW w:w="995"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8CC7EEC" w14:textId="77777777" w:rsidR="00717685" w:rsidRPr="005F1A51" w:rsidRDefault="00717685">
            <w:pPr>
              <w:pStyle w:val="ListParagraph"/>
              <w:bidi/>
              <w:ind w:left="0"/>
              <w:jc w:val="right"/>
              <w:rPr>
                <w:lang w:val="en-CA"/>
              </w:rPr>
            </w:pPr>
            <w:r w:rsidRPr="005F1A51">
              <w:rPr>
                <w:rFonts w:hint="cs"/>
                <w:rtl/>
                <w:lang w:eastAsia="ar" w:bidi="ar-EG"/>
              </w:rPr>
              <w:t>1,000</w:t>
            </w:r>
          </w:p>
        </w:tc>
        <w:tc>
          <w:tcPr>
            <w:tcW w:w="106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82DFE66" w14:textId="77777777" w:rsidR="00717685" w:rsidRPr="005F1A51" w:rsidRDefault="00717685">
            <w:pPr>
              <w:pStyle w:val="ListParagraph"/>
              <w:bidi/>
              <w:ind w:left="0"/>
              <w:jc w:val="right"/>
              <w:rPr>
                <w:lang w:val="en-CA"/>
              </w:rPr>
            </w:pPr>
            <w:r w:rsidRPr="005F1A51">
              <w:rPr>
                <w:rFonts w:hint="cs"/>
                <w:rtl/>
                <w:lang w:eastAsia="ar" w:bidi="ar-EG"/>
              </w:rPr>
              <w:t>3,000</w:t>
            </w:r>
          </w:p>
        </w:tc>
        <w:tc>
          <w:tcPr>
            <w:tcW w:w="12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78560A7" w14:textId="77777777" w:rsidR="00717685" w:rsidRPr="005F1A51" w:rsidRDefault="00717685">
            <w:pPr>
              <w:pStyle w:val="ListParagraph"/>
              <w:bidi/>
              <w:ind w:left="0"/>
              <w:jc w:val="right"/>
              <w:rPr>
                <w:lang w:val="en-CA"/>
              </w:rPr>
            </w:pPr>
            <w:r w:rsidRPr="005F1A51">
              <w:rPr>
                <w:rFonts w:hint="cs"/>
                <w:rtl/>
                <w:lang w:eastAsia="ar" w:bidi="ar-EG"/>
              </w:rPr>
              <w:t>3,000</w:t>
            </w:r>
          </w:p>
        </w:tc>
        <w:tc>
          <w:tcPr>
            <w:tcW w:w="1219"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12D9B918" w14:textId="77777777" w:rsidR="00717685" w:rsidRPr="005F1A51" w:rsidRDefault="00717685">
            <w:pPr>
              <w:pStyle w:val="ListParagraph"/>
              <w:bidi/>
              <w:ind w:left="0"/>
              <w:jc w:val="right"/>
              <w:rPr>
                <w:lang w:val="en-CA"/>
              </w:rPr>
            </w:pPr>
            <w:r w:rsidRPr="005F1A51">
              <w:rPr>
                <w:rFonts w:hint="cs"/>
                <w:rtl/>
                <w:lang w:eastAsia="ar" w:bidi="ar-EG"/>
              </w:rPr>
              <w:t>300</w:t>
            </w:r>
          </w:p>
        </w:tc>
        <w:tc>
          <w:tcPr>
            <w:tcW w:w="1350"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59E79B4" w14:textId="77777777" w:rsidR="00717685" w:rsidRPr="005F1A51" w:rsidRDefault="00717685">
            <w:pPr>
              <w:pStyle w:val="ListParagraph"/>
              <w:bidi/>
              <w:ind w:left="0"/>
              <w:jc w:val="right"/>
              <w:rPr>
                <w:lang w:val="en-CA"/>
              </w:rPr>
            </w:pPr>
            <w:r w:rsidRPr="005F1A51">
              <w:rPr>
                <w:rFonts w:hint="cs"/>
                <w:rtl/>
                <w:lang w:eastAsia="ar" w:bidi="ar-EG"/>
              </w:rPr>
              <w:t>30</w:t>
            </w:r>
          </w:p>
        </w:tc>
        <w:tc>
          <w:tcPr>
            <w:tcW w:w="1312"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6BAFB9C4" w14:textId="77777777" w:rsidR="00717685" w:rsidRPr="005F1A51" w:rsidRDefault="00717685">
            <w:pPr>
              <w:pStyle w:val="ListParagraph"/>
              <w:bidi/>
              <w:ind w:left="0"/>
              <w:jc w:val="right"/>
              <w:rPr>
                <w:lang w:val="en-CA"/>
              </w:rPr>
            </w:pPr>
            <w:r w:rsidRPr="005F1A51">
              <w:rPr>
                <w:rFonts w:hint="cs"/>
                <w:rtl/>
                <w:lang w:eastAsia="ar" w:bidi="ar-EG"/>
              </w:rPr>
              <w:t>80</w:t>
            </w:r>
          </w:p>
        </w:tc>
        <w:tc>
          <w:tcPr>
            <w:tcW w:w="974" w:type="dxa"/>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4F768A11" w14:textId="77777777" w:rsidR="00717685" w:rsidRPr="005F1A51" w:rsidRDefault="00717685">
            <w:pPr>
              <w:pStyle w:val="ListParagraph"/>
              <w:bidi/>
              <w:ind w:left="0"/>
              <w:jc w:val="right"/>
              <w:rPr>
                <w:lang w:val="en-CA"/>
              </w:rPr>
            </w:pPr>
            <w:r w:rsidRPr="005F1A51">
              <w:rPr>
                <w:rFonts w:hint="cs"/>
                <w:rtl/>
                <w:lang w:eastAsia="ar" w:bidi="ar-EG"/>
              </w:rPr>
              <w:t>2.67</w:t>
            </w:r>
          </w:p>
        </w:tc>
      </w:tr>
    </w:tbl>
    <w:p w14:paraId="1525A57E" w14:textId="77777777" w:rsidR="00717685" w:rsidRDefault="00717685" w:rsidP="00717685">
      <w:pPr>
        <w:pStyle w:val="ListParagraph"/>
        <w:bidi/>
        <w:ind w:left="0"/>
        <w:rPr>
          <w:sz w:val="26"/>
          <w:szCs w:val="26"/>
          <w:lang w:val="en-CA"/>
        </w:rPr>
      </w:pPr>
      <w:r>
        <w:rPr>
          <w:rFonts w:hint="cs"/>
          <w:sz w:val="26"/>
          <w:szCs w:val="26"/>
          <w:rtl/>
          <w:lang w:eastAsia="ar" w:bidi="ar-EG"/>
        </w:rPr>
        <w:t xml:space="preserve">* تُعرَّف معدات خط الأساس بأنها معدات غير كفء في استخدام الطاقة ومتوفرة في السوق بسعر أقل من المعدات الكفء في استخدام الطاقة.  </w:t>
      </w:r>
    </w:p>
    <w:p w14:paraId="604A8F8A" w14:textId="77777777" w:rsidR="00717685" w:rsidRDefault="00717685" w:rsidP="00717685">
      <w:pPr>
        <w:pStyle w:val="ListParagraph"/>
        <w:bidi/>
        <w:ind w:left="0"/>
        <w:rPr>
          <w:sz w:val="26"/>
          <w:szCs w:val="26"/>
          <w:lang w:val="en-CA"/>
        </w:rPr>
      </w:pPr>
      <w:r>
        <w:rPr>
          <w:rFonts w:hint="cs"/>
          <w:sz w:val="26"/>
          <w:szCs w:val="26"/>
          <w:vertAlign w:val="superscript"/>
          <w:rtl/>
          <w:lang w:eastAsia="ar" w:bidi="ar-EG"/>
        </w:rPr>
        <w:t>#</w:t>
      </w:r>
      <w:r>
        <w:rPr>
          <w:rFonts w:hint="cs"/>
          <w:sz w:val="26"/>
          <w:szCs w:val="26"/>
          <w:rtl/>
          <w:lang w:eastAsia="ar" w:bidi="ar-EG"/>
        </w:rPr>
        <w:t xml:space="preserve"> سعر الكهرباء هو 0.1 دولار أمريكي لكل كيلو وات ساعة؛ وسيؤدي ارتفاع سعر الكهرباء إلى استرداد أسرع عند مستويات الاستخدام نفسها.</w:t>
      </w:r>
    </w:p>
    <w:p w14:paraId="277186E3" w14:textId="77777777" w:rsidR="00717685" w:rsidRDefault="00717685" w:rsidP="00717685">
      <w:pPr>
        <w:bidi/>
        <w:jc w:val="left"/>
        <w:rPr>
          <w:sz w:val="26"/>
          <w:szCs w:val="26"/>
          <w:lang w:val="en-CA"/>
        </w:rPr>
      </w:pPr>
    </w:p>
    <w:p w14:paraId="49507F91" w14:textId="77777777" w:rsidR="00717685" w:rsidRDefault="00717685" w:rsidP="00717685">
      <w:pPr>
        <w:pStyle w:val="Heading1"/>
        <w:numPr>
          <w:ilvl w:val="0"/>
          <w:numId w:val="23"/>
        </w:numPr>
        <w:bidi/>
        <w:rPr>
          <w:sz w:val="26"/>
          <w:szCs w:val="26"/>
        </w:rPr>
      </w:pPr>
      <w:r>
        <w:rPr>
          <w:rFonts w:hint="cs"/>
          <w:sz w:val="26"/>
          <w:szCs w:val="26"/>
          <w:rtl/>
          <w:lang w:eastAsia="ar" w:bidi="ar-EG"/>
        </w:rPr>
        <w:t>وعلى مستوى أوسع، البلدان التي تنفذ تدابير كفاءة الطاقة تحقق أيضاً وفورات في الاستثمارات الرأسمالية اللازمة لتوليد الطاقة. فعلى سبيل المثال، إذا كان مكيف الهواء ذي معدل طاقة يساوي 1 كيلو وات يستهلك طاقة أقل بنسبة 10 في المائة بفضل تصميم كفء في استخدام الطاقة، فالطاقة اللازمة لتشغيل هذا المكيف ستوفر 0.1 كيلو وات/وحدة. وإذا بيعت 100,000 وحدة من أجهزة مكيف الهواء هذه واستخدمت، سينعكس ذلك في صورة انخفاض حمل توليد الطاقة على شبكة الكهرباء يساوي حوالي 10 ميغا وات، وهو ما ينعكس بدوره في صورة وفورات تبلغ حوالي 10 ملايين دولار أمريكي عبر تركيب معدات توليد الطاقة.</w:t>
      </w:r>
      <w:r>
        <w:rPr>
          <w:rStyle w:val="FootnoteReference"/>
          <w:sz w:val="26"/>
          <w:szCs w:val="26"/>
          <w:rtl/>
          <w:lang w:eastAsia="ar" w:bidi="ar-EG"/>
        </w:rPr>
        <w:footnoteReference w:id="12"/>
      </w:r>
      <w:r>
        <w:rPr>
          <w:rFonts w:hint="cs"/>
          <w:sz w:val="26"/>
          <w:szCs w:val="26"/>
          <w:rtl/>
          <w:lang w:eastAsia="ar" w:bidi="ar-EG"/>
        </w:rPr>
        <w:t xml:space="preserve"> </w:t>
      </w:r>
    </w:p>
    <w:p w14:paraId="303AB3FF" w14:textId="77777777" w:rsidR="00717685" w:rsidRDefault="00717685" w:rsidP="00717685">
      <w:pPr>
        <w:pStyle w:val="Heading1"/>
        <w:numPr>
          <w:ilvl w:val="0"/>
          <w:numId w:val="0"/>
        </w:numPr>
        <w:tabs>
          <w:tab w:val="left" w:pos="720"/>
        </w:tabs>
        <w:bidi/>
        <w:rPr>
          <w:sz w:val="26"/>
          <w:szCs w:val="26"/>
        </w:rPr>
      </w:pPr>
      <w:r>
        <w:rPr>
          <w:rFonts w:hint="cs"/>
          <w:i/>
          <w:iCs/>
          <w:sz w:val="26"/>
          <w:szCs w:val="26"/>
          <w:rtl/>
          <w:lang w:eastAsia="ar" w:bidi="ar-EG"/>
        </w:rPr>
        <w:t>خفض انبعاثات غازات الدفيئة</w:t>
      </w:r>
    </w:p>
    <w:p w14:paraId="5717FAB4"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يختلف تأثير تحسين كفاءة الطاقة على انبعاثات غازات الدفيئة مع التخفيض التدريجي للمواد الهيدروفلوروكربونية باختلاف مصدر إمداد الطاقة في البلد. وفي المثال الوارد أعلاه، ومع افتراض أن استخدام المعدات السنوي يتراوح بين 2,000 و 3,000 ساعة، فالوفورات السنوية في انبعاثات ثاني أكسيد الكربون مع استخدام وقود تبلغ كثافة الكربون فيه 0.41 كلغ/كيلو وات ساعة (كما في توليد الطاقة باستخدام الغاز)، ستبلغ نحو 8,200 إلى 12,300 طن من ثاني أكسيد الكربون لكل 100,000 وحدة من وحدات المعدات قيد التشغيل، بينما إذا كانت كثافة الكربون تساوي 0.024 كلغ/كيلو وات ساعة (كما في الطاقة الكهرومائية)، فإن الوفورات السنوية في انبعاثات ثاني أكسيد الكربون ستبلغ حوالي 480 إلى 720 طناً من ثاني أكسيد الكربون لكل 100,000 وحدة من المعدات قيد التشغيل. </w:t>
      </w:r>
    </w:p>
    <w:p w14:paraId="4DF9A6A7" w14:textId="77777777" w:rsidR="00717685" w:rsidRDefault="00717685" w:rsidP="00717685">
      <w:pPr>
        <w:pStyle w:val="Heading1"/>
        <w:numPr>
          <w:ilvl w:val="0"/>
          <w:numId w:val="23"/>
        </w:numPr>
        <w:bidi/>
        <w:rPr>
          <w:strike/>
          <w:sz w:val="26"/>
          <w:szCs w:val="26"/>
        </w:rPr>
      </w:pPr>
      <w:r>
        <w:rPr>
          <w:rFonts w:hint="cs"/>
          <w:sz w:val="26"/>
          <w:szCs w:val="26"/>
          <w:rtl/>
          <w:lang w:eastAsia="ar" w:bidi="ar-EG"/>
        </w:rPr>
        <w:t xml:space="preserve">ومن الجدير بالملاحظة أنه بصرف النظر عن تخفيضات انبعاثات غازات الدفيئة، فإن تحسين كفاءة الطاقة في المعدات سيقلل من تكاليف الطاقة التي يتكبدها المستخدم النهائي ويقلل من الاستثمارات اللازمة لتوليد الطاقة، وخاصة لتلبية ذروة الطلب على الطاقة في البلاد. </w:t>
      </w:r>
    </w:p>
    <w:p w14:paraId="7D7B37A5" w14:textId="77777777" w:rsidR="00717685" w:rsidRDefault="00717685" w:rsidP="00717685">
      <w:pPr>
        <w:bidi/>
        <w:ind w:left="720" w:hanging="720"/>
        <w:rPr>
          <w:b/>
          <w:bCs/>
          <w:sz w:val="26"/>
          <w:szCs w:val="26"/>
        </w:rPr>
      </w:pPr>
      <w:r>
        <w:rPr>
          <w:rFonts w:hint="cs"/>
          <w:b/>
          <w:bCs/>
          <w:sz w:val="26"/>
          <w:szCs w:val="26"/>
          <w:rtl/>
          <w:lang w:eastAsia="ar" w:bidi="ar-EG"/>
        </w:rPr>
        <w:t>ثالثا:</w:t>
      </w:r>
      <w:r>
        <w:rPr>
          <w:rFonts w:hint="cs"/>
          <w:b/>
          <w:bCs/>
          <w:sz w:val="26"/>
          <w:szCs w:val="26"/>
          <w:rtl/>
          <w:lang w:eastAsia="ar" w:bidi="ar-EG"/>
        </w:rPr>
        <w:tab/>
        <w:t>خيارات التمويل للحفاظ على كفاءة الطاقة و/أو تعزيزها مع التخفيض التدريجي للمواد الهيدروفلوروكربونية ومدى توافقها مع عمليات الصندوق المتعدد الأطراف</w:t>
      </w:r>
    </w:p>
    <w:p w14:paraId="7B12B31E" w14:textId="77777777" w:rsidR="00717685" w:rsidRDefault="00717685" w:rsidP="00717685">
      <w:pPr>
        <w:bidi/>
        <w:rPr>
          <w:sz w:val="26"/>
          <w:szCs w:val="26"/>
          <w:u w:val="single"/>
        </w:rPr>
      </w:pPr>
    </w:p>
    <w:p w14:paraId="176E819C" w14:textId="77777777" w:rsidR="00717685" w:rsidRDefault="00717685" w:rsidP="00717685">
      <w:pPr>
        <w:pStyle w:val="ListParagraph"/>
        <w:numPr>
          <w:ilvl w:val="0"/>
          <w:numId w:val="26"/>
        </w:numPr>
        <w:bidi/>
        <w:ind w:hanging="720"/>
        <w:rPr>
          <w:b/>
          <w:sz w:val="26"/>
          <w:szCs w:val="26"/>
          <w:u w:val="single"/>
        </w:rPr>
      </w:pPr>
      <w:r>
        <w:rPr>
          <w:rFonts w:hint="cs"/>
          <w:b/>
          <w:bCs/>
          <w:sz w:val="26"/>
          <w:szCs w:val="26"/>
          <w:u w:val="single"/>
          <w:rtl/>
          <w:lang w:eastAsia="ar" w:bidi="ar-EG"/>
        </w:rPr>
        <w:t>خيارات التمويل</w:t>
      </w:r>
    </w:p>
    <w:p w14:paraId="056EECF5" w14:textId="77777777" w:rsidR="00717685" w:rsidRDefault="00717685" w:rsidP="00717685">
      <w:pPr>
        <w:bidi/>
        <w:rPr>
          <w:sz w:val="26"/>
          <w:szCs w:val="26"/>
          <w:u w:val="single"/>
        </w:rPr>
      </w:pPr>
    </w:p>
    <w:p w14:paraId="0B8517B9" w14:textId="77777777" w:rsidR="00717685" w:rsidRDefault="00717685" w:rsidP="00717685">
      <w:pPr>
        <w:pStyle w:val="Heading1"/>
        <w:numPr>
          <w:ilvl w:val="0"/>
          <w:numId w:val="23"/>
        </w:numPr>
        <w:bidi/>
        <w:rPr>
          <w:sz w:val="26"/>
          <w:szCs w:val="26"/>
        </w:rPr>
      </w:pPr>
      <w:r>
        <w:rPr>
          <w:rFonts w:hint="cs"/>
          <w:sz w:val="26"/>
          <w:szCs w:val="26"/>
          <w:rtl/>
          <w:lang w:eastAsia="ar" w:bidi="ar-EG"/>
        </w:rPr>
        <w:t>في ضوء المعلومات الواردة أعلاه والمتعلقة بنوع (أو أنواع) المشروعات والأنشطة الرامية إلى معالجة كفاءة الطاقة، إلى جانب الجوانب الرئيسية المتصلة بهذه المشروعات، يمكن للجنة التنفيذية النظر في ثلاثة خيارات للتمويل للحفاظ على كفاءة الطاقة و/أو تعزيزها مع التخفيض التدريجي للمواد الهيدروفلوروكربونية، ويرد تفصيل هذه الخيارات لاحقاً.</w:t>
      </w:r>
    </w:p>
    <w:p w14:paraId="0BEBC7D6"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بالإضافة إلى ذلك، وفي ضوء الخبرة المحدودة للغاية للصندوق المتعدد الأطراف في معالجة كفاءة الطاقة في الإزالة التدريجية للمواد الخاضعة للرقابة، يمكن للجنة التنفيذية أن تنظر في تخصيص التمويل عبر فرصة تمويل خاصة في إطار خيارات التمويل المذكورة أدناه، عندما يكون ذلك ممكناً، لبدء إجراءات بشأن كفاءة الطاقة من خلال مشروعات تجريبية لمجالات و/أو أنشطة ذات أولوية محددة.  وتنفيذ هذه الأنشطة في أقرب وقت ممكن لفترة أولية من شأنه أن يساعد اللجنة التنفيذية على فهم تأثير هذه التدخلات المتعلقة بكفاءة الطاقة وتوفير إرشادات إضافية للسياسات في المستقبل، بما في ذلك نوع التدخلات التي يمكن تمويلها وكيف يمكن رصد نتائج هذه التدخلات.  وقد تشمل الأنشطة الأولية التي يمكن تمويلها، استناداً إلى المعايير التي يتعين أن توافق عليها اللجنة التنفيذية، مشروعات استثمارية تغطي قطاعات تصنيعية وقطاعات فرعية محددة تركز تحديداً على المكونات اللازمة للحفاظ على كفاءة الطاقة و/أو تعزيزها، مع التخفيض التدريجي للمواد الهيدروفلوروكربونية ذات البدائل ذات إمكانية الاحترار العالمي المنخفضة، والمشروعات التجريبية في قطاع الخدمات التي تغطي السياسات والتدابير المتصلة بكفاءة الطاقة، بما في ذلك التنسيق المؤسسي الرامي إلى دمج الالتزامات المتعلقة بالتخفيض التدريجي للهيدروفلوروكربون إلى هذه السياسات والتدابير، وأنشطة بناء القدرات للحفاظ على تشغيل المعدات التي تتسم بالكفاءة في استخدام الطاقة.   </w:t>
      </w:r>
    </w:p>
    <w:p w14:paraId="6F5E15FC" w14:textId="77777777" w:rsidR="00717685" w:rsidRDefault="00717685" w:rsidP="00717685">
      <w:pPr>
        <w:pStyle w:val="Heading1"/>
        <w:numPr>
          <w:ilvl w:val="0"/>
          <w:numId w:val="23"/>
        </w:numPr>
        <w:bidi/>
        <w:rPr>
          <w:sz w:val="26"/>
          <w:szCs w:val="26"/>
        </w:rPr>
      </w:pPr>
      <w:r>
        <w:rPr>
          <w:rFonts w:hint="cs"/>
          <w:sz w:val="26"/>
          <w:szCs w:val="26"/>
          <w:rtl/>
          <w:lang w:eastAsia="ar" w:bidi="ar-EG"/>
        </w:rPr>
        <w:t>وينبغي تصميم هذه المشروعات بحيث تكون فترة تنفيذها قصيرة (أي من سنتين إلى ثلاث سنوات)، لأن النتائج ستحدد الاتجاه المستقبلي الذي قد ترغب اللجنة التنفيذية في التوجه صوبه في هذه المسألة. ومن شأن تنفيذ هذه الأنشطة، مع المجموعة الأولية من خطط تنفيذ تعديل كيغالي فيما يخص الهيدروفلوروكربون، مساعدة اللجنة التنفيذية على فهم الفعالية من حيث التكلفة والمنافع البيئية والمناخية لهذه الأنشطة في تنفيذ خطط تنفيذ تعديل كيغالي فيما يخص الهيدروفلوروكربون، والوقوف على أي تحديات. ستساعد هذه المشروعات الأولية في وضع خطة طويلة الأجل</w:t>
      </w:r>
      <w:r>
        <w:rPr>
          <w:rStyle w:val="FootnoteReference"/>
          <w:sz w:val="26"/>
          <w:szCs w:val="26"/>
          <w:rtl/>
          <w:lang w:eastAsia="ar" w:bidi="ar-EG"/>
        </w:rPr>
        <w:footnoteReference w:id="13"/>
      </w:r>
      <w:r>
        <w:rPr>
          <w:rFonts w:hint="cs"/>
          <w:sz w:val="26"/>
          <w:szCs w:val="26"/>
          <w:rtl/>
          <w:lang w:eastAsia="ar" w:bidi="ar-EG"/>
        </w:rPr>
        <w:t xml:space="preserve"> لتناول كفاءة الطاقة لتعظيم الفوائد المناخية أثناء تنفيذ التخفيض التدريجي للهيدروفلوروكربون بموجب تعديل كيغالي. وقد اتُخذت مبادرات مماثلة في الماضي لاستكشاف الفرص المحتملة لتحقيق أهداف محددة تتعلق بإزالة المواد الخاضعة للرقابة وغيرها من المبادرات الجديدة</w:t>
      </w:r>
      <w:r>
        <w:rPr>
          <w:rStyle w:val="FootnoteReference"/>
          <w:sz w:val="26"/>
          <w:szCs w:val="26"/>
          <w:rtl/>
          <w:lang w:eastAsia="ar" w:bidi="ar-EG"/>
        </w:rPr>
        <w:footnoteReference w:id="14"/>
      </w:r>
      <w:r>
        <w:rPr>
          <w:rFonts w:hint="cs"/>
          <w:sz w:val="26"/>
          <w:szCs w:val="26"/>
          <w:rtl/>
          <w:lang w:eastAsia="ar" w:bidi="ar-EG"/>
        </w:rPr>
        <w:t xml:space="preserve">. </w:t>
      </w:r>
    </w:p>
    <w:p w14:paraId="077E5C10" w14:textId="77777777" w:rsidR="00717685" w:rsidRDefault="00717685" w:rsidP="001C2F53">
      <w:pPr>
        <w:keepNext/>
        <w:keepLines/>
        <w:bidi/>
        <w:rPr>
          <w:i/>
          <w:sz w:val="26"/>
          <w:szCs w:val="26"/>
        </w:rPr>
      </w:pPr>
      <w:r>
        <w:rPr>
          <w:rFonts w:hint="cs"/>
          <w:i/>
          <w:iCs/>
          <w:sz w:val="26"/>
          <w:szCs w:val="26"/>
          <w:rtl/>
          <w:lang w:eastAsia="ar" w:bidi="ar-EG"/>
        </w:rPr>
        <w:t>الخيار الأول:  التمويل كجزء من المساهمات العادية للصندوق المتعدد الأطراف</w:t>
      </w:r>
    </w:p>
    <w:p w14:paraId="159E7A80" w14:textId="77777777" w:rsidR="00717685" w:rsidRDefault="00717685" w:rsidP="001C2F53">
      <w:pPr>
        <w:keepNext/>
        <w:keepLines/>
        <w:bidi/>
        <w:jc w:val="left"/>
        <w:rPr>
          <w:sz w:val="26"/>
          <w:szCs w:val="26"/>
        </w:rPr>
      </w:pPr>
    </w:p>
    <w:p w14:paraId="7BCE4C2D" w14:textId="77777777" w:rsidR="00717685" w:rsidRDefault="00717685" w:rsidP="001C2F53">
      <w:pPr>
        <w:pStyle w:val="Heading1"/>
        <w:keepNext/>
        <w:keepLines/>
        <w:numPr>
          <w:ilvl w:val="0"/>
          <w:numId w:val="23"/>
        </w:numPr>
        <w:bidi/>
        <w:rPr>
          <w:sz w:val="26"/>
          <w:szCs w:val="26"/>
        </w:rPr>
      </w:pPr>
      <w:r>
        <w:rPr>
          <w:rFonts w:hint="cs"/>
          <w:sz w:val="26"/>
          <w:szCs w:val="26"/>
          <w:rtl/>
          <w:lang w:eastAsia="ar" w:bidi="ar-EG"/>
        </w:rPr>
        <w:t>وبموجب هذا الخيار، ستمول كل من أنشطة التخفيض التدريجي للهيدروفلوروكربون وكفاءة الطاقة مباشرة من مساهمات البلدان غير العاملة بالمادة 5 من خلال عملية تجديد موارد الصندوق المتعدد الأطراف في إطار مساهماتها المقررة العادية. ويمكن تخصيص حصة من المساهمة العادية للمشروعات والأنشطة المتصلة بكفاءة الطاقة، بما في ذلك المشروعات التي تبدأ إجراءات من خلال مشروعات تجريبية في إطار فرص التمويل الخاصة. وسيتعين على اللجنة التنفيذية أن توافق على المبادئ التوجيهية والمعايير ذات الصلة لتمويل المشروعات  التي تتناول على وجه التحديد كفاءة الطاقة، بما في ذلك مقاييس الأداء ذات الصلة، التي ستُتبع أثناء صياغة المشروعات واستعراضها والموافقة عليها وتنفيذها. وقد تحتاج مختلف مؤسسات الصندوق المتعدد الأطراف إلى موارد إضافية لصياغة المشروعات واستعراضها والموافقة عليها وتنفيذها، لأن مكونات المشروع هذه قد تكون أكثر تعقيداً وتتطلب مهارات مختلفة لتطوير المشروعات واستعراضها وتنفيذها. قد ترجع هذه التكاليف الإضافية إلى الإدارة التشغيلية والإدارية للمشروعات.</w:t>
      </w:r>
    </w:p>
    <w:p w14:paraId="344D45B9" w14:textId="77777777" w:rsidR="00717685" w:rsidRDefault="00717685" w:rsidP="00717685">
      <w:pPr>
        <w:bidi/>
        <w:rPr>
          <w:i/>
          <w:sz w:val="26"/>
          <w:szCs w:val="26"/>
        </w:rPr>
      </w:pPr>
      <w:r>
        <w:rPr>
          <w:rFonts w:hint="cs"/>
          <w:i/>
          <w:iCs/>
          <w:sz w:val="26"/>
          <w:szCs w:val="26"/>
          <w:rtl/>
          <w:lang w:eastAsia="ar" w:bidi="ar-EG"/>
        </w:rPr>
        <w:t xml:space="preserve">الخيار الثاني:  التمويل من المساهمات الإضافية المقدمة من البلدان المانحة بخلاف إعادة التزويد بالمال من الصندوق المتعدد الأطراف  </w:t>
      </w:r>
    </w:p>
    <w:p w14:paraId="137888ED" w14:textId="77777777" w:rsidR="00717685" w:rsidRDefault="00717685" w:rsidP="00717685">
      <w:pPr>
        <w:bidi/>
        <w:jc w:val="left"/>
        <w:rPr>
          <w:b/>
          <w:sz w:val="26"/>
          <w:szCs w:val="26"/>
        </w:rPr>
      </w:pPr>
    </w:p>
    <w:p w14:paraId="1229A0DA" w14:textId="77777777" w:rsidR="00717685" w:rsidRDefault="00717685" w:rsidP="00717685">
      <w:pPr>
        <w:pStyle w:val="Heading1"/>
        <w:numPr>
          <w:ilvl w:val="0"/>
          <w:numId w:val="23"/>
        </w:numPr>
        <w:bidi/>
        <w:rPr>
          <w:sz w:val="26"/>
          <w:szCs w:val="26"/>
          <w:u w:val="single"/>
        </w:rPr>
      </w:pPr>
      <w:r>
        <w:rPr>
          <w:rFonts w:hint="cs"/>
          <w:sz w:val="26"/>
          <w:szCs w:val="26"/>
          <w:rtl/>
          <w:lang w:eastAsia="ar" w:bidi="ar-EG"/>
        </w:rPr>
        <w:t>سيكون تنفيذ هذا الخيار مماثلاً للإجراء المطبق للمساهمات الإضافية لدعم البداية السريعة لتنفيذ تعديل كيغالي.</w:t>
      </w:r>
      <w:r>
        <w:rPr>
          <w:rStyle w:val="FootnoteReference"/>
          <w:sz w:val="26"/>
          <w:szCs w:val="26"/>
          <w:rtl/>
          <w:lang w:eastAsia="ar" w:bidi="ar-EG"/>
        </w:rPr>
        <w:footnoteReference w:id="15"/>
      </w:r>
      <w:r>
        <w:rPr>
          <w:rFonts w:hint="cs"/>
          <w:sz w:val="26"/>
          <w:szCs w:val="26"/>
          <w:rtl/>
          <w:lang w:eastAsia="ar" w:bidi="ar-EG"/>
        </w:rPr>
        <w:t xml:space="preserve"> وفي إطار هذا الخيار، مصدر تمويل أنشطة كفاءة الطاقة، بما فيها الأنشطة التي تبدأ باتخاذ إجراءات عن طريق مشروعات تجريبية في إطار فرصة التمويل الخاصة، هو المساهمات الإضافية التي تقدمها البلدان المانحة المعنية بتمويل كفاءة الطاقة في القطاعات الفرعية لتصنيع الرغاوي وقطاعات التبريد وتكييف الهواء والمضخات الحرارية، وذلك على أساس مستمر ورهناً بموافقة اللجنة التنفيذية. وسيتعين إبرام اتفاقات مع الجهات المانحة المعنية من أجل الحصول على هذه الأموال واستخدامها. والافتراض المبني عليه خيار التمويل هذا هو أن إجراءات إدارة المشروع، بما فيها صياغة المشروعات واستعراضها والموافقة عليها وتنفيذها ورصدها والإبلاغ عنها، ستتبع الإجراءات التي وضعها الصندوق المتعدد الأطراف.</w:t>
      </w:r>
      <w:r>
        <w:rPr>
          <w:rStyle w:val="FootnoteReference"/>
          <w:sz w:val="26"/>
          <w:szCs w:val="26"/>
          <w:rtl/>
          <w:lang w:eastAsia="ar" w:bidi="ar-EG"/>
        </w:rPr>
        <w:footnoteReference w:id="16"/>
      </w:r>
      <w:r>
        <w:rPr>
          <w:rFonts w:hint="cs"/>
          <w:sz w:val="26"/>
          <w:szCs w:val="26"/>
          <w:rtl/>
          <w:lang w:eastAsia="ar" w:bidi="ar-EG"/>
        </w:rPr>
        <w:t xml:space="preserve"> وستقدم المساهمات الإضافية مقدماً، وستستخدم حصراً لمكونات المشروعات المتصلة بكفاءة الطاقة، التي ستتوقف أهليتها على السياسات والمبادئ التوجيهية التي ستوافق عليها اللجنة التنفيذية لهذه المشروعات. وستكون هذه التبرعات الطوعية إضافة إلى الاشتراكات المقررة العادية في إطار إعادة التزويد بالمال. وسيمول عنصر التخفيض التدريجي للهيدروفلوروكربون في المشروع من المساهمات العادية. واستناداً إلى الخبرة المكتسبة من إجراءات البدء هذه من خلال المشروعات التجريبية في إطار فرصة التمويل الخاصة، يمكن للجنة التنفيذية أن تبت في السياسات المستقبلية المتعلقة بمصادر الأموال وكيفية استخدام هذه الأموال للحفاظ على كفاءة الطاقة و/أو تعزيزها مع التخفيض التدريجي للمواد الهيدروفلوروكربونية. </w:t>
      </w:r>
    </w:p>
    <w:p w14:paraId="620C79E0" w14:textId="77777777" w:rsidR="00717685" w:rsidRDefault="00717685" w:rsidP="00717685">
      <w:pPr>
        <w:pStyle w:val="Heading1"/>
        <w:numPr>
          <w:ilvl w:val="0"/>
          <w:numId w:val="0"/>
        </w:numPr>
        <w:tabs>
          <w:tab w:val="left" w:pos="720"/>
        </w:tabs>
        <w:bidi/>
        <w:rPr>
          <w:sz w:val="26"/>
          <w:szCs w:val="26"/>
        </w:rPr>
      </w:pPr>
      <w:r>
        <w:rPr>
          <w:rFonts w:hint="cs"/>
          <w:i/>
          <w:iCs/>
          <w:sz w:val="26"/>
          <w:szCs w:val="26"/>
          <w:rtl/>
          <w:lang w:eastAsia="ar" w:bidi="ar-EG"/>
        </w:rPr>
        <w:t>الخيار الثالث:  التمويل من المساهمات الإضافية التي جرى التفاوض عليها مع صندوق المناخ الأخضر و/أو مرفق البيئة العالمية ومؤسسات التمويل الأخرى</w:t>
      </w:r>
    </w:p>
    <w:p w14:paraId="13AC6670" w14:textId="77777777" w:rsidR="00717685" w:rsidRDefault="00717685" w:rsidP="00717685">
      <w:pPr>
        <w:pStyle w:val="Heading1"/>
        <w:numPr>
          <w:ilvl w:val="0"/>
          <w:numId w:val="23"/>
        </w:numPr>
        <w:bidi/>
        <w:rPr>
          <w:sz w:val="26"/>
          <w:szCs w:val="26"/>
        </w:rPr>
      </w:pPr>
      <w:r>
        <w:rPr>
          <w:rFonts w:hint="cs"/>
          <w:sz w:val="26"/>
          <w:szCs w:val="26"/>
          <w:rtl/>
          <w:lang w:eastAsia="ar" w:bidi="ar-EG"/>
        </w:rPr>
        <w:t>في إطار هذا الخيار، مصدر تمويل أنشطة كفاءة الطاقة، بما فيها الأنشطة التي تبدأ باتخاذ إجراءات من خلال مشروعات تجريبية في إطار فرصة التمويل الخاصة، هو مساهمات صندوق المناخ الأخضر و/أو مرفق البيئة العالمية ومن مؤسسات التمويل الأخرى</w:t>
      </w:r>
      <w:r>
        <w:rPr>
          <w:rStyle w:val="FootnoteReference"/>
          <w:sz w:val="26"/>
          <w:szCs w:val="26"/>
          <w:rtl/>
          <w:lang w:eastAsia="ar" w:bidi="ar-EG"/>
        </w:rPr>
        <w:footnoteReference w:id="17"/>
      </w:r>
      <w:r>
        <w:rPr>
          <w:rFonts w:hint="cs"/>
          <w:sz w:val="26"/>
          <w:szCs w:val="26"/>
          <w:rtl/>
          <w:lang w:eastAsia="ar" w:bidi="ar-EG"/>
        </w:rPr>
        <w:t xml:space="preserve">، عبر اتفاقات متفاوض عليها لتمويل كفاءة الطاقة في القطاعات الفرعية لتصنيع الرغاوي وقطاعات التبريد وتكييف الهواء والمضخات الحرارية. ويشبه هذا الخيار الخيار الثاني، باستثناء أن هذه الأموال تقتصر على صندوق المناخ الأخضر و/أو مرفق البيئة العالمية ومؤسسات التمويل الأخرى، ويجري التفاوض عليها معها. وسيمول عنصر التخفيض التدريجي للهيدروفلوروكربون في المشروعات من المساهمات العادية. واستناداً إلى الخبرة المكتسبة من إجراءات البدء هذه من خلال المشروعات التجريبية في إطار فرصة التمويل الخاصة، يمكن للجنة التنفيذية أن تبت بعد ذلك في السياسات المستقبلية ذات الصلة بكيفية استخدام هذه الأموال للحفاظ على كفاءة الطاقة و/أو تعزيزها مع التخفيض التدريجي للمواد الهيدروفلوروكربونية. </w:t>
      </w:r>
    </w:p>
    <w:p w14:paraId="57E284EB" w14:textId="77777777" w:rsidR="00717685" w:rsidRDefault="00717685" w:rsidP="00717685">
      <w:pPr>
        <w:pStyle w:val="Heading1"/>
        <w:numPr>
          <w:ilvl w:val="0"/>
          <w:numId w:val="23"/>
        </w:numPr>
        <w:bidi/>
        <w:rPr>
          <w:sz w:val="26"/>
          <w:szCs w:val="26"/>
        </w:rPr>
      </w:pPr>
      <w:r>
        <w:rPr>
          <w:rFonts w:hint="cs"/>
          <w:sz w:val="26"/>
          <w:szCs w:val="26"/>
          <w:rtl/>
          <w:lang w:eastAsia="ar" w:bidi="ar-EG"/>
        </w:rPr>
        <w:t>وبالنظر إلى أن صندوق المناخ الأخضر و/أو مرفق البيئة العالمية ومؤسسات التمويل الأخرى تخصص الموارد على أساس حوكمتها وإجراءات إدارة عمليات المشروع الخاصة بها (مثل استخدام</w:t>
      </w:r>
      <w:r>
        <w:rPr>
          <w:rStyle w:val="FootnoteReference"/>
          <w:sz w:val="26"/>
          <w:szCs w:val="26"/>
          <w:rtl/>
          <w:lang w:eastAsia="ar" w:bidi="ar-EG"/>
        </w:rPr>
        <w:footnoteReference w:id="18"/>
      </w:r>
      <w:r>
        <w:rPr>
          <w:rFonts w:hint="cs"/>
          <w:sz w:val="26"/>
          <w:szCs w:val="26"/>
          <w:rtl/>
          <w:lang w:eastAsia="ar" w:bidi="ar-EG"/>
        </w:rPr>
        <w:t xml:space="preserve"> نظام التخصيص الشفاف للموارد لمجال التركيز المتمثل في تغير المناخ في حالة مرفق البيئة العالمية)، ويتعين التفاوض على الاتفاقات مع المؤسسات المعنية مع مراعاة تلك العمليات، بالإضافة إلى التكاليف الإدارية المتفق عليها في إطار الصندوق المتعدد الأطراف، مع ضمان اتباع السياسات والإجراءات والمبادئ التوجيهية وإجراءات إدارة المشروع الخاصة بالصندوق المتعدد الأطراف، بما في ذلك صياغة المشروعات واستعراضها والموافقة عليها وتنفيذها ورصدها التقارير.</w:t>
      </w:r>
      <w:r>
        <w:rPr>
          <w:rStyle w:val="FootnoteReference"/>
          <w:sz w:val="26"/>
          <w:szCs w:val="26"/>
          <w:rtl/>
          <w:lang w:eastAsia="ar" w:bidi="ar-EG"/>
        </w:rPr>
        <w:footnoteReference w:id="19"/>
      </w:r>
      <w:r>
        <w:rPr>
          <w:rFonts w:hint="cs"/>
          <w:sz w:val="26"/>
          <w:szCs w:val="26"/>
          <w:rtl/>
          <w:lang w:eastAsia="ar" w:bidi="ar-EG"/>
        </w:rPr>
        <w:t xml:space="preserve"> ويجب تصميم هذه الاتفاقات بصورة تضمن اتباع عملية بسيطة وسهلة للرصد والإبلاغ عن مكونات المشروعات المتعلقة بكفاءة الطاقة، بما يتماشى مع عملية الرصد والإبلاغ التي ينفذها الصندوق المتعدد الأطراف. ويجب مناقشة فاعلية هذا الخيار من حيث التكلفة مع المؤسسات المعنية بمزيد من الاستفاضة. </w:t>
      </w:r>
    </w:p>
    <w:p w14:paraId="281207FC"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ويقدم الجدول 3 أدناه ملخصاً بالجوانب الرئيسية لمختلف الخيارات في عملية الموافقة على المشروع وإدارته بشكل عام، والقدرة الإدارية من جانب وحدات الأوزون الوطنية والوكالات. </w:t>
      </w:r>
    </w:p>
    <w:p w14:paraId="56C91581" w14:textId="22B43E1F" w:rsidR="00717685" w:rsidRDefault="00717685" w:rsidP="00717685">
      <w:pPr>
        <w:pStyle w:val="Heading1"/>
        <w:keepNext/>
        <w:numPr>
          <w:ilvl w:val="0"/>
          <w:numId w:val="0"/>
        </w:numPr>
        <w:tabs>
          <w:tab w:val="left" w:pos="720"/>
        </w:tabs>
        <w:bidi/>
        <w:spacing w:after="0"/>
        <w:rPr>
          <w:b/>
          <w:bCs/>
          <w:sz w:val="26"/>
          <w:szCs w:val="26"/>
        </w:rPr>
      </w:pPr>
      <w:r>
        <w:rPr>
          <w:rFonts w:hint="cs"/>
          <w:b/>
          <w:bCs/>
          <w:sz w:val="26"/>
          <w:szCs w:val="26"/>
          <w:rtl/>
          <w:lang w:eastAsia="ar" w:bidi="ar-EG"/>
        </w:rPr>
        <w:t>الجدول 3</w:t>
      </w:r>
      <w:r w:rsidR="00D605B1">
        <w:rPr>
          <w:rFonts w:hint="cs"/>
          <w:b/>
          <w:bCs/>
          <w:sz w:val="26"/>
          <w:szCs w:val="26"/>
          <w:rtl/>
          <w:lang w:eastAsia="ar" w:bidi="ar-EG"/>
        </w:rPr>
        <w:t>-</w:t>
      </w:r>
      <w:r>
        <w:rPr>
          <w:rFonts w:hint="cs"/>
          <w:b/>
          <w:bCs/>
          <w:sz w:val="26"/>
          <w:szCs w:val="26"/>
          <w:rtl/>
          <w:lang w:eastAsia="ar" w:bidi="ar-EG"/>
        </w:rPr>
        <w:t xml:space="preserve"> تقييم خيارات تمويل مكونات كفاءة الطاقة مع التخفيض التدريجي للمواد الهيدروفلوروكربونية </w:t>
      </w:r>
    </w:p>
    <w:tbl>
      <w:tblPr>
        <w:bidiVisual/>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179"/>
        <w:gridCol w:w="1788"/>
        <w:gridCol w:w="1883"/>
        <w:gridCol w:w="1887"/>
        <w:gridCol w:w="1888"/>
      </w:tblGrid>
      <w:tr w:rsidR="00717685" w14:paraId="2F25A883" w14:textId="77777777" w:rsidTr="00717685">
        <w:trPr>
          <w:trHeight w:val="71"/>
          <w:tblHeader/>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7B4AD039" w14:textId="77777777" w:rsidR="00717685" w:rsidRDefault="00717685">
            <w:pPr>
              <w:keepNext/>
              <w:bidi/>
              <w:jc w:val="left"/>
              <w:rPr>
                <w:rFonts w:asciiTheme="majorBidi" w:hAnsiTheme="majorBidi" w:cstheme="majorBidi"/>
                <w:b/>
                <w:sz w:val="22"/>
                <w:szCs w:val="22"/>
              </w:rPr>
            </w:pPr>
            <w:r>
              <w:rPr>
                <w:rFonts w:asciiTheme="majorBidi" w:hAnsiTheme="majorBidi" w:cstheme="majorBidi" w:hint="cs"/>
                <w:b/>
                <w:bCs/>
                <w:rtl/>
                <w:lang w:eastAsia="ar" w:bidi="ar-EG"/>
              </w:rPr>
              <w:t>المعايير</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00231D29"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الخيار الأول:</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5E226A83"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الخيار الثاني:</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695CFB68"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الخيار الثالث:</w:t>
            </w:r>
          </w:p>
        </w:tc>
      </w:tr>
      <w:tr w:rsidR="00717685" w14:paraId="6AAECA29" w14:textId="77777777" w:rsidTr="00717685">
        <w:trPr>
          <w:trHeight w:val="697"/>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52BE7A5D" w14:textId="77777777" w:rsidR="00717685" w:rsidRDefault="00717685">
            <w:pPr>
              <w:keepNext/>
              <w:bidi/>
              <w:jc w:val="left"/>
              <w:rPr>
                <w:rFonts w:asciiTheme="majorBidi" w:hAnsiTheme="majorBidi" w:cstheme="majorBidi"/>
                <w:b/>
              </w:rPr>
            </w:pPr>
            <w:r>
              <w:rPr>
                <w:rFonts w:asciiTheme="majorBidi" w:hAnsiTheme="majorBidi" w:cstheme="majorBidi" w:hint="cs"/>
                <w:b/>
                <w:bCs/>
                <w:rtl/>
                <w:lang w:eastAsia="ar" w:bidi="ar-EG"/>
              </w:rPr>
              <w:t>موضوع الخيار</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70691447"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التمويل العادي من الصندوق المتعدد الأطراف</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0A3BE779"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 xml:space="preserve">المساهمات الإضافية المقدمة من البلدان المانحة بخلاف إعادة التزويد بالمال من الصندوق المتعدد الأطراف </w:t>
            </w:r>
          </w:p>
        </w:tc>
        <w:tc>
          <w:tcPr>
            <w:tcW w:w="980" w:type="pct"/>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372BD437"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التمويل المتفاوض عليه مع صندوق المناخ الأخضر و/أو مرفق البيئة العالمية</w:t>
            </w:r>
          </w:p>
        </w:tc>
        <w:tc>
          <w:tcPr>
            <w:tcW w:w="981"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277911DB" w14:textId="77777777" w:rsidR="00717685" w:rsidRDefault="00717685">
            <w:pPr>
              <w:keepNext/>
              <w:bidi/>
              <w:jc w:val="center"/>
              <w:rPr>
                <w:rFonts w:asciiTheme="majorBidi" w:hAnsiTheme="majorBidi" w:cstheme="majorBidi"/>
                <w:b/>
              </w:rPr>
            </w:pPr>
            <w:r>
              <w:rPr>
                <w:rFonts w:asciiTheme="majorBidi" w:hAnsiTheme="majorBidi" w:cstheme="majorBidi" w:hint="cs"/>
                <w:b/>
                <w:bCs/>
                <w:rtl/>
                <w:lang w:eastAsia="ar" w:bidi="ar-EG"/>
              </w:rPr>
              <w:t>التمويل المتفاوض عليه مع مؤسسات التمويل الأخرى</w:t>
            </w:r>
          </w:p>
        </w:tc>
      </w:tr>
      <w:tr w:rsidR="00717685" w14:paraId="47938B36" w14:textId="77777777" w:rsidTr="00717685">
        <w:trPr>
          <w:trHeight w:val="21"/>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E8E6B4C" w14:textId="77777777" w:rsidR="00717685" w:rsidRDefault="00717685">
            <w:pPr>
              <w:keepNext/>
              <w:bidi/>
              <w:jc w:val="left"/>
              <w:rPr>
                <w:rFonts w:asciiTheme="majorBidi" w:hAnsiTheme="majorBidi" w:cstheme="majorBidi"/>
              </w:rPr>
            </w:pPr>
            <w:r>
              <w:rPr>
                <w:rFonts w:asciiTheme="majorBidi" w:hAnsiTheme="majorBidi" w:cstheme="majorBidi" w:hint="cs"/>
                <w:rtl/>
                <w:lang w:eastAsia="ar" w:bidi="ar-EG"/>
              </w:rPr>
              <w:t>إمكانية التنبؤ بالتمويل</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8B72BBC" w14:textId="77777777" w:rsidR="00717685" w:rsidRDefault="00717685">
            <w:pPr>
              <w:keepNext/>
              <w:bidi/>
              <w:jc w:val="center"/>
              <w:rPr>
                <w:rFonts w:asciiTheme="majorBidi" w:hAnsiTheme="majorBidi" w:cstheme="majorBidi"/>
              </w:rPr>
            </w:pPr>
            <w:r>
              <w:rPr>
                <w:rFonts w:asciiTheme="majorBidi" w:hAnsiTheme="majorBidi" w:cstheme="majorBidi" w:hint="cs"/>
                <w:rtl/>
                <w:lang w:eastAsia="ar" w:bidi="ar-EG"/>
              </w:rPr>
              <w:t>مرتفعة</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36159F11" w14:textId="77777777" w:rsidR="00717685" w:rsidRDefault="00717685">
            <w:pPr>
              <w:keepNext/>
              <w:bidi/>
              <w:jc w:val="center"/>
              <w:rPr>
                <w:rFonts w:asciiTheme="majorBidi" w:hAnsiTheme="majorBidi" w:cstheme="majorBidi"/>
              </w:rPr>
            </w:pPr>
            <w:r>
              <w:rPr>
                <w:rFonts w:asciiTheme="majorBidi" w:hAnsiTheme="majorBidi" w:cstheme="majorBidi" w:hint="cs"/>
                <w:rtl/>
                <w:lang w:eastAsia="ar" w:bidi="ar-EG"/>
              </w:rPr>
              <w:t>متوسطة (عدم اليقين أعلى في تأمين التمويل)</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76842BDC" w14:textId="77777777" w:rsidR="00717685" w:rsidRDefault="00717685">
            <w:pPr>
              <w:keepNext/>
              <w:bidi/>
              <w:jc w:val="center"/>
              <w:rPr>
                <w:rFonts w:asciiTheme="majorBidi" w:hAnsiTheme="majorBidi" w:cstheme="majorBidi"/>
                <w:strike/>
              </w:rPr>
            </w:pPr>
            <w:r>
              <w:rPr>
                <w:rFonts w:asciiTheme="majorBidi" w:hAnsiTheme="majorBidi" w:cstheme="majorBidi" w:hint="cs"/>
                <w:rtl/>
                <w:lang w:eastAsia="ar" w:bidi="ar-EG"/>
              </w:rPr>
              <w:t>مرتفعة (مع ارتفاع عدم اليقين في موافقة المؤسسات على التمويل مقدماً)</w:t>
            </w:r>
          </w:p>
        </w:tc>
      </w:tr>
      <w:tr w:rsidR="00717685" w14:paraId="67A947CD" w14:textId="77777777" w:rsidTr="00717685">
        <w:trPr>
          <w:trHeight w:val="477"/>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02506CDD" w14:textId="77777777" w:rsidR="00717685" w:rsidRDefault="00717685">
            <w:pPr>
              <w:bidi/>
              <w:jc w:val="left"/>
              <w:rPr>
                <w:rFonts w:asciiTheme="majorBidi" w:hAnsiTheme="majorBidi" w:cstheme="majorBidi"/>
              </w:rPr>
            </w:pPr>
            <w:r>
              <w:rPr>
                <w:rFonts w:asciiTheme="majorBidi" w:hAnsiTheme="majorBidi" w:cstheme="majorBidi" w:hint="cs"/>
                <w:rtl/>
                <w:lang w:eastAsia="ar" w:bidi="ar-EG"/>
              </w:rPr>
              <w:t>استدامة التمويل</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626D1062"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مرتفعة</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0D1A5EFE"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متوسطة (عدم اليقين أعلى في تأمين التمويل)</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47BAE328" w14:textId="77777777" w:rsidR="00717685" w:rsidRDefault="00717685">
            <w:pPr>
              <w:bidi/>
              <w:jc w:val="center"/>
              <w:rPr>
                <w:rFonts w:asciiTheme="majorBidi" w:hAnsiTheme="majorBidi" w:cstheme="majorBidi"/>
                <w:strike/>
              </w:rPr>
            </w:pPr>
            <w:r>
              <w:rPr>
                <w:rFonts w:asciiTheme="majorBidi" w:hAnsiTheme="majorBidi" w:cstheme="majorBidi" w:hint="cs"/>
                <w:rtl/>
                <w:lang w:eastAsia="ar" w:bidi="ar-EG"/>
              </w:rPr>
              <w:t>متوسطة (عدم اليقين أعلى في تأمين التمويل)</w:t>
            </w:r>
          </w:p>
        </w:tc>
      </w:tr>
      <w:tr w:rsidR="00717685" w14:paraId="2C9DCE68" w14:textId="77777777" w:rsidTr="00717685">
        <w:trPr>
          <w:trHeight w:val="462"/>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64346E3E" w14:textId="77777777" w:rsidR="00717685" w:rsidRDefault="00717685">
            <w:pPr>
              <w:bidi/>
              <w:jc w:val="left"/>
              <w:rPr>
                <w:rFonts w:asciiTheme="majorBidi" w:hAnsiTheme="majorBidi" w:cstheme="majorBidi"/>
              </w:rPr>
            </w:pPr>
            <w:r>
              <w:rPr>
                <w:rFonts w:asciiTheme="majorBidi" w:hAnsiTheme="majorBidi" w:cstheme="majorBidi" w:hint="cs"/>
                <w:rtl/>
                <w:lang w:eastAsia="ar" w:bidi="ar-EG"/>
              </w:rPr>
              <w:t>سرعة التفعيل من أجل للتنفيذ</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A763A82"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مرتفعة</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34AF5BFA"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 xml:space="preserve">متوسطة (أبطأ بسبب الوقت الذي يستغرقه وضع اللمسات الأخيرة على الإجراءات وعملية التنفيذ) </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46685BFD" w14:textId="77777777" w:rsidR="00717685" w:rsidRDefault="00717685">
            <w:pPr>
              <w:bidi/>
              <w:jc w:val="center"/>
              <w:rPr>
                <w:rFonts w:asciiTheme="majorBidi" w:hAnsiTheme="majorBidi" w:cstheme="majorBidi"/>
                <w:strike/>
              </w:rPr>
            </w:pPr>
            <w:r>
              <w:rPr>
                <w:rFonts w:asciiTheme="majorBidi" w:hAnsiTheme="majorBidi" w:cstheme="majorBidi" w:hint="cs"/>
                <w:rtl/>
                <w:lang w:eastAsia="ar" w:bidi="ar-EG"/>
              </w:rPr>
              <w:t>متوسطة (أبطأ بسبب الوقت الذي يستغرقه وضع اللمسات الأخيرة على الإجراءات وعملية التنفيذ)</w:t>
            </w:r>
          </w:p>
        </w:tc>
      </w:tr>
      <w:tr w:rsidR="00717685" w14:paraId="2991E842" w14:textId="77777777" w:rsidTr="00717685">
        <w:trPr>
          <w:trHeight w:val="476"/>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3D0428EC" w14:textId="77777777" w:rsidR="00717685" w:rsidRDefault="00717685">
            <w:pPr>
              <w:bidi/>
              <w:jc w:val="left"/>
              <w:rPr>
                <w:rFonts w:asciiTheme="majorBidi" w:hAnsiTheme="majorBidi" w:cstheme="majorBidi"/>
              </w:rPr>
            </w:pPr>
            <w:r>
              <w:rPr>
                <w:rFonts w:asciiTheme="majorBidi" w:hAnsiTheme="majorBidi" w:cstheme="majorBidi" w:hint="cs"/>
                <w:rtl/>
                <w:lang w:eastAsia="ar" w:bidi="ar-EG"/>
              </w:rPr>
              <w:t>التزامن مع التخفيض التدريجي للهيدروفلوروكربون</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63A2C7F7" w14:textId="4128F553"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76DE2D96" w14:textId="5B5845E5"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4487D20C" w14:textId="647E4CBD" w:rsidR="00717685" w:rsidRDefault="00717685">
            <w:pPr>
              <w:bidi/>
              <w:jc w:val="center"/>
              <w:rPr>
                <w:rFonts w:asciiTheme="majorBidi" w:hAnsiTheme="majorBidi" w:cstheme="majorBidi"/>
                <w:strike/>
              </w:rPr>
            </w:pPr>
            <w:r>
              <w:rPr>
                <w:rFonts w:asciiTheme="majorBidi" w:hAnsiTheme="majorBidi" w:cstheme="majorBidi" w:hint="cs"/>
                <w:rtl/>
                <w:lang w:eastAsia="ar" w:bidi="ar-EG"/>
              </w:rPr>
              <w:t>مرتفع</w:t>
            </w:r>
          </w:p>
        </w:tc>
      </w:tr>
      <w:tr w:rsidR="00717685" w14:paraId="412F1423" w14:textId="77777777" w:rsidTr="00717685">
        <w:trPr>
          <w:trHeight w:val="917"/>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5D87F3E8" w14:textId="77777777" w:rsidR="00717685" w:rsidRDefault="00717685">
            <w:pPr>
              <w:bidi/>
              <w:jc w:val="left"/>
              <w:rPr>
                <w:rFonts w:asciiTheme="majorBidi" w:hAnsiTheme="majorBidi" w:cstheme="majorBidi"/>
              </w:rPr>
            </w:pPr>
            <w:r>
              <w:rPr>
                <w:rFonts w:asciiTheme="majorBidi" w:hAnsiTheme="majorBidi" w:cstheme="majorBidi" w:hint="cs"/>
                <w:rtl/>
                <w:lang w:eastAsia="ar" w:bidi="ar-EG"/>
              </w:rPr>
              <w:t>الإدارة في إطار عملية الصندوق المتعدد الأطراف، بما في ذلك الإشراف من اللجنة التنفيذية</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3A4F382"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نعم</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2A1E8F1B"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نعم (وفقاً للاتفاقات المتفاوض عليها)</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7164C038" w14:textId="77777777" w:rsidR="00717685" w:rsidRDefault="00717685">
            <w:pPr>
              <w:bidi/>
              <w:jc w:val="center"/>
              <w:rPr>
                <w:rFonts w:asciiTheme="majorBidi" w:hAnsiTheme="majorBidi" w:cstheme="majorBidi"/>
                <w:strike/>
              </w:rPr>
            </w:pPr>
            <w:r>
              <w:rPr>
                <w:rFonts w:asciiTheme="majorBidi" w:hAnsiTheme="majorBidi" w:cstheme="majorBidi" w:hint="cs"/>
                <w:rtl/>
                <w:lang w:eastAsia="ar" w:bidi="ar-EG"/>
              </w:rPr>
              <w:t>نعم (وفقاً للاتفاقات المتفاوض عليها)</w:t>
            </w:r>
          </w:p>
        </w:tc>
      </w:tr>
      <w:tr w:rsidR="00717685" w14:paraId="076161FC" w14:textId="77777777" w:rsidTr="00717685">
        <w:trPr>
          <w:trHeight w:val="651"/>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6245CDB" w14:textId="77777777" w:rsidR="00717685" w:rsidRDefault="00717685">
            <w:pPr>
              <w:bidi/>
              <w:jc w:val="left"/>
              <w:rPr>
                <w:rFonts w:asciiTheme="majorBidi" w:hAnsiTheme="majorBidi" w:cstheme="majorBidi"/>
              </w:rPr>
            </w:pPr>
            <w:r>
              <w:rPr>
                <w:rFonts w:asciiTheme="majorBidi" w:hAnsiTheme="majorBidi" w:cstheme="majorBidi" w:hint="cs"/>
                <w:rtl/>
                <w:lang w:eastAsia="ar" w:bidi="ar-EG"/>
              </w:rPr>
              <w:t>سهولة فهم الإجراءات التشغيلية للوكالات وللمنظمات غير الحكومية</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7C0B04BD"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مرتفعة</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DC1B5EE"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مرتفعة</w:t>
            </w:r>
          </w:p>
        </w:tc>
        <w:tc>
          <w:tcPr>
            <w:tcW w:w="980" w:type="pct"/>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1B6D3B43" w14:textId="77777777" w:rsidR="00717685" w:rsidRDefault="00717685">
            <w:pPr>
              <w:bidi/>
              <w:jc w:val="center"/>
              <w:rPr>
                <w:rFonts w:asciiTheme="majorBidi" w:hAnsiTheme="majorBidi" w:cstheme="majorBidi"/>
                <w:strike/>
              </w:rPr>
            </w:pPr>
            <w:r>
              <w:rPr>
                <w:rFonts w:asciiTheme="majorBidi" w:hAnsiTheme="majorBidi" w:cstheme="majorBidi" w:hint="cs"/>
                <w:rtl/>
                <w:lang w:eastAsia="ar" w:bidi="ar-EG"/>
              </w:rPr>
              <w:t>مرتفعة</w:t>
            </w:r>
          </w:p>
        </w:tc>
        <w:tc>
          <w:tcPr>
            <w:tcW w:w="981" w:type="pct"/>
            <w:tcBorders>
              <w:top w:val="single" w:sz="4" w:space="0" w:color="auto"/>
              <w:left w:val="single" w:sz="4" w:space="0" w:color="auto"/>
              <w:bottom w:val="single" w:sz="4" w:space="0" w:color="auto"/>
              <w:right w:val="single" w:sz="4" w:space="0" w:color="auto"/>
            </w:tcBorders>
            <w:hideMark/>
          </w:tcPr>
          <w:p w14:paraId="48873DF9"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متوسط</w:t>
            </w:r>
          </w:p>
        </w:tc>
      </w:tr>
      <w:tr w:rsidR="00717685" w14:paraId="03951C08" w14:textId="77777777" w:rsidTr="00717685">
        <w:trPr>
          <w:trHeight w:val="296"/>
        </w:trPr>
        <w:tc>
          <w:tcPr>
            <w:tcW w:w="1132"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3DF8C2EF" w14:textId="77777777" w:rsidR="00717685" w:rsidRDefault="00717685">
            <w:pPr>
              <w:bidi/>
              <w:jc w:val="left"/>
              <w:rPr>
                <w:rFonts w:asciiTheme="majorBidi" w:hAnsiTheme="majorBidi" w:cstheme="majorBidi"/>
              </w:rPr>
            </w:pPr>
            <w:r>
              <w:rPr>
                <w:rFonts w:asciiTheme="majorBidi" w:hAnsiTheme="majorBidi" w:cstheme="majorBidi" w:hint="cs"/>
                <w:rtl/>
                <w:lang w:eastAsia="ar" w:bidi="ar-EG"/>
              </w:rPr>
              <w:t>استدامة تحسين كفاءة الطاقة (الأساس المستمر)</w:t>
            </w:r>
          </w:p>
        </w:tc>
        <w:tc>
          <w:tcPr>
            <w:tcW w:w="929"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0B5B221F"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مرتفعة (بناءً على سياسات تنفيذ المشروع)</w:t>
            </w:r>
          </w:p>
        </w:tc>
        <w:tc>
          <w:tcPr>
            <w:tcW w:w="978" w:type="pct"/>
            <w:tcBorders>
              <w:top w:val="single" w:sz="4" w:space="0" w:color="auto"/>
              <w:left w:val="single" w:sz="4" w:space="0" w:color="auto"/>
              <w:bottom w:val="single" w:sz="4" w:space="0" w:color="auto"/>
              <w:right w:val="single" w:sz="4" w:space="0" w:color="auto"/>
            </w:tcBorders>
            <w:tcMar>
              <w:top w:w="72" w:type="dxa"/>
              <w:left w:w="144" w:type="dxa"/>
              <w:bottom w:w="43" w:type="dxa"/>
              <w:right w:w="144" w:type="dxa"/>
            </w:tcMar>
            <w:hideMark/>
          </w:tcPr>
          <w:p w14:paraId="4238A3D4" w14:textId="77777777" w:rsidR="00717685" w:rsidRDefault="00717685">
            <w:pPr>
              <w:bidi/>
              <w:jc w:val="center"/>
              <w:rPr>
                <w:rFonts w:asciiTheme="majorBidi" w:hAnsiTheme="majorBidi" w:cstheme="majorBidi"/>
              </w:rPr>
            </w:pPr>
            <w:r>
              <w:rPr>
                <w:rFonts w:asciiTheme="majorBidi" w:hAnsiTheme="majorBidi" w:cstheme="majorBidi" w:hint="cs"/>
                <w:rtl/>
                <w:lang w:eastAsia="ar" w:bidi="ar-EG"/>
              </w:rPr>
              <w:t>تتوقف على التمويل المتاح باستمرار، وكذلك على سياسات تنفيذ المشروع</w:t>
            </w:r>
          </w:p>
        </w:tc>
        <w:tc>
          <w:tcPr>
            <w:tcW w:w="1961" w:type="pct"/>
            <w:gridSpan w:val="2"/>
            <w:tcBorders>
              <w:top w:val="single" w:sz="4" w:space="0" w:color="auto"/>
              <w:left w:val="single" w:sz="4" w:space="0" w:color="auto"/>
              <w:bottom w:val="single" w:sz="4" w:space="0" w:color="auto"/>
              <w:right w:val="single" w:sz="4" w:space="0" w:color="auto"/>
            </w:tcBorders>
            <w:tcMar>
              <w:top w:w="0" w:type="dxa"/>
              <w:left w:w="0" w:type="dxa"/>
              <w:bottom w:w="43" w:type="dxa"/>
              <w:right w:w="0" w:type="dxa"/>
            </w:tcMar>
            <w:hideMark/>
          </w:tcPr>
          <w:p w14:paraId="11F1C812" w14:textId="77777777" w:rsidR="00717685" w:rsidRDefault="00717685">
            <w:pPr>
              <w:bidi/>
              <w:jc w:val="center"/>
              <w:rPr>
                <w:rFonts w:asciiTheme="majorBidi" w:hAnsiTheme="majorBidi" w:cstheme="majorBidi"/>
                <w:strike/>
              </w:rPr>
            </w:pPr>
            <w:r>
              <w:rPr>
                <w:rFonts w:asciiTheme="majorBidi" w:hAnsiTheme="majorBidi" w:cstheme="majorBidi" w:hint="cs"/>
                <w:rtl/>
                <w:lang w:eastAsia="ar" w:bidi="ar-EG"/>
              </w:rPr>
              <w:t>تتوقف على التمويل المتاح باستمرار، وكذلك على سياسات تنفيذ المشروع</w:t>
            </w:r>
          </w:p>
        </w:tc>
      </w:tr>
    </w:tbl>
    <w:p w14:paraId="0A6108F2" w14:textId="77777777" w:rsidR="00717685" w:rsidRDefault="00717685" w:rsidP="00717685">
      <w:pPr>
        <w:bidi/>
        <w:jc w:val="left"/>
        <w:rPr>
          <w:i/>
          <w:sz w:val="26"/>
          <w:szCs w:val="26"/>
          <w:lang w:val="en-CA" w:eastAsia="ar-EG"/>
        </w:rPr>
      </w:pPr>
      <w:r>
        <w:rPr>
          <w:rFonts w:hint="cs"/>
          <w:i/>
          <w:iCs/>
          <w:sz w:val="26"/>
          <w:szCs w:val="26"/>
          <w:rtl/>
          <w:lang w:eastAsia="ar" w:bidi="ar-EG"/>
        </w:rPr>
        <w:t>ملاحظة: مستويات الاختلاف بين «مرتفع/مرتفعة» و«متوسط/متوسطة» الواردة أعلاه في تقييم الخيارات غير دقيقة، ويصعب تحديدها كمياً.</w:t>
      </w:r>
    </w:p>
    <w:p w14:paraId="47A0DB91" w14:textId="77777777" w:rsidR="00717685" w:rsidRDefault="00717685" w:rsidP="00717685">
      <w:pPr>
        <w:bidi/>
        <w:jc w:val="left"/>
        <w:rPr>
          <w:sz w:val="26"/>
          <w:szCs w:val="26"/>
          <w:u w:val="single"/>
        </w:rPr>
      </w:pPr>
    </w:p>
    <w:p w14:paraId="0114379A"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ويمكن أيضاً تنفيذ الخيارات المذكورة أعلاه بالتوازي، أو بجمعها معاً، لأن تطبيق أحدها لا يمنع تطبيق الآخر. ويمكن تفعيل بعض هذه الخيارات على نحو أسرع (مثل الخيار الأول)، بينما قد يستغرق البعض الآخر وقتاً أطول، ولا سيما للتفاوض بشأن ترتيبات التمويل والاتفاقات القانونية، ووضع اللمسات النهائية عليها.  </w:t>
      </w:r>
    </w:p>
    <w:p w14:paraId="7FA5ADF6"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وسيلزم اتخاذ خطوات مختلفة لتفعيل ما توافق عليه اللجنة التنفيذية من خيار، أو خيارات. وفي حالة الخيار الأول، يمكن تعجيل عملية الموافقة على المشروع استناداً إلى المبادئ التوجيهية التي توافق عليها اللجنة التنفيذية. وفي حالة الخيارين الثاني والثالث، يجب مناقشة ترتيبات التمويل ذات الصلة والشروط المرتبطة بها مع الجهات المانحة المعنية والتفاوض معها عليها، مع مراعاة إجراءات الصندوق المتعدد الأطراف وعملياته الإدارية؛ وقد تتطلب هذه الترتيبات موافقات إضافية من اللجنة التنفيذية (مثل موافقات على شروط محددة من شروط تنفيذ المشروع، والجداول الزمنية لتوفير الأموال، وما إلى ذلك) قبل وضع اللمسات الأخيرة. </w:t>
      </w:r>
    </w:p>
    <w:p w14:paraId="120FBE37" w14:textId="77777777" w:rsidR="00717685" w:rsidRDefault="00717685" w:rsidP="00717685">
      <w:pPr>
        <w:pStyle w:val="Heading1"/>
        <w:numPr>
          <w:ilvl w:val="0"/>
          <w:numId w:val="23"/>
        </w:numPr>
        <w:bidi/>
        <w:rPr>
          <w:sz w:val="26"/>
          <w:szCs w:val="26"/>
        </w:rPr>
      </w:pPr>
      <w:r>
        <w:rPr>
          <w:rFonts w:hint="cs"/>
          <w:sz w:val="26"/>
          <w:szCs w:val="26"/>
          <w:rtl/>
          <w:lang w:eastAsia="ar" w:bidi="ar-EG"/>
        </w:rPr>
        <w:t>ويمكن أيضاً الجمع بين أي من الخيارات المذكورة أعلاه والجهود الممكنة التي تبذلها الوكالات الثنائية والمنفذة للحصول على تمويل لكفاءة الطاقة من المؤسسات غير التابعة للصندوق المتعدد الأطراف. وسيكون ذلك خارج عمليات الصندوق المتعدد الأطراف، وقد تستطيع الوكالات بمفردها حشد هذه الموارد للعناصر المرتبطة بكفاءة الطاقة، أو إدارتها. ولا يزال الصندوق المتعدد الأطراف يوفر التمويل للمكونات المتعلقة بالتخفيض التدريجي للهيدروفلوروكربون من خلال المساهمات العادية. فعلى سبيل المثال، يمكن للوكالات حشد الأموال من أي مؤسسة، بما فيها المؤسسات المُحددة في الجدول 1، لمعالجة مسألة كفاءة الطاقة، وربما لتنفيذ أنشطة أخرى غير مؤهلة للتخفيض التدريجي للهيدروفلوروكربون،</w:t>
      </w:r>
      <w:r>
        <w:rPr>
          <w:rStyle w:val="FootnoteReference"/>
          <w:sz w:val="26"/>
          <w:szCs w:val="26"/>
          <w:rtl/>
          <w:lang w:eastAsia="ar" w:bidi="ar-EG"/>
        </w:rPr>
        <w:footnoteReference w:id="20"/>
      </w:r>
      <w:r>
        <w:rPr>
          <w:rFonts w:hint="cs"/>
          <w:sz w:val="26"/>
          <w:szCs w:val="26"/>
          <w:rtl/>
          <w:lang w:eastAsia="ar" w:bidi="ar-EG"/>
        </w:rPr>
        <w:t xml:space="preserve"> الأمر الذي قد ييسر تنفيذاً أسرع وأكثر استدامة للتخفيض التدريجي للهيدروفلوروكربون في قطاعات محددة ( مثل قطاع تكييف الهواء).</w:t>
      </w:r>
    </w:p>
    <w:p w14:paraId="01010F23"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وفي حين أن اللجنة التنفيذية سترصد التقدم المحرز في مشروع التخفيض التدريجي للهيدروفلوروكربون من خلال إجراءات الرصد والإبلاغ المنتظمة، لها أن تطلب إلى الوكالات تبادل المعلومات عن مكونات كفاءة الطاقة والأنشطة الأخرى ذات الصلة، بالقدر الممكن والضروري.  </w:t>
      </w:r>
    </w:p>
    <w:p w14:paraId="20AE6C50" w14:textId="77777777" w:rsidR="00717685" w:rsidRDefault="00717685" w:rsidP="00717685">
      <w:pPr>
        <w:pStyle w:val="Heading1"/>
        <w:numPr>
          <w:ilvl w:val="0"/>
          <w:numId w:val="23"/>
        </w:numPr>
        <w:bidi/>
        <w:rPr>
          <w:sz w:val="26"/>
          <w:szCs w:val="26"/>
        </w:rPr>
      </w:pPr>
      <w:r>
        <w:rPr>
          <w:rFonts w:hint="cs"/>
          <w:sz w:val="26"/>
          <w:szCs w:val="26"/>
          <w:rtl/>
          <w:lang w:eastAsia="ar" w:bidi="ar-EG"/>
        </w:rPr>
        <w:t>وجرى تقييم طريقة التنفيذ، وهي نفسها التي عولجت بها مكونات كفاءة الطاقة في بعض المشروعات (مثل مشروع تحويل رغوة البوليوريثان في المكسيك) بموجب المقرر 78/3(ز)).</w:t>
      </w:r>
      <w:r>
        <w:rPr>
          <w:rStyle w:val="FootnoteReference"/>
          <w:sz w:val="26"/>
          <w:szCs w:val="26"/>
          <w:rtl/>
          <w:lang w:eastAsia="ar" w:bidi="ar-EG"/>
        </w:rPr>
        <w:footnoteReference w:id="21"/>
      </w:r>
      <w:r>
        <w:rPr>
          <w:rFonts w:hint="cs"/>
          <w:sz w:val="26"/>
          <w:szCs w:val="26"/>
          <w:rtl/>
          <w:lang w:eastAsia="ar" w:bidi="ar-EG"/>
        </w:rPr>
        <w:t xml:space="preserve"> وسينفذ التخفيض التدريجي للهيدروفلوروكربون بتمويل من الصندوق المتعدد الأطراف من خلال عملية تنفيذ المشروعات العادية؛ وسيُدمج عنصر كفاءة الطاقة في هذه المشروعات مع دعم تمويلي من المؤسسات الخارجية و/أو الموارد الداخلية غير التابعة للصندوق المتعدد الأطراف (مثل مصادر التمويل الداخلية للشركة). </w:t>
      </w:r>
    </w:p>
    <w:p w14:paraId="5E7DEE30" w14:textId="77777777" w:rsidR="00717685" w:rsidRDefault="00717685" w:rsidP="00FE6D6B">
      <w:pPr>
        <w:pStyle w:val="Heading1"/>
        <w:keepNext/>
        <w:keepLines/>
        <w:numPr>
          <w:ilvl w:val="0"/>
          <w:numId w:val="0"/>
        </w:numPr>
        <w:tabs>
          <w:tab w:val="left" w:pos="720"/>
        </w:tabs>
        <w:bidi/>
        <w:rPr>
          <w:b/>
          <w:sz w:val="26"/>
          <w:szCs w:val="26"/>
        </w:rPr>
      </w:pPr>
      <w:r>
        <w:rPr>
          <w:rFonts w:hint="cs"/>
          <w:b/>
          <w:bCs/>
          <w:sz w:val="26"/>
          <w:szCs w:val="26"/>
          <w:rtl/>
          <w:lang w:eastAsia="ar" w:bidi="ar-EG"/>
        </w:rPr>
        <w:t xml:space="preserve">ب. </w:t>
      </w:r>
      <w:r>
        <w:rPr>
          <w:rFonts w:hint="cs"/>
          <w:b/>
          <w:bCs/>
          <w:sz w:val="26"/>
          <w:szCs w:val="26"/>
          <w:rtl/>
          <w:lang w:eastAsia="ar" w:bidi="ar-EG"/>
        </w:rPr>
        <w:tab/>
      </w:r>
      <w:r>
        <w:rPr>
          <w:rFonts w:hint="cs"/>
          <w:b/>
          <w:bCs/>
          <w:sz w:val="26"/>
          <w:szCs w:val="26"/>
          <w:u w:val="single"/>
          <w:rtl/>
          <w:lang w:eastAsia="ar" w:bidi="ar-EG"/>
        </w:rPr>
        <w:t>التوافق مع عمليات الصندوق المتعدد الأطراف</w:t>
      </w:r>
      <w:r>
        <w:rPr>
          <w:rFonts w:hint="cs"/>
          <w:b/>
          <w:bCs/>
          <w:sz w:val="26"/>
          <w:szCs w:val="26"/>
          <w:rtl/>
          <w:lang w:eastAsia="ar" w:bidi="ar-EG"/>
        </w:rPr>
        <w:t xml:space="preserve"> </w:t>
      </w:r>
    </w:p>
    <w:p w14:paraId="20278477" w14:textId="77777777" w:rsidR="00717685" w:rsidRDefault="00717685" w:rsidP="00FE6D6B">
      <w:pPr>
        <w:pStyle w:val="Heading1"/>
        <w:keepNext/>
        <w:keepLines/>
        <w:numPr>
          <w:ilvl w:val="0"/>
          <w:numId w:val="23"/>
        </w:numPr>
        <w:bidi/>
        <w:rPr>
          <w:sz w:val="26"/>
          <w:szCs w:val="26"/>
        </w:rPr>
      </w:pPr>
      <w:r>
        <w:rPr>
          <w:rFonts w:hint="cs"/>
          <w:sz w:val="26"/>
          <w:szCs w:val="26"/>
          <w:rtl/>
          <w:lang w:eastAsia="ar" w:bidi="ar-EG"/>
        </w:rPr>
        <w:t xml:space="preserve">وُجّه طلب للأمانة بموجب المقرر 87/51(ب) لتحديد الخيارات التي تنطوي على العمل مع المؤسسات المالية الأخرى التي تمول كفاءة استخدام الطاقة والتي يمكن أن تتوافق إجراءاتها مع إجراءات الصندوق المتعدد الأطراف.  ويتضح من المعلومات المُحصلة من المؤسسات التي استُشيرت بغية إعداد هذا المقرر أن كل مؤسسة تتبع إجراءات معينة لتحديد المشروعات وتطويرها ومراجعتها واعتمادها وتنفيذها ورصدها والإبلاغ عنها؛ وقد صُممت هذه الإجراءات لضمان التوافق مع حوكمة المؤسسات وسياساتها وإجراءات تشغيلها ذات الصلة والإبلاغ لهيئاتها الرئاسية كما ينبغي.  ويتضمن المرفق الثالث المزيد من المعلومات المتعلقة بعمليات تطوير المشروعات والموافقة عليها وتنفيذها التي تعتمدها مؤسسات التمويل والمؤسسات المالية الأخرى. </w:t>
      </w:r>
    </w:p>
    <w:p w14:paraId="27117CEF"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وقد تكون بعض عناصر الإجراءات التي تتخذها المؤسسات لتمويل مكونات كفاءة استخدام الطاقة وتنفيذها مشابهة لإجراءات الصندوق المتعدد الأطراف من بعض النواحي، غير أنها لن تكون متوافقة تماماً. وتتغير الإجراءات التي تتبعها المؤسسات المختلفة، أيضاً، وكذلك الشروط المتعلقة برصد المشروعات والإبلاغ عنها تبعاً لاستراتيجيات العمل وأولوياته المعتمدة لدى المؤسسات المعنية.  </w:t>
      </w:r>
    </w:p>
    <w:p w14:paraId="64F29D09" w14:textId="77777777" w:rsidR="00717685" w:rsidRDefault="00717685" w:rsidP="00717685">
      <w:pPr>
        <w:bidi/>
        <w:ind w:left="720" w:hanging="720"/>
        <w:rPr>
          <w:rFonts w:asciiTheme="majorBidi" w:hAnsiTheme="majorBidi" w:cstheme="majorBidi"/>
          <w:b/>
          <w:sz w:val="26"/>
          <w:szCs w:val="26"/>
        </w:rPr>
      </w:pPr>
      <w:r>
        <w:rPr>
          <w:rFonts w:asciiTheme="majorBidi" w:hAnsiTheme="majorBidi" w:cstheme="majorBidi" w:hint="cs"/>
          <w:b/>
          <w:bCs/>
          <w:sz w:val="26"/>
          <w:szCs w:val="26"/>
          <w:rtl/>
          <w:lang w:eastAsia="ar" w:bidi="ar-EG"/>
        </w:rPr>
        <w:t>رابعا-</w:t>
      </w:r>
      <w:r>
        <w:rPr>
          <w:rFonts w:asciiTheme="majorBidi" w:hAnsiTheme="majorBidi" w:cstheme="majorBidi" w:hint="cs"/>
          <w:b/>
          <w:bCs/>
          <w:sz w:val="26"/>
          <w:szCs w:val="26"/>
          <w:rtl/>
          <w:lang w:eastAsia="ar" w:bidi="ar-EG"/>
        </w:rPr>
        <w:tab/>
        <w:t>إجراءات وشروط الحصول على المنح وخيارات التمويل الأخرى من المؤسسات المالية لتمويل كفاءة استخدام الطاقة عند التخفيض التدريجي للمواد الهيدروفلوروكربونية</w:t>
      </w:r>
    </w:p>
    <w:p w14:paraId="4A7F55A9" w14:textId="77777777" w:rsidR="00717685" w:rsidRDefault="00717685" w:rsidP="00717685">
      <w:pPr>
        <w:bidi/>
        <w:jc w:val="left"/>
        <w:rPr>
          <w:rFonts w:asciiTheme="majorBidi" w:hAnsiTheme="majorBidi" w:cstheme="majorBidi"/>
          <w:b/>
          <w:sz w:val="26"/>
          <w:szCs w:val="26"/>
        </w:rPr>
      </w:pPr>
    </w:p>
    <w:p w14:paraId="120603BF" w14:textId="77777777" w:rsidR="00717685" w:rsidRDefault="00717685" w:rsidP="00717685">
      <w:pPr>
        <w:pStyle w:val="Heading1"/>
        <w:numPr>
          <w:ilvl w:val="0"/>
          <w:numId w:val="23"/>
        </w:numPr>
        <w:bidi/>
        <w:rPr>
          <w:sz w:val="26"/>
          <w:szCs w:val="26"/>
        </w:rPr>
      </w:pPr>
      <w:r>
        <w:rPr>
          <w:rFonts w:hint="cs"/>
          <w:sz w:val="26"/>
          <w:szCs w:val="26"/>
          <w:rtl/>
          <w:lang w:eastAsia="ar" w:bidi="ar-EG"/>
        </w:rPr>
        <w:t>وُجه طلب للأمانة بموجب المقرر 87/51(ج) لتقديم معلومات عن إجراءات وشروط الحصول على المنح وخيارات التمويل الأخرى من المؤسسات المالية لتمويل كفاءة استخدام الطاقة عند التخفيض التدريجي للمواد الهيدروفلوروكربونية.  ويتضمن المرفق الثالث المعلومات ذات الصلة التي جمعتها الأمانة من مؤسسات التمويل والمؤسسات المالية المختلفة التي جرى التواصل معها وقدمت ردوداً.</w:t>
      </w:r>
    </w:p>
    <w:p w14:paraId="0BCA7794" w14:textId="77777777" w:rsidR="00717685" w:rsidRDefault="00717685" w:rsidP="00717685">
      <w:pPr>
        <w:pStyle w:val="Heading1"/>
        <w:numPr>
          <w:ilvl w:val="0"/>
          <w:numId w:val="23"/>
        </w:numPr>
        <w:bidi/>
        <w:rPr>
          <w:sz w:val="26"/>
          <w:szCs w:val="26"/>
        </w:rPr>
      </w:pPr>
      <w:r>
        <w:rPr>
          <w:rFonts w:hint="cs"/>
          <w:sz w:val="26"/>
          <w:szCs w:val="26"/>
          <w:rtl/>
          <w:lang w:eastAsia="ar" w:bidi="ar-EG"/>
        </w:rPr>
        <w:t xml:space="preserve">ويرد أدناه موجز للنتائج الرئيسية استناداً إلى الردود التي تلقتها الأمانة: </w:t>
      </w:r>
    </w:p>
    <w:p w14:paraId="715A1D4A" w14:textId="77777777" w:rsidR="00717685" w:rsidRPr="005A2ADC" w:rsidRDefault="00717685" w:rsidP="005A2ADC">
      <w:pPr>
        <w:pStyle w:val="Heading2"/>
        <w:bidi/>
        <w:rPr>
          <w:sz w:val="30"/>
          <w:szCs w:val="26"/>
        </w:rPr>
      </w:pPr>
      <w:r w:rsidRPr="005A2ADC">
        <w:rPr>
          <w:rFonts w:hint="cs"/>
          <w:sz w:val="30"/>
          <w:szCs w:val="26"/>
          <w:rtl/>
          <w:lang w:eastAsia="ar" w:bidi="ar-EG"/>
        </w:rPr>
        <w:t>تتوافر مصادر تمويل كفاءة استخدام الطاقة في مؤسسات التمويل المختلفة من خلال أدوات في شكل منح وغير منح، مثل القروض والضمانات وحقوق الملكية.  وتختلف أنواع الأدوات في شكل غير المنح تبعاً لنتائج المشروع و/أو البرنامج المحددة؛</w:t>
      </w:r>
    </w:p>
    <w:p w14:paraId="29228663" w14:textId="77777777" w:rsidR="00717685" w:rsidRDefault="00717685" w:rsidP="00717685">
      <w:pPr>
        <w:pStyle w:val="Heading2"/>
        <w:bidi/>
        <w:rPr>
          <w:sz w:val="26"/>
          <w:szCs w:val="26"/>
        </w:rPr>
      </w:pPr>
      <w:r>
        <w:rPr>
          <w:rFonts w:hint="cs"/>
          <w:sz w:val="26"/>
          <w:szCs w:val="26"/>
          <w:rtl/>
          <w:lang w:eastAsia="ar" w:bidi="ar-EG"/>
        </w:rPr>
        <w:t>تستند إجراءات وشروط الحصول على منح المشروع وخيارات التمويل الأخرى من المؤسسات المالية إلى الهياكل الإدارية والمبادئ التوجيهية التي تحددها المؤسسات المعنية؛</w:t>
      </w:r>
    </w:p>
    <w:p w14:paraId="2C8A4A06" w14:textId="77777777" w:rsidR="00717685" w:rsidRDefault="00717685" w:rsidP="00717685">
      <w:pPr>
        <w:pStyle w:val="Heading2"/>
        <w:bidi/>
        <w:rPr>
          <w:sz w:val="26"/>
          <w:szCs w:val="26"/>
        </w:rPr>
      </w:pPr>
      <w:r>
        <w:rPr>
          <w:rFonts w:hint="cs"/>
          <w:sz w:val="26"/>
          <w:szCs w:val="26"/>
          <w:rtl/>
          <w:lang w:eastAsia="ar" w:bidi="ar-EG"/>
        </w:rPr>
        <w:t>تُستخدم خيارات التمويل المختلطة لتمويل المشروعات استناداً إلى احتياجات المشروع المحددة.  فقد اقتُرح التمويل المختلط في أحد مشروعات مرفق البيئة العالمية المُوافق عليه بغية تمويل كفاءة استخدام الطاقة في المباني وفقاً للتوزيع التالي: تمويل مرفق البيئة العالمية لمعالجة مبادرات السياسة العامة، ومبادرات تحويل السوق وبناء قدرات أصحاب المصلحة المختلفين؛ والتمويل من المصارف للاستثمارات في المباني التي تتسم بكفاءة استخدام الطاقة؛ وتمويل القطاع الخاص لتطوير التكنولوجيات والحلول التي تتسم بكفاءة استخدام الطاقة. يُتفق على هياكل تمويل المشروع التي تنطوي على تمويل مختلط مع مقترحي المشروع والموظفين المعنيين في مؤسسات التمويل والمؤسسات المالية المعنية؛</w:t>
      </w:r>
    </w:p>
    <w:p w14:paraId="50469BA6" w14:textId="77777777" w:rsidR="00717685" w:rsidRDefault="00717685" w:rsidP="00717685">
      <w:pPr>
        <w:pStyle w:val="Heading2"/>
        <w:bidi/>
        <w:rPr>
          <w:sz w:val="26"/>
          <w:szCs w:val="26"/>
        </w:rPr>
      </w:pPr>
      <w:r>
        <w:rPr>
          <w:rFonts w:hint="cs"/>
          <w:sz w:val="26"/>
          <w:szCs w:val="26"/>
          <w:rtl/>
          <w:lang w:eastAsia="ar" w:bidi="ar-EG"/>
        </w:rPr>
        <w:t xml:space="preserve">لا تتوافر فرص تمويل مُخصصة لمعالجة كفاءة استخدام الطاقة حصراً في قطاع تصنيع الرغاوي وقطاع التبريد وتكييف الهواء والمضخات الحرارية. وعلى عكس الصندوق المتعدد الأطراف، الذي يركز في هذه الحالة على التخفيض التدريجي للهيدروفلوروكربون في قطاع التبريد وتكييف الهواء والمضخات الحرارية وقطاع الرغاوي، تتوافر لمؤسسات التمويل والمؤسسات المالية المختلفة فرص تمويل تشمل المشروعات والبرامج الكبيرة (مثل المشروعات القطاعية التي تعالج تكنولوجيا سلسلة التبريد والمباني التي تتسم بكفاءة استخدام الطاقة والتبريد والعرض والطلب على الطاقة، وما إلى ذلك) التي قد تشمل كفاءة استخدام الطاقة في قطاع التبريد وتكييف الهواء والمضخات الحرارية وقطاع الرغاوي بوصفهما عناصر لها؛ </w:t>
      </w:r>
    </w:p>
    <w:p w14:paraId="3FCE167B" w14:textId="77777777" w:rsidR="00717685" w:rsidRDefault="00717685" w:rsidP="00717685">
      <w:pPr>
        <w:pStyle w:val="Heading2"/>
        <w:bidi/>
        <w:rPr>
          <w:sz w:val="26"/>
          <w:szCs w:val="26"/>
        </w:rPr>
      </w:pPr>
      <w:r>
        <w:rPr>
          <w:rFonts w:hint="cs"/>
          <w:sz w:val="26"/>
          <w:szCs w:val="26"/>
          <w:rtl/>
          <w:lang w:eastAsia="ar" w:bidi="ar-EG"/>
        </w:rPr>
        <w:t>يوفر الصندوق الأخضر للمناخ ومرفق البيئة العالمية الدعم التمويلي لكفاءة استخدام الطاقة في التطبيقات المختلفة بما في ذلك قطاع التبريد وتكييف الهواء والمضخات الحرارية وقطاع الرغاوي.</w:t>
      </w:r>
      <w:r>
        <w:rPr>
          <w:rStyle w:val="FootnoteReference"/>
          <w:rFonts w:asciiTheme="majorBidi" w:hAnsiTheme="majorBidi" w:cstheme="majorBidi"/>
          <w:sz w:val="26"/>
          <w:szCs w:val="26"/>
          <w:rtl/>
          <w:lang w:eastAsia="ar" w:bidi="ar-EG"/>
        </w:rPr>
        <w:footnoteReference w:id="22"/>
      </w:r>
      <w:r>
        <w:rPr>
          <w:rFonts w:hint="cs"/>
          <w:sz w:val="26"/>
          <w:szCs w:val="26"/>
          <w:rtl/>
          <w:lang w:eastAsia="ar" w:bidi="ar-EG"/>
        </w:rPr>
        <w:t xml:space="preserve"> ويُحدد تمويل المشروع من خلال أولويات التمويل للمؤسسات المعنية. ففي إطار المفاوضات الحالية لمرفق البيئة العالمية رقم 8 بشأن أولويات البرمجة، مثلاً، تجري مناقشات بشأن البرامج المتكاملة الجامعة لمجالات التركيز المختلفة وقد تشمل هذه البرامج العناصر المتعلقة بكفاءة استخدام الطاقة؛   </w:t>
      </w:r>
    </w:p>
    <w:p w14:paraId="60414B17" w14:textId="77777777" w:rsidR="00717685" w:rsidRDefault="00717685" w:rsidP="00717685">
      <w:pPr>
        <w:pStyle w:val="Heading2"/>
        <w:bidi/>
        <w:rPr>
          <w:sz w:val="26"/>
          <w:szCs w:val="26"/>
        </w:rPr>
      </w:pPr>
      <w:r>
        <w:rPr>
          <w:rFonts w:hint="cs"/>
          <w:sz w:val="26"/>
          <w:szCs w:val="26"/>
          <w:rtl/>
          <w:lang w:eastAsia="ar" w:bidi="ar-EG"/>
        </w:rPr>
        <w:t>يقدم المانحون الثنائيون تمويل المانحين، في معظم الحالات، من خلال مؤسسات متعددة الأطراف مثل الصندوق الأخضر للمناخ أو مرفق البيئة العالمية للمشروعات استناداً إلى الأولويات الاستراتيجية لتلك المؤسسات ودورة مشروعاتها وإجراءات الموافقة المعتمدة لديها.  وثمة بعض المانحين الثنائيين (مثل حكومة فرنسا وحكومة ألمانيا) الذين لديهم فرص تمويل يمكنها أن تموّل كفاءة استخدام الطاقة في تطبيقات التبريد وتكييف الهواء والمضخات الحرارية وتطبيقات الرغاوي. ويمكن أن تشمل فرص التمويل هذه أدوات في شكل منح وغير منح لتمويل كفاءة استخدام الطاقة ويمكن أن يكون لها عمليات الموافقة على المشروع واستعراضه ورصده الخاصة بها؛</w:t>
      </w:r>
    </w:p>
    <w:p w14:paraId="43EAAC76" w14:textId="77777777" w:rsidR="00717685" w:rsidRDefault="00717685" w:rsidP="00717685">
      <w:pPr>
        <w:pStyle w:val="Heading2"/>
        <w:bidi/>
        <w:rPr>
          <w:sz w:val="26"/>
          <w:szCs w:val="26"/>
        </w:rPr>
      </w:pPr>
      <w:r>
        <w:rPr>
          <w:rFonts w:hint="cs"/>
          <w:sz w:val="26"/>
          <w:szCs w:val="26"/>
          <w:rtl/>
          <w:lang w:eastAsia="ar" w:bidi="ar-EG"/>
        </w:rPr>
        <w:t>يوفر المانحون الثنائيون التمويل للمشروعات أو البرامج من خلال ترتيبات مُتفاوض عليها مع البلدان الشريكة استناداً إلى أولوياتها الاستراتيجية. وستندرج هذه المشروعات في إطار حافظة تمويل المساعدة الثنائية لكلٍ منهم وتُنجز بشروط محددة لهذه المشروعات أو البرامج. ويجب تقديم مقترحات هذه المشروعات بما يتماشى مع الإجراءات واجبة التطبيق ويكون التفاوض على كل حالة على حدة. وتُرصد هذه المشروعات من خلال عملية رصد المشروعات واستعراضها المعتمدة لدى المانحين؛ و</w:t>
      </w:r>
    </w:p>
    <w:p w14:paraId="1CE7156B" w14:textId="77777777" w:rsidR="00717685" w:rsidRDefault="00717685" w:rsidP="00717685">
      <w:pPr>
        <w:pStyle w:val="Heading2"/>
        <w:keepNext/>
        <w:keepLines/>
        <w:bidi/>
        <w:rPr>
          <w:sz w:val="26"/>
          <w:szCs w:val="26"/>
        </w:rPr>
      </w:pPr>
      <w:r>
        <w:rPr>
          <w:rFonts w:hint="cs"/>
          <w:sz w:val="26"/>
          <w:szCs w:val="26"/>
          <w:rtl/>
          <w:lang w:eastAsia="ar" w:bidi="ar-EG"/>
        </w:rPr>
        <w:t xml:space="preserve">تعرف مؤسسات التمويل والمؤسسات المالية المختلفة، على نطاق واسع، بروتوكول مونتريال وتعديل كيغالي لهذا البروتوكول. غير أن معرفتها بالأنشطة المُضطلع بها بموجب بروتوكول مونتريال (مثل أنواع المشروعات المُمولة بمقتضى البروتوكول، والبلدان التي يُقدم لها التمويل، وما إلى ذلك) محدودة. وقد أبدت المؤسسات التي جرى التواصل معها اهتماماً بفهم الأنشطة التي يضطلع بها الصندوق المتعدد الأطراف فيما يتعلق بكفاءة استخدام الطاقة و/أو التخفيض التدريجي للهيدروفلوروكربون، حتى تتمكن من استخدامها، حسب الحاجة، في عملية تطوير مشروعاتها وتنفيذها. </w:t>
      </w:r>
    </w:p>
    <w:p w14:paraId="682D6895" w14:textId="77777777" w:rsidR="00717685" w:rsidRDefault="00717685" w:rsidP="00717685">
      <w:pPr>
        <w:pStyle w:val="StyleHeader4Para4Left0Firstline0"/>
        <w:keepNext/>
        <w:numPr>
          <w:ilvl w:val="0"/>
          <w:numId w:val="0"/>
        </w:numPr>
        <w:tabs>
          <w:tab w:val="left" w:pos="720"/>
        </w:tabs>
        <w:bidi/>
        <w:rPr>
          <w:rFonts w:asciiTheme="majorBidi" w:hAnsiTheme="majorBidi" w:cstheme="majorBidi"/>
          <w:b/>
          <w:sz w:val="26"/>
          <w:szCs w:val="26"/>
        </w:rPr>
      </w:pPr>
      <w:r>
        <w:rPr>
          <w:rFonts w:asciiTheme="majorBidi" w:hAnsiTheme="majorBidi" w:cstheme="majorBidi" w:hint="cs"/>
          <w:b/>
          <w:bCs/>
          <w:sz w:val="26"/>
          <w:szCs w:val="26"/>
          <w:rtl/>
          <w:lang w:eastAsia="ar" w:bidi="ar-EG"/>
        </w:rPr>
        <w:t>خامسا-</w:t>
      </w:r>
      <w:r>
        <w:rPr>
          <w:rFonts w:asciiTheme="majorBidi" w:hAnsiTheme="majorBidi" w:cstheme="majorBidi" w:hint="cs"/>
          <w:b/>
          <w:bCs/>
          <w:sz w:val="26"/>
          <w:szCs w:val="26"/>
          <w:rtl/>
          <w:lang w:eastAsia="ar" w:bidi="ar-EG"/>
        </w:rPr>
        <w:tab/>
        <w:t xml:space="preserve">ملاحظات وتوصيات من الأمانة </w:t>
      </w:r>
    </w:p>
    <w:p w14:paraId="31121D9B" w14:textId="77777777" w:rsidR="00717685" w:rsidRDefault="00717685" w:rsidP="00717685">
      <w:pPr>
        <w:pStyle w:val="StyleHeader4Para4Left0Firstline0"/>
        <w:keepNext/>
        <w:numPr>
          <w:ilvl w:val="0"/>
          <w:numId w:val="0"/>
        </w:numPr>
        <w:tabs>
          <w:tab w:val="left" w:pos="720"/>
        </w:tabs>
        <w:bidi/>
        <w:rPr>
          <w:rFonts w:asciiTheme="majorBidi" w:hAnsiTheme="majorBidi" w:cstheme="majorBidi"/>
          <w:b/>
          <w:sz w:val="26"/>
          <w:szCs w:val="26"/>
        </w:rPr>
      </w:pPr>
      <w:r>
        <w:rPr>
          <w:rFonts w:asciiTheme="majorBidi" w:hAnsiTheme="majorBidi" w:cstheme="majorBidi" w:hint="cs"/>
          <w:b/>
          <w:bCs/>
          <w:sz w:val="26"/>
          <w:szCs w:val="26"/>
          <w:rtl/>
          <w:lang w:eastAsia="ar" w:bidi="ar-EG"/>
        </w:rPr>
        <w:t xml:space="preserve">الملاحظات </w:t>
      </w:r>
    </w:p>
    <w:p w14:paraId="1F06985B" w14:textId="77777777" w:rsidR="00717685" w:rsidRDefault="00717685" w:rsidP="00717685">
      <w:pPr>
        <w:pStyle w:val="Heading1"/>
        <w:numPr>
          <w:ilvl w:val="0"/>
          <w:numId w:val="23"/>
        </w:numPr>
        <w:bidi/>
        <w:rPr>
          <w:sz w:val="26"/>
          <w:szCs w:val="26"/>
        </w:rPr>
      </w:pPr>
      <w:r>
        <w:rPr>
          <w:rFonts w:hint="cs"/>
          <w:sz w:val="26"/>
          <w:szCs w:val="26"/>
          <w:rtl/>
          <w:lang w:eastAsia="ar" w:bidi="ar-EG"/>
        </w:rPr>
        <w:t>يمكن ملاحظة النقاط الرئيسية التالية استناداً إلى المعلومات المُحصلة لإعداد هذه الوثيقة:</w:t>
      </w:r>
    </w:p>
    <w:p w14:paraId="5B0F94C1" w14:textId="77777777" w:rsidR="00717685" w:rsidRDefault="00717685" w:rsidP="00717685">
      <w:pPr>
        <w:bidi/>
        <w:rPr>
          <w:rFonts w:asciiTheme="majorBidi" w:hAnsiTheme="majorBidi" w:cstheme="majorBidi"/>
          <w:i/>
          <w:sz w:val="26"/>
          <w:szCs w:val="26"/>
        </w:rPr>
      </w:pPr>
      <w:r>
        <w:rPr>
          <w:rFonts w:asciiTheme="majorBidi" w:hAnsiTheme="majorBidi" w:cstheme="majorBidi" w:hint="cs"/>
          <w:i/>
          <w:iCs/>
          <w:sz w:val="26"/>
          <w:szCs w:val="26"/>
          <w:rtl/>
          <w:lang w:eastAsia="ar" w:bidi="ar-EG"/>
        </w:rPr>
        <w:t>مؤسسات التمويل</w:t>
      </w:r>
    </w:p>
    <w:p w14:paraId="7FCA84B4" w14:textId="77777777" w:rsidR="00717685" w:rsidRDefault="00717685" w:rsidP="00717685">
      <w:pPr>
        <w:bidi/>
        <w:rPr>
          <w:rFonts w:asciiTheme="majorBidi" w:hAnsiTheme="majorBidi" w:cstheme="majorBidi"/>
          <w:sz w:val="26"/>
          <w:szCs w:val="26"/>
        </w:rPr>
      </w:pPr>
    </w:p>
    <w:p w14:paraId="1751F05E" w14:textId="77777777" w:rsidR="00717685" w:rsidRDefault="00717685" w:rsidP="00717685">
      <w:pPr>
        <w:pStyle w:val="Heading2"/>
        <w:bidi/>
        <w:rPr>
          <w:sz w:val="26"/>
          <w:szCs w:val="26"/>
        </w:rPr>
      </w:pPr>
      <w:r>
        <w:rPr>
          <w:rFonts w:hint="cs"/>
          <w:sz w:val="26"/>
          <w:szCs w:val="26"/>
          <w:rtl/>
          <w:lang w:eastAsia="ar" w:bidi="ar-EG"/>
        </w:rPr>
        <w:t>يبدو أنه لا يوجد مصدر تمويل مخصص لتمويل كفاءة استخدام الطاقة حصراً عند التخفيض التدريجي للمواد الهيدروفلوروكربونية في القطاعات الفرعية لتصنيع الرغاوي وقطاعات التبريد وتكييف الهواء والمضخات الحرارية. وقد قدم برنامج كيغالي لكفاءة التبريد الدعم لبعض البلدان لتنفيذ المشروعات المتعلقة بكفاءة استخدام الطاقة؛ وقدم بعض هذه المشروعات الدعم للمستفيدين الذين حصلوا على تمويل من الصندوق المتعدد الأطراف بموجب المقرر 78/3(ز) لمشروعات التخفيض التدريجي للهيدروفلوروكربون.</w:t>
      </w:r>
      <w:r>
        <w:rPr>
          <w:rStyle w:val="FootnoteReference"/>
          <w:rFonts w:asciiTheme="majorBidi" w:hAnsiTheme="majorBidi" w:cstheme="majorBidi"/>
          <w:sz w:val="26"/>
          <w:szCs w:val="26"/>
          <w:rtl/>
          <w:lang w:eastAsia="ar" w:bidi="ar-EG"/>
        </w:rPr>
        <w:footnoteReference w:id="23"/>
      </w:r>
      <w:r>
        <w:rPr>
          <w:rFonts w:hint="cs"/>
          <w:sz w:val="26"/>
          <w:szCs w:val="26"/>
          <w:rtl/>
          <w:lang w:eastAsia="ar" w:bidi="ar-EG"/>
        </w:rPr>
        <w:t xml:space="preserve">  ويُنفذ التمويل المختلط الرامي إلى تمويل العناصر المتعلقة بكفاءة استخدام الطاقة للمشروعات بناءً على المتطلبات الخاصة بالمشروع و/أو البرنامج. ويمكن تنظيم هذه المشروعات بحيث يمكن للتمويل من الصندوق المتعدد الأطراف معالجة التخفيض التدريجي للهيدروفلوروكربون ويمكن للتمويل من خارج الصندوق المتعدد الأطراف معالجة كفاءة استخدام الطاقة؛</w:t>
      </w:r>
    </w:p>
    <w:p w14:paraId="3D7F0D1B" w14:textId="77777777" w:rsidR="00717685" w:rsidRDefault="00717685" w:rsidP="00717685">
      <w:pPr>
        <w:pStyle w:val="Heading2"/>
        <w:bidi/>
        <w:rPr>
          <w:sz w:val="26"/>
          <w:szCs w:val="26"/>
        </w:rPr>
      </w:pPr>
      <w:r>
        <w:rPr>
          <w:rFonts w:hint="cs"/>
          <w:sz w:val="26"/>
          <w:szCs w:val="26"/>
          <w:rtl/>
          <w:lang w:eastAsia="ar" w:bidi="ar-EG"/>
        </w:rPr>
        <w:t xml:space="preserve">لما كانت كفاءة استخدام الطاقة تحصل على تمويل من مؤسسات مختلفة تغطي مجموعة من الأنشطة، بما في ذلك الأنشطة التي تنطوي عليها تطبيقات التبريد وتكييف الهواء والمضخات الحرارية وتطبيقات الرغاوي، في إطار تغير المناخ أو المجالات الأخرى ذات الأولوية (مثل قطاع الصحة وقطاع الزراعة، وما إلى ذلك)، فثمة حاجة إلى تعاون أوثق بين المؤسسات وتنسيق الأنشطة المتعلقة بكفاءة استخدام الطاقة لضمان: أن تكون المؤسسات على علم بالتطورات الفنية وتطورات السياسة العامة المتعلقة بالتخفيض التدريجي للهيدروفلوروكربون؛ وأن تُدمج متطلبات التخفيض التدريجي للهيدروفلوروكربون المتعلقة بتعديل كيغالي في المشروعات والأنشطة ذات الصلة؛ و </w:t>
      </w:r>
    </w:p>
    <w:p w14:paraId="4E269F2C" w14:textId="77777777" w:rsidR="00717685" w:rsidRDefault="00717685" w:rsidP="00717685">
      <w:pPr>
        <w:pStyle w:val="Heading2"/>
        <w:bidi/>
        <w:rPr>
          <w:sz w:val="26"/>
          <w:szCs w:val="26"/>
        </w:rPr>
      </w:pPr>
      <w:r>
        <w:rPr>
          <w:rFonts w:hint="cs"/>
          <w:sz w:val="26"/>
          <w:szCs w:val="26"/>
          <w:rtl/>
          <w:lang w:eastAsia="ar" w:bidi="ar-EG"/>
        </w:rPr>
        <w:t>سيتعين إدارة الأموال من خلال عمليات الصندوق المتعدد الأطراف واضطلاع اللجنة التنفيذية بالإشراف المباشر عليها إذا كانت اللجنة ستتولى تمويل المشروع ورصد تنفيذ عناصر كفاءة استخدام الطاقة. ويجب تصميم الإجراءات وثيقة الصلة بذلك لتفادي العمليات المعقدة والمكلفة للإبلاغ عن مؤشرات الأداء (مثل أهداف كفاءة استخدام الطاقة) على مختلف المستويات (مثل الإبلاغ من جهة الأمانة والوكالات ووحدات الأوزون الوطنية)، وضمان المساءلة المتعلقة باستخدام الأموال من مصادر مختلفة.</w:t>
      </w:r>
      <w:r>
        <w:rPr>
          <w:rStyle w:val="FootnoteReference"/>
          <w:rFonts w:asciiTheme="majorBidi" w:hAnsiTheme="majorBidi" w:cstheme="majorBidi"/>
          <w:sz w:val="26"/>
          <w:szCs w:val="26"/>
          <w:rtl/>
          <w:lang w:eastAsia="ar" w:bidi="ar-EG"/>
        </w:rPr>
        <w:footnoteReference w:id="24"/>
      </w:r>
    </w:p>
    <w:p w14:paraId="3AB53712" w14:textId="77777777" w:rsidR="00717685" w:rsidRDefault="00717685" w:rsidP="00717685">
      <w:pPr>
        <w:bidi/>
        <w:rPr>
          <w:rFonts w:asciiTheme="majorBidi" w:hAnsiTheme="majorBidi" w:cstheme="majorBidi"/>
          <w:i/>
          <w:sz w:val="26"/>
          <w:szCs w:val="26"/>
        </w:rPr>
      </w:pPr>
      <w:r>
        <w:rPr>
          <w:rFonts w:asciiTheme="majorBidi" w:hAnsiTheme="majorBidi" w:cstheme="majorBidi" w:hint="cs"/>
          <w:i/>
          <w:iCs/>
          <w:sz w:val="26"/>
          <w:szCs w:val="26"/>
          <w:rtl/>
          <w:lang w:eastAsia="ar" w:bidi="ar-EG"/>
        </w:rPr>
        <w:t xml:space="preserve">إجراءات وشروط الحصول على الأموال </w:t>
      </w:r>
    </w:p>
    <w:p w14:paraId="550E9072" w14:textId="77777777" w:rsidR="00717685" w:rsidRDefault="00717685" w:rsidP="00717685">
      <w:pPr>
        <w:bidi/>
        <w:rPr>
          <w:rFonts w:asciiTheme="majorBidi" w:hAnsiTheme="majorBidi" w:cstheme="majorBidi"/>
          <w:i/>
          <w:sz w:val="26"/>
          <w:szCs w:val="26"/>
        </w:rPr>
      </w:pPr>
    </w:p>
    <w:p w14:paraId="2AC83643" w14:textId="77777777" w:rsidR="00717685" w:rsidRDefault="00717685" w:rsidP="00717685">
      <w:pPr>
        <w:pStyle w:val="Heading2"/>
        <w:bidi/>
        <w:rPr>
          <w:sz w:val="26"/>
          <w:szCs w:val="26"/>
        </w:rPr>
      </w:pPr>
      <w:r>
        <w:rPr>
          <w:rFonts w:hint="cs"/>
          <w:sz w:val="26"/>
          <w:szCs w:val="26"/>
          <w:rtl/>
          <w:lang w:eastAsia="ar" w:bidi="ar-EG"/>
        </w:rPr>
        <w:t>تتوقف إجراءات الحصول على الأموال على عملية الموافقة على المشروع التي تعتمدها المؤسسات المعنية، والتي تختلف عن الإجراءات التي يتبعها الصندوق المتعدد الأطراف؛ كما أنها تختلف تبعاً لمجموعة من العوامل مثل ضمان هذه الأموال من أدوات في شكل منح أو غير منح من عدمه، وإجراءات الموافقة على المشروعات ذات المستويات المختلفة من الأموال. وقد تتغير هذه الإجراءات أيضًا بمرور الوقت. ومن ثم، يبدو أن توافق إجراءات وشروط مصادر التمويل من خارج الصندوق المتعدد الأطراف مع إجراءات الصندوق المتعدد الأطراف وعمليات إدارته محدود.</w:t>
      </w:r>
    </w:p>
    <w:p w14:paraId="5DD681CD" w14:textId="77777777" w:rsidR="00717685" w:rsidRDefault="00717685" w:rsidP="00717685">
      <w:pPr>
        <w:keepNext/>
        <w:keepLines/>
        <w:bidi/>
        <w:rPr>
          <w:rFonts w:asciiTheme="majorBidi" w:hAnsiTheme="majorBidi" w:cstheme="majorBidi"/>
          <w:i/>
          <w:sz w:val="26"/>
          <w:szCs w:val="26"/>
        </w:rPr>
      </w:pPr>
      <w:r>
        <w:rPr>
          <w:rFonts w:asciiTheme="majorBidi" w:hAnsiTheme="majorBidi" w:cstheme="majorBidi" w:hint="cs"/>
          <w:i/>
          <w:iCs/>
          <w:sz w:val="26"/>
          <w:szCs w:val="26"/>
          <w:rtl/>
          <w:lang w:eastAsia="ar" w:bidi="ar-EG"/>
        </w:rPr>
        <w:t>الجوانب الرئيسية للمشروعات والأنشطة المتعلقة بالحفاظ على كفاءة استخدام الطاقة و/أو تعزيزها عند التخفيض التدريجي للمواد الهيدروفلوروكربونية</w:t>
      </w:r>
    </w:p>
    <w:p w14:paraId="093E9108" w14:textId="77777777" w:rsidR="00717685" w:rsidRDefault="00717685" w:rsidP="00717685">
      <w:pPr>
        <w:keepNext/>
        <w:keepLines/>
        <w:bidi/>
        <w:rPr>
          <w:rFonts w:asciiTheme="majorBidi" w:hAnsiTheme="majorBidi" w:cstheme="majorBidi"/>
          <w:sz w:val="26"/>
          <w:szCs w:val="26"/>
        </w:rPr>
      </w:pPr>
    </w:p>
    <w:p w14:paraId="404EA78A" w14:textId="77777777" w:rsidR="00717685" w:rsidRDefault="00717685" w:rsidP="00717685">
      <w:pPr>
        <w:pStyle w:val="Heading2"/>
        <w:bidi/>
        <w:rPr>
          <w:sz w:val="26"/>
          <w:szCs w:val="26"/>
        </w:rPr>
      </w:pPr>
      <w:r>
        <w:rPr>
          <w:rFonts w:hint="cs"/>
          <w:sz w:val="26"/>
          <w:szCs w:val="26"/>
          <w:rtl/>
          <w:lang w:eastAsia="ar" w:bidi="ar-EG"/>
        </w:rPr>
        <w:t xml:space="preserve">ستتحقق وفورات في التكاليف (مثل أنشطة تصميم المعدات المتكاملة للتخفيض التدريجي للهيدروفلوروكربون، وكفاءة استخدام الطاقة وتقليل زمن تعطل المصانع أثناء التحويل، والسياسات المتكاملة لكفاءة استخدام الطاقة، واعتماد معدات خالية من الهيدروفلوروكربون) في حالة تنفيذ مشروعات تحسين كفاءة استخدام الطاقة لمعدات التبريد وتكييف الهواء والمضخات الحرارية والمنتجات المصنوعة من الرغاوي عند التخفيض التدريجي للمواد الهيدروفلوروكربونية بالتوازي مع مشروعات التخفيض التدريجي للهيدروفلوروكربون.  وسوف يؤدي هذا الإجراء المبكر إلى تفادي «تقييد» السوق بالمنتجات الأقل كفاءة في استخدام الطاقة و/أو المنتجات التي تستخدم المواد الهيدروفلوروكربونية التي تتسم بالكفاءة في استخدام الطاقة؛  </w:t>
      </w:r>
    </w:p>
    <w:p w14:paraId="247E257D" w14:textId="77777777" w:rsidR="00717685" w:rsidRDefault="00717685" w:rsidP="00FE6D6B">
      <w:pPr>
        <w:pStyle w:val="Heading2"/>
        <w:keepNext/>
        <w:keepLines/>
        <w:bidi/>
        <w:ind w:left="1077" w:hanging="357"/>
        <w:rPr>
          <w:sz w:val="26"/>
          <w:szCs w:val="26"/>
        </w:rPr>
      </w:pPr>
      <w:r>
        <w:rPr>
          <w:rFonts w:hint="cs"/>
          <w:sz w:val="26"/>
          <w:szCs w:val="26"/>
          <w:rtl/>
          <w:lang w:eastAsia="ar" w:bidi="ar-EG"/>
        </w:rPr>
        <w:t>يُعد بناء قدرات وكالات وفنيي خدمات معدات التبريد وتكييف الهواء والمضخات الحرارية في تقييم المعدات وتركيبها وخدماتها وصيانتها أمراً بالغ الأهمية للحفاظ على أداء المعدات الذي يتسم بالكفاءة في استخدام الطاقة، بما في ذلك اعتماد المعدات القائمة على غاز التبريد التي تتسم بالكفاءة في استخدام الطاقة وذات إمكانية الاحترار العالمي المنخفضة. ويمكن النظر في أوجه التآزر بين الأنشطة المتعلقة بكفاءة استخدام الطاقة وأنشطة قطاع الخدمات المُضطلع بها في إطار خطط تنفيذ تعديل كيغالي فيما يخص الهيدروفلوروكربون عند وضع مشروعات/برامج بناء القدرات؛</w:t>
      </w:r>
      <w:r>
        <w:rPr>
          <w:rStyle w:val="FootnoteReference"/>
          <w:rFonts w:asciiTheme="majorBidi" w:hAnsiTheme="majorBidi" w:cstheme="majorBidi"/>
          <w:sz w:val="26"/>
          <w:szCs w:val="26"/>
          <w:rtl/>
          <w:lang w:eastAsia="ar" w:bidi="ar-EG"/>
        </w:rPr>
        <w:footnoteReference w:id="25"/>
      </w:r>
    </w:p>
    <w:p w14:paraId="1670E369" w14:textId="77777777" w:rsidR="00717685" w:rsidRDefault="00717685" w:rsidP="00717685">
      <w:pPr>
        <w:pStyle w:val="Heading2"/>
        <w:bidi/>
        <w:rPr>
          <w:sz w:val="26"/>
          <w:szCs w:val="26"/>
        </w:rPr>
      </w:pPr>
      <w:r>
        <w:rPr>
          <w:rFonts w:hint="cs"/>
          <w:sz w:val="26"/>
          <w:szCs w:val="26"/>
          <w:rtl/>
          <w:lang w:eastAsia="ar" w:bidi="ar-EG"/>
        </w:rPr>
        <w:t xml:space="preserve">توضح الاتجاهات السائدة أن كفاءة استخدام الطاقة لمعدات التبريد وتكييف الهواء والمضخات الحرارية والمنتجات المصنوعة من الرغاوي تتحسن بمرور الوقت. ومن ثم، لا يجب على المشروعات/البرامج المتعلقة بكفاءة استخدام الطاقة في التصنيع ضمان الحفاظ على كفاءة استخدام الطاقة في المنتجات و/أو تعزيزها في وقت التقديم فحسب، بل عليها أيضاً تحديثها دورياً وفقاً للمعايير، وفوق مستويات العمل المعتاد. وعليه، يجب النظر إلى الحفاظ على كفاءة استخدام الطاقة و/أو تعزيزها عند تحقيق التخفيض التدريجي للهيدروفلوروكربون على أنه «عملية» وليس مشروعاً أو برنامجاً؛ و  </w:t>
      </w:r>
    </w:p>
    <w:p w14:paraId="03D0F310" w14:textId="77777777" w:rsidR="00717685" w:rsidRDefault="00717685" w:rsidP="00717685">
      <w:pPr>
        <w:pStyle w:val="Heading2"/>
        <w:bidi/>
        <w:rPr>
          <w:sz w:val="26"/>
          <w:szCs w:val="26"/>
        </w:rPr>
      </w:pPr>
      <w:r>
        <w:rPr>
          <w:rFonts w:hint="cs"/>
          <w:sz w:val="26"/>
          <w:szCs w:val="26"/>
          <w:rtl/>
          <w:lang w:eastAsia="ar" w:bidi="ar-EG"/>
        </w:rPr>
        <w:t>يجب أن تستند أهداف كفاءة استخدام الطاقة للمشروعات إلى معايير كفاءة استخدام الطاقة في المستقبل، حيث تُنفذ المشروعات عادةً على مدى سنتين إلى ثلاث سنوات؛ وسوف تشهد كفاءة استخدام الطاقة في المعدات المشمولة بالمعايير تحسناً خلال هذه الفترة.</w:t>
      </w:r>
    </w:p>
    <w:p w14:paraId="02095DF8" w14:textId="77777777" w:rsidR="00717685" w:rsidRDefault="00717685" w:rsidP="00717685">
      <w:pPr>
        <w:pStyle w:val="Heading2"/>
        <w:numPr>
          <w:ilvl w:val="0"/>
          <w:numId w:val="0"/>
        </w:numPr>
        <w:tabs>
          <w:tab w:val="left" w:pos="720"/>
        </w:tabs>
        <w:bidi/>
        <w:rPr>
          <w:rFonts w:asciiTheme="majorBidi" w:hAnsiTheme="majorBidi" w:cstheme="majorBidi"/>
          <w:i/>
          <w:sz w:val="26"/>
          <w:szCs w:val="26"/>
        </w:rPr>
      </w:pPr>
      <w:r>
        <w:rPr>
          <w:rFonts w:asciiTheme="majorBidi" w:hAnsiTheme="majorBidi" w:cstheme="majorBidi" w:hint="cs"/>
          <w:i/>
          <w:iCs/>
          <w:sz w:val="26"/>
          <w:szCs w:val="26"/>
          <w:rtl/>
          <w:lang w:eastAsia="ar" w:bidi="ar-EG"/>
        </w:rPr>
        <w:t>سياسات الحفاظ على كفاءة الطاقة و/أو تعزيزها ولوائحهما</w:t>
      </w:r>
    </w:p>
    <w:p w14:paraId="3C66AC90" w14:textId="77777777" w:rsidR="00717685" w:rsidRDefault="00717685" w:rsidP="00717685">
      <w:pPr>
        <w:pStyle w:val="Heading2"/>
        <w:bidi/>
        <w:rPr>
          <w:sz w:val="26"/>
          <w:szCs w:val="26"/>
        </w:rPr>
      </w:pPr>
      <w:r>
        <w:rPr>
          <w:rFonts w:hint="cs"/>
          <w:sz w:val="26"/>
          <w:szCs w:val="26"/>
          <w:rtl/>
          <w:lang w:eastAsia="ar" w:bidi="ar-EG"/>
        </w:rPr>
        <w:t xml:space="preserve">تُعد السياسات واللوائح، بما في ذلك معايير أداء الطاقة الدنيا وبرامج وضع العلامات ضرورية لضمان اعتماد المعدات التي تتسم بكفاءة استخدام الطاقة و/أو المنتجات في تطبيقات التبريد وتكييف الهواء والمضخات الحرارية وتطبيقات الرغاوي. ويجب إعطاء الأولوية لهذه السياسات واللوائح وتنفيذها بطريقة تتضمن العناصر ذات الصلة التي تعالج التخفيض التدريجي للهيدروفلوروكربون لتجنب النمو غير المقصود للتكنولوجيات القائمة على التخفيض التدريجي للهيدروفلوروكربون التي تتسم بالكفاءة في استخدام الطاقة. </w:t>
      </w:r>
    </w:p>
    <w:p w14:paraId="49F6F65E" w14:textId="77777777" w:rsidR="00717685" w:rsidRDefault="00717685" w:rsidP="00717685">
      <w:pPr>
        <w:pStyle w:val="Heading2"/>
        <w:numPr>
          <w:ilvl w:val="0"/>
          <w:numId w:val="0"/>
        </w:numPr>
        <w:tabs>
          <w:tab w:val="left" w:pos="720"/>
        </w:tabs>
        <w:bidi/>
        <w:rPr>
          <w:rFonts w:asciiTheme="majorBidi" w:hAnsiTheme="majorBidi" w:cstheme="majorBidi"/>
          <w:i/>
          <w:sz w:val="26"/>
          <w:szCs w:val="26"/>
        </w:rPr>
      </w:pPr>
      <w:r>
        <w:rPr>
          <w:rFonts w:asciiTheme="majorBidi" w:hAnsiTheme="majorBidi" w:cstheme="majorBidi" w:hint="cs"/>
          <w:i/>
          <w:iCs/>
          <w:sz w:val="26"/>
          <w:szCs w:val="26"/>
          <w:rtl/>
          <w:lang w:eastAsia="ar" w:bidi="ar-EG"/>
        </w:rPr>
        <w:t>التنسيق المؤسسي</w:t>
      </w:r>
    </w:p>
    <w:p w14:paraId="22564DC4" w14:textId="77777777" w:rsidR="00717685" w:rsidRDefault="00717685" w:rsidP="00717685">
      <w:pPr>
        <w:pStyle w:val="Heading2"/>
        <w:widowControl/>
        <w:bidi/>
        <w:rPr>
          <w:sz w:val="26"/>
          <w:szCs w:val="26"/>
        </w:rPr>
      </w:pPr>
      <w:r>
        <w:rPr>
          <w:rFonts w:hint="cs"/>
          <w:sz w:val="26"/>
          <w:szCs w:val="26"/>
          <w:rtl/>
          <w:lang w:eastAsia="ar" w:bidi="ar-EG"/>
        </w:rPr>
        <w:t xml:space="preserve">تلتزم وحدات الأوزون الوطنية بالتنسيق مع السلطات الوطنية المسؤولة عن المسائل المتعلقة بكفاءة استخدام الطاقة (مثل وضع معايير كفاءة استخدام الطاقة وسلطات إنفاذها) لضمان التنفيذ المنهجي للتدابير الرامية إلى الحفاظ و/أو تعزيز كفاءة استخدام الطاقة عند التخفيض التدريجي للمواد الهيدروفلوروكربونية؛ ويجب تنفيذ هذه الإجراءات على سبيل الأولوية لضمان السياسات واللوائح المتكاملة التي تعالج التخفيض التدريجي للهيدروفلوروكربون وكفاءة استخدام الطاقة. </w:t>
      </w:r>
    </w:p>
    <w:p w14:paraId="63F214F8" w14:textId="77777777" w:rsidR="00717685" w:rsidRDefault="00717685" w:rsidP="00717685">
      <w:pPr>
        <w:pStyle w:val="Heading2"/>
        <w:numPr>
          <w:ilvl w:val="0"/>
          <w:numId w:val="0"/>
        </w:numPr>
        <w:tabs>
          <w:tab w:val="left" w:pos="720"/>
        </w:tabs>
        <w:bidi/>
        <w:rPr>
          <w:rFonts w:asciiTheme="majorBidi" w:hAnsiTheme="majorBidi" w:cstheme="majorBidi"/>
          <w:i/>
          <w:sz w:val="26"/>
          <w:szCs w:val="26"/>
        </w:rPr>
      </w:pPr>
      <w:r>
        <w:rPr>
          <w:rFonts w:asciiTheme="majorBidi" w:hAnsiTheme="majorBidi" w:cstheme="majorBidi" w:hint="cs"/>
          <w:i/>
          <w:iCs/>
          <w:sz w:val="26"/>
          <w:szCs w:val="26"/>
          <w:rtl/>
          <w:lang w:eastAsia="ar" w:bidi="ar-EG"/>
        </w:rPr>
        <w:t>رصد التأثير والاسترداد</w:t>
      </w:r>
    </w:p>
    <w:p w14:paraId="591B53D8" w14:textId="77777777" w:rsidR="00717685" w:rsidRDefault="00717685" w:rsidP="00717685">
      <w:pPr>
        <w:pStyle w:val="Heading2"/>
        <w:bidi/>
        <w:rPr>
          <w:sz w:val="26"/>
          <w:szCs w:val="26"/>
        </w:rPr>
      </w:pPr>
      <w:r>
        <w:rPr>
          <w:rFonts w:hint="cs"/>
          <w:sz w:val="26"/>
          <w:szCs w:val="26"/>
          <w:rtl/>
          <w:lang w:eastAsia="ar" w:bidi="ar-EG"/>
        </w:rPr>
        <w:t>قد ينطوي رصد أداء كفاءة استخدام الطاقة في المنتجات على مستوى المستخدم النهائي على صعوبة بالنظر إلى اختلاف خصائص استخدام المستخدمين النهائيين. ومن ثم، قد يلزم استكشاف تصميم عمليات مجدية اقتصادياً لرصد أداء كفاءة الطاقة من جانب العرض بالإضافة إلى أساليب الرصد من جانب الطلب المصممة تصميماً جيداً لتحقيق تأثير أكبر من حيث رصد أداء كفاءة استخدام الطاقة.  ويلزم أيضاً استكشاف خيارات لرصد الامتثال المجدي اقتصادياً، مثل الاتفاقات الثنائية ومرافق الاختبار والاعتماد الإقليمية؛</w:t>
      </w:r>
    </w:p>
    <w:p w14:paraId="086C78F0" w14:textId="77777777" w:rsidR="00717685" w:rsidRDefault="00717685" w:rsidP="00FE6D6B">
      <w:pPr>
        <w:pStyle w:val="Heading2"/>
        <w:keepNext/>
        <w:keepLines/>
        <w:bidi/>
        <w:ind w:left="1077" w:hanging="357"/>
        <w:rPr>
          <w:sz w:val="26"/>
          <w:szCs w:val="26"/>
        </w:rPr>
      </w:pPr>
      <w:r>
        <w:rPr>
          <w:rFonts w:hint="cs"/>
          <w:sz w:val="26"/>
          <w:szCs w:val="26"/>
          <w:rtl/>
          <w:lang w:eastAsia="ar" w:bidi="ar-EG"/>
        </w:rPr>
        <w:t>يستفيد المستخدمون النهائيون للمعدات التي تتسم بكفاءة استخدام الطاقة، نتيجة لانخفاض تكاليف الطاقة لتلك المعدات، من استرداد التكلفة الأولية الإضافية للمعدات التي تتسم بكفاءة استخدام الطاقة، على النحو الموضح في الجدول 2 أعلاه، الذي يمكن أن يكون أقل من أربع سنوات. وسوف يشكّل استرداد العملاء حافزاً لاعتماد المعدات التي تتسم بكفاءة استخدام الطاقة،</w:t>
      </w:r>
      <w:r>
        <w:rPr>
          <w:rStyle w:val="FootnoteReference"/>
          <w:rFonts w:asciiTheme="majorBidi" w:hAnsiTheme="majorBidi" w:cstheme="majorBidi"/>
          <w:sz w:val="26"/>
          <w:szCs w:val="26"/>
          <w:rtl/>
          <w:lang w:eastAsia="ar" w:bidi="ar-EG"/>
        </w:rPr>
        <w:footnoteReference w:id="26"/>
      </w:r>
      <w:r>
        <w:rPr>
          <w:rFonts w:hint="cs"/>
          <w:sz w:val="26"/>
          <w:szCs w:val="26"/>
          <w:rtl/>
          <w:lang w:eastAsia="ar" w:bidi="ar-EG"/>
        </w:rPr>
        <w:t>الذي سيؤدي، مع خفض تكلفة تصنيع المعدات التي تتسم بالكفاءة في استخدام الطاقة، دوراً مهماً في التعجيل بتوافر تلك المنتجات واعتمادها. وسيؤدي استخدام معدات أكثر كفاءة في استخدام الطاقة إلى تقليل الحاجة إلى الاستثمارات في توليد الطاقة على الصعيد الوطني.</w:t>
      </w:r>
    </w:p>
    <w:p w14:paraId="44683F24" w14:textId="77777777" w:rsidR="00717685" w:rsidRDefault="00717685" w:rsidP="00717685">
      <w:pPr>
        <w:widowControl w:val="0"/>
        <w:bidi/>
        <w:rPr>
          <w:rFonts w:asciiTheme="majorBidi" w:hAnsiTheme="majorBidi" w:cstheme="majorBidi"/>
          <w:i/>
          <w:sz w:val="26"/>
          <w:szCs w:val="26"/>
        </w:rPr>
      </w:pPr>
      <w:r>
        <w:rPr>
          <w:rFonts w:asciiTheme="majorBidi" w:hAnsiTheme="majorBidi" w:cstheme="majorBidi" w:hint="cs"/>
          <w:i/>
          <w:iCs/>
          <w:sz w:val="26"/>
          <w:szCs w:val="26"/>
          <w:rtl/>
          <w:lang w:eastAsia="ar" w:bidi="ar-EG"/>
        </w:rPr>
        <w:t>خبرة مؤسسات الصندوق المتعدد الأطراف في معالجة كفاءة استخدام الطاقة</w:t>
      </w:r>
    </w:p>
    <w:p w14:paraId="6E4B2B81" w14:textId="77777777" w:rsidR="00717685" w:rsidRDefault="00717685" w:rsidP="00717685">
      <w:pPr>
        <w:widowControl w:val="0"/>
        <w:bidi/>
        <w:rPr>
          <w:rFonts w:asciiTheme="majorBidi" w:hAnsiTheme="majorBidi" w:cstheme="majorBidi"/>
          <w:sz w:val="26"/>
          <w:szCs w:val="26"/>
        </w:rPr>
      </w:pPr>
    </w:p>
    <w:p w14:paraId="54D0F57D" w14:textId="77777777" w:rsidR="00717685" w:rsidRDefault="00717685" w:rsidP="00717685">
      <w:pPr>
        <w:pStyle w:val="Heading2"/>
        <w:bidi/>
        <w:rPr>
          <w:sz w:val="26"/>
          <w:szCs w:val="26"/>
        </w:rPr>
      </w:pPr>
      <w:r>
        <w:rPr>
          <w:rFonts w:hint="cs"/>
          <w:sz w:val="26"/>
          <w:szCs w:val="26"/>
          <w:rtl/>
          <w:lang w:eastAsia="ar" w:bidi="ar-EG"/>
        </w:rPr>
        <w:t xml:space="preserve">جدير بالذكر أيضاً أن مؤسسات الصندوق المتعدد الأطراف لديها خبرة محدودة في تنفيذ الأنشطة المتعلقة بكفاءة استخدام الطاقة. لذلك، عند معالجة كفاءة استخدام الطاقة، ستكون آليات تنفيذ المشروعات التي تتبع نهج «التعلم من التجارب» وكذلك التعلم من تجربة الآليات الأخرى، حيثما أمكن، ذات جدوى. وقد وفر المقرر 82/83(ب) مرونة للأطراف العاملة في نطاق المادة 5 المشاركين في الأنشطة التمكينية المتعلقة بتنفيذ تعديل كيغالي، للاضطلاع بما يلي: ’1‘ وضع السياسات واللوائح وإنفاذها لتجنب تغلغل معدات التبريد وتكييف الهواء والمضخات الحرارية التي لا تتسم بكفاءة استخدام الطاقة في السوق؛ ’2‘ والترويج للحصول على التكنولوجيات التي تتسم بكفاءة استخدام الطاقة في تلك القطاعات؛ ’3‘ والتدريب الموجه على الاعتماد، والسلامة والمعايير، وزيادة الوعي وبناء القدرات بهدف الحفاظ على كفاءة استخدام الطاقة وتعزيزها. وقد سمحت المشروعات المعتمدة بموجب المقرر 78/3(ز) بجمع المعلومات، عند الاقتضاء، عن التغييرات في كفاءة استخدام الطاقة في المنتجات التي يجري تصنيعها وأي سياسات ذات صلة تضعها الحكومة. وأتاح المقرر 87/50(ب)’5‘ للبلدان أن تصف المبادرات والسياسات واللوائح والمعايير الوطنية المرتبطة بالحفاظ على كفاءة استخدام الطاقة و/أو تعزيزها في استراتيجياتها الشاملة للمرحلة الأولى من خطط تنفيذ تعديل كيغالي فيما يخص الهيدروفلوروكربون. وسيؤدي تنفيذ أنشطة المشروعات التجريبية لفترة أولية والاستعانة بالخبرة المكتسبة من هذه الأنشطة إلى تصميم سياسات مستقبلية تتعلق بمشروعات الحفاظ على كفاءة استخدام الطاقة و/أو تعزيزها عند التخفيض التدريجي للمواد الهيدروفلوروكربونية إلى تشجيع </w:t>
      </w:r>
      <w:r>
        <w:rPr>
          <w:rFonts w:ascii="Roboto" w:eastAsia="Roboto" w:hAnsi="Roboto"/>
          <w:sz w:val="26"/>
          <w:szCs w:val="26"/>
          <w:rtl/>
          <w:lang w:eastAsia="ar" w:bidi="ar-EG"/>
        </w:rPr>
        <w:t>البلدان العاملة بالمادة 5، التي ترغب في ذلك، على تضمين الجوانب ذات الصلة في الوقت المناسب في المرحلة الأولى من خطط تنفيذ تعديل كيغالي فيما يخص الهيدروفلوروكربون</w:t>
      </w:r>
      <w:r>
        <w:rPr>
          <w:rFonts w:hint="cs"/>
          <w:sz w:val="26"/>
          <w:szCs w:val="26"/>
          <w:rtl/>
          <w:lang w:eastAsia="ar" w:bidi="ar-EG"/>
        </w:rPr>
        <w:t xml:space="preserve">؛ و </w:t>
      </w:r>
    </w:p>
    <w:p w14:paraId="6F669F8A" w14:textId="77777777" w:rsidR="00717685" w:rsidRDefault="00717685" w:rsidP="00717685">
      <w:pPr>
        <w:pStyle w:val="Heading2"/>
        <w:widowControl/>
        <w:bidi/>
        <w:rPr>
          <w:sz w:val="26"/>
          <w:szCs w:val="26"/>
        </w:rPr>
      </w:pPr>
      <w:r>
        <w:rPr>
          <w:rFonts w:hint="cs"/>
          <w:sz w:val="26"/>
          <w:szCs w:val="26"/>
          <w:rtl/>
          <w:lang w:eastAsia="ar" w:bidi="ar-EG"/>
        </w:rPr>
        <w:t xml:space="preserve">يُعد بناء قدرات المؤسسات المختلفة المشاركة في تطوير العناصر المتعلقة بكفاءة استخدام الطاقة وتنفيذها عند التخفيض التدريجي للمواد الهيدروفلوروكربونية أمراً ضرورياً لمواصلة تنفيذ الأنشطة المتعلقة بكفاءة استخدام الطاقة.  ويشمل ذلك عدة مؤسسات منها وحدات الأوزون الوطنية، والوكالات، والأمانة. ويلزم استكشاف الدعم المقدم لبناء القدرة (مثل الجوانب الفنية والسياسات والتدابير، وما إلى ذلك) لتنفيذ الأنشطة بصورة مستدامة ومجدية اقتصادياً. ويمكن معالجة هذا في سياق المناقشات المتعلقة بالمقرر 84/86(أ). </w:t>
      </w:r>
    </w:p>
    <w:p w14:paraId="4F0356E3" w14:textId="77777777" w:rsidR="00717685" w:rsidRDefault="00717685" w:rsidP="00717685">
      <w:pPr>
        <w:pStyle w:val="StyleHeader4Para4Left0Firstline0"/>
        <w:numPr>
          <w:ilvl w:val="0"/>
          <w:numId w:val="0"/>
        </w:numPr>
        <w:tabs>
          <w:tab w:val="left" w:pos="720"/>
        </w:tabs>
        <w:bidi/>
        <w:rPr>
          <w:rFonts w:asciiTheme="majorBidi" w:hAnsiTheme="majorBidi" w:cstheme="majorBidi"/>
          <w:b/>
          <w:sz w:val="26"/>
          <w:szCs w:val="26"/>
        </w:rPr>
      </w:pPr>
      <w:r>
        <w:rPr>
          <w:rFonts w:asciiTheme="majorBidi" w:hAnsiTheme="majorBidi" w:cstheme="majorBidi" w:hint="cs"/>
          <w:b/>
          <w:bCs/>
          <w:sz w:val="26"/>
          <w:szCs w:val="26"/>
          <w:rtl/>
          <w:lang w:eastAsia="ar" w:bidi="ar-EG"/>
        </w:rPr>
        <w:t>التوصية</w:t>
      </w:r>
    </w:p>
    <w:p w14:paraId="4E290FB7" w14:textId="77777777" w:rsidR="00717685" w:rsidRDefault="00717685" w:rsidP="00717685">
      <w:pPr>
        <w:pStyle w:val="Heading1"/>
        <w:numPr>
          <w:ilvl w:val="0"/>
          <w:numId w:val="23"/>
        </w:numPr>
        <w:bidi/>
        <w:rPr>
          <w:sz w:val="26"/>
          <w:szCs w:val="26"/>
        </w:rPr>
      </w:pPr>
      <w:r>
        <w:rPr>
          <w:rFonts w:hint="cs"/>
          <w:sz w:val="26"/>
          <w:szCs w:val="26"/>
          <w:rtl/>
          <w:lang w:eastAsia="ar" w:bidi="ar-EG"/>
        </w:rPr>
        <w:t>قد ترغب اللجنة التنفيذية في الآتي:</w:t>
      </w:r>
    </w:p>
    <w:p w14:paraId="184CC3BD" w14:textId="77777777" w:rsidR="00717685" w:rsidRDefault="00717685" w:rsidP="00717685">
      <w:pPr>
        <w:pStyle w:val="Heading2"/>
        <w:bidi/>
        <w:rPr>
          <w:sz w:val="26"/>
          <w:szCs w:val="26"/>
        </w:rPr>
      </w:pPr>
      <w:r>
        <w:rPr>
          <w:rFonts w:hint="cs"/>
          <w:sz w:val="26"/>
          <w:szCs w:val="26"/>
          <w:rtl/>
          <w:lang w:eastAsia="ar" w:bidi="ar-EG"/>
        </w:rPr>
        <w:t xml:space="preserve">أن تحيط علما بما يلي: </w:t>
      </w:r>
    </w:p>
    <w:p w14:paraId="53FDDE7C" w14:textId="77777777" w:rsidR="00717685" w:rsidRPr="008E0E5E" w:rsidRDefault="00717685" w:rsidP="008E0E5E">
      <w:pPr>
        <w:pStyle w:val="Heading3"/>
        <w:bidi/>
        <w:rPr>
          <w:sz w:val="26"/>
          <w:szCs w:val="26"/>
        </w:rPr>
      </w:pPr>
      <w:r w:rsidRPr="008E0E5E">
        <w:rPr>
          <w:rFonts w:hint="cs"/>
          <w:sz w:val="26"/>
          <w:szCs w:val="26"/>
          <w:rtl/>
          <w:lang w:eastAsia="ar" w:bidi="ar-EG"/>
        </w:rPr>
        <w:t>المقرر الذي يحدد الخيارات، بما فيها الإجراءات والشروط ذات الصلة لتعبئة الموارد المالية للحفاظ على كفاءة استخدام الطاقة أو تعزيزها عند استبدال المواد الهيدروفلوروكربونية ببدائل ذات القدرة المنخفضة على إحداث الاحترار العالمي (المقرر 87/51) الوارد في الوثيقة</w:t>
      </w:r>
      <w:r w:rsidRPr="008E0E5E">
        <w:rPr>
          <w:rFonts w:hint="cs"/>
          <w:sz w:val="26"/>
          <w:szCs w:val="26"/>
          <w:rtl/>
          <w:lang w:eastAsia="ar" w:bidi="ar-EG"/>
        </w:rPr>
        <w:br/>
      </w:r>
      <w:r w:rsidRPr="008E0E5E">
        <w:rPr>
          <w:sz w:val="26"/>
          <w:szCs w:val="26"/>
          <w:lang w:eastAsia="ar" w:bidi="en-GB"/>
        </w:rPr>
        <w:t>UNEP/OzL.Pro/ExCom</w:t>
      </w:r>
      <w:r w:rsidRPr="008E0E5E">
        <w:rPr>
          <w:sz w:val="26"/>
          <w:szCs w:val="26"/>
          <w:lang w:eastAsia="ar" w:bidi="ar-EG"/>
        </w:rPr>
        <w:t>/89/12</w:t>
      </w:r>
      <w:r w:rsidRPr="008E0E5E">
        <w:rPr>
          <w:rFonts w:hint="cs"/>
          <w:sz w:val="26"/>
          <w:szCs w:val="26"/>
          <w:rtl/>
          <w:lang w:eastAsia="ar" w:bidi="ar-EG"/>
        </w:rPr>
        <w:t>؛</w:t>
      </w:r>
    </w:p>
    <w:p w14:paraId="4D4D170F" w14:textId="77777777" w:rsidR="00717685" w:rsidRDefault="00717685" w:rsidP="00717685">
      <w:pPr>
        <w:pStyle w:val="Heading3"/>
        <w:bidi/>
        <w:rPr>
          <w:sz w:val="26"/>
          <w:szCs w:val="26"/>
        </w:rPr>
      </w:pPr>
      <w:r>
        <w:rPr>
          <w:rFonts w:hint="cs"/>
          <w:sz w:val="26"/>
          <w:szCs w:val="26"/>
          <w:rtl/>
          <w:lang w:eastAsia="ar" w:bidi="ar-EG"/>
        </w:rPr>
        <w:t>مع التقدير، مشاركة مؤسسات التمويل والمؤسسات المالية التي تقدم معلومات إلى الأمانة بوصفها جزءاً من عملية جمع البيانات التي تضطلع بها من أجل المقرر المحدد في الفقرة الفرعية (أ)’1‘؛</w:t>
      </w:r>
    </w:p>
    <w:p w14:paraId="217A7663" w14:textId="107FF709" w:rsidR="00717685" w:rsidRDefault="001B6A62" w:rsidP="00FB60FE">
      <w:pPr>
        <w:pStyle w:val="Heading2"/>
        <w:keepNext/>
        <w:keepLines/>
        <w:bidi/>
        <w:ind w:hanging="357"/>
        <w:rPr>
          <w:sz w:val="26"/>
          <w:szCs w:val="26"/>
          <w:lang w:eastAsia="en-CA"/>
        </w:rPr>
      </w:pPr>
      <w:r>
        <w:rPr>
          <w:rFonts w:hint="cs"/>
          <w:sz w:val="26"/>
          <w:szCs w:val="26"/>
          <w:rtl/>
          <w:lang w:eastAsia="ar" w:bidi="ar-EG"/>
        </w:rPr>
        <w:t xml:space="preserve"> </w:t>
      </w:r>
      <w:r w:rsidR="00717685">
        <w:rPr>
          <w:rFonts w:hint="cs"/>
          <w:sz w:val="26"/>
          <w:szCs w:val="26"/>
          <w:rtl/>
          <w:lang w:eastAsia="ar" w:bidi="ar-EG"/>
        </w:rPr>
        <w:t>وأن تنظر فيما يلي:</w:t>
      </w:r>
    </w:p>
    <w:p w14:paraId="721C88EE" w14:textId="77777777" w:rsidR="00717685" w:rsidRDefault="00717685" w:rsidP="00FB60FE">
      <w:pPr>
        <w:pStyle w:val="Heading3"/>
        <w:keepNext/>
        <w:keepLines/>
        <w:bidi/>
        <w:ind w:hanging="357"/>
        <w:rPr>
          <w:sz w:val="26"/>
          <w:szCs w:val="26"/>
          <w:lang w:eastAsia="en-CA"/>
        </w:rPr>
      </w:pPr>
      <w:r>
        <w:rPr>
          <w:rFonts w:hint="cs"/>
          <w:sz w:val="26"/>
          <w:szCs w:val="26"/>
          <w:rtl/>
          <w:lang w:eastAsia="ar" w:bidi="ar-EG"/>
        </w:rPr>
        <w:t>الخيارات المحددة في الفقرات من 30 إلى 42 من الوثيقة</w:t>
      </w:r>
      <w:r>
        <w:rPr>
          <w:rFonts w:hint="cs"/>
          <w:sz w:val="26"/>
          <w:szCs w:val="26"/>
          <w:rtl/>
          <w:lang w:eastAsia="ar" w:bidi="ar-EG"/>
        </w:rPr>
        <w:br/>
      </w:r>
      <w:r>
        <w:rPr>
          <w:sz w:val="26"/>
          <w:szCs w:val="26"/>
          <w:lang w:eastAsia="ar" w:bidi="en-GB"/>
        </w:rPr>
        <w:t>UNEP/OzL.Pro/ExCom</w:t>
      </w:r>
      <w:r>
        <w:rPr>
          <w:sz w:val="26"/>
          <w:szCs w:val="26"/>
          <w:lang w:eastAsia="ar" w:bidi="ar-EG"/>
        </w:rPr>
        <w:t>/89/12</w:t>
      </w:r>
      <w:r>
        <w:rPr>
          <w:rFonts w:hint="cs"/>
          <w:sz w:val="26"/>
          <w:szCs w:val="26"/>
          <w:rtl/>
          <w:lang w:eastAsia="ar" w:bidi="ar-EG"/>
        </w:rPr>
        <w:t>؛</w:t>
      </w:r>
    </w:p>
    <w:p w14:paraId="4BBE11EA" w14:textId="77777777" w:rsidR="00717685" w:rsidRDefault="00717685" w:rsidP="00FB60FE">
      <w:pPr>
        <w:pStyle w:val="Heading3"/>
        <w:keepNext/>
        <w:keepLines/>
        <w:bidi/>
        <w:ind w:hanging="357"/>
        <w:rPr>
          <w:sz w:val="26"/>
          <w:szCs w:val="26"/>
          <w:lang w:eastAsia="en-CA"/>
        </w:rPr>
      </w:pPr>
      <w:r>
        <w:rPr>
          <w:rFonts w:hint="cs"/>
          <w:sz w:val="26"/>
          <w:szCs w:val="26"/>
          <w:rtl/>
          <w:lang w:eastAsia="ar" w:bidi="ar-EG"/>
        </w:rPr>
        <w:t>إتاحة فرصة تمويل خاصة في خطة الأعمال الحالية على مستوى تمويل تقرره اللجنة التنفيذية للمشروعات التجريبية للحفاظ على كفاءة استخدام الطاقة في المشروعات التي يمولها الصندوق المتعدد الأطراف للتخفيض التدريجي من المواد الهيدروفلوروكربونية و/أو تعزيزها، على أساس أن تؤدي المشروعات التجريبية إلى إثراء المناقشات المستقبلية حول الخيارات المحددة في الفقرة الفرعية (ب)’1‘ الواردة أعلاه؛ و</w:t>
      </w:r>
    </w:p>
    <w:p w14:paraId="55C216CC" w14:textId="77777777" w:rsidR="00717685" w:rsidRDefault="00717685" w:rsidP="00717685">
      <w:pPr>
        <w:pStyle w:val="Heading2"/>
        <w:bidi/>
        <w:rPr>
          <w:sz w:val="26"/>
          <w:szCs w:val="26"/>
          <w:lang w:eastAsia="en-CA"/>
        </w:rPr>
      </w:pPr>
      <w:r>
        <w:rPr>
          <w:rFonts w:hint="cs"/>
          <w:sz w:val="26"/>
          <w:szCs w:val="26"/>
          <w:rtl/>
          <w:lang w:eastAsia="ar" w:bidi="ar-EG"/>
        </w:rPr>
        <w:t>أن تطلب إلى الأمانة، [في حالة الاتفاق على فرصة التمويل الواردة في الفقرة الفرعية ب’2‘]، الاستعداد لنظر اللجنة التنفيذية، في اجتماعها الحادي والتسعين، في معايير المشروعات التجريبية للحفاظ على كفاءة استخدام الطاقة و/أو تعزيزها في المشروعات التي يمولها الصندوق المتعدد الأطراف، بغية السماح للجنة التنفيذية باكتساب خبرة في فهم العناصر والتكاليف المرتبطة بهذه المشروعات.</w:t>
      </w:r>
    </w:p>
    <w:p w14:paraId="11F17351" w14:textId="77777777" w:rsidR="00717685" w:rsidRDefault="00717685" w:rsidP="00717685">
      <w:pPr>
        <w:bidi/>
        <w:jc w:val="left"/>
        <w:rPr>
          <w:sz w:val="26"/>
          <w:szCs w:val="26"/>
          <w:lang w:eastAsia="ar-EG"/>
        </w:rPr>
      </w:pPr>
    </w:p>
    <w:p w14:paraId="76E1B0C8" w14:textId="322A599B" w:rsidR="00270123" w:rsidRDefault="00270123" w:rsidP="00717685">
      <w:pPr>
        <w:jc w:val="left"/>
        <w:rPr>
          <w:sz w:val="26"/>
          <w:szCs w:val="26"/>
          <w:lang w:val="en-US" w:bidi="ar-EG"/>
        </w:rPr>
      </w:pPr>
      <w:r>
        <w:rPr>
          <w:sz w:val="26"/>
          <w:szCs w:val="26"/>
          <w:lang w:val="en-US" w:bidi="ar-EG"/>
        </w:rPr>
        <w:br w:type="page"/>
      </w:r>
    </w:p>
    <w:p w14:paraId="1DBC5FA2" w14:textId="77777777" w:rsidR="00717685" w:rsidRPr="000F0FA6" w:rsidRDefault="00717685" w:rsidP="00717685">
      <w:pPr>
        <w:jc w:val="left"/>
        <w:rPr>
          <w:sz w:val="26"/>
          <w:szCs w:val="26"/>
          <w:rtl/>
          <w:lang w:val="en-US" w:bidi="ar-EG"/>
        </w:rPr>
        <w:sectPr w:rsidR="00717685" w:rsidRPr="000F0FA6" w:rsidSect="00555DF7">
          <w:headerReference w:type="even" r:id="rId10"/>
          <w:headerReference w:type="default" r:id="rId11"/>
          <w:footerReference w:type="even" r:id="rId12"/>
          <w:footerReference w:type="default" r:id="rId13"/>
          <w:footerReference w:type="first" r:id="rId14"/>
          <w:pgSz w:w="12240" w:h="15840"/>
          <w:pgMar w:top="720" w:right="1440" w:bottom="864" w:left="1440" w:header="720" w:footer="475" w:gutter="0"/>
          <w:cols w:space="720"/>
          <w:titlePg/>
          <w:docGrid w:linePitch="326"/>
        </w:sectPr>
      </w:pPr>
    </w:p>
    <w:p w14:paraId="3DD69481" w14:textId="03CB748F" w:rsidR="007E5D09" w:rsidRDefault="000F0FA6" w:rsidP="009B148C">
      <w:pPr>
        <w:jc w:val="left"/>
        <w:rPr>
          <w:rFonts w:cs="Arabic Transparent"/>
          <w:b/>
          <w:bCs/>
          <w:sz w:val="26"/>
          <w:szCs w:val="26"/>
          <w:lang w:val="en-CA"/>
        </w:rPr>
      </w:pPr>
      <w:r>
        <w:t xml:space="preserve"> </w:t>
      </w:r>
    </w:p>
    <w:p w14:paraId="6C0BF300" w14:textId="04CEACEF" w:rsidR="007E5D09" w:rsidRDefault="00E1360E">
      <w:pPr>
        <w:tabs>
          <w:tab w:val="left" w:pos="4095"/>
          <w:tab w:val="center" w:pos="4680"/>
        </w:tabs>
        <w:bidi/>
        <w:jc w:val="left"/>
        <w:rPr>
          <w:rFonts w:cs="Arabic Transparent"/>
          <w:b/>
          <w:bCs/>
          <w:sz w:val="26"/>
          <w:szCs w:val="26"/>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07CCEE9F" w14:textId="77777777" w:rsidR="00FB60FE" w:rsidRDefault="00FB60FE" w:rsidP="00FB60FE">
      <w:pPr>
        <w:tabs>
          <w:tab w:val="left" w:pos="4095"/>
          <w:tab w:val="center" w:pos="4680"/>
        </w:tabs>
        <w:bidi/>
        <w:jc w:val="left"/>
        <w:rPr>
          <w:rFonts w:cs="Arabic Transparent"/>
          <w:b/>
          <w:bCs/>
          <w:sz w:val="26"/>
          <w:szCs w:val="26"/>
          <w:lang w:val="en-CA" w:bidi="ar-EG"/>
        </w:rPr>
      </w:pPr>
    </w:p>
    <w:p w14:paraId="22A853C2" w14:textId="77777777" w:rsidR="00270123" w:rsidRDefault="00270123" w:rsidP="00270123">
      <w:pPr>
        <w:pStyle w:val="Heading1"/>
        <w:numPr>
          <w:ilvl w:val="0"/>
          <w:numId w:val="0"/>
        </w:numPr>
        <w:tabs>
          <w:tab w:val="left" w:pos="720"/>
        </w:tabs>
        <w:bidi/>
        <w:spacing w:after="0"/>
        <w:jc w:val="center"/>
        <w:rPr>
          <w:b/>
          <w:bCs/>
          <w:sz w:val="26"/>
          <w:szCs w:val="26"/>
        </w:rPr>
      </w:pPr>
      <w:r>
        <w:rPr>
          <w:rFonts w:hint="cs"/>
          <w:b/>
          <w:bCs/>
          <w:sz w:val="26"/>
          <w:szCs w:val="26"/>
          <w:rtl/>
          <w:lang w:eastAsia="ar" w:bidi="ar-EG"/>
        </w:rPr>
        <w:t>موجز المقررات والمناقشات التي دارت في اجتماعات اللجنة التنفيذية حتى  الدورة السابعة والثمانين</w:t>
      </w:r>
    </w:p>
    <w:p w14:paraId="2EA1FFD6" w14:textId="77777777" w:rsidR="00270123" w:rsidRDefault="00270123" w:rsidP="00270123">
      <w:pPr>
        <w:bidi/>
        <w:rPr>
          <w:sz w:val="26"/>
          <w:szCs w:val="26"/>
        </w:rPr>
      </w:pPr>
    </w:p>
    <w:p w14:paraId="17E07DBA" w14:textId="77777777" w:rsidR="00270123" w:rsidRPr="00205FEE" w:rsidRDefault="00270123" w:rsidP="00270123">
      <w:pPr>
        <w:pStyle w:val="Heading1"/>
        <w:numPr>
          <w:ilvl w:val="0"/>
          <w:numId w:val="0"/>
        </w:numPr>
        <w:tabs>
          <w:tab w:val="left" w:pos="720"/>
        </w:tabs>
        <w:bidi/>
        <w:rPr>
          <w:i/>
          <w:iCs/>
          <w:sz w:val="26"/>
          <w:szCs w:val="26"/>
        </w:rPr>
      </w:pPr>
      <w:r w:rsidRPr="00205FEE">
        <w:rPr>
          <w:rFonts w:hint="cs"/>
          <w:i/>
          <w:iCs/>
          <w:sz w:val="26"/>
          <w:szCs w:val="26"/>
          <w:rtl/>
          <w:lang w:eastAsia="ar" w:bidi="ar-EG"/>
        </w:rPr>
        <w:t xml:space="preserve">الاجتماع الثاني والثمانون </w:t>
      </w:r>
    </w:p>
    <w:p w14:paraId="1A43F8E7" w14:textId="77777777" w:rsidR="00270123" w:rsidRDefault="00270123" w:rsidP="00270123">
      <w:pPr>
        <w:pStyle w:val="Heading1"/>
        <w:numPr>
          <w:ilvl w:val="0"/>
          <w:numId w:val="27"/>
        </w:numPr>
        <w:bidi/>
        <w:rPr>
          <w:sz w:val="26"/>
          <w:szCs w:val="26"/>
        </w:rPr>
      </w:pPr>
      <w:r>
        <w:rPr>
          <w:rFonts w:hint="cs"/>
          <w:sz w:val="26"/>
          <w:szCs w:val="26"/>
          <w:rtl/>
          <w:lang w:eastAsia="ar" w:bidi="ar-EG"/>
        </w:rPr>
        <w:t>طُلب إلى الأمانة أن تقدم لاجتماعها الثاني والثمانين ملخصاً لمداولات الأطراف في الاجتماع الأربعين للفريق العامل مفتوح العضوية للأطراف في بروتوكول مونتريال والاجتماع الثلاثين للأطراف في بروتوكول مونتريال فيما يتعلق بتقرير فريق التكنولوجيا والتقييم الاقتصادي عن المشاكل المتعلقة بكفاءة استخدام الطاقة استجابة للمقرر 29/102 (المقرر 81/67(ب)). وأثناء مناقشة هذه الورقة في الاجتماع، بما في ذلك العناصر ذات الصلة من المقرر 30/5</w:t>
      </w:r>
      <w:r>
        <w:rPr>
          <w:rStyle w:val="FootnoteReference"/>
          <w:sz w:val="26"/>
          <w:szCs w:val="26"/>
          <w:rtl/>
          <w:lang w:eastAsia="ar" w:bidi="ar-EG"/>
        </w:rPr>
        <w:footnoteReference w:id="27"/>
      </w:r>
      <w:r>
        <w:rPr>
          <w:rFonts w:hint="cs"/>
          <w:sz w:val="26"/>
          <w:szCs w:val="26"/>
          <w:rtl/>
          <w:lang w:eastAsia="ar" w:bidi="ar-EG"/>
        </w:rPr>
        <w:t>، طلبت اللجنة التنفيذية إلى الأمانة، ضمن جملة أمور، أن تعد ورقة لنظر اللجنة التنفيذية في اجتماعها الثالث والثمانين، تقدم، كخطوة أولى، معلومات عن الصناديق والمؤسسات المالية ذات الصلة التي تقوم بحشد الموارد لكفاءة استخدام الطاقة التي يمكن استخدامها عند التخفيض التدريجي للمواد الهيدروفلوروكربونية في إطار الصندوق المتعدد الأطراف، بما في ذلك الطرائق التي تستخدمها تلك المؤسسات لتوفير مثل هذه الموارد إلى البلدان النامية وإمكانية تنفيذ الوكالات المنفذة لطلبات التمويل المشترك لتلك المؤسسات (المقرر 82/83(ب)).</w:t>
      </w:r>
    </w:p>
    <w:p w14:paraId="3CB06F77" w14:textId="77777777" w:rsidR="00270123" w:rsidRPr="00205FEE" w:rsidRDefault="00270123" w:rsidP="00270123">
      <w:pPr>
        <w:bidi/>
        <w:rPr>
          <w:i/>
          <w:iCs/>
          <w:sz w:val="26"/>
          <w:szCs w:val="26"/>
        </w:rPr>
      </w:pPr>
      <w:r w:rsidRPr="00205FEE">
        <w:rPr>
          <w:rFonts w:hint="cs"/>
          <w:i/>
          <w:iCs/>
          <w:sz w:val="26"/>
          <w:szCs w:val="26"/>
          <w:rtl/>
          <w:lang w:eastAsia="ar" w:bidi="ar-EG"/>
        </w:rPr>
        <w:t xml:space="preserve">الاجتماع الثالث والثمانون </w:t>
      </w:r>
    </w:p>
    <w:p w14:paraId="57B0EEE3" w14:textId="77777777" w:rsidR="00270123" w:rsidRDefault="00270123" w:rsidP="00270123">
      <w:pPr>
        <w:pStyle w:val="Heading1"/>
        <w:numPr>
          <w:ilvl w:val="0"/>
          <w:numId w:val="0"/>
        </w:numPr>
        <w:tabs>
          <w:tab w:val="left" w:pos="720"/>
        </w:tabs>
        <w:bidi/>
        <w:spacing w:after="0"/>
        <w:rPr>
          <w:kern w:val="36"/>
          <w:sz w:val="26"/>
          <w:szCs w:val="26"/>
        </w:rPr>
      </w:pPr>
    </w:p>
    <w:p w14:paraId="39C95F52" w14:textId="77777777" w:rsidR="00270123" w:rsidRPr="001B6A62" w:rsidRDefault="00270123" w:rsidP="00270123">
      <w:pPr>
        <w:pStyle w:val="Heading1"/>
        <w:numPr>
          <w:ilvl w:val="0"/>
          <w:numId w:val="23"/>
        </w:numPr>
        <w:bidi/>
        <w:rPr>
          <w:rFonts w:eastAsiaTheme="minorHAnsi"/>
          <w:sz w:val="26"/>
          <w:szCs w:val="26"/>
        </w:rPr>
      </w:pPr>
      <w:r w:rsidRPr="001B6A62">
        <w:rPr>
          <w:rFonts w:hint="cs"/>
          <w:kern w:val="36"/>
          <w:sz w:val="26"/>
          <w:szCs w:val="26"/>
          <w:rtl/>
          <w:lang w:eastAsia="ar" w:bidi="ar-EG"/>
        </w:rPr>
        <w:t xml:space="preserve">واستجابة للمقرر 82/83(د)، قدمت الأمانة إلى الاجتماع </w:t>
      </w:r>
      <w:r w:rsidRPr="001B6A62">
        <w:rPr>
          <w:rFonts w:hint="cs"/>
          <w:kern w:val="36"/>
          <w:sz w:val="26"/>
          <w:szCs w:val="26"/>
          <w:vertAlign w:val="superscript"/>
          <w:rtl/>
          <w:lang w:eastAsia="ar" w:bidi="ar-EG"/>
        </w:rPr>
        <w:t>الثالث</w:t>
      </w:r>
      <w:r w:rsidRPr="001B6A62">
        <w:rPr>
          <w:rFonts w:hint="cs"/>
          <w:kern w:val="36"/>
          <w:sz w:val="26"/>
          <w:szCs w:val="26"/>
          <w:rtl/>
          <w:lang w:eastAsia="ar" w:bidi="ar-EG"/>
        </w:rPr>
        <w:t xml:space="preserve"> والثمانين</w:t>
      </w:r>
      <w:r w:rsidRPr="001B6A62">
        <w:rPr>
          <w:rStyle w:val="FootnoteReference"/>
          <w:kern w:val="36"/>
          <w:sz w:val="26"/>
          <w:szCs w:val="26"/>
          <w:rtl/>
          <w:lang w:eastAsia="ar" w:bidi="ar-EG"/>
        </w:rPr>
        <w:footnoteReference w:id="28"/>
      </w:r>
      <w:r w:rsidRPr="001B6A62">
        <w:rPr>
          <w:rFonts w:hint="cs"/>
          <w:sz w:val="26"/>
          <w:szCs w:val="26"/>
          <w:rtl/>
          <w:lang w:eastAsia="ar" w:bidi="ar-EG"/>
        </w:rPr>
        <w:t xml:space="preserve"> الوثيقة</w:t>
      </w:r>
      <w:r w:rsidRPr="001B6A62">
        <w:rPr>
          <w:rFonts w:hint="cs"/>
          <w:sz w:val="26"/>
          <w:szCs w:val="26"/>
          <w:rtl/>
          <w:lang w:eastAsia="ar" w:bidi="ar-EG"/>
        </w:rPr>
        <w:br/>
      </w:r>
      <w:r w:rsidRPr="001B6A62">
        <w:rPr>
          <w:rFonts w:hint="cs"/>
          <w:sz w:val="26"/>
          <w:szCs w:val="26"/>
          <w:lang w:eastAsia="ar" w:bidi="ar-EG"/>
        </w:rPr>
        <w:t xml:space="preserve"> </w:t>
      </w:r>
      <w:r w:rsidRPr="001B6A62">
        <w:rPr>
          <w:sz w:val="26"/>
          <w:szCs w:val="26"/>
          <w:lang w:eastAsia="ar" w:bidi="en-GB"/>
        </w:rPr>
        <w:t>UNEP/OzL.Pro/ExCom</w:t>
      </w:r>
      <w:r w:rsidRPr="001B6A62">
        <w:rPr>
          <w:sz w:val="26"/>
          <w:szCs w:val="26"/>
          <w:lang w:eastAsia="ar" w:bidi="ar-EG"/>
        </w:rPr>
        <w:t>/83/41</w:t>
      </w:r>
      <w:r w:rsidRPr="001B6A62">
        <w:rPr>
          <w:rFonts w:hint="cs"/>
          <w:sz w:val="26"/>
          <w:szCs w:val="26"/>
          <w:rtl/>
          <w:lang w:eastAsia="ar" w:bidi="ar-EG"/>
        </w:rPr>
        <w:t>، وهي ورقة بشأن الصناديق والمؤسسات المالية ذات الصلة التي تقوم بحشد الموارد لكفاءة الطاقة التي يمكن استخدامها عند الخفض التدريجي للمواد الهيدروفلوروكربونية. وافقت اللجنة التنفيذية على أن تعهد لفريق الاتصال بشأن كفاءة الطاقة بالنظر في المسألة المثارة؛ ومع ذلك، ونتيجة لقيود الوقت، لم يتمكن فريق الاتصال من تناول المسألة. وبناء على ذلك، أجلت اللجنة التنفيذية النظر في المسألة المثارة في الوثيقة (المقرر 83/63) إلى الاجتماع الرابع والثمانين.</w:t>
      </w:r>
    </w:p>
    <w:p w14:paraId="7D5A92FE" w14:textId="77777777" w:rsidR="00270123" w:rsidRPr="001B6A62" w:rsidRDefault="00270123" w:rsidP="00270123">
      <w:pPr>
        <w:bidi/>
        <w:rPr>
          <w:i/>
          <w:iCs/>
          <w:sz w:val="26"/>
          <w:szCs w:val="26"/>
        </w:rPr>
      </w:pPr>
      <w:r w:rsidRPr="001B6A62">
        <w:rPr>
          <w:rFonts w:hint="cs"/>
          <w:i/>
          <w:iCs/>
          <w:sz w:val="26"/>
          <w:szCs w:val="26"/>
          <w:rtl/>
          <w:lang w:eastAsia="ar" w:bidi="ar-EG"/>
        </w:rPr>
        <w:t xml:space="preserve">الاجتماع الرابع والثمانون </w:t>
      </w:r>
    </w:p>
    <w:p w14:paraId="16C6220C" w14:textId="77777777" w:rsidR="00270123" w:rsidRPr="001B6A62" w:rsidRDefault="00270123" w:rsidP="00270123">
      <w:pPr>
        <w:bidi/>
        <w:rPr>
          <w:sz w:val="26"/>
          <w:szCs w:val="26"/>
        </w:rPr>
      </w:pPr>
    </w:p>
    <w:p w14:paraId="4A14DEEE" w14:textId="77777777" w:rsidR="00270123" w:rsidRPr="001B6A62" w:rsidRDefault="00270123" w:rsidP="00270123">
      <w:pPr>
        <w:pStyle w:val="Heading1"/>
        <w:numPr>
          <w:ilvl w:val="0"/>
          <w:numId w:val="23"/>
        </w:numPr>
        <w:bidi/>
        <w:rPr>
          <w:sz w:val="26"/>
          <w:szCs w:val="26"/>
        </w:rPr>
      </w:pPr>
      <w:r w:rsidRPr="001B6A62">
        <w:rPr>
          <w:rFonts w:hint="cs"/>
          <w:sz w:val="26"/>
          <w:szCs w:val="26"/>
          <w:rtl/>
          <w:lang w:eastAsia="ar" w:bidi="ar-EG"/>
        </w:rPr>
        <w:t xml:space="preserve">تمشيا مع المقرر 83/63، أعادت الأمانة تقديم الورقة بشأن الصناديق والمؤسسات المالية ذات الصلة التي تقوم بحشد الموارد لكفاءة الطاقة التي يمكن استخدامها عند الخفض التدريجي للمواد الهيدروفلوروكربونية باعتبارها الوثيقة </w:t>
      </w:r>
      <w:r w:rsidRPr="001B6A62">
        <w:rPr>
          <w:sz w:val="26"/>
          <w:szCs w:val="26"/>
          <w:lang w:eastAsia="ar" w:bidi="en-GB"/>
        </w:rPr>
        <w:t>UNEP/OzL.Pro/ExCom</w:t>
      </w:r>
      <w:r w:rsidRPr="001B6A62">
        <w:rPr>
          <w:sz w:val="26"/>
          <w:szCs w:val="26"/>
          <w:lang w:eastAsia="ar" w:bidi="ar-EG"/>
        </w:rPr>
        <w:t>/84/68</w:t>
      </w:r>
      <w:r w:rsidRPr="001B6A62">
        <w:rPr>
          <w:rFonts w:hint="cs"/>
          <w:sz w:val="26"/>
          <w:szCs w:val="26"/>
          <w:rtl/>
          <w:lang w:eastAsia="ar" w:bidi="ar-EG"/>
        </w:rPr>
        <w:t>، للاجتماع الرابع والثمانين. وخلال مناقشة هذا البند، وافقت اللجنة على إحالته إلى فريق الاتصال بشأن كفاءة الطاقة. وعقب مناقشة في فريق الاتصال، طلبت اللجنة التنفيذية من الأمانة، من بين جملة أمور:</w:t>
      </w:r>
    </w:p>
    <w:p w14:paraId="1DB92F9F" w14:textId="77777777" w:rsidR="00270123" w:rsidRPr="001B6A62" w:rsidRDefault="00270123" w:rsidP="00270123">
      <w:pPr>
        <w:pStyle w:val="Heading2"/>
        <w:numPr>
          <w:ilvl w:val="0"/>
          <w:numId w:val="0"/>
        </w:numPr>
        <w:tabs>
          <w:tab w:val="left" w:pos="720"/>
        </w:tabs>
        <w:bidi/>
        <w:ind w:left="1440" w:hanging="720"/>
        <w:rPr>
          <w:sz w:val="26"/>
          <w:szCs w:val="26"/>
        </w:rPr>
      </w:pPr>
      <w:r w:rsidRPr="001B6A62">
        <w:rPr>
          <w:rFonts w:hint="cs"/>
          <w:sz w:val="26"/>
          <w:szCs w:val="26"/>
          <w:rtl/>
          <w:lang w:eastAsia="ar" w:bidi="ar-EG"/>
        </w:rPr>
        <w:t>(ب)’1‘</w:t>
      </w:r>
      <w:r w:rsidRPr="001B6A62">
        <w:rPr>
          <w:rFonts w:hint="cs"/>
          <w:sz w:val="26"/>
          <w:szCs w:val="26"/>
          <w:rtl/>
          <w:lang w:eastAsia="ar" w:bidi="ar-EG"/>
        </w:rPr>
        <w:tab/>
        <w:t>أن تعد، بالتشاور مع الوكالات المنفذة، وثيقة للاجتماع الخامس والثمانين، يمكن أن توفر إطارا للتشاور مع الصناديق والمؤسسات المالية ذات الصلة لاستكشاف إمكانية حشد الموارد المالية، على المستويين الإداري والتشغيلي، تكون إضافة لتلك المقدمة من الصندوق المتعدد الأطراف للحفاظ على كفاءة الطاقة أو تعزيزها عند الخفض التدريجي للمواد الهيدروفلوروكربونية بغازات تبريد ذات احتمالية احترار عالمي منخفضة في قطاع التبريد وتكييف الهواء؛</w:t>
      </w:r>
    </w:p>
    <w:p w14:paraId="6464B476" w14:textId="77777777" w:rsidR="00270123" w:rsidRPr="001B6A62" w:rsidRDefault="00270123" w:rsidP="00FE6D6B">
      <w:pPr>
        <w:pStyle w:val="Heading2"/>
        <w:keepNext/>
        <w:keepLines/>
        <w:numPr>
          <w:ilvl w:val="0"/>
          <w:numId w:val="0"/>
        </w:numPr>
        <w:tabs>
          <w:tab w:val="left" w:pos="720"/>
        </w:tabs>
        <w:bidi/>
        <w:ind w:left="1440" w:hanging="720"/>
        <w:rPr>
          <w:sz w:val="26"/>
          <w:szCs w:val="26"/>
        </w:rPr>
      </w:pPr>
      <w:r w:rsidRPr="001B6A62">
        <w:rPr>
          <w:rFonts w:hint="cs"/>
          <w:sz w:val="26"/>
          <w:szCs w:val="26"/>
          <w:rtl/>
          <w:lang w:eastAsia="ar" w:bidi="ar-EG"/>
        </w:rPr>
        <w:t>(ب)’2‘</w:t>
      </w:r>
      <w:r w:rsidRPr="001B6A62">
        <w:rPr>
          <w:rFonts w:hint="cs"/>
          <w:sz w:val="26"/>
          <w:szCs w:val="26"/>
          <w:rtl/>
          <w:lang w:eastAsia="ar" w:bidi="ar-EG"/>
        </w:rPr>
        <w:tab/>
        <w:t>أن تواصل التبادل غير الرسمي للمعلومات مع الصناديق والمؤسسات المالية ذات الصلة، بما في ذلك إعداد الوثيقة المشار إليها في الفقرة الفرعية (ب)’1‘ أعلاه (المقرر 84/89(ب)(1) و(2).</w:t>
      </w:r>
    </w:p>
    <w:p w14:paraId="066BFA92" w14:textId="77777777" w:rsidR="00270123" w:rsidRPr="001B6A62" w:rsidRDefault="00270123" w:rsidP="00270123">
      <w:pPr>
        <w:keepNext/>
        <w:widowControl w:val="0"/>
        <w:bidi/>
        <w:rPr>
          <w:i/>
          <w:iCs/>
          <w:sz w:val="26"/>
          <w:szCs w:val="26"/>
        </w:rPr>
      </w:pPr>
      <w:r w:rsidRPr="001B6A62">
        <w:rPr>
          <w:rFonts w:hint="cs"/>
          <w:i/>
          <w:iCs/>
          <w:sz w:val="26"/>
          <w:szCs w:val="26"/>
          <w:rtl/>
          <w:lang w:eastAsia="ar" w:bidi="ar-EG"/>
        </w:rPr>
        <w:t xml:space="preserve">الاجتماعان الخامس والثمانون والسادس والثمانون </w:t>
      </w:r>
    </w:p>
    <w:p w14:paraId="7778757F" w14:textId="77777777" w:rsidR="00270123" w:rsidRPr="001B6A62" w:rsidRDefault="00270123" w:rsidP="00270123">
      <w:pPr>
        <w:keepNext/>
        <w:widowControl w:val="0"/>
        <w:bidi/>
        <w:rPr>
          <w:sz w:val="26"/>
          <w:szCs w:val="26"/>
        </w:rPr>
      </w:pPr>
    </w:p>
    <w:p w14:paraId="63408DC2" w14:textId="77777777" w:rsidR="00270123" w:rsidRPr="001B6A62" w:rsidRDefault="00270123" w:rsidP="00270123">
      <w:pPr>
        <w:pStyle w:val="Heading1"/>
        <w:numPr>
          <w:ilvl w:val="0"/>
          <w:numId w:val="23"/>
        </w:numPr>
        <w:bidi/>
        <w:rPr>
          <w:sz w:val="26"/>
          <w:szCs w:val="26"/>
        </w:rPr>
      </w:pPr>
      <w:r w:rsidRPr="001B6A62">
        <w:rPr>
          <w:rFonts w:hint="cs"/>
          <w:sz w:val="26"/>
          <w:szCs w:val="26"/>
          <w:rtl/>
          <w:lang w:eastAsia="ar" w:bidi="ar-EG"/>
        </w:rPr>
        <w:t xml:space="preserve">قررت اللجنة التنفيذية مناقشة الوثيقة المطلوبة بموجب المقرر 84/89(ب)(1) في اجتماعها الخامس والثمانين. ومع ذلك، في ضوء جائحة كوفيد- 19، وافقت اللجنة التنفيذية على تأجيل اجتماعها الخامس والثمانين، المقرر انعقاده أصلاً في الفترة من 25 إلى 29 مايو/ أيار 2020، وعقده بالتعاقب مع الاجتماع السادس والثمانين في نوفمبر/ تشرين الثاني 2020. ومن أجل ضمان استمرارية الأنشطة المتعلقة بالامتثال في البلدان العاملة بالمادة 5، ولتقليل عبء العمل عند انعقاد الاجتماع، قررت اللجنة التنفيذية تنفيذ عملية الموافقة فيما بين دورات الاجتماع على المشروعات والأنشطة التي كان من المقرر تقديمها إلى الاجتماع الخامس والثمانين؛ </w:t>
      </w:r>
      <w:r w:rsidRPr="001B6A62">
        <w:rPr>
          <w:sz w:val="26"/>
          <w:szCs w:val="26"/>
          <w:vertAlign w:val="superscript"/>
          <w:rtl/>
          <w:lang w:eastAsia="ar" w:bidi="ar-EG"/>
        </w:rPr>
        <w:footnoteReference w:id="29"/>
      </w:r>
      <w:r w:rsidRPr="001B6A62">
        <w:rPr>
          <w:rFonts w:hint="cs"/>
          <w:sz w:val="26"/>
          <w:szCs w:val="26"/>
          <w:rtl/>
          <w:lang w:eastAsia="ar" w:bidi="ar-EG"/>
        </w:rPr>
        <w:t>وسيتم إدراج بنود جدول الأعمال التي لم يتم النظر فيها فيما بين الدورات في جدول أعمال الاجتماع السادس والثمانين. وفي ضوء تطور الجائحة، أرجأت اللجنة التنفيذية كلا الاجتماعين إلى مارس/آذار 2021، مما أدى إلى وجود فترة 15 شهرا بين الاجتماعين الرابع والثمانين والسادس والثمانين.</w:t>
      </w:r>
    </w:p>
    <w:p w14:paraId="3E8B38CC" w14:textId="77777777" w:rsidR="00270123" w:rsidRDefault="00270123" w:rsidP="00270123">
      <w:pPr>
        <w:pStyle w:val="Heading1"/>
        <w:numPr>
          <w:ilvl w:val="0"/>
          <w:numId w:val="23"/>
        </w:numPr>
        <w:bidi/>
        <w:rPr>
          <w:sz w:val="26"/>
          <w:szCs w:val="26"/>
        </w:rPr>
      </w:pPr>
      <w:r>
        <w:rPr>
          <w:rFonts w:hint="cs"/>
          <w:sz w:val="26"/>
          <w:szCs w:val="26"/>
          <w:rtl/>
          <w:lang w:eastAsia="ar" w:bidi="ar-EG"/>
        </w:rPr>
        <w:t>تمشيا مع المقرر 84/89(ب)، قدمت الأمانة الوثيقة</w:t>
      </w:r>
      <w:r>
        <w:rPr>
          <w:sz w:val="26"/>
          <w:szCs w:val="26"/>
          <w:lang w:eastAsia="ar" w:bidi="ar-EG"/>
        </w:rPr>
        <w:br/>
      </w:r>
      <w:r>
        <w:rPr>
          <w:sz w:val="26"/>
          <w:szCs w:val="26"/>
          <w:lang w:eastAsia="ar" w:bidi="en-GB"/>
        </w:rPr>
        <w:t>UNEP/OzL.Pro/ExCom</w:t>
      </w:r>
      <w:r>
        <w:rPr>
          <w:sz w:val="26"/>
          <w:szCs w:val="26"/>
          <w:lang w:eastAsia="ar" w:bidi="ar-EG"/>
        </w:rPr>
        <w:t>/86/93</w:t>
      </w:r>
      <w:r>
        <w:rPr>
          <w:rFonts w:hint="cs"/>
          <w:sz w:val="26"/>
          <w:szCs w:val="26"/>
          <w:rtl/>
          <w:lang w:eastAsia="ar" w:bidi="ar-EG"/>
        </w:rPr>
        <w:t xml:space="preserve"> إلى الاجتماع السادس والثمانين. وبعد المناقشة، </w:t>
      </w:r>
      <w:r>
        <w:rPr>
          <w:rStyle w:val="FootnoteReference"/>
          <w:sz w:val="26"/>
          <w:szCs w:val="26"/>
          <w:rtl/>
          <w:lang w:eastAsia="ar" w:bidi="ar-EG"/>
        </w:rPr>
        <w:footnoteReference w:id="30"/>
      </w:r>
      <w:r>
        <w:rPr>
          <w:rFonts w:hint="cs"/>
          <w:sz w:val="26"/>
          <w:szCs w:val="26"/>
          <w:rtl/>
          <w:lang w:eastAsia="ar" w:bidi="ar-EG"/>
        </w:rPr>
        <w:t>وافقت اللجنة التنفيذية على إعادة تشكيل فريق الاتصال المعني بكفاءة استخدام الطاقة لمناقشة المسألة باستفاضة، وأن يجتمع فريق الاتصال مرة أخرى بعد اختتام الاجتماع السادس والثمانين الرسمي، ولكن خلال الفترة المتفق عليها لعملية الموافقة الممتدة فيما بين الدورات للاجتماع السادس والثمانين، في 21 أبريل/ نيسان 2021. واتُفق على نشر أي مشروع مقرر يوافق عليه فريق الاتصال على الموقع الشبكي أثناء دورة الاجتماع السادس والثمانين لكي تنظر فيه اللجنة على أساس عدم الاعتراض. وإذا أعرب أي وفد عن اعتراضه على مشروع المقرر، أو إذا لم يتمكن فريق الاتصال من التوصل إلى اتفاق، سيُؤجل النظر في المسألة إلى الاجتماع السابع والثمانين.</w:t>
      </w:r>
    </w:p>
    <w:p w14:paraId="7E0EC478" w14:textId="77777777" w:rsidR="00270123" w:rsidRDefault="00270123" w:rsidP="00270123">
      <w:pPr>
        <w:pStyle w:val="Heading1"/>
        <w:numPr>
          <w:ilvl w:val="0"/>
          <w:numId w:val="23"/>
        </w:numPr>
        <w:bidi/>
        <w:rPr>
          <w:sz w:val="26"/>
          <w:szCs w:val="26"/>
        </w:rPr>
      </w:pPr>
      <w:r>
        <w:rPr>
          <w:rFonts w:hint="cs"/>
          <w:sz w:val="26"/>
          <w:szCs w:val="26"/>
          <w:rtl/>
          <w:lang w:eastAsia="ar" w:bidi="ar-EG"/>
        </w:rPr>
        <w:t>وعقب مناقشة جرت في فريق الاتصال، أبلغ ميسّر الفريق الرئيس بأن الفريق لم يتمكن من التوصل إلى نتيجة.  وقررت اللجنة التنفيذية، بعد ذلك، أن تواصل، في اجتماعها السابع والثمانين، النظر في إطار المشاورات مع الصناديق والمؤسسات المالية ذات الصلة لاستكشاف حشد موارد مالية إضافية للحفاظ على كفاءة استخدام الطاقة أو تعزيزها عند الاستعاضة عن المواد الهيدروفلوروكربونية بمواد تبريد ذات قدرة منخفضة على إحداث الاحترار العالمي في قطاع التبريد وتكييف الهواء، على أساس وثيقة العمل الصادرة عن فريق الاتصال (المقرر 86/94).</w:t>
      </w:r>
    </w:p>
    <w:p w14:paraId="1794320C" w14:textId="77777777" w:rsidR="00270123" w:rsidRDefault="00270123" w:rsidP="00270123">
      <w:pPr>
        <w:jc w:val="left"/>
        <w:rPr>
          <w:sz w:val="26"/>
          <w:szCs w:val="26"/>
        </w:rPr>
        <w:sectPr w:rsidR="00270123">
          <w:headerReference w:type="even" r:id="rId15"/>
          <w:headerReference w:type="default" r:id="rId16"/>
          <w:footerReference w:type="even" r:id="rId17"/>
          <w:footerReference w:type="default" r:id="rId18"/>
          <w:footnotePr>
            <w:numRestart w:val="eachSect"/>
          </w:footnotePr>
          <w:pgSz w:w="12240" w:h="15840"/>
          <w:pgMar w:top="720" w:right="1440" w:bottom="864" w:left="1440" w:header="720" w:footer="475" w:gutter="0"/>
          <w:pgNumType w:start="1"/>
          <w:cols w:space="720"/>
        </w:sectPr>
      </w:pPr>
    </w:p>
    <w:p w14:paraId="2B50B2FA" w14:textId="77777777" w:rsidR="00270123" w:rsidRPr="003D6994" w:rsidRDefault="00270123" w:rsidP="00270123">
      <w:pPr>
        <w:pStyle w:val="StyleHeader4Para4Left0Firstline0"/>
        <w:numPr>
          <w:ilvl w:val="0"/>
          <w:numId w:val="0"/>
        </w:numPr>
        <w:tabs>
          <w:tab w:val="left" w:pos="720"/>
        </w:tabs>
        <w:bidi/>
        <w:jc w:val="center"/>
        <w:rPr>
          <w:b/>
          <w:sz w:val="28"/>
          <w:szCs w:val="28"/>
        </w:rPr>
      </w:pPr>
      <w:r w:rsidRPr="003D6994">
        <w:rPr>
          <w:rFonts w:hint="cs"/>
          <w:b/>
          <w:bCs/>
          <w:sz w:val="28"/>
          <w:szCs w:val="28"/>
          <w:rtl/>
          <w:lang w:eastAsia="ar" w:bidi="ar-EG"/>
        </w:rPr>
        <w:t xml:space="preserve">المرفق الثاني </w:t>
      </w:r>
    </w:p>
    <w:p w14:paraId="51EEF8A3" w14:textId="77777777" w:rsidR="00270123" w:rsidRPr="003D6994" w:rsidRDefault="00270123" w:rsidP="00270123">
      <w:pPr>
        <w:pStyle w:val="StyleHeader4Para4Left0Firstline0"/>
        <w:numPr>
          <w:ilvl w:val="0"/>
          <w:numId w:val="0"/>
        </w:numPr>
        <w:tabs>
          <w:tab w:val="left" w:pos="720"/>
        </w:tabs>
        <w:bidi/>
        <w:jc w:val="center"/>
        <w:rPr>
          <w:b/>
          <w:sz w:val="28"/>
          <w:szCs w:val="28"/>
        </w:rPr>
      </w:pPr>
      <w:r w:rsidRPr="003D6994">
        <w:rPr>
          <w:rFonts w:hint="cs"/>
          <w:b/>
          <w:bCs/>
          <w:sz w:val="28"/>
          <w:szCs w:val="28"/>
          <w:rtl/>
          <w:lang w:eastAsia="ar" w:bidi="ar-EG"/>
        </w:rPr>
        <w:t>المعلومات المطلوبة من المستجيبين</w:t>
      </w:r>
    </w:p>
    <w:tbl>
      <w:tblPr>
        <w:tblStyle w:val="TableGrid"/>
        <w:bidiVisual/>
        <w:tblW w:w="0" w:type="auto"/>
        <w:tblLook w:val="04A0" w:firstRow="1" w:lastRow="0" w:firstColumn="1" w:lastColumn="0" w:noHBand="0" w:noVBand="1"/>
      </w:tblPr>
      <w:tblGrid>
        <w:gridCol w:w="4675"/>
        <w:gridCol w:w="4675"/>
      </w:tblGrid>
      <w:tr w:rsidR="00270123" w14:paraId="34C3D090" w14:textId="77777777" w:rsidTr="00831C9E">
        <w:tc>
          <w:tcPr>
            <w:tcW w:w="4675" w:type="dxa"/>
            <w:tcBorders>
              <w:top w:val="single" w:sz="4" w:space="0" w:color="auto"/>
              <w:left w:val="single" w:sz="4" w:space="0" w:color="auto"/>
              <w:bottom w:val="single" w:sz="4" w:space="0" w:color="auto"/>
              <w:right w:val="single" w:sz="4" w:space="0" w:color="auto"/>
            </w:tcBorders>
          </w:tcPr>
          <w:p w14:paraId="57C55A8F" w14:textId="77777777" w:rsidR="00270123" w:rsidRDefault="00270123" w:rsidP="00831C9E">
            <w:pPr>
              <w:pStyle w:val="Title1"/>
              <w:bidi/>
              <w:jc w:val="both"/>
              <w:rPr>
                <w:b w:val="0"/>
                <w:sz w:val="24"/>
                <w:szCs w:val="24"/>
                <w:u w:val="single"/>
                <w:lang w:val="en-CA"/>
              </w:rPr>
            </w:pPr>
            <w:r>
              <w:rPr>
                <w:rFonts w:hint="cs"/>
                <w:b w:val="0"/>
                <w:sz w:val="24"/>
                <w:szCs w:val="24"/>
                <w:u w:val="single"/>
                <w:rtl/>
                <w:lang w:eastAsia="ar" w:bidi="ar-EG"/>
              </w:rPr>
              <w:t>ا</w:t>
            </w:r>
            <w:r>
              <w:rPr>
                <w:rFonts w:hint="cs"/>
                <w:b w:val="0"/>
                <w:caps w:val="0"/>
                <w:sz w:val="24"/>
                <w:szCs w:val="24"/>
                <w:u w:val="single"/>
                <w:rtl/>
                <w:lang w:eastAsia="ar" w:bidi="ar-EG"/>
              </w:rPr>
              <w:t>سم المؤسسة</w:t>
            </w:r>
            <w:r>
              <w:rPr>
                <w:rFonts w:hint="cs"/>
                <w:b w:val="0"/>
                <w:sz w:val="24"/>
                <w:szCs w:val="24"/>
                <w:u w:val="single"/>
                <w:rtl/>
                <w:lang w:eastAsia="ar" w:bidi="ar-EG"/>
              </w:rPr>
              <w:t>:</w:t>
            </w:r>
          </w:p>
          <w:p w14:paraId="492FF584" w14:textId="77777777" w:rsidR="00270123" w:rsidRDefault="00270123" w:rsidP="00831C9E">
            <w:pPr>
              <w:pStyle w:val="Title1"/>
              <w:bidi/>
              <w:jc w:val="both"/>
              <w:rPr>
                <w:b w:val="0"/>
                <w:sz w:val="24"/>
                <w:szCs w:val="24"/>
                <w:u w:val="single"/>
                <w:lang w:val="en-CA" w:bidi="ar-EG"/>
              </w:rPr>
            </w:pPr>
          </w:p>
        </w:tc>
        <w:tc>
          <w:tcPr>
            <w:tcW w:w="4675" w:type="dxa"/>
            <w:tcBorders>
              <w:top w:val="single" w:sz="4" w:space="0" w:color="auto"/>
              <w:left w:val="single" w:sz="4" w:space="0" w:color="auto"/>
              <w:bottom w:val="single" w:sz="4" w:space="0" w:color="auto"/>
              <w:right w:val="single" w:sz="4" w:space="0" w:color="auto"/>
            </w:tcBorders>
          </w:tcPr>
          <w:p w14:paraId="4FEAB36D" w14:textId="77777777" w:rsidR="00270123" w:rsidRDefault="00270123" w:rsidP="00831C9E">
            <w:pPr>
              <w:pStyle w:val="Title1"/>
              <w:bidi/>
              <w:jc w:val="both"/>
              <w:rPr>
                <w:b w:val="0"/>
                <w:sz w:val="24"/>
                <w:szCs w:val="24"/>
                <w:u w:val="single"/>
                <w:lang w:val="en-CA"/>
              </w:rPr>
            </w:pPr>
            <w:r>
              <w:rPr>
                <w:rFonts w:hint="cs"/>
                <w:b w:val="0"/>
                <w:sz w:val="24"/>
                <w:szCs w:val="24"/>
                <w:u w:val="single"/>
                <w:rtl/>
                <w:lang w:eastAsia="ar" w:bidi="ar-EG"/>
              </w:rPr>
              <w:t>ا</w:t>
            </w:r>
            <w:r>
              <w:rPr>
                <w:rFonts w:hint="cs"/>
                <w:b w:val="0"/>
                <w:caps w:val="0"/>
                <w:sz w:val="24"/>
                <w:szCs w:val="24"/>
                <w:u w:val="single"/>
                <w:rtl/>
                <w:lang w:eastAsia="ar" w:bidi="ar-EG"/>
              </w:rPr>
              <w:t>سم المستجيب مع اللقب</w:t>
            </w:r>
            <w:r>
              <w:rPr>
                <w:rFonts w:hint="cs"/>
                <w:b w:val="0"/>
                <w:sz w:val="24"/>
                <w:szCs w:val="24"/>
                <w:u w:val="single"/>
                <w:rtl/>
                <w:lang w:eastAsia="ar" w:bidi="ar-EG"/>
              </w:rPr>
              <w:t>:</w:t>
            </w:r>
          </w:p>
          <w:p w14:paraId="79F23AB4" w14:textId="77777777" w:rsidR="00270123" w:rsidRDefault="00270123" w:rsidP="00831C9E">
            <w:pPr>
              <w:pStyle w:val="Title1"/>
              <w:bidi/>
              <w:jc w:val="both"/>
              <w:rPr>
                <w:b w:val="0"/>
                <w:sz w:val="24"/>
                <w:szCs w:val="24"/>
                <w:u w:val="single"/>
                <w:lang w:val="en-CA"/>
              </w:rPr>
            </w:pPr>
          </w:p>
          <w:p w14:paraId="5CC310FD" w14:textId="77777777" w:rsidR="00270123" w:rsidRDefault="00270123" w:rsidP="00831C9E">
            <w:pPr>
              <w:pStyle w:val="Title1"/>
              <w:bidi/>
              <w:jc w:val="both"/>
              <w:rPr>
                <w:b w:val="0"/>
                <w:sz w:val="24"/>
                <w:szCs w:val="24"/>
                <w:u w:val="single"/>
                <w:lang w:val="en-CA"/>
              </w:rPr>
            </w:pPr>
          </w:p>
          <w:p w14:paraId="426F8EA7" w14:textId="77777777" w:rsidR="00270123" w:rsidRDefault="00270123" w:rsidP="00831C9E">
            <w:pPr>
              <w:pStyle w:val="Title1"/>
              <w:bidi/>
              <w:jc w:val="both"/>
              <w:rPr>
                <w:b w:val="0"/>
                <w:sz w:val="24"/>
                <w:szCs w:val="24"/>
                <w:u w:val="single"/>
                <w:lang w:val="en-CA"/>
              </w:rPr>
            </w:pPr>
          </w:p>
          <w:p w14:paraId="4CC08737" w14:textId="77777777" w:rsidR="00270123" w:rsidRDefault="00270123" w:rsidP="00831C9E">
            <w:pPr>
              <w:pStyle w:val="Title1"/>
              <w:bidi/>
              <w:jc w:val="both"/>
              <w:rPr>
                <w:b w:val="0"/>
                <w:sz w:val="24"/>
                <w:szCs w:val="24"/>
                <w:u w:val="single"/>
                <w:lang w:val="en-CA"/>
              </w:rPr>
            </w:pPr>
          </w:p>
          <w:p w14:paraId="11102E10" w14:textId="77777777" w:rsidR="00270123" w:rsidRDefault="00270123" w:rsidP="00831C9E">
            <w:pPr>
              <w:pStyle w:val="Title1"/>
              <w:bidi/>
              <w:jc w:val="both"/>
              <w:rPr>
                <w:b w:val="0"/>
                <w:sz w:val="24"/>
                <w:szCs w:val="24"/>
                <w:u w:val="single"/>
                <w:lang w:val="en-CA"/>
              </w:rPr>
            </w:pPr>
          </w:p>
        </w:tc>
      </w:tr>
      <w:tr w:rsidR="00270123" w14:paraId="1605601E" w14:textId="77777777" w:rsidTr="00831C9E">
        <w:tc>
          <w:tcPr>
            <w:tcW w:w="4675" w:type="dxa"/>
            <w:tcBorders>
              <w:top w:val="single" w:sz="4" w:space="0" w:color="auto"/>
              <w:left w:val="single" w:sz="4" w:space="0" w:color="auto"/>
              <w:bottom w:val="single" w:sz="4" w:space="0" w:color="auto"/>
              <w:right w:val="single" w:sz="4" w:space="0" w:color="auto"/>
            </w:tcBorders>
            <w:hideMark/>
          </w:tcPr>
          <w:p w14:paraId="5724F95B" w14:textId="77777777" w:rsidR="00270123" w:rsidRDefault="00270123" w:rsidP="00831C9E">
            <w:pPr>
              <w:pStyle w:val="Title1"/>
              <w:bidi/>
              <w:jc w:val="both"/>
              <w:rPr>
                <w:b w:val="0"/>
                <w:sz w:val="24"/>
                <w:szCs w:val="24"/>
                <w:u w:val="single"/>
                <w:lang w:val="en-CA"/>
              </w:rPr>
            </w:pPr>
            <w:r>
              <w:rPr>
                <w:rFonts w:hint="cs"/>
                <w:b w:val="0"/>
                <w:sz w:val="24"/>
                <w:szCs w:val="24"/>
                <w:u w:val="single"/>
                <w:rtl/>
                <w:lang w:eastAsia="ar" w:bidi="ar-EG"/>
              </w:rPr>
              <w:t>ا</w:t>
            </w:r>
            <w:r>
              <w:rPr>
                <w:rFonts w:hint="cs"/>
                <w:b w:val="0"/>
                <w:caps w:val="0"/>
                <w:sz w:val="24"/>
                <w:szCs w:val="24"/>
                <w:u w:val="single"/>
                <w:rtl/>
                <w:lang w:eastAsia="ar" w:bidi="ar-EG"/>
              </w:rPr>
              <w:t>لعنوان</w:t>
            </w:r>
            <w:r>
              <w:rPr>
                <w:rFonts w:hint="cs"/>
                <w:b w:val="0"/>
                <w:sz w:val="24"/>
                <w:szCs w:val="24"/>
                <w:u w:val="single"/>
                <w:rtl/>
                <w:lang w:eastAsia="ar" w:bidi="ar-EG"/>
              </w:rPr>
              <w:t>:</w:t>
            </w:r>
          </w:p>
        </w:tc>
        <w:tc>
          <w:tcPr>
            <w:tcW w:w="4675" w:type="dxa"/>
            <w:tcBorders>
              <w:top w:val="single" w:sz="4" w:space="0" w:color="auto"/>
              <w:left w:val="single" w:sz="4" w:space="0" w:color="auto"/>
              <w:bottom w:val="single" w:sz="4" w:space="0" w:color="auto"/>
              <w:right w:val="single" w:sz="4" w:space="0" w:color="auto"/>
            </w:tcBorders>
          </w:tcPr>
          <w:p w14:paraId="407EF81E" w14:textId="77777777" w:rsidR="00270123" w:rsidRDefault="00270123" w:rsidP="00831C9E">
            <w:pPr>
              <w:pStyle w:val="Title1"/>
              <w:bidi/>
              <w:jc w:val="both"/>
              <w:rPr>
                <w:b w:val="0"/>
                <w:sz w:val="24"/>
                <w:szCs w:val="24"/>
                <w:u w:val="single"/>
                <w:lang w:val="en-CA"/>
              </w:rPr>
            </w:pPr>
            <w:r>
              <w:rPr>
                <w:rFonts w:hint="cs"/>
                <w:b w:val="0"/>
                <w:sz w:val="24"/>
                <w:szCs w:val="24"/>
                <w:u w:val="single"/>
                <w:rtl/>
                <w:lang w:eastAsia="ar" w:bidi="ar-EG"/>
              </w:rPr>
              <w:t>م</w:t>
            </w:r>
            <w:r>
              <w:rPr>
                <w:rFonts w:hint="cs"/>
                <w:b w:val="0"/>
                <w:caps w:val="0"/>
                <w:sz w:val="24"/>
                <w:szCs w:val="24"/>
                <w:u w:val="single"/>
                <w:rtl/>
                <w:lang w:eastAsia="ar" w:bidi="ar-EG"/>
              </w:rPr>
              <w:t>عرّف البريد الإلكتروني ورقم هاتف المستجيب</w:t>
            </w:r>
            <w:r>
              <w:rPr>
                <w:rFonts w:hint="cs"/>
                <w:b w:val="0"/>
                <w:sz w:val="24"/>
                <w:szCs w:val="24"/>
                <w:u w:val="single"/>
                <w:rtl/>
                <w:lang w:eastAsia="ar" w:bidi="ar-EG"/>
              </w:rPr>
              <w:t>:</w:t>
            </w:r>
          </w:p>
          <w:p w14:paraId="62016B7E" w14:textId="77777777" w:rsidR="00270123" w:rsidRDefault="00270123" w:rsidP="00831C9E">
            <w:pPr>
              <w:pStyle w:val="Title1"/>
              <w:bidi/>
              <w:jc w:val="both"/>
              <w:rPr>
                <w:b w:val="0"/>
                <w:sz w:val="24"/>
                <w:szCs w:val="24"/>
                <w:u w:val="single"/>
                <w:lang w:val="en-CA"/>
              </w:rPr>
            </w:pPr>
          </w:p>
          <w:p w14:paraId="6B859D62" w14:textId="77777777" w:rsidR="00270123" w:rsidRDefault="00270123" w:rsidP="00831C9E">
            <w:pPr>
              <w:pStyle w:val="Title1"/>
              <w:bidi/>
              <w:jc w:val="both"/>
              <w:rPr>
                <w:b w:val="0"/>
                <w:sz w:val="24"/>
                <w:szCs w:val="24"/>
                <w:u w:val="single"/>
                <w:lang w:val="en-CA"/>
              </w:rPr>
            </w:pPr>
          </w:p>
          <w:p w14:paraId="7FF3A5EB" w14:textId="77777777" w:rsidR="00270123" w:rsidRDefault="00270123" w:rsidP="00831C9E">
            <w:pPr>
              <w:pStyle w:val="Title1"/>
              <w:bidi/>
              <w:jc w:val="both"/>
              <w:rPr>
                <w:b w:val="0"/>
                <w:sz w:val="24"/>
                <w:szCs w:val="24"/>
                <w:u w:val="single"/>
                <w:lang w:val="en-CA"/>
              </w:rPr>
            </w:pPr>
          </w:p>
          <w:p w14:paraId="4131292C" w14:textId="77777777" w:rsidR="00270123" w:rsidRDefault="00270123" w:rsidP="00831C9E">
            <w:pPr>
              <w:pStyle w:val="Title1"/>
              <w:bidi/>
              <w:jc w:val="both"/>
              <w:rPr>
                <w:b w:val="0"/>
                <w:sz w:val="24"/>
                <w:szCs w:val="24"/>
                <w:u w:val="single"/>
                <w:lang w:val="en-CA"/>
              </w:rPr>
            </w:pPr>
          </w:p>
        </w:tc>
      </w:tr>
      <w:tr w:rsidR="00270123" w14:paraId="7CFC9EDC" w14:textId="77777777" w:rsidTr="00831C9E">
        <w:trPr>
          <w:trHeight w:val="287"/>
        </w:trPr>
        <w:tc>
          <w:tcPr>
            <w:tcW w:w="4675" w:type="dxa"/>
            <w:tcBorders>
              <w:top w:val="single" w:sz="4" w:space="0" w:color="auto"/>
              <w:left w:val="single" w:sz="4" w:space="0" w:color="auto"/>
              <w:bottom w:val="single" w:sz="4" w:space="0" w:color="auto"/>
              <w:right w:val="single" w:sz="4" w:space="0" w:color="auto"/>
            </w:tcBorders>
            <w:hideMark/>
          </w:tcPr>
          <w:p w14:paraId="67451E49" w14:textId="77777777" w:rsidR="00270123" w:rsidRDefault="00270123" w:rsidP="00831C9E">
            <w:pPr>
              <w:pStyle w:val="Title1"/>
              <w:bidi/>
              <w:jc w:val="both"/>
              <w:rPr>
                <w:b w:val="0"/>
                <w:sz w:val="24"/>
                <w:szCs w:val="24"/>
                <w:u w:val="single"/>
                <w:lang w:val="en-CA"/>
              </w:rPr>
            </w:pPr>
            <w:r>
              <w:rPr>
                <w:rFonts w:hint="cs"/>
                <w:b w:val="0"/>
                <w:sz w:val="24"/>
                <w:szCs w:val="24"/>
                <w:u w:val="single"/>
                <w:rtl/>
                <w:lang w:eastAsia="ar" w:bidi="ar-EG"/>
              </w:rPr>
              <w:t>ال</w:t>
            </w:r>
            <w:r>
              <w:rPr>
                <w:rFonts w:hint="cs"/>
                <w:b w:val="0"/>
                <w:caps w:val="0"/>
                <w:sz w:val="24"/>
                <w:szCs w:val="24"/>
                <w:u w:val="single"/>
                <w:rtl/>
                <w:lang w:eastAsia="ar" w:bidi="ar-EG"/>
              </w:rPr>
              <w:t>تاريخ</w:t>
            </w:r>
            <w:r>
              <w:rPr>
                <w:rFonts w:hint="cs"/>
                <w:b w:val="0"/>
                <w:sz w:val="24"/>
                <w:szCs w:val="24"/>
                <w:u w:val="single"/>
                <w:rtl/>
                <w:lang w:eastAsia="ar" w:bidi="ar-EG"/>
              </w:rPr>
              <w:t>:</w:t>
            </w:r>
          </w:p>
        </w:tc>
        <w:tc>
          <w:tcPr>
            <w:tcW w:w="4675" w:type="dxa"/>
            <w:tcBorders>
              <w:top w:val="single" w:sz="4" w:space="0" w:color="auto"/>
              <w:left w:val="single" w:sz="4" w:space="0" w:color="auto"/>
              <w:bottom w:val="single" w:sz="4" w:space="0" w:color="auto"/>
              <w:right w:val="single" w:sz="4" w:space="0" w:color="auto"/>
            </w:tcBorders>
          </w:tcPr>
          <w:p w14:paraId="61A7C9FB" w14:textId="77777777" w:rsidR="00270123" w:rsidRDefault="00270123" w:rsidP="00831C9E">
            <w:pPr>
              <w:pStyle w:val="Title1"/>
              <w:bidi/>
              <w:jc w:val="both"/>
              <w:rPr>
                <w:b w:val="0"/>
                <w:sz w:val="24"/>
                <w:szCs w:val="24"/>
                <w:u w:val="single"/>
                <w:lang w:val="en-CA"/>
              </w:rPr>
            </w:pPr>
          </w:p>
        </w:tc>
      </w:tr>
    </w:tbl>
    <w:p w14:paraId="026767B8" w14:textId="77777777" w:rsidR="00270123" w:rsidRDefault="00270123" w:rsidP="00270123">
      <w:pPr>
        <w:pStyle w:val="0Heading0"/>
        <w:bidi/>
        <w:jc w:val="both"/>
        <w:rPr>
          <w:sz w:val="26"/>
          <w:szCs w:val="26"/>
          <w:lang w:val="en-CA" w:eastAsia="ar-EG"/>
        </w:rPr>
      </w:pPr>
    </w:p>
    <w:p w14:paraId="5402B2D1" w14:textId="77777777" w:rsidR="00270123" w:rsidRDefault="00270123" w:rsidP="00270123">
      <w:pPr>
        <w:pStyle w:val="Heading1"/>
        <w:numPr>
          <w:ilvl w:val="0"/>
          <w:numId w:val="28"/>
        </w:numPr>
        <w:tabs>
          <w:tab w:val="num" w:pos="360"/>
          <w:tab w:val="left" w:pos="720"/>
        </w:tabs>
        <w:bidi/>
        <w:ind w:left="426" w:hanging="426"/>
        <w:rPr>
          <w:sz w:val="26"/>
          <w:szCs w:val="26"/>
          <w:lang w:val="en-CA"/>
        </w:rPr>
      </w:pPr>
      <w:r>
        <w:rPr>
          <w:rFonts w:hint="cs"/>
          <w:sz w:val="26"/>
          <w:szCs w:val="26"/>
          <w:rtl/>
          <w:lang w:eastAsia="ar" w:bidi="ar-EG"/>
        </w:rPr>
        <w:t>يُرجى توضيح إذا كانت مؤسستك تقدم التمويل لتدابير تعزيز كفاءة استخدام الطاقة في تطبيقات التبريد وتكييف الهواء والمضخات الحرارية وتطبيقات الرغاوي.  يمكن أن يكون هذا ضمن فرصة محددة للتطبيقات المذكورة أو فرص التمويل الأخرى (مثل، الفرص المتعلقة بتغير المناخ والمتعلقة بكفاءة الطاقة).</w:t>
      </w:r>
    </w:p>
    <w:p w14:paraId="58C17E8E" w14:textId="77777777" w:rsidR="00270123" w:rsidRDefault="00270123" w:rsidP="00270123">
      <w:pPr>
        <w:bidi/>
        <w:rPr>
          <w:sz w:val="26"/>
          <w:szCs w:val="26"/>
          <w:lang w:eastAsia="en-CA"/>
        </w:rPr>
      </w:pPr>
    </w:p>
    <w:p w14:paraId="1220E076" w14:textId="77777777" w:rsidR="00270123" w:rsidRDefault="00270123" w:rsidP="00270123">
      <w:pPr>
        <w:pStyle w:val="Heading1"/>
        <w:numPr>
          <w:ilvl w:val="0"/>
          <w:numId w:val="28"/>
        </w:numPr>
        <w:tabs>
          <w:tab w:val="num" w:pos="360"/>
          <w:tab w:val="left" w:pos="720"/>
        </w:tabs>
        <w:bidi/>
        <w:ind w:left="426" w:hanging="426"/>
        <w:rPr>
          <w:sz w:val="26"/>
          <w:szCs w:val="26"/>
          <w:lang w:eastAsia="en-CA"/>
        </w:rPr>
      </w:pPr>
      <w:r>
        <w:rPr>
          <w:rFonts w:hint="cs"/>
          <w:sz w:val="26"/>
          <w:szCs w:val="26"/>
          <w:rtl/>
          <w:lang w:eastAsia="ar" w:bidi="ar-EG"/>
        </w:rPr>
        <w:t xml:space="preserve">يرجى تقديم معلومات عن أنواع أدوات التمويل المتوافرة في مؤسستك لتمويل كفاءة استخدام الطاقة في تطبيقات التبريد وتكييف الهواء والمضخات الحرارية وتطبيقات الرغاوي. </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9"/>
        <w:gridCol w:w="992"/>
        <w:gridCol w:w="2839"/>
      </w:tblGrid>
      <w:tr w:rsidR="00270123" w14:paraId="1DFFDC5F" w14:textId="77777777" w:rsidTr="00831C9E">
        <w:tc>
          <w:tcPr>
            <w:tcW w:w="552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24FBE4D" w14:textId="77777777" w:rsidR="00270123" w:rsidRDefault="00270123" w:rsidP="00831C9E">
            <w:pPr>
              <w:bidi/>
              <w:rPr>
                <w:szCs w:val="24"/>
                <w:lang w:eastAsia="en-CA"/>
              </w:rPr>
            </w:pPr>
            <w:r>
              <w:rPr>
                <w:rFonts w:hint="cs"/>
                <w:b/>
                <w:bCs/>
                <w:color w:val="000000"/>
                <w:szCs w:val="24"/>
                <w:rtl/>
                <w:lang w:eastAsia="ar" w:bidi="ar-EG"/>
              </w:rPr>
              <w:t>مصدر الأموال</w:t>
            </w:r>
          </w:p>
        </w:tc>
        <w:tc>
          <w:tcPr>
            <w:tcW w:w="9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84442A0" w14:textId="77777777" w:rsidR="00270123" w:rsidRDefault="00270123" w:rsidP="00831C9E">
            <w:pPr>
              <w:bidi/>
              <w:rPr>
                <w:szCs w:val="24"/>
                <w:lang w:eastAsia="en-CA"/>
              </w:rPr>
            </w:pPr>
            <w:r>
              <w:rPr>
                <w:rFonts w:hint="cs"/>
                <w:b/>
                <w:bCs/>
                <w:color w:val="000000"/>
                <w:szCs w:val="24"/>
                <w:rtl/>
                <w:lang w:eastAsia="ar" w:bidi="ar-EG"/>
              </w:rPr>
              <w:t>نعم/لا</w:t>
            </w:r>
          </w:p>
        </w:tc>
        <w:tc>
          <w:tcPr>
            <w:tcW w:w="2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DBCC5E0" w14:textId="77777777" w:rsidR="00270123" w:rsidRDefault="00270123" w:rsidP="00831C9E">
            <w:pPr>
              <w:bidi/>
              <w:rPr>
                <w:szCs w:val="24"/>
                <w:lang w:eastAsia="en-CA"/>
              </w:rPr>
            </w:pPr>
            <w:r>
              <w:rPr>
                <w:rFonts w:hint="cs"/>
                <w:b/>
                <w:bCs/>
                <w:color w:val="000000"/>
                <w:szCs w:val="24"/>
                <w:rtl/>
                <w:lang w:eastAsia="ar" w:bidi="ar-EG"/>
              </w:rPr>
              <w:t>مستوى الأموال المخصص (بالدولار الأمريكي) (إن وُجد)</w:t>
            </w:r>
          </w:p>
        </w:tc>
      </w:tr>
      <w:tr w:rsidR="00270123" w14:paraId="6625CCC6" w14:textId="77777777" w:rsidTr="00831C9E">
        <w:tc>
          <w:tcPr>
            <w:tcW w:w="552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BB5F29D" w14:textId="77777777" w:rsidR="00270123" w:rsidRDefault="00270123" w:rsidP="00831C9E">
            <w:pPr>
              <w:bidi/>
              <w:rPr>
                <w:szCs w:val="24"/>
                <w:lang w:eastAsia="en-CA"/>
              </w:rPr>
            </w:pPr>
            <w:r>
              <w:rPr>
                <w:rFonts w:hint="cs"/>
                <w:color w:val="000000"/>
                <w:szCs w:val="24"/>
                <w:rtl/>
                <w:lang w:eastAsia="ar" w:bidi="ar-EG"/>
              </w:rPr>
              <w:t>المنح</w:t>
            </w:r>
          </w:p>
        </w:tc>
        <w:tc>
          <w:tcPr>
            <w:tcW w:w="9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E296387" w14:textId="77777777" w:rsidR="00270123" w:rsidRDefault="00270123" w:rsidP="00831C9E">
            <w:pPr>
              <w:rPr>
                <w:szCs w:val="24"/>
                <w:lang w:eastAsia="en-CA"/>
              </w:rPr>
            </w:pPr>
          </w:p>
        </w:tc>
        <w:tc>
          <w:tcPr>
            <w:tcW w:w="2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64DBFA7F" w14:textId="77777777" w:rsidR="00270123" w:rsidRDefault="00270123" w:rsidP="00831C9E">
            <w:pPr>
              <w:bidi/>
              <w:jc w:val="left"/>
              <w:rPr>
                <w:sz w:val="20"/>
                <w:lang w:val="en-US"/>
              </w:rPr>
            </w:pPr>
          </w:p>
        </w:tc>
      </w:tr>
      <w:tr w:rsidR="00270123" w14:paraId="2EBC4AF0" w14:textId="77777777" w:rsidTr="00831C9E">
        <w:tc>
          <w:tcPr>
            <w:tcW w:w="552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532DC4AF" w14:textId="77777777" w:rsidR="00270123" w:rsidRDefault="00270123" w:rsidP="00831C9E">
            <w:pPr>
              <w:bidi/>
              <w:rPr>
                <w:szCs w:val="24"/>
                <w:lang w:val="en-CA" w:eastAsia="en-CA"/>
              </w:rPr>
            </w:pPr>
            <w:r>
              <w:rPr>
                <w:rFonts w:hint="cs"/>
                <w:color w:val="000000"/>
                <w:szCs w:val="24"/>
                <w:rtl/>
                <w:lang w:eastAsia="ar" w:bidi="ar-EG"/>
              </w:rPr>
              <w:t>الاستثمارات في الأسهم</w:t>
            </w:r>
          </w:p>
        </w:tc>
        <w:tc>
          <w:tcPr>
            <w:tcW w:w="9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DDF57FA" w14:textId="77777777" w:rsidR="00270123" w:rsidRDefault="00270123" w:rsidP="00831C9E">
            <w:pPr>
              <w:rPr>
                <w:szCs w:val="24"/>
                <w:lang w:eastAsia="en-CA"/>
              </w:rPr>
            </w:pPr>
          </w:p>
        </w:tc>
        <w:tc>
          <w:tcPr>
            <w:tcW w:w="2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C3EC29A" w14:textId="77777777" w:rsidR="00270123" w:rsidRDefault="00270123" w:rsidP="00831C9E">
            <w:pPr>
              <w:bidi/>
              <w:jc w:val="left"/>
              <w:rPr>
                <w:sz w:val="20"/>
                <w:lang w:val="en-US"/>
              </w:rPr>
            </w:pPr>
          </w:p>
        </w:tc>
      </w:tr>
      <w:tr w:rsidR="00270123" w14:paraId="53A303BB" w14:textId="77777777" w:rsidTr="00831C9E">
        <w:tc>
          <w:tcPr>
            <w:tcW w:w="552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893AD7C" w14:textId="77777777" w:rsidR="00270123" w:rsidRDefault="00270123" w:rsidP="00831C9E">
            <w:pPr>
              <w:tabs>
                <w:tab w:val="left" w:pos="3375"/>
              </w:tabs>
              <w:bidi/>
              <w:rPr>
                <w:szCs w:val="24"/>
                <w:lang w:val="en-CA" w:eastAsia="en-CA"/>
              </w:rPr>
            </w:pPr>
            <w:r>
              <w:rPr>
                <w:rFonts w:hint="cs"/>
                <w:color w:val="000000"/>
                <w:szCs w:val="24"/>
                <w:rtl/>
                <w:lang w:eastAsia="ar" w:bidi="ar-EG"/>
              </w:rPr>
              <w:t>أدوات الدين بما في ذلك القروض التي تشمل الإقراض الميسر</w:t>
            </w:r>
            <w:r>
              <w:rPr>
                <w:rFonts w:hint="cs"/>
                <w:color w:val="000000"/>
                <w:szCs w:val="24"/>
                <w:rtl/>
                <w:lang w:eastAsia="ar" w:bidi="ar-EG"/>
              </w:rPr>
              <w:tab/>
            </w:r>
          </w:p>
        </w:tc>
        <w:tc>
          <w:tcPr>
            <w:tcW w:w="9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4732EC9" w14:textId="77777777" w:rsidR="00270123" w:rsidRDefault="00270123" w:rsidP="00831C9E">
            <w:pPr>
              <w:rPr>
                <w:szCs w:val="24"/>
                <w:lang w:eastAsia="en-CA"/>
              </w:rPr>
            </w:pPr>
          </w:p>
        </w:tc>
        <w:tc>
          <w:tcPr>
            <w:tcW w:w="2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1D6AC75" w14:textId="77777777" w:rsidR="00270123" w:rsidRDefault="00270123" w:rsidP="00831C9E">
            <w:pPr>
              <w:bidi/>
              <w:jc w:val="left"/>
              <w:rPr>
                <w:sz w:val="20"/>
                <w:lang w:val="en-US"/>
              </w:rPr>
            </w:pPr>
          </w:p>
        </w:tc>
      </w:tr>
      <w:tr w:rsidR="00270123" w14:paraId="18DDAA14" w14:textId="77777777" w:rsidTr="00831C9E">
        <w:tc>
          <w:tcPr>
            <w:tcW w:w="552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FD30742" w14:textId="77777777" w:rsidR="00270123" w:rsidRDefault="00270123" w:rsidP="00831C9E">
            <w:pPr>
              <w:bidi/>
              <w:rPr>
                <w:szCs w:val="24"/>
                <w:lang w:val="en-CA" w:eastAsia="en-CA"/>
              </w:rPr>
            </w:pPr>
            <w:r>
              <w:rPr>
                <w:rFonts w:hint="cs"/>
                <w:color w:val="000000"/>
                <w:szCs w:val="24"/>
                <w:rtl/>
                <w:lang w:eastAsia="ar" w:bidi="ar-EG"/>
              </w:rPr>
              <w:t>ضمانات الأداء (مثل أداء التبريد، وأداء الطاقة)</w:t>
            </w:r>
          </w:p>
        </w:tc>
        <w:tc>
          <w:tcPr>
            <w:tcW w:w="9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DCA3F26" w14:textId="77777777" w:rsidR="00270123" w:rsidRDefault="00270123" w:rsidP="00831C9E">
            <w:pPr>
              <w:rPr>
                <w:szCs w:val="24"/>
                <w:lang w:eastAsia="en-CA"/>
              </w:rPr>
            </w:pPr>
          </w:p>
        </w:tc>
        <w:tc>
          <w:tcPr>
            <w:tcW w:w="2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62E57C47" w14:textId="77777777" w:rsidR="00270123" w:rsidRDefault="00270123" w:rsidP="00831C9E">
            <w:pPr>
              <w:bidi/>
              <w:jc w:val="left"/>
              <w:rPr>
                <w:sz w:val="20"/>
                <w:lang w:val="en-US"/>
              </w:rPr>
            </w:pPr>
          </w:p>
        </w:tc>
      </w:tr>
      <w:tr w:rsidR="00270123" w14:paraId="7ADE20BA" w14:textId="77777777" w:rsidTr="00831C9E">
        <w:tc>
          <w:tcPr>
            <w:tcW w:w="552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AD28587" w14:textId="77777777" w:rsidR="00270123" w:rsidRDefault="00270123" w:rsidP="00831C9E">
            <w:pPr>
              <w:bidi/>
              <w:rPr>
                <w:szCs w:val="24"/>
                <w:lang w:val="en-CA" w:eastAsia="en-CA"/>
              </w:rPr>
            </w:pPr>
            <w:r>
              <w:rPr>
                <w:rFonts w:hint="cs"/>
                <w:color w:val="000000"/>
                <w:szCs w:val="24"/>
                <w:rtl/>
                <w:lang w:eastAsia="ar" w:bidi="ar-EG"/>
              </w:rPr>
              <w:t xml:space="preserve">أخرى (يرجى تضمينها إذا كانت متوافرة) </w:t>
            </w:r>
          </w:p>
        </w:tc>
        <w:tc>
          <w:tcPr>
            <w:tcW w:w="992"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95951BA" w14:textId="77777777" w:rsidR="00270123" w:rsidRDefault="00270123" w:rsidP="00831C9E">
            <w:pPr>
              <w:rPr>
                <w:szCs w:val="24"/>
                <w:lang w:eastAsia="en-CA"/>
              </w:rPr>
            </w:pPr>
          </w:p>
        </w:tc>
        <w:tc>
          <w:tcPr>
            <w:tcW w:w="2839"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A12391" w14:textId="77777777" w:rsidR="00270123" w:rsidRDefault="00270123" w:rsidP="00831C9E">
            <w:pPr>
              <w:bidi/>
              <w:jc w:val="left"/>
              <w:rPr>
                <w:sz w:val="20"/>
                <w:lang w:val="en-US"/>
              </w:rPr>
            </w:pPr>
          </w:p>
        </w:tc>
      </w:tr>
    </w:tbl>
    <w:p w14:paraId="369A8279" w14:textId="77777777" w:rsidR="00270123" w:rsidRDefault="00270123" w:rsidP="00270123">
      <w:pPr>
        <w:pStyle w:val="ListParagraph"/>
        <w:bidi/>
        <w:ind w:left="360"/>
        <w:rPr>
          <w:color w:val="000000"/>
          <w:sz w:val="26"/>
          <w:szCs w:val="26"/>
          <w:lang w:val="en-CA" w:eastAsia="en-CA"/>
        </w:rPr>
      </w:pPr>
    </w:p>
    <w:p w14:paraId="608C32F2" w14:textId="77777777" w:rsidR="00270123" w:rsidRDefault="00270123" w:rsidP="00270123">
      <w:pPr>
        <w:pStyle w:val="Heading1"/>
        <w:numPr>
          <w:ilvl w:val="0"/>
          <w:numId w:val="28"/>
        </w:numPr>
        <w:tabs>
          <w:tab w:val="num" w:pos="360"/>
          <w:tab w:val="left" w:pos="720"/>
        </w:tabs>
        <w:bidi/>
        <w:ind w:left="426" w:hanging="426"/>
        <w:rPr>
          <w:sz w:val="26"/>
          <w:szCs w:val="26"/>
          <w:lang w:val="en-CA" w:eastAsia="en-CA"/>
        </w:rPr>
      </w:pPr>
      <w:r>
        <w:rPr>
          <w:rFonts w:hint="cs"/>
          <w:sz w:val="26"/>
          <w:szCs w:val="26"/>
          <w:rtl/>
          <w:lang w:eastAsia="ar" w:bidi="ar-EG"/>
        </w:rPr>
        <w:t>يرجى تقديم معلومات حول وجود حد أدنى للتمويل (إن وُجد) من عدمه، سيكون ضرورياً للمشروعات التي ستنظر فيها مؤسستك للتمويل في التطبيقات المذكورة أعلاه.</w:t>
      </w:r>
    </w:p>
    <w:p w14:paraId="7D8B69B1" w14:textId="77777777" w:rsidR="00270123" w:rsidRDefault="00270123" w:rsidP="00270123">
      <w:pPr>
        <w:pStyle w:val="0Heading0"/>
        <w:bidi/>
        <w:ind w:left="360"/>
        <w:jc w:val="both"/>
        <w:rPr>
          <w:sz w:val="26"/>
          <w:szCs w:val="26"/>
          <w:lang w:val="en-CA" w:eastAsia="en-CA"/>
        </w:rPr>
      </w:pPr>
    </w:p>
    <w:p w14:paraId="6862AE33" w14:textId="77777777" w:rsidR="00270123" w:rsidRDefault="00270123" w:rsidP="00270123">
      <w:pPr>
        <w:bidi/>
        <w:ind w:left="360"/>
        <w:rPr>
          <w:sz w:val="26"/>
          <w:szCs w:val="26"/>
          <w:lang w:val="en-CA" w:eastAsia="en-CA"/>
        </w:rPr>
      </w:pPr>
    </w:p>
    <w:p w14:paraId="2CC1C0F5" w14:textId="77777777" w:rsidR="00270123" w:rsidRDefault="00270123" w:rsidP="00270123">
      <w:pPr>
        <w:pStyle w:val="0Heading0"/>
        <w:bidi/>
        <w:ind w:left="360"/>
        <w:jc w:val="both"/>
        <w:rPr>
          <w:sz w:val="26"/>
          <w:szCs w:val="26"/>
          <w:lang w:val="en-CA" w:eastAsia="en-CA"/>
        </w:rPr>
      </w:pPr>
    </w:p>
    <w:p w14:paraId="20143619" w14:textId="77777777" w:rsidR="00270123" w:rsidRDefault="00270123" w:rsidP="00270123">
      <w:pPr>
        <w:pStyle w:val="Heading1"/>
        <w:numPr>
          <w:ilvl w:val="0"/>
          <w:numId w:val="28"/>
        </w:numPr>
        <w:tabs>
          <w:tab w:val="num" w:pos="360"/>
          <w:tab w:val="left" w:pos="720"/>
        </w:tabs>
        <w:bidi/>
        <w:ind w:left="426" w:hanging="426"/>
        <w:rPr>
          <w:sz w:val="26"/>
          <w:szCs w:val="26"/>
          <w:lang w:val="en-CA" w:eastAsia="en-CA"/>
        </w:rPr>
      </w:pPr>
      <w:r>
        <w:rPr>
          <w:rFonts w:hint="cs"/>
          <w:sz w:val="26"/>
          <w:szCs w:val="26"/>
          <w:rtl/>
          <w:lang w:eastAsia="ar" w:bidi="ar-EG"/>
        </w:rPr>
        <w:t>هل لدى مؤسستك أموال منح مخصصة يمكن تقديمها لمؤسسات خارجية متعددة الأطراف أخرى مثل الصندوق المتعدد الأطراف لتمويل كفاءة استخدام الطاقة في تطبيقات التبريد وتكييف الهواء والمضخات الحرارية وتطبيقات الرغاوي.   إذا كانت الإجابة بنعم، يرجى تقديم معلومات عن أموال المنح المذكورة.</w:t>
      </w:r>
    </w:p>
    <w:p w14:paraId="426C0E4F" w14:textId="77777777" w:rsidR="00270123" w:rsidRDefault="00270123" w:rsidP="00270123">
      <w:pPr>
        <w:bidi/>
        <w:ind w:left="360"/>
        <w:rPr>
          <w:color w:val="000000"/>
          <w:sz w:val="26"/>
          <w:szCs w:val="26"/>
          <w:lang w:eastAsia="en-CA"/>
        </w:rPr>
      </w:pPr>
    </w:p>
    <w:p w14:paraId="466DD380" w14:textId="77777777" w:rsidR="00270123" w:rsidRDefault="00270123" w:rsidP="00270123">
      <w:pPr>
        <w:bidi/>
        <w:ind w:left="360"/>
        <w:rPr>
          <w:color w:val="000000"/>
          <w:sz w:val="26"/>
          <w:szCs w:val="26"/>
          <w:lang w:eastAsia="en-CA"/>
        </w:rPr>
      </w:pPr>
    </w:p>
    <w:p w14:paraId="7E57B76E" w14:textId="77777777" w:rsidR="00270123" w:rsidRDefault="00270123" w:rsidP="00270123">
      <w:pPr>
        <w:pStyle w:val="Heading1"/>
        <w:numPr>
          <w:ilvl w:val="0"/>
          <w:numId w:val="28"/>
        </w:numPr>
        <w:tabs>
          <w:tab w:val="num" w:pos="360"/>
          <w:tab w:val="left" w:pos="720"/>
        </w:tabs>
        <w:bidi/>
        <w:ind w:left="426" w:hanging="426"/>
        <w:rPr>
          <w:sz w:val="26"/>
          <w:szCs w:val="26"/>
          <w:lang w:eastAsia="en-CA"/>
        </w:rPr>
      </w:pPr>
      <w:r>
        <w:rPr>
          <w:rFonts w:hint="cs"/>
          <w:sz w:val="26"/>
          <w:szCs w:val="26"/>
          <w:rtl/>
          <w:lang w:eastAsia="ar" w:bidi="ar-EG"/>
        </w:rPr>
        <w:t xml:space="preserve">يرجى تقديم معلومات حول استخدام مؤسستك للـ «[تمويل] المختلط»، بغرض التمويل، للمشروعات التي تشمل تطبيقات التبريد وتكييف الهواء والمضخات الحرارية وتطبيقات الرغاوي المذكورة أعلاه، من حيث </w:t>
      </w:r>
      <w:r>
        <w:rPr>
          <w:rFonts w:hint="cs"/>
          <w:sz w:val="26"/>
          <w:szCs w:val="26"/>
          <w:u w:val="single"/>
          <w:rtl/>
          <w:lang w:eastAsia="ar" w:bidi="ar-EG"/>
        </w:rPr>
        <w:t>أنواع الأدوات</w:t>
      </w:r>
      <w:r>
        <w:rPr>
          <w:rFonts w:hint="cs"/>
          <w:sz w:val="26"/>
          <w:szCs w:val="26"/>
          <w:rtl/>
          <w:lang w:eastAsia="ar" w:bidi="ar-EG"/>
        </w:rPr>
        <w:t xml:space="preserve"> و</w:t>
      </w:r>
      <w:r>
        <w:rPr>
          <w:rFonts w:hint="cs"/>
          <w:sz w:val="26"/>
          <w:szCs w:val="26"/>
          <w:u w:val="single"/>
          <w:rtl/>
          <w:lang w:eastAsia="ar" w:bidi="ar-EG"/>
        </w:rPr>
        <w:t>مصادر التمويل</w:t>
      </w:r>
      <w:r>
        <w:rPr>
          <w:rFonts w:hint="cs"/>
          <w:sz w:val="26"/>
          <w:szCs w:val="26"/>
          <w:rtl/>
          <w:lang w:eastAsia="ar" w:bidi="ar-EG"/>
        </w:rPr>
        <w:t xml:space="preserve"> من عدمه. (في 3 إلى 4 جمل)</w:t>
      </w:r>
    </w:p>
    <w:p w14:paraId="0624E050" w14:textId="77777777" w:rsidR="00270123" w:rsidRDefault="00270123" w:rsidP="00270123">
      <w:pPr>
        <w:pStyle w:val="0Heading0"/>
        <w:bidi/>
        <w:ind w:left="360"/>
        <w:jc w:val="both"/>
        <w:rPr>
          <w:sz w:val="26"/>
          <w:szCs w:val="26"/>
          <w:lang w:val="en-CA" w:eastAsia="ar-EG"/>
        </w:rPr>
      </w:pPr>
    </w:p>
    <w:p w14:paraId="4FBE1F86" w14:textId="77777777" w:rsidR="00270123" w:rsidRDefault="00270123" w:rsidP="00270123">
      <w:pPr>
        <w:pStyle w:val="0Heading0"/>
        <w:bidi/>
        <w:ind w:left="360"/>
        <w:jc w:val="both"/>
        <w:rPr>
          <w:sz w:val="26"/>
          <w:szCs w:val="26"/>
          <w:lang w:val="en-CA"/>
        </w:rPr>
      </w:pPr>
    </w:p>
    <w:p w14:paraId="4BCC35F0" w14:textId="77777777" w:rsidR="00270123" w:rsidRDefault="00270123" w:rsidP="00270123">
      <w:pPr>
        <w:pStyle w:val="0Heading0"/>
        <w:bidi/>
        <w:ind w:left="360"/>
        <w:jc w:val="both"/>
        <w:rPr>
          <w:sz w:val="26"/>
          <w:szCs w:val="26"/>
          <w:lang w:val="en-CA" w:eastAsia="en-CA"/>
        </w:rPr>
      </w:pPr>
    </w:p>
    <w:p w14:paraId="743E255B" w14:textId="77777777" w:rsidR="00270123" w:rsidRDefault="00270123" w:rsidP="00270123">
      <w:pPr>
        <w:pStyle w:val="Heading1"/>
        <w:numPr>
          <w:ilvl w:val="0"/>
          <w:numId w:val="28"/>
        </w:numPr>
        <w:tabs>
          <w:tab w:val="num" w:pos="360"/>
          <w:tab w:val="left" w:pos="720"/>
        </w:tabs>
        <w:bidi/>
        <w:ind w:left="426" w:hanging="426"/>
        <w:rPr>
          <w:sz w:val="26"/>
          <w:szCs w:val="26"/>
          <w:lang w:val="en-CA" w:eastAsia="en-CA"/>
        </w:rPr>
      </w:pPr>
      <w:r>
        <w:rPr>
          <w:rFonts w:hint="cs"/>
          <w:sz w:val="26"/>
          <w:szCs w:val="26"/>
          <w:rtl/>
          <w:lang w:eastAsia="ar" w:bidi="ar-EG"/>
        </w:rPr>
        <w:t xml:space="preserve">يرجى تقديم معلومات تتعلق بنوع الكيانات/المؤسسات التي يمكنها تقديم مشروعات للحصول على دعم تمويلي من مؤسستك للحفاظ على كفاءة استخدام الطاقة أو تعزيزها في تطبيقات التبريد وتكييف الهواء والمضخات الحرارية وتطبيقات الرغاوي (مثل، المؤسسات الحكومية ووكالات الأمم المتحدة والمؤسسات الخاصة وما إلى ذلك) </w:t>
      </w:r>
    </w:p>
    <w:p w14:paraId="0F2C06DA" w14:textId="77777777" w:rsidR="00270123" w:rsidRDefault="00270123" w:rsidP="00270123">
      <w:pPr>
        <w:pStyle w:val="ListParagraph"/>
        <w:bidi/>
        <w:ind w:left="360"/>
        <w:rPr>
          <w:sz w:val="26"/>
          <w:szCs w:val="26"/>
          <w:lang w:val="en-CA" w:eastAsia="en-CA"/>
        </w:rPr>
      </w:pPr>
    </w:p>
    <w:p w14:paraId="270F972A" w14:textId="77777777" w:rsidR="00270123" w:rsidRDefault="00270123" w:rsidP="00270123">
      <w:pPr>
        <w:pStyle w:val="ListParagraph"/>
        <w:bidi/>
        <w:ind w:left="360"/>
        <w:rPr>
          <w:sz w:val="26"/>
          <w:szCs w:val="26"/>
          <w:lang w:val="en-CA" w:eastAsia="en-CA"/>
        </w:rPr>
      </w:pPr>
    </w:p>
    <w:p w14:paraId="1C26E20E" w14:textId="77777777" w:rsidR="00270123" w:rsidRDefault="00270123" w:rsidP="00270123">
      <w:pPr>
        <w:pStyle w:val="ListParagraph"/>
        <w:bidi/>
        <w:ind w:left="360"/>
        <w:rPr>
          <w:sz w:val="26"/>
          <w:szCs w:val="26"/>
          <w:lang w:val="en-CA" w:eastAsia="en-CA"/>
        </w:rPr>
      </w:pPr>
    </w:p>
    <w:p w14:paraId="1ABAE49E" w14:textId="77777777" w:rsidR="00270123" w:rsidRDefault="00270123" w:rsidP="00270123">
      <w:pPr>
        <w:pStyle w:val="Heading1"/>
        <w:numPr>
          <w:ilvl w:val="0"/>
          <w:numId w:val="28"/>
        </w:numPr>
        <w:tabs>
          <w:tab w:val="num" w:pos="360"/>
          <w:tab w:val="left" w:pos="720"/>
        </w:tabs>
        <w:bidi/>
        <w:ind w:left="426" w:hanging="426"/>
        <w:rPr>
          <w:sz w:val="26"/>
          <w:szCs w:val="26"/>
          <w:lang w:val="en-CA" w:eastAsia="en-CA"/>
        </w:rPr>
      </w:pPr>
      <w:r>
        <w:rPr>
          <w:rFonts w:hint="cs"/>
          <w:sz w:val="26"/>
          <w:szCs w:val="26"/>
          <w:rtl/>
          <w:lang w:eastAsia="ar" w:bidi="ar-EG"/>
        </w:rPr>
        <w:t>يرجى تقديم نظرة عامة موجزة عن طريقة (طرائق) التنفيذ التي تستخدمها لتنفيذ المشروع. (3 إلى 4 جمل)</w:t>
      </w:r>
    </w:p>
    <w:p w14:paraId="0EE1375A" w14:textId="77777777" w:rsidR="00270123" w:rsidRDefault="00270123" w:rsidP="00270123">
      <w:pPr>
        <w:pStyle w:val="ListParagraph"/>
        <w:bidi/>
        <w:rPr>
          <w:color w:val="000000"/>
          <w:sz w:val="26"/>
          <w:szCs w:val="26"/>
          <w:lang w:val="en-CA" w:eastAsia="en-CA"/>
        </w:rPr>
      </w:pPr>
    </w:p>
    <w:p w14:paraId="711522C7" w14:textId="77777777" w:rsidR="00270123" w:rsidRDefault="00270123" w:rsidP="00270123">
      <w:pPr>
        <w:pStyle w:val="ListParagraph"/>
        <w:bidi/>
        <w:rPr>
          <w:color w:val="000000"/>
          <w:sz w:val="26"/>
          <w:szCs w:val="26"/>
          <w:lang w:val="en-CA" w:eastAsia="en-CA"/>
        </w:rPr>
      </w:pPr>
    </w:p>
    <w:p w14:paraId="52E41724" w14:textId="77777777" w:rsidR="00270123" w:rsidRDefault="00270123" w:rsidP="00270123">
      <w:pPr>
        <w:bidi/>
        <w:ind w:left="360"/>
        <w:rPr>
          <w:color w:val="000000"/>
          <w:sz w:val="26"/>
          <w:szCs w:val="26"/>
          <w:lang w:val="en-CA" w:eastAsia="en-CA"/>
        </w:rPr>
      </w:pPr>
    </w:p>
    <w:p w14:paraId="13589AD2" w14:textId="77777777" w:rsidR="00270123" w:rsidRDefault="00270123" w:rsidP="00270123">
      <w:pPr>
        <w:pStyle w:val="Heading1"/>
        <w:numPr>
          <w:ilvl w:val="0"/>
          <w:numId w:val="28"/>
        </w:numPr>
        <w:tabs>
          <w:tab w:val="num" w:pos="360"/>
          <w:tab w:val="left" w:pos="720"/>
        </w:tabs>
        <w:bidi/>
        <w:ind w:left="426" w:hanging="426"/>
        <w:rPr>
          <w:sz w:val="26"/>
          <w:szCs w:val="26"/>
          <w:lang w:eastAsia="en-CA"/>
        </w:rPr>
      </w:pPr>
      <w:r>
        <w:rPr>
          <w:rFonts w:hint="cs"/>
          <w:sz w:val="26"/>
          <w:szCs w:val="26"/>
          <w:rtl/>
          <w:lang w:eastAsia="ar" w:bidi="ar-EG"/>
        </w:rPr>
        <w:t>يرجى تقديم معلومات عن القيود المحددة على نوع الكيانات التي يمكنها الحصول على تمويل من مؤسستك (مثل، القيود الجغرافية، واعتماد الكيانات، ونوع المؤسسات التي يمكنها الحصول على التمويل، ومستويات التمويل المشترك).</w:t>
      </w:r>
    </w:p>
    <w:p w14:paraId="49381C7E" w14:textId="77777777" w:rsidR="00270123" w:rsidRDefault="00270123" w:rsidP="00270123">
      <w:pPr>
        <w:pStyle w:val="0Heading0"/>
        <w:bidi/>
        <w:ind w:left="360"/>
        <w:jc w:val="both"/>
        <w:rPr>
          <w:color w:val="000000"/>
          <w:sz w:val="26"/>
          <w:szCs w:val="26"/>
          <w:lang w:val="en-CA" w:eastAsia="en-CA"/>
        </w:rPr>
      </w:pPr>
    </w:p>
    <w:p w14:paraId="08A9DC14" w14:textId="77777777" w:rsidR="00270123" w:rsidRDefault="00270123" w:rsidP="00270123">
      <w:pPr>
        <w:pStyle w:val="0Heading0"/>
        <w:bidi/>
        <w:ind w:left="360"/>
        <w:jc w:val="both"/>
        <w:rPr>
          <w:color w:val="000000"/>
          <w:sz w:val="26"/>
          <w:szCs w:val="26"/>
          <w:lang w:val="en-CA" w:eastAsia="en-CA"/>
        </w:rPr>
      </w:pPr>
    </w:p>
    <w:p w14:paraId="776C979F" w14:textId="77777777" w:rsidR="00270123" w:rsidRDefault="00270123" w:rsidP="00270123">
      <w:pPr>
        <w:pStyle w:val="0Heading0"/>
        <w:bidi/>
        <w:ind w:left="360"/>
        <w:jc w:val="both"/>
        <w:rPr>
          <w:color w:val="000000"/>
          <w:sz w:val="26"/>
          <w:szCs w:val="26"/>
          <w:lang w:val="en-CA" w:eastAsia="en-CA"/>
        </w:rPr>
      </w:pPr>
    </w:p>
    <w:p w14:paraId="1C019CFC" w14:textId="77777777" w:rsidR="00270123" w:rsidRDefault="00270123" w:rsidP="00270123">
      <w:pPr>
        <w:pStyle w:val="Heading1"/>
        <w:numPr>
          <w:ilvl w:val="0"/>
          <w:numId w:val="28"/>
        </w:numPr>
        <w:tabs>
          <w:tab w:val="num" w:pos="360"/>
          <w:tab w:val="left" w:pos="720"/>
        </w:tabs>
        <w:bidi/>
        <w:ind w:left="426" w:hanging="426"/>
        <w:rPr>
          <w:sz w:val="26"/>
          <w:szCs w:val="26"/>
          <w:lang w:val="en-CA" w:eastAsia="en-CA"/>
        </w:rPr>
      </w:pPr>
      <w:r>
        <w:rPr>
          <w:rFonts w:hint="cs"/>
          <w:sz w:val="26"/>
          <w:szCs w:val="26"/>
          <w:rtl/>
          <w:lang w:eastAsia="ar" w:bidi="ar-EG"/>
        </w:rPr>
        <w:t>يرجى تقديم معلومات عن تقديم المشروعات وعملية الموافقة عليها للحفاظ على كفاءة استخدام الطاقة في تطبيقات التبريد وتكييف الهواء والمضخات الحرارية وتطبيقات الرغاوي أو تعزيزها؛ وإذا توافرت وثائق محددة (مثل النماذج) تشرح إجراءات تقديم المشروعات وعملية الموافقة عليها، فيرجى تقديمها.  وإذا كانت هناك مواقع إلكترونية محددة يمكنها تقديم هذه المعلومات، فيرجى تقديم معلومات عن هذه المواقع.</w:t>
      </w:r>
    </w:p>
    <w:p w14:paraId="04F02A85" w14:textId="77777777" w:rsidR="00270123" w:rsidRDefault="00270123" w:rsidP="00270123">
      <w:pPr>
        <w:bidi/>
        <w:rPr>
          <w:sz w:val="26"/>
          <w:szCs w:val="26"/>
          <w:lang w:eastAsia="ar-EG"/>
        </w:rPr>
      </w:pPr>
    </w:p>
    <w:p w14:paraId="0C9BE1EC" w14:textId="77777777" w:rsidR="00270123" w:rsidRDefault="00270123" w:rsidP="00270123">
      <w:pPr>
        <w:jc w:val="left"/>
        <w:rPr>
          <w:sz w:val="26"/>
          <w:szCs w:val="26"/>
        </w:rPr>
        <w:sectPr w:rsidR="00270123">
          <w:headerReference w:type="even" r:id="rId19"/>
          <w:headerReference w:type="default" r:id="rId20"/>
          <w:footerReference w:type="even" r:id="rId21"/>
          <w:footerReference w:type="default" r:id="rId22"/>
          <w:pgSz w:w="12240" w:h="15840"/>
          <w:pgMar w:top="720" w:right="1440" w:bottom="864" w:left="1440" w:header="720" w:footer="475" w:gutter="0"/>
          <w:pgNumType w:start="1"/>
          <w:cols w:space="720"/>
        </w:sectPr>
      </w:pPr>
    </w:p>
    <w:p w14:paraId="768A8EF9" w14:textId="77777777" w:rsidR="002D440B" w:rsidRPr="00E57D77" w:rsidRDefault="002D440B" w:rsidP="002D440B">
      <w:pPr>
        <w:bidi/>
        <w:jc w:val="center"/>
        <w:rPr>
          <w:rFonts w:asciiTheme="majorBidi" w:hAnsiTheme="majorBidi" w:cstheme="majorBidi"/>
          <w:bCs/>
          <w:sz w:val="26"/>
          <w:szCs w:val="26"/>
          <w:rtl/>
          <w:lang w:bidi="ar-EG"/>
        </w:rPr>
      </w:pPr>
      <w:r w:rsidRPr="00E57D77">
        <w:rPr>
          <w:rFonts w:asciiTheme="majorBidi" w:hAnsiTheme="majorBidi" w:cstheme="majorBidi"/>
          <w:bCs/>
          <w:sz w:val="26"/>
          <w:szCs w:val="26"/>
          <w:rtl/>
          <w:lang w:bidi="ar-EG"/>
        </w:rPr>
        <w:t>المرفق الثالث</w:t>
      </w:r>
    </w:p>
    <w:p w14:paraId="3C9BDA26" w14:textId="77777777" w:rsidR="002D440B" w:rsidRPr="00E57D77" w:rsidRDefault="002D440B" w:rsidP="002D440B">
      <w:pPr>
        <w:bidi/>
        <w:jc w:val="center"/>
        <w:rPr>
          <w:rFonts w:asciiTheme="majorBidi" w:hAnsiTheme="majorBidi" w:cstheme="majorBidi"/>
          <w:b/>
          <w:sz w:val="26"/>
          <w:szCs w:val="26"/>
          <w:rtl/>
          <w:lang w:bidi="ar-EG"/>
        </w:rPr>
      </w:pPr>
    </w:p>
    <w:p w14:paraId="420CA8AA" w14:textId="77777777" w:rsidR="002D440B" w:rsidRPr="002520A1" w:rsidRDefault="002D440B" w:rsidP="002D440B">
      <w:pPr>
        <w:bidi/>
        <w:jc w:val="center"/>
        <w:rPr>
          <w:rFonts w:asciiTheme="majorBidi" w:hAnsiTheme="majorBidi" w:cstheme="majorBidi"/>
          <w:bCs/>
          <w:sz w:val="28"/>
          <w:szCs w:val="28"/>
          <w:rtl/>
          <w:lang w:bidi="ar-EG"/>
        </w:rPr>
      </w:pPr>
      <w:r w:rsidRPr="002520A1">
        <w:rPr>
          <w:rFonts w:asciiTheme="majorBidi" w:hAnsiTheme="majorBidi" w:cstheme="majorBidi"/>
          <w:bCs/>
          <w:sz w:val="28"/>
          <w:szCs w:val="28"/>
          <w:rtl/>
          <w:lang w:bidi="ar-EG"/>
        </w:rPr>
        <w:t xml:space="preserve">معلومات عن إجراءات وظروف المنح وغير ذلك </w:t>
      </w:r>
      <w:r w:rsidRPr="002520A1">
        <w:rPr>
          <w:rFonts w:asciiTheme="majorBidi" w:hAnsiTheme="majorBidi" w:cstheme="majorBidi"/>
          <w:bCs/>
          <w:sz w:val="28"/>
          <w:szCs w:val="28"/>
          <w:rtl/>
          <w:lang w:bidi="ar-EG"/>
        </w:rPr>
        <w:br/>
        <w:t>من خيارات التمويل من المؤسسات المالية لأغراض كفاءة استخدام الطاقة</w:t>
      </w:r>
      <w:r w:rsidRPr="002520A1">
        <w:rPr>
          <w:rFonts w:asciiTheme="majorBidi" w:hAnsiTheme="majorBidi" w:cstheme="majorBidi"/>
          <w:bCs/>
          <w:sz w:val="28"/>
          <w:szCs w:val="28"/>
          <w:rtl/>
          <w:lang w:bidi="ar-EG"/>
        </w:rPr>
        <w:br/>
        <w:t xml:space="preserve"> مع خفض المواد الهيدروفلوروكربونية</w:t>
      </w:r>
    </w:p>
    <w:p w14:paraId="7AAF58D2" w14:textId="77777777" w:rsidR="002D440B" w:rsidRPr="00E57D77" w:rsidRDefault="002D440B" w:rsidP="002D440B">
      <w:pPr>
        <w:bidi/>
        <w:rPr>
          <w:rFonts w:asciiTheme="majorBidi" w:hAnsiTheme="majorBidi" w:cstheme="majorBidi"/>
          <w:sz w:val="26"/>
          <w:szCs w:val="26"/>
          <w:rtl/>
          <w:lang w:bidi="ar-EG"/>
        </w:rPr>
      </w:pPr>
    </w:p>
    <w:p w14:paraId="33EF730A" w14:textId="77777777" w:rsidR="002D440B" w:rsidRPr="00E57D77" w:rsidRDefault="002D440B" w:rsidP="002D440B">
      <w:pPr>
        <w:bidi/>
        <w:rPr>
          <w:rFonts w:asciiTheme="majorBidi" w:hAnsiTheme="majorBidi" w:cstheme="majorBidi"/>
          <w:bCs/>
          <w:sz w:val="26"/>
          <w:szCs w:val="26"/>
        </w:rPr>
      </w:pPr>
      <w:r w:rsidRPr="00E57D77">
        <w:rPr>
          <w:rFonts w:asciiTheme="majorBidi" w:hAnsiTheme="majorBidi" w:cstheme="majorBidi"/>
          <w:bCs/>
          <w:sz w:val="26"/>
          <w:szCs w:val="26"/>
          <w:rtl/>
        </w:rPr>
        <w:t>ألف</w:t>
      </w:r>
      <w:r w:rsidRPr="00E57D77">
        <w:rPr>
          <w:rFonts w:asciiTheme="majorBidi" w:hAnsiTheme="majorBidi" w:cstheme="majorBidi"/>
          <w:bCs/>
          <w:sz w:val="26"/>
          <w:szCs w:val="26"/>
          <w:rtl/>
        </w:rPr>
        <w:tab/>
        <w:t>مؤسسات التمويل المتعددة الأطراف</w:t>
      </w:r>
    </w:p>
    <w:p w14:paraId="041D1F21" w14:textId="77777777" w:rsidR="002D440B" w:rsidRPr="00E57D77" w:rsidRDefault="002D440B" w:rsidP="002D440B">
      <w:pPr>
        <w:bidi/>
        <w:rPr>
          <w:rFonts w:asciiTheme="majorBidi" w:hAnsiTheme="majorBidi" w:cstheme="majorBidi"/>
          <w:b/>
          <w:sz w:val="26"/>
          <w:szCs w:val="26"/>
          <w:rtl/>
          <w:lang w:bidi="ar-EG"/>
        </w:rPr>
      </w:pPr>
    </w:p>
    <w:p w14:paraId="6C3FD5F4" w14:textId="77777777" w:rsidR="002D440B" w:rsidRPr="00E57D77" w:rsidRDefault="002D440B" w:rsidP="002D440B">
      <w:pPr>
        <w:bidi/>
        <w:jc w:val="left"/>
        <w:rPr>
          <w:rFonts w:asciiTheme="majorBidi" w:hAnsiTheme="majorBidi" w:cstheme="majorBidi"/>
          <w:b/>
          <w:iCs/>
          <w:sz w:val="26"/>
          <w:szCs w:val="26"/>
          <w:u w:val="single"/>
        </w:rPr>
      </w:pPr>
      <w:r w:rsidRPr="00E57D77">
        <w:rPr>
          <w:rFonts w:asciiTheme="majorBidi" w:hAnsiTheme="majorBidi" w:cstheme="majorBidi"/>
          <w:b/>
          <w:iCs/>
          <w:sz w:val="26"/>
          <w:szCs w:val="26"/>
          <w:u w:val="single"/>
          <w:rtl/>
        </w:rPr>
        <w:t>مرفق البيئة العالمية</w:t>
      </w:r>
    </w:p>
    <w:p w14:paraId="67FFEED8" w14:textId="77777777" w:rsidR="002D440B" w:rsidRPr="00E57D77" w:rsidRDefault="002D440B" w:rsidP="002D440B">
      <w:pPr>
        <w:bidi/>
        <w:rPr>
          <w:rFonts w:asciiTheme="majorBidi" w:hAnsiTheme="majorBidi" w:cstheme="majorBidi"/>
          <w:b/>
          <w:sz w:val="26"/>
          <w:szCs w:val="26"/>
        </w:rPr>
      </w:pPr>
    </w:p>
    <w:p w14:paraId="607AC263" w14:textId="77777777" w:rsidR="002D440B" w:rsidRPr="003C337B" w:rsidRDefault="002D440B" w:rsidP="003C337B">
      <w:pPr>
        <w:pStyle w:val="Heading1"/>
        <w:numPr>
          <w:ilvl w:val="0"/>
          <w:numId w:val="40"/>
        </w:numPr>
        <w:bidi/>
        <w:rPr>
          <w:rFonts w:asciiTheme="majorBidi" w:hAnsiTheme="majorBidi" w:cstheme="majorBidi"/>
          <w:sz w:val="26"/>
          <w:szCs w:val="26"/>
        </w:rPr>
      </w:pPr>
      <w:r w:rsidRPr="003C337B">
        <w:rPr>
          <w:rFonts w:asciiTheme="majorBidi" w:hAnsiTheme="majorBidi" w:cstheme="majorBidi"/>
          <w:sz w:val="26"/>
          <w:szCs w:val="26"/>
          <w:rtl/>
        </w:rPr>
        <w:t xml:space="preserve">يقدم مرفق البيئة العالمية التمويل للمشروعات المتعلقة بالتنوع البيولوجي وتغير المناخ والمياه الدولية وتدهور الأراضي وطبقة الأوزون والملوثات العضوية الثابتة، والزئبق والإدارة المستدامة للغابات والأمن الغذائي والمدن المستدامة. وقد انتهى المرفق من التجديد السابع لموارده في يونيه/ حزيران 2018 بتمويل إجمالي متعهد به قدره </w:t>
      </w:r>
      <w:r w:rsidRPr="003C337B">
        <w:rPr>
          <w:rFonts w:asciiTheme="majorBidi" w:hAnsiTheme="majorBidi" w:cstheme="majorBidi"/>
          <w:sz w:val="26"/>
          <w:szCs w:val="26"/>
        </w:rPr>
        <w:t>4.1</w:t>
      </w:r>
      <w:r w:rsidRPr="003C337B">
        <w:rPr>
          <w:rFonts w:asciiTheme="majorBidi" w:hAnsiTheme="majorBidi" w:cstheme="majorBidi"/>
          <w:sz w:val="26"/>
          <w:szCs w:val="26"/>
          <w:rtl/>
        </w:rPr>
        <w:t xml:space="preserve"> مليار دولار امريكي خصص منها مبلغ </w:t>
      </w:r>
      <w:r w:rsidRPr="003C337B">
        <w:rPr>
          <w:rFonts w:asciiTheme="majorBidi" w:hAnsiTheme="majorBidi" w:cstheme="majorBidi"/>
          <w:sz w:val="26"/>
          <w:szCs w:val="26"/>
        </w:rPr>
        <w:t>802</w:t>
      </w:r>
      <w:r w:rsidRPr="003C337B">
        <w:rPr>
          <w:rFonts w:asciiTheme="majorBidi" w:hAnsiTheme="majorBidi" w:cstheme="majorBidi"/>
          <w:sz w:val="26"/>
          <w:szCs w:val="26"/>
          <w:rtl/>
        </w:rPr>
        <w:t xml:space="preserve"> مليون</w:t>
      </w:r>
      <w:r w:rsidRPr="003C337B">
        <w:rPr>
          <w:rFonts w:asciiTheme="majorBidi" w:hAnsiTheme="majorBidi" w:cstheme="majorBidi"/>
          <w:sz w:val="26"/>
          <w:szCs w:val="26"/>
          <w:rtl/>
          <w:lang w:bidi="ar-EG"/>
        </w:rPr>
        <w:t xml:space="preserve"> دولار أمريكي لمجال التخفيف من تغير المناخ الذي يتضمن أنشطة المشروعات المتعلقة بكفاءة استخدام الطاقة. ومنذ أن وضع مجال التخفيف من تغير المناخ في النظام الخاص بعملية التخصيص الشفافة للموارد (تخصيص </w:t>
      </w:r>
      <w:r w:rsidRPr="003C337B">
        <w:rPr>
          <w:rFonts w:asciiTheme="majorBidi" w:hAnsiTheme="majorBidi" w:cstheme="majorBidi"/>
          <w:sz w:val="26"/>
          <w:szCs w:val="26"/>
          <w:rtl/>
        </w:rPr>
        <w:t>العملية الشفافة</w:t>
      </w:r>
      <w:r w:rsidRPr="003C337B">
        <w:rPr>
          <w:rFonts w:asciiTheme="majorBidi" w:hAnsiTheme="majorBidi" w:cstheme="majorBidi"/>
          <w:sz w:val="26"/>
          <w:szCs w:val="26"/>
          <w:rtl/>
          <w:lang w:bidi="ar-EG"/>
        </w:rPr>
        <w:t>)</w:t>
      </w:r>
      <w:r w:rsidRPr="003C337B">
        <w:rPr>
          <w:rFonts w:asciiTheme="majorBidi" w:hAnsiTheme="majorBidi" w:cstheme="majorBidi"/>
          <w:sz w:val="26"/>
          <w:szCs w:val="26"/>
          <w:rtl/>
        </w:rPr>
        <w:t>، يتعين أن يكون أي تمويل ضروري لتعزيز كفاءة استخدام الطاقة في قطاع التبريد وتكييف الهواء جزءا من المشروعات التي يقدمها البلد المعني من بلدان المادة 5 في إطار حافظة التخفيف من تغير المناخ. وعلاوة على ذلك، يتوقع في إطار استراتيجية مرفق البيئة العالمية الثامنة</w:t>
      </w:r>
      <w:r w:rsidRPr="003C337B">
        <w:rPr>
          <w:rFonts w:asciiTheme="majorBidi" w:hAnsiTheme="majorBidi" w:cstheme="majorBidi"/>
          <w:sz w:val="26"/>
          <w:szCs w:val="26"/>
          <w:rtl/>
          <w:lang w:bidi="ar-EG"/>
        </w:rPr>
        <w:t xml:space="preserve"> التي يجري التفاوض بشأنها الآن ويتوقع اطلاقها في يوليه/ تموز 2022 أن تدرج تحت المجال المحوري للتخفيف من تغير المناخ.</w:t>
      </w:r>
    </w:p>
    <w:p w14:paraId="60803BB6"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327F969A" w14:textId="77777777" w:rsidR="002D440B" w:rsidRPr="00E57D77" w:rsidRDefault="002D440B" w:rsidP="002D440B">
      <w:pPr>
        <w:keepNext/>
        <w:bidi/>
        <w:rPr>
          <w:rFonts w:asciiTheme="majorBidi" w:hAnsiTheme="majorBidi" w:cstheme="majorBidi"/>
          <w:sz w:val="26"/>
          <w:szCs w:val="26"/>
        </w:rPr>
      </w:pPr>
    </w:p>
    <w:p w14:paraId="63C1517C" w14:textId="77777777" w:rsidR="002D440B" w:rsidRPr="00E57D77" w:rsidRDefault="002D440B" w:rsidP="002D440B">
      <w:pPr>
        <w:pStyle w:val="Heading1"/>
        <w:bidi/>
        <w:rPr>
          <w:rFonts w:asciiTheme="majorBidi" w:hAnsiTheme="majorBidi" w:cstheme="majorBidi"/>
          <w:i/>
          <w:sz w:val="26"/>
          <w:szCs w:val="26"/>
        </w:rPr>
      </w:pPr>
      <w:r w:rsidRPr="00E57D77">
        <w:rPr>
          <w:rFonts w:asciiTheme="majorBidi" w:hAnsiTheme="majorBidi" w:cstheme="majorBidi"/>
          <w:i/>
          <w:sz w:val="26"/>
          <w:szCs w:val="26"/>
          <w:rtl/>
          <w:lang w:bidi="ar-EG"/>
        </w:rPr>
        <w:t>يمكن أن تعد مقترحات المشروعات الخاصة بالحكومات المؤهلة</w:t>
      </w:r>
      <w:r w:rsidRPr="00E57D77">
        <w:rPr>
          <w:rStyle w:val="FootnoteReference"/>
          <w:rFonts w:asciiTheme="majorBidi" w:hAnsiTheme="majorBidi" w:cstheme="majorBidi"/>
          <w:sz w:val="26"/>
          <w:szCs w:val="26"/>
        </w:rPr>
        <w:footnoteReference w:id="31"/>
      </w:r>
      <w:r w:rsidRPr="00E57D77">
        <w:rPr>
          <w:rFonts w:asciiTheme="majorBidi" w:hAnsiTheme="majorBidi" w:cstheme="majorBidi"/>
          <w:i/>
          <w:sz w:val="26"/>
          <w:szCs w:val="26"/>
          <w:rtl/>
          <w:lang w:bidi="ar-EG"/>
        </w:rPr>
        <w:t xml:space="preserve"> والمنظمات</w:t>
      </w:r>
      <w:r w:rsidRPr="00E57D77">
        <w:rPr>
          <w:rFonts w:asciiTheme="majorBidi" w:hAnsiTheme="majorBidi" w:cstheme="majorBidi"/>
          <w:i/>
          <w:sz w:val="26"/>
          <w:szCs w:val="26"/>
          <w:rtl/>
        </w:rPr>
        <w:t xml:space="preserve"> غير الحكومية بواسطة ثمانية عشرة مؤسسة من المؤسسات التي تعمل كوكالات لمرفق البيئة العالمية</w:t>
      </w:r>
      <w:r w:rsidRPr="00E57D77">
        <w:rPr>
          <w:rFonts w:asciiTheme="majorBidi" w:hAnsiTheme="majorBidi" w:cstheme="majorBidi"/>
          <w:i/>
          <w:sz w:val="26"/>
          <w:szCs w:val="26"/>
          <w:rtl/>
          <w:lang w:bidi="ar-EG"/>
        </w:rPr>
        <w:t>.</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32"/>
      </w:r>
      <w:r w:rsidRPr="00E57D77">
        <w:rPr>
          <w:rFonts w:asciiTheme="majorBidi" w:hAnsiTheme="majorBidi" w:cstheme="majorBidi"/>
          <w:i/>
          <w:sz w:val="26"/>
          <w:szCs w:val="26"/>
          <w:rtl/>
        </w:rPr>
        <w:t xml:space="preserve"> وتساعدها وكالات المرفق أيضا في إدارة المشروعات لتحقيق أهدافها. وتعمل وكالات المرفق أيضا مع مشروعات المرفق ومن ثم تجميع الخبرات لتحقيق الأهداف المعنبة </w:t>
      </w:r>
    </w:p>
    <w:p w14:paraId="0A5FDD17" w14:textId="77777777" w:rsidR="002D440B" w:rsidRPr="00E57D77" w:rsidRDefault="002D440B" w:rsidP="002D440B">
      <w:pPr>
        <w:pStyle w:val="Heading1"/>
        <w:keepNext/>
        <w:numPr>
          <w:ilvl w:val="0"/>
          <w:numId w:val="0"/>
        </w:numPr>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1AB16312"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يستخدم مرفق البيئة العالمية بالدرجة الأولى وسائل المنح لتمويل مشروعاته، وهناك ل</w:t>
      </w:r>
      <w:r w:rsidRPr="00E57D77">
        <w:rPr>
          <w:rFonts w:asciiTheme="majorBidi" w:hAnsiTheme="majorBidi" w:cstheme="majorBidi"/>
          <w:sz w:val="26"/>
          <w:szCs w:val="26"/>
          <w:rtl/>
          <w:lang w:bidi="ar-EG"/>
        </w:rPr>
        <w:t>لحصول على تمويل المرفق أربع طرائق للمشروعات: (1) المشروع بالحجم الكامل (يزيد تمويل المرفق عن 2 مليون دولار)؛ (2) المشروع المتوسط الحجم (يصل تمويل المرفق حتى 2 مليون دولار)؛ (3) نشاط تمكيني؛</w:t>
      </w:r>
      <w:r w:rsidRPr="00E57D77">
        <w:rPr>
          <w:rStyle w:val="FootnoteReference"/>
          <w:rFonts w:asciiTheme="majorBidi" w:hAnsiTheme="majorBidi" w:cstheme="majorBidi"/>
          <w:sz w:val="26"/>
          <w:szCs w:val="26"/>
        </w:rPr>
        <w:footnoteReference w:id="33"/>
      </w:r>
      <w:r w:rsidRPr="00E57D77">
        <w:rPr>
          <w:rFonts w:asciiTheme="majorBidi" w:hAnsiTheme="majorBidi" w:cstheme="majorBidi"/>
          <w:sz w:val="26"/>
          <w:szCs w:val="26"/>
          <w:rtl/>
          <w:lang w:bidi="ar-EG"/>
        </w:rPr>
        <w:t xml:space="preserve"> (4) </w:t>
      </w:r>
      <w:r w:rsidRPr="00E57D77">
        <w:rPr>
          <w:rFonts w:asciiTheme="majorBidi" w:hAnsiTheme="majorBidi" w:cstheme="majorBidi"/>
          <w:sz w:val="26"/>
          <w:szCs w:val="26"/>
          <w:rtl/>
        </w:rPr>
        <w:t>برنامج.</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34"/>
      </w:r>
      <w:r w:rsidRPr="00E57D77">
        <w:rPr>
          <w:rFonts w:asciiTheme="majorBidi" w:hAnsiTheme="majorBidi" w:cstheme="majorBidi"/>
          <w:sz w:val="26"/>
          <w:szCs w:val="26"/>
          <w:rtl/>
        </w:rPr>
        <w:t xml:space="preserve"> ولكل طريق من هذه الطرائق دورة مشروع محددة ومبادئ توجيهية ونموذج لإعداد المشروع وتقديمه.</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35"/>
      </w:r>
    </w:p>
    <w:p w14:paraId="2232675B"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lang w:bidi="ar-EG"/>
        </w:rPr>
        <w:t>ويمكن أيضا لتنفيذ المشروع برنامج المرق غير المتعلق بالمنح (برنامج المؤسسات غير الحكومية) الذي يتضمن دون أن يقتصر عليها (1) القروض، (2) منتجات التخفيف من المخاطر، (3) أدوات الأوراق المالية. ويسعى برنامج المؤسسات غير الحكومية الى تحفيز استثمارات القطاع الخاص على المستويات العالمية والمحلية المرتبطة بأهداف المجال المحوري للمرفق.</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36"/>
      </w:r>
    </w:p>
    <w:p w14:paraId="02B3E248" w14:textId="77777777" w:rsidR="002D440B" w:rsidRPr="00E57D77" w:rsidRDefault="002D440B" w:rsidP="002D440B">
      <w:pPr>
        <w:pStyle w:val="Heading1"/>
        <w:keepNext/>
        <w:numPr>
          <w:ilvl w:val="0"/>
          <w:numId w:val="0"/>
        </w:numPr>
        <w:bidi/>
        <w:jc w:val="left"/>
        <w:rPr>
          <w:rFonts w:asciiTheme="majorBidi" w:hAnsiTheme="majorBidi" w:cstheme="majorBidi"/>
          <w:b/>
          <w:iCs/>
          <w:sz w:val="26"/>
          <w:szCs w:val="26"/>
          <w:u w:val="single"/>
        </w:rPr>
      </w:pPr>
      <w:r w:rsidRPr="00E57D77">
        <w:rPr>
          <w:rFonts w:asciiTheme="majorBidi" w:hAnsiTheme="majorBidi" w:cstheme="majorBidi"/>
          <w:b/>
          <w:iCs/>
          <w:sz w:val="26"/>
          <w:szCs w:val="26"/>
          <w:u w:val="single"/>
          <w:rtl/>
        </w:rPr>
        <w:t>صندوق المناخ الأخضر</w:t>
      </w:r>
    </w:p>
    <w:p w14:paraId="49FC9DE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يمثل صندوق المناخ الأخضر أكبر صندوق للمناخ متعدد الأطراف الذي أنشأته اتفاقية الأمم المتحدة الإطارية بشأن تغير المناخ باعتباره كيان تنفيذي للآلية المالية لمساعدة </w:t>
      </w:r>
      <w:r w:rsidRPr="00E57D77">
        <w:rPr>
          <w:rFonts w:asciiTheme="majorBidi" w:hAnsiTheme="majorBidi" w:cstheme="majorBidi"/>
          <w:sz w:val="26"/>
          <w:szCs w:val="26"/>
          <w:rtl/>
          <w:lang w:bidi="ar-EG"/>
        </w:rPr>
        <w:t>البلدان النامية في ممارسات التكيف والتخفيف لمواجهة تغير المناخ. ولدى البلدان النامية وسيلة وصول مباشرة لتمكين المنظمات الوطنية ودون الوطنية من الحصول على التمويل بصورة مباشرة فيما يتجاوز المؤسسات المتعددة الأطراف.</w:t>
      </w:r>
    </w:p>
    <w:p w14:paraId="7B4368A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ويسعى الصندوق أيضا الى أن يحقق أثارا في إطار اثار مجالات التخفيف والتكييف</w:t>
      </w:r>
      <w:r w:rsidRPr="00E57D77">
        <w:rPr>
          <w:rFonts w:asciiTheme="majorBidi" w:hAnsiTheme="majorBidi" w:cstheme="majorBidi"/>
          <w:sz w:val="26"/>
          <w:szCs w:val="26"/>
          <w:rtl/>
          <w:lang w:bidi="ar-EG"/>
        </w:rPr>
        <w:t xml:space="preserve"> الثمانية</w:t>
      </w:r>
      <w:r w:rsidRPr="00E57D77">
        <w:rPr>
          <w:rStyle w:val="FootnoteReference"/>
          <w:rFonts w:asciiTheme="majorBidi" w:hAnsiTheme="majorBidi" w:cstheme="majorBidi"/>
          <w:sz w:val="26"/>
          <w:szCs w:val="26"/>
        </w:rPr>
        <w:footnoteReference w:id="37"/>
      </w:r>
      <w:r w:rsidRPr="00E57D77">
        <w:rPr>
          <w:rFonts w:asciiTheme="majorBidi" w:hAnsiTheme="majorBidi" w:cstheme="majorBidi"/>
          <w:sz w:val="26"/>
          <w:szCs w:val="26"/>
          <w:rtl/>
          <w:lang w:bidi="ar-EG"/>
        </w:rPr>
        <w:t xml:space="preserve"> لتحقيق</w:t>
      </w:r>
      <w:r w:rsidRPr="00E57D77">
        <w:rPr>
          <w:rFonts w:asciiTheme="majorBidi" w:hAnsiTheme="majorBidi" w:cstheme="majorBidi"/>
          <w:sz w:val="26"/>
          <w:szCs w:val="26"/>
          <w:rtl/>
        </w:rPr>
        <w:t xml:space="preserve"> الأهداف الشاملة. وهناك من بين هذه المجالات مجال تأثير بعنوان "المباني والمدن والأجهزة" يتناول كفاءة استخدام الطاقة في القطاعات الفرعية لتصنيع الرغاوي، وقطاعات التبريد وتكييف الهواء ومضخات الحرارة. وحتى اجتماع مجلس إدارة الصندوق الذي عقد في أكتوبر/ تشرين الأول 2021، ووفق على 31 مشروعا في مجال الآثار تمثل </w:t>
      </w:r>
      <w:r w:rsidRPr="00E57D77">
        <w:rPr>
          <w:rFonts w:asciiTheme="majorBidi" w:hAnsiTheme="majorBidi" w:cstheme="majorBidi"/>
          <w:sz w:val="26"/>
          <w:szCs w:val="26"/>
        </w:rPr>
        <w:t>1.5</w:t>
      </w:r>
      <w:r w:rsidRPr="00E57D77">
        <w:rPr>
          <w:rFonts w:asciiTheme="majorBidi" w:hAnsiTheme="majorBidi" w:cstheme="majorBidi"/>
          <w:sz w:val="26"/>
          <w:szCs w:val="26"/>
          <w:rtl/>
        </w:rPr>
        <w:t xml:space="preserve"> مليار دولار أمريكي من التمويل من الصندوق.</w:t>
      </w:r>
    </w:p>
    <w:p w14:paraId="64130AE3"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وعلاوة على ذلك، ووفق خلال اجتماع مجلس إدارة الصندوق في أكتوبر/ تشرين الأول 2021، على مشروع مرفق التبريد بمستوى تمويل من الصندوق يبلغ </w:t>
      </w:r>
      <w:r w:rsidRPr="00E57D77">
        <w:rPr>
          <w:rFonts w:asciiTheme="majorBidi" w:hAnsiTheme="majorBidi" w:cstheme="majorBidi"/>
          <w:sz w:val="26"/>
          <w:szCs w:val="26"/>
        </w:rPr>
        <w:t>157</w:t>
      </w:r>
      <w:r w:rsidRPr="00E57D77">
        <w:rPr>
          <w:rFonts w:asciiTheme="majorBidi" w:hAnsiTheme="majorBidi" w:cstheme="majorBidi"/>
          <w:sz w:val="26"/>
          <w:szCs w:val="26"/>
          <w:rtl/>
        </w:rPr>
        <w:t xml:space="preserve"> مليون دولار أمريكي (يتضمن </w:t>
      </w:r>
      <w:r w:rsidRPr="00E57D77">
        <w:rPr>
          <w:rFonts w:asciiTheme="majorBidi" w:hAnsiTheme="majorBidi" w:cstheme="majorBidi"/>
          <w:sz w:val="26"/>
          <w:szCs w:val="26"/>
        </w:rPr>
        <w:t>32</w:t>
      </w:r>
      <w:r w:rsidRPr="00E57D77">
        <w:rPr>
          <w:rFonts w:asciiTheme="majorBidi" w:hAnsiTheme="majorBidi" w:cstheme="majorBidi"/>
          <w:sz w:val="26"/>
          <w:szCs w:val="26"/>
          <w:rtl/>
        </w:rPr>
        <w:t xml:space="preserve"> مليون دولار أمريكي في شكل منح وقرض بمبلغ </w:t>
      </w:r>
      <w:r w:rsidRPr="00E57D77">
        <w:rPr>
          <w:rFonts w:asciiTheme="majorBidi" w:hAnsiTheme="majorBidi" w:cstheme="majorBidi"/>
          <w:sz w:val="26"/>
          <w:szCs w:val="26"/>
        </w:rPr>
        <w:t>125</w:t>
      </w:r>
      <w:r w:rsidRPr="00E57D77">
        <w:rPr>
          <w:rFonts w:asciiTheme="majorBidi" w:hAnsiTheme="majorBidi" w:cstheme="majorBidi"/>
          <w:sz w:val="26"/>
          <w:szCs w:val="26"/>
          <w:rtl/>
        </w:rPr>
        <w:t xml:space="preserve"> مليون دولار أمريكي) للبنك الدولي.</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38"/>
      </w:r>
      <w:r w:rsidRPr="00E57D77">
        <w:rPr>
          <w:rFonts w:asciiTheme="majorBidi" w:hAnsiTheme="majorBidi" w:cstheme="majorBidi"/>
          <w:sz w:val="26"/>
          <w:szCs w:val="26"/>
        </w:rPr>
        <w:t xml:space="preserve"> </w:t>
      </w:r>
      <w:r w:rsidRPr="00E57D77">
        <w:rPr>
          <w:rFonts w:asciiTheme="majorBidi" w:hAnsiTheme="majorBidi" w:cstheme="majorBidi"/>
          <w:sz w:val="26"/>
          <w:szCs w:val="26"/>
          <w:rtl/>
        </w:rPr>
        <w:t xml:space="preserve"> ويتوقع أي يجتذب المشروع مبلغ </w:t>
      </w:r>
      <w:r w:rsidRPr="00E57D77">
        <w:rPr>
          <w:rFonts w:asciiTheme="majorBidi" w:hAnsiTheme="majorBidi" w:cstheme="majorBidi"/>
          <w:sz w:val="26"/>
          <w:szCs w:val="26"/>
        </w:rPr>
        <w:t>722,840,000</w:t>
      </w:r>
      <w:r w:rsidRPr="00E57D77">
        <w:rPr>
          <w:rFonts w:asciiTheme="majorBidi" w:hAnsiTheme="majorBidi" w:cstheme="majorBidi"/>
          <w:sz w:val="26"/>
          <w:szCs w:val="26"/>
          <w:rtl/>
        </w:rPr>
        <w:t xml:space="preserve"> دولار أمريكي في شكل مشاركة في التمويل. ويغطي المشروع تسعة بلدان في ثلاث مجموعات تخضع للأولوية (البلدان الأقل نموا والدول النامية الجزرية الصغيرة والدول الأفريقية) ويركز على التنظيم والسياسات والمساعدات التقنية والتمويل للمعالجة والمساعدة في إزالة الحواجز أمام استثمارات التبريد المستدام. وسوف ينفذ المشروع خلال عشر سنوات. وتتضمن الإجراءات المقررة تمويل الاستثمارات في التكنولوجيات والنظم المبتكرة للتبريد الصديقة للمناخ وتوفير بيئة ممكنة لتعزيز الأطر المؤسسية والسياساتية والتنظيمية وبناء قدرات أصحاب المصلحة في التكنولوجيات ونماذج العمل وتقييم وتنفيذ مشروع التبريد.</w:t>
      </w:r>
    </w:p>
    <w:p w14:paraId="49958B18" w14:textId="77777777" w:rsidR="002D440B" w:rsidRPr="00E57D77" w:rsidRDefault="002D440B" w:rsidP="002D440B">
      <w:pPr>
        <w:bidi/>
        <w:jc w:val="left"/>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0905EF63" w14:textId="77777777" w:rsidR="002D440B" w:rsidRPr="00E57D77" w:rsidRDefault="002D440B" w:rsidP="002D440B">
      <w:pPr>
        <w:bidi/>
        <w:jc w:val="left"/>
        <w:rPr>
          <w:rFonts w:asciiTheme="majorBidi" w:hAnsiTheme="majorBidi" w:cstheme="majorBidi"/>
          <w:sz w:val="26"/>
          <w:szCs w:val="26"/>
        </w:rPr>
      </w:pPr>
    </w:p>
    <w:p w14:paraId="43BD705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يمكن للبلدان النامية الأطراف في اتفاقية الأمم المتحد الإطارية الحصول على التمويل من صندوق المنااخ الأخضر. ويمكن تقديم مذكرات التفاهم ومقترحات التمويل لمختلف البلدان للتمويل من الصندوق من خلال الكيانات المعتمدة. ويتضمن ذلك كيانات الحصول المباشر وكيانات الحصول الدولية.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39"/>
      </w:r>
      <w:r w:rsidRPr="00E57D77">
        <w:rPr>
          <w:rFonts w:asciiTheme="majorBidi" w:hAnsiTheme="majorBidi" w:cstheme="majorBidi"/>
          <w:sz w:val="26"/>
          <w:szCs w:val="26"/>
          <w:rtl/>
        </w:rPr>
        <w:t xml:space="preserve"> وقد وافق مجلس إدارة الصندزق حتى 6 يناير/ كانون الثاني 2022 على اعتماد 113 كيانا.</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0"/>
      </w:r>
    </w:p>
    <w:p w14:paraId="558CCA52" w14:textId="77777777" w:rsidR="002D440B" w:rsidRPr="00E57D77" w:rsidRDefault="002D440B" w:rsidP="002D440B">
      <w:pPr>
        <w:bidi/>
        <w:jc w:val="left"/>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153A9584" w14:textId="77777777" w:rsidR="002D440B" w:rsidRPr="00E57D77" w:rsidRDefault="002D440B" w:rsidP="002D440B">
      <w:pPr>
        <w:bidi/>
        <w:jc w:val="left"/>
        <w:rPr>
          <w:rFonts w:asciiTheme="majorBidi" w:hAnsiTheme="majorBidi" w:cstheme="majorBidi"/>
          <w:iCs/>
          <w:sz w:val="26"/>
          <w:szCs w:val="26"/>
        </w:rPr>
      </w:pPr>
    </w:p>
    <w:p w14:paraId="0386A7B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يستخدم صندوق المناخ الأخضر توليفة من الوسائل المالية لتمويل المشروعات بما في ذلك المنح والوسائل غير المنح (مثل القروض والسندات والضمانات وغير ذلك) وتتحمل الكيانات المعتمدة مسؤولية تقديم مذكرات التفاهم ومقترحات المشروعات للصندوق ثم الإشراف ومراقبة وإدارة ورصد المشروعات والبرامج الشاملة الموافق عليها من الصندوق. وتتضمن عملية إعداد المشروعات والموافقة عليها إعداد وتقديم مذكرات التفاهم وتقديم مقترح تمويل المشروع والتقييم التفصيلي لمقترح التمويل بما في ذلك الشرائح ومعايير الاستثمار للصندوق وموافقة مجلس إدارة الصندوق والانتهاء من وضع الاتفاق القانوني للتنفيذ.</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1"/>
      </w:r>
    </w:p>
    <w:p w14:paraId="5FDE061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ولدى المرفق أيضا مخطط رائد لعملية الموافقة للمشروعات والبرامج الصغيرة النطاق التي تتطلب مساهمة المرفق بمبلغ يصل الى 10 مليون دولار أمريكي بموجب بعض الشروط.</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2"/>
      </w:r>
    </w:p>
    <w:p w14:paraId="639D0ABB"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وعلاوة على ذلك، يسعى الصندوق من خلال طلبات المقترحات والبرامج الرائدة التي تركز على مواضيع معينة الى استهداف تلك المجالات التي لديها إمكانيات كبيرة إلاّ أنها لا تمول بصورة كافية من خلال القنوات الجارية لمعالجة الثغرات في التمويل الجاري لمجالات المناخ وعلى ذلك فإن طلبات المقترحات تختلف عن غيرها ويقترح الصندوق أن يتصل مقدمو المشروعات بأمانة الصندوق للتحقق من أن مشروعات المناخ المقترحة تحقق مجموعة المعايير.</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3"/>
      </w:r>
    </w:p>
    <w:p w14:paraId="1AB1885E" w14:textId="77777777" w:rsidR="002D440B" w:rsidRPr="00E57D77" w:rsidRDefault="002D440B" w:rsidP="002D440B">
      <w:pPr>
        <w:bidi/>
        <w:rPr>
          <w:rFonts w:asciiTheme="majorBidi" w:hAnsiTheme="majorBidi" w:cstheme="majorBidi"/>
          <w:bCs/>
          <w:sz w:val="26"/>
          <w:szCs w:val="26"/>
        </w:rPr>
      </w:pPr>
      <w:r w:rsidRPr="00E57D77">
        <w:rPr>
          <w:rFonts w:asciiTheme="majorBidi" w:hAnsiTheme="majorBidi" w:cstheme="majorBidi"/>
          <w:bCs/>
          <w:sz w:val="26"/>
          <w:szCs w:val="26"/>
          <w:rtl/>
        </w:rPr>
        <w:t>ب</w:t>
      </w:r>
      <w:r w:rsidRPr="00E57D77">
        <w:rPr>
          <w:rFonts w:asciiTheme="majorBidi" w:hAnsiTheme="majorBidi" w:cstheme="majorBidi"/>
          <w:bCs/>
          <w:sz w:val="26"/>
          <w:szCs w:val="26"/>
          <w:rtl/>
        </w:rPr>
        <w:tab/>
        <w:t xml:space="preserve">المفوضية الأوروبية وبنوك التنمية الإقليمية والمتعددة الأطراف </w:t>
      </w:r>
    </w:p>
    <w:p w14:paraId="27C94F39" w14:textId="77777777" w:rsidR="002D440B" w:rsidRPr="00E57D77" w:rsidRDefault="002D440B" w:rsidP="002D440B">
      <w:pPr>
        <w:keepNext/>
        <w:bidi/>
        <w:jc w:val="left"/>
        <w:rPr>
          <w:rFonts w:asciiTheme="majorBidi" w:hAnsiTheme="majorBidi" w:cstheme="majorBidi"/>
          <w:b/>
          <w:sz w:val="26"/>
          <w:szCs w:val="26"/>
          <w:lang w:bidi="ar-EG"/>
        </w:rPr>
      </w:pPr>
    </w:p>
    <w:p w14:paraId="70F105B6" w14:textId="77777777" w:rsidR="002D440B" w:rsidRPr="00E57D77" w:rsidRDefault="002D440B" w:rsidP="002D440B">
      <w:pPr>
        <w:bidi/>
        <w:jc w:val="left"/>
        <w:rPr>
          <w:rFonts w:asciiTheme="majorBidi" w:hAnsiTheme="majorBidi" w:cstheme="majorBidi"/>
          <w:b/>
          <w:i/>
          <w:iCs/>
          <w:sz w:val="26"/>
          <w:szCs w:val="26"/>
          <w:u w:val="single"/>
          <w:rtl/>
          <w:lang w:bidi="ar-EG"/>
        </w:rPr>
      </w:pPr>
      <w:r w:rsidRPr="00E57D77">
        <w:rPr>
          <w:rFonts w:asciiTheme="majorBidi" w:hAnsiTheme="majorBidi" w:cstheme="majorBidi"/>
          <w:b/>
          <w:i/>
          <w:iCs/>
          <w:sz w:val="26"/>
          <w:szCs w:val="26"/>
          <w:u w:val="single"/>
          <w:rtl/>
        </w:rPr>
        <w:t>المفوضية الأوروبية</w:t>
      </w:r>
    </w:p>
    <w:p w14:paraId="6975064F" w14:textId="77777777" w:rsidR="002D440B" w:rsidRPr="00E57D77" w:rsidRDefault="002D440B" w:rsidP="002D440B">
      <w:pPr>
        <w:bidi/>
        <w:jc w:val="left"/>
        <w:rPr>
          <w:rFonts w:asciiTheme="majorBidi" w:hAnsiTheme="majorBidi" w:cstheme="majorBidi"/>
          <w:b/>
          <w:sz w:val="26"/>
          <w:szCs w:val="26"/>
        </w:rPr>
      </w:pPr>
    </w:p>
    <w:p w14:paraId="497FF3D1" w14:textId="77777777" w:rsidR="002D440B" w:rsidRPr="00E57D77" w:rsidRDefault="002D440B" w:rsidP="002D440B">
      <w:pPr>
        <w:bidi/>
        <w:jc w:val="left"/>
        <w:rPr>
          <w:rFonts w:asciiTheme="majorBidi" w:hAnsiTheme="majorBidi" w:cstheme="majorBidi"/>
          <w:iCs/>
          <w:sz w:val="26"/>
          <w:szCs w:val="26"/>
        </w:rPr>
      </w:pPr>
      <w:r w:rsidRPr="00E57D77">
        <w:rPr>
          <w:rFonts w:asciiTheme="majorBidi" w:hAnsiTheme="majorBidi" w:cstheme="majorBidi"/>
          <w:iCs/>
          <w:sz w:val="26"/>
          <w:szCs w:val="26"/>
          <w:rtl/>
        </w:rPr>
        <w:t>عام</w:t>
      </w:r>
    </w:p>
    <w:p w14:paraId="4CB98113" w14:textId="77777777" w:rsidR="002D440B" w:rsidRPr="00E57D77" w:rsidRDefault="002D440B" w:rsidP="002D440B">
      <w:pPr>
        <w:bidi/>
        <w:jc w:val="left"/>
        <w:rPr>
          <w:rFonts w:asciiTheme="majorBidi" w:hAnsiTheme="majorBidi" w:cstheme="majorBidi"/>
          <w:sz w:val="26"/>
          <w:szCs w:val="26"/>
        </w:rPr>
      </w:pPr>
    </w:p>
    <w:p w14:paraId="0399A22E"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تبلغ ميزانية الاتحاد الأوروبي لسبع سنوات للفترة من 2021 الى 2027 (الإطار المالي المتعدد السنوات) نحو </w:t>
      </w:r>
      <w:r w:rsidRPr="00E57D77">
        <w:rPr>
          <w:rFonts w:asciiTheme="majorBidi" w:hAnsiTheme="majorBidi" w:cstheme="majorBidi"/>
          <w:sz w:val="26"/>
          <w:szCs w:val="26"/>
        </w:rPr>
        <w:t>1,824</w:t>
      </w:r>
      <w:r w:rsidRPr="00E57D77">
        <w:rPr>
          <w:rFonts w:asciiTheme="majorBidi" w:hAnsiTheme="majorBidi" w:cstheme="majorBidi"/>
          <w:sz w:val="26"/>
          <w:szCs w:val="26"/>
          <w:rtl/>
        </w:rPr>
        <w:t xml:space="preserve"> مليار يورو (</w:t>
      </w:r>
      <w:r w:rsidRPr="00E57D77">
        <w:rPr>
          <w:rFonts w:asciiTheme="majorBidi" w:hAnsiTheme="majorBidi" w:cstheme="majorBidi"/>
          <w:sz w:val="26"/>
          <w:szCs w:val="26"/>
        </w:rPr>
        <w:t>2,014.6</w:t>
      </w:r>
      <w:r w:rsidRPr="00E57D77">
        <w:rPr>
          <w:rFonts w:asciiTheme="majorBidi" w:hAnsiTheme="majorBidi" w:cstheme="majorBidi"/>
          <w:sz w:val="26"/>
          <w:szCs w:val="26"/>
          <w:rtl/>
        </w:rPr>
        <w:t xml:space="preserve"> مليار دولار أمريكي). ومن هذا الرقم يذهب لمؤسسة التعاون الجيراني والإنمائي والدولي، أوروبا عالميا ميزانية تبلغ </w:t>
      </w:r>
      <w:r w:rsidRPr="00E57D77">
        <w:rPr>
          <w:rFonts w:asciiTheme="majorBidi" w:hAnsiTheme="majorBidi" w:cstheme="majorBidi"/>
          <w:sz w:val="26"/>
          <w:szCs w:val="26"/>
        </w:rPr>
        <w:t>79.5</w:t>
      </w:r>
      <w:r w:rsidRPr="00E57D77">
        <w:rPr>
          <w:rFonts w:asciiTheme="majorBidi" w:hAnsiTheme="majorBidi" w:cstheme="majorBidi"/>
          <w:sz w:val="26"/>
          <w:szCs w:val="26"/>
          <w:rtl/>
        </w:rPr>
        <w:t xml:space="preserve"> مليار يورو (</w:t>
      </w:r>
      <w:r w:rsidRPr="00E57D77">
        <w:rPr>
          <w:rFonts w:asciiTheme="majorBidi" w:hAnsiTheme="majorBidi" w:cstheme="majorBidi"/>
          <w:sz w:val="26"/>
          <w:szCs w:val="26"/>
        </w:rPr>
        <w:t>87.8</w:t>
      </w:r>
      <w:r w:rsidRPr="00E57D77">
        <w:rPr>
          <w:rFonts w:asciiTheme="majorBidi" w:hAnsiTheme="majorBidi" w:cstheme="majorBidi"/>
          <w:sz w:val="26"/>
          <w:szCs w:val="26"/>
          <w:rtl/>
        </w:rPr>
        <w:t xml:space="preserve"> مليار دولار أمريكي)، وتضم سبع مؤسسات تمويل سابقة</w:t>
      </w:r>
      <w:r w:rsidRPr="00E57D77">
        <w:rPr>
          <w:rStyle w:val="FootnoteReference"/>
          <w:rFonts w:asciiTheme="majorBidi" w:hAnsiTheme="majorBidi" w:cstheme="majorBidi"/>
          <w:sz w:val="26"/>
          <w:szCs w:val="26"/>
        </w:rPr>
        <w:footnoteReference w:id="44"/>
      </w:r>
      <w:r w:rsidRPr="00E57D77">
        <w:rPr>
          <w:rFonts w:asciiTheme="majorBidi" w:hAnsiTheme="majorBidi" w:cstheme="majorBidi"/>
          <w:sz w:val="26"/>
          <w:szCs w:val="26"/>
          <w:rtl/>
        </w:rPr>
        <w:t xml:space="preserve"> تمول الإجراءات الخارجية لتتحول الى مؤسسة واحدة أكثر شفافية ومرونة. وكان قد ووفق على مؤسسة التعاون الجيراني والإنمائي والدولي ودخولها حيز النفاذ في 14 يونيه/ حزيران 2021، ويتوقع أن تقدم الدعم للبلدان المحتاجة لتحقيق الالتزامات والأهداف الدولية التي وافق عليها الاتحاد الأوروبي وخاصة أهداف التنمية الستدامة، وجدول أعمال 2030 واتفاق باريس.</w:t>
      </w:r>
    </w:p>
    <w:p w14:paraId="37EF5DE2"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ويمثل مصرف الاستثمار الأوروبي ذراع الإقراض في الاتحاد الأوروبي. ويتمثل أحد الأهداف ذات الأولوية لمصرف الاستثمار الأوروبي في استدامة المناخ والبيئة. ويعمل المصرف مع منظمات القطاعين العام والخاص لزيادة الاستثمارات التي تساعد في استدامة المناخ والبيئة. ويقدم المصرف القروض بالدرجة الأولى للشركات الكبرى ويقدم المساعدة للمصارف المحلية وتمويل المشروعات الصغيرة.</w:t>
      </w:r>
    </w:p>
    <w:p w14:paraId="74F17027"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6D688C30" w14:textId="77777777" w:rsidR="002D440B" w:rsidRPr="00E57D77" w:rsidRDefault="002D440B" w:rsidP="002D440B">
      <w:pPr>
        <w:bidi/>
        <w:rPr>
          <w:rFonts w:asciiTheme="majorBidi" w:hAnsiTheme="majorBidi" w:cstheme="majorBidi"/>
          <w:sz w:val="26"/>
          <w:szCs w:val="26"/>
        </w:rPr>
      </w:pPr>
    </w:p>
    <w:p w14:paraId="5ED70FB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يمكن للبلدان المؤهلة للدعم من خلال لجنة المساعدات الإنمائية في منظمة التعاون الاقتصادي والتنمية الحصول على الدعم التمويلي. وعلى الرغم من عدم وجود تمويل محدد لمشروعات كفاءة استخدام الطاقة، يمكن وضع العناصر المتعلقة بكفاءة استخدام الطاقة باعتبارها مشروعات كاملة و/أو جزء من المشروعات الأخرى ذات الصلة.</w:t>
      </w:r>
    </w:p>
    <w:p w14:paraId="7B839AB3" w14:textId="77777777" w:rsidR="002D440B" w:rsidRPr="00E57D77" w:rsidRDefault="002D440B" w:rsidP="003C337B">
      <w:pPr>
        <w:keepNext/>
        <w:keepLines/>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02D2CB74" w14:textId="77777777" w:rsidR="002D440B" w:rsidRPr="00E57D77" w:rsidRDefault="002D440B" w:rsidP="003C337B">
      <w:pPr>
        <w:keepNext/>
        <w:keepLines/>
        <w:bidi/>
        <w:rPr>
          <w:rFonts w:asciiTheme="majorBidi" w:hAnsiTheme="majorBidi" w:cstheme="majorBidi"/>
          <w:i/>
          <w:sz w:val="26"/>
          <w:szCs w:val="26"/>
        </w:rPr>
      </w:pPr>
    </w:p>
    <w:p w14:paraId="6BD3CF85" w14:textId="77777777" w:rsidR="002D440B" w:rsidRPr="00E57D77" w:rsidRDefault="002D440B" w:rsidP="003C337B">
      <w:pPr>
        <w:pStyle w:val="Heading1"/>
        <w:keepNext/>
        <w:keepLines/>
        <w:bidi/>
        <w:rPr>
          <w:rFonts w:asciiTheme="majorBidi" w:hAnsiTheme="majorBidi" w:cstheme="majorBidi"/>
          <w:sz w:val="26"/>
          <w:szCs w:val="26"/>
        </w:rPr>
      </w:pPr>
      <w:r w:rsidRPr="00E57D77">
        <w:rPr>
          <w:rFonts w:asciiTheme="majorBidi" w:hAnsiTheme="majorBidi" w:cstheme="majorBidi"/>
          <w:sz w:val="26"/>
          <w:szCs w:val="26"/>
          <w:rtl/>
        </w:rPr>
        <w:t>يتم الدعم التمويلي للاتحاد الأوروبي للبلدان في شكل منح فضلا عن الوسائل غير المنح.</w:t>
      </w:r>
    </w:p>
    <w:p w14:paraId="37CD0BDE"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وبالنسبة لتمويل المشروعات، يوقع عقد مع البلد المستفيد والمنظمة المنفذة بالاعتماد على مقترح المشروع الذي يقدمه البلد أو المنظمة المنفذة. ويجري النظر الى هذه المقترحات استنادا الى البرامج الإشارية المتعددة السنوات التي تحدد الأولويات السياسية وطرائقها. وتشمل بنود العقد </w:t>
      </w:r>
      <w:r w:rsidRPr="00E57D77">
        <w:rPr>
          <w:rFonts w:asciiTheme="majorBidi" w:hAnsiTheme="majorBidi" w:cstheme="majorBidi"/>
          <w:i/>
          <w:iCs/>
          <w:sz w:val="26"/>
          <w:szCs w:val="26"/>
          <w:rtl/>
        </w:rPr>
        <w:t>ضمن جملة أمور</w:t>
      </w:r>
      <w:r w:rsidRPr="00E57D77">
        <w:rPr>
          <w:rFonts w:asciiTheme="majorBidi" w:hAnsiTheme="majorBidi" w:cstheme="majorBidi"/>
          <w:sz w:val="26"/>
          <w:szCs w:val="26"/>
          <w:rtl/>
        </w:rPr>
        <w:t xml:space="preserve"> تنفيذ المشروع وشروط الإبلاغ الواردة في الإطار التعاقدي للاتحاد الأوروبي.</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5"/>
      </w:r>
    </w:p>
    <w:p w14:paraId="504D197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ويمكن تعبئة تمويل الاتحاد الأوروبي من خلال إطار شراكة أو ما يعادل ذلك يتضمن وضع طرائق التنفيذ الخاصة بإطار الشراكة بالاتصال مع إدارة أو أدوات الاتحاد الأوروبي المعنية. ووفقا لنتائج المشروع، يتعين أن يدور تمويل المشروع من خلال المديرية العامة المعنية مثل المديرية العامة للشراكة الدولية، والمديرية العامة لعمل الخاص بالمناخ، والمديرية العامة للطاقة العامة اعتمادا على نتائج المشروع وفيمايلي عرض عام للإجراءات المتبعة: </w:t>
      </w:r>
    </w:p>
    <w:p w14:paraId="38D5DD11" w14:textId="77777777" w:rsidR="002D440B" w:rsidRPr="00E57D77" w:rsidRDefault="002D440B" w:rsidP="002D440B">
      <w:pPr>
        <w:pStyle w:val="Heading2"/>
        <w:numPr>
          <w:ilvl w:val="0"/>
          <w:numId w:val="35"/>
        </w:numPr>
        <w:bidi/>
        <w:ind w:left="720" w:hanging="720"/>
        <w:rPr>
          <w:rFonts w:asciiTheme="majorBidi" w:hAnsiTheme="majorBidi" w:cstheme="majorBidi"/>
          <w:sz w:val="26"/>
          <w:szCs w:val="26"/>
        </w:rPr>
      </w:pPr>
      <w:r w:rsidRPr="00E57D77">
        <w:rPr>
          <w:rFonts w:asciiTheme="majorBidi" w:hAnsiTheme="majorBidi" w:cstheme="majorBidi"/>
          <w:sz w:val="26"/>
          <w:szCs w:val="26"/>
          <w:rtl/>
        </w:rPr>
        <w:t>تعمل إدارة الاتحاد الأوروبي المعنية (سواء في المديرية العامة أو في تفويض للاتحاد الأوروبي) مع موظف المشروعات في المشروعات الدولية على وضع/ تمويل مذكرة تفاهم للمشروع (تتضمن مساهمة الاتحاد الأوروبي المالية الإشارية التي سيجري تأكيدها في وقت لاحق) بشأن الموضوع البيئي ذي الاهتمام المشترك والذي يمكن أن يسفر عن مشروع/ برنامج ممول من الاتحاد الأوروبي؛</w:t>
      </w:r>
    </w:p>
    <w:p w14:paraId="7F8EA6EB" w14:textId="77777777" w:rsidR="002D440B" w:rsidRPr="00E57D77" w:rsidRDefault="002D440B" w:rsidP="002D440B">
      <w:pPr>
        <w:pStyle w:val="Heading2"/>
        <w:numPr>
          <w:ilvl w:val="0"/>
          <w:numId w:val="35"/>
        </w:numPr>
        <w:bidi/>
        <w:ind w:left="720" w:hanging="720"/>
        <w:rPr>
          <w:rFonts w:asciiTheme="majorBidi" w:hAnsiTheme="majorBidi" w:cstheme="majorBidi"/>
          <w:sz w:val="26"/>
          <w:szCs w:val="26"/>
        </w:rPr>
      </w:pPr>
      <w:r w:rsidRPr="00E57D77">
        <w:rPr>
          <w:rFonts w:asciiTheme="majorBidi" w:hAnsiTheme="majorBidi" w:cstheme="majorBidi"/>
          <w:sz w:val="26"/>
          <w:szCs w:val="26"/>
          <w:rtl/>
        </w:rPr>
        <w:t>ويتم على أساس المفهوم الموافق عليه، قيام موظف المشروعات في المشروعات الدولية بوضع وثائق المشروع (وصف الإجراءات وإطار الدفاتر الميزانية وخطة التواصل وغير ذلك) لمراجعة أو موافقة الإدارة في الاتحاد الأوروبي؛</w:t>
      </w:r>
    </w:p>
    <w:p w14:paraId="1EA68C18" w14:textId="77777777" w:rsidR="002D440B" w:rsidRPr="00E57D77" w:rsidRDefault="002D440B" w:rsidP="002D440B">
      <w:pPr>
        <w:pStyle w:val="Heading2"/>
        <w:numPr>
          <w:ilvl w:val="0"/>
          <w:numId w:val="35"/>
        </w:numPr>
        <w:bidi/>
        <w:ind w:left="720" w:hanging="720"/>
        <w:rPr>
          <w:rFonts w:asciiTheme="majorBidi" w:hAnsiTheme="majorBidi" w:cstheme="majorBidi"/>
          <w:sz w:val="26"/>
          <w:szCs w:val="26"/>
        </w:rPr>
      </w:pPr>
      <w:r w:rsidRPr="00E57D77">
        <w:rPr>
          <w:rFonts w:asciiTheme="majorBidi" w:hAnsiTheme="majorBidi" w:cstheme="majorBidi"/>
          <w:sz w:val="26"/>
          <w:szCs w:val="26"/>
          <w:rtl/>
        </w:rPr>
        <w:t>ولدى الموافقة على وثائق المشروع من جانب إدارة الاتحاد الأوروبي، والانتهاء من عملية الإجراءات الداخلية، تصدر إدارة الاتحاد الأوروبي الاتفاق للتوقيع عليه من جانب المشروعات الدولية. تنشر خدمة الاتحاد الأوروبي الاتفاق للتوقيع بواسطة موظف المشروعات (يتضمن الاتفاق وثائق المشروع الموافق عليها والمرفقات الإضافية باستخدام نموذج الاتحاد الأوروبي).</w:t>
      </w:r>
    </w:p>
    <w:p w14:paraId="76593EF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ووفقا للإجراءات الحالية، تدار الاتفاقات الجديدة مع الاتحاد الأوروبي بالكامل بفضل البرنامج الرائد للتمويل في الاتحاد الأوروبي الدورة الكاملة للمشروعات الممولة من الاتحاد الأوروبي اعتبارا من إصدار الاتفاق الى أن يتم اختتام الاتفاق/ المشروع.</w:t>
      </w:r>
    </w:p>
    <w:p w14:paraId="58D1B085" w14:textId="77777777" w:rsidR="002D440B" w:rsidRPr="00E57D77" w:rsidRDefault="002D440B" w:rsidP="002D440B">
      <w:pPr>
        <w:keepNext/>
        <w:bidi/>
        <w:jc w:val="left"/>
        <w:rPr>
          <w:rFonts w:asciiTheme="majorBidi" w:hAnsiTheme="majorBidi" w:cstheme="majorBidi"/>
          <w:b/>
          <w:iCs/>
          <w:sz w:val="26"/>
          <w:szCs w:val="26"/>
          <w:u w:val="single"/>
        </w:rPr>
      </w:pPr>
      <w:r w:rsidRPr="00E57D77">
        <w:rPr>
          <w:rFonts w:asciiTheme="majorBidi" w:hAnsiTheme="majorBidi" w:cstheme="majorBidi"/>
          <w:b/>
          <w:iCs/>
          <w:sz w:val="26"/>
          <w:szCs w:val="26"/>
          <w:u w:val="single"/>
          <w:rtl/>
        </w:rPr>
        <w:t>مصرف التنمية الآسيوي</w:t>
      </w:r>
    </w:p>
    <w:p w14:paraId="7F6DC50A" w14:textId="77777777" w:rsidR="002D440B" w:rsidRPr="00E57D77" w:rsidRDefault="002D440B" w:rsidP="002D440B">
      <w:pPr>
        <w:keepNext/>
        <w:bidi/>
        <w:jc w:val="left"/>
        <w:rPr>
          <w:rFonts w:asciiTheme="majorBidi" w:hAnsiTheme="majorBidi" w:cstheme="majorBidi"/>
          <w:b/>
          <w:sz w:val="26"/>
          <w:szCs w:val="26"/>
        </w:rPr>
      </w:pPr>
    </w:p>
    <w:p w14:paraId="312D11F6" w14:textId="77777777" w:rsidR="002D440B" w:rsidRPr="00E57D77" w:rsidRDefault="002D440B" w:rsidP="002D440B">
      <w:pPr>
        <w:pStyle w:val="Heading1"/>
        <w:keepNext/>
        <w:bidi/>
        <w:rPr>
          <w:rFonts w:asciiTheme="majorBidi" w:hAnsiTheme="majorBidi" w:cstheme="majorBidi"/>
          <w:sz w:val="26"/>
          <w:szCs w:val="26"/>
        </w:rPr>
      </w:pPr>
      <w:r w:rsidRPr="00E57D77">
        <w:rPr>
          <w:rFonts w:asciiTheme="majorBidi" w:hAnsiTheme="majorBidi" w:cstheme="majorBidi"/>
          <w:sz w:val="26"/>
          <w:szCs w:val="26"/>
          <w:rtl/>
        </w:rPr>
        <w:t>يغزو مصرف التنمية الآسيوي بلدان آسيا والمحيط الهادئ المزدهرة ا والمستقلة والمرنة والمستدامة . ويدعم المصرف أعضاءه وشركاءه لاستئصال الفقر المدقع في المنطقة. ويساعد المصرف أعضاءه وشركاءه من خلال توفير القروض والمساعدات التقنية، والمنح واستثمارات بالسندات للترويج للتنمية الاجتماعية والاقتصادية.</w:t>
      </w:r>
    </w:p>
    <w:p w14:paraId="2916D1A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ويعتبر الترويج للاستثمار في كفاءة استخدام الطاقة سواء من جانب العرض أو الطلب جزءا أساسيا من وضع الطاقة النظيفة في مصرف التنمية الآسيوي لتحويل الطاقة الى تلك المنخفضة ثاني أكسيد الكربون بالإضافة الى الترويج للمستجدات. ويجري تمويل الأنشطة ذات الصلة بكفاءة استخدام الطاقة بموجب المشروعات المتعلقة بها التي تمول بواسطة الصندوق الآسيوي للطاقة النظيفة في إطار مرفق الشراكة لتمويل الطاقة النظيفة التي يتولى المصرف بإدارته بالكامل، وعلاوة على ذلك يمكن أيضا استخدام المصادر الأخرى مثل صندوق التكنولوجيا الرفيعة المستوى، والصندوق الياباني وصندوق التخفيف من حدة الفقرة والتعاون الإقليمي لدى جمهورية الصين الشعبية لدعم المشروعات في</w:t>
      </w:r>
      <w:r w:rsidRPr="00E57D77">
        <w:rPr>
          <w:rFonts w:asciiTheme="majorBidi" w:hAnsiTheme="majorBidi" w:cstheme="majorBidi"/>
          <w:sz w:val="26"/>
          <w:szCs w:val="26"/>
          <w:rtl/>
          <w:lang w:bidi="ar-EG"/>
        </w:rPr>
        <w:t xml:space="preserve"> </w:t>
      </w:r>
      <w:r w:rsidRPr="00E57D77">
        <w:rPr>
          <w:rFonts w:asciiTheme="majorBidi" w:hAnsiTheme="majorBidi" w:cstheme="majorBidi"/>
          <w:sz w:val="26"/>
          <w:szCs w:val="26"/>
          <w:rtl/>
        </w:rPr>
        <w:t>قطاعات التبريد وتكييف الهواء واستخدامات الرغاوي.</w:t>
      </w:r>
    </w:p>
    <w:p w14:paraId="6B74B6FF" w14:textId="77777777" w:rsidR="002D440B" w:rsidRPr="00E57D77" w:rsidRDefault="002D440B" w:rsidP="002D440B">
      <w:pPr>
        <w:bidi/>
        <w:jc w:val="left"/>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779D4699" w14:textId="77777777" w:rsidR="002D440B" w:rsidRPr="00E57D77" w:rsidRDefault="002D440B" w:rsidP="002D440B">
      <w:pPr>
        <w:bidi/>
        <w:jc w:val="left"/>
        <w:rPr>
          <w:rFonts w:asciiTheme="majorBidi" w:hAnsiTheme="majorBidi" w:cstheme="majorBidi"/>
          <w:sz w:val="26"/>
          <w:szCs w:val="26"/>
        </w:rPr>
      </w:pPr>
    </w:p>
    <w:p w14:paraId="67AA666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جميع البلدان الأأعضاء من الدول النامية في مصرف التنمية الآسيوي مؤهلة للتمويل باستثناء تلك التي </w:t>
      </w:r>
      <w:r w:rsidRPr="00E57D77">
        <w:rPr>
          <w:rFonts w:asciiTheme="majorBidi" w:hAnsiTheme="majorBidi" w:cstheme="majorBidi"/>
          <w:sz w:val="26"/>
          <w:szCs w:val="26"/>
          <w:rtl/>
          <w:lang w:bidi="ar-EG"/>
        </w:rPr>
        <w:t>خرجت من مساعدات المصرف العادية.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6"/>
      </w:r>
    </w:p>
    <w:p w14:paraId="0F282D68" w14:textId="77777777" w:rsidR="002D440B" w:rsidRPr="00E57D77" w:rsidRDefault="002D440B" w:rsidP="002D440B">
      <w:pPr>
        <w:pStyle w:val="Heading1"/>
        <w:numPr>
          <w:ilvl w:val="0"/>
          <w:numId w:val="0"/>
        </w:numPr>
        <w:bidi/>
        <w:jc w:val="left"/>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13629F0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تمول جميع مشروعات ومكونات كفاءة استخدام الطاقة يقل من المنح والوسائل الأخرى غير المنح. ولايوجد حد أدنى لتمويل المشروعات.</w:t>
      </w:r>
    </w:p>
    <w:p w14:paraId="497BF536"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يتعين تنسيق العمليات التي يتبعها البلد للحصول على التمويل مع مكتب مصرف التنمية الآسيوي الخاصة بعمليات التمويل ويحشد هذا المكتب وييسر التمويل المشترك في أشكال مثل القروض الميسرة والمنح للمشروعات الاستثمارية والمساعدات التقنية. وتتحدد استدامة المشروعات بالاستناد الى استراتيجيات الشراكة القطرية لدى مصرف التنمية الآسيوي</w:t>
      </w:r>
      <w:r w:rsidRPr="00E57D77">
        <w:rPr>
          <w:rStyle w:val="FootnoteReference"/>
          <w:rFonts w:asciiTheme="majorBidi" w:hAnsiTheme="majorBidi" w:cstheme="majorBidi"/>
          <w:sz w:val="26"/>
          <w:szCs w:val="26"/>
        </w:rPr>
        <w:footnoteReference w:id="47"/>
      </w:r>
      <w:r w:rsidRPr="00E57D77">
        <w:rPr>
          <w:rFonts w:asciiTheme="majorBidi" w:hAnsiTheme="majorBidi" w:cstheme="majorBidi"/>
          <w:sz w:val="26"/>
          <w:szCs w:val="26"/>
          <w:rtl/>
        </w:rPr>
        <w:t xml:space="preserve"> وخطط أعمال العمليات القطرية.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8"/>
      </w:r>
    </w:p>
    <w:p w14:paraId="337AE366"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وللحصول على الدعم المالي من مصرف التنمية الأسيوى، يتعين على المقدم إعداد مذكرة تفاهم وتقديمها لموظف المشروع المعني لاستعراضها. وسيجد موظف المشروع مصادر التمويل المناسبة من مصرف التنمية الآسيوي لتجهيزه.</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49"/>
      </w:r>
      <w:r w:rsidRPr="00E57D77">
        <w:rPr>
          <w:rFonts w:asciiTheme="majorBidi" w:hAnsiTheme="majorBidi" w:cstheme="majorBidi"/>
          <w:sz w:val="26"/>
          <w:szCs w:val="26"/>
          <w:rtl/>
        </w:rPr>
        <w:t xml:space="preserve"> ويمكن لموظف المشروع أن يستخدم الأموال المتاحة من خلال الصناديق المتعددة الأطراف (مثل مرفق البيئة العالمية) لتمويل جزء من المشروع المقترح في مصرف التنمية الآسيوي. وسيتصل موظفو المشروع بمدير الأموال لمراجعة المتوافر من الأموال وتحقيق الإجراءات اللازمة (مثل ملء الاستمارة ذات الصلة) لضمان هذه الأموال.</w:t>
      </w:r>
    </w:p>
    <w:p w14:paraId="0C727E2C" w14:textId="77777777" w:rsidR="002D440B" w:rsidRPr="00E57D77" w:rsidRDefault="002D440B" w:rsidP="002D440B">
      <w:pPr>
        <w:bidi/>
        <w:jc w:val="left"/>
        <w:rPr>
          <w:rFonts w:asciiTheme="majorBidi" w:hAnsiTheme="majorBidi" w:cstheme="majorBidi"/>
          <w:iCs/>
          <w:sz w:val="26"/>
          <w:szCs w:val="26"/>
          <w:u w:val="single"/>
          <w:rtl/>
          <w:lang w:bidi="ar-EG"/>
        </w:rPr>
      </w:pPr>
      <w:r w:rsidRPr="00E57D77">
        <w:rPr>
          <w:rFonts w:asciiTheme="majorBidi" w:hAnsiTheme="majorBidi" w:cstheme="majorBidi"/>
          <w:iCs/>
          <w:sz w:val="26"/>
          <w:szCs w:val="26"/>
          <w:u w:val="single"/>
          <w:rtl/>
          <w:lang w:bidi="ar-EG"/>
        </w:rPr>
        <w:t>مجموعة مصرف التنمية الأفريقي</w:t>
      </w:r>
    </w:p>
    <w:p w14:paraId="1F5F27B7" w14:textId="77777777" w:rsidR="002D440B" w:rsidRPr="00E57D77" w:rsidRDefault="002D440B" w:rsidP="002D440B">
      <w:pPr>
        <w:bidi/>
        <w:jc w:val="left"/>
        <w:rPr>
          <w:rFonts w:asciiTheme="majorBidi" w:hAnsiTheme="majorBidi" w:cstheme="majorBidi"/>
          <w:b/>
          <w:sz w:val="26"/>
          <w:szCs w:val="26"/>
        </w:rPr>
      </w:pPr>
    </w:p>
    <w:p w14:paraId="20836722" w14:textId="77777777" w:rsidR="002D440B" w:rsidRPr="00E57D77" w:rsidRDefault="002D440B" w:rsidP="002D440B">
      <w:pPr>
        <w:bidi/>
        <w:jc w:val="left"/>
        <w:rPr>
          <w:rFonts w:asciiTheme="majorBidi" w:hAnsiTheme="majorBidi" w:cstheme="majorBidi"/>
          <w:iCs/>
          <w:sz w:val="26"/>
          <w:szCs w:val="26"/>
        </w:rPr>
      </w:pPr>
      <w:r w:rsidRPr="00E57D77">
        <w:rPr>
          <w:rFonts w:asciiTheme="majorBidi" w:hAnsiTheme="majorBidi" w:cstheme="majorBidi"/>
          <w:iCs/>
          <w:sz w:val="26"/>
          <w:szCs w:val="26"/>
          <w:rtl/>
        </w:rPr>
        <w:t>خلفية</w:t>
      </w:r>
    </w:p>
    <w:p w14:paraId="6C183A0C" w14:textId="77777777" w:rsidR="002D440B" w:rsidRPr="00E57D77" w:rsidRDefault="002D440B" w:rsidP="002D440B">
      <w:pPr>
        <w:bidi/>
        <w:jc w:val="left"/>
        <w:rPr>
          <w:rFonts w:asciiTheme="majorBidi" w:hAnsiTheme="majorBidi" w:cstheme="majorBidi"/>
          <w:b/>
          <w:sz w:val="26"/>
          <w:szCs w:val="26"/>
        </w:rPr>
      </w:pPr>
    </w:p>
    <w:p w14:paraId="7877CF2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تتمثل أهداف مجموعة مصرف التنمية الأفريقي في تحفيز التنمية الاقتصادية المستدامة والتقدم الاجتماعي في بلدانها الأعضاء في الإقليم حيث يساهم ذلك في التخفيف من حدة الفقر. وتحقق مجموعة المصرف هذا الهدف من خلال تعبئة وتخصيص الوارد للاستثمار في البلدان الأعضاء من الدول ال</w:t>
      </w:r>
      <w:r w:rsidRPr="00E57D77">
        <w:rPr>
          <w:rFonts w:asciiTheme="majorBidi" w:hAnsiTheme="majorBidi" w:cstheme="majorBidi"/>
          <w:sz w:val="26"/>
          <w:szCs w:val="26"/>
          <w:rtl/>
          <w:lang w:bidi="ar-EG"/>
        </w:rPr>
        <w:t>نامية وتوفير المشورة المتعلقة بالسياسات والمساعدات التقنية لدعم جهود التنمية.</w:t>
      </w:r>
    </w:p>
    <w:p w14:paraId="2751E6B4"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وتمول مشروعات ومكونات كفاءة استخدام الطاقة بواسطة مصرف التنمية الأفريقي بفضل مختلف وسائل تمويل المشروعات، وقد تشكل جزءا من استثماراتها في القطاعات ذات الصلة. وعادة يتولى هذه المشروعات إدارة كفاءة استخدام الطاقة والطاقة المتجددة في مجموعة طاقة القوى والمناخ والنمو الأخضر.</w:t>
      </w:r>
    </w:p>
    <w:p w14:paraId="0C0C4669"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4DF5D467" w14:textId="77777777" w:rsidR="002D440B" w:rsidRPr="00E57D77" w:rsidRDefault="002D440B" w:rsidP="002D440B">
      <w:pPr>
        <w:keepNext/>
        <w:bidi/>
        <w:rPr>
          <w:rFonts w:asciiTheme="majorBidi" w:hAnsiTheme="majorBidi" w:cstheme="majorBidi"/>
          <w:sz w:val="26"/>
          <w:szCs w:val="26"/>
        </w:rPr>
      </w:pPr>
    </w:p>
    <w:p w14:paraId="6AE25E57" w14:textId="77777777" w:rsidR="002D440B" w:rsidRPr="00E57D77" w:rsidRDefault="002D440B" w:rsidP="002D440B">
      <w:pPr>
        <w:pStyle w:val="Heading1"/>
        <w:keepNext/>
        <w:bidi/>
        <w:rPr>
          <w:rFonts w:asciiTheme="majorBidi" w:hAnsiTheme="majorBidi" w:cstheme="majorBidi"/>
          <w:sz w:val="26"/>
          <w:szCs w:val="26"/>
        </w:rPr>
      </w:pPr>
      <w:r w:rsidRPr="00E57D77">
        <w:rPr>
          <w:rFonts w:asciiTheme="majorBidi" w:hAnsiTheme="majorBidi" w:cstheme="majorBidi"/>
          <w:sz w:val="26"/>
          <w:szCs w:val="26"/>
          <w:rtl/>
        </w:rPr>
        <w:t>ويقدم مصرف التنمية الأفريقي المساعدة لأعضائه من البلدان النامية البالغة 54</w:t>
      </w:r>
      <w:r w:rsidRPr="00E57D77">
        <w:rPr>
          <w:rStyle w:val="FootnoteReference"/>
          <w:rFonts w:asciiTheme="majorBidi" w:hAnsiTheme="majorBidi" w:cstheme="majorBidi"/>
          <w:sz w:val="26"/>
          <w:szCs w:val="26"/>
        </w:rPr>
        <w:footnoteReference w:id="50"/>
      </w:r>
      <w:r w:rsidRPr="00E57D77">
        <w:rPr>
          <w:rFonts w:asciiTheme="majorBidi" w:hAnsiTheme="majorBidi" w:cstheme="majorBidi"/>
          <w:sz w:val="26"/>
          <w:szCs w:val="26"/>
          <w:rtl/>
        </w:rPr>
        <w:t xml:space="preserve"> بغرض مساعدتها في تحقيق أهدافها الإنمائية. وتمول مشروعات ومكونات كفاءة استخدام الطاقة بكل من المنح والوسائل غير المنح للكيانات العامة والخاصة.</w:t>
      </w:r>
    </w:p>
    <w:p w14:paraId="094A112A"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79813EE9" w14:textId="77777777" w:rsidR="002D440B" w:rsidRPr="00E57D77" w:rsidRDefault="002D440B" w:rsidP="002D440B">
      <w:pPr>
        <w:bidi/>
        <w:rPr>
          <w:rFonts w:asciiTheme="majorBidi" w:hAnsiTheme="majorBidi" w:cstheme="majorBidi"/>
          <w:sz w:val="26"/>
          <w:szCs w:val="26"/>
        </w:rPr>
      </w:pPr>
    </w:p>
    <w:p w14:paraId="6E577BD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بالنسبة لتمويل المشروعات، ترسل حكومات البلدان النامية الأعضاء طلبا رسميا الى مصرف التنمية الأفريقي مع المعلومات المتعلقة بالمشروع الذي تريد تمويله. ويفحص المصرف الطلب للتأكد مما إذا كان المشروع يتوافق مع الاستراتيجية والأولويات القطرية والخاصة بالمصرف وما إذا كان المشروع سليما من النواحي الاقتصادية والبيئية والمالية والتقنية ومستداما. وبمجرد الانتهاء من فحص المشروع خلال مرحلة الفحص، تشترك الإدارة المعنية مع الحكومة المعنية في وضع مذكرة تفاهم بشأن المشروع استنادا الى المعلومات المقدمة من البلد النامي ومتطلبات مصدر التمويل المعني (أي صندوق الطاقة المستدامة لأفريقيا)،</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1"/>
      </w:r>
      <w:r w:rsidRPr="00E57D77">
        <w:rPr>
          <w:rFonts w:asciiTheme="majorBidi" w:hAnsiTheme="majorBidi" w:cstheme="majorBidi"/>
          <w:sz w:val="26"/>
          <w:szCs w:val="26"/>
          <w:rtl/>
        </w:rPr>
        <w:t xml:space="preserve"> وفي حالة التأكد من التمويل الثنائي (صدوق البيئة العالمي) إذا كان مرضياـ يوافق على مذكرة التفاهم الخاصة بالمشروع بواسطة لجنة إدارة ومصدر التمويل المعني للمضي الى الرحلة التالية حيث يتم خلالها تأكيد فريق المهام في المصرف مع الحكومة وأصحاب المصلحة الأهداف والنتائج المتوقعة من المشروع، وتطوير المشروع لضمان التصميم السليم وسلامته. وتتمثل النتيجة الرئيسية للمشروع في هذه المرحلة في تقرير تقييم المشروع الذي وضعه مدير المهام المعني للمشروع بدعم من أعضاء فريق المهام بما في ذلك المشتريات والإدارة المالية والصرف والضوابط والمسائل الشاملة (الجنسانية وتغير المناخ والنمو الأخضر وغير ذلك) ويقدم تقرير تقييم المشروع لمجلس الإدارة للموافقة وعقب ذلك ينتهي العمل من التمويل وغير ذلك من الاتفاقات القانونية الأخرى ذات الصلة لتنفيذ المشروع.</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2"/>
      </w:r>
    </w:p>
    <w:p w14:paraId="2D3793A5"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ويستخدم التمويل المختلط للمشروعات بأموال من مصادر مختلفة للأموال في بعض المشروعات لتحقيق أهداف المشروع. وسوف تتباين تفاصيل التمويل المختلط باختلاف أنواع المشروعات وتتحدد على أساس كل حالة على حدة.</w:t>
      </w:r>
    </w:p>
    <w:p w14:paraId="4827E9FF" w14:textId="77777777" w:rsidR="002D440B" w:rsidRPr="00E57D77" w:rsidRDefault="002D440B" w:rsidP="002D440B">
      <w:pPr>
        <w:bidi/>
        <w:rPr>
          <w:rFonts w:asciiTheme="majorBidi" w:hAnsiTheme="majorBidi" w:cstheme="majorBidi"/>
          <w:iCs/>
          <w:sz w:val="26"/>
          <w:szCs w:val="26"/>
          <w:u w:val="single"/>
        </w:rPr>
      </w:pPr>
      <w:r w:rsidRPr="00E57D77">
        <w:rPr>
          <w:rFonts w:asciiTheme="majorBidi" w:hAnsiTheme="majorBidi" w:cstheme="majorBidi"/>
          <w:iCs/>
          <w:sz w:val="26"/>
          <w:szCs w:val="26"/>
          <w:u w:val="single"/>
          <w:rtl/>
        </w:rPr>
        <w:t>مصرف التنمية للبلدان الأمريكية</w:t>
      </w:r>
    </w:p>
    <w:p w14:paraId="3E48B94C" w14:textId="77777777" w:rsidR="002D440B" w:rsidRPr="00E57D77" w:rsidRDefault="002D440B" w:rsidP="002D440B">
      <w:pPr>
        <w:bidi/>
        <w:jc w:val="left"/>
        <w:rPr>
          <w:rFonts w:asciiTheme="majorBidi" w:hAnsiTheme="majorBidi" w:cstheme="majorBidi"/>
          <w:b/>
          <w:sz w:val="26"/>
          <w:szCs w:val="26"/>
        </w:rPr>
      </w:pPr>
    </w:p>
    <w:p w14:paraId="06F97466" w14:textId="77777777" w:rsidR="002D440B" w:rsidRPr="00E57D77" w:rsidRDefault="002D440B" w:rsidP="002D440B">
      <w:pPr>
        <w:bidi/>
        <w:jc w:val="left"/>
        <w:rPr>
          <w:rFonts w:asciiTheme="majorBidi" w:hAnsiTheme="majorBidi" w:cstheme="majorBidi"/>
          <w:iCs/>
          <w:sz w:val="26"/>
          <w:szCs w:val="26"/>
        </w:rPr>
      </w:pPr>
      <w:r w:rsidRPr="00E57D77">
        <w:rPr>
          <w:rFonts w:asciiTheme="majorBidi" w:hAnsiTheme="majorBidi" w:cstheme="majorBidi"/>
          <w:iCs/>
          <w:sz w:val="26"/>
          <w:szCs w:val="26"/>
          <w:rtl/>
        </w:rPr>
        <w:t>عام</w:t>
      </w:r>
    </w:p>
    <w:p w14:paraId="2AF33417" w14:textId="77777777" w:rsidR="002D440B" w:rsidRPr="00E57D77" w:rsidRDefault="002D440B" w:rsidP="002D440B">
      <w:pPr>
        <w:bidi/>
        <w:jc w:val="left"/>
        <w:rPr>
          <w:rFonts w:asciiTheme="majorBidi" w:hAnsiTheme="majorBidi" w:cstheme="majorBidi"/>
          <w:sz w:val="26"/>
          <w:szCs w:val="26"/>
        </w:rPr>
      </w:pPr>
    </w:p>
    <w:p w14:paraId="4F221153"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يعتبر مصرف التنمية للبلدان الأمريكية ( بمسمياته المختلفة) أكبر مصدر لتمويل التنمية في أمريكا اللاتينية وبلدان الكاريبي. ويوفر المصرف الدعم للتنمية الاقتصادية والتنمية الاجتماعية في أمريكيا اللاتينية والبحر الكاريبي والتكامل الإقليمي من خلال إقراض الحكومات والوكالات الحكومية بما في ذلك مؤسسات الدولة.</w:t>
      </w:r>
    </w:p>
    <w:p w14:paraId="68FF751E" w14:textId="77777777" w:rsidR="002D440B" w:rsidRPr="00E57D77" w:rsidRDefault="002D440B" w:rsidP="002D440B">
      <w:pPr>
        <w:pStyle w:val="Heading1"/>
        <w:bidi/>
        <w:rPr>
          <w:rFonts w:asciiTheme="majorBidi" w:hAnsiTheme="majorBidi" w:cstheme="majorBidi"/>
          <w:i/>
          <w:sz w:val="26"/>
          <w:szCs w:val="26"/>
        </w:rPr>
      </w:pPr>
      <w:r w:rsidRPr="00E57D77">
        <w:rPr>
          <w:rFonts w:asciiTheme="majorBidi" w:hAnsiTheme="majorBidi" w:cstheme="majorBidi"/>
          <w:i/>
          <w:sz w:val="26"/>
          <w:szCs w:val="26"/>
          <w:rtl/>
        </w:rPr>
        <w:t>ويساعد المصرف البلدان الأعضاء على توسيع تغطيتها لخدمات الطاقة ونوعيتها من خلال المشروعات التي تنفذ في إطار البنية التحتية وقطاع الطاقة. ويشمل ذلك دعم عملية تمويل أنشطة مشروعات كفاءة استخدام الطاقة.</w:t>
      </w:r>
    </w:p>
    <w:p w14:paraId="2B3CE32E" w14:textId="77777777" w:rsidR="002D440B" w:rsidRPr="00E57D77" w:rsidRDefault="002D440B" w:rsidP="002D440B">
      <w:pPr>
        <w:pStyle w:val="Heading1"/>
        <w:numPr>
          <w:ilvl w:val="0"/>
          <w:numId w:val="0"/>
        </w:numPr>
        <w:bidi/>
        <w:jc w:val="left"/>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59E4290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يقتصر مصرف التنمية للبلدان الأمريكية وتمويل الاستثمارات على بلدان أمريكا اللاتينية. وبالنسبة للتمويل العام بموجب مصرف التنمية للبلدان الأمريكية، تتطلب القروض وجود ضمان ذي سيادة حسب البلد المعني، لا يمنح الضمان إلاّ للحكومات الاتحادية وفي بعض الأحيان للحكومات دون الوطنية. أما في حالة استثمارات مصرف التنمية للبلدان الأمريكية، فإن العمليات يجري تقييمها على أساس كل حالة على حدة وتهدف الى المؤسسات الخاصة التي لديها حافظة أعمال ممكنة. وتمول مشروعات كفاءة استخدام الطاقة بواسطة مصرف التنمية للبلدان الأمريكية من خلال مختلف وسائل تمويل المشروعات بما في ذلك المنح والوسائل غير المنح.</w:t>
      </w:r>
    </w:p>
    <w:p w14:paraId="2107297E" w14:textId="77777777" w:rsidR="002D440B" w:rsidRPr="00E57D77" w:rsidRDefault="002D440B" w:rsidP="002D440B">
      <w:pPr>
        <w:keepNext/>
        <w:bidi/>
        <w:jc w:val="left"/>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2ACF9DD7" w14:textId="77777777" w:rsidR="002D440B" w:rsidRPr="00E57D77" w:rsidRDefault="002D440B" w:rsidP="002D440B">
      <w:pPr>
        <w:keepNext/>
        <w:bidi/>
        <w:jc w:val="left"/>
        <w:rPr>
          <w:rFonts w:asciiTheme="majorBidi" w:hAnsiTheme="majorBidi" w:cstheme="majorBidi"/>
          <w:sz w:val="26"/>
          <w:szCs w:val="26"/>
        </w:rPr>
      </w:pPr>
    </w:p>
    <w:p w14:paraId="79E71D7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يمكن تقديم مقترحات المشروعات للدعم التمويلي لمصرف البلدان الأمريكية من طريقين:</w:t>
      </w:r>
    </w:p>
    <w:p w14:paraId="32634331" w14:textId="77777777" w:rsidR="002D440B" w:rsidRPr="00E57D77" w:rsidRDefault="002D440B" w:rsidP="003C337B">
      <w:pPr>
        <w:pStyle w:val="Heading2"/>
        <w:numPr>
          <w:ilvl w:val="0"/>
          <w:numId w:val="36"/>
        </w:numPr>
        <w:tabs>
          <w:tab w:val="num" w:pos="2414"/>
        </w:tabs>
        <w:bidi/>
        <w:ind w:left="1563" w:hanging="851"/>
        <w:rPr>
          <w:rFonts w:asciiTheme="majorBidi" w:hAnsiTheme="majorBidi" w:cstheme="majorBidi"/>
          <w:sz w:val="26"/>
          <w:szCs w:val="26"/>
        </w:rPr>
      </w:pPr>
      <w:r w:rsidRPr="00E57D77">
        <w:rPr>
          <w:rFonts w:asciiTheme="majorBidi" w:hAnsiTheme="majorBidi" w:cstheme="majorBidi"/>
          <w:sz w:val="26"/>
          <w:szCs w:val="26"/>
          <w:rtl/>
        </w:rPr>
        <w:t>أموال مشروع مصرف التنمية للبلدان الأمريكية التي تتدفق من خلال المؤسسات الحكومية ومصارف التنمية الوطنية، وتخضع هذه الأموال لضمان سيادي؛</w:t>
      </w:r>
    </w:p>
    <w:p w14:paraId="25156F2B" w14:textId="77777777" w:rsidR="002D440B" w:rsidRPr="00E57D77" w:rsidRDefault="002D440B" w:rsidP="003C337B">
      <w:pPr>
        <w:pStyle w:val="Heading2"/>
        <w:numPr>
          <w:ilvl w:val="0"/>
          <w:numId w:val="36"/>
        </w:numPr>
        <w:tabs>
          <w:tab w:val="num" w:pos="2414"/>
        </w:tabs>
        <w:bidi/>
        <w:ind w:left="1563" w:hanging="851"/>
        <w:rPr>
          <w:rFonts w:asciiTheme="majorBidi" w:hAnsiTheme="majorBidi" w:cstheme="majorBidi"/>
          <w:sz w:val="26"/>
          <w:szCs w:val="26"/>
        </w:rPr>
      </w:pPr>
      <w:r w:rsidRPr="00E57D77">
        <w:rPr>
          <w:rFonts w:asciiTheme="majorBidi" w:hAnsiTheme="majorBidi" w:cstheme="majorBidi"/>
          <w:sz w:val="26"/>
          <w:szCs w:val="26"/>
          <w:rtl/>
        </w:rPr>
        <w:t>استثمارات مصرف التنمية للبلدان الأمريكية</w:t>
      </w:r>
      <w:r w:rsidRPr="00E57D77">
        <w:rPr>
          <w:rFonts w:asciiTheme="majorBidi" w:hAnsiTheme="majorBidi" w:cstheme="majorBidi"/>
          <w:sz w:val="26"/>
          <w:szCs w:val="26"/>
          <w:vertAlign w:val="superscript"/>
        </w:rPr>
        <w:footnoteReference w:id="53"/>
      </w:r>
      <w:r w:rsidRPr="00E57D77">
        <w:rPr>
          <w:rFonts w:asciiTheme="majorBidi" w:hAnsiTheme="majorBidi" w:cstheme="majorBidi"/>
          <w:sz w:val="26"/>
          <w:szCs w:val="26"/>
          <w:rtl/>
        </w:rPr>
        <w:t xml:space="preserve"> التي تتدفق من خلال الشركات الخاصة والصناديق الاستثمارية والشركات المملوكة للدولة دون ضمانات سيادية من الحكومة.</w:t>
      </w:r>
    </w:p>
    <w:p w14:paraId="4256793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ويمكن تشكيل المشروعات بفضل خيارات مختلفة مثل مع مصارف التنمية الوطنية من خلال عقود الأداء، والتمويل التقليدي مع مؤسسات الإقراض الملائمة وتمويل المبيعات. وهناك أنواع مختلفة لتمويل التشكيلات إعمالا للسياسات والمبادئ التوجيهية الاستثمارية في مصرف التنمية للبلدان الأمريكية يمكن اعتمادها استنادا الى متطلبات المشروع.</w:t>
      </w:r>
    </w:p>
    <w:p w14:paraId="0A7546D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ويحدد مصرف التنمية للبلدان الأمريكية بصورة دورية ويعدل من استراتيجياته القطرية من خلال حوار منظم ومستمر مع البلد العضو المقترض. ويشترك البلد والمصرف في تحديد المبادرات التي ستدرج في عمليات المصرف الفعالة. وتحدد هذه المبادرات من خلال العديد من المهام: الدراسات التشخيصية وتشغيل الأهداف وتحليل البدائل واختيار الوسائل المالية وتوضح نتائج هذه المهام الى نموذج مشروع ويوفر نموذج المشروع معلومات أساسية عن المشروع بما في ذلك مبرراته وأهدافه والجوانب التقنية والضوابط الاجتماعية، وتقييم السنوات ويبلغ التمويل المتوقع وجدول زمني أولي لتنفيذ المشروع. ويعتبر نموذج المشروع أول تقييم في اجتماع استعراض الأهلية الذي يحدد أهلية العملية واستراتيجيتها الخاصة بالتنمية والتحقق من توقيتها والمتطلبات من الموارد، وفي أعقاب الموافقة على نموذج المشروع بواسطة اجتماع استعراض الأهلية، يجري صياغة مقترح تطوير العمليات. ويحدد مقترح تطوير العمليات الأنشطة والموارد والجدول الزمني الذي يعد ضروريا لإعداد المقترح والإشراف عليه. كما يتضمن تطوير الرصد والتقييم وصول العائد الاقتصادي ويجري تقييم تطوير العمليات لتحديد ما إذا كانت موارد المؤسسة سوف تستخدم بصورة سليمة ويخضع تطوير العمليات لمزيد من الفحص في استعراض النوعية والمخاطر. كما يجري المزيد من التسويات إذا اقتضى الأمر ثم تعد مشروع مقترح لقرض للجنة سياسة العمليات للموافقة عليها. وبمجرد أن تتم الموافقة على المقترح من جانب لجنة سياسة العمليات، يمكن لفريق المشروع التوقيع على عقد القرض بواسطة البلد العضو المقترض. ويمكن أن تتضمن التمويل من مصادر تمويل  متعددة (مثل مختلف الأموال الخاصة بالم</w:t>
      </w:r>
      <w:r w:rsidRPr="00E57D77">
        <w:rPr>
          <w:rFonts w:asciiTheme="majorBidi" w:hAnsiTheme="majorBidi" w:cstheme="majorBidi"/>
          <w:sz w:val="26"/>
          <w:szCs w:val="26"/>
          <w:rtl/>
          <w:lang w:bidi="ar-EG"/>
        </w:rPr>
        <w:t>ناخ، والوكالات الثنائية) وعلى ذلك يمكن للمصرف أن يقدم التمويل المختلط للمشروعات من خلال جميع موارده الخاصة مع الموارد الخارجية الأخرى لمختلف أنواع مكونات المشروع.</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4"/>
      </w:r>
    </w:p>
    <w:p w14:paraId="502A81DD" w14:textId="77777777" w:rsidR="002D440B" w:rsidRPr="00E57D77" w:rsidRDefault="002D440B" w:rsidP="002D440B">
      <w:pPr>
        <w:pStyle w:val="Heading1"/>
        <w:bidi/>
        <w:rPr>
          <w:rFonts w:asciiTheme="majorBidi" w:hAnsiTheme="majorBidi" w:cstheme="majorBidi"/>
          <w:sz w:val="26"/>
          <w:szCs w:val="26"/>
          <w:rtl/>
          <w:lang w:bidi="ar-EG"/>
        </w:rPr>
      </w:pPr>
      <w:r w:rsidRPr="00E57D77">
        <w:rPr>
          <w:rFonts w:asciiTheme="majorBidi" w:hAnsiTheme="majorBidi" w:cstheme="majorBidi"/>
          <w:sz w:val="26"/>
          <w:szCs w:val="26"/>
          <w:rtl/>
          <w:lang w:bidi="ar-EG"/>
        </w:rPr>
        <w:t>يمكن استثمار مصرف تنمية البلدان الأمريكية، الذي يمول المشروعات دون ضمانات سيادية، ويمكن أن يشكل التمويل بفضل طائفة من الوسائل مثل تمويل الموردين، وشراء الحافظة ، وشراء ممتلكات المدينين وغير ذلك من الآليات مثل عقود الشراء.</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5"/>
      </w:r>
    </w:p>
    <w:p w14:paraId="09C4CF22"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ويمكن لمصرف التنمية للبلدان الأمريكية تقديم الدعم لتنفيذ المشروعات من خلال التمويل المختلط وخاصة الذي يهدف الى الاستعاضة عن عدم كفاية أجهزة التبريد وتكييف الهواء في مختلف الاستخدامات. ويكلف مصرف التنمية للبلدان الأمريكية بتوجيه التمويل من مختلف صناديق الأموال ووكالات التعاون الثنائية التي تتيح للمصرف توفير التمويل المختلط للمشروعات من خلال الجمع بين موارده الخاصة والموارد الخارجية بمستويات مختلفة من التيسير والأنواع المختلفة من الوسائل (مثل القروض والمنح). ويجي البت في تصميمات المشروعات النوعية التي تستخدم التمويل المختلط حسب كل حالة على حده.</w:t>
      </w:r>
    </w:p>
    <w:p w14:paraId="5E4B08A4" w14:textId="77777777" w:rsidR="002D440B" w:rsidRPr="00E57D77" w:rsidRDefault="002D440B" w:rsidP="002D440B">
      <w:pPr>
        <w:bidi/>
        <w:jc w:val="left"/>
        <w:rPr>
          <w:rFonts w:asciiTheme="majorBidi" w:hAnsiTheme="majorBidi" w:cstheme="majorBidi"/>
          <w:b/>
          <w:iCs/>
          <w:sz w:val="26"/>
          <w:szCs w:val="26"/>
          <w:u w:val="single"/>
        </w:rPr>
      </w:pPr>
      <w:r w:rsidRPr="00E57D77">
        <w:rPr>
          <w:rFonts w:asciiTheme="majorBidi" w:hAnsiTheme="majorBidi" w:cstheme="majorBidi"/>
          <w:iCs/>
          <w:sz w:val="26"/>
          <w:szCs w:val="26"/>
          <w:u w:val="single"/>
          <w:rtl/>
        </w:rPr>
        <w:t>مجموعة البنك الدولي</w:t>
      </w:r>
    </w:p>
    <w:p w14:paraId="7F976BBE" w14:textId="77777777" w:rsidR="002D440B" w:rsidRPr="00E57D77" w:rsidRDefault="002D440B" w:rsidP="002D440B">
      <w:pPr>
        <w:bidi/>
        <w:jc w:val="left"/>
        <w:rPr>
          <w:rFonts w:asciiTheme="majorBidi" w:hAnsiTheme="majorBidi" w:cstheme="majorBidi"/>
          <w:b/>
          <w:sz w:val="26"/>
          <w:szCs w:val="26"/>
        </w:rPr>
      </w:pPr>
    </w:p>
    <w:p w14:paraId="6F0D550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تقدم مجموعة البنك الدولي التمويل لتدابير الارتقاء بكفاءة استخدام الطاقة عن طريق قروض البنك الدولي للإنشاء والتعمير، واثتمانات ومنح رابطة التنمية الدولية. وعلاوة على ذلك، يدير المصرف موارد المنح من مصادر أخرى.</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6"/>
      </w:r>
      <w:r w:rsidRPr="00E57D77">
        <w:rPr>
          <w:rFonts w:asciiTheme="majorBidi" w:hAnsiTheme="majorBidi" w:cstheme="majorBidi"/>
          <w:sz w:val="26"/>
          <w:szCs w:val="26"/>
          <w:rtl/>
        </w:rPr>
        <w:t xml:space="preserve"> وترد فيمايلي أمثلة على التمويل المتعلق بالتحسينات في كفاءة استخدام الطاقة ويتوافر بشأنها في قطاع التبريد وتكييف الهواء وقطاع الرغاوي:</w:t>
      </w:r>
    </w:p>
    <w:p w14:paraId="6D82E04D" w14:textId="77777777" w:rsidR="002D440B" w:rsidRPr="00E57D77" w:rsidRDefault="002D440B" w:rsidP="009A0AF3">
      <w:pPr>
        <w:pStyle w:val="Heading2"/>
        <w:numPr>
          <w:ilvl w:val="0"/>
          <w:numId w:val="37"/>
        </w:numPr>
        <w:bidi/>
        <w:ind w:hanging="720"/>
        <w:rPr>
          <w:rFonts w:asciiTheme="majorBidi" w:hAnsiTheme="majorBidi" w:cstheme="majorBidi"/>
          <w:sz w:val="26"/>
          <w:szCs w:val="26"/>
        </w:rPr>
      </w:pPr>
      <w:r w:rsidRPr="00E57D77">
        <w:rPr>
          <w:rFonts w:asciiTheme="majorBidi" w:hAnsiTheme="majorBidi" w:cstheme="majorBidi"/>
          <w:sz w:val="26"/>
          <w:szCs w:val="26"/>
          <w:rtl/>
        </w:rPr>
        <w:t>برنامج المصرف للمساعدة في إدارة قطاع الطاقة- وهو عبار عن برنامج عالمي للمساعدات التقنية والمعارف (</w:t>
      </w:r>
      <w:hyperlink r:id="rId23" w:history="1">
        <w:r w:rsidRPr="00E57D77">
          <w:rPr>
            <w:rStyle w:val="Hyperlink"/>
            <w:rFonts w:asciiTheme="majorBidi" w:hAnsiTheme="majorBidi" w:cstheme="majorBidi"/>
            <w:sz w:val="26"/>
            <w:szCs w:val="26"/>
          </w:rPr>
          <w:t>www.esmap.org</w:t>
        </w:r>
        <w:r w:rsidRPr="00E57D77">
          <w:rPr>
            <w:rStyle w:val="Hyperlink"/>
            <w:rFonts w:asciiTheme="majorBidi" w:hAnsiTheme="majorBidi" w:cstheme="majorBidi"/>
            <w:sz w:val="26"/>
            <w:szCs w:val="26"/>
            <w:rtl/>
          </w:rPr>
          <w:t>)-</w:t>
        </w:r>
      </w:hyperlink>
      <w:r w:rsidRPr="00E57D77">
        <w:rPr>
          <w:rFonts w:asciiTheme="majorBidi" w:hAnsiTheme="majorBidi" w:cstheme="majorBidi"/>
          <w:sz w:val="26"/>
          <w:szCs w:val="26"/>
          <w:rtl/>
        </w:rPr>
        <w:t xml:space="preserve"> ويؤدي الى "برنامج للتبريد النظيف المتسم بالكفاءة" الذي يقدم التمويل في شكل منح لأعمال التحليل والمساعدات التقنية لدعم إعداد المشروعات وتنفيذها، ويتولى المصرف تنفيذ غالبية التمويل ويدعم البرنامج أيضا كفاءة استخدام الطاقة ذات الصلة بالمساعدات التقنية- وهو أوسع نطاقا من التبريد من خلال مبادرته للقطاع العام الخالي من ثاني أكسيد الكربون (وينفذ المصرف ايضا المنح).</w:t>
      </w:r>
    </w:p>
    <w:p w14:paraId="50E3DB30" w14:textId="77777777" w:rsidR="002D440B" w:rsidRPr="00E57D77" w:rsidRDefault="002D440B" w:rsidP="009A0AF3">
      <w:pPr>
        <w:pStyle w:val="Heading2"/>
        <w:numPr>
          <w:ilvl w:val="0"/>
          <w:numId w:val="37"/>
        </w:numPr>
        <w:bidi/>
        <w:ind w:hanging="720"/>
        <w:rPr>
          <w:rFonts w:asciiTheme="majorBidi" w:hAnsiTheme="majorBidi" w:cstheme="majorBidi"/>
          <w:sz w:val="26"/>
          <w:szCs w:val="26"/>
        </w:rPr>
      </w:pPr>
      <w:r w:rsidRPr="00E57D77">
        <w:rPr>
          <w:rFonts w:asciiTheme="majorBidi" w:hAnsiTheme="majorBidi" w:cstheme="majorBidi"/>
          <w:sz w:val="26"/>
          <w:szCs w:val="26"/>
          <w:rtl/>
        </w:rPr>
        <w:t xml:space="preserve">ولدى البنك الدولي حافظة بكفاءة استخدام الطاقة يحصل على الدعم من قروض البنك الدولي للإنشاء والتعمير ومنح وائتمانات رابطة التنمية الدولية في حين تحدث معظم عمليات تمويل المصرف في التحسينات في كفاءة استخدام الطاقة عادة في العمليات التي يقودها البنك للطاقة والاستخلاص. وتحصل بعض الاستثمارات في مجال الطاقة على الدعم بفضل الممارسات العالمية الأخرى مثل أوربان أو الزراعة. ويتضمن بعض هذه العمليات الخاصة بكفاءة استخدام الطاقة قطاعات </w:t>
      </w:r>
      <w:r w:rsidRPr="00E57D77">
        <w:rPr>
          <w:rFonts w:asciiTheme="majorBidi" w:hAnsiTheme="majorBidi" w:cstheme="majorBidi"/>
          <w:sz w:val="26"/>
          <w:szCs w:val="26"/>
        </w:rPr>
        <w:t>HVAC</w:t>
      </w:r>
      <w:r w:rsidRPr="00E57D77">
        <w:rPr>
          <w:rFonts w:asciiTheme="majorBidi" w:hAnsiTheme="majorBidi" w:cstheme="majorBidi"/>
          <w:sz w:val="26"/>
          <w:szCs w:val="26"/>
          <w:rtl/>
        </w:rPr>
        <w:t>/ التبريد وتكييف الهواء. وقد يحفز عمليات البنك الدولي هذه الموارد والمنح الخاصة بالمناخ من مرفق البيئة العالمية وصندوق الاستثمار المناخي أو صندوق المناخ الأخضر.</w:t>
      </w:r>
      <w:r w:rsidRPr="00E57D77">
        <w:rPr>
          <w:rFonts w:asciiTheme="majorBidi" w:hAnsiTheme="majorBidi" w:cstheme="majorBidi"/>
          <w:sz w:val="26"/>
          <w:szCs w:val="26"/>
          <w:vertAlign w:val="superscript"/>
        </w:rPr>
        <w:t xml:space="preserve"> </w:t>
      </w:r>
      <w:r w:rsidRPr="00E57D77">
        <w:rPr>
          <w:rFonts w:asciiTheme="majorBidi" w:hAnsiTheme="majorBidi" w:cstheme="majorBidi"/>
          <w:sz w:val="26"/>
          <w:szCs w:val="26"/>
          <w:vertAlign w:val="superscript"/>
        </w:rPr>
        <w:footnoteReference w:id="57"/>
      </w:r>
    </w:p>
    <w:p w14:paraId="505CABF5" w14:textId="77777777" w:rsidR="002D440B" w:rsidRPr="00E57D77" w:rsidRDefault="002D440B" w:rsidP="009A0AF3">
      <w:pPr>
        <w:pStyle w:val="Heading2"/>
        <w:numPr>
          <w:ilvl w:val="0"/>
          <w:numId w:val="37"/>
        </w:numPr>
        <w:bidi/>
        <w:ind w:hanging="720"/>
        <w:rPr>
          <w:rFonts w:asciiTheme="majorBidi" w:hAnsiTheme="majorBidi" w:cstheme="majorBidi"/>
          <w:sz w:val="26"/>
          <w:szCs w:val="26"/>
        </w:rPr>
      </w:pPr>
      <w:r w:rsidRPr="00E57D77">
        <w:rPr>
          <w:rFonts w:asciiTheme="majorBidi" w:hAnsiTheme="majorBidi" w:cstheme="majorBidi"/>
          <w:sz w:val="26"/>
          <w:szCs w:val="26"/>
          <w:rtl/>
        </w:rPr>
        <w:t xml:space="preserve">وضع البنك الدولي- من خلال العملية العالمية للطاقة والاستخلاص مرفقا متعدد </w:t>
      </w:r>
      <w:r w:rsidRPr="00E57D77">
        <w:rPr>
          <w:rFonts w:asciiTheme="majorBidi" w:hAnsiTheme="majorBidi" w:cstheme="majorBidi"/>
          <w:sz w:val="26"/>
          <w:szCs w:val="26"/>
          <w:rtl/>
          <w:lang w:bidi="ar-EG"/>
        </w:rPr>
        <w:t>البلدان للتبريد من الأعمال المعتادة الى حلول أكثر مواءمة مع المناخ وسلبية ومنخفضة ثاني أكسيد الكربون. وقد وافق مجلس إدارة صندوق المناخ الأخضر على تمويل مرفق التبريد خلال اجتماعه في أكتوبر/ تشرين الأول 2021.</w:t>
      </w:r>
    </w:p>
    <w:p w14:paraId="0E3DC8F3" w14:textId="77777777" w:rsidR="002D440B" w:rsidRPr="00E57D77" w:rsidRDefault="002D440B" w:rsidP="009A0AF3">
      <w:pPr>
        <w:pStyle w:val="Heading2"/>
        <w:keepNext/>
        <w:keepLines/>
        <w:numPr>
          <w:ilvl w:val="0"/>
          <w:numId w:val="37"/>
        </w:numPr>
        <w:bidi/>
        <w:ind w:hanging="720"/>
        <w:rPr>
          <w:rFonts w:asciiTheme="majorBidi" w:hAnsiTheme="majorBidi" w:cstheme="majorBidi"/>
          <w:sz w:val="26"/>
          <w:szCs w:val="26"/>
        </w:rPr>
      </w:pPr>
      <w:r w:rsidRPr="00E57D77">
        <w:rPr>
          <w:rFonts w:asciiTheme="majorBidi" w:hAnsiTheme="majorBidi" w:cstheme="majorBidi"/>
          <w:sz w:val="26"/>
          <w:szCs w:val="26"/>
          <w:rtl/>
        </w:rPr>
        <w:t>وقدمت صناديق الاستثمار المناخ التي يديرها البنك (</w:t>
      </w:r>
      <w:hyperlink r:id="rId24" w:history="1">
        <w:r w:rsidRPr="00E57D77">
          <w:rPr>
            <w:rFonts w:asciiTheme="majorBidi" w:hAnsiTheme="majorBidi" w:cstheme="majorBidi"/>
            <w:sz w:val="26"/>
            <w:szCs w:val="26"/>
          </w:rPr>
          <w:t>https://www.climateinvestmentfunds.org</w:t>
        </w:r>
      </w:hyperlink>
      <w:r w:rsidRPr="00E57D77">
        <w:rPr>
          <w:rFonts w:asciiTheme="majorBidi" w:hAnsiTheme="majorBidi" w:cstheme="majorBidi"/>
          <w:sz w:val="26"/>
          <w:szCs w:val="26"/>
          <w:rtl/>
        </w:rPr>
        <w:t>) تمويلا ميسرا للتخفيف من غازات الاحتباس الحراري والمشروعات الخاصة بالطاقة والتكنولوجيا بحجم كبير.</w:t>
      </w:r>
    </w:p>
    <w:p w14:paraId="7352B7D0" w14:textId="77777777" w:rsidR="002D440B" w:rsidRPr="00E57D77" w:rsidRDefault="002D440B" w:rsidP="009A0AF3">
      <w:pPr>
        <w:pStyle w:val="Heading2"/>
        <w:numPr>
          <w:ilvl w:val="0"/>
          <w:numId w:val="37"/>
        </w:numPr>
        <w:bidi/>
        <w:ind w:hanging="720"/>
        <w:rPr>
          <w:rFonts w:asciiTheme="majorBidi" w:hAnsiTheme="majorBidi" w:cstheme="majorBidi"/>
          <w:sz w:val="26"/>
          <w:szCs w:val="26"/>
        </w:rPr>
      </w:pPr>
      <w:r w:rsidRPr="00E57D77">
        <w:rPr>
          <w:rFonts w:asciiTheme="majorBidi" w:hAnsiTheme="majorBidi" w:cstheme="majorBidi"/>
          <w:sz w:val="26"/>
          <w:szCs w:val="26"/>
          <w:rtl/>
        </w:rPr>
        <w:t>قامت العملية العالمية للبيئة والموارد الطبيعية والاقتصاد الأزرق التي يديرها البنك وفريق بروتوكول مونتريال ببناء القدرات بفضل بعض الأنشطة مثل الت</w:t>
      </w:r>
      <w:r w:rsidRPr="00E57D77">
        <w:rPr>
          <w:rFonts w:asciiTheme="majorBidi" w:hAnsiTheme="majorBidi" w:cstheme="majorBidi"/>
          <w:sz w:val="26"/>
          <w:szCs w:val="26"/>
          <w:rtl/>
          <w:lang w:bidi="ar-EG"/>
        </w:rPr>
        <w:t xml:space="preserve">حويل الصناعي الى تكنولوجيا التحويل في تصنيع أجهزة تكييف الهواء (بتمويل من برنامج كيجالي لكفاءة التبريد) والسلسلة المبردة بكفاءة والنقل المبرد في جنوب آسيا (بتمويل من مديرية البيئة والأغذية والشؤون </w:t>
      </w:r>
      <w:r w:rsidRPr="00E57D77">
        <w:rPr>
          <w:rFonts w:asciiTheme="majorBidi" w:hAnsiTheme="majorBidi" w:cstheme="majorBidi"/>
          <w:sz w:val="26"/>
          <w:szCs w:val="26"/>
          <w:rtl/>
        </w:rPr>
        <w:t>الريفية في المملكة المتحدة لبريطانيا العظمى وايرلندا الشمالية التي تغذي عمليات الإقراض في البنك.</w:t>
      </w:r>
    </w:p>
    <w:p w14:paraId="4762A6D7" w14:textId="77777777" w:rsidR="002D440B" w:rsidRPr="00E57D77" w:rsidRDefault="002D440B" w:rsidP="009A0AF3">
      <w:pPr>
        <w:pStyle w:val="Heading2"/>
        <w:numPr>
          <w:ilvl w:val="0"/>
          <w:numId w:val="37"/>
        </w:numPr>
        <w:bidi/>
        <w:ind w:hanging="720"/>
        <w:rPr>
          <w:rFonts w:asciiTheme="majorBidi" w:hAnsiTheme="majorBidi" w:cstheme="majorBidi"/>
          <w:sz w:val="26"/>
          <w:szCs w:val="26"/>
        </w:rPr>
      </w:pPr>
      <w:r w:rsidRPr="00E57D77">
        <w:rPr>
          <w:rFonts w:asciiTheme="majorBidi" w:hAnsiTheme="majorBidi" w:cstheme="majorBidi"/>
          <w:sz w:val="26"/>
          <w:szCs w:val="26"/>
          <w:rtl/>
        </w:rPr>
        <w:t>وتروج المؤسسة المالية الدولية لكفاءة استخدام الطاقة في العمليات التجارية والصناعية من خلال المساعدات التقنية (مثل الكفاءة في تصميم أجهزة التفوق الكبرى واستثماراتها المختلفة والوسائل التمويلية (القروض والسندات والضمانات وغير ذلك) وتتضمن الأمثلة التبريد المباشر وعمليات السلاسل المبردة وتدير مؤسسة التمويل الدولية برنامج التكنولوجيا الصاعدة التي تساعد في نقل تكنولوجيا التبريد المتسم بكفاءة استخدام الطاقة الى العملاء في البلدان النامية.</w:t>
      </w:r>
    </w:p>
    <w:p w14:paraId="2EA75EB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ولا يقتصر الدعم المقدم لكفاءة استخدام الطاقة بالضرورة على التمويل المباشر كفاءة استخدام الطاقة في الأجهزة بل يمكن أن يشمل القروض السياساتية للقطاع وإصلاح الأسعار وتعزيز المدونات ومعايير استخدام الطاقة (مثل معايير الأداء الأدنى للطاقة)، والدعم المالي لبرامج إدارة جانب الطلب أو ضمانات لمساعدة المصارف التجارية على إقراض عملائها لأغراض تدابير كفاءة استخدام الطاقة بما في ذلك أجهزة التبريد وتكييف الهواء إلاّ أن المشروعات الرئيسية كفاءة استخدام الطاقة في قطاع التبريد وتكييف الهواء مازالت تنطوي على مشكلات.</w:t>
      </w:r>
    </w:p>
    <w:p w14:paraId="65EA9AA7" w14:textId="77777777" w:rsidR="002D440B" w:rsidRPr="00E57D77" w:rsidRDefault="002D440B" w:rsidP="002D440B">
      <w:pPr>
        <w:keepNext/>
        <w:bidi/>
        <w:jc w:val="left"/>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743BEDA1" w14:textId="77777777" w:rsidR="002D440B" w:rsidRPr="00E57D77" w:rsidRDefault="002D440B" w:rsidP="002D440B">
      <w:pPr>
        <w:keepNext/>
        <w:bidi/>
        <w:jc w:val="left"/>
        <w:rPr>
          <w:rFonts w:asciiTheme="majorBidi" w:hAnsiTheme="majorBidi" w:cstheme="majorBidi"/>
          <w:sz w:val="26"/>
          <w:szCs w:val="26"/>
        </w:rPr>
      </w:pPr>
    </w:p>
    <w:p w14:paraId="3A182815"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لا توجد أعمال مخصصة للصناديق المتعددة الأطراف، فأموال صناديق الاستثمار المناخي مخصصة لبنك التنمية المتعدد الأطراف وتستخدم لتمويل مشروعات نوعية.</w:t>
      </w:r>
    </w:p>
    <w:p w14:paraId="4BC68B5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ولا يمكن الحصول على تمويل لبنك الإنشاء والتعمير ورابطة التنمية الدولية إلاّ بواسطة أو من خلال وزارات المالية في الأغراض الإنمائية. ولاتوجد حدود جغرافية غير العضوية في بنك الإنشاء والتعمير ورابطة التنمية الد ولية وأهليتها (ارتقاء البلدان من رابطة التنمية الدولية وبنك الإنشاء والعمير يستند الى دخل الفرد). ويقتصر حجم القروض السائلة لأي بلد معين على قواعد التعرض للمخاطر وإطار الشراكة القطرية فيما بين البنك والبلد.</w:t>
      </w:r>
    </w:p>
    <w:p w14:paraId="1ADD518B" w14:textId="77777777" w:rsidR="002D440B" w:rsidRPr="00E57D77" w:rsidRDefault="002D440B" w:rsidP="002D440B">
      <w:pPr>
        <w:keepNext/>
        <w:bidi/>
        <w:jc w:val="left"/>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378E0468" w14:textId="77777777" w:rsidR="002D440B" w:rsidRPr="00E57D77" w:rsidRDefault="002D440B" w:rsidP="002D440B">
      <w:pPr>
        <w:keepNext/>
        <w:bidi/>
        <w:jc w:val="left"/>
        <w:rPr>
          <w:rFonts w:asciiTheme="majorBidi" w:hAnsiTheme="majorBidi" w:cstheme="majorBidi"/>
          <w:sz w:val="26"/>
          <w:szCs w:val="26"/>
        </w:rPr>
      </w:pPr>
    </w:p>
    <w:p w14:paraId="5E4BEB7C" w14:textId="77777777" w:rsidR="002D440B" w:rsidRPr="00E57D77" w:rsidRDefault="002D440B" w:rsidP="002D440B">
      <w:pPr>
        <w:pStyle w:val="Heading1"/>
        <w:keepNext/>
        <w:bidi/>
        <w:rPr>
          <w:rFonts w:asciiTheme="majorBidi" w:hAnsiTheme="majorBidi" w:cstheme="majorBidi"/>
          <w:sz w:val="26"/>
          <w:szCs w:val="26"/>
        </w:rPr>
      </w:pPr>
      <w:r w:rsidRPr="00E57D77">
        <w:rPr>
          <w:rFonts w:asciiTheme="majorBidi" w:hAnsiTheme="majorBidi" w:cstheme="majorBidi"/>
          <w:sz w:val="26"/>
          <w:szCs w:val="26"/>
          <w:rtl/>
        </w:rPr>
        <w:t>تتطلب سياسات مجموعة البنك الدولي أن تتم عملية إعداد المشروع (أي دراسات الجدوى) وتنفذ وخاصة فيما يتعلق بأنشطة المشتريات والحفظ بواسطة العميل وذلك عادة من خلال وحدة إدارة المشروعات لدى وكالة تابعة للحكومة، وأن تتبع المبادئ التوجيهية للبنك الدولي وإجراءاته أو النظم القطرية المعادلة لها. ويمكن لأفرقة المهام لدى البنك الد ولي أن تساعد العملاء بالأعمال التحليلية والخدمات الاستشارية والمساعدات التقنية إلاّ أنها تقتصر غير ذلك على الإشراف على المشروع. وخلال مرحلة إعداد المشروع، تعد أفرقة المهام وثيقة تقييم المشروع لاستعراض الإدارة واتخاذ قرار من جانب مجلس الإدارة عن القرض أو وسائل التمويل الأخرى.</w:t>
      </w:r>
    </w:p>
    <w:p w14:paraId="2195EEDB"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ويختتم المشروع بتقرير إنهاء المشروع بعد عدد معين من السنوات وربما بعد تمديد المشروع وإتاحة التمويل الإضافي. وتتم متابعة المشروع خلال التنفيذ من خلال المؤشرات، والتقييم بواسطة إدارة تقييم التشغيل المستقلة. في نهاية فترة المشروع.</w:t>
      </w:r>
    </w:p>
    <w:p w14:paraId="0FF9163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ويمكن لعمليات تمويل المشروع الاستثماري أن يتم تمويلها بواسطة قرض مختلك من بنك الإنشاء والتعمير، والتمويل بالائتمان والمنح من رابطة التنمية الدولية من خلال تمويل من صناديق ائتمانية تديرها مجموعة البنك الدولي. فعلى سبيل المثال من الشائع خلطها مع منح مرفق البيئة العالمية، وعلاوة على ذلك فإن القطاع الخاص والأموال الثنائية أو من حكومة العميل توفر تمويلا مشتركا للمشروع، غير أن التمويل المختلط للبنك بأموال من مصادر خارجية قد يكون صعبا وينطوي على مخاطر وخاصة منذ اقتضى الأمر الانضمام لسياسات التشغيل للبنك الدولي.</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8"/>
      </w:r>
    </w:p>
    <w:p w14:paraId="61D6CAF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وبالنسبة لقروض البنك، والائتمان والمنح من رابطة التنمية الدولية، يتعين على العميل أن يستكمل استمارات/ نماذج للطلب التي تغطي مختلف الجوانب (مثل الضوابط البيئية والاجتماعية، والمعلومات عن الضوابط الداخلية المالية) واستنادا الى هذه المعلومات يجري تقييم المشروع واتخاذ المقررات بشأنه. ولدى الصناديق الائتمانية للبنك مثل برنامج مساعدة إدارة قطاع الطاقة في البنك، ومرفق البيئة العالمية وصندوق المناخ الأخضر أو صناديق الاستثمار المناخي لديها نماذج الطلب الخاصة بها والتي تستكمل عادة بواسطة أفرقة البنك للأنشطة التي يدبرها لدعم العميل.</w:t>
      </w:r>
    </w:p>
    <w:p w14:paraId="08367241" w14:textId="77777777" w:rsidR="002D440B" w:rsidRPr="00E57D77" w:rsidRDefault="002D440B" w:rsidP="002D440B">
      <w:pPr>
        <w:bidi/>
        <w:rPr>
          <w:rFonts w:asciiTheme="majorBidi" w:hAnsiTheme="majorBidi" w:cstheme="majorBidi"/>
          <w:bCs/>
          <w:sz w:val="26"/>
          <w:szCs w:val="26"/>
        </w:rPr>
      </w:pPr>
      <w:r w:rsidRPr="00E57D77">
        <w:rPr>
          <w:rFonts w:asciiTheme="majorBidi" w:hAnsiTheme="majorBidi" w:cstheme="majorBidi"/>
          <w:bCs/>
          <w:sz w:val="26"/>
          <w:szCs w:val="26"/>
          <w:rtl/>
        </w:rPr>
        <w:t>جيم</w:t>
      </w:r>
      <w:r w:rsidRPr="00E57D77">
        <w:rPr>
          <w:rFonts w:asciiTheme="majorBidi" w:hAnsiTheme="majorBidi" w:cstheme="majorBidi"/>
          <w:bCs/>
          <w:sz w:val="26"/>
          <w:szCs w:val="26"/>
          <w:rtl/>
        </w:rPr>
        <w:tab/>
        <w:t>الحكومات التي تمول التعاون الإنمائي</w:t>
      </w:r>
    </w:p>
    <w:p w14:paraId="2BC9E462" w14:textId="77777777" w:rsidR="002D440B" w:rsidRPr="00E57D77" w:rsidRDefault="002D440B" w:rsidP="002D440B">
      <w:pPr>
        <w:bidi/>
        <w:jc w:val="left"/>
        <w:rPr>
          <w:rFonts w:asciiTheme="majorBidi" w:hAnsiTheme="majorBidi" w:cstheme="majorBidi"/>
          <w:b/>
          <w:sz w:val="26"/>
          <w:szCs w:val="26"/>
          <w:u w:val="single"/>
          <w:rtl/>
          <w:lang w:bidi="ar-EG"/>
        </w:rPr>
      </w:pPr>
    </w:p>
    <w:p w14:paraId="7B4B42FD" w14:textId="1A2942CA" w:rsidR="002D440B" w:rsidRDefault="002D440B" w:rsidP="002D440B">
      <w:pPr>
        <w:bidi/>
        <w:jc w:val="left"/>
        <w:rPr>
          <w:rFonts w:asciiTheme="majorBidi" w:hAnsiTheme="majorBidi" w:cstheme="majorBidi"/>
          <w:iCs/>
          <w:sz w:val="26"/>
          <w:szCs w:val="26"/>
          <w:u w:val="single"/>
        </w:rPr>
      </w:pPr>
      <w:r w:rsidRPr="00E57D77">
        <w:rPr>
          <w:rFonts w:asciiTheme="majorBidi" w:hAnsiTheme="majorBidi" w:cstheme="majorBidi"/>
          <w:iCs/>
          <w:sz w:val="26"/>
          <w:szCs w:val="26"/>
          <w:u w:val="single"/>
          <w:rtl/>
        </w:rPr>
        <w:t>حكومة فرنسا</w:t>
      </w:r>
    </w:p>
    <w:p w14:paraId="3BF408F7" w14:textId="77777777" w:rsidR="00645DAA" w:rsidRPr="00E57D77" w:rsidRDefault="00645DAA" w:rsidP="00645DAA">
      <w:pPr>
        <w:bidi/>
        <w:jc w:val="left"/>
        <w:rPr>
          <w:rFonts w:asciiTheme="majorBidi" w:hAnsiTheme="majorBidi" w:cstheme="majorBidi"/>
          <w:iCs/>
          <w:sz w:val="26"/>
          <w:szCs w:val="26"/>
          <w:u w:val="single"/>
        </w:rPr>
      </w:pPr>
    </w:p>
    <w:p w14:paraId="1155D761" w14:textId="77777777" w:rsidR="002D440B" w:rsidRPr="00E57D77" w:rsidRDefault="002D440B" w:rsidP="002D440B">
      <w:pPr>
        <w:bidi/>
        <w:rPr>
          <w:rFonts w:asciiTheme="majorBidi" w:hAnsiTheme="majorBidi" w:cstheme="majorBidi"/>
          <w:bCs/>
          <w:sz w:val="26"/>
          <w:szCs w:val="26"/>
          <w:lang w:val="fr-FR"/>
        </w:rPr>
      </w:pPr>
      <w:r w:rsidRPr="00E57D77">
        <w:rPr>
          <w:rFonts w:asciiTheme="majorBidi" w:hAnsiTheme="majorBidi" w:cstheme="majorBidi"/>
          <w:bCs/>
          <w:sz w:val="26"/>
          <w:szCs w:val="26"/>
          <w:rtl/>
          <w:lang w:val="fr-FR"/>
        </w:rPr>
        <w:t xml:space="preserve">وكالة التنميةالفرنسية </w:t>
      </w:r>
    </w:p>
    <w:p w14:paraId="25345445" w14:textId="77777777" w:rsidR="002D440B" w:rsidRPr="00E57D77" w:rsidRDefault="002D440B" w:rsidP="002D440B">
      <w:pPr>
        <w:bidi/>
        <w:rPr>
          <w:rFonts w:asciiTheme="majorBidi" w:hAnsiTheme="majorBidi" w:cstheme="majorBidi"/>
          <w:b/>
          <w:sz w:val="26"/>
          <w:szCs w:val="26"/>
          <w:lang w:val="fr-FR"/>
        </w:rPr>
      </w:pPr>
    </w:p>
    <w:p w14:paraId="63919F19"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خلفية</w:t>
      </w:r>
    </w:p>
    <w:p w14:paraId="64917F96" w14:textId="77777777" w:rsidR="002D440B" w:rsidRPr="00E57D77" w:rsidRDefault="002D440B" w:rsidP="002D440B">
      <w:pPr>
        <w:bidi/>
        <w:rPr>
          <w:rFonts w:asciiTheme="majorBidi" w:hAnsiTheme="majorBidi" w:cstheme="majorBidi"/>
          <w:sz w:val="26"/>
          <w:szCs w:val="26"/>
        </w:rPr>
      </w:pPr>
    </w:p>
    <w:p w14:paraId="3CD880D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تتولى وكالة التنمية الفرنسية- التمويل والدعم وتعجل ال</w:t>
      </w:r>
      <w:r w:rsidRPr="00E57D77">
        <w:rPr>
          <w:rFonts w:asciiTheme="majorBidi" w:hAnsiTheme="majorBidi" w:cstheme="majorBidi"/>
          <w:sz w:val="26"/>
          <w:szCs w:val="26"/>
          <w:rtl/>
          <w:lang w:bidi="ar-EG"/>
        </w:rPr>
        <w:t xml:space="preserve">تحولات صوب عالم أكثر عدالة واستدامة وخاصة في مجال المناخ والتنوع البيولوجي والسلام والتعليم والتخطيط الحضري والصحة والحوكمة. ويشارك في أفرقتها في أكثر من </w:t>
      </w:r>
      <w:r w:rsidRPr="00E57D77">
        <w:rPr>
          <w:rFonts w:asciiTheme="majorBidi" w:hAnsiTheme="majorBidi" w:cstheme="majorBidi"/>
          <w:sz w:val="26"/>
          <w:szCs w:val="26"/>
        </w:rPr>
        <w:t>4,000</w:t>
      </w:r>
      <w:r w:rsidRPr="00E57D77">
        <w:rPr>
          <w:rFonts w:asciiTheme="majorBidi" w:hAnsiTheme="majorBidi" w:cstheme="majorBidi"/>
          <w:sz w:val="26"/>
          <w:szCs w:val="26"/>
          <w:rtl/>
          <w:lang w:bidi="ar-EG"/>
        </w:rPr>
        <w:t xml:space="preserve"> مشروع</w:t>
      </w:r>
      <w:r w:rsidRPr="00E57D77">
        <w:rPr>
          <w:rFonts w:asciiTheme="majorBidi" w:hAnsiTheme="majorBidi" w:cstheme="majorBidi"/>
          <w:sz w:val="26"/>
          <w:szCs w:val="26"/>
          <w:rtl/>
        </w:rPr>
        <w:t xml:space="preserve"> في المناطق العابرة للبحار وفي </w:t>
      </w:r>
      <w:r w:rsidRPr="00E57D77">
        <w:rPr>
          <w:rFonts w:asciiTheme="majorBidi" w:hAnsiTheme="majorBidi" w:cstheme="majorBidi"/>
          <w:sz w:val="26"/>
          <w:szCs w:val="26"/>
        </w:rPr>
        <w:t>115</w:t>
      </w:r>
      <w:r w:rsidRPr="00E57D77">
        <w:rPr>
          <w:rFonts w:asciiTheme="majorBidi" w:hAnsiTheme="majorBidi" w:cstheme="majorBidi"/>
          <w:sz w:val="26"/>
          <w:szCs w:val="26"/>
          <w:rtl/>
        </w:rPr>
        <w:t xml:space="preserve"> بلدا مما يسهم في التزام فرنسا والفرنسيون في تشجيع أهداف التنمية المستدامة.</w:t>
      </w:r>
    </w:p>
    <w:p w14:paraId="58D3D92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وتهدف وكالة التنمية الفرنسية في تحقي عالم أكثر عدالة واستبداله بفضل ستة تحويلات رئيسية هي الاجتماعية والطاقة والأراضي والرقمنة والمجنية والاقتصاد. وتقدم الوكالة الدعم للمساعدات مما يجعل هذه التمويلات ضرورية لتحقيق أهداف التنمية المستدامة. وفي 2020 التزمت مجموعة وكالة التنمية الفرنسية بمبلغ </w:t>
      </w:r>
      <w:r w:rsidRPr="00E57D77">
        <w:rPr>
          <w:rFonts w:asciiTheme="majorBidi" w:hAnsiTheme="majorBidi" w:cstheme="majorBidi"/>
          <w:sz w:val="26"/>
          <w:szCs w:val="26"/>
        </w:rPr>
        <w:t>12.1</w:t>
      </w:r>
      <w:r w:rsidRPr="00E57D77">
        <w:rPr>
          <w:rFonts w:asciiTheme="majorBidi" w:hAnsiTheme="majorBidi" w:cstheme="majorBidi"/>
          <w:sz w:val="26"/>
          <w:szCs w:val="26"/>
          <w:rtl/>
        </w:rPr>
        <w:t xml:space="preserve"> مليار يورو (</w:t>
      </w:r>
      <w:r w:rsidRPr="00E57D77">
        <w:rPr>
          <w:rFonts w:asciiTheme="majorBidi" w:hAnsiTheme="majorBidi" w:cstheme="majorBidi"/>
          <w:sz w:val="26"/>
          <w:szCs w:val="26"/>
        </w:rPr>
        <w:t>13.4</w:t>
      </w:r>
      <w:r w:rsidRPr="00E57D77">
        <w:rPr>
          <w:rFonts w:asciiTheme="majorBidi" w:hAnsiTheme="majorBidi" w:cstheme="majorBidi"/>
          <w:sz w:val="26"/>
          <w:szCs w:val="26"/>
          <w:rtl/>
        </w:rPr>
        <w:t xml:space="preserve"> مليار دولار أمريكي) للمشروعات الإنمائية.</w:t>
      </w:r>
    </w:p>
    <w:p w14:paraId="523D87B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وفي عام 2020 اشتركت مجموعة وكالة التنمية الفرنسية بمبلغ </w:t>
      </w:r>
      <w:r w:rsidRPr="00E57D77">
        <w:rPr>
          <w:rFonts w:asciiTheme="majorBidi" w:hAnsiTheme="majorBidi" w:cstheme="majorBidi"/>
          <w:sz w:val="26"/>
          <w:szCs w:val="26"/>
        </w:rPr>
        <w:t>1.5</w:t>
      </w:r>
      <w:r w:rsidRPr="00E57D77">
        <w:rPr>
          <w:rFonts w:asciiTheme="majorBidi" w:hAnsiTheme="majorBidi" w:cstheme="majorBidi"/>
          <w:sz w:val="26"/>
          <w:szCs w:val="26"/>
          <w:rtl/>
        </w:rPr>
        <w:t xml:space="preserve"> مليار يوليو (</w:t>
      </w:r>
      <w:r w:rsidRPr="00E57D77">
        <w:rPr>
          <w:rFonts w:asciiTheme="majorBidi" w:hAnsiTheme="majorBidi" w:cstheme="majorBidi"/>
          <w:sz w:val="26"/>
          <w:szCs w:val="26"/>
        </w:rPr>
        <w:t>1.7</w:t>
      </w:r>
      <w:r w:rsidRPr="00E57D77">
        <w:rPr>
          <w:rFonts w:asciiTheme="majorBidi" w:hAnsiTheme="majorBidi" w:cstheme="majorBidi"/>
          <w:sz w:val="26"/>
          <w:szCs w:val="26"/>
          <w:rtl/>
        </w:rPr>
        <w:t xml:space="preserve"> مليار دولار أمريكي) في مشروعات في قطاع كفاءة استخدام الطاقة. وتعتبر كفاءة استخدام الطاقة محور يتمتع بأولوية فى استراتيجية تحويل الطاقة في مجموعة وكالة التنمية الفرنسية. وتستثمر المجموعة </w:t>
      </w:r>
      <w:r w:rsidRPr="00E57D77">
        <w:rPr>
          <w:rFonts w:asciiTheme="majorBidi" w:hAnsiTheme="majorBidi" w:cstheme="majorBidi"/>
          <w:sz w:val="26"/>
          <w:szCs w:val="26"/>
        </w:rPr>
        <w:t>281</w:t>
      </w:r>
      <w:r w:rsidRPr="00E57D77">
        <w:rPr>
          <w:rFonts w:asciiTheme="majorBidi" w:hAnsiTheme="majorBidi" w:cstheme="majorBidi"/>
          <w:sz w:val="26"/>
          <w:szCs w:val="26"/>
          <w:rtl/>
        </w:rPr>
        <w:t xml:space="preserve"> مليار يورو (</w:t>
      </w:r>
      <w:r w:rsidRPr="00E57D77">
        <w:rPr>
          <w:rFonts w:asciiTheme="majorBidi" w:hAnsiTheme="majorBidi" w:cstheme="majorBidi"/>
          <w:sz w:val="26"/>
          <w:szCs w:val="26"/>
        </w:rPr>
        <w:t>310.2</w:t>
      </w:r>
      <w:r w:rsidRPr="00E57D77">
        <w:rPr>
          <w:rFonts w:asciiTheme="majorBidi" w:hAnsiTheme="majorBidi" w:cstheme="majorBidi"/>
          <w:sz w:val="26"/>
          <w:szCs w:val="26"/>
          <w:rtl/>
        </w:rPr>
        <w:t xml:space="preserve"> مليار دولار أمريكي) في تحقيق كفاءة استخدام الطاقة في مشروعات البنية التحتية. وتقدم الوكالة أيضا الدعم لكفاءة استخدام الطاقة من خلال المساعدات التقنية للمشروعات والقروض الميسرة والمنح الاستثمارية (برنامج كفاءة استخدام الطقة في المباني، الاستخدام المستدام للموارد الطبيعية وتمويل الطاقة)).</w:t>
      </w:r>
    </w:p>
    <w:p w14:paraId="1D8CC204"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3BFBC5F5" w14:textId="77777777" w:rsidR="002D440B" w:rsidRPr="00E57D77" w:rsidRDefault="002D440B" w:rsidP="002D440B">
      <w:pPr>
        <w:keepNext/>
        <w:bidi/>
        <w:rPr>
          <w:rFonts w:asciiTheme="majorBidi" w:hAnsiTheme="majorBidi" w:cstheme="majorBidi"/>
          <w:sz w:val="26"/>
          <w:szCs w:val="26"/>
        </w:rPr>
      </w:pPr>
    </w:p>
    <w:p w14:paraId="44E60BD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يستهدف التمويل المقدم من وكالة التنمية الفرنسية الحكومات والسلطات المحلية والشركات العامة والخاصة بما في ذلك المصارف والوكالات غير الحكومية الفرنسية والمؤسسات. وهناك نحو </w:t>
      </w:r>
      <w:r w:rsidRPr="00E57D77">
        <w:rPr>
          <w:rFonts w:asciiTheme="majorBidi" w:hAnsiTheme="majorBidi" w:cstheme="majorBidi"/>
          <w:sz w:val="26"/>
          <w:szCs w:val="26"/>
        </w:rPr>
        <w:t>115</w:t>
      </w:r>
      <w:r w:rsidRPr="00E57D77">
        <w:rPr>
          <w:rFonts w:asciiTheme="majorBidi" w:hAnsiTheme="majorBidi" w:cstheme="majorBidi"/>
          <w:sz w:val="26"/>
          <w:szCs w:val="26"/>
          <w:rtl/>
        </w:rPr>
        <w:t xml:space="preserve"> بلدا مؤهلة للحصول على  الدعم التمويلي من وكالة التنمية الفرنسية.</w:t>
      </w:r>
    </w:p>
    <w:p w14:paraId="4860132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ولا يوجد حد أدنى للتمويل.</w:t>
      </w:r>
    </w:p>
    <w:p w14:paraId="28CBFB9D"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34808935" w14:textId="77777777" w:rsidR="002D440B" w:rsidRPr="00E57D77" w:rsidRDefault="002D440B" w:rsidP="002D440B">
      <w:pPr>
        <w:bidi/>
        <w:rPr>
          <w:rFonts w:asciiTheme="majorBidi" w:hAnsiTheme="majorBidi" w:cstheme="majorBidi"/>
          <w:sz w:val="26"/>
          <w:szCs w:val="26"/>
        </w:rPr>
      </w:pPr>
    </w:p>
    <w:p w14:paraId="421C818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لدى وكالة التنمية الفرنسية نطاق واسع من الأدوات المالية لدعم شركائها والمشروعات الخاصة بشركائها: ويشمل ذلك الوسائل غير المنح مثل القروض ووسائل المنح. وتقوم وكالة التنمية الفرنسية في مواجهة التغييرات المستمرة في الاحتياجات بوضع خيارات مختلفة للتمويل.</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59"/>
      </w:r>
    </w:p>
    <w:p w14:paraId="5AA3137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كما أن هناك نوافذ تمويل نوعية في إطار وكالة التنمية الفرنسية (مثل الاستخدام المستدام للموارد الطبيعية وتمويل الطاقة وكفاءة استخدام الطاقة في المباني التي تصمم لتمويل مشروعات كفاءة استخدام الطاقة.</w:t>
      </w:r>
    </w:p>
    <w:p w14:paraId="3D2F28EE" w14:textId="77777777" w:rsidR="002D440B" w:rsidRPr="00E57D77" w:rsidRDefault="002D440B" w:rsidP="002D440B">
      <w:pPr>
        <w:bidi/>
        <w:rPr>
          <w:rFonts w:asciiTheme="majorBidi" w:hAnsiTheme="majorBidi" w:cstheme="majorBidi"/>
          <w:bCs/>
          <w:sz w:val="26"/>
          <w:szCs w:val="26"/>
          <w:rtl/>
          <w:lang w:bidi="ar-EG"/>
        </w:rPr>
      </w:pPr>
      <w:r w:rsidRPr="00E57D77">
        <w:rPr>
          <w:rFonts w:asciiTheme="majorBidi" w:hAnsiTheme="majorBidi" w:cstheme="majorBidi"/>
          <w:bCs/>
          <w:sz w:val="26"/>
          <w:szCs w:val="26"/>
          <w:rtl/>
          <w:lang w:bidi="ar-EG"/>
        </w:rPr>
        <w:t>بروباركو (التمويل لتحقيق كفاءة استخدام الطاقة في إطار وكالة التنمية الفرنسية للقطاع الخاص)</w:t>
      </w:r>
    </w:p>
    <w:p w14:paraId="554204BB" w14:textId="77777777" w:rsidR="002D440B" w:rsidRPr="00E57D77" w:rsidRDefault="002D440B" w:rsidP="002D440B">
      <w:pPr>
        <w:bidi/>
        <w:rPr>
          <w:rFonts w:asciiTheme="majorBidi" w:hAnsiTheme="majorBidi" w:cstheme="majorBidi"/>
          <w:b/>
          <w:sz w:val="26"/>
          <w:szCs w:val="26"/>
        </w:rPr>
      </w:pPr>
    </w:p>
    <w:p w14:paraId="60BC64B4"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خلفية</w:t>
      </w:r>
    </w:p>
    <w:p w14:paraId="36704760" w14:textId="77777777" w:rsidR="002D440B" w:rsidRPr="00E57D77" w:rsidRDefault="002D440B" w:rsidP="002D440B">
      <w:pPr>
        <w:bidi/>
        <w:rPr>
          <w:rFonts w:asciiTheme="majorBidi" w:hAnsiTheme="majorBidi" w:cstheme="majorBidi"/>
          <w:sz w:val="26"/>
          <w:szCs w:val="26"/>
        </w:rPr>
      </w:pPr>
    </w:p>
    <w:p w14:paraId="0C6EFCA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بروباركو عبارة عن فرع من مجموعة وكالة التنمية الفرنسية مخصص للقطاع الخاص يعمل منذ أكثر من 40 عاما في الترويج للتنمية المستدامة في النواحي الاقتصادية والاجتماعية والبيئية. ويشارك بروباركو في تمويل ودعم الشركات والمؤسسات المالية في أفريقيا وآسيا وأمريكا اللاتينية والشرق الأوسط. ويركز نشاطه على الطاقة المتجددة والصناعات الزراعية والتصنيع والمؤسسات المالية والصحة والتعليم.</w:t>
      </w:r>
    </w:p>
    <w:p w14:paraId="18DE5C4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وتهدف تدخلات الوكالة الى تعزيز مساهمة القطاع الخاص في تحقيق أهداف التنمية المستدامة اتي اعتمدها المجتمع الدولي في عام 2015. ولهذه الغاية يمول بروباركو شركات القطاع الخاص التي تسهم أعمالها في توفير فرص العمل وتحقيق الدخول المعقولة، وتوفير السلع والخدمات الضرورية ومكافحة تغير المناخ. وتسهم هذه الشركات في إقامة نمو اقتصادي مستدام وخفض مستوى الفقر. ويمكن أن يمول بروباركو الاستثمارات في تحقيق كفاءة استخدام الطاقة في شركات التبريد وتكييف الهواء واستخدامات الرغاوي.</w:t>
      </w:r>
    </w:p>
    <w:p w14:paraId="25877EBE"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5A15FC2A" w14:textId="77777777" w:rsidR="002D440B" w:rsidRPr="00E57D77" w:rsidRDefault="002D440B" w:rsidP="002D440B">
      <w:pPr>
        <w:keepNext/>
        <w:bidi/>
        <w:rPr>
          <w:rFonts w:asciiTheme="majorBidi" w:hAnsiTheme="majorBidi" w:cstheme="majorBidi"/>
          <w:sz w:val="26"/>
          <w:szCs w:val="26"/>
        </w:rPr>
      </w:pPr>
    </w:p>
    <w:p w14:paraId="1877B97E"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وتتأهل الشركات في البلدان المؤهلة للتمويل من وكالة التنمية الفرنسية للحصول على الدعم التمويلي من بروباركو. ولايوجد حدود قصوى لتمويل المشروعات الفردية. ويجري تمويل عملاء القطاع الخاص "الصغيرة"، من خلال الوسطاء الماليين التي يمولها بروباركو، ويمول عملاء القطاع الخاص "الكبار" من بروباركو بصورة مباشرة.</w:t>
      </w:r>
    </w:p>
    <w:p w14:paraId="4413CF45"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47036242" w14:textId="77777777" w:rsidR="002D440B" w:rsidRPr="00E57D77" w:rsidRDefault="002D440B" w:rsidP="002D440B">
      <w:pPr>
        <w:keepNext/>
        <w:bidi/>
        <w:rPr>
          <w:rFonts w:asciiTheme="majorBidi" w:hAnsiTheme="majorBidi" w:cstheme="majorBidi"/>
          <w:sz w:val="26"/>
          <w:szCs w:val="26"/>
        </w:rPr>
      </w:pPr>
    </w:p>
    <w:p w14:paraId="67DD4FC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تستخدم الطائفة الكاملة من الوسائل المالية بدءا من القروض الكبيرة الى السندات بما في ذلك العديد من أشكال التمويل المختلط والسندات القابلة للتمويل والضمانات لتحقيق معظم احتياجات التمويل لدى بروباركو. ويجري تمويل المستفيدين </w:t>
      </w:r>
      <w:r w:rsidRPr="00E57D77">
        <w:rPr>
          <w:rFonts w:asciiTheme="majorBidi" w:hAnsiTheme="majorBidi" w:cstheme="majorBidi"/>
          <w:sz w:val="26"/>
          <w:szCs w:val="26"/>
          <w:rtl/>
          <w:lang w:bidi="ar-EG"/>
        </w:rPr>
        <w:t xml:space="preserve">بالاستناد الى الحافظات الائتمانية لديهم ومعايير الأدوات المصرفية التي يجري تقييمها عقب إجراءات داخلية للتمويل من خلال </w:t>
      </w:r>
      <w:r w:rsidRPr="00E57D77">
        <w:rPr>
          <w:rFonts w:asciiTheme="majorBidi" w:hAnsiTheme="majorBidi" w:cstheme="majorBidi"/>
          <w:sz w:val="26"/>
          <w:szCs w:val="26"/>
          <w:rtl/>
        </w:rPr>
        <w:t>بروباركو.</w:t>
      </w:r>
    </w:p>
    <w:p w14:paraId="304B2C70" w14:textId="77777777" w:rsidR="002D440B" w:rsidRPr="00E57D77" w:rsidRDefault="002D440B" w:rsidP="009A0AF3">
      <w:pPr>
        <w:keepNext/>
        <w:keepLines/>
        <w:bidi/>
        <w:rPr>
          <w:rFonts w:asciiTheme="majorBidi" w:hAnsiTheme="majorBidi" w:cstheme="majorBidi"/>
          <w:bCs/>
          <w:sz w:val="26"/>
          <w:szCs w:val="26"/>
        </w:rPr>
      </w:pPr>
      <w:r w:rsidRPr="00E57D77">
        <w:rPr>
          <w:rFonts w:asciiTheme="majorBidi" w:hAnsiTheme="majorBidi" w:cstheme="majorBidi"/>
          <w:bCs/>
          <w:sz w:val="26"/>
          <w:szCs w:val="26"/>
          <w:rtl/>
        </w:rPr>
        <w:t>برنامج لتحقيق كفاءة استخدام الطاقة في المباني</w:t>
      </w:r>
    </w:p>
    <w:p w14:paraId="4EF48AAC" w14:textId="77777777" w:rsidR="002D440B" w:rsidRPr="00E57D77" w:rsidRDefault="002D440B" w:rsidP="009A0AF3">
      <w:pPr>
        <w:keepNext/>
        <w:keepLines/>
        <w:bidi/>
        <w:rPr>
          <w:rFonts w:asciiTheme="majorBidi" w:hAnsiTheme="majorBidi" w:cstheme="majorBidi"/>
          <w:b/>
          <w:sz w:val="26"/>
          <w:szCs w:val="26"/>
        </w:rPr>
      </w:pPr>
    </w:p>
    <w:p w14:paraId="1678B4FD" w14:textId="77777777" w:rsidR="002D440B" w:rsidRPr="00E57D77" w:rsidRDefault="002D440B" w:rsidP="009A0AF3">
      <w:pPr>
        <w:keepNext/>
        <w:keepLines/>
        <w:bidi/>
        <w:rPr>
          <w:rFonts w:asciiTheme="majorBidi" w:hAnsiTheme="majorBidi" w:cstheme="majorBidi"/>
          <w:iCs/>
          <w:sz w:val="26"/>
          <w:szCs w:val="26"/>
        </w:rPr>
      </w:pPr>
      <w:r w:rsidRPr="00E57D77">
        <w:rPr>
          <w:rFonts w:asciiTheme="majorBidi" w:hAnsiTheme="majorBidi" w:cstheme="majorBidi"/>
          <w:iCs/>
          <w:sz w:val="26"/>
          <w:szCs w:val="26"/>
          <w:rtl/>
        </w:rPr>
        <w:t>خلفية</w:t>
      </w:r>
    </w:p>
    <w:p w14:paraId="2FC412D8" w14:textId="77777777" w:rsidR="002D440B" w:rsidRPr="00E57D77" w:rsidRDefault="002D440B" w:rsidP="009A0AF3">
      <w:pPr>
        <w:keepNext/>
        <w:keepLines/>
        <w:bidi/>
        <w:rPr>
          <w:rFonts w:asciiTheme="majorBidi" w:hAnsiTheme="majorBidi" w:cstheme="majorBidi"/>
          <w:sz w:val="26"/>
          <w:szCs w:val="26"/>
        </w:rPr>
      </w:pPr>
    </w:p>
    <w:p w14:paraId="1013C682" w14:textId="77777777" w:rsidR="002D440B" w:rsidRPr="00E57D77" w:rsidRDefault="002D440B" w:rsidP="009A0AF3">
      <w:pPr>
        <w:pStyle w:val="Heading1"/>
        <w:keepNext/>
        <w:keepLines/>
        <w:bidi/>
        <w:rPr>
          <w:rFonts w:asciiTheme="majorBidi" w:hAnsiTheme="majorBidi" w:cstheme="majorBidi"/>
          <w:sz w:val="26"/>
          <w:szCs w:val="26"/>
          <w:lang w:eastAsia="en-CA"/>
        </w:rPr>
      </w:pPr>
      <w:r w:rsidRPr="00E57D77">
        <w:rPr>
          <w:rFonts w:asciiTheme="majorBidi" w:hAnsiTheme="majorBidi" w:cstheme="majorBidi"/>
          <w:sz w:val="26"/>
          <w:szCs w:val="26"/>
          <w:rtl/>
          <w:lang w:eastAsia="en-CA"/>
        </w:rPr>
        <w:t>يوفر برنامج تحقيق كفاءة استخدام الطاقة في المباني حلولا تمويلية مبتكرة لا تقتصر على مشروعات المباني الكبيرة مثل المستشفيات أو المدارس بل أيضا برامج البناء الخضراء الوطنية الكبيرة. ويوفر البرنامج الدعم للبلدان الشريكة لوضع السياسات والمعايير والإسهامات التي تحدد وطنيا الأكثر طموحا وفعالية الى الاستثمارات نحو المباني الخضراء.</w:t>
      </w:r>
      <w:r w:rsidRPr="00E57D77">
        <w:rPr>
          <w:rFonts w:asciiTheme="majorBidi" w:hAnsiTheme="majorBidi" w:cstheme="majorBidi"/>
          <w:sz w:val="26"/>
          <w:szCs w:val="26"/>
          <w:rtl/>
          <w:lang w:eastAsia="en-CA" w:bidi="ar-EG"/>
        </w:rPr>
        <w:t xml:space="preserve"> </w:t>
      </w:r>
      <w:r w:rsidRPr="00E57D77">
        <w:rPr>
          <w:rFonts w:asciiTheme="majorBidi" w:hAnsiTheme="majorBidi" w:cstheme="majorBidi"/>
          <w:sz w:val="26"/>
          <w:szCs w:val="26"/>
          <w:rtl/>
          <w:lang w:eastAsia="en-CA"/>
        </w:rPr>
        <w:t>تمهد عمليات بناء القدرات للمهنيين وصانعي القرار في قطاع المباني الطريق أمام الاستثمارات.</w:t>
      </w:r>
    </w:p>
    <w:p w14:paraId="61B31B21" w14:textId="77777777" w:rsidR="002D440B" w:rsidRPr="00E57D77" w:rsidRDefault="002D440B" w:rsidP="002D440B">
      <w:pPr>
        <w:pStyle w:val="Heading1"/>
        <w:bidi/>
        <w:rPr>
          <w:rFonts w:asciiTheme="majorBidi" w:hAnsiTheme="majorBidi" w:cstheme="majorBidi"/>
          <w:sz w:val="26"/>
          <w:szCs w:val="26"/>
          <w:lang w:val="fr-FR" w:eastAsia="en-CA"/>
        </w:rPr>
      </w:pPr>
      <w:r w:rsidRPr="00E57D77">
        <w:rPr>
          <w:rFonts w:asciiTheme="majorBidi" w:hAnsiTheme="majorBidi" w:cstheme="majorBidi"/>
          <w:sz w:val="26"/>
          <w:szCs w:val="26"/>
          <w:rtl/>
          <w:lang w:val="fr-FR" w:eastAsia="en-CA" w:bidi="ar-EG"/>
        </w:rPr>
        <w:t>ويحصل البرنامج أيضا  على التشجيع من جانب التحالف العالمي للمباني والتشييد ويدعم تنفيذ خارطة طريق التحالف العالمي للمباني والتشييد "صوب انخفاض غازات الاحتباس الحراري والمباني المرنة". وكان البرنامج قد بدأته حكومتا فرنسا وألمانيا خلال الدورة الثانية والعشرين لمؤتمر الأطراف في 2016 (كوب 22). ويجمع البرنامج خبرات وكالاته المنفذة وخاصة وكالة التنمية الفرنسية والوكالة الألمانية للعمل الدولي ووكالة البيئة وكفاءة استخدام الطاقة.</w:t>
      </w:r>
    </w:p>
    <w:p w14:paraId="2F2499C8"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2A2C4A80" w14:textId="77777777" w:rsidR="002D440B" w:rsidRPr="00E57D77" w:rsidRDefault="002D440B" w:rsidP="002D440B">
      <w:pPr>
        <w:bidi/>
        <w:rPr>
          <w:rFonts w:asciiTheme="majorBidi" w:hAnsiTheme="majorBidi" w:cstheme="majorBidi"/>
          <w:sz w:val="26"/>
          <w:szCs w:val="26"/>
        </w:rPr>
      </w:pPr>
    </w:p>
    <w:p w14:paraId="0032D6D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يستهدف برنامج كفاءة استخدام الطاقة في المباني المشروعات التي تتميز بالشخصية التحويلية </w:t>
      </w:r>
      <w:r w:rsidRPr="00E57D77">
        <w:rPr>
          <w:rFonts w:asciiTheme="majorBidi" w:hAnsiTheme="majorBidi" w:cstheme="majorBidi"/>
          <w:sz w:val="26"/>
          <w:szCs w:val="26"/>
          <w:rtl/>
          <w:lang w:bidi="ar-EG"/>
        </w:rPr>
        <w:t>مع قدر كبير من إمكانيات التخفيف من تغير المناخ والتكيف معا وتعتبر برنامج المنازل السكنية والمستشفيات والمدارس والمصانع والمباني التراثية والمباني التجارية من بين المشروعات. ويركز البرنامج على كل من المباني القائمة والجديدة.</w:t>
      </w:r>
    </w:p>
    <w:p w14:paraId="39697EE7"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1F363A9D" w14:textId="77777777" w:rsidR="002D440B" w:rsidRPr="00E57D77" w:rsidRDefault="002D440B" w:rsidP="002D440B">
      <w:pPr>
        <w:bidi/>
        <w:rPr>
          <w:rFonts w:asciiTheme="majorBidi" w:hAnsiTheme="majorBidi" w:cstheme="majorBidi"/>
          <w:sz w:val="26"/>
          <w:szCs w:val="26"/>
          <w:lang w:bidi="ar-EG"/>
        </w:rPr>
      </w:pPr>
    </w:p>
    <w:p w14:paraId="7E7360F6"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تتمثل المعايير الدنيا للنظر في المشروعات في (أ) استهاف ما لايقل عن 20 في المائة من حيث أداء الطاقة فيما يتجاوز كود المباني القائمة وقواعدها، في حالة تطبيقها أو سيناريو أساسي يتعلق بالبلدان المعنية، (ب) تطبيق أكثر التكنولوجيات والنظم كفاءة المتوافرة محليا، (ج) بيان إمكانية التطبيق الأوسع نطاقا والتكرار ولايوجد مستوى أدنى للتمويل.</w:t>
      </w:r>
    </w:p>
    <w:p w14:paraId="2B5BCBF5" w14:textId="77777777" w:rsidR="002D440B" w:rsidRPr="00E57D77" w:rsidRDefault="002D440B" w:rsidP="002D440B">
      <w:pPr>
        <w:pStyle w:val="Heading1"/>
        <w:bidi/>
        <w:rPr>
          <w:rFonts w:asciiTheme="majorBidi" w:hAnsiTheme="majorBidi" w:cstheme="majorBidi"/>
          <w:b/>
          <w:sz w:val="26"/>
          <w:szCs w:val="26"/>
        </w:rPr>
      </w:pPr>
      <w:r w:rsidRPr="00E57D77">
        <w:rPr>
          <w:rFonts w:asciiTheme="majorBidi" w:hAnsiTheme="majorBidi" w:cstheme="majorBidi"/>
          <w:b/>
          <w:sz w:val="26"/>
          <w:szCs w:val="26"/>
          <w:rtl/>
        </w:rPr>
        <w:t>وتضمن معايير البرنامج عدم الإلتزام بكود المباني وقواعدها فقط في البلد المعني بل وتطبيق معظم التكنولوجيات والنظم كفاءة المتاحة عمليا لبيان إمكانية التطبيق والتكرار على نطاق واسع.</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60"/>
      </w:r>
    </w:p>
    <w:p w14:paraId="7BAC42F4" w14:textId="77777777" w:rsidR="002D440B" w:rsidRPr="00E57D77" w:rsidRDefault="002D440B" w:rsidP="002D440B">
      <w:pPr>
        <w:keepNext/>
        <w:bidi/>
        <w:rPr>
          <w:rFonts w:asciiTheme="majorBidi" w:hAnsiTheme="majorBidi" w:cstheme="majorBidi"/>
          <w:bCs/>
          <w:sz w:val="26"/>
          <w:szCs w:val="26"/>
        </w:rPr>
      </w:pPr>
      <w:r w:rsidRPr="00E57D77">
        <w:rPr>
          <w:rFonts w:asciiTheme="majorBidi" w:hAnsiTheme="majorBidi" w:cstheme="majorBidi"/>
          <w:bCs/>
          <w:sz w:val="26"/>
          <w:szCs w:val="26"/>
          <w:rtl/>
        </w:rPr>
        <w:t>الاستخدام المستدام للموارد الطبيعية وتمويل الطاقة</w:t>
      </w:r>
    </w:p>
    <w:p w14:paraId="1A917963" w14:textId="77777777" w:rsidR="002D440B" w:rsidRPr="00E57D77" w:rsidRDefault="002D440B" w:rsidP="002D440B">
      <w:pPr>
        <w:keepNext/>
        <w:bidi/>
        <w:rPr>
          <w:rFonts w:asciiTheme="majorBidi" w:hAnsiTheme="majorBidi" w:cstheme="majorBidi"/>
          <w:b/>
          <w:sz w:val="26"/>
          <w:szCs w:val="26"/>
        </w:rPr>
      </w:pPr>
    </w:p>
    <w:p w14:paraId="59EA906C"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الخلفية</w:t>
      </w:r>
    </w:p>
    <w:p w14:paraId="16B367B0" w14:textId="77777777" w:rsidR="002D440B" w:rsidRPr="00E57D77" w:rsidRDefault="002D440B" w:rsidP="002D440B">
      <w:pPr>
        <w:keepNext/>
        <w:bidi/>
        <w:rPr>
          <w:rFonts w:asciiTheme="majorBidi" w:hAnsiTheme="majorBidi" w:cstheme="majorBidi"/>
          <w:sz w:val="26"/>
          <w:szCs w:val="26"/>
        </w:rPr>
      </w:pPr>
    </w:p>
    <w:p w14:paraId="7B9D865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الاستخدام المستدام للموارد الطبيعية وتحويل الطاقة عبارة عن مسمي للتمويل الأخضر لدى وكالة التنمية الفرنسية حيث يدعم الأعمال الجارية في البلدان النامية لاغتنام الفرص ذات الصلة بالطاقة والتحويلات البيئية وتشجيع المؤسسات المالية المحلية على تمويلها، ويجري أيضا تمويل المشروعات المتعلقة بكفاءة استخدام الطاقة من خلال برنامج الاستخدام المستدام للموارد الطبيعية وتمويل الطاقة. وهذا البرنامج مسمى وضع بمشاركة مالية من الاتحاد الأوروبي وبالتعاون مع المرفق الفرنسي للبيئة العالمية.</w:t>
      </w:r>
    </w:p>
    <w:p w14:paraId="65382C7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ويستخدم هذا البرنامج توليفة من القروض والمنح الاستثمارية والدعم التقني لتمويل مشروعات التحول الايكولوجي للشركات. كما يقدم هذا البرنامج للمصارف في الجنوب ظروف شراكة مميزة لتمكينها من اغتنام فرص التمويل الأخضر.</w:t>
      </w:r>
    </w:p>
    <w:p w14:paraId="370EE883"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ويستفيد البرنامج أيضا من الدعم الذي يقدمه الشركاء الدوليون الملتزمون بالتنمية المستدامة- وخاصة البنك الأوروبي للإنشاء والتعمير ومديرية التنمية الدولية وحكومة سويسرا. ويسهم التعاون مع هذه المؤسسات في تنمية الخبرات حول موضوع التمويل الأخضر.</w:t>
      </w:r>
    </w:p>
    <w:p w14:paraId="51FAB92A"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1A9E565A" w14:textId="77777777" w:rsidR="002D440B" w:rsidRPr="00E57D77" w:rsidRDefault="002D440B" w:rsidP="002D440B">
      <w:pPr>
        <w:bidi/>
        <w:rPr>
          <w:rFonts w:asciiTheme="majorBidi" w:hAnsiTheme="majorBidi" w:cstheme="majorBidi"/>
          <w:sz w:val="26"/>
          <w:szCs w:val="26"/>
        </w:rPr>
      </w:pPr>
    </w:p>
    <w:p w14:paraId="4763893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وتغطي برامج هذا البرنامج ثلاثة قطاعات استثمارية وهي كفاءة استخدام الطاقة والطاقات المتجددة والبيئة. ومشروعات كفاءة استخدام الطاقة في القطاع الخاص مؤهلة للتمويل في إطار هذا البرنامج.</w:t>
      </w:r>
    </w:p>
    <w:p w14:paraId="509410F8"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5B5BDBF3" w14:textId="77777777" w:rsidR="002D440B" w:rsidRPr="00E57D77" w:rsidRDefault="002D440B" w:rsidP="002D440B">
      <w:pPr>
        <w:bidi/>
        <w:rPr>
          <w:rFonts w:asciiTheme="majorBidi" w:hAnsiTheme="majorBidi" w:cstheme="majorBidi"/>
          <w:sz w:val="26"/>
          <w:szCs w:val="26"/>
        </w:rPr>
      </w:pPr>
    </w:p>
    <w:p w14:paraId="6E11DBA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ويستند برنامج الموارد الطبيعية وتمويل الطاقة الى شراكة فعالة مع المصارف المشاركة في تمويل المشروعات الخضراء.</w:t>
      </w:r>
    </w:p>
    <w:p w14:paraId="3E24A8D4"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وينبغي أن تحقق مشروعات كفاءة استخدام الطاقة الخضراء الإسهامات التالية: (أ) خفض استهلاك الطاقة بنسبة لا تقل عن 20 في المائة بالمقارنة بالتكنولوجيات المعيارية، (ب) معدل عائد داخلي لا يقل عن 10 في المائة بالمشروع، (ج) معدل عائد لا يقل عن 20 في المائة من كفاءة استخدام الطاقة التي تكتسب من الاستثمارات المشاركة في زيادة في إنتاج قدرات إنتاج لا تقل عن 50 في المائة. ولايوجد أي مستوى أدنى للتمويل.</w:t>
      </w:r>
    </w:p>
    <w:p w14:paraId="1F6D9CF7"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ونظرا لأن الإجراءات والمساعدات التقنية تتباين بحسب الظروف المحلية، وحجم القرض ومستوى تعقيد المشروع، يوصي بأن تتصل الجهات المستفيدة المعنية ومصارف الشركات والأفرقة المحلية لتقديم المشروع.</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61"/>
      </w:r>
    </w:p>
    <w:p w14:paraId="4B2B824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ويتبع برنامج لاستخدام الموارد المحلية تمويل الطاقة المنهج العادل والأسلوب التقني الذي يبني قدرة المؤسسات المالية الوطنية بشأن عملية التمويل الأخضر. وتقدم المساعدات التقنية لمختلف العناصر الفاعلة دون مقابل أو بتكلفة في متناول اليد لمرافق الارتقاء. ويتألف البرنامج بصفة خاصة من وضع أدوات الاتصال والمعلومات ووضع حافظة لكفاءة استخدام الطاقة والمشروعات الفرعية المتعلقة بالطاقة المتجددة المؤهلة لخطوط الائتمان وبناء القدرات لمختلف العناصر الفاعلة وناقلي المعارف.</w:t>
      </w:r>
    </w:p>
    <w:p w14:paraId="5F32A441" w14:textId="77777777" w:rsidR="002D440B" w:rsidRPr="00E57D77" w:rsidRDefault="002D440B" w:rsidP="002D440B">
      <w:pPr>
        <w:bidi/>
        <w:rPr>
          <w:rFonts w:asciiTheme="majorBidi" w:hAnsiTheme="majorBidi" w:cstheme="majorBidi"/>
          <w:bCs/>
          <w:sz w:val="26"/>
          <w:szCs w:val="26"/>
        </w:rPr>
      </w:pPr>
      <w:r w:rsidRPr="00E57D77">
        <w:rPr>
          <w:rFonts w:asciiTheme="majorBidi" w:hAnsiTheme="majorBidi" w:cstheme="majorBidi"/>
          <w:bCs/>
          <w:sz w:val="26"/>
          <w:szCs w:val="26"/>
          <w:rtl/>
        </w:rPr>
        <w:t>المرفق الفرنسي للبيئة العالمية</w:t>
      </w:r>
    </w:p>
    <w:p w14:paraId="34D43B1D" w14:textId="77777777" w:rsidR="002D440B" w:rsidRPr="00E57D77" w:rsidRDefault="002D440B" w:rsidP="002D440B">
      <w:pPr>
        <w:bidi/>
        <w:rPr>
          <w:rFonts w:asciiTheme="majorBidi" w:hAnsiTheme="majorBidi" w:cstheme="majorBidi"/>
          <w:b/>
          <w:sz w:val="26"/>
          <w:szCs w:val="26"/>
        </w:rPr>
      </w:pPr>
    </w:p>
    <w:p w14:paraId="4CEC97C8"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الخلفية</w:t>
      </w:r>
    </w:p>
    <w:p w14:paraId="2B87C21A" w14:textId="77777777" w:rsidR="002D440B" w:rsidRPr="00E57D77" w:rsidRDefault="002D440B" w:rsidP="002D440B">
      <w:pPr>
        <w:bidi/>
        <w:rPr>
          <w:rFonts w:asciiTheme="majorBidi" w:hAnsiTheme="majorBidi" w:cstheme="majorBidi"/>
          <w:sz w:val="26"/>
          <w:szCs w:val="26"/>
        </w:rPr>
      </w:pPr>
    </w:p>
    <w:p w14:paraId="122E2F3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يدعم المرفق الفرنسي للبيئة العالمية الذي توجد أمانته لدى وكالة التنمية الفرنسية الحلول البيئية المبتكرة في البلدان النامية بما في ذلك المبادرات الخاصة بكفاءة استخدام الطاقة. وقد أنشئ المرفق عام 1994 بواسطة الحكومة الفرنسية بعد مؤتمر القمة الأول، وتوفر المشروعات التي يمولها منافع بيئية واجتماعية واقتصادية للسكان المحليين. وتساعد في المحافظة على التنوع البيولوجي والمناخ والمياه الدولية والأراضي وطبقة الأوزون مع مكافحة التلوث. ولدى البرنامج أيضا اسلوب يشمل دعم المشروعات الرائدة لاكتساب الدروس منها ونشر مبتكراتها على نطاق واسع.</w:t>
      </w:r>
    </w:p>
    <w:p w14:paraId="10D74886"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lang w:bidi="ar-EG"/>
        </w:rPr>
        <w:t>ويقضي تفويض البرنامج (أ) الكفاح ضد تغير المناخ والاثار الضارة، (ب) الحفاظ والإدارة المستدامة للتنوع البيولوجي والموارد الطبيعية، (ج)</w:t>
      </w:r>
      <w:r w:rsidRPr="00E57D77">
        <w:rPr>
          <w:rFonts w:asciiTheme="majorBidi" w:hAnsiTheme="majorBidi" w:cstheme="majorBidi"/>
          <w:sz w:val="26"/>
          <w:szCs w:val="26"/>
          <w:rtl/>
        </w:rPr>
        <w:t xml:space="preserve"> حماية المياه الداخلية والبحرية الدولية، (د) الكفاح ضد التصحر وتدهور الأراضي بما في ذلك إزالة الغابات، (ﻫ) إدارة المخلفات والكفاح ضد الملوثات الكيميائية، (و) القضاء على المواد التي تؤدي الى استنفاذ طبقة أوزون الغلاف الجوي (مثل الوكالة الثنائية للصندوق المتعدد الأطراف).</w:t>
      </w:r>
    </w:p>
    <w:p w14:paraId="2E05FED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ويقوم البرنامج في إطار الاستراتيجية الحالية بالتركيز على خمسة مواضع تحظى بالأولوية وهي (1) حماية وتعزيز التنوع البيولوجي، (2) الغابات المستدامة والأراضي الزراعية، (3) مقاومة النظم الايكولوجية المائية، (4) تحول الطاقة والمدن المرنة، (5) دورة حياة المنتج والتلوث والمخلفات. وفي إطار الموضع الذي يتسم بالأولوية عن "تحول الطاقة والمدن المرنة" تشمل المجالات الرئيسية ثاني أكسيد الكربون وكفاءة استخدام اطاقة بما في ذلك التخطيط والمباني والنظم المبرد والنقل. وفيما يتعلق بالتبريد، يوجد تركيز نوعي على تكييف الهواء والتبريد والتخزين والشبكات والتبريد الأخضر (المتصل بالتأثيرات على طبقة الأوزون) والحلول السلبة بشأن واجهات المباني (مثل الأسطح المبردة التي تعكس درجة حرارة الشمس) واسترجاع الحرارة الصادرة عن نظم تكييف الهواء.</w:t>
      </w:r>
    </w:p>
    <w:p w14:paraId="370E66DB"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وكجزء من هذه الاستراتيجية وعلاوة على دورة تقديم المشروع "المعتادة"، أطلقت دعوة محددة لتقديم مقترحات معلومات عن "التبريد وتكييف الهواء المستدامان" وكان مقترحا من يونيه/ حزيران الى أكتوبر/ تشرين الأول 2020.</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62"/>
      </w:r>
      <w:r w:rsidRPr="00E57D77">
        <w:rPr>
          <w:rFonts w:asciiTheme="majorBidi" w:hAnsiTheme="majorBidi" w:cstheme="majorBidi"/>
          <w:sz w:val="26"/>
          <w:szCs w:val="26"/>
          <w:rtl/>
        </w:rPr>
        <w:t xml:space="preserve"> ويجري حاليا تقييم هذه المقترحات وإدراج مشروعات يجري تمويلها بصورة مشتركة عن طريق تمويل الصندوق المتعدد الأطراف. وعلى الرغم من تلك الدعوة لتقديم مقترحات مشروعات قد أغلقت الآن، مازالت المشروعات في هذا المجال تقدم في أي وقت للنظر من جانب البرنامج في إطار دورة تقديم المشروع "المعتادة".</w:t>
      </w:r>
    </w:p>
    <w:p w14:paraId="3E8CB6DA"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374F9420" w14:textId="77777777" w:rsidR="002D440B" w:rsidRPr="00E57D77" w:rsidRDefault="002D440B" w:rsidP="002D440B">
      <w:pPr>
        <w:bidi/>
        <w:rPr>
          <w:rFonts w:asciiTheme="majorBidi" w:hAnsiTheme="majorBidi" w:cstheme="majorBidi"/>
          <w:sz w:val="26"/>
          <w:szCs w:val="26"/>
        </w:rPr>
      </w:pPr>
    </w:p>
    <w:p w14:paraId="02F25BAE"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يجوز أي بيان قانوني (باستثناء الأفراد/ الأشخاص الطبيعيين) تقديم مشروع مادام هذا المشروع يقع ضمن التفويض والمبادئ التوجيهية للبرنامج ويلبي الأهلية والتمويل والمعايير</w:t>
      </w:r>
      <w:r w:rsidRPr="00E57D77">
        <w:rPr>
          <w:rFonts w:asciiTheme="majorBidi" w:hAnsiTheme="majorBidi" w:cstheme="majorBidi"/>
          <w:sz w:val="26"/>
          <w:szCs w:val="26"/>
          <w:rtl/>
          <w:lang w:bidi="ar-EG"/>
        </w:rPr>
        <w:t>الجغرافية والتمويل. والمشروعات المشتركة التحويل في البرنامج في أي بلد نامي مؤهلة للحصول على المساعدات الانمائية الرسمية.</w:t>
      </w:r>
    </w:p>
    <w:p w14:paraId="26B3E3B3"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5E331A6D" w14:textId="77777777" w:rsidR="002D440B" w:rsidRPr="00E57D77" w:rsidRDefault="002D440B" w:rsidP="002D440B">
      <w:pPr>
        <w:bidi/>
        <w:rPr>
          <w:rFonts w:asciiTheme="majorBidi" w:hAnsiTheme="majorBidi" w:cstheme="majorBidi"/>
          <w:sz w:val="26"/>
          <w:szCs w:val="26"/>
        </w:rPr>
      </w:pPr>
    </w:p>
    <w:p w14:paraId="6989B49E"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lang w:bidi="ar-EG"/>
        </w:rPr>
        <w:t xml:space="preserve">ينبغي لأي مشروعات تقدم للبرنامج أي تحقق المعايير الثمانية التالية: وتساهم في الحفاظ على البيئة العالمية، وتساهم في التنمية المستدامة المحلية في بلد أو أكثر من البلدان النامية تتمتع بطابع بياني وقابل للتكرار، ويهيئ </w:t>
      </w:r>
      <w:r w:rsidRPr="00E57D77">
        <w:rPr>
          <w:rFonts w:asciiTheme="majorBidi" w:hAnsiTheme="majorBidi" w:cstheme="majorBidi"/>
          <w:sz w:val="26"/>
          <w:szCs w:val="26"/>
          <w:rtl/>
        </w:rPr>
        <w:t>للاستدامة الاقتصادية والمالية بعد انتهاء المشروع وسليم من الناحيتين الايكولوجية والبيئية ولديه قبول اجتماعي وثقافي ولديه إطار مؤسسي ملائم.</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63"/>
      </w:r>
    </w:p>
    <w:p w14:paraId="62E2F64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ويمكن تقديم مستوى التمويل الذي يتراوح بين </w:t>
      </w:r>
      <w:r w:rsidRPr="00E57D77">
        <w:rPr>
          <w:rFonts w:asciiTheme="majorBidi" w:hAnsiTheme="majorBidi" w:cstheme="majorBidi"/>
          <w:sz w:val="26"/>
          <w:szCs w:val="26"/>
        </w:rPr>
        <w:t>500,000</w:t>
      </w:r>
      <w:r w:rsidRPr="00E57D77">
        <w:rPr>
          <w:rFonts w:asciiTheme="majorBidi" w:hAnsiTheme="majorBidi" w:cstheme="majorBidi"/>
          <w:sz w:val="26"/>
          <w:szCs w:val="26"/>
          <w:rtl/>
        </w:rPr>
        <w:t xml:space="preserve"> يورو (</w:t>
      </w:r>
      <w:r w:rsidRPr="00E57D77">
        <w:rPr>
          <w:rFonts w:asciiTheme="majorBidi" w:hAnsiTheme="majorBidi" w:cstheme="majorBidi"/>
          <w:sz w:val="26"/>
          <w:szCs w:val="26"/>
        </w:rPr>
        <w:t>552,000</w:t>
      </w:r>
      <w:r w:rsidRPr="00E57D77">
        <w:rPr>
          <w:rFonts w:asciiTheme="majorBidi" w:hAnsiTheme="majorBidi" w:cstheme="majorBidi"/>
          <w:sz w:val="26"/>
          <w:szCs w:val="26"/>
          <w:rtl/>
        </w:rPr>
        <w:t xml:space="preserve"> دولار أمريكي) و3 ملايين يورو (</w:t>
      </w:r>
      <w:r w:rsidRPr="00E57D77">
        <w:rPr>
          <w:rFonts w:asciiTheme="majorBidi" w:hAnsiTheme="majorBidi" w:cstheme="majorBidi"/>
          <w:sz w:val="26"/>
          <w:szCs w:val="26"/>
        </w:rPr>
        <w:t>3.3</w:t>
      </w:r>
      <w:r w:rsidRPr="00E57D77">
        <w:rPr>
          <w:rFonts w:asciiTheme="majorBidi" w:hAnsiTheme="majorBidi" w:cstheme="majorBidi"/>
          <w:sz w:val="26"/>
          <w:szCs w:val="26"/>
          <w:rtl/>
        </w:rPr>
        <w:t xml:space="preserve"> مليون دولار أمريكي) للمشروع الواحد. ويبلغ المستوى الأدنى للتمويل </w:t>
      </w:r>
      <w:r w:rsidRPr="00E57D77">
        <w:rPr>
          <w:rFonts w:asciiTheme="majorBidi" w:hAnsiTheme="majorBidi" w:cstheme="majorBidi"/>
          <w:sz w:val="26"/>
          <w:szCs w:val="26"/>
        </w:rPr>
        <w:t>500,000</w:t>
      </w:r>
      <w:r w:rsidRPr="00E57D77">
        <w:rPr>
          <w:rFonts w:asciiTheme="majorBidi" w:hAnsiTheme="majorBidi" w:cstheme="majorBidi"/>
          <w:sz w:val="26"/>
          <w:szCs w:val="26"/>
          <w:rtl/>
        </w:rPr>
        <w:t xml:space="preserve"> يورو (</w:t>
      </w:r>
      <w:r w:rsidRPr="00E57D77">
        <w:rPr>
          <w:rFonts w:asciiTheme="majorBidi" w:hAnsiTheme="majorBidi" w:cstheme="majorBidi"/>
          <w:sz w:val="26"/>
          <w:szCs w:val="26"/>
        </w:rPr>
        <w:t>552,000</w:t>
      </w:r>
      <w:r w:rsidRPr="00E57D77">
        <w:rPr>
          <w:rFonts w:asciiTheme="majorBidi" w:hAnsiTheme="majorBidi" w:cstheme="majorBidi"/>
          <w:sz w:val="26"/>
          <w:szCs w:val="26"/>
          <w:rtl/>
        </w:rPr>
        <w:t xml:space="preserve"> دولار أمريكي)</w:t>
      </w:r>
      <w:r w:rsidRPr="00E57D77">
        <w:rPr>
          <w:rFonts w:asciiTheme="majorBidi" w:hAnsiTheme="majorBidi" w:cstheme="majorBidi"/>
          <w:sz w:val="26"/>
          <w:szCs w:val="26"/>
          <w:rtl/>
          <w:lang w:bidi="ar-EG"/>
        </w:rPr>
        <w:t xml:space="preserve"> للمشروع الواحد.</w:t>
      </w:r>
    </w:p>
    <w:p w14:paraId="380DE1D2"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lang w:bidi="ar-EG"/>
        </w:rPr>
        <w:t>ولا يقدم تمويل البرنامج إلاّ في نطاق التمويل المشترك. ويمكن للبرنامج أن يسهم حاليا بما يصل الى 30 في المائة من مجموع ميزانية المشروع وأن يصل التمويل المشترك الى 70 في المائة. ويمكن النظر الى متطلبات التمويل المشترك في سياق الاستراتيجية البرامجية التالية للبرنامج والتي سوف تعتمد للفترة 2023-2026.</w:t>
      </w:r>
    </w:p>
    <w:p w14:paraId="079D16B3" w14:textId="77777777" w:rsidR="002D440B" w:rsidRPr="00E57D77" w:rsidRDefault="002D440B" w:rsidP="002D440B">
      <w:pPr>
        <w:keepNext/>
        <w:bidi/>
        <w:rPr>
          <w:rFonts w:asciiTheme="majorBidi" w:hAnsiTheme="majorBidi" w:cstheme="majorBidi"/>
          <w:bCs/>
          <w:sz w:val="26"/>
          <w:szCs w:val="26"/>
          <w:lang w:val="en-US"/>
        </w:rPr>
      </w:pPr>
      <w:r w:rsidRPr="00E57D77">
        <w:rPr>
          <w:rFonts w:asciiTheme="majorBidi" w:hAnsiTheme="majorBidi" w:cstheme="majorBidi"/>
          <w:bCs/>
          <w:sz w:val="26"/>
          <w:szCs w:val="26"/>
          <w:rtl/>
          <w:lang w:val="en-US"/>
        </w:rPr>
        <w:t>الخزانة الفرنسية</w:t>
      </w:r>
    </w:p>
    <w:p w14:paraId="307C8999" w14:textId="77777777" w:rsidR="002D440B" w:rsidRPr="00E57D77" w:rsidRDefault="002D440B" w:rsidP="002D440B">
      <w:pPr>
        <w:keepNext/>
        <w:bidi/>
        <w:rPr>
          <w:rFonts w:asciiTheme="majorBidi" w:hAnsiTheme="majorBidi" w:cstheme="majorBidi"/>
          <w:b/>
          <w:sz w:val="26"/>
          <w:szCs w:val="26"/>
          <w:lang w:val="en-US"/>
        </w:rPr>
      </w:pPr>
    </w:p>
    <w:p w14:paraId="34B791BE"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الخلفية</w:t>
      </w:r>
    </w:p>
    <w:p w14:paraId="015EF3BA" w14:textId="77777777" w:rsidR="002D440B" w:rsidRPr="00E57D77" w:rsidRDefault="002D440B" w:rsidP="002D440B">
      <w:pPr>
        <w:keepNext/>
        <w:bidi/>
        <w:rPr>
          <w:rFonts w:asciiTheme="majorBidi" w:hAnsiTheme="majorBidi" w:cstheme="majorBidi"/>
          <w:sz w:val="26"/>
          <w:szCs w:val="26"/>
        </w:rPr>
      </w:pPr>
    </w:p>
    <w:p w14:paraId="32B8E7E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تقدم الخزانة الفرنسية الدعم من خلال المنح والقروض السيادية التي يمكن أن تمول هذه المشروعات ويمكن أيضا خلط هذه القروض مع القرض التجاري الذي يضمنه تصدير ضمان حسن النية الذي يعمل نيابة عن الحكومة الفرنسية لتمويل المشروعات الأكبر حجما. وتجدر الملاحظة بأن قروض الخزانة ينظمها رسميا ترتيب التعاون الاقتصادي والتنمية بشأن سندات ائتمان التصدير المدعمة رسميا وتقدم متطلبات محتوى فرنسي.</w:t>
      </w:r>
    </w:p>
    <w:p w14:paraId="7AA5981B"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3DC92D92" w14:textId="77777777" w:rsidR="002D440B" w:rsidRPr="00E57D77" w:rsidRDefault="002D440B" w:rsidP="002D440B">
      <w:pPr>
        <w:bidi/>
        <w:rPr>
          <w:rFonts w:asciiTheme="majorBidi" w:hAnsiTheme="majorBidi" w:cstheme="majorBidi"/>
          <w:sz w:val="26"/>
          <w:szCs w:val="26"/>
        </w:rPr>
      </w:pPr>
    </w:p>
    <w:p w14:paraId="69E60F8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يجري تحديث الحدود الجغرافية للقروض والمنح التي تقدمها الخزانة الفرنسية على أساس سنوي، وتتوافر معلومات عن القائمة المحدثة للبلدان في </w:t>
      </w:r>
      <w:hyperlink r:id="rId25" w:history="1">
        <w:r w:rsidRPr="00E57D77">
          <w:rPr>
            <w:rStyle w:val="Hyperlink"/>
            <w:rFonts w:asciiTheme="majorBidi" w:hAnsiTheme="majorBidi" w:cstheme="majorBidi"/>
            <w:sz w:val="26"/>
            <w:szCs w:val="26"/>
          </w:rPr>
          <w:t>https://www.tresor.economie.gouv.fr/services-aux-entreprises/le-pret-du-tresor</w:t>
        </w:r>
      </w:hyperlink>
      <w:r w:rsidRPr="00E57D77">
        <w:rPr>
          <w:rFonts w:asciiTheme="majorBidi" w:hAnsiTheme="majorBidi" w:cstheme="majorBidi"/>
          <w:sz w:val="26"/>
          <w:szCs w:val="26"/>
        </w:rPr>
        <w:t>.</w:t>
      </w:r>
      <w:r w:rsidRPr="00E57D77">
        <w:rPr>
          <w:rFonts w:asciiTheme="majorBidi" w:hAnsiTheme="majorBidi" w:cstheme="majorBidi"/>
          <w:sz w:val="26"/>
          <w:szCs w:val="26"/>
          <w:rtl/>
        </w:rPr>
        <w:t>.</w:t>
      </w:r>
    </w:p>
    <w:p w14:paraId="39EEB7E9"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161247E1" w14:textId="77777777" w:rsidR="002D440B" w:rsidRPr="00E57D77" w:rsidRDefault="002D440B" w:rsidP="002D440B">
      <w:pPr>
        <w:bidi/>
        <w:rPr>
          <w:rFonts w:asciiTheme="majorBidi" w:hAnsiTheme="majorBidi" w:cstheme="majorBidi"/>
          <w:sz w:val="26"/>
          <w:szCs w:val="26"/>
        </w:rPr>
      </w:pPr>
    </w:p>
    <w:p w14:paraId="565C3B3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لا تقدم الخزانة الفرنسية الأموال إلاّ للشركات الخاصة الفرنسية العاملة مع حكومات البلدان المستفيدة والقرض المقدم من الخزانة عبارة عن قرض بين الحكومة الفرنسية وحكومة أجنبية لتمويل البنية التحتية أو مشروع خدمة ينطوي على مضمون فرنسي شديد. ويجري التفاوض بشأن اتفاق حكومي دولي بين حكومة فرنسا وحكومة البلد المستفيد لوضع شروط سداد القرض. ويسدد التمويل بصورة مباشرة من الدولة الفرنسية للشركة التي تضطلع بالخدمة. وتسدد هذه المدفوعات خلال تقدم المشروع. وتسدد الدولة الأجنبية للدولة الفرنسية وفقا للشروط المتفاوض بشأنها عن القرض.</w:t>
      </w:r>
    </w:p>
    <w:p w14:paraId="2B5944F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وتقدم الخزانة الفرنسية نوعين من القروض هما: (1) القروض التيسيرية التي تقدم بشروط مالية ميسرة بدرجة كبيرة للمشروعات/ البرامج مما يسهم السياسة الفرنسية المتعلقة </w:t>
      </w:r>
      <w:r w:rsidRPr="00E57D77">
        <w:rPr>
          <w:rFonts w:asciiTheme="majorBidi" w:hAnsiTheme="majorBidi" w:cstheme="majorBidi"/>
          <w:sz w:val="26"/>
          <w:szCs w:val="26"/>
          <w:rtl/>
          <w:lang w:bidi="ar-EG"/>
        </w:rPr>
        <w:t>بالمعونة الإنمائية، (2) القروض المباشرة التي تكون قروضا غير ميسرة تهدف الى تمويل مشروعات التصدير بشروط قريبة من تلك الخاصة بالسوق. وتتضمن القروض التيسيرية المنح التي تعادل مايصل الى 35 في المائة وتمنح للبلدان المنخفضة والمتوسطة الدخل. ويبلغ أدنى حجم للتمويل بالقروض نحو 10 ملايين يورو (11 مليون دولار أمريكي).</w:t>
      </w:r>
    </w:p>
    <w:p w14:paraId="1AB86FB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وتمثل "أموال الدراسة وإعانة القطاع الخاص" منحة أو سلفة قابلة الدفع لتمويل دراسات الجدوى</w:t>
      </w:r>
      <w:r w:rsidRPr="00E57D77">
        <w:rPr>
          <w:rFonts w:asciiTheme="majorBidi" w:hAnsiTheme="majorBidi" w:cstheme="majorBidi"/>
          <w:sz w:val="26"/>
          <w:szCs w:val="26"/>
          <w:rtl/>
          <w:lang w:bidi="ar-EG"/>
        </w:rPr>
        <w:t xml:space="preserve"> أو عروض التكنولوجيا المبتكرة التي تقدمها فرنسا للحكومات الأجنبية. ويمكن ذلك الشركات الفرنسية لتمويل جزء من أنشطة المساعدات الخاصة بمشروعات البنية التحتية (دراسة جدوى) أو للحصول على تأثير "محدد" (مقدم البيان الإيضاحي). كما أنها تتيح للشركات الفرنسية المستفيدة وضع فعاليات لطرائقها واكتساب المزيد من العملاء الرئيسيين لكي تتحول الى مرجع في البلدان الشريكة. وعندما تمنح للقطاعات أو البلدان المؤهلة، يعترف بأموال الدراسة والمعونة للقطاع الخاص كجزء من المساعدات الإنمائية الرسمية الفرنسية.</w:t>
      </w:r>
    </w:p>
    <w:p w14:paraId="30A34043"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وتتوافر الخطوات اللازمة للحصول على قروض الخزانة (أي شروط الحصول) والمعلومات الشاملة عن الشروط المتعلقة بوسائل التمويل هذه في الوثيقة </w:t>
      </w:r>
      <w:hyperlink r:id="rId26" w:history="1">
        <w:r w:rsidRPr="00E57D77">
          <w:rPr>
            <w:rStyle w:val="Hyperlink"/>
            <w:rFonts w:asciiTheme="majorBidi" w:hAnsiTheme="majorBidi" w:cstheme="majorBidi"/>
            <w:sz w:val="26"/>
            <w:szCs w:val="26"/>
          </w:rPr>
          <w:t>https://www.tresor.economie.gouv.fr/services-aux-entreprises/le-pret-du-tresor</w:t>
        </w:r>
      </w:hyperlink>
      <w:r w:rsidRPr="00E57D77">
        <w:rPr>
          <w:rFonts w:asciiTheme="majorBidi" w:hAnsiTheme="majorBidi" w:cstheme="majorBidi"/>
          <w:sz w:val="26"/>
          <w:szCs w:val="26"/>
        </w:rPr>
        <w:t>.</w:t>
      </w:r>
      <w:r w:rsidRPr="00E57D77">
        <w:rPr>
          <w:rFonts w:asciiTheme="majorBidi" w:hAnsiTheme="majorBidi" w:cstheme="majorBidi"/>
          <w:sz w:val="26"/>
          <w:szCs w:val="26"/>
          <w:rtl/>
        </w:rPr>
        <w:t>.</w:t>
      </w:r>
    </w:p>
    <w:p w14:paraId="01E51054" w14:textId="77777777" w:rsidR="002D440B" w:rsidRPr="00E57D77" w:rsidRDefault="002D440B" w:rsidP="002D440B">
      <w:pPr>
        <w:keepNext/>
        <w:bidi/>
        <w:jc w:val="left"/>
        <w:rPr>
          <w:rFonts w:asciiTheme="majorBidi" w:hAnsiTheme="majorBidi" w:cstheme="majorBidi"/>
          <w:iCs/>
          <w:sz w:val="26"/>
          <w:szCs w:val="26"/>
          <w:u w:val="single"/>
        </w:rPr>
      </w:pPr>
      <w:r w:rsidRPr="00E57D77">
        <w:rPr>
          <w:rFonts w:asciiTheme="majorBidi" w:hAnsiTheme="majorBidi" w:cstheme="majorBidi"/>
          <w:iCs/>
          <w:sz w:val="26"/>
          <w:szCs w:val="26"/>
          <w:u w:val="single"/>
          <w:rtl/>
        </w:rPr>
        <w:t>حكومة ألمانيا</w:t>
      </w:r>
    </w:p>
    <w:p w14:paraId="4BB00CA7" w14:textId="77777777" w:rsidR="002D440B" w:rsidRPr="00E57D77" w:rsidRDefault="002D440B" w:rsidP="002D440B">
      <w:pPr>
        <w:keepNext/>
        <w:bidi/>
        <w:jc w:val="left"/>
        <w:rPr>
          <w:rFonts w:asciiTheme="majorBidi" w:hAnsiTheme="majorBidi" w:cstheme="majorBidi"/>
          <w:b/>
          <w:sz w:val="26"/>
          <w:szCs w:val="26"/>
        </w:rPr>
      </w:pPr>
    </w:p>
    <w:p w14:paraId="3BE24DF8" w14:textId="77777777" w:rsidR="002D440B" w:rsidRPr="00E57D77" w:rsidRDefault="002D440B" w:rsidP="002D440B">
      <w:pPr>
        <w:keepNext/>
        <w:bidi/>
        <w:rPr>
          <w:rFonts w:asciiTheme="majorBidi" w:hAnsiTheme="majorBidi" w:cstheme="majorBidi"/>
          <w:bCs/>
          <w:sz w:val="26"/>
          <w:szCs w:val="26"/>
          <w:rtl/>
          <w:lang w:bidi="ar-EG"/>
        </w:rPr>
      </w:pPr>
      <w:r w:rsidRPr="00E57D77">
        <w:rPr>
          <w:rFonts w:asciiTheme="majorBidi" w:hAnsiTheme="majorBidi" w:cstheme="majorBidi"/>
          <w:bCs/>
          <w:sz w:val="26"/>
          <w:szCs w:val="26"/>
          <w:rtl/>
          <w:lang w:bidi="ar-EG"/>
        </w:rPr>
        <w:t>الوزارة الاتحادية للتعاون الاقتصادي والتنمية</w:t>
      </w:r>
      <w:r w:rsidRPr="00E57D77">
        <w:rPr>
          <w:rStyle w:val="FootnoteReference"/>
          <w:rFonts w:asciiTheme="majorBidi" w:hAnsiTheme="majorBidi" w:cstheme="majorBidi"/>
          <w:b/>
          <w:sz w:val="26"/>
          <w:szCs w:val="26"/>
        </w:rPr>
        <w:footnoteReference w:id="64"/>
      </w:r>
    </w:p>
    <w:p w14:paraId="73D5F1C4" w14:textId="77777777" w:rsidR="002D440B" w:rsidRPr="00E57D77" w:rsidRDefault="002D440B" w:rsidP="002D440B">
      <w:pPr>
        <w:keepNext/>
        <w:bidi/>
        <w:rPr>
          <w:rFonts w:asciiTheme="majorBidi" w:hAnsiTheme="majorBidi" w:cstheme="majorBidi"/>
          <w:b/>
          <w:sz w:val="26"/>
          <w:szCs w:val="26"/>
        </w:rPr>
      </w:pPr>
    </w:p>
    <w:p w14:paraId="71A8E1C3"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الخلفية</w:t>
      </w:r>
    </w:p>
    <w:p w14:paraId="76E9F5E4" w14:textId="77777777" w:rsidR="002D440B" w:rsidRPr="00E57D77" w:rsidRDefault="002D440B" w:rsidP="002D440B">
      <w:pPr>
        <w:keepNext/>
        <w:bidi/>
        <w:rPr>
          <w:rFonts w:asciiTheme="majorBidi" w:hAnsiTheme="majorBidi" w:cstheme="majorBidi"/>
          <w:sz w:val="26"/>
          <w:szCs w:val="26"/>
        </w:rPr>
      </w:pPr>
    </w:p>
    <w:p w14:paraId="088B160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تشجع الوزارة الاتحادية للتعاون الاقتصادي والتنمية الاقتصادية في ألمانيا والبلدان الأخرى بفضل التعاون والشراكة الدولية. وتتعاون مع المنظمات الدولية المشاركة في التنمية.</w:t>
      </w:r>
    </w:p>
    <w:p w14:paraId="5AD7E6A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وتمول هذه الوزارة بصورة مباشرة المشروعات بصورة كاملة أو جزئية في القطاعات الفرعية لتصنيع الرغاوي وقطاعات التبريد وتكييف الهواء من خلال مختلف الوسائل مثل الإسهام في الصندوق المتعدد الأطراف لبروتوكول مونتريال بما في ذلك المساهمات الثنائية لبروتوكول مونتريال والمشروع العالمي الذي يجمع بين حماية المناخ وحماية الأوزون والذي يستخدم منهج التبريد الأخضر في الترويج لتدابير كفاءة استخدام الطاقة في قطاع التبريد، ومشروعات التعاون الثنائي التي تروج لوضع التكنولوجيات الموائمة بالمناخ والتي تتسم بكفاءة استخدام الطاقة في البلدان الصناعية الجديدة والبلدان النامية. بما في ذلك البلدان الأقل نموا التي تنفذها بالدرجة الأولى الوكالة الألمانية للتعاون الدولي</w:t>
      </w:r>
      <w:r w:rsidRPr="00E57D77">
        <w:rPr>
          <w:rStyle w:val="FootnoteReference"/>
          <w:rFonts w:asciiTheme="majorBidi" w:hAnsiTheme="majorBidi" w:cstheme="majorBidi"/>
          <w:sz w:val="26"/>
          <w:szCs w:val="26"/>
        </w:rPr>
        <w:footnoteReference w:id="65"/>
      </w:r>
      <w:r w:rsidRPr="00E57D77">
        <w:rPr>
          <w:rFonts w:asciiTheme="majorBidi" w:hAnsiTheme="majorBidi" w:cstheme="majorBidi"/>
          <w:sz w:val="26"/>
          <w:szCs w:val="26"/>
          <w:rtl/>
        </w:rPr>
        <w:t xml:space="preserve"> وبنك الاستثمار والتنمية الألماني</w:t>
      </w:r>
      <w:r w:rsidRPr="00E57D77">
        <w:rPr>
          <w:rStyle w:val="FootnoteReference"/>
          <w:rFonts w:asciiTheme="majorBidi" w:hAnsiTheme="majorBidi" w:cstheme="majorBidi"/>
          <w:sz w:val="26"/>
          <w:szCs w:val="26"/>
        </w:rPr>
        <w:footnoteReference w:id="66"/>
      </w:r>
      <w:r w:rsidRPr="00E57D77">
        <w:rPr>
          <w:rFonts w:asciiTheme="majorBidi" w:hAnsiTheme="majorBidi" w:cstheme="majorBidi"/>
          <w:sz w:val="26"/>
          <w:szCs w:val="26"/>
          <w:rtl/>
        </w:rPr>
        <w:t xml:space="preserve"> والمساهمات</w:t>
      </w:r>
      <w:r w:rsidRPr="00E57D77">
        <w:rPr>
          <w:rFonts w:asciiTheme="majorBidi" w:hAnsiTheme="majorBidi" w:cstheme="majorBidi"/>
          <w:sz w:val="26"/>
          <w:szCs w:val="26"/>
          <w:rtl/>
          <w:lang w:bidi="ar-EG"/>
        </w:rPr>
        <w:t xml:space="preserve"> في الصناديق المتعددة الأطراف التي تمول هذه المشروعات مثل مرفق البيئة العالمية.</w:t>
      </w:r>
    </w:p>
    <w:p w14:paraId="27B94B2C"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0A85A60A" w14:textId="77777777" w:rsidR="002D440B" w:rsidRPr="00E57D77" w:rsidRDefault="002D440B" w:rsidP="002D440B">
      <w:pPr>
        <w:bidi/>
        <w:rPr>
          <w:rFonts w:asciiTheme="majorBidi" w:hAnsiTheme="majorBidi" w:cstheme="majorBidi"/>
          <w:sz w:val="26"/>
          <w:szCs w:val="26"/>
        </w:rPr>
      </w:pPr>
    </w:p>
    <w:p w14:paraId="443F72F2"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يمكن لحكومات البلدان المختلفة اقتراح المشروعات للنظر في تمويلها من جانب الوزارة الاتحادية.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67"/>
      </w:r>
    </w:p>
    <w:p w14:paraId="5129994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وعلاوة على ذلك، وضعت الوزارة الاتحادية استراتيجية (الوزارة 2030) للتركيز على التدابير الإنمائية والتمويل بصورة استراتيجية وفعالة مع التركيز على المجالات بما فيها المناخ والصحة وسياسة الأسرة وسلسلة الإمدادات المستدامة واستخدام التكنولوجيا الرقمية ونقل التكنولوجيا، وتعزيز الاستثمارات الخاصة. وتركز الاستراتيجية أيضا على مشاركة البلدان التي تنطوي على تركيز قوي على الإصلاحات وبيان تأثيرات تقدمها على الإصلاحات.</w:t>
      </w:r>
    </w:p>
    <w:p w14:paraId="43EA6A86"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الإجراءات</w:t>
      </w:r>
    </w:p>
    <w:p w14:paraId="13056AD4" w14:textId="77777777" w:rsidR="002D440B" w:rsidRPr="00E57D77" w:rsidRDefault="002D440B" w:rsidP="002D440B">
      <w:pPr>
        <w:tabs>
          <w:tab w:val="left" w:pos="1668"/>
        </w:tabs>
        <w:bidi/>
        <w:jc w:val="left"/>
        <w:rPr>
          <w:rFonts w:asciiTheme="majorBidi" w:hAnsiTheme="majorBidi" w:cstheme="majorBidi"/>
          <w:sz w:val="26"/>
          <w:szCs w:val="26"/>
        </w:rPr>
      </w:pPr>
    </w:p>
    <w:p w14:paraId="51DFF9D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ولا تقوم الوزارة الاتحادية بتقديم التمويل مباشرة  للشركاء الخارجيين في قطاعات التبريد وتكييف الهواء وقطاع الرغاوي. ولذا لا توجد إجراءات محددة تتعلق بتمويل الشركاء الخارجيين. ولاتوجد مستويات تمويل محددة للمشروعات، وتتباين بحسب المشروعات.</w:t>
      </w:r>
    </w:p>
    <w:p w14:paraId="187FA69D" w14:textId="77777777" w:rsidR="002D440B" w:rsidRPr="00E57D77" w:rsidRDefault="002D440B" w:rsidP="009A0AF3">
      <w:pPr>
        <w:keepNext/>
        <w:keepLines/>
        <w:bidi/>
        <w:rPr>
          <w:rFonts w:asciiTheme="majorBidi" w:hAnsiTheme="majorBidi" w:cstheme="majorBidi"/>
          <w:bCs/>
          <w:sz w:val="26"/>
          <w:szCs w:val="26"/>
          <w:rtl/>
          <w:lang w:bidi="ar-EG"/>
        </w:rPr>
      </w:pPr>
      <w:r w:rsidRPr="00E57D77">
        <w:rPr>
          <w:rFonts w:asciiTheme="majorBidi" w:hAnsiTheme="majorBidi" w:cstheme="majorBidi"/>
          <w:bCs/>
          <w:sz w:val="26"/>
          <w:szCs w:val="26"/>
          <w:rtl/>
          <w:lang w:bidi="ar-EG"/>
        </w:rPr>
        <w:t>الوزارة الاتحادية للبيئة وحفظ الطبيعة والأمن النووي</w:t>
      </w:r>
      <w:r w:rsidRPr="00E57D77">
        <w:rPr>
          <w:rStyle w:val="FootnoteReference"/>
          <w:rFonts w:asciiTheme="majorBidi" w:hAnsiTheme="majorBidi" w:cstheme="majorBidi"/>
          <w:b/>
          <w:sz w:val="26"/>
          <w:szCs w:val="26"/>
        </w:rPr>
        <w:footnoteReference w:id="68"/>
      </w:r>
    </w:p>
    <w:p w14:paraId="742786C9" w14:textId="77777777" w:rsidR="002D440B" w:rsidRPr="00E57D77" w:rsidRDefault="002D440B" w:rsidP="009A0AF3">
      <w:pPr>
        <w:keepNext/>
        <w:keepLines/>
        <w:bidi/>
        <w:rPr>
          <w:rFonts w:asciiTheme="majorBidi" w:hAnsiTheme="majorBidi" w:cstheme="majorBidi"/>
          <w:b/>
          <w:sz w:val="26"/>
          <w:szCs w:val="26"/>
        </w:rPr>
      </w:pPr>
    </w:p>
    <w:p w14:paraId="2B6ABE3D" w14:textId="77777777" w:rsidR="002D440B" w:rsidRPr="00E57D77" w:rsidRDefault="002D440B" w:rsidP="009A0AF3">
      <w:pPr>
        <w:keepNext/>
        <w:keepLines/>
        <w:bidi/>
        <w:rPr>
          <w:rFonts w:asciiTheme="majorBidi" w:hAnsiTheme="majorBidi" w:cstheme="majorBidi"/>
          <w:iCs/>
          <w:sz w:val="26"/>
          <w:szCs w:val="26"/>
        </w:rPr>
      </w:pPr>
      <w:r w:rsidRPr="00E57D77">
        <w:rPr>
          <w:rFonts w:asciiTheme="majorBidi" w:hAnsiTheme="majorBidi" w:cstheme="majorBidi"/>
          <w:iCs/>
          <w:sz w:val="26"/>
          <w:szCs w:val="26"/>
          <w:rtl/>
        </w:rPr>
        <w:t>الخلفية</w:t>
      </w:r>
    </w:p>
    <w:p w14:paraId="3910EF52" w14:textId="77777777" w:rsidR="002D440B" w:rsidRPr="00E57D77" w:rsidRDefault="002D440B" w:rsidP="009A0AF3">
      <w:pPr>
        <w:keepNext/>
        <w:keepLines/>
        <w:bidi/>
        <w:rPr>
          <w:rFonts w:asciiTheme="majorBidi" w:hAnsiTheme="majorBidi" w:cstheme="majorBidi"/>
          <w:sz w:val="26"/>
          <w:szCs w:val="26"/>
        </w:rPr>
      </w:pPr>
    </w:p>
    <w:p w14:paraId="59B9E95D" w14:textId="77777777" w:rsidR="002D440B" w:rsidRPr="00E57D77" w:rsidRDefault="002D440B" w:rsidP="009A0AF3">
      <w:pPr>
        <w:pStyle w:val="Heading1"/>
        <w:keepNext/>
        <w:keepLines/>
        <w:bidi/>
        <w:rPr>
          <w:rFonts w:asciiTheme="majorBidi" w:hAnsiTheme="majorBidi" w:cstheme="majorBidi"/>
          <w:sz w:val="26"/>
          <w:szCs w:val="26"/>
        </w:rPr>
      </w:pPr>
      <w:r w:rsidRPr="00E57D77">
        <w:rPr>
          <w:rFonts w:asciiTheme="majorBidi" w:hAnsiTheme="majorBidi" w:cstheme="majorBidi"/>
          <w:sz w:val="26"/>
          <w:szCs w:val="26"/>
          <w:rtl/>
        </w:rPr>
        <w:t>تقدم الوزارة الاتحادية للبيئة الدعم منذ 2008 من خلال مبادرة المناخ الدولية، العمل الدولي من أجل المناخ.</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69"/>
      </w:r>
      <w:r w:rsidRPr="00E57D77">
        <w:rPr>
          <w:rFonts w:asciiTheme="majorBidi" w:hAnsiTheme="majorBidi" w:cstheme="majorBidi"/>
          <w:sz w:val="26"/>
          <w:szCs w:val="26"/>
          <w:rtl/>
        </w:rPr>
        <w:t xml:space="preserve"> ويوجد</w:t>
      </w:r>
      <w:r w:rsidRPr="00E57D77">
        <w:rPr>
          <w:rFonts w:asciiTheme="majorBidi" w:hAnsiTheme="majorBidi" w:cstheme="majorBidi"/>
          <w:sz w:val="26"/>
          <w:szCs w:val="26"/>
          <w:rtl/>
          <w:lang w:bidi="ar-EG"/>
        </w:rPr>
        <w:t xml:space="preserve"> منذ 2008 الكثير من المشروعات المختارة والممولة التي تركز على التحويل من الملوثات العضوية المستنفدة </w:t>
      </w:r>
      <w:r w:rsidRPr="00E57D77">
        <w:rPr>
          <w:rFonts w:asciiTheme="majorBidi" w:hAnsiTheme="majorBidi" w:cstheme="majorBidi"/>
          <w:sz w:val="26"/>
          <w:szCs w:val="26"/>
          <w:rtl/>
        </w:rPr>
        <w:t>للأوزون/ الهيدروفلوروكربون الى غازات التبريد الطبيعية الصديقة للمناخ. مع التركيز في نفس الوقت على تعزيز كفاءة استخدام الطاقة في أجهزة التبريد، ويمكن دعم هذه المشروعات أيضا في إطار الشراكات مع البلدان الصناعية الحديثة.</w:t>
      </w:r>
    </w:p>
    <w:p w14:paraId="4C3A870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تطرح مبادرة المناخ الدولية سنويا مناقصة لتحديد الأولويات في التمويل لفترة التمويل. وفي 2020 تضمنت أولوية التمويل المواضيعية التحول في استخدام الطاقة الواعي بالمناخ في قطاع التشييد مع التركيز على الحرارة والتبريد. ويمكن أن يشمل ذلك المشروعات التي تتناول كفاءة استخدام الطاقة في قطاع التبريد وتكييف الهواء واستخدامات الرغاوي.</w:t>
      </w:r>
    </w:p>
    <w:p w14:paraId="7C5BD7A2"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ويوجد في بعض السنوات تركيز مواضيعي </w:t>
      </w:r>
      <w:r w:rsidRPr="00E57D77">
        <w:rPr>
          <w:rFonts w:asciiTheme="majorBidi" w:hAnsiTheme="majorBidi" w:cstheme="majorBidi"/>
          <w:sz w:val="26"/>
          <w:szCs w:val="26"/>
          <w:rtl/>
          <w:lang w:bidi="ar-EG"/>
        </w:rPr>
        <w:t>محدد على موضوع "بدائل غازات الدفيئة". ويتمثل الهدف الشامل لتحديد استخدام المبردات الطبيعية على أساس دولي وتطبيق وحدات التبريد وتكييف الهواء التي تتسم بكفاءة استخدام الطاقة التي نفذت أيضا بالطاقة المتجددة.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70"/>
      </w:r>
    </w:p>
    <w:p w14:paraId="6A6C60DA"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5ACC86E7" w14:textId="77777777" w:rsidR="002D440B" w:rsidRPr="00E57D77" w:rsidRDefault="002D440B" w:rsidP="002D440B">
      <w:pPr>
        <w:keepNext/>
        <w:bidi/>
        <w:rPr>
          <w:rFonts w:asciiTheme="majorBidi" w:hAnsiTheme="majorBidi" w:cstheme="majorBidi"/>
          <w:sz w:val="26"/>
          <w:szCs w:val="26"/>
        </w:rPr>
      </w:pPr>
    </w:p>
    <w:p w14:paraId="7360217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ويمكن تقديم المشروعات من جانب المنظمات غير الحكومية، والمنشئات التجارية، والجامعات ومؤسسات البحوث من ألمانيا والخارج والمنظمات المنفذة في جمهورية ألمانيا الاتحادية، والمؤسسات في بلدان التعاون (بما في ذلك المنظمات المنفذة الوطنية المعتمدة في المنظمات الدولية أو المتعددة الأطراف) فضلا عن مصارف التنمية أو منظمات وبرامج الأمم المتحدة. ويتعين أن توافق حكومة البلد الشريك على هذه المشروعات حيث يمكن أن تنفذ هذه المشروعات.</w:t>
      </w:r>
    </w:p>
    <w:p w14:paraId="49F17C85"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ويمكن بحسب أولوية التمويل، أن يتراوح حجم التمويل لكل مشروع من 5 مليون يورو (</w:t>
      </w:r>
      <w:r w:rsidRPr="00E57D77">
        <w:rPr>
          <w:rFonts w:asciiTheme="majorBidi" w:hAnsiTheme="majorBidi" w:cstheme="majorBidi"/>
          <w:sz w:val="26"/>
          <w:szCs w:val="26"/>
        </w:rPr>
        <w:t>5.5</w:t>
      </w:r>
      <w:r w:rsidRPr="00E57D77">
        <w:rPr>
          <w:rFonts w:asciiTheme="majorBidi" w:hAnsiTheme="majorBidi" w:cstheme="majorBidi"/>
          <w:sz w:val="26"/>
          <w:szCs w:val="26"/>
          <w:rtl/>
        </w:rPr>
        <w:t xml:space="preserve"> مليون دولار أمريكي) و30 مليون يورو (</w:t>
      </w:r>
      <w:r w:rsidRPr="00E57D77">
        <w:rPr>
          <w:rFonts w:asciiTheme="majorBidi" w:hAnsiTheme="majorBidi" w:cstheme="majorBidi"/>
          <w:sz w:val="26"/>
          <w:szCs w:val="26"/>
        </w:rPr>
        <w:t>33.1</w:t>
      </w:r>
      <w:r w:rsidRPr="00E57D77">
        <w:rPr>
          <w:rFonts w:asciiTheme="majorBidi" w:hAnsiTheme="majorBidi" w:cstheme="majorBidi"/>
          <w:sz w:val="26"/>
          <w:szCs w:val="26"/>
          <w:rtl/>
        </w:rPr>
        <w:t xml:space="preserve"> مليون دولار أمريكي. ويجري عادة اعتبار كفاية الأموال الخاصة والمساهمات الخاصة من المنظمات المنفذة شرطا أساسيا مسبقا بصفة عامة للتمويل، وسيجري تقييم كفاية التمويل الخاص بالمنظمة المنفذة والتمويل الخارجي على أساس كل حالة على حدة مع مراعاة القدرة المالية لمجموعة أو الثقة في المؤسسة المقدمة لمخطط المشروع.</w:t>
      </w:r>
    </w:p>
    <w:p w14:paraId="5042D880"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الإجراءات</w:t>
      </w:r>
    </w:p>
    <w:p w14:paraId="2F788CB4" w14:textId="77777777" w:rsidR="002D440B" w:rsidRPr="00E57D77" w:rsidRDefault="002D440B" w:rsidP="002D440B">
      <w:pPr>
        <w:bidi/>
        <w:rPr>
          <w:rFonts w:asciiTheme="majorBidi" w:hAnsiTheme="majorBidi" w:cstheme="majorBidi"/>
          <w:i/>
          <w:sz w:val="26"/>
          <w:szCs w:val="26"/>
        </w:rPr>
      </w:pPr>
    </w:p>
    <w:p w14:paraId="3EBAA5F0"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ينبغي أن توضح المشروعات نوعية مناهجها باستخدام مبادئ التخطيط المعتمد على النتائج (مبررات التأثير) على النحو المبين في منظمة التعاون الاقتصادي والتنمية. وينبغي تقديم التأثيرات بنجاح في السياق الخاصة بها وان يقدم هدفا طموحا بصورة كافية وإن كان واقعيا وحلول مفصلة للمشكلات الواردة في المشروع. وينبغي أن يتبغ المشروع الأهداف الطموحة التي صممت لتحقيق نتائج قابلة للقياس.</w:t>
      </w:r>
    </w:p>
    <w:p w14:paraId="197CCC25"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وينبغي أن تسهم المشروعات المقدمة للحصول على التمويل من مبادرة المناخ الدولية في التحول الاجتماعي والاقتصادي صوب مجتمع محايد من ناحية الانبعاثات وطريقة للحياة تراعي الحدود الفيزيائية القصوى لكوكب الأرض. ويؤدي التغير المعلوماتي بعيد المدى ويحقق تغييرات عميقة في جميع مستويات المجتمع- البيئية والاقتصادية والاجتماعية.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71"/>
      </w:r>
    </w:p>
    <w:p w14:paraId="63B066C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ويجري اختيار المشروعات من خلال إجراءات اختيار قطرية، وإجراءات اختيار مواضيعية، ومنح المبادرة المتوسطة، ومنح المبادرة الصغيرة. وفيما يلي عرض عام موجز لما ورد أعلاه:</w:t>
      </w:r>
    </w:p>
    <w:p w14:paraId="0162E69D" w14:textId="77777777" w:rsidR="002D440B" w:rsidRPr="00E57D77" w:rsidRDefault="002D440B" w:rsidP="002D440B">
      <w:pPr>
        <w:pStyle w:val="Heading2"/>
        <w:numPr>
          <w:ilvl w:val="0"/>
          <w:numId w:val="38"/>
        </w:numPr>
        <w:bidi/>
        <w:ind w:hanging="720"/>
        <w:rPr>
          <w:rFonts w:asciiTheme="majorBidi" w:hAnsiTheme="majorBidi" w:cstheme="majorBidi"/>
          <w:sz w:val="26"/>
          <w:szCs w:val="26"/>
        </w:rPr>
      </w:pPr>
      <w:r w:rsidRPr="00E57D77">
        <w:rPr>
          <w:rFonts w:asciiTheme="majorBidi" w:hAnsiTheme="majorBidi" w:cstheme="majorBidi"/>
          <w:sz w:val="26"/>
          <w:szCs w:val="26"/>
          <w:rtl/>
        </w:rPr>
        <w:t>بالنسبة لعملية الاختيار المواضيعية، يجري معالجة التحديات في حماية المناخ والحفاظ على التنوع البيولوجي مرة واحدة سنويا عادة. ويجري بعد ذلك تحديد أولويات التمويل لهذه التحديات التي يمكن تقديم مخططات مشروعات لها. ويمكن بحسب أولوية التمويل، أن يتراوح حجم التمويل للمشروع بعد 5 ملايين يورو (</w:t>
      </w:r>
      <w:r w:rsidRPr="00E57D77">
        <w:rPr>
          <w:rFonts w:asciiTheme="majorBidi" w:hAnsiTheme="majorBidi" w:cstheme="majorBidi"/>
          <w:sz w:val="26"/>
          <w:szCs w:val="26"/>
        </w:rPr>
        <w:t>5.5</w:t>
      </w:r>
      <w:r w:rsidRPr="00E57D77">
        <w:rPr>
          <w:rFonts w:asciiTheme="majorBidi" w:hAnsiTheme="majorBidi" w:cstheme="majorBidi"/>
          <w:sz w:val="26"/>
          <w:szCs w:val="26"/>
          <w:rtl/>
        </w:rPr>
        <w:t xml:space="preserve"> مليون دولار أمريكي) و30 مليون يورو (</w:t>
      </w:r>
      <w:r w:rsidRPr="00E57D77">
        <w:rPr>
          <w:rFonts w:asciiTheme="majorBidi" w:hAnsiTheme="majorBidi" w:cstheme="majorBidi"/>
          <w:sz w:val="26"/>
          <w:szCs w:val="26"/>
        </w:rPr>
        <w:t>33.1</w:t>
      </w:r>
      <w:r w:rsidRPr="00E57D77">
        <w:rPr>
          <w:rFonts w:asciiTheme="majorBidi" w:hAnsiTheme="majorBidi" w:cstheme="majorBidi"/>
          <w:sz w:val="26"/>
          <w:szCs w:val="26"/>
          <w:rtl/>
        </w:rPr>
        <w:t xml:space="preserve"> مليون دولار أمريكي). وتنقسم عملية اختيار المشروعات عادة الى مرحلتين. ففي المرحلة الأولى تتولى الوزارة الاتحادية للبيئة اختيار مخططات المشروعات المبشرة من تلك المقدمة التي تلبي المتطلبات الإلزامية. وتبدا المرحلة الثانية للاختيار بإشعار يرسل الى جميع المنظمات المنفذة الرئيسية عن نتائج التقييم الأول. وتدعو بعد ذلك المنظمات المنفذة التي لديها مخططات مشروعات ناجحة الى تقديم مقترح مشروع مفصل.</w:t>
      </w:r>
    </w:p>
    <w:p w14:paraId="4A35C91C" w14:textId="77777777" w:rsidR="002D440B" w:rsidRPr="00E57D77" w:rsidRDefault="002D440B" w:rsidP="002D440B">
      <w:pPr>
        <w:pStyle w:val="Heading2"/>
        <w:numPr>
          <w:ilvl w:val="0"/>
          <w:numId w:val="38"/>
        </w:numPr>
        <w:bidi/>
        <w:ind w:hanging="720"/>
        <w:rPr>
          <w:rFonts w:asciiTheme="majorBidi" w:hAnsiTheme="majorBidi" w:cstheme="majorBidi"/>
          <w:sz w:val="26"/>
          <w:szCs w:val="26"/>
        </w:rPr>
      </w:pPr>
      <w:r w:rsidRPr="00E57D77">
        <w:rPr>
          <w:rFonts w:asciiTheme="majorBidi" w:hAnsiTheme="majorBidi" w:cstheme="majorBidi"/>
          <w:sz w:val="26"/>
          <w:szCs w:val="26"/>
          <w:rtl/>
        </w:rPr>
        <w:t>وتشترك الوزارة الاتحادية للبيئة، من خلال إجراءات الاختيار القطرية لمبادرة المناخ الدولية مع الوزارات الشريكة لها المعنية بالاتفاق على مواضيع التعاون وهي موضوعان عادة بالنسبة للمشروعات الثنائية ويتراوح حجم التمويل المقدم من مبادرة المناخ الدولية عادة من 12 مليون يورو (</w:t>
      </w:r>
      <w:r w:rsidRPr="00E57D77">
        <w:rPr>
          <w:rFonts w:asciiTheme="majorBidi" w:hAnsiTheme="majorBidi" w:cstheme="majorBidi"/>
          <w:sz w:val="26"/>
          <w:szCs w:val="26"/>
        </w:rPr>
        <w:t>13.2</w:t>
      </w:r>
      <w:r w:rsidRPr="00E57D77">
        <w:rPr>
          <w:rFonts w:asciiTheme="majorBidi" w:hAnsiTheme="majorBidi" w:cstheme="majorBidi"/>
          <w:sz w:val="26"/>
          <w:szCs w:val="26"/>
          <w:rtl/>
        </w:rPr>
        <w:t xml:space="preserve"> مليون دولار أمريكي) للمشروع الى 15 مليون يورو (</w:t>
      </w:r>
      <w:r w:rsidRPr="00E57D77">
        <w:rPr>
          <w:rFonts w:asciiTheme="majorBidi" w:hAnsiTheme="majorBidi" w:cstheme="majorBidi"/>
          <w:sz w:val="26"/>
          <w:szCs w:val="26"/>
        </w:rPr>
        <w:t>16.6</w:t>
      </w:r>
      <w:r w:rsidRPr="00E57D77">
        <w:rPr>
          <w:rFonts w:asciiTheme="majorBidi" w:hAnsiTheme="majorBidi" w:cstheme="majorBidi"/>
          <w:sz w:val="26"/>
          <w:szCs w:val="26"/>
          <w:rtl/>
        </w:rPr>
        <w:t xml:space="preserve"> مليون دولار أمريكي) للمشروع. ويجري وضع هذه المواضيع في مسابقة قطرية </w:t>
      </w:r>
      <w:r w:rsidRPr="00E57D77">
        <w:rPr>
          <w:rFonts w:asciiTheme="majorBidi" w:hAnsiTheme="majorBidi" w:cstheme="majorBidi"/>
          <w:sz w:val="26"/>
          <w:szCs w:val="26"/>
          <w:rtl/>
          <w:lang w:bidi="ar-EG"/>
        </w:rPr>
        <w:t xml:space="preserve">تسمى النداءات القطرية لمبادرة المناخ الدولية. وبعد ذلك يتم بالتعاون الوثيق مع كل من الحكومتين اختيار مسبق للمشروعات الذي اتخذ في عملية المرحلتين. ففي المرحلة الأولى، توافق الحكومتان على الاختيار المسبق لمخططات المشروعات ويجري استعراض أفكار المشروعات هذه على النحو الوارد في معلومات التمويل. وعقب ذلك تقرر الوزارة </w:t>
      </w:r>
      <w:r w:rsidRPr="00E57D77">
        <w:rPr>
          <w:rFonts w:asciiTheme="majorBidi" w:hAnsiTheme="majorBidi" w:cstheme="majorBidi"/>
          <w:sz w:val="26"/>
          <w:szCs w:val="26"/>
          <w:rtl/>
        </w:rPr>
        <w:t>الاتحادية للبيئة والحكومة الشريكة المعنية المخططات التي سيجري متابعتها في المرحلة الثانية من الإجراءات ويجري في بجاية هذه المرحلة الثانية، الطلب من المنظمات المنفذة الرئيسية التي لديها مخططات مشروعات ناجحة الى إعداد وتقديم مقترح مشروع شاملة.</w:t>
      </w:r>
    </w:p>
    <w:p w14:paraId="0C711A3B" w14:textId="77777777" w:rsidR="002D440B" w:rsidRPr="00E57D77" w:rsidRDefault="002D440B" w:rsidP="002D440B">
      <w:pPr>
        <w:pStyle w:val="Heading2"/>
        <w:numPr>
          <w:ilvl w:val="0"/>
          <w:numId w:val="38"/>
        </w:numPr>
        <w:bidi/>
        <w:ind w:hanging="720"/>
        <w:rPr>
          <w:rFonts w:asciiTheme="majorBidi" w:hAnsiTheme="majorBidi" w:cstheme="majorBidi"/>
          <w:sz w:val="26"/>
          <w:szCs w:val="26"/>
        </w:rPr>
      </w:pPr>
      <w:r w:rsidRPr="00E57D77">
        <w:rPr>
          <w:rFonts w:asciiTheme="majorBidi" w:hAnsiTheme="majorBidi" w:cstheme="majorBidi"/>
          <w:sz w:val="26"/>
          <w:szCs w:val="26"/>
          <w:rtl/>
        </w:rPr>
        <w:t>ويتناول برنامج التمويل بالمتح المتوسطة لدى الوزارة الاتحادية للبيئة المجتمع المدني استنادا الى القول في ألمانيا بأن العمل في تعاون مع الشركاء المحليين في المساعدات الإنمائية المختارة عبر الحدود- البلدان المنفذة المؤهلة لوضع الإجراءات لتكثيف التعاون بين بلدان الشمال والجنوب عن الإجراءات المتعلقة بالمناخ والتكيف معها لتحقيق التأثيرات على تغير المناخ والحفاظ على التنوع البيولوجي. ويهدف البرنامج بوضوح الى تعزيز العناصر الفاعلة في المجتمع المدني وشبكاتها الدولية. وعلى وجه الخصوص، فإن مشروع الدعم بالمنح المتوسطة المقدمة من الوزارة الاتحادية للبيئة التي تستهدف المساهمات المبتكرة الشاملة لتنفيذ اتفاق باريس والاتفاقية الخاصة بالتنوع البيولوجي. ولتحقيق ذلك تضع الوزارة الاتحادية للبيئة مجموعة من أولويات التمويل المختلفة سنويا وهي المجموعة التي يمكن للأطراف لمعنية تقديم أفكار مشروعات مبتكرة. وتنقسم إجراءات الاختيار في المنح المتوسطة للوزارة الاتحادية الى مرحلتين. فيتم في المرحلة الأولى تقديم مخططات المشروعات وبعد تقييم إيجابي، يجري توضيح مقترحات المشروعات الشاملة خلال المرحلة الثانية من الإجراءات.</w:t>
      </w:r>
    </w:p>
    <w:p w14:paraId="6A080D51" w14:textId="77777777" w:rsidR="002D440B" w:rsidRPr="00E57D77" w:rsidRDefault="002D440B" w:rsidP="002D440B">
      <w:pPr>
        <w:pStyle w:val="Heading2"/>
        <w:numPr>
          <w:ilvl w:val="0"/>
          <w:numId w:val="38"/>
        </w:numPr>
        <w:bidi/>
        <w:ind w:hanging="720"/>
        <w:rPr>
          <w:rFonts w:asciiTheme="majorBidi" w:hAnsiTheme="majorBidi" w:cstheme="majorBidi"/>
          <w:sz w:val="26"/>
          <w:szCs w:val="26"/>
        </w:rPr>
      </w:pPr>
      <w:r w:rsidRPr="00E57D77">
        <w:rPr>
          <w:rFonts w:asciiTheme="majorBidi" w:hAnsiTheme="majorBidi" w:cstheme="majorBidi"/>
          <w:sz w:val="26"/>
          <w:szCs w:val="26"/>
          <w:rtl/>
        </w:rPr>
        <w:t>وتنفذ المنح الصغيرة من الوزارة الاتحادية للبيئة بواسطة وكالة التنمية الدولية وتوفر التمويل مع عنصرين: "النداءات الدولية" و"مؤسسات التمويل". ويمول كل من العنصرين المشروعات والمبادرات غير القابلة للربح التي تتناول مجالات الدعم الأربعة التي تقدمها الوزارة الاتحادية للتعاون الدولي: التخفيف من انبعاثات غازات الاحتباس الحراري، والتكيف مع أثار تغير المناخ، والحفاظ على بؤر ثاني أكسيد الكربون الطبيعية</w:t>
      </w:r>
      <w:r w:rsidRPr="00E57D77">
        <w:rPr>
          <w:rFonts w:asciiTheme="majorBidi" w:hAnsiTheme="majorBidi" w:cstheme="majorBidi"/>
          <w:sz w:val="26"/>
          <w:szCs w:val="26"/>
          <w:rtl/>
          <w:lang w:bidi="ar-EG"/>
        </w:rPr>
        <w:t>،</w:t>
      </w:r>
      <w:r w:rsidRPr="00E57D77">
        <w:rPr>
          <w:rFonts w:asciiTheme="majorBidi" w:hAnsiTheme="majorBidi" w:cstheme="majorBidi"/>
          <w:sz w:val="26"/>
          <w:szCs w:val="26"/>
          <w:vertAlign w:val="superscript"/>
        </w:rPr>
        <w:footnoteReference w:id="72"/>
      </w:r>
      <w:r w:rsidRPr="00E57D77">
        <w:rPr>
          <w:rFonts w:asciiTheme="majorBidi" w:hAnsiTheme="majorBidi" w:cstheme="majorBidi"/>
          <w:sz w:val="26"/>
          <w:szCs w:val="26"/>
          <w:rtl/>
        </w:rPr>
        <w:t xml:space="preserve"> ومشروعات</w:t>
      </w:r>
      <w:r w:rsidRPr="00E57D77">
        <w:rPr>
          <w:rFonts w:asciiTheme="majorBidi" w:hAnsiTheme="majorBidi" w:cstheme="majorBidi"/>
          <w:sz w:val="26"/>
          <w:szCs w:val="26"/>
          <w:rtl/>
          <w:lang w:bidi="ar-EG"/>
        </w:rPr>
        <w:t xml:space="preserve"> حفظ التنوع البيولوجي في إطار عنصر "النداءات الدولية" التي تحدد النداءات السنوية للمقترحات الخاصة بإجراءات الاختيار للمرحلة الواحدة. ويتم بالنسبة لعنصر "مؤسسات التمويل" حصول المؤسسات الوطنية والإقليمية: على الدعم التقني والمالي لتنفيذ النداءات للمقترحات أو توفير التمويل على المستوى المحلي. وفي كل العنصرين يعتبر تنمية القدرات جزءا هاما وأساسيا في تعزيز العناصر الفاعلة للمناخ والتنوع البيولوجي في أنحاء العالم وتشجيع هذه المنظمات على الإسراع بأداء أدوارها كعوامل للتغيير.</w:t>
      </w:r>
      <w:r w:rsidRPr="00E57D77">
        <w:rPr>
          <w:rFonts w:asciiTheme="majorBidi" w:hAnsiTheme="majorBidi" w:cstheme="majorBidi"/>
          <w:sz w:val="26"/>
          <w:szCs w:val="26"/>
          <w:vertAlign w:val="superscript"/>
        </w:rPr>
        <w:t xml:space="preserve"> </w:t>
      </w:r>
      <w:r w:rsidRPr="00E57D77">
        <w:rPr>
          <w:rFonts w:asciiTheme="majorBidi" w:hAnsiTheme="majorBidi" w:cstheme="majorBidi"/>
          <w:sz w:val="26"/>
          <w:szCs w:val="26"/>
          <w:vertAlign w:val="superscript"/>
        </w:rPr>
        <w:footnoteReference w:id="73"/>
      </w:r>
    </w:p>
    <w:p w14:paraId="51F3CBFE" w14:textId="77777777" w:rsidR="002D440B" w:rsidRPr="00E57D77" w:rsidRDefault="002D440B" w:rsidP="002D440B">
      <w:pPr>
        <w:keepNext/>
        <w:bidi/>
        <w:jc w:val="left"/>
        <w:rPr>
          <w:rFonts w:asciiTheme="majorBidi" w:hAnsiTheme="majorBidi" w:cstheme="majorBidi"/>
          <w:iCs/>
          <w:sz w:val="26"/>
          <w:szCs w:val="26"/>
          <w:u w:val="single"/>
        </w:rPr>
      </w:pPr>
      <w:r w:rsidRPr="00E57D77">
        <w:rPr>
          <w:rFonts w:asciiTheme="majorBidi" w:hAnsiTheme="majorBidi" w:cstheme="majorBidi"/>
          <w:iCs/>
          <w:sz w:val="26"/>
          <w:szCs w:val="26"/>
          <w:u w:val="single"/>
          <w:rtl/>
        </w:rPr>
        <w:t>حكومة إيطاليا</w:t>
      </w:r>
    </w:p>
    <w:p w14:paraId="10E5BAE0" w14:textId="77777777" w:rsidR="002D440B" w:rsidRPr="00E57D77" w:rsidRDefault="002D440B" w:rsidP="002D440B">
      <w:pPr>
        <w:keepNext/>
        <w:bidi/>
        <w:rPr>
          <w:rFonts w:asciiTheme="majorBidi" w:hAnsiTheme="majorBidi" w:cstheme="majorBidi"/>
          <w:i/>
          <w:color w:val="333333"/>
          <w:sz w:val="26"/>
          <w:szCs w:val="26"/>
          <w:shd w:val="clear" w:color="auto" w:fill="FFFFFF"/>
        </w:rPr>
      </w:pPr>
    </w:p>
    <w:p w14:paraId="583ED08E" w14:textId="77777777" w:rsidR="002D440B" w:rsidRPr="00E57D77" w:rsidRDefault="002D440B" w:rsidP="002D440B">
      <w:pPr>
        <w:keepNext/>
        <w:bidi/>
        <w:rPr>
          <w:rFonts w:asciiTheme="majorBidi" w:hAnsiTheme="majorBidi" w:cstheme="majorBidi"/>
          <w:iCs/>
          <w:color w:val="333333"/>
          <w:sz w:val="26"/>
          <w:szCs w:val="26"/>
          <w:shd w:val="clear" w:color="auto" w:fill="FFFFFF"/>
          <w:rtl/>
          <w:lang w:bidi="ar-EG"/>
        </w:rPr>
      </w:pPr>
      <w:r w:rsidRPr="00E57D77">
        <w:rPr>
          <w:rFonts w:asciiTheme="majorBidi" w:hAnsiTheme="majorBidi" w:cstheme="majorBidi"/>
          <w:iCs/>
          <w:color w:val="333333"/>
          <w:sz w:val="26"/>
          <w:szCs w:val="26"/>
          <w:shd w:val="clear" w:color="auto" w:fill="FFFFFF"/>
          <w:rtl/>
        </w:rPr>
        <w:t>الخلفية</w:t>
      </w:r>
    </w:p>
    <w:p w14:paraId="7CD3C5BA" w14:textId="77777777" w:rsidR="002D440B" w:rsidRPr="00E57D77" w:rsidRDefault="002D440B" w:rsidP="002D440B">
      <w:pPr>
        <w:keepNext/>
        <w:bidi/>
        <w:rPr>
          <w:rFonts w:asciiTheme="majorBidi" w:hAnsiTheme="majorBidi" w:cstheme="majorBidi"/>
          <w:color w:val="333333"/>
          <w:sz w:val="26"/>
          <w:szCs w:val="26"/>
          <w:shd w:val="clear" w:color="auto" w:fill="FFFFFF"/>
        </w:rPr>
      </w:pPr>
    </w:p>
    <w:p w14:paraId="63557138" w14:textId="77777777" w:rsidR="002D440B" w:rsidRPr="00E57D77" w:rsidRDefault="002D440B" w:rsidP="002D440B">
      <w:pPr>
        <w:pStyle w:val="Heading1"/>
        <w:bidi/>
        <w:rPr>
          <w:rFonts w:asciiTheme="majorBidi" w:hAnsiTheme="majorBidi" w:cstheme="majorBidi"/>
          <w:sz w:val="26"/>
          <w:szCs w:val="26"/>
          <w:shd w:val="clear" w:color="auto" w:fill="FFFFFF"/>
        </w:rPr>
      </w:pPr>
      <w:r w:rsidRPr="00E57D77">
        <w:rPr>
          <w:rFonts w:asciiTheme="majorBidi" w:hAnsiTheme="majorBidi" w:cstheme="majorBidi"/>
          <w:sz w:val="26"/>
          <w:szCs w:val="26"/>
          <w:shd w:val="clear" w:color="auto" w:fill="FFFFFF"/>
          <w:rtl/>
        </w:rPr>
        <w:t>تعتبر الوكالة الإيطالية للتعاون الإنمائي إحدى الابتكارات الرئيسية التي أنشأها القانون الإيطالي بشأن التعاون الدولي (القانون رقم 125/2014).وقد بدأت الوكالة عملنها في يناير/ كانون الثاني 2016 بهدف توافق إيطاليا مع شركائها الرئيسيين والعالميين في مجال التنمية وتلتزم الوكالة بدعم الإدارة المستدامة واستخدام الموارد الطبيعية من خلال الأعمال في البلدان الشريكة لحماية المياه والهواء والتربة وللحفاظ على التنوع البيولوجي ومكافحة التصحر. وعلاوة على ذلك تتضمن أولويات الوكالة تنفيذ التدابير الرامية الى التخفيف من آثار تغير المناخ وتعزيز مقاومته. ويشمل ذلك المشروعات المتعلقة بكفاءة استخدام الطاقة في أجهزة التبريد وتكييف الهواء وقطاع الرغاوي.</w:t>
      </w:r>
    </w:p>
    <w:p w14:paraId="5FE56CE6" w14:textId="77777777" w:rsidR="002D440B" w:rsidRPr="00E57D77" w:rsidRDefault="002D440B" w:rsidP="002D440B">
      <w:pPr>
        <w:bidi/>
        <w:rPr>
          <w:rFonts w:asciiTheme="majorBidi" w:hAnsiTheme="majorBidi" w:cstheme="majorBidi"/>
          <w:iCs/>
          <w:color w:val="333333"/>
          <w:sz w:val="26"/>
          <w:szCs w:val="26"/>
          <w:shd w:val="clear" w:color="auto" w:fill="FFFFFF"/>
        </w:rPr>
      </w:pPr>
      <w:r w:rsidRPr="00E57D77">
        <w:rPr>
          <w:rFonts w:asciiTheme="majorBidi" w:hAnsiTheme="majorBidi" w:cstheme="majorBidi"/>
          <w:iCs/>
          <w:color w:val="333333"/>
          <w:sz w:val="26"/>
          <w:szCs w:val="26"/>
          <w:shd w:val="clear" w:color="auto" w:fill="FFFFFF"/>
          <w:rtl/>
        </w:rPr>
        <w:t>الأهلية</w:t>
      </w:r>
    </w:p>
    <w:p w14:paraId="7F8FA18C" w14:textId="77777777" w:rsidR="002D440B" w:rsidRPr="00E57D77" w:rsidRDefault="002D440B" w:rsidP="002D440B">
      <w:pPr>
        <w:bidi/>
        <w:rPr>
          <w:rFonts w:asciiTheme="majorBidi" w:hAnsiTheme="majorBidi" w:cstheme="majorBidi"/>
          <w:sz w:val="26"/>
          <w:szCs w:val="26"/>
        </w:rPr>
      </w:pPr>
    </w:p>
    <w:p w14:paraId="44356A93"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بلدان الأولوية التالية للتعاون الإيطالي:</w:t>
      </w:r>
    </w:p>
    <w:p w14:paraId="504666D6" w14:textId="77777777" w:rsidR="002D440B" w:rsidRPr="00E57D77" w:rsidRDefault="002D440B" w:rsidP="00645DAA">
      <w:pPr>
        <w:pStyle w:val="Heading2"/>
        <w:numPr>
          <w:ilvl w:val="0"/>
          <w:numId w:val="39"/>
        </w:numPr>
        <w:tabs>
          <w:tab w:val="num" w:pos="360"/>
        </w:tabs>
        <w:bidi/>
        <w:ind w:left="1422" w:hanging="720"/>
        <w:rPr>
          <w:rFonts w:asciiTheme="majorBidi" w:hAnsiTheme="majorBidi" w:cstheme="majorBidi"/>
          <w:sz w:val="26"/>
          <w:szCs w:val="26"/>
          <w:lang w:eastAsia="en-CA"/>
        </w:rPr>
      </w:pPr>
      <w:r w:rsidRPr="00E57D77">
        <w:rPr>
          <w:rFonts w:asciiTheme="majorBidi" w:hAnsiTheme="majorBidi" w:cstheme="majorBidi"/>
          <w:sz w:val="26"/>
          <w:szCs w:val="26"/>
          <w:rtl/>
          <w:lang w:eastAsia="en-CA"/>
        </w:rPr>
        <w:t>أفريقيا جنوب الصحراء الكبرى: بوركينافاسو والنيجر وأثيوبيا وكينيا والصومال والسودان وجنوب السودان وموزامبيق؛</w:t>
      </w:r>
    </w:p>
    <w:p w14:paraId="37E40CFD" w14:textId="77777777" w:rsidR="002D440B" w:rsidRPr="00E57D77" w:rsidRDefault="002D440B" w:rsidP="00645DAA">
      <w:pPr>
        <w:pStyle w:val="Heading2"/>
        <w:numPr>
          <w:ilvl w:val="0"/>
          <w:numId w:val="39"/>
        </w:numPr>
        <w:tabs>
          <w:tab w:val="num" w:pos="360"/>
        </w:tabs>
        <w:bidi/>
        <w:ind w:left="1422" w:hanging="720"/>
        <w:rPr>
          <w:rFonts w:asciiTheme="majorBidi" w:hAnsiTheme="majorBidi" w:cstheme="majorBidi"/>
          <w:sz w:val="26"/>
          <w:szCs w:val="26"/>
          <w:lang w:eastAsia="en-CA"/>
        </w:rPr>
      </w:pPr>
      <w:r w:rsidRPr="00E57D77">
        <w:rPr>
          <w:rFonts w:asciiTheme="majorBidi" w:hAnsiTheme="majorBidi" w:cstheme="majorBidi"/>
          <w:sz w:val="26"/>
          <w:szCs w:val="26"/>
          <w:rtl/>
          <w:lang w:eastAsia="en-CA"/>
        </w:rPr>
        <w:t>البحر المتوسط: مصر وتونس؛</w:t>
      </w:r>
    </w:p>
    <w:p w14:paraId="42D3194E" w14:textId="77777777" w:rsidR="002D440B" w:rsidRPr="00E57D77" w:rsidRDefault="002D440B" w:rsidP="00645DAA">
      <w:pPr>
        <w:pStyle w:val="Heading2"/>
        <w:numPr>
          <w:ilvl w:val="0"/>
          <w:numId w:val="39"/>
        </w:numPr>
        <w:tabs>
          <w:tab w:val="num" w:pos="360"/>
        </w:tabs>
        <w:bidi/>
        <w:ind w:left="1422" w:hanging="720"/>
        <w:rPr>
          <w:rFonts w:asciiTheme="majorBidi" w:hAnsiTheme="majorBidi" w:cstheme="majorBidi"/>
          <w:sz w:val="26"/>
          <w:szCs w:val="26"/>
          <w:lang w:eastAsia="en-CA"/>
        </w:rPr>
      </w:pPr>
      <w:r w:rsidRPr="00E57D77">
        <w:rPr>
          <w:rFonts w:asciiTheme="majorBidi" w:hAnsiTheme="majorBidi" w:cstheme="majorBidi"/>
          <w:sz w:val="26"/>
          <w:szCs w:val="26"/>
          <w:rtl/>
          <w:lang w:eastAsia="en-CA"/>
        </w:rPr>
        <w:t>الشرق الأوسط: لبنان وفلسطين؛</w:t>
      </w:r>
    </w:p>
    <w:p w14:paraId="377EA58B" w14:textId="77777777" w:rsidR="002D440B" w:rsidRPr="00E57D77" w:rsidRDefault="002D440B" w:rsidP="00645DAA">
      <w:pPr>
        <w:pStyle w:val="Heading2"/>
        <w:numPr>
          <w:ilvl w:val="0"/>
          <w:numId w:val="39"/>
        </w:numPr>
        <w:tabs>
          <w:tab w:val="num" w:pos="360"/>
        </w:tabs>
        <w:bidi/>
        <w:ind w:left="1422" w:hanging="720"/>
        <w:rPr>
          <w:rFonts w:asciiTheme="majorBidi" w:hAnsiTheme="majorBidi" w:cstheme="majorBidi"/>
          <w:sz w:val="26"/>
          <w:szCs w:val="26"/>
          <w:lang w:eastAsia="en-CA"/>
        </w:rPr>
      </w:pPr>
      <w:r w:rsidRPr="00E57D77">
        <w:rPr>
          <w:rFonts w:asciiTheme="majorBidi" w:hAnsiTheme="majorBidi" w:cstheme="majorBidi"/>
          <w:sz w:val="26"/>
          <w:szCs w:val="26"/>
          <w:rtl/>
          <w:lang w:eastAsia="en-CA"/>
        </w:rPr>
        <w:t>البلقان: ألبانيا</w:t>
      </w:r>
    </w:p>
    <w:p w14:paraId="10A1A808" w14:textId="77777777" w:rsidR="002D440B" w:rsidRPr="00E57D77" w:rsidRDefault="002D440B" w:rsidP="00645DAA">
      <w:pPr>
        <w:pStyle w:val="Heading2"/>
        <w:numPr>
          <w:ilvl w:val="0"/>
          <w:numId w:val="39"/>
        </w:numPr>
        <w:tabs>
          <w:tab w:val="num" w:pos="360"/>
        </w:tabs>
        <w:bidi/>
        <w:ind w:left="1422" w:hanging="720"/>
        <w:rPr>
          <w:rFonts w:asciiTheme="majorBidi" w:hAnsiTheme="majorBidi" w:cstheme="majorBidi"/>
          <w:sz w:val="26"/>
          <w:szCs w:val="26"/>
          <w:lang w:eastAsia="en-CA"/>
        </w:rPr>
      </w:pPr>
      <w:r w:rsidRPr="00E57D77">
        <w:rPr>
          <w:rFonts w:asciiTheme="majorBidi" w:hAnsiTheme="majorBidi" w:cstheme="majorBidi"/>
          <w:sz w:val="26"/>
          <w:szCs w:val="26"/>
          <w:rtl/>
          <w:lang w:eastAsia="en-CA"/>
        </w:rPr>
        <w:t>أمريكا اللاتينية والبحر الكاريبي: دولة بوليفيا متعددة الجنسيات وكوبا والسلفادور؛</w:t>
      </w:r>
    </w:p>
    <w:p w14:paraId="24B7E8EA" w14:textId="77777777" w:rsidR="002D440B" w:rsidRPr="00E57D77" w:rsidRDefault="002D440B" w:rsidP="00645DAA">
      <w:pPr>
        <w:pStyle w:val="Heading2"/>
        <w:numPr>
          <w:ilvl w:val="0"/>
          <w:numId w:val="39"/>
        </w:numPr>
        <w:tabs>
          <w:tab w:val="num" w:pos="360"/>
        </w:tabs>
        <w:bidi/>
        <w:ind w:left="1422" w:hanging="720"/>
        <w:rPr>
          <w:rFonts w:asciiTheme="majorBidi" w:hAnsiTheme="majorBidi" w:cstheme="majorBidi"/>
          <w:sz w:val="26"/>
          <w:szCs w:val="26"/>
          <w:lang w:eastAsia="en-CA"/>
        </w:rPr>
      </w:pPr>
      <w:r w:rsidRPr="00E57D77">
        <w:rPr>
          <w:rFonts w:asciiTheme="majorBidi" w:hAnsiTheme="majorBidi" w:cstheme="majorBidi"/>
          <w:sz w:val="26"/>
          <w:szCs w:val="26"/>
          <w:rtl/>
          <w:lang w:eastAsia="en-CA"/>
        </w:rPr>
        <w:t>آسيا: أفغانستان وميانمار وباكستان.</w:t>
      </w:r>
    </w:p>
    <w:p w14:paraId="3E6F20B7"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ولا يوجد مستوى أدنى للتمويل المحدد للمشروعات ولا يتجاوز 2 مليون يورو (</w:t>
      </w:r>
      <w:r w:rsidRPr="00E57D77">
        <w:rPr>
          <w:rFonts w:asciiTheme="majorBidi" w:hAnsiTheme="majorBidi" w:cstheme="majorBidi"/>
          <w:sz w:val="26"/>
          <w:szCs w:val="26"/>
        </w:rPr>
        <w:t>2.2</w:t>
      </w:r>
      <w:r w:rsidRPr="00E57D77">
        <w:rPr>
          <w:rFonts w:asciiTheme="majorBidi" w:hAnsiTheme="majorBidi" w:cstheme="majorBidi"/>
          <w:sz w:val="26"/>
          <w:szCs w:val="26"/>
          <w:rtl/>
        </w:rPr>
        <w:t xml:space="preserve"> مليون دولار أمريكي) وهي في شكل منح وإن كان الكيان المنفذ يقدم التمويل المشترك.</w:t>
      </w:r>
    </w:p>
    <w:p w14:paraId="4846DFCD" w14:textId="77777777" w:rsidR="002D440B" w:rsidRPr="00E57D77" w:rsidRDefault="002D440B" w:rsidP="00B976A8">
      <w:pPr>
        <w:keepNext/>
        <w:keepLines/>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620494B6" w14:textId="77777777" w:rsidR="002D440B" w:rsidRPr="00E57D77" w:rsidRDefault="002D440B" w:rsidP="00B976A8">
      <w:pPr>
        <w:keepNext/>
        <w:keepLines/>
        <w:bidi/>
        <w:rPr>
          <w:rFonts w:asciiTheme="majorBidi" w:hAnsiTheme="majorBidi" w:cstheme="majorBidi"/>
          <w:i/>
          <w:sz w:val="26"/>
          <w:szCs w:val="26"/>
        </w:rPr>
      </w:pPr>
    </w:p>
    <w:p w14:paraId="64C9F0C4" w14:textId="77777777" w:rsidR="002D440B" w:rsidRPr="00E57D77" w:rsidRDefault="002D440B" w:rsidP="00B976A8">
      <w:pPr>
        <w:pStyle w:val="Heading1"/>
        <w:keepNext/>
        <w:keepLines/>
        <w:bidi/>
        <w:rPr>
          <w:rFonts w:asciiTheme="majorBidi" w:hAnsiTheme="majorBidi" w:cstheme="majorBidi"/>
          <w:sz w:val="26"/>
          <w:szCs w:val="26"/>
        </w:rPr>
      </w:pPr>
      <w:r w:rsidRPr="00E57D77">
        <w:rPr>
          <w:rFonts w:asciiTheme="majorBidi" w:hAnsiTheme="majorBidi" w:cstheme="majorBidi"/>
          <w:sz w:val="26"/>
          <w:szCs w:val="26"/>
          <w:rtl/>
        </w:rPr>
        <w:t>سوف يتضمن المشروع المقدم للتمويل المنح والوسائل الأخرى غير امنح، وتطرح الوكالة الإيطالية سنويا المناقصات من المنظمات غير الحكومية وشركات القطاع الخاص والمدن الإقليمية والصغيرة التي تغطي مجالات التي تضع الأولويات لحكومة إيطاليا. وفي حين تقوم المشروعات بما في ذلك تلك المتعلقة بكفاءة استخدام الطاقة بخفض المواد الهيدروفلوروكربون، فإن بالوسع تقديمها بواسطة مقدمي الطلبات بالتشاور الوثيق والدعم من جانب المكاتب القطرية لبلدان الأولوية. وتجري عملية فحص المشروعات في المكاتب القطرية استنادا الى إعداد المروع وغير ذلك من المبادئ التوجيهية السياساتية ذات الصلة. وترسل هذه المشروعات بعد ذلك الى المقار الرئيسية للنظر والموافقة بصورة نهائية.</w:t>
      </w:r>
    </w:p>
    <w:p w14:paraId="32268990" w14:textId="77777777" w:rsidR="002D440B" w:rsidRPr="00E57D77" w:rsidRDefault="002D440B" w:rsidP="002D440B">
      <w:pPr>
        <w:keepNext/>
        <w:bidi/>
        <w:jc w:val="left"/>
        <w:rPr>
          <w:rFonts w:asciiTheme="majorBidi" w:hAnsiTheme="majorBidi" w:cstheme="majorBidi"/>
          <w:iCs/>
          <w:sz w:val="26"/>
          <w:szCs w:val="26"/>
          <w:u w:val="single"/>
        </w:rPr>
      </w:pPr>
      <w:r w:rsidRPr="00E57D77">
        <w:rPr>
          <w:rFonts w:asciiTheme="majorBidi" w:hAnsiTheme="majorBidi" w:cstheme="majorBidi"/>
          <w:iCs/>
          <w:sz w:val="26"/>
          <w:szCs w:val="26"/>
          <w:u w:val="single"/>
          <w:rtl/>
        </w:rPr>
        <w:t>حكومة هولندا</w:t>
      </w:r>
    </w:p>
    <w:p w14:paraId="0B78248B" w14:textId="77777777" w:rsidR="002D440B" w:rsidRPr="00E57D77" w:rsidRDefault="002D440B" w:rsidP="002D440B">
      <w:pPr>
        <w:keepNext/>
        <w:bidi/>
        <w:jc w:val="left"/>
        <w:rPr>
          <w:rFonts w:asciiTheme="majorBidi" w:hAnsiTheme="majorBidi" w:cstheme="majorBidi"/>
          <w:b/>
          <w:sz w:val="26"/>
          <w:szCs w:val="26"/>
          <w:u w:val="single"/>
        </w:rPr>
      </w:pPr>
    </w:p>
    <w:p w14:paraId="1B1EAA10" w14:textId="77777777" w:rsidR="002D440B" w:rsidRPr="00E57D77" w:rsidRDefault="002D440B" w:rsidP="002D440B">
      <w:pPr>
        <w:keepNext/>
        <w:bidi/>
        <w:rPr>
          <w:rFonts w:asciiTheme="majorBidi" w:hAnsiTheme="majorBidi" w:cstheme="majorBidi"/>
          <w:iCs/>
          <w:color w:val="333333"/>
          <w:sz w:val="26"/>
          <w:szCs w:val="26"/>
          <w:shd w:val="clear" w:color="auto" w:fill="FFFFFF"/>
          <w:rtl/>
          <w:lang w:bidi="ar-EG"/>
        </w:rPr>
      </w:pPr>
      <w:r w:rsidRPr="00E57D77">
        <w:rPr>
          <w:rFonts w:asciiTheme="majorBidi" w:hAnsiTheme="majorBidi" w:cstheme="majorBidi"/>
          <w:iCs/>
          <w:color w:val="333333"/>
          <w:sz w:val="26"/>
          <w:szCs w:val="26"/>
          <w:shd w:val="clear" w:color="auto" w:fill="FFFFFF"/>
          <w:rtl/>
        </w:rPr>
        <w:t>الخلفية</w:t>
      </w:r>
    </w:p>
    <w:p w14:paraId="026ED8D2" w14:textId="77777777" w:rsidR="002D440B" w:rsidRPr="00E57D77" w:rsidRDefault="002D440B" w:rsidP="002D440B">
      <w:pPr>
        <w:keepNext/>
        <w:bidi/>
        <w:rPr>
          <w:rFonts w:asciiTheme="majorBidi" w:hAnsiTheme="majorBidi" w:cstheme="majorBidi"/>
          <w:sz w:val="26"/>
          <w:szCs w:val="26"/>
        </w:rPr>
      </w:pPr>
    </w:p>
    <w:p w14:paraId="71809BD2" w14:textId="77777777" w:rsidR="002D440B" w:rsidRPr="00E57D77" w:rsidRDefault="002D440B" w:rsidP="002D440B">
      <w:pPr>
        <w:pStyle w:val="Heading1"/>
        <w:keepNext/>
        <w:bidi/>
        <w:rPr>
          <w:rFonts w:asciiTheme="majorBidi" w:hAnsiTheme="majorBidi" w:cstheme="majorBidi"/>
          <w:sz w:val="26"/>
          <w:szCs w:val="26"/>
        </w:rPr>
      </w:pPr>
      <w:r w:rsidRPr="00E57D77">
        <w:rPr>
          <w:rFonts w:asciiTheme="majorBidi" w:hAnsiTheme="majorBidi" w:cstheme="majorBidi"/>
          <w:sz w:val="26"/>
          <w:szCs w:val="26"/>
          <w:rtl/>
        </w:rPr>
        <w:t>تقدم حكومة هولندا الدعم للأنشطة المتعلقة بتغير المناخ والترويج للنمو المستدام والعمل من أجل المناخ في أنحاء العالم الذي يعتبر أحد الأهداف الشاملة الثلاثة للسياسة الإنمائية للحكومة والمساعدات الإنمائية الثنائية. وتتضمن المجالات ذات الأولوية للمساعدة في إطار بالطاقة وتغير المناخ تتعلق بالحصول على الكهرباء وحلول الطهي. ويعتبر الدعم المقدم لأنشطة كفاءة استخدام الطاقة الدولية جزءا في غالب الأحيان من الحزمة الأوسع نطاقا المتعلقة بالعمل بالمؤسسات المتعددة الأطراف التي تحصل على الدعم مثل مرفق البيئة العالمية وصندوق المناخ الأخضر وصندوق المناخ الدولي والصناديق الائتمانية مع مجموعة البنك الدولي وبنك الإنشاء والتعمير، ونظرا للطابع العريض لأنشطة كفاءة استخدام الطاقة، فإنها تشكل عموما جزءا من التمويل جوانب معينة من المجالات المواضيعية (مثل المدن التي تتسم بكفاءة استخدام الطاقة، والتبريد النظيف، وكفاءة استخدام الطاقة في المباني).</w:t>
      </w:r>
    </w:p>
    <w:p w14:paraId="6DE6B595"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وتركز حكومة هولندا حاليا على تفعيل تغير المناخ وخفض عدد الشركاء.</w:t>
      </w:r>
    </w:p>
    <w:p w14:paraId="46D1146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ويتوافر التمويل من القطاع الخاص من خلال مصرف التنمية الهولندي</w:t>
      </w:r>
      <w:r w:rsidRPr="00E57D77">
        <w:rPr>
          <w:rStyle w:val="FootnoteReference"/>
          <w:rFonts w:asciiTheme="majorBidi" w:hAnsiTheme="majorBidi" w:cstheme="majorBidi"/>
          <w:sz w:val="26"/>
          <w:szCs w:val="26"/>
        </w:rPr>
        <w:footnoteReference w:id="74"/>
      </w:r>
      <w:r w:rsidRPr="00E57D77">
        <w:rPr>
          <w:rFonts w:asciiTheme="majorBidi" w:hAnsiTheme="majorBidi" w:cstheme="majorBidi"/>
          <w:sz w:val="26"/>
          <w:szCs w:val="26"/>
          <w:rtl/>
        </w:rPr>
        <w:t xml:space="preserve"> الذي يمثل مؤسسة، ثنائية لتمويل التنمية، وأنشئ مؤخرا مصرف الاستثمار الدولي.</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75"/>
      </w:r>
    </w:p>
    <w:p w14:paraId="5E09B12D" w14:textId="77777777" w:rsidR="002D440B" w:rsidRPr="00E57D77" w:rsidRDefault="002D440B" w:rsidP="002D440B">
      <w:pPr>
        <w:bidi/>
        <w:rPr>
          <w:rFonts w:asciiTheme="majorBidi" w:hAnsiTheme="majorBidi" w:cstheme="majorBidi"/>
          <w:iCs/>
          <w:color w:val="333333"/>
          <w:sz w:val="26"/>
          <w:szCs w:val="26"/>
          <w:shd w:val="clear" w:color="auto" w:fill="FFFFFF"/>
        </w:rPr>
      </w:pPr>
      <w:r w:rsidRPr="00E57D77">
        <w:rPr>
          <w:rFonts w:asciiTheme="majorBidi" w:hAnsiTheme="majorBidi" w:cstheme="majorBidi"/>
          <w:iCs/>
          <w:color w:val="333333"/>
          <w:sz w:val="26"/>
          <w:szCs w:val="26"/>
          <w:shd w:val="clear" w:color="auto" w:fill="FFFFFF"/>
          <w:rtl/>
        </w:rPr>
        <w:t>الأهلية</w:t>
      </w:r>
    </w:p>
    <w:p w14:paraId="34DEF6CC" w14:textId="77777777" w:rsidR="002D440B" w:rsidRPr="00E57D77" w:rsidRDefault="002D440B" w:rsidP="002D440B">
      <w:pPr>
        <w:keepNext/>
        <w:bidi/>
        <w:rPr>
          <w:rFonts w:asciiTheme="majorBidi" w:hAnsiTheme="majorBidi" w:cstheme="majorBidi"/>
          <w:sz w:val="26"/>
          <w:szCs w:val="26"/>
        </w:rPr>
      </w:pPr>
    </w:p>
    <w:p w14:paraId="68AEB5B7"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تقدم حكومة هولندا الدعم للبلدان من خلال المؤسسات المتعددة الأطراف مثل مرفق البيئة العالمية وصندوق المناخ الأخضر ومرفق البيئة العالمية وصندوق المناخ الدولي ومجموعة البنك الدولي. ويمكن للبلدان المؤهلة الحصول على الدعم التمويلي للمشروعات ذات الصلة من مؤسسات التمويل هذه.</w:t>
      </w:r>
    </w:p>
    <w:p w14:paraId="117E23DF" w14:textId="77777777" w:rsidR="002D440B" w:rsidRPr="00E57D77" w:rsidRDefault="002D440B" w:rsidP="002D440B">
      <w:pPr>
        <w:bidi/>
        <w:rPr>
          <w:rFonts w:asciiTheme="majorBidi" w:hAnsiTheme="majorBidi" w:cstheme="majorBidi"/>
          <w:iCs/>
          <w:sz w:val="26"/>
          <w:szCs w:val="26"/>
          <w:rtl/>
          <w:lang w:bidi="ar-EG"/>
        </w:rPr>
      </w:pPr>
      <w:r w:rsidRPr="00E57D77">
        <w:rPr>
          <w:rFonts w:asciiTheme="majorBidi" w:hAnsiTheme="majorBidi" w:cstheme="majorBidi"/>
          <w:iCs/>
          <w:sz w:val="26"/>
          <w:szCs w:val="26"/>
          <w:rtl/>
          <w:lang w:bidi="ar-EG"/>
        </w:rPr>
        <w:t>إجراءات تمويل المشروع</w:t>
      </w:r>
    </w:p>
    <w:p w14:paraId="2F32D530" w14:textId="77777777" w:rsidR="002D440B" w:rsidRPr="00E57D77" w:rsidRDefault="002D440B" w:rsidP="002D440B">
      <w:pPr>
        <w:bidi/>
        <w:rPr>
          <w:rFonts w:asciiTheme="majorBidi" w:hAnsiTheme="majorBidi" w:cstheme="majorBidi"/>
          <w:i/>
          <w:sz w:val="26"/>
          <w:szCs w:val="26"/>
        </w:rPr>
      </w:pPr>
    </w:p>
    <w:p w14:paraId="4C296E99"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ولا توجد إجراءات معينة للحصول على التمويل الثنائي بصورة مباشرة من حكومة هولندا لمشروعات كفاءة استخدام الطاقة.</w:t>
      </w:r>
    </w:p>
    <w:p w14:paraId="6C84CD74" w14:textId="77777777" w:rsidR="002D440B" w:rsidRPr="00E57D77" w:rsidRDefault="002D440B" w:rsidP="002D440B">
      <w:pPr>
        <w:pStyle w:val="Heading1"/>
        <w:bidi/>
        <w:rPr>
          <w:rFonts w:asciiTheme="majorBidi" w:hAnsiTheme="majorBidi" w:cstheme="majorBidi"/>
          <w:b/>
          <w:sz w:val="26"/>
          <w:szCs w:val="26"/>
        </w:rPr>
      </w:pPr>
      <w:r w:rsidRPr="00E57D77">
        <w:rPr>
          <w:rFonts w:asciiTheme="majorBidi" w:hAnsiTheme="majorBidi" w:cstheme="majorBidi"/>
          <w:b/>
          <w:sz w:val="26"/>
          <w:szCs w:val="26"/>
          <w:rtl/>
        </w:rPr>
        <w:t>ويتعين للحصول على تمويل المشروع من خلال مصرف التنمية الهولندي أو مصرف الاستثمار الدولي، أن تتبع بالتشاور مع الموظفين المعنيين الذين يتناولون هذه المشروعات في المنظمات المعنية.</w:t>
      </w:r>
    </w:p>
    <w:p w14:paraId="3DCACE3B" w14:textId="77777777" w:rsidR="002D440B" w:rsidRPr="00E57D77" w:rsidRDefault="002D440B" w:rsidP="00B976A8">
      <w:pPr>
        <w:keepNext/>
        <w:keepLines/>
        <w:bidi/>
        <w:jc w:val="left"/>
        <w:rPr>
          <w:rFonts w:asciiTheme="majorBidi" w:hAnsiTheme="majorBidi" w:cstheme="majorBidi"/>
          <w:iCs/>
          <w:sz w:val="26"/>
          <w:szCs w:val="26"/>
          <w:u w:val="single"/>
        </w:rPr>
      </w:pPr>
      <w:r w:rsidRPr="00E57D77">
        <w:rPr>
          <w:rFonts w:asciiTheme="majorBidi" w:hAnsiTheme="majorBidi" w:cstheme="majorBidi"/>
          <w:iCs/>
          <w:sz w:val="26"/>
          <w:szCs w:val="26"/>
          <w:u w:val="single"/>
          <w:rtl/>
        </w:rPr>
        <w:t>حكومة سويسرا</w:t>
      </w:r>
    </w:p>
    <w:p w14:paraId="28568746" w14:textId="77777777" w:rsidR="002D440B" w:rsidRPr="00E57D77" w:rsidRDefault="002D440B" w:rsidP="00B976A8">
      <w:pPr>
        <w:keepNext/>
        <w:keepLines/>
        <w:bidi/>
        <w:jc w:val="left"/>
        <w:rPr>
          <w:rFonts w:asciiTheme="majorBidi" w:hAnsiTheme="majorBidi" w:cstheme="majorBidi"/>
          <w:b/>
          <w:sz w:val="26"/>
          <w:szCs w:val="26"/>
          <w:u w:val="single"/>
        </w:rPr>
      </w:pPr>
    </w:p>
    <w:p w14:paraId="1A905A1B" w14:textId="77777777" w:rsidR="002D440B" w:rsidRPr="00E57D77" w:rsidRDefault="002D440B" w:rsidP="00B976A8">
      <w:pPr>
        <w:keepNext/>
        <w:keepLines/>
        <w:bidi/>
        <w:rPr>
          <w:rFonts w:asciiTheme="majorBidi" w:hAnsiTheme="majorBidi" w:cstheme="majorBidi"/>
          <w:iCs/>
          <w:color w:val="333333"/>
          <w:sz w:val="26"/>
          <w:szCs w:val="26"/>
          <w:shd w:val="clear" w:color="auto" w:fill="FFFFFF"/>
          <w:rtl/>
          <w:lang w:bidi="ar-EG"/>
        </w:rPr>
      </w:pPr>
      <w:r w:rsidRPr="00E57D77">
        <w:rPr>
          <w:rFonts w:asciiTheme="majorBidi" w:hAnsiTheme="majorBidi" w:cstheme="majorBidi"/>
          <w:iCs/>
          <w:color w:val="333333"/>
          <w:sz w:val="26"/>
          <w:szCs w:val="26"/>
          <w:shd w:val="clear" w:color="auto" w:fill="FFFFFF"/>
          <w:rtl/>
        </w:rPr>
        <w:t>الخلفية</w:t>
      </w:r>
    </w:p>
    <w:p w14:paraId="2EDD70D6" w14:textId="77777777" w:rsidR="002D440B" w:rsidRPr="00E57D77" w:rsidRDefault="002D440B" w:rsidP="00B976A8">
      <w:pPr>
        <w:keepNext/>
        <w:keepLines/>
        <w:bidi/>
        <w:rPr>
          <w:rFonts w:asciiTheme="majorBidi" w:hAnsiTheme="majorBidi" w:cstheme="majorBidi"/>
          <w:sz w:val="26"/>
          <w:szCs w:val="26"/>
        </w:rPr>
      </w:pPr>
    </w:p>
    <w:p w14:paraId="003E8FF9" w14:textId="77777777" w:rsidR="002D440B" w:rsidRPr="00E57D77" w:rsidRDefault="002D440B" w:rsidP="00B976A8">
      <w:pPr>
        <w:pStyle w:val="Heading1"/>
        <w:keepNext/>
        <w:keepLines/>
        <w:bidi/>
        <w:rPr>
          <w:rFonts w:asciiTheme="majorBidi" w:hAnsiTheme="majorBidi" w:cstheme="majorBidi"/>
          <w:sz w:val="26"/>
          <w:szCs w:val="26"/>
        </w:rPr>
      </w:pPr>
      <w:r w:rsidRPr="00E57D77">
        <w:rPr>
          <w:rFonts w:asciiTheme="majorBidi" w:hAnsiTheme="majorBidi" w:cstheme="majorBidi"/>
          <w:sz w:val="26"/>
          <w:szCs w:val="26"/>
          <w:rtl/>
        </w:rPr>
        <w:t>استراتيجية سويسرا للتعاون الدولي عبارة عن أداة سياسية خارجية توجد جسورها في الدستور الاتحادي. ويتمثل الغرض منها في التخفيف من الاحتياجات والفقر في أنحاء العالم. وتعزيز الاحترام بحقوق الإنسان وتعزيز الديمقراطية وحماية البيئة.</w:t>
      </w:r>
    </w:p>
    <w:p w14:paraId="7B25E8D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واستنادا الى الدستور والتشريعات الاتحادية، يقوم المجلس الاتحادي والبرلمان كل أربع سنوات بت</w:t>
      </w:r>
      <w:r w:rsidRPr="00E57D77">
        <w:rPr>
          <w:rFonts w:asciiTheme="majorBidi" w:hAnsiTheme="majorBidi" w:cstheme="majorBidi"/>
          <w:sz w:val="26"/>
          <w:szCs w:val="26"/>
          <w:rtl/>
          <w:lang w:bidi="ar-EG"/>
        </w:rPr>
        <w:t>ح</w:t>
      </w:r>
      <w:r w:rsidRPr="00E57D77">
        <w:rPr>
          <w:rFonts w:asciiTheme="majorBidi" w:hAnsiTheme="majorBidi" w:cstheme="majorBidi"/>
          <w:sz w:val="26"/>
          <w:szCs w:val="26"/>
          <w:rtl/>
        </w:rPr>
        <w:t>ديد النهج الاستراتيجي للتعاون الدولي لسويسرا. وتوجد عملية التخفيف من الاحتياجات والفقر في العالم والتنمية المستدامة في صميم التفويض بالتعاون الدولي. ولهذا الغرض، حددت سويسرا الأولويات الأربعة المواضيعية التالية في الفترة 2021-2024 وهي: (أ) خلق فرص عمل محلية لائقة، (ب) معالجة تغير المناخ، (ج) خفض أسباب الهجرة الاجبارية وغير المنظمة، (د) العمل لتعزيز قاعدة القانون. وسوف تعطي هذا النهج الجديد لسويسرا مرونة أكبر في الاستجابة للأزمات والفرص.</w:t>
      </w:r>
    </w:p>
    <w:p w14:paraId="786298CF"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ويتضمن المجال المواضيعي لتغير المناخ تقديم الدعم لمعالجة كفاءة استخدام الطاقة في قطاع التبريد وتكييف الهواء وقطاع الرغاوي. ويمكن أن تشكل المشروعات في قطاع التبريد وتكييف الهواء وقطاع الرغاوي جزءا من المشروعات التي يجري دعمها من خلال استراتيجية التعاون الدولي لسويسرا.</w:t>
      </w:r>
    </w:p>
    <w:p w14:paraId="798D2C77"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وتمثل الوكالة السويسرية للتنمية والتعاون وأمانة الدولة السويسرية للشؤون الاقتصادي والمكتب الاتحادي للبيئة الوحدات الحكومية الرئيسية الثلاثة التي تدعم البلدان النامية في معالجة العوامل الرئيسية لتدهور البيئة والترويج لحماية واستدامة</w:t>
      </w:r>
      <w:r w:rsidRPr="00E57D77">
        <w:rPr>
          <w:rFonts w:asciiTheme="majorBidi" w:hAnsiTheme="majorBidi" w:cstheme="majorBidi"/>
          <w:sz w:val="26"/>
          <w:szCs w:val="26"/>
          <w:rtl/>
          <w:lang w:bidi="ar-EG"/>
        </w:rPr>
        <w:t xml:space="preserve"> واستخدام</w:t>
      </w:r>
      <w:r w:rsidRPr="00E57D77">
        <w:rPr>
          <w:rFonts w:asciiTheme="majorBidi" w:hAnsiTheme="majorBidi" w:cstheme="majorBidi"/>
          <w:sz w:val="26"/>
          <w:szCs w:val="26"/>
          <w:rtl/>
        </w:rPr>
        <w:t xml:space="preserve"> الموارد الطبيعية.</w:t>
      </w:r>
    </w:p>
    <w:p w14:paraId="37EFC765" w14:textId="77777777" w:rsidR="002D440B" w:rsidRPr="00E57D77" w:rsidRDefault="002D440B" w:rsidP="002D440B">
      <w:pPr>
        <w:bidi/>
        <w:rPr>
          <w:rFonts w:asciiTheme="majorBidi" w:hAnsiTheme="majorBidi" w:cstheme="majorBidi"/>
          <w:iCs/>
          <w:color w:val="333333"/>
          <w:sz w:val="26"/>
          <w:szCs w:val="26"/>
          <w:shd w:val="clear" w:color="auto" w:fill="FFFFFF"/>
        </w:rPr>
      </w:pPr>
      <w:r w:rsidRPr="00E57D77">
        <w:rPr>
          <w:rFonts w:asciiTheme="majorBidi" w:hAnsiTheme="majorBidi" w:cstheme="majorBidi"/>
          <w:iCs/>
          <w:color w:val="333333"/>
          <w:sz w:val="26"/>
          <w:szCs w:val="26"/>
          <w:shd w:val="clear" w:color="auto" w:fill="FFFFFF"/>
          <w:rtl/>
        </w:rPr>
        <w:t>الأهلية</w:t>
      </w:r>
    </w:p>
    <w:p w14:paraId="04C13268" w14:textId="77777777" w:rsidR="002D440B" w:rsidRPr="00E57D77" w:rsidRDefault="002D440B" w:rsidP="002D440B">
      <w:pPr>
        <w:bidi/>
        <w:rPr>
          <w:rFonts w:asciiTheme="majorBidi" w:hAnsiTheme="majorBidi" w:cstheme="majorBidi"/>
          <w:sz w:val="26"/>
          <w:szCs w:val="26"/>
        </w:rPr>
      </w:pPr>
    </w:p>
    <w:p w14:paraId="02B7628D"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lang w:bidi="ar-EG"/>
        </w:rPr>
        <w:t xml:space="preserve">يمكن </w:t>
      </w:r>
      <w:r w:rsidRPr="00E57D77">
        <w:rPr>
          <w:rFonts w:asciiTheme="majorBidi" w:hAnsiTheme="majorBidi" w:cstheme="majorBidi"/>
          <w:sz w:val="26"/>
          <w:szCs w:val="26"/>
          <w:rtl/>
        </w:rPr>
        <w:t>لبلدان الأولوية في بلدان جنوب الصحراء الكبرى و</w:t>
      </w:r>
      <w:r w:rsidRPr="00E57D77">
        <w:rPr>
          <w:rFonts w:asciiTheme="majorBidi" w:hAnsiTheme="majorBidi" w:cstheme="majorBidi"/>
          <w:sz w:val="26"/>
          <w:szCs w:val="26"/>
        </w:rPr>
        <w:t xml:space="preserve"> </w:t>
      </w:r>
      <w:r w:rsidRPr="00E57D77">
        <w:rPr>
          <w:rFonts w:asciiTheme="majorBidi" w:hAnsiTheme="majorBidi" w:cstheme="majorBidi"/>
          <w:sz w:val="26"/>
          <w:szCs w:val="26"/>
          <w:rtl/>
        </w:rPr>
        <w:t>أمانة الدولة السويسريةللشؤن الإقتصادية في المناطق الأربعة ذات الأولوية التقديم للحصول على الدعم للمشروعات في مجالات الأولوية المواضيعية المحددة.</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76"/>
      </w:r>
    </w:p>
    <w:p w14:paraId="504C797D"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20DD8815" w14:textId="77777777" w:rsidR="002D440B" w:rsidRPr="00E57D77" w:rsidRDefault="002D440B" w:rsidP="002D440B">
      <w:pPr>
        <w:bidi/>
        <w:rPr>
          <w:rFonts w:asciiTheme="majorBidi" w:hAnsiTheme="majorBidi" w:cstheme="majorBidi"/>
          <w:sz w:val="26"/>
          <w:szCs w:val="26"/>
        </w:rPr>
      </w:pPr>
    </w:p>
    <w:p w14:paraId="6DBA45AC"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لا يوجد حد أدنى للتمويل محدد للمشروعات. وتمول المشروعات في الغالب بواسطة وسائل المنح.</w:t>
      </w:r>
    </w:p>
    <w:p w14:paraId="1E0FD298"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وكما أشير سلفا، يعتبر معالجة تغير المناخ وأثارة والإدارة المستدامة للموارد الطبيعية أحد الأهداف الأربعة لاستراتيجية التعاون الدولي للفترة 2021-2024 وتحدد الأولويات المواضيعية لكل بلد في برامج نوعية قطرية وترد تفاصيلها في حوار مع البلد الشريك ويجري الدعم المتعلق بالمناخ أيضا من خلال التعاون الثنائي. وترد تفاصيل أخرى عن كيفية تنفيذ هذا الهدف الاستراتيجي (بما في ذلك الأولويات والقطاعات السياساتية) مع البلدان الشريكة لسويسرا في مختلف المناطق الجغرافية في استراتيجية التعاون الدولي لسويسرا للفترة 2021-2024.</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77"/>
      </w:r>
    </w:p>
    <w:p w14:paraId="600ED57A"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ويجري اختيار المشروعات المتعلقة بدعم مختلف البلدان بحسب الاحتياجات والفعالية، والاستدامة والدرجة فضلا عن الإرادة السياسية ودور البلد في معالجة تحديات تغير المناخ. ويتعين أن تخضع هذه المشروعات لموافقة البلدان المستفيدة ويمكن تقديمها بواسطة البلد بمساعدة الوكالات الشريكة (مثل مصارف التنمية الإقليمية ووكالات الأمم المتحدة) حسب مقتضى الحال. واستنادا الى الأولويات الاستراتيجية لسويسرا، يجري الموافقة على المشروعات لتنفيذها.</w:t>
      </w:r>
    </w:p>
    <w:p w14:paraId="3420955E" w14:textId="77777777" w:rsidR="002D440B" w:rsidRPr="00E57D77" w:rsidRDefault="002D440B" w:rsidP="002D440B">
      <w:pPr>
        <w:bidi/>
        <w:jc w:val="left"/>
        <w:rPr>
          <w:rFonts w:asciiTheme="majorBidi" w:hAnsiTheme="majorBidi" w:cstheme="majorBidi"/>
          <w:iCs/>
          <w:sz w:val="26"/>
          <w:szCs w:val="26"/>
          <w:u w:val="single"/>
        </w:rPr>
      </w:pPr>
      <w:r w:rsidRPr="00E57D77">
        <w:rPr>
          <w:rFonts w:asciiTheme="majorBidi" w:hAnsiTheme="majorBidi" w:cstheme="majorBidi"/>
          <w:iCs/>
          <w:sz w:val="26"/>
          <w:szCs w:val="26"/>
          <w:u w:val="single"/>
          <w:rtl/>
        </w:rPr>
        <w:t>المملكة المتحدة لبريطانيا العظمى وإيرلندا الشمالية</w:t>
      </w:r>
    </w:p>
    <w:p w14:paraId="610F0E23" w14:textId="77777777" w:rsidR="002D440B" w:rsidRPr="00E57D77" w:rsidRDefault="002D440B" w:rsidP="002D440B">
      <w:pPr>
        <w:bidi/>
        <w:jc w:val="left"/>
        <w:rPr>
          <w:rFonts w:asciiTheme="majorBidi" w:hAnsiTheme="majorBidi" w:cstheme="majorBidi"/>
          <w:b/>
          <w:sz w:val="26"/>
          <w:szCs w:val="26"/>
          <w:u w:val="single"/>
        </w:rPr>
      </w:pPr>
    </w:p>
    <w:p w14:paraId="199E5080"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الخلفية</w:t>
      </w:r>
    </w:p>
    <w:p w14:paraId="6982F4AC" w14:textId="77777777" w:rsidR="002D440B" w:rsidRPr="00E57D77" w:rsidRDefault="002D440B" w:rsidP="002D440B">
      <w:pPr>
        <w:bidi/>
        <w:rPr>
          <w:rFonts w:asciiTheme="majorBidi" w:hAnsiTheme="majorBidi" w:cstheme="majorBidi"/>
          <w:sz w:val="26"/>
          <w:szCs w:val="26"/>
        </w:rPr>
      </w:pPr>
    </w:p>
    <w:p w14:paraId="5FF150D6"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 xml:space="preserve">تقدم حكومة المملكة المتحدة لبريطانيا العظمى وايرلندا الشمالية الدعم للمشروعات والبرامج المتعلقة بكفاءة استخدام الطاقة من خلال البرامج الثنائية ويشمل ذلك الدعم لمبادرات كفاءة استخدام الطاقة مع خفض </w:t>
      </w:r>
      <w:r w:rsidRPr="00E57D77">
        <w:rPr>
          <w:rFonts w:asciiTheme="majorBidi" w:hAnsiTheme="majorBidi" w:cstheme="majorBidi"/>
          <w:sz w:val="26"/>
          <w:szCs w:val="26"/>
          <w:rtl/>
          <w:lang w:bidi="ar-EG"/>
        </w:rPr>
        <w:t xml:space="preserve">المواد الهيدروفلوروكربونية. وقد التزمت حكومة بريطانيا العظمى وإيرلندا الشمالية خلال مؤتمر المناخ السادس والعشرين بتقديم مبلغ 12 مليون جنيه استرليني اضافيا (نحو </w:t>
      </w:r>
      <w:r w:rsidRPr="00E57D77">
        <w:rPr>
          <w:rFonts w:asciiTheme="majorBidi" w:hAnsiTheme="majorBidi" w:cstheme="majorBidi"/>
          <w:sz w:val="26"/>
          <w:szCs w:val="26"/>
        </w:rPr>
        <w:t>16.34</w:t>
      </w:r>
      <w:r w:rsidRPr="00E57D77">
        <w:rPr>
          <w:rFonts w:asciiTheme="majorBidi" w:hAnsiTheme="majorBidi" w:cstheme="majorBidi"/>
          <w:sz w:val="26"/>
          <w:szCs w:val="26"/>
          <w:rtl/>
          <w:lang w:bidi="ar-EG"/>
        </w:rPr>
        <w:t xml:space="preserve"> مليون</w:t>
      </w:r>
      <w:r w:rsidRPr="00E57D77">
        <w:rPr>
          <w:rFonts w:asciiTheme="majorBidi" w:hAnsiTheme="majorBidi" w:cstheme="majorBidi"/>
          <w:sz w:val="26"/>
          <w:szCs w:val="26"/>
          <w:rtl/>
        </w:rPr>
        <w:t xml:space="preserve"> دولار أمريكي) لتمويل البلدان النامية لتحقيق تقدم سريع في خفض الهيدروفلوروكربون، واعتماد حلوله التبريد المتسم بكفاءة استخدام الطاقة ويعتمد المبلغ البالغ </w:t>
      </w:r>
      <w:r w:rsidRPr="00E57D77">
        <w:rPr>
          <w:rFonts w:asciiTheme="majorBidi" w:hAnsiTheme="majorBidi" w:cstheme="majorBidi"/>
          <w:sz w:val="26"/>
          <w:szCs w:val="26"/>
        </w:rPr>
        <w:t>12</w:t>
      </w:r>
      <w:r w:rsidRPr="00E57D77">
        <w:rPr>
          <w:rFonts w:asciiTheme="majorBidi" w:hAnsiTheme="majorBidi" w:cstheme="majorBidi"/>
          <w:sz w:val="26"/>
          <w:szCs w:val="26"/>
          <w:rtl/>
        </w:rPr>
        <w:t xml:space="preserve"> مليون جنيه استرليني على العمل الجاري الممول من </w:t>
      </w:r>
      <w:r w:rsidRPr="00E57D77">
        <w:rPr>
          <w:rFonts w:asciiTheme="majorBidi" w:hAnsiTheme="majorBidi" w:cstheme="majorBidi"/>
          <w:sz w:val="26"/>
          <w:szCs w:val="26"/>
        </w:rPr>
        <w:t>Defra</w:t>
      </w:r>
      <w:r w:rsidRPr="00E57D77">
        <w:rPr>
          <w:rFonts w:asciiTheme="majorBidi" w:hAnsiTheme="majorBidi" w:cstheme="majorBidi"/>
          <w:sz w:val="26"/>
          <w:szCs w:val="26"/>
          <w:rtl/>
        </w:rPr>
        <w:t xml:space="preserve"> وخاصة لمواصلة دعم المركز الإقليمي للعناصر الرفيعة في التبريد المستدام من خلال الوحدة من أجل كفاءة استخدام الطاقة في اليونيب وجامعة برمنجهام والقواعد النموذجية و</w:t>
      </w:r>
      <w:r w:rsidRPr="00E57D77">
        <w:rPr>
          <w:rFonts w:asciiTheme="majorBidi" w:hAnsiTheme="majorBidi" w:cstheme="majorBidi"/>
          <w:sz w:val="26"/>
          <w:szCs w:val="26"/>
        </w:rPr>
        <w:t xml:space="preserve"> MEPS</w:t>
      </w:r>
      <w:r w:rsidRPr="00E57D77">
        <w:rPr>
          <w:rFonts w:asciiTheme="majorBidi" w:hAnsiTheme="majorBidi" w:cstheme="majorBidi"/>
          <w:sz w:val="26"/>
          <w:szCs w:val="26"/>
          <w:rtl/>
        </w:rPr>
        <w:t xml:space="preserve"> والمشتريات العامة المستدامة من خلال </w:t>
      </w:r>
      <w:r w:rsidRPr="00E57D77">
        <w:rPr>
          <w:rFonts w:asciiTheme="majorBidi" w:hAnsiTheme="majorBidi" w:cstheme="majorBidi"/>
          <w:sz w:val="26"/>
          <w:szCs w:val="26"/>
        </w:rPr>
        <w:t>U4E</w:t>
      </w:r>
      <w:r w:rsidRPr="00E57D77">
        <w:rPr>
          <w:rFonts w:asciiTheme="majorBidi" w:hAnsiTheme="majorBidi" w:cstheme="majorBidi"/>
          <w:sz w:val="26"/>
          <w:szCs w:val="26"/>
          <w:rtl/>
        </w:rPr>
        <w:t xml:space="preserve"> واليونيب وتقوم </w:t>
      </w:r>
      <w:r w:rsidRPr="00E57D77">
        <w:rPr>
          <w:rFonts w:asciiTheme="majorBidi" w:hAnsiTheme="majorBidi" w:cstheme="majorBidi"/>
          <w:sz w:val="26"/>
          <w:szCs w:val="26"/>
        </w:rPr>
        <w:t>Defra</w:t>
      </w:r>
      <w:r w:rsidRPr="00E57D77">
        <w:rPr>
          <w:rFonts w:asciiTheme="majorBidi" w:hAnsiTheme="majorBidi" w:cstheme="majorBidi"/>
          <w:sz w:val="26"/>
          <w:szCs w:val="26"/>
          <w:rtl/>
        </w:rPr>
        <w:t xml:space="preserve"> أيضا بأنشطة التمويل من خلال البنك الدولي تهدف الى تفعيل كفاءة استخدام الطاقة وخفض الهيدروفلوروكربون.</w:t>
      </w:r>
    </w:p>
    <w:p w14:paraId="47B7003A" w14:textId="77777777" w:rsidR="002D440B" w:rsidRPr="00E57D77" w:rsidRDefault="002D440B" w:rsidP="002D440B">
      <w:pPr>
        <w:bidi/>
        <w:rPr>
          <w:rFonts w:asciiTheme="majorBidi" w:hAnsiTheme="majorBidi" w:cstheme="majorBidi"/>
          <w:iCs/>
          <w:sz w:val="26"/>
          <w:szCs w:val="26"/>
        </w:rPr>
      </w:pPr>
      <w:r w:rsidRPr="00E57D77">
        <w:rPr>
          <w:rFonts w:asciiTheme="majorBidi" w:hAnsiTheme="majorBidi" w:cstheme="majorBidi"/>
          <w:iCs/>
          <w:sz w:val="26"/>
          <w:szCs w:val="26"/>
          <w:rtl/>
        </w:rPr>
        <w:t>الأهلية</w:t>
      </w:r>
    </w:p>
    <w:p w14:paraId="52908CC8" w14:textId="77777777" w:rsidR="002D440B" w:rsidRPr="00E57D77" w:rsidRDefault="002D440B" w:rsidP="002D440B">
      <w:pPr>
        <w:bidi/>
        <w:rPr>
          <w:rFonts w:asciiTheme="majorBidi" w:hAnsiTheme="majorBidi" w:cstheme="majorBidi"/>
          <w:i/>
          <w:sz w:val="26"/>
          <w:szCs w:val="26"/>
        </w:rPr>
      </w:pPr>
    </w:p>
    <w:p w14:paraId="0E75BB16"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تحدد وجهة نظر حكومة بريطانيا العظمى وايرلندا الشمالية سياساتها الخارجية والدفاعية والإنمائية على أن أفريقيا والمحيطين الهندي والهادئ هما المنطقتين ذات الأولوية. وتضمن الأولويات في هذين المنطقتين نيجيريا وشرق أفريقيا وجنوب أفريقيا وباكستان وبنغلاديش.</w:t>
      </w:r>
    </w:p>
    <w:p w14:paraId="5596FA15"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وتقدم الحكومة المساهمات لمؤسسات التمويل المتعددة الأطراف (مثل مرفق البيئة العالمية وصندوق البيئة الخضراء وصندوق المناخ الأخضر) والبلدان المؤهلة بموجب الإجراءات الحالية لتلك المؤسسات التمويلية. ولدى تخصيص المعونة، تدرس الحكومة بعناية الملاءمة مع الأهداف الاستراتيجية ومستوى الاحتياجات وقدرة البلدان الشريكة على تمويل تنميتها وما هو الدعم الذي تخصصه للأخرين ومخاطر المستقبل بما في ذلك العوامل الإنسانية والاقتصادية والمناخية.</w:t>
      </w:r>
    </w:p>
    <w:p w14:paraId="1C04CF39" w14:textId="77777777" w:rsidR="002D440B" w:rsidRPr="00E57D77" w:rsidRDefault="002D440B" w:rsidP="002D440B">
      <w:pPr>
        <w:keepNext/>
        <w:bidi/>
        <w:rPr>
          <w:rFonts w:asciiTheme="majorBidi" w:hAnsiTheme="majorBidi" w:cstheme="majorBidi"/>
          <w:iCs/>
          <w:sz w:val="26"/>
          <w:szCs w:val="26"/>
        </w:rPr>
      </w:pPr>
      <w:r w:rsidRPr="00E57D77">
        <w:rPr>
          <w:rFonts w:asciiTheme="majorBidi" w:hAnsiTheme="majorBidi" w:cstheme="majorBidi"/>
          <w:iCs/>
          <w:sz w:val="26"/>
          <w:szCs w:val="26"/>
          <w:rtl/>
        </w:rPr>
        <w:t>السياسات والإجراءات</w:t>
      </w:r>
    </w:p>
    <w:p w14:paraId="7F8E7E24" w14:textId="77777777" w:rsidR="002D440B" w:rsidRPr="00E57D77" w:rsidRDefault="002D440B" w:rsidP="002D440B">
      <w:pPr>
        <w:keepNext/>
        <w:bidi/>
        <w:rPr>
          <w:rFonts w:asciiTheme="majorBidi" w:hAnsiTheme="majorBidi" w:cstheme="majorBidi"/>
          <w:i/>
          <w:sz w:val="26"/>
          <w:szCs w:val="26"/>
        </w:rPr>
      </w:pPr>
    </w:p>
    <w:p w14:paraId="188A3360" w14:textId="77777777" w:rsidR="002D440B" w:rsidRPr="00E57D77" w:rsidRDefault="002D440B" w:rsidP="002D440B">
      <w:pPr>
        <w:pStyle w:val="Heading1"/>
        <w:keepNext/>
        <w:bidi/>
        <w:rPr>
          <w:rFonts w:asciiTheme="majorBidi" w:hAnsiTheme="majorBidi" w:cstheme="majorBidi"/>
          <w:sz w:val="26"/>
          <w:szCs w:val="26"/>
        </w:rPr>
      </w:pPr>
      <w:r w:rsidRPr="00E57D77">
        <w:rPr>
          <w:rFonts w:asciiTheme="majorBidi" w:hAnsiTheme="majorBidi" w:cstheme="majorBidi"/>
          <w:sz w:val="26"/>
          <w:szCs w:val="26"/>
          <w:rtl/>
        </w:rPr>
        <w:t>المملكة المتحدة لبريطانيا العظمى وايرلندا الشمالية عضو في لجنة رابطة التنمية. وتوفر هذه الرابطة القواعد المتفق عليها دوليا لبرامج المعونة الرسمية للتنمية بما في ذلك تفاصيل عن البلدان المؤهلة للحصول على المعونة الرسمية وتقدم الحكومة منحا بالدرجة الأولى بموجب البرامج الثنائية.</w:t>
      </w:r>
    </w:p>
    <w:p w14:paraId="08E1ACF1" w14:textId="77777777" w:rsidR="002D440B" w:rsidRPr="00E57D77" w:rsidRDefault="002D440B" w:rsidP="002D440B">
      <w:pPr>
        <w:pStyle w:val="Heading1"/>
        <w:bidi/>
        <w:rPr>
          <w:rFonts w:asciiTheme="majorBidi" w:hAnsiTheme="majorBidi" w:cstheme="majorBidi"/>
          <w:sz w:val="26"/>
          <w:szCs w:val="26"/>
        </w:rPr>
      </w:pPr>
      <w:r w:rsidRPr="00E57D77">
        <w:rPr>
          <w:rFonts w:asciiTheme="majorBidi" w:hAnsiTheme="majorBidi" w:cstheme="majorBidi"/>
          <w:sz w:val="26"/>
          <w:szCs w:val="26"/>
          <w:rtl/>
        </w:rPr>
        <w:t>وبالنسبة للدعم التمويلي للمشروعات، ينبغي أن تقع المشروعات في حافظة الأنشطة ذات الأولوية بموجب الأولويات الاستراتيجية للتنمية الدولية.</w:t>
      </w:r>
    </w:p>
    <w:p w14:paraId="54B43C77" w14:textId="77777777" w:rsidR="002D440B" w:rsidRPr="00E57D77" w:rsidRDefault="002D440B" w:rsidP="002D440B">
      <w:pPr>
        <w:pStyle w:val="Heading1"/>
        <w:bidi/>
        <w:rPr>
          <w:rFonts w:asciiTheme="majorBidi" w:hAnsiTheme="majorBidi" w:cstheme="majorBidi"/>
          <w:sz w:val="26"/>
          <w:szCs w:val="26"/>
          <w:rtl/>
        </w:rPr>
      </w:pPr>
      <w:r w:rsidRPr="00E57D77">
        <w:rPr>
          <w:rFonts w:asciiTheme="majorBidi" w:hAnsiTheme="majorBidi" w:cstheme="majorBidi"/>
          <w:sz w:val="26"/>
          <w:szCs w:val="26"/>
          <w:rtl/>
        </w:rPr>
        <w:t>وتتنافس المديريات المعنية على التمويل كجزء من دورة استعراض الإنفاق المعتاد والقرارات التي تتخذ بصدد المجالات التي يخصص لها التمويل، وفي كل استعراض للاتفاق، تقوم خزانة الدولة بتخصيص ميزانية للمساعدات الإنمائية الرسمية للعديد من المديريات وتتولى المديريات بعد ذلك المسؤولة عن ضمان أن تكون ميزانياتها للمساعدات الإنمائية الرسمية قد خصصت بطريقة ملامة وأنفقت بصورة جيدة. وعقب الإنفاق، تنفذ عملية الاستعراض للقرارات للنظر في مشروعات معينة للتمويل قد نفذت استنادا الى مزايا كل مشروع.</w:t>
      </w:r>
      <w:r w:rsidRPr="00E57D77">
        <w:rPr>
          <w:rStyle w:val="FootnoteReference"/>
          <w:rFonts w:asciiTheme="majorBidi" w:hAnsiTheme="majorBidi" w:cstheme="majorBidi"/>
          <w:sz w:val="26"/>
          <w:szCs w:val="26"/>
        </w:rPr>
        <w:t xml:space="preserve"> </w:t>
      </w:r>
      <w:r w:rsidRPr="00E57D77">
        <w:rPr>
          <w:rStyle w:val="FootnoteReference"/>
          <w:rFonts w:asciiTheme="majorBidi" w:hAnsiTheme="majorBidi" w:cstheme="majorBidi"/>
          <w:sz w:val="26"/>
          <w:szCs w:val="26"/>
        </w:rPr>
        <w:footnoteReference w:id="78"/>
      </w:r>
    </w:p>
    <w:sectPr w:rsidR="002D440B" w:rsidRPr="00E57D77">
      <w:headerReference w:type="even" r:id="rId27"/>
      <w:headerReference w:type="default" r:id="rId28"/>
      <w:footerReference w:type="even" r:id="rId29"/>
      <w:footerReference w:type="default" r:id="rId30"/>
      <w:headerReference w:type="first" r:id="rId31"/>
      <w:footerReference w:type="first" r:id="rId3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5139A" w14:textId="77777777" w:rsidR="0053063B" w:rsidRDefault="0053063B">
      <w:r>
        <w:separator/>
      </w:r>
    </w:p>
  </w:endnote>
  <w:endnote w:type="continuationSeparator" w:id="0">
    <w:p w14:paraId="3F70B681" w14:textId="77777777" w:rsidR="0053063B" w:rsidRDefault="00530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Roboto">
    <w:altName w:val="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5007"/>
      <w:docPartObj>
        <w:docPartGallery w:val="Page Numbers (Bottom of Page)"/>
        <w:docPartUnique/>
      </w:docPartObj>
    </w:sdtPr>
    <w:sdtEndPr>
      <w:rPr>
        <w:noProof/>
      </w:rPr>
    </w:sdtEndPr>
    <w:sdtContent>
      <w:p w14:paraId="61CC28E1" w14:textId="43266F71" w:rsidR="00555DF7" w:rsidRDefault="00555D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D634EA" w14:textId="77777777" w:rsidR="000746C2" w:rsidRDefault="000746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320690"/>
      <w:docPartObj>
        <w:docPartGallery w:val="Page Numbers (Bottom of Page)"/>
        <w:docPartUnique/>
      </w:docPartObj>
    </w:sdtPr>
    <w:sdtEndPr>
      <w:rPr>
        <w:noProof/>
      </w:rPr>
    </w:sdtEndPr>
    <w:sdtContent>
      <w:p w14:paraId="5EC154BD" w14:textId="3148F46C" w:rsidR="00555DF7" w:rsidRDefault="00555D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242A9C" w14:textId="77777777" w:rsidR="00F840EB" w:rsidRPr="00555DF7" w:rsidRDefault="00F840EB" w:rsidP="00555D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3AC78" w14:textId="77777777" w:rsidR="00555DF7" w:rsidRDefault="00555DF7" w:rsidP="00555DF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80C3078" w14:textId="77777777" w:rsidR="00555DF7" w:rsidRDefault="00555DF7" w:rsidP="00555DF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6E30C17" w14:textId="77777777" w:rsidR="00555DF7" w:rsidRDefault="00555D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0968944"/>
      <w:docPartObj>
        <w:docPartGallery w:val="Page Numbers (Bottom of Page)"/>
        <w:docPartUnique/>
      </w:docPartObj>
    </w:sdtPr>
    <w:sdtEndPr>
      <w:rPr>
        <w:noProof/>
      </w:rPr>
    </w:sdtEndPr>
    <w:sdtContent>
      <w:p w14:paraId="1C431146" w14:textId="77777777" w:rsidR="00FB60FE" w:rsidRDefault="00FB60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A6D1D" w14:textId="77777777" w:rsidR="00FB60FE" w:rsidRDefault="00FB60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214638"/>
      <w:docPartObj>
        <w:docPartGallery w:val="Page Numbers (Bottom of Page)"/>
        <w:docPartUnique/>
      </w:docPartObj>
    </w:sdtPr>
    <w:sdtEndPr>
      <w:rPr>
        <w:noProof/>
      </w:rPr>
    </w:sdtEndPr>
    <w:sdtContent>
      <w:p w14:paraId="295D6FA9" w14:textId="77777777" w:rsidR="00FB60FE" w:rsidRDefault="00FB60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7333" w14:textId="77777777" w:rsidR="00FB60FE" w:rsidRPr="00555DF7" w:rsidRDefault="00FB60FE" w:rsidP="00555DF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417732"/>
      <w:docPartObj>
        <w:docPartGallery w:val="Page Numbers (Bottom of Page)"/>
        <w:docPartUnique/>
      </w:docPartObj>
    </w:sdtPr>
    <w:sdtEndPr>
      <w:rPr>
        <w:noProof/>
      </w:rPr>
    </w:sdtEndPr>
    <w:sdtContent>
      <w:p w14:paraId="0E94D300" w14:textId="77777777" w:rsidR="00FB60FE" w:rsidRDefault="00FB60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E6F6C9B" w14:textId="77777777" w:rsidR="00FB60FE" w:rsidRDefault="00FB60F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3887090"/>
      <w:docPartObj>
        <w:docPartGallery w:val="Page Numbers (Bottom of Page)"/>
        <w:docPartUnique/>
      </w:docPartObj>
    </w:sdtPr>
    <w:sdtEndPr>
      <w:rPr>
        <w:noProof/>
      </w:rPr>
    </w:sdtEndPr>
    <w:sdtContent>
      <w:p w14:paraId="12519F4B" w14:textId="77777777" w:rsidR="00FB60FE" w:rsidRDefault="00FB60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58B1B2" w14:textId="77777777" w:rsidR="00FB60FE" w:rsidRPr="00555DF7" w:rsidRDefault="00FB60FE" w:rsidP="00555D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C3CD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B47B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7CB542C8"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0CFF5C8"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E62D5" w14:textId="77777777" w:rsidR="0053063B" w:rsidRDefault="0053063B">
      <w:r>
        <w:separator/>
      </w:r>
    </w:p>
  </w:footnote>
  <w:footnote w:type="continuationSeparator" w:id="0">
    <w:p w14:paraId="2D0C1009" w14:textId="77777777" w:rsidR="0053063B" w:rsidRDefault="0053063B">
      <w:r>
        <w:continuationSeparator/>
      </w:r>
    </w:p>
  </w:footnote>
  <w:footnote w:id="1">
    <w:p w14:paraId="3879E596" w14:textId="741401B2" w:rsidR="00702662" w:rsidRPr="00C0337B" w:rsidRDefault="00702662" w:rsidP="008E0E5E">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سيعقد </w:t>
      </w:r>
      <w:r w:rsidR="00F60F7E">
        <w:rPr>
          <w:rFonts w:hint="cs"/>
          <w:rtl/>
          <w:lang w:val="en-US" w:bidi="ar-BH"/>
        </w:rPr>
        <w:t>ال</w:t>
      </w:r>
      <w:r>
        <w:rPr>
          <w:rFonts w:hint="cs"/>
          <w:rtl/>
          <w:lang w:val="en-US" w:bidi="ar-BH"/>
        </w:rPr>
        <w:t xml:space="preserve">جزء </w:t>
      </w:r>
      <w:r w:rsidR="00F60F7E">
        <w:rPr>
          <w:rFonts w:hint="cs"/>
          <w:rtl/>
          <w:lang w:val="en-US" w:bidi="ar-BH"/>
        </w:rPr>
        <w:t xml:space="preserve">الأول </w:t>
      </w:r>
      <w:r>
        <w:rPr>
          <w:rFonts w:hint="cs"/>
          <w:rtl/>
          <w:lang w:val="en-US" w:bidi="ar-BH"/>
        </w:rPr>
        <w:t xml:space="preserve">من الاجتماع التاسع والثمانين عبر </w:t>
      </w:r>
      <w:r w:rsidR="00F60F7E">
        <w:rPr>
          <w:rFonts w:hint="cs"/>
          <w:rtl/>
          <w:lang w:val="en-US" w:bidi="ar-BH"/>
        </w:rPr>
        <w:t>الإنترنت</w:t>
      </w:r>
      <w:r>
        <w:rPr>
          <w:rFonts w:hint="cs"/>
          <w:rtl/>
          <w:lang w:val="en-US" w:bidi="ar-BH"/>
        </w:rPr>
        <w:t xml:space="preserve"> في حين سيعقد الجزء الثاني بصورة مباشرة نتيجة</w:t>
      </w:r>
      <w:r w:rsidRPr="007D141D">
        <w:rPr>
          <w:rFonts w:hint="cs"/>
          <w:rtl/>
          <w:lang w:val="en-US"/>
        </w:rPr>
        <w:t xml:space="preserve"> </w:t>
      </w:r>
      <w:r>
        <w:rPr>
          <w:rFonts w:hint="cs"/>
          <w:rtl/>
          <w:lang w:val="en-US"/>
        </w:rPr>
        <w:t>لمرض</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r w:rsidR="00F60F7E">
        <w:rPr>
          <w:rFonts w:hint="cs"/>
          <w:rtl/>
          <w:lang w:val="en-US"/>
        </w:rPr>
        <w:t>.</w:t>
      </w:r>
    </w:p>
  </w:footnote>
  <w:footnote w:id="2">
    <w:p w14:paraId="2DB837E9" w14:textId="77777777" w:rsidR="00717685" w:rsidRDefault="00717685" w:rsidP="008E0E5E">
      <w:pPr>
        <w:pStyle w:val="FootnoteText"/>
        <w:bidi/>
        <w:rPr>
          <w:rFonts w:asciiTheme="majorBidi" w:hAnsiTheme="majorBidi" w:cstheme="majorBidi"/>
          <w:lang w:val="en-US" w:eastAsia="ar-EG"/>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نظراً للتحديات الناجمة عن مرض كوفيد-19، عُقدت اجتماعات فريق الاتصال هذه عبر الإنترنت بتاريخي 17 و 23 يونيه/حزيران 2021. </w:t>
      </w:r>
    </w:p>
  </w:footnote>
  <w:footnote w:id="3">
    <w:p w14:paraId="0F45C242" w14:textId="77777777" w:rsidR="00717685" w:rsidRDefault="00717685" w:rsidP="008E0E5E">
      <w:pPr>
        <w:pStyle w:val="FootnoteText"/>
        <w:bidi/>
        <w:rPr>
          <w:rFonts w:asciiTheme="majorBidi" w:hAnsiTheme="majorBidi" w:cstheme="majorBidi"/>
          <w:lang w:val="en-US"/>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فريق التكنولوجيا والتقييم الاقتصادي، سبتمبر/أيلول 2018: تقرير فرقة العمل المعنية بالمقرر 29/10 بشأن المسائل ذات الصلة بكفاءة الطاقة أثناء التخفيض التدريجي للمواد الهيدروفلوروكربونية - التقرير النهائي المحدّث (المجلد 5).</w:t>
      </w:r>
    </w:p>
  </w:footnote>
  <w:footnote w:id="4">
    <w:p w14:paraId="023A24F0" w14:textId="77777777" w:rsidR="00717685" w:rsidRDefault="00717685" w:rsidP="008E0E5E">
      <w:pPr>
        <w:pStyle w:val="FootnoteText"/>
        <w:bidi/>
        <w:rPr>
          <w:rFonts w:asciiTheme="majorBidi" w:hAnsiTheme="majorBidi" w:cstheme="majorBidi"/>
          <w:lang w:val="en-CA"/>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المبادرة التعاونية للتبريد النظيف، والتي كانت تُعرف ببرنامج كيغالي لكفاءة التبريد، هي مبادرة خيرية تابعة لمؤسسة ’كليميت ووركس‘ أطلقتها عام 2017 باسم برنامج كيغالي لكفاءة التبريد، وتركز المبادرة على الحلول الخافضة للحرارة، للناس وللكوكب.</w:t>
      </w:r>
    </w:p>
  </w:footnote>
  <w:footnote w:id="5">
    <w:p w14:paraId="0BA7BF31"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تشير التحسينات والتطويرات هذه إلى تهيئة خاصة للمنتج وتركيبه في الموقع (مثل نظم تكييف الهواء المركزية الكبيرة، والتخزين البارد، ومحلات السوبر ماركت).</w:t>
      </w:r>
    </w:p>
  </w:footnote>
  <w:footnote w:id="6">
    <w:p w14:paraId="3D5E7087"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على سبيل المثال، يمكن تغيير تخطيط محلات السوبر ماركت بحيث تتجنب الأحمال الحرارية المفرطة، واستخدام الأبواب بدلاً من مناطق التبريد المفتوحة لتجنب تدفقات الحرارة الزائدة، واستخدام الإضاءة الكفء في استخدام الطاقة، واستخدام الأغطية الليلية لتغطية صناديق العرض للحد من تدفق الحرارة، وبناء وعي المستهلك وممارساته في استخدام المعدات، والصيانة والخدمة التي تشمل فحوص دورية للحد من التسرب وضمان فاعلية الأقفال للحد من تدفق الحرارة.   </w:t>
      </w:r>
    </w:p>
  </w:footnote>
  <w:footnote w:id="7">
    <w:p w14:paraId="6B0FBE94"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تجد المعلومات المتعلقة بهذه المسألة في الوثيقة </w:t>
      </w:r>
      <w:r>
        <w:rPr>
          <w:rFonts w:asciiTheme="majorBidi" w:hAnsiTheme="majorBidi" w:cstheme="majorBidi"/>
          <w:lang w:eastAsia="ar" w:bidi="en-GB"/>
        </w:rPr>
        <w:t>UNEP/OzL.Pro/ExCom</w:t>
      </w:r>
      <w:r>
        <w:rPr>
          <w:rFonts w:asciiTheme="majorBidi" w:hAnsiTheme="majorBidi" w:cstheme="majorBidi"/>
          <w:lang w:eastAsia="ar" w:bidi="ar-EG"/>
        </w:rPr>
        <w:t>/88/75</w:t>
      </w:r>
      <w:r>
        <w:rPr>
          <w:rFonts w:asciiTheme="majorBidi" w:hAnsiTheme="majorBidi" w:cstheme="majorBidi" w:hint="cs"/>
          <w:rtl/>
          <w:lang w:eastAsia="ar" w:bidi="ar-EG"/>
        </w:rPr>
        <w:t>.</w:t>
      </w:r>
    </w:p>
  </w:footnote>
  <w:footnote w:id="8">
    <w:p w14:paraId="560F12A0" w14:textId="77777777" w:rsidR="00717685" w:rsidRDefault="00717685" w:rsidP="008E0E5E">
      <w:pPr>
        <w:pStyle w:val="FootnoteText"/>
        <w:bidi/>
      </w:pPr>
      <w:r>
        <w:rPr>
          <w:rStyle w:val="FootnoteReference"/>
          <w:rtl/>
          <w:lang w:eastAsia="ar" w:bidi="ar-EG"/>
        </w:rPr>
        <w:footnoteRef/>
      </w:r>
      <w:r>
        <w:rPr>
          <w:rFonts w:hint="cs"/>
          <w:rtl/>
          <w:lang w:eastAsia="ar" w:bidi="ar-EG"/>
        </w:rPr>
        <w:t xml:space="preserve"> الوثيقة </w:t>
      </w:r>
      <w:r>
        <w:rPr>
          <w:lang w:eastAsia="ar" w:bidi="en-GB"/>
        </w:rPr>
        <w:t>UNEP/OzL.Pro/ExCom</w:t>
      </w:r>
      <w:r>
        <w:rPr>
          <w:lang w:eastAsia="ar" w:bidi="ar-EG"/>
        </w:rPr>
        <w:t>/88/10</w:t>
      </w:r>
      <w:r>
        <w:rPr>
          <w:rFonts w:hint="cs"/>
          <w:rtl/>
          <w:lang w:eastAsia="ar" w:bidi="ar-EG"/>
        </w:rPr>
        <w:t>.</w:t>
      </w:r>
    </w:p>
  </w:footnote>
  <w:footnote w:id="9">
    <w:p w14:paraId="1B4A5C78" w14:textId="77777777" w:rsidR="00717685" w:rsidRDefault="00717685" w:rsidP="008E0E5E">
      <w:pPr>
        <w:pStyle w:val="FootnoteText"/>
        <w:bidi/>
        <w:rPr>
          <w:rtl/>
          <w:lang w:val="en-US"/>
        </w:rPr>
      </w:pPr>
      <w:r>
        <w:rPr>
          <w:rStyle w:val="FootnoteReference"/>
          <w:rtl/>
          <w:lang w:eastAsia="ar" w:bidi="ar-EG"/>
        </w:rPr>
        <w:footnoteRef/>
      </w:r>
      <w:r>
        <w:rPr>
          <w:rFonts w:hint="cs"/>
          <w:rtl/>
          <w:lang w:eastAsia="ar" w:bidi="ar-EG"/>
        </w:rPr>
        <w:t xml:space="preserve"> طُلب إلى الأمانة، عند إعداد معلومات إضافية وتقارير مستقبلية عن كفاءة الطاقة، أن تستعين بالمعلومات والدروس المستفادة الواردة في الدراسة النظرية.</w:t>
      </w:r>
    </w:p>
  </w:footnote>
  <w:footnote w:id="10">
    <w:p w14:paraId="0ECA20FE" w14:textId="77777777" w:rsidR="00717685" w:rsidRDefault="00717685" w:rsidP="008E0E5E">
      <w:pPr>
        <w:pStyle w:val="FootnoteText"/>
        <w:bidi/>
        <w:rPr>
          <w:rFonts w:asciiTheme="majorBidi" w:hAnsiTheme="majorBidi" w:cstheme="majorBidi"/>
          <w:lang w:val="en-CA"/>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قد ينتج عن استخدام المعدات الكفء في استخدام الطاقة زيادة هذا الاستخدام، إذ ربما يدفع انخفاض استهلاكها للطاقة المستخدمين النهائيين إلى استخدام المعدات لفترات أطول. فقد يستخدم بعض المستخدمين المعدات بتكرارية أقل إذا عرفوا مسبقاً أن استخدامها أعلى تكلفة، فعلى سبيل المثال، قد تقلل الأسرة من تشغيل مكيف الهواء في الغرفة، وتستخدم معه المروحة العادية لتحقيق راحة أفضل، إذا كان المالك يعرف أن ذلك أرخص من استخدام مكيف الهواء وحده.  </w:t>
      </w:r>
    </w:p>
  </w:footnote>
  <w:footnote w:id="11">
    <w:p w14:paraId="6F7EC03A" w14:textId="7EB9C9A9" w:rsidR="00577ACF" w:rsidRPr="00577ACF" w:rsidRDefault="00577ACF" w:rsidP="00577ACF">
      <w:pPr>
        <w:pStyle w:val="FootnoteText"/>
        <w:bidi/>
        <w:rPr>
          <w:rtl/>
          <w:lang w:bidi="ar-EG"/>
        </w:rPr>
      </w:pPr>
      <w:r>
        <w:rPr>
          <w:rStyle w:val="FootnoteReference"/>
        </w:rPr>
        <w:footnoteRef/>
      </w:r>
      <w:r>
        <w:t xml:space="preserve"> </w:t>
      </w:r>
      <w:r w:rsidRPr="00577ACF">
        <w:rPr>
          <w:rFonts w:asciiTheme="majorBidi" w:hAnsiTheme="majorBidi" w:cstheme="majorBidi"/>
          <w:rtl/>
          <w:lang w:val="en-CA"/>
        </w:rPr>
        <w:t>سيكون لمكيف الهواء المنفصل الذي يحتوي على طن تبريد واحد، مع تصنيف ثلاث نجوم لكفاءة الطاقة، معدل طاقة يبلغ حوالي 1 كيلو وات.</w:t>
      </w:r>
    </w:p>
  </w:footnote>
  <w:footnote w:id="12">
    <w:p w14:paraId="7B6068FE"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بافتراض أن تكلفة تركيب محطة طاقة بقدرة 1 ميغا وات يساوي 1 مليون دولار أمريكي؛ وتختلف تكلفة تركيب محطة الطاقة باختلاف الوقود المختار ومعايير التصميم والتشغيل الأخرى.  علاوة على ذلك، ستنخفض الاستثمارات في البنية التحتية المتمثلة في النقل والتوزيع أيضاً.</w:t>
      </w:r>
    </w:p>
  </w:footnote>
  <w:footnote w:id="13">
    <w:p w14:paraId="3CA8C55F" w14:textId="77777777" w:rsidR="00717685" w:rsidRDefault="00717685" w:rsidP="008E0E5E">
      <w:pPr>
        <w:pStyle w:val="FootnoteText"/>
        <w:bidi/>
        <w:rPr>
          <w:lang w:val="en-US"/>
        </w:rPr>
      </w:pPr>
      <w:r>
        <w:rPr>
          <w:rStyle w:val="FootnoteReference"/>
          <w:rtl/>
          <w:lang w:eastAsia="ar" w:bidi="ar-EG"/>
        </w:rPr>
        <w:footnoteRef/>
      </w:r>
      <w:r>
        <w:rPr>
          <w:rFonts w:hint="cs"/>
          <w:rtl/>
          <w:lang w:eastAsia="ar" w:bidi="ar-EG"/>
        </w:rPr>
        <w:t xml:space="preserve"> يستلزم ذلك إصدار مقررات عن اللجنة التنفيذية تتعلق بالمعايير والسياسات (مثل معايير الأهلية لتقديم مقترحات المشروعات، بما في ذلك أساليب تقييم «الإضافة» التي تقدمها معايير كفاءة الطاقة المستهدفة، وعتبات جدوى التكاليف، وآليات الرصد والإبلاغ، وكيفية ضمان التمويل التكميلي ودعمه، وتجنب تكرار الأنشطة ذاتها، وما إلى ذلك) لدعم الأنشطة ذات الصلة بكفاءة الطاقة مع التخفيض التدريجي للمواد الهيدروفلوروكربونية.</w:t>
      </w:r>
    </w:p>
  </w:footnote>
  <w:footnote w:id="14">
    <w:p w14:paraId="31A892F9" w14:textId="77777777" w:rsidR="00717685" w:rsidRDefault="00717685" w:rsidP="008E0E5E">
      <w:pPr>
        <w:pStyle w:val="FootnoteText"/>
        <w:bidi/>
        <w:rPr>
          <w:lang w:val="en-US"/>
        </w:rPr>
      </w:pPr>
      <w:r>
        <w:rPr>
          <w:rStyle w:val="FootnoteReference"/>
          <w:rtl/>
          <w:lang w:eastAsia="ar" w:bidi="ar-EG"/>
        </w:rPr>
        <w:footnoteRef/>
      </w:r>
      <w:r>
        <w:rPr>
          <w:rFonts w:hint="cs"/>
          <w:rtl/>
          <w:lang w:eastAsia="ar" w:bidi="ar-EG"/>
        </w:rPr>
        <w:t xml:space="preserve"> الفقرة 34 من الوثيقة </w:t>
      </w:r>
      <w:r>
        <w:rPr>
          <w:lang w:eastAsia="ar" w:bidi="en-GB"/>
        </w:rPr>
        <w:t>UNEP/OzL.Pro/ExCom</w:t>
      </w:r>
      <w:r>
        <w:rPr>
          <w:lang w:eastAsia="ar" w:bidi="ar-EG"/>
        </w:rPr>
        <w:t>/86/93</w:t>
      </w:r>
      <w:r>
        <w:rPr>
          <w:rFonts w:hint="cs"/>
          <w:rtl/>
          <w:lang w:eastAsia="ar" w:bidi="ar-EG"/>
        </w:rPr>
        <w:t>.</w:t>
      </w:r>
    </w:p>
  </w:footnote>
  <w:footnote w:id="15">
    <w:p w14:paraId="2B1B1C8C" w14:textId="77777777" w:rsidR="00717685" w:rsidRDefault="00717685" w:rsidP="008E0E5E">
      <w:pPr>
        <w:pStyle w:val="FootnoteText"/>
        <w:bidi/>
        <w:rPr>
          <w:rFonts w:asciiTheme="majorBidi" w:hAnsiTheme="majorBidi" w:cstheme="majorBidi"/>
          <w:lang w:val="en-CA"/>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في هذه الاجتماع السابع والسبعين، قبلت اللجنة التنفيذية، بكل تقدير، مساهمات إضافية من 17 بلد غير عامل بالمادة 5 بقيمة 27 مليون دولار أمريكي لمساعدة البلدان العاملة بالمادة 5 في أنشطة محددة للبدء السريع في تنفيذ تعديل كيغالي. </w:t>
      </w:r>
    </w:p>
  </w:footnote>
  <w:footnote w:id="16">
    <w:p w14:paraId="4A22E247" w14:textId="77777777" w:rsidR="00717685" w:rsidRDefault="00717685" w:rsidP="008E0E5E">
      <w:pPr>
        <w:pStyle w:val="FootnoteText"/>
        <w:bidi/>
        <w:rPr>
          <w:lang w:val="en-US"/>
        </w:rPr>
      </w:pPr>
      <w:r>
        <w:rPr>
          <w:rStyle w:val="FootnoteReference"/>
          <w:rtl/>
          <w:lang w:eastAsia="ar" w:bidi="ar-EG"/>
        </w:rPr>
        <w:footnoteRef/>
      </w:r>
      <w:r>
        <w:rPr>
          <w:rFonts w:hint="cs"/>
          <w:rtl/>
          <w:lang w:eastAsia="ar" w:bidi="ar-EG"/>
        </w:rPr>
        <w:t xml:space="preserve"> من شأن عمليات الإبلاغ المتعددة عن مكونات كفاءة الطاقة أن تؤدي إلى زيادة هائلة في عبء عمل الوكالات والبلدان التي تنفذ هذه العناصر، فضلاً عن اللجنة التنفيذية والأمانة.</w:t>
      </w:r>
    </w:p>
  </w:footnote>
  <w:footnote w:id="17">
    <w:p w14:paraId="374F9935" w14:textId="77777777" w:rsidR="00717685" w:rsidRDefault="00717685" w:rsidP="008E0E5E">
      <w:pPr>
        <w:pStyle w:val="FootnoteText"/>
        <w:bidi/>
        <w:rPr>
          <w:lang w:val="en-CA"/>
        </w:rPr>
      </w:pPr>
      <w:r>
        <w:rPr>
          <w:rStyle w:val="FootnoteReference"/>
          <w:rtl/>
          <w:lang w:eastAsia="ar" w:bidi="ar-EG"/>
        </w:rPr>
        <w:footnoteRef/>
      </w:r>
      <w:r>
        <w:rPr>
          <w:rFonts w:hint="cs"/>
          <w:rtl/>
          <w:lang w:eastAsia="ar" w:bidi="ar-EG"/>
        </w:rPr>
        <w:t xml:space="preserve"> يُقصد بمؤسسات التمويل الأخرى مؤسسات التمويل غير التابعة لصندوق المناخ الأخضر أو مرفق البيئة العالمية، وقد تشمل مصارف التنمية المتعددة الأطراف، والمؤسسات المتخصصة الأخرى التي تمول كفاءة الطاقة في قطاعي التبريد وتكييف الهواء والمضخات الحرارية والرغاوي.</w:t>
      </w:r>
    </w:p>
  </w:footnote>
  <w:footnote w:id="18">
    <w:p w14:paraId="03B550D0" w14:textId="77777777" w:rsidR="00717685" w:rsidRDefault="00717685" w:rsidP="008E0E5E">
      <w:pPr>
        <w:pStyle w:val="FootnoteText"/>
        <w:bidi/>
        <w:rPr>
          <w:lang w:val="en-US"/>
        </w:rPr>
      </w:pPr>
      <w:r>
        <w:rPr>
          <w:rStyle w:val="FootnoteReference"/>
          <w:rtl/>
          <w:lang w:eastAsia="ar" w:bidi="ar-EG"/>
        </w:rPr>
        <w:footnoteRef/>
      </w:r>
      <w:r>
        <w:rPr>
          <w:rFonts w:hint="cs"/>
          <w:rtl/>
          <w:lang w:eastAsia="ar" w:bidi="ar-EG"/>
        </w:rPr>
        <w:t xml:space="preserve"> نظام للتخصيص الشفاف للموارد</w:t>
      </w:r>
    </w:p>
  </w:footnote>
  <w:footnote w:id="19">
    <w:p w14:paraId="5DE9E4C6" w14:textId="77777777" w:rsidR="00717685" w:rsidRDefault="00717685" w:rsidP="008E0E5E">
      <w:pPr>
        <w:pStyle w:val="FootnoteText"/>
        <w:bidi/>
        <w:rPr>
          <w:rFonts w:asciiTheme="majorBidi" w:hAnsiTheme="majorBidi" w:cstheme="majorBidi"/>
          <w:lang w:val="en-CA"/>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من شأن عمليات الإبلاغ المتعددة عن مكونات كفاءة الطاقة أن تؤدي إلى زيادة هائلة في عبء عمل الوكالات والبلدان التي تنفذ هذه المكونات، فضلاً عن الأمانة. وعليه، لن تُقبل أي مساهمات إضافية يشترط فيها رصد وإبلاغ إضافي يتجاوز ما وافقت عليه اللجنة التنفيذية.  </w:t>
      </w:r>
    </w:p>
  </w:footnote>
  <w:footnote w:id="20">
    <w:p w14:paraId="70FA5605"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يمكن استخدام هذه الأموال الإضافية، على سبيل المثال، لتحويل المشروعات غير المستحِّقة المؤهلة تكنولوجيات ذات إمكانية الاحترار العالمي المنخفضة نفسها التي تعتمدها المشروعات التي يساعدها الصندوق. </w:t>
      </w:r>
    </w:p>
  </w:footnote>
  <w:footnote w:id="21">
    <w:p w14:paraId="4EC2F2B4"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في مشروع التحويل هذا، قُدمت أموال من الصندوق المتعدد الأطراف لتحويل مرفق تصنيع الثلاجات المنزلية من مركب الهيدروفلوروكربون-134</w:t>
      </w:r>
      <w:r>
        <w:rPr>
          <w:rFonts w:asciiTheme="majorBidi" w:hAnsiTheme="majorBidi" w:cstheme="majorBidi"/>
          <w:lang w:eastAsia="ar" w:bidi="en-GB"/>
        </w:rPr>
        <w:t>a</w:t>
      </w:r>
      <w:r>
        <w:rPr>
          <w:rFonts w:asciiTheme="majorBidi" w:hAnsiTheme="majorBidi" w:cstheme="majorBidi" w:hint="cs"/>
          <w:rtl/>
          <w:lang w:eastAsia="ar" w:bidi="ar-EG"/>
        </w:rPr>
        <w:t xml:space="preserve"> إلى غاز  </w:t>
      </w:r>
      <w:r>
        <w:rPr>
          <w:rFonts w:asciiTheme="majorBidi" w:hAnsiTheme="majorBidi" w:cstheme="majorBidi"/>
          <w:lang w:eastAsia="ar" w:bidi="en-GB"/>
        </w:rPr>
        <w:t>R-600a</w:t>
      </w:r>
      <w:r>
        <w:rPr>
          <w:rFonts w:asciiTheme="majorBidi" w:hAnsiTheme="majorBidi" w:cstheme="majorBidi" w:hint="cs"/>
          <w:rtl/>
          <w:lang w:eastAsia="ar" w:bidi="ar-EG"/>
        </w:rPr>
        <w:t>؛ ومولت بعض مكونات المشروع المتعلقة بتصميم المنتجات من أجل الأداء</w:t>
      </w:r>
      <w:r>
        <w:rPr>
          <w:rFonts w:asciiTheme="majorBidi" w:hAnsiTheme="majorBidi" w:cstheme="majorBidi" w:hint="cs"/>
          <w:rtl/>
          <w:lang w:eastAsia="ar" w:bidi="ar-EG"/>
        </w:rPr>
        <w:noBreakHyphen/>
        <w:t xml:space="preserve"> الفعال للطاقة من خلال برنامج كيغالي لكفاءة التبريد. </w:t>
      </w:r>
    </w:p>
  </w:footnote>
  <w:footnote w:id="22">
    <w:p w14:paraId="27E5CB05"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ويتوافر مثال على ذلك في شكل معلومات عن مشروع مرفق التبريد الذي وافق عليه الصندوق الأخضر للمناخ في </w:t>
      </w:r>
      <w:r>
        <w:rPr>
          <w:rFonts w:asciiTheme="majorBidi" w:hAnsiTheme="majorBidi" w:cstheme="majorBidi"/>
          <w:lang w:eastAsia="ar" w:bidi="en-GB"/>
        </w:rPr>
        <w:t>https://www.greenclimate.fund/project/fp</w:t>
      </w:r>
      <w:r>
        <w:rPr>
          <w:rFonts w:asciiTheme="majorBidi" w:hAnsiTheme="majorBidi" w:cstheme="majorBidi" w:hint="cs"/>
          <w:lang w:eastAsia="ar" w:bidi="ar-EG"/>
        </w:rPr>
        <w:t>177</w:t>
      </w:r>
      <w:r>
        <w:rPr>
          <w:rFonts w:asciiTheme="majorBidi" w:hAnsiTheme="majorBidi" w:cstheme="majorBidi" w:hint="cs"/>
          <w:rtl/>
          <w:lang w:eastAsia="ar" w:bidi="ar-EG"/>
        </w:rPr>
        <w:t>.</w:t>
      </w:r>
    </w:p>
  </w:footnote>
  <w:footnote w:id="23">
    <w:p w14:paraId="35AA3A4F"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وقد أُعيدت هيكلة برنامج كيغالي لكفاءة التبريد (</w:t>
      </w:r>
      <w:r>
        <w:rPr>
          <w:rFonts w:asciiTheme="majorBidi" w:hAnsiTheme="majorBidi" w:cstheme="majorBidi"/>
          <w:lang w:eastAsia="ar" w:bidi="en-GB"/>
        </w:rPr>
        <w:t>K-CEP</w:t>
      </w:r>
      <w:r>
        <w:rPr>
          <w:rFonts w:asciiTheme="majorBidi" w:hAnsiTheme="majorBidi" w:cstheme="majorBidi" w:hint="cs"/>
          <w:rtl/>
          <w:lang w:eastAsia="ar" w:bidi="ar-EG"/>
        </w:rPr>
        <w:t>) وأُعيدت تسميته، حالياً، باسم المبادرة التعاونية للتبريد النظيف التي من المتوقع أن تعمل على المشروعات لتقديم تبريد مُراعٍ للمناخ للجميع.</w:t>
      </w:r>
    </w:p>
  </w:footnote>
  <w:footnote w:id="24">
    <w:p w14:paraId="5E8BCB14"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الفقرات 24 إلى 28 من الوثيقة</w:t>
      </w:r>
      <w:r>
        <w:rPr>
          <w:rFonts w:asciiTheme="majorBidi" w:hAnsiTheme="majorBidi" w:cstheme="majorBidi" w:hint="cs"/>
          <w:rtl/>
          <w:lang w:eastAsia="ar" w:bidi="ar-SA"/>
        </w:rPr>
        <w:t xml:space="preserve"> </w:t>
      </w:r>
      <w:r>
        <w:rPr>
          <w:rFonts w:asciiTheme="majorBidi" w:hAnsiTheme="majorBidi" w:cstheme="majorBidi"/>
          <w:lang w:eastAsia="ar" w:bidi="en-GB"/>
        </w:rPr>
        <w:t>UNEP/OzL.Pro/ExCom</w:t>
      </w:r>
      <w:r>
        <w:rPr>
          <w:rFonts w:asciiTheme="majorBidi" w:hAnsiTheme="majorBidi" w:cstheme="majorBidi"/>
          <w:lang w:eastAsia="ar" w:bidi="ar-EG"/>
        </w:rPr>
        <w:t>/87/51</w:t>
      </w:r>
      <w:r>
        <w:rPr>
          <w:rFonts w:asciiTheme="majorBidi" w:hAnsiTheme="majorBidi" w:cstheme="majorBidi" w:hint="cs"/>
          <w:rtl/>
          <w:lang w:eastAsia="ar" w:bidi="ar-EG"/>
        </w:rPr>
        <w:t>.</w:t>
      </w:r>
    </w:p>
  </w:footnote>
  <w:footnote w:id="25">
    <w:p w14:paraId="33FAAB10"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هذه المسائل تتناولها الوثيقة  </w:t>
      </w:r>
      <w:r>
        <w:rPr>
          <w:rFonts w:asciiTheme="majorBidi" w:hAnsiTheme="majorBidi" w:cstheme="majorBidi"/>
          <w:lang w:eastAsia="ar" w:bidi="en-GB"/>
        </w:rPr>
        <w:t>UNEP/OzL.Pro/ExCom</w:t>
      </w:r>
      <w:r>
        <w:rPr>
          <w:rFonts w:asciiTheme="majorBidi" w:hAnsiTheme="majorBidi" w:cstheme="majorBidi"/>
          <w:lang w:eastAsia="ar" w:bidi="ar-EG"/>
        </w:rPr>
        <w:t>/89/8</w:t>
      </w:r>
      <w:r>
        <w:rPr>
          <w:rFonts w:asciiTheme="majorBidi" w:hAnsiTheme="majorBidi" w:cstheme="majorBidi" w:hint="cs"/>
          <w:rtl/>
          <w:lang w:eastAsia="ar" w:bidi="ar-EG"/>
        </w:rPr>
        <w:t xml:space="preserve">  والوثيقة </w:t>
      </w:r>
      <w:r>
        <w:rPr>
          <w:rFonts w:asciiTheme="majorBidi" w:hAnsiTheme="majorBidi" w:cstheme="majorBidi" w:hint="cs"/>
          <w:rtl/>
          <w:lang w:eastAsia="ar" w:bidi="ar-SA"/>
        </w:rPr>
        <w:t xml:space="preserve"> </w:t>
      </w:r>
      <w:r>
        <w:rPr>
          <w:rFonts w:asciiTheme="majorBidi" w:hAnsiTheme="majorBidi" w:cstheme="majorBidi"/>
          <w:lang w:eastAsia="ar" w:bidi="en-GB"/>
        </w:rPr>
        <w:t>UNEP/OzL.Pro/ExCom</w:t>
      </w:r>
      <w:r>
        <w:rPr>
          <w:rFonts w:asciiTheme="majorBidi" w:hAnsiTheme="majorBidi" w:cstheme="majorBidi"/>
          <w:lang w:eastAsia="ar" w:bidi="ar-EG"/>
        </w:rPr>
        <w:t>/89/11</w:t>
      </w:r>
      <w:r>
        <w:rPr>
          <w:rFonts w:asciiTheme="majorBidi" w:hAnsiTheme="majorBidi" w:cstheme="majorBidi" w:hint="cs"/>
          <w:rtl/>
          <w:lang w:eastAsia="ar" w:bidi="ar-EG"/>
        </w:rPr>
        <w:t>.</w:t>
      </w:r>
    </w:p>
  </w:footnote>
  <w:footnote w:id="26">
    <w:p w14:paraId="328154C3" w14:textId="77777777" w:rsidR="00717685" w:rsidRDefault="00717685" w:rsidP="008E0E5E">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قد يؤدي استرداد العملاء إلى تحفيز نماذج التمويل المبتكرة لاعتماد التكنولوجيات التي تتسم بكفاءة استخدام الطاقة.</w:t>
      </w:r>
    </w:p>
  </w:footnote>
  <w:footnote w:id="27">
    <w:p w14:paraId="4911B04A" w14:textId="77777777" w:rsidR="00270123" w:rsidRDefault="00270123" w:rsidP="00270123">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المقرر 30/5 بشأن حصول الأطراف العاملة بالفقرة 1 من المادة 5 من بروتوكول مونتريال على التكنولوجيات التي تتسم بكفاءة استخدام الطاقة في قطاعات التبريد وتكييف الهواء والمضخات الحرارية.</w:t>
      </w:r>
    </w:p>
  </w:footnote>
  <w:footnote w:id="28">
    <w:p w14:paraId="46A4DC73" w14:textId="77777777" w:rsidR="00270123" w:rsidRDefault="00270123" w:rsidP="00270123">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مونتريال، 27-31 مايو/آيار 2019.</w:t>
      </w:r>
    </w:p>
  </w:footnote>
  <w:footnote w:id="29">
    <w:p w14:paraId="3DAA1240" w14:textId="77777777" w:rsidR="00270123" w:rsidRPr="00B9375D" w:rsidRDefault="00270123" w:rsidP="00270123">
      <w:pPr>
        <w:pStyle w:val="FootnoteText"/>
        <w:bidi/>
        <w:rPr>
          <w:rFonts w:asciiTheme="majorBidi" w:hAnsiTheme="majorBidi" w:cstheme="majorBidi"/>
          <w:rtl/>
          <w:lang w:val="en-US"/>
        </w:rPr>
      </w:pPr>
      <w:r w:rsidRPr="001B6A62">
        <w:rPr>
          <w:rStyle w:val="FootnoteReference"/>
          <w:rFonts w:asciiTheme="majorBidi" w:hAnsiTheme="majorBidi" w:cstheme="majorBidi"/>
          <w:rtl/>
          <w:lang w:eastAsia="ar" w:bidi="ar-EG"/>
        </w:rPr>
        <w:footnoteRef/>
      </w:r>
      <w:r w:rsidRPr="001B6A62">
        <w:rPr>
          <w:rFonts w:asciiTheme="majorBidi" w:hAnsiTheme="majorBidi" w:cstheme="majorBidi" w:hint="cs"/>
          <w:rtl/>
          <w:lang w:eastAsia="ar" w:bidi="ar-EG"/>
        </w:rPr>
        <w:t xml:space="preserve"> بدأت عملية الموافقة فيما بين دورات الاجتماع في 4 مايو/آيار 2020 وانتهت في 8 يونيه/حزيران 2020؛ ومن خلال هذه العملية، نظرت اللجنة في 42 وثيقة اجتماع، أي، تقارير بشأن مشروعات ذات متطلبات إبلاغ محددة ونظرة عامة على القضايا التي تم تبينها خلال استعراض المشروعات؛ ومقترحات مشروعات قُدمت بموجب التعاون الثنائي وبموجب برامج عمل البرنامج الإنمائي واليونيب واليونيدو لعام 2020؛ ومقترحات مشروعات في 35 بلدا من البلدان العاملة بالمادة 5 و12 بلداً من بلدان جزر المحيط الهادي (ويرد التقرير عن التقدم المتحقق في الوثيقة</w:t>
      </w:r>
      <w:r w:rsidRPr="001B6A62">
        <w:rPr>
          <w:rFonts w:asciiTheme="majorBidi" w:hAnsiTheme="majorBidi" w:cstheme="majorBidi" w:hint="cs"/>
          <w:rtl/>
          <w:lang w:eastAsia="ar" w:bidi="ar-SA"/>
        </w:rPr>
        <w:t xml:space="preserve"> </w:t>
      </w:r>
      <w:r w:rsidRPr="001B6A62">
        <w:rPr>
          <w:rFonts w:asciiTheme="majorBidi" w:hAnsiTheme="majorBidi" w:cstheme="majorBidi"/>
          <w:lang w:eastAsia="ar" w:bidi="en-GB"/>
        </w:rPr>
        <w:t>UNEP/OzL.Pro/ExCom/85/IAP</w:t>
      </w:r>
      <w:r w:rsidRPr="001B6A62">
        <w:rPr>
          <w:rFonts w:asciiTheme="majorBidi" w:hAnsiTheme="majorBidi" w:cstheme="majorBidi"/>
          <w:lang w:eastAsia="ar" w:bidi="ar-EG"/>
        </w:rPr>
        <w:t>/3</w:t>
      </w:r>
      <w:r w:rsidRPr="001B6A62">
        <w:rPr>
          <w:rFonts w:asciiTheme="majorBidi" w:hAnsiTheme="majorBidi" w:cstheme="majorBidi" w:hint="cs"/>
          <w:rtl/>
          <w:lang w:eastAsia="ar" w:bidi="ar-EG"/>
        </w:rPr>
        <w:t>).</w:t>
      </w:r>
    </w:p>
  </w:footnote>
  <w:footnote w:id="30">
    <w:p w14:paraId="408AFF5C" w14:textId="77777777" w:rsidR="00270123" w:rsidRDefault="00270123" w:rsidP="00270123">
      <w:pPr>
        <w:pStyle w:val="FootnoteText"/>
        <w:bidi/>
        <w:rPr>
          <w:rFonts w:asciiTheme="majorBidi" w:hAnsiTheme="majorBidi" w:cstheme="majorBidi"/>
        </w:rPr>
      </w:pPr>
      <w:r>
        <w:rPr>
          <w:rStyle w:val="FootnoteReference"/>
          <w:rFonts w:asciiTheme="majorBidi" w:hAnsiTheme="majorBidi" w:cstheme="majorBidi"/>
          <w:rtl/>
          <w:lang w:eastAsia="ar" w:bidi="ar-EG"/>
        </w:rPr>
        <w:footnoteRef/>
      </w:r>
      <w:r>
        <w:rPr>
          <w:rFonts w:asciiTheme="majorBidi" w:hAnsiTheme="majorBidi" w:cstheme="majorBidi" w:hint="cs"/>
          <w:rtl/>
          <w:lang w:eastAsia="ar" w:bidi="ar-EG"/>
        </w:rPr>
        <w:t xml:space="preserve"> وقد ناقشت اللجنة التنفيذية هذه المسألة خلال الاجتماعات الرسمية المنعقدة عبر الإنترنت في أبريل/نيسان 2021. </w:t>
      </w:r>
    </w:p>
  </w:footnote>
  <w:footnote w:id="31">
    <w:p w14:paraId="2588B16D"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توجد قائمة البلدان المتلقية في: </w:t>
      </w:r>
      <w:r>
        <w:fldChar w:fldCharType="begin"/>
      </w:r>
      <w:r>
        <w:instrText xml:space="preserve"> HYPERLINK "https://www.thegef.org/projects-operations/recipient-countries" </w:instrText>
      </w:r>
      <w:r>
        <w:fldChar w:fldCharType="separate"/>
      </w:r>
      <w:r w:rsidRPr="008F77B9">
        <w:rPr>
          <w:rStyle w:val="Hyperlink"/>
          <w:rFonts w:asciiTheme="majorBidi" w:hAnsiTheme="majorBidi" w:cstheme="majorBidi"/>
        </w:rPr>
        <w:t>https://www.thegef.org/projects-operations/recipient-countries</w:t>
      </w:r>
      <w:r>
        <w:rPr>
          <w:rStyle w:val="Hyperlink"/>
          <w:rFonts w:asciiTheme="majorBidi" w:hAnsiTheme="majorBidi" w:cstheme="majorBidi"/>
        </w:rPr>
        <w:fldChar w:fldCharType="end"/>
      </w:r>
      <w:r>
        <w:rPr>
          <w:rFonts w:asciiTheme="majorBidi" w:hAnsiTheme="majorBidi" w:cstheme="majorBidi" w:hint="cs"/>
          <w:rtl/>
          <w:lang w:bidi="ar-EG"/>
        </w:rPr>
        <w:t>.</w:t>
      </w:r>
      <w:r w:rsidRPr="008F77B9">
        <w:rPr>
          <w:rFonts w:asciiTheme="majorBidi" w:hAnsiTheme="majorBidi" w:cstheme="majorBidi"/>
        </w:rPr>
        <w:t xml:space="preserve"> </w:t>
      </w:r>
    </w:p>
  </w:footnote>
  <w:footnote w:id="32">
    <w:p w14:paraId="080B771F" w14:textId="77777777" w:rsidR="002D440B" w:rsidRPr="008F77B9" w:rsidRDefault="002D440B" w:rsidP="002D440B">
      <w:pPr>
        <w:pStyle w:val="FootnoteText"/>
        <w:bidi/>
        <w:rPr>
          <w:rFonts w:asciiTheme="majorBidi" w:hAnsiTheme="majorBidi" w:cstheme="majorBidi"/>
          <w:rtl/>
          <w:lang w:bidi="ar-EG"/>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تتوافر </w:t>
      </w:r>
      <w:r>
        <w:rPr>
          <w:rFonts w:asciiTheme="majorBidi" w:hAnsiTheme="majorBidi" w:cstheme="majorBidi" w:hint="cs"/>
          <w:rtl/>
          <w:lang w:bidi="ar-EG"/>
        </w:rPr>
        <w:t xml:space="preserve">المعلومات عن وكالات مرفق البيئة العالمية في: </w:t>
      </w:r>
      <w:r>
        <w:fldChar w:fldCharType="begin"/>
      </w:r>
      <w:r>
        <w:instrText xml:space="preserve"> HYPERLINK "https://www.thegef.org/partners/gef-agencies" </w:instrText>
      </w:r>
      <w:r>
        <w:fldChar w:fldCharType="separate"/>
      </w:r>
      <w:r w:rsidRPr="008F77B9">
        <w:rPr>
          <w:rStyle w:val="Hyperlink"/>
          <w:rFonts w:asciiTheme="majorBidi" w:hAnsiTheme="majorBidi" w:cstheme="majorBidi"/>
        </w:rPr>
        <w:t>https://www.thegef.org/partners/gef-agencies</w:t>
      </w:r>
      <w:r>
        <w:rPr>
          <w:rStyle w:val="Hyperlink"/>
          <w:rFonts w:asciiTheme="majorBidi" w:hAnsiTheme="majorBidi" w:cstheme="majorBidi"/>
        </w:rPr>
        <w:fldChar w:fldCharType="end"/>
      </w:r>
      <w:r>
        <w:rPr>
          <w:rFonts w:asciiTheme="majorBidi" w:hAnsiTheme="majorBidi" w:cstheme="majorBidi" w:hint="cs"/>
          <w:rtl/>
          <w:lang w:bidi="ar-EG"/>
        </w:rPr>
        <w:t>.</w:t>
      </w:r>
      <w:r w:rsidRPr="008F77B9">
        <w:rPr>
          <w:rFonts w:asciiTheme="majorBidi" w:hAnsiTheme="majorBidi" w:cstheme="majorBidi"/>
        </w:rPr>
        <w:t xml:space="preserve"> </w:t>
      </w:r>
    </w:p>
  </w:footnote>
  <w:footnote w:id="33">
    <w:p w14:paraId="3AE58F8B"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النشاط </w:t>
      </w:r>
      <w:r>
        <w:rPr>
          <w:rFonts w:asciiTheme="majorBidi" w:hAnsiTheme="majorBidi" w:cstheme="majorBidi" w:hint="cs"/>
          <w:rtl/>
          <w:lang w:bidi="ar-EG"/>
        </w:rPr>
        <w:t>التمكيني يعني المشروع المخصص لإعداد خطة أو استراتيجية أو تقرير للوفاء بالتزاماته في إطار إتفاقية.</w:t>
      </w:r>
    </w:p>
  </w:footnote>
  <w:footnote w:id="34">
    <w:p w14:paraId="13C09294"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يعني البرنامج ترتيب طويل الأجل أو استراتيجي أو تقرير للمشروعات الفردية أو مترابطة تهدف الى تحقيق آثار واسعة النطاق على البيئة العالمية.</w:t>
      </w:r>
    </w:p>
  </w:footnote>
  <w:footnote w:id="35">
    <w:p w14:paraId="5DC3EB64"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bidi="ar-EG"/>
        </w:rPr>
        <w:t xml:space="preserve"> </w:t>
      </w:r>
      <w:r>
        <w:rPr>
          <w:rFonts w:asciiTheme="majorBidi" w:hAnsiTheme="majorBidi" w:cstheme="majorBidi" w:hint="cs"/>
          <w:sz w:val="20"/>
          <w:rtl/>
          <w:lang w:bidi="ar-EG"/>
        </w:rPr>
        <w:t xml:space="preserve">المعلومات </w:t>
      </w:r>
      <w:r>
        <w:rPr>
          <w:rFonts w:asciiTheme="majorBidi" w:hAnsiTheme="majorBidi" w:cstheme="majorBidi" w:hint="cs"/>
          <w:sz w:val="20"/>
          <w:rtl/>
          <w:lang w:bidi="ar-EG"/>
        </w:rPr>
        <w:t>التي تغطي تنفيذ ترتيب لكل طريقة من الطرائق الأربعة والمتوافرة لدى سياسة دورة مشروع أو برنامج المرفق (الصفحات 6 الى 13) والمبادئ التوجيهية عن سياسة دورة المشروع والبرنامج (</w:t>
      </w:r>
      <w:r>
        <w:fldChar w:fldCharType="begin"/>
      </w:r>
      <w:r>
        <w:instrText>HYPERLINK "https://www.thegef.org/documents/project-and-program-cycle"</w:instrText>
      </w:r>
      <w:r>
        <w:fldChar w:fldCharType="separate"/>
      </w:r>
      <w:r w:rsidRPr="008F77B9">
        <w:rPr>
          <w:rStyle w:val="Hyperlink"/>
          <w:rFonts w:asciiTheme="majorBidi" w:hAnsiTheme="majorBidi" w:cstheme="majorBidi"/>
          <w:sz w:val="20"/>
        </w:rPr>
        <w:t>https://www.thegef.org/documents/project-and-program-cycle</w:t>
      </w:r>
      <w:r>
        <w:fldChar w:fldCharType="end"/>
      </w:r>
      <w:r>
        <w:rPr>
          <w:rFonts w:asciiTheme="majorBidi" w:hAnsiTheme="majorBidi" w:cstheme="majorBidi" w:hint="cs"/>
          <w:sz w:val="20"/>
          <w:rtl/>
          <w:lang w:bidi="ar-EG"/>
        </w:rPr>
        <w:t>).</w:t>
      </w:r>
    </w:p>
  </w:footnote>
  <w:footnote w:id="36">
    <w:p w14:paraId="402A3AF0"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rPr>
        <w:t xml:space="preserve"> </w:t>
      </w:r>
      <w:r>
        <w:rPr>
          <w:rFonts w:asciiTheme="majorBidi" w:hAnsiTheme="majorBidi" w:cstheme="majorBidi" w:hint="cs"/>
          <w:sz w:val="20"/>
          <w:rtl/>
        </w:rPr>
        <w:t xml:space="preserve">تتوافر معلومات أخرى تتعلق ببرنامج المؤسسات غير الحكومية في: </w:t>
      </w:r>
      <w:r>
        <w:fldChar w:fldCharType="begin"/>
      </w:r>
      <w:r>
        <w:instrText xml:space="preserve"> HYPERLINK "https://www.thegef.org/what-we-do/topics/non-grant-instruments" </w:instrText>
      </w:r>
      <w:r>
        <w:fldChar w:fldCharType="separate"/>
      </w:r>
      <w:r w:rsidRPr="008F77B9">
        <w:rPr>
          <w:rStyle w:val="Hyperlink"/>
          <w:rFonts w:asciiTheme="majorBidi" w:hAnsiTheme="majorBidi" w:cstheme="majorBidi"/>
          <w:sz w:val="20"/>
        </w:rPr>
        <w:t>https://www.thegef.org/what-we-do/topics/non-grant-instruments</w:t>
      </w:r>
      <w:r>
        <w:rPr>
          <w:rStyle w:val="Hyperlink"/>
          <w:rFonts w:asciiTheme="majorBidi" w:hAnsiTheme="majorBidi" w:cstheme="majorBidi"/>
          <w:sz w:val="20"/>
        </w:rPr>
        <w:fldChar w:fldCharType="end"/>
      </w:r>
      <w:r w:rsidRPr="008F77B9">
        <w:rPr>
          <w:rFonts w:asciiTheme="majorBidi" w:hAnsiTheme="majorBidi" w:cstheme="majorBidi"/>
          <w:sz w:val="20"/>
        </w:rPr>
        <w:t>.</w:t>
      </w:r>
      <w:r>
        <w:rPr>
          <w:rFonts w:asciiTheme="majorBidi" w:hAnsiTheme="majorBidi" w:cstheme="majorBidi" w:hint="cs"/>
          <w:sz w:val="20"/>
          <w:rtl/>
        </w:rPr>
        <w:t>.</w:t>
      </w:r>
      <w:r w:rsidRPr="008F77B9">
        <w:rPr>
          <w:rFonts w:asciiTheme="majorBidi" w:hAnsiTheme="majorBidi" w:cstheme="majorBidi"/>
          <w:sz w:val="20"/>
        </w:rPr>
        <w:t xml:space="preserve"> </w:t>
      </w:r>
    </w:p>
  </w:footnote>
  <w:footnote w:id="37">
    <w:p w14:paraId="2F23DA56" w14:textId="77777777" w:rsidR="002D440B" w:rsidRPr="008F77B9" w:rsidRDefault="002D440B" w:rsidP="002D440B">
      <w:pPr>
        <w:pStyle w:val="FootnoteText"/>
        <w:bidi/>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مجالات الآثار الثمانية هي الصحة والأمن الغذائي والمائي والمعيشة والسكان والمجتمعات وتوليد الطاقة والحصول والنقل والبيئة المبنية والنظم البيئية والخدمات البيئية والمباني والمدن والأجهزة والغابات واستخدام الأراضي.</w:t>
      </w:r>
    </w:p>
  </w:footnote>
  <w:footnote w:id="38">
    <w:p w14:paraId="0D7BE438" w14:textId="77777777" w:rsidR="002D440B" w:rsidRPr="008F77B9" w:rsidRDefault="002D440B" w:rsidP="002D440B">
      <w:pPr>
        <w:pStyle w:val="FootnoteText"/>
        <w:bidi/>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يتوافر </w:t>
      </w:r>
      <w:r>
        <w:rPr>
          <w:rFonts w:asciiTheme="majorBidi" w:hAnsiTheme="majorBidi" w:cstheme="majorBidi" w:hint="cs"/>
          <w:rtl/>
          <w:lang w:val="en-US" w:bidi="ar-EG"/>
        </w:rPr>
        <w:t xml:space="preserve">المزيد من المعلومات عن مرفق التبريد في </w:t>
      </w:r>
      <w:r>
        <w:fldChar w:fldCharType="begin"/>
      </w:r>
      <w:r>
        <w:instrText>HYPERLINK "https://www.greenclimate.fund/project/fp177"</w:instrText>
      </w:r>
      <w:r>
        <w:fldChar w:fldCharType="separate"/>
      </w:r>
      <w:r w:rsidRPr="008F77B9">
        <w:rPr>
          <w:rStyle w:val="Hyperlink"/>
          <w:rFonts w:asciiTheme="majorBidi" w:hAnsiTheme="majorBidi" w:cstheme="majorBidi"/>
          <w:lang w:val="en-US"/>
        </w:rPr>
        <w:t>https://www.greenclimate.fund/project/fp177</w:t>
      </w:r>
      <w:r>
        <w:fldChar w:fldCharType="end"/>
      </w:r>
      <w:r w:rsidRPr="008F77B9">
        <w:rPr>
          <w:rFonts w:asciiTheme="majorBidi" w:hAnsiTheme="majorBidi" w:cstheme="majorBidi"/>
          <w:lang w:val="en-US"/>
        </w:rPr>
        <w:t>.</w:t>
      </w:r>
      <w:r>
        <w:rPr>
          <w:rFonts w:asciiTheme="majorBidi" w:hAnsiTheme="majorBidi" w:cstheme="majorBidi" w:hint="cs"/>
          <w:rtl/>
          <w:lang w:val="en-US" w:bidi="ar-EG"/>
        </w:rPr>
        <w:t>.</w:t>
      </w:r>
      <w:r w:rsidRPr="008F77B9">
        <w:rPr>
          <w:rFonts w:asciiTheme="majorBidi" w:hAnsiTheme="majorBidi" w:cstheme="majorBidi"/>
          <w:lang w:val="en-US"/>
        </w:rPr>
        <w:t xml:space="preserve"> </w:t>
      </w:r>
    </w:p>
  </w:footnote>
  <w:footnote w:id="39">
    <w:p w14:paraId="64EEFD0D"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يتعين </w:t>
      </w:r>
      <w:r>
        <w:rPr>
          <w:rFonts w:asciiTheme="majorBidi" w:hAnsiTheme="majorBidi" w:cstheme="majorBidi" w:hint="cs"/>
          <w:rtl/>
          <w:lang w:bidi="ar-EG"/>
        </w:rPr>
        <w:t>أن تعين كيانات الحصول المباشرة بواسطة السلطات المعنية الوطنية/ نقاط التركيز. ولا يتعين أن تعين السلطات المعنية الوطنية كيانات الحصول الدولية.</w:t>
      </w:r>
    </w:p>
  </w:footnote>
  <w:footnote w:id="40">
    <w:p w14:paraId="3F6ECB37"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تتوافر </w:t>
      </w:r>
      <w:r>
        <w:rPr>
          <w:rFonts w:asciiTheme="majorBidi" w:hAnsiTheme="majorBidi" w:cstheme="majorBidi" w:hint="cs"/>
          <w:rtl/>
          <w:lang w:val="en-US" w:bidi="ar-EG"/>
        </w:rPr>
        <w:t xml:space="preserve">تفاصيل الاعتماد والكيانات في </w:t>
      </w:r>
      <w:r w:rsidRPr="008F77B9">
        <w:rPr>
          <w:rFonts w:asciiTheme="majorBidi" w:hAnsiTheme="majorBidi" w:cstheme="majorBidi"/>
        </w:rPr>
        <w:t xml:space="preserve">at </w:t>
      </w:r>
      <w:hyperlink r:id="rId1" w:history="1">
        <w:r w:rsidRPr="008F77B9">
          <w:rPr>
            <w:rStyle w:val="Hyperlink"/>
            <w:rFonts w:asciiTheme="majorBidi" w:hAnsiTheme="majorBidi" w:cstheme="majorBidi"/>
          </w:rPr>
          <w:t>https://www.greenclimate.fund/about/partners/ae</w:t>
        </w:r>
      </w:hyperlink>
      <w:r w:rsidRPr="008F77B9">
        <w:rPr>
          <w:rFonts w:asciiTheme="majorBidi" w:hAnsiTheme="majorBidi" w:cstheme="majorBidi"/>
        </w:rPr>
        <w:t>.</w:t>
      </w:r>
      <w:r>
        <w:rPr>
          <w:rFonts w:asciiTheme="majorBidi" w:hAnsiTheme="majorBidi" w:cstheme="majorBidi" w:hint="cs"/>
          <w:rtl/>
          <w:lang w:val="en-US" w:bidi="ar-EG"/>
        </w:rPr>
        <w:t>.</w:t>
      </w:r>
    </w:p>
  </w:footnote>
  <w:footnote w:id="41">
    <w:p w14:paraId="1876E19D" w14:textId="77777777" w:rsidR="002D440B" w:rsidRPr="008F77B9" w:rsidRDefault="002D440B" w:rsidP="002D440B">
      <w:pPr>
        <w:pStyle w:val="FootnoteText"/>
        <w:bidi/>
        <w:rPr>
          <w:rFonts w:asciiTheme="majorBidi" w:hAnsiTheme="majorBidi" w:cstheme="majorBidi"/>
          <w:rtl/>
          <w:lang w:bidi="ar-EG"/>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hint="cs"/>
          <w:rtl/>
          <w:lang w:bidi="ar-EG"/>
        </w:rPr>
        <w:t>ال</w:t>
      </w:r>
      <w:r w:rsidRPr="00AA38CC">
        <w:rPr>
          <w:rFonts w:asciiTheme="majorBidi" w:hAnsiTheme="majorBidi"/>
          <w:rtl/>
          <w:lang w:bidi="ar-EG"/>
        </w:rPr>
        <w:t xml:space="preserve">مزيد </w:t>
      </w:r>
      <w:r w:rsidRPr="00AA38CC">
        <w:rPr>
          <w:rFonts w:asciiTheme="majorBidi" w:hAnsiTheme="majorBidi"/>
          <w:rtl/>
          <w:lang w:bidi="ar-EG"/>
        </w:rPr>
        <w:t xml:space="preserve">من التفاصيل المتعلقة بعملية الموافقة على المشروع متاحة على </w:t>
      </w:r>
      <w:r>
        <w:fldChar w:fldCharType="begin"/>
      </w:r>
      <w:r>
        <w:instrText xml:space="preserve"> HYPERLINK "https://www.greenclimate.fund/projects/process" </w:instrText>
      </w:r>
      <w:r>
        <w:fldChar w:fldCharType="separate"/>
      </w:r>
      <w:r w:rsidRPr="007448F1">
        <w:rPr>
          <w:rStyle w:val="Hyperlink"/>
          <w:rFonts w:asciiTheme="majorBidi" w:hAnsiTheme="majorBidi" w:cstheme="majorBidi"/>
        </w:rPr>
        <w:t>https://www.greenclimate.fund/projects/process</w:t>
      </w:r>
      <w:r>
        <w:rPr>
          <w:rStyle w:val="Hyperlink"/>
          <w:rFonts w:asciiTheme="majorBidi" w:hAnsiTheme="majorBidi" w:cstheme="majorBidi"/>
        </w:rPr>
        <w:fldChar w:fldCharType="end"/>
      </w:r>
      <w:r w:rsidRPr="008F77B9">
        <w:rPr>
          <w:rFonts w:asciiTheme="majorBidi" w:hAnsiTheme="majorBidi" w:cstheme="majorBidi"/>
        </w:rPr>
        <w:t>.</w:t>
      </w:r>
    </w:p>
  </w:footnote>
  <w:footnote w:id="42">
    <w:p w14:paraId="23B9F557"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ويمكن للكيانات المعتمدة والكيانات الدولية تقديم مذكرات تفاهم بموجب </w:t>
      </w:r>
      <w:r w:rsidRPr="008F77B9">
        <w:rPr>
          <w:rFonts w:asciiTheme="majorBidi" w:hAnsiTheme="majorBidi" w:cstheme="majorBidi"/>
        </w:rPr>
        <w:t>SAP</w:t>
      </w:r>
      <w:r>
        <w:rPr>
          <w:rFonts w:asciiTheme="majorBidi" w:hAnsiTheme="majorBidi" w:cstheme="majorBidi" w:hint="cs"/>
          <w:rtl/>
        </w:rPr>
        <w:t xml:space="preserve">. ويمكن تقديم مقترحات التمويل بواسطة الكيانات المعتمدة الوطنية. وتتوافر معلومات أخرى عن عملية الموافقة على المشروع في الوثيقة </w:t>
      </w:r>
      <w:r>
        <w:fldChar w:fldCharType="begin"/>
      </w:r>
      <w:r>
        <w:instrText xml:space="preserve"> HYPERLINK "https://www.greenclimate.fund/projects/sap" </w:instrText>
      </w:r>
      <w:r>
        <w:fldChar w:fldCharType="separate"/>
      </w:r>
      <w:r w:rsidRPr="008F77B9">
        <w:rPr>
          <w:rStyle w:val="Hyperlink"/>
          <w:rFonts w:asciiTheme="majorBidi" w:hAnsiTheme="majorBidi" w:cstheme="majorBidi"/>
        </w:rPr>
        <w:t>https://www.greenclimate.fund/projects/sap</w:t>
      </w:r>
      <w:r>
        <w:rPr>
          <w:rStyle w:val="Hyperlink"/>
          <w:rFonts w:asciiTheme="majorBidi" w:hAnsiTheme="majorBidi" w:cstheme="majorBidi"/>
        </w:rPr>
        <w:fldChar w:fldCharType="end"/>
      </w:r>
      <w:r w:rsidRPr="008F77B9">
        <w:rPr>
          <w:rFonts w:asciiTheme="majorBidi" w:hAnsiTheme="majorBidi" w:cstheme="majorBidi"/>
        </w:rPr>
        <w:t>.</w:t>
      </w:r>
      <w:r>
        <w:rPr>
          <w:rFonts w:asciiTheme="majorBidi" w:hAnsiTheme="majorBidi" w:cstheme="majorBidi" w:hint="cs"/>
          <w:rtl/>
        </w:rPr>
        <w:t>.</w:t>
      </w:r>
      <w:r w:rsidRPr="008F77B9">
        <w:rPr>
          <w:rFonts w:asciiTheme="majorBidi" w:hAnsiTheme="majorBidi" w:cstheme="majorBidi"/>
        </w:rPr>
        <w:t xml:space="preserve"> </w:t>
      </w:r>
    </w:p>
  </w:footnote>
  <w:footnote w:id="43">
    <w:p w14:paraId="3005D203"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تتضمن الوثيقة: </w:t>
      </w:r>
      <w:r>
        <w:fldChar w:fldCharType="begin"/>
      </w:r>
      <w:r>
        <w:instrText xml:space="preserve"> HYPERLINK "https://www.greenclimate.fund/projects/sap" </w:instrText>
      </w:r>
      <w:r>
        <w:fldChar w:fldCharType="separate"/>
      </w:r>
      <w:r w:rsidRPr="008F77B9">
        <w:rPr>
          <w:rStyle w:val="Hyperlink"/>
          <w:rFonts w:asciiTheme="majorBidi" w:hAnsiTheme="majorBidi" w:cstheme="majorBidi"/>
        </w:rPr>
        <w:t>https://www.greenclimate.fund/projects/sap</w:t>
      </w:r>
      <w:r>
        <w:rPr>
          <w:rStyle w:val="Hyperlink"/>
          <w:rFonts w:asciiTheme="majorBidi" w:hAnsiTheme="majorBidi" w:cstheme="majorBidi"/>
        </w:rPr>
        <w:fldChar w:fldCharType="end"/>
      </w:r>
      <w:r w:rsidRPr="008F77B9">
        <w:rPr>
          <w:rFonts w:asciiTheme="majorBidi" w:hAnsiTheme="majorBidi" w:cstheme="majorBidi"/>
        </w:rPr>
        <w:t>.</w:t>
      </w:r>
      <w:r>
        <w:rPr>
          <w:rFonts w:asciiTheme="majorBidi" w:hAnsiTheme="majorBidi" w:cstheme="majorBidi" w:hint="cs"/>
          <w:rtl/>
          <w:lang w:val="en-US" w:bidi="ar-EG"/>
        </w:rPr>
        <w:t xml:space="preserve"> تفاصيل أخرى عن العملية.</w:t>
      </w:r>
    </w:p>
  </w:footnote>
  <w:footnote w:id="44">
    <w:p w14:paraId="6A569AE6" w14:textId="77777777" w:rsidR="002D440B" w:rsidRPr="008F77B9" w:rsidRDefault="002D440B" w:rsidP="002D440B">
      <w:pPr>
        <w:pStyle w:val="FootnoteText"/>
        <w:bidi/>
        <w:rPr>
          <w:rFonts w:asciiTheme="majorBidi" w:hAnsiTheme="majorBidi" w:cstheme="majorBidi"/>
          <w:lang w:val="en-US"/>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صندوق </w:t>
      </w:r>
      <w:r>
        <w:rPr>
          <w:rFonts w:asciiTheme="majorBidi" w:hAnsiTheme="majorBidi" w:cstheme="majorBidi" w:hint="cs"/>
          <w:rtl/>
          <w:lang w:bidi="ar-EG"/>
        </w:rPr>
        <w:t>التنمية الأوروبي، وصندوق الضمان للإجراءات الخارجية، واستثمار الشراكة للتعاون مع الأطراف الأخرى والوسائل المساهمة في الاستقرار والسلام، والمؤسسة الأوروبية للديمقراطية وحقوق الإنسان، ومؤسسة التعاون الإنمائي ومؤسسة التعاون الجيراني والإنمائي الدولي.</w:t>
      </w:r>
    </w:p>
  </w:footnote>
  <w:footnote w:id="45">
    <w:p w14:paraId="17815348"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يرد </w:t>
      </w:r>
      <w:r>
        <w:rPr>
          <w:rFonts w:asciiTheme="majorBidi" w:hAnsiTheme="majorBidi" w:cstheme="majorBidi" w:hint="cs"/>
          <w:rtl/>
          <w:lang w:bidi="ar-EG"/>
        </w:rPr>
        <w:t xml:space="preserve">المزيد من التفاصيل عن تطبيق تمويل المشروعات في </w:t>
      </w:r>
      <w:r>
        <w:fldChar w:fldCharType="begin"/>
      </w:r>
      <w:r>
        <w:instrText>HYPERLINK "https://ec.europa.eu/info/funding-tenders/find-funding/eu-funding-programmes_en"</w:instrText>
      </w:r>
      <w:r>
        <w:fldChar w:fldCharType="separate"/>
      </w:r>
      <w:r w:rsidRPr="007448F1">
        <w:rPr>
          <w:rStyle w:val="Hyperlink"/>
          <w:rFonts w:asciiTheme="majorBidi" w:hAnsiTheme="majorBidi" w:cstheme="majorBidi"/>
        </w:rPr>
        <w:t>https://ec.europa.eu/info/funding-tenders/find-funding/eu-funding-programmes_en</w:t>
      </w:r>
      <w:r>
        <w:fldChar w:fldCharType="end"/>
      </w:r>
      <w:r w:rsidRPr="008F77B9">
        <w:rPr>
          <w:rFonts w:asciiTheme="majorBidi" w:hAnsiTheme="majorBidi" w:cstheme="majorBidi"/>
        </w:rPr>
        <w:t>.</w:t>
      </w:r>
      <w:r>
        <w:rPr>
          <w:rFonts w:asciiTheme="majorBidi" w:hAnsiTheme="majorBidi" w:cstheme="majorBidi" w:hint="cs"/>
          <w:rtl/>
          <w:lang w:bidi="ar-EG"/>
        </w:rPr>
        <w:t>.</w:t>
      </w:r>
    </w:p>
  </w:footnote>
  <w:footnote w:id="46">
    <w:p w14:paraId="5764AFF2"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يرد </w:t>
      </w:r>
      <w:r>
        <w:rPr>
          <w:rFonts w:asciiTheme="majorBidi" w:hAnsiTheme="majorBidi" w:cstheme="majorBidi" w:hint="cs"/>
          <w:rtl/>
          <w:lang w:val="en-US" w:bidi="ar-EG"/>
        </w:rPr>
        <w:t>تصنيف البلدان الأعضاء من البلدان النامية الرابط التالي من السياسات والإجراءات (القسم ألف 1) تصنيف وخروج بلدان الدول الأعضاء (مصرف التنمية الآسيوي).</w:t>
      </w:r>
    </w:p>
  </w:footnote>
  <w:footnote w:id="47">
    <w:p w14:paraId="4CBEB8FF"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توفر </w:t>
      </w:r>
      <w:r>
        <w:rPr>
          <w:rFonts w:asciiTheme="majorBidi" w:hAnsiTheme="majorBidi" w:cstheme="majorBidi" w:hint="cs"/>
          <w:rtl/>
          <w:lang w:val="en-US" w:bidi="ar-EG"/>
        </w:rPr>
        <w:t>استراتيجية الشراكة القطرية في مصرف التنمية الآسيوي الإطار لمشاركة المصرف مع البلدان اعضاء النامية.</w:t>
      </w:r>
    </w:p>
  </w:footnote>
  <w:footnote w:id="48">
    <w:p w14:paraId="4BCBDF8F"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تحدد مجموعة مصرف التنمية الأفريقي المشروعات النوعية والوارد التي ستكون ضرورية لتنفيذها في غضوت ثلاث سنوات.</w:t>
      </w:r>
    </w:p>
  </w:footnote>
  <w:footnote w:id="49">
    <w:p w14:paraId="674C5161"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ترد </w:t>
      </w:r>
      <w:r>
        <w:rPr>
          <w:rFonts w:asciiTheme="majorBidi" w:hAnsiTheme="majorBidi" w:cstheme="majorBidi" w:hint="cs"/>
          <w:rtl/>
          <w:lang w:val="en-US" w:bidi="ar-EG"/>
        </w:rPr>
        <w:t xml:space="preserve">التفاصيل المتعلقة بكيفية العمل مع خلال الرابطة التالية: </w:t>
      </w:r>
      <w:r>
        <w:fldChar w:fldCharType="begin"/>
      </w:r>
      <w:r>
        <w:instrText xml:space="preserve"> HYPERLINK "https://www.adb.org/business/how-to/government-wants-cofinance-how-can-i-find-appropriate-projects" </w:instrText>
      </w:r>
      <w:r>
        <w:fldChar w:fldCharType="separate"/>
      </w:r>
      <w:r w:rsidRPr="008F77B9">
        <w:rPr>
          <w:rStyle w:val="Hyperlink"/>
          <w:rFonts w:asciiTheme="majorBidi" w:hAnsiTheme="majorBidi" w:cstheme="majorBidi"/>
        </w:rPr>
        <w:t>https://www.adb.org/business/how-to/government-wants-cofinance-how-can-i-find-appropriate-projects</w:t>
      </w:r>
      <w:r>
        <w:rPr>
          <w:rStyle w:val="Hyperlink"/>
          <w:rFonts w:asciiTheme="majorBidi" w:hAnsiTheme="majorBidi" w:cstheme="majorBidi"/>
        </w:rPr>
        <w:fldChar w:fldCharType="end"/>
      </w:r>
      <w:r>
        <w:rPr>
          <w:rFonts w:asciiTheme="majorBidi" w:hAnsiTheme="majorBidi" w:cstheme="majorBidi" w:hint="cs"/>
          <w:rtl/>
          <w:lang w:val="en-US" w:bidi="ar-EG"/>
        </w:rPr>
        <w:t>.</w:t>
      </w:r>
      <w:r w:rsidRPr="008F77B9">
        <w:rPr>
          <w:rFonts w:asciiTheme="majorBidi" w:hAnsiTheme="majorBidi" w:cstheme="majorBidi"/>
        </w:rPr>
        <w:t xml:space="preserve"> </w:t>
      </w:r>
    </w:p>
  </w:footnote>
  <w:footnote w:id="50">
    <w:p w14:paraId="75DAEDAC"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تتوافر </w:t>
      </w:r>
      <w:r>
        <w:rPr>
          <w:rFonts w:asciiTheme="majorBidi" w:hAnsiTheme="majorBidi" w:cstheme="majorBidi" w:hint="cs"/>
          <w:rtl/>
          <w:lang w:val="en-US" w:bidi="ar-EG"/>
        </w:rPr>
        <w:t xml:space="preserve">قائمة البلدان النامية في </w:t>
      </w:r>
      <w:r>
        <w:fldChar w:fldCharType="begin"/>
      </w:r>
      <w:r>
        <w:instrText>HYPERLINK "https://www.afdb.org/en/countries"</w:instrText>
      </w:r>
      <w:r>
        <w:fldChar w:fldCharType="separate"/>
      </w:r>
      <w:r w:rsidRPr="008F77B9">
        <w:rPr>
          <w:rStyle w:val="Hyperlink"/>
          <w:rFonts w:asciiTheme="majorBidi" w:hAnsiTheme="majorBidi" w:cstheme="majorBidi"/>
        </w:rPr>
        <w:t>https://www.afdb.org/en/countries</w:t>
      </w:r>
      <w:r>
        <w:fldChar w:fldCharType="end"/>
      </w:r>
      <w:r>
        <w:rPr>
          <w:rFonts w:asciiTheme="majorBidi" w:hAnsiTheme="majorBidi" w:cstheme="majorBidi" w:hint="cs"/>
          <w:rtl/>
          <w:lang w:val="en-US" w:bidi="ar-EG"/>
        </w:rPr>
        <w:t>.</w:t>
      </w:r>
    </w:p>
  </w:footnote>
  <w:footnote w:id="51">
    <w:p w14:paraId="6ADCCDDA"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صندوق </w:t>
      </w:r>
      <w:r>
        <w:rPr>
          <w:rFonts w:asciiTheme="majorBidi" w:hAnsiTheme="majorBidi" w:cstheme="majorBidi" w:hint="cs"/>
          <w:rtl/>
          <w:lang w:bidi="ar-EG"/>
        </w:rPr>
        <w:t>الطاقة المستدامة عبارة عن صندوق خاص متعدد الجهات المانحة ويديره مصرف التنمية الأفريقي. ويوفر تمويل تحفيزي لإفساح المجال لاستثمارات القطاع الخاص في الطاقة المتجددة وكفاءة استخدام الطاقة.</w:t>
      </w:r>
    </w:p>
  </w:footnote>
  <w:footnote w:id="52">
    <w:p w14:paraId="33D21377"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bidi="ar-EG"/>
        </w:rPr>
        <w:t xml:space="preserve"> </w:t>
      </w:r>
      <w:r w:rsidRPr="00EF35DA">
        <w:rPr>
          <w:rFonts w:asciiTheme="majorBidi" w:hAnsiTheme="majorBidi"/>
          <w:sz w:val="20"/>
          <w:rtl/>
          <w:lang w:bidi="ar-EG"/>
        </w:rPr>
        <w:t xml:space="preserve">إعطاء </w:t>
      </w:r>
      <w:r>
        <w:rPr>
          <w:rFonts w:asciiTheme="majorBidi" w:hAnsiTheme="majorBidi" w:hint="cs"/>
          <w:sz w:val="20"/>
          <w:rtl/>
          <w:lang w:bidi="ar-EG"/>
        </w:rPr>
        <w:t>نظرة</w:t>
      </w:r>
      <w:r w:rsidRPr="00EF35DA">
        <w:rPr>
          <w:rFonts w:asciiTheme="majorBidi" w:hAnsiTheme="majorBidi"/>
          <w:sz w:val="20"/>
          <w:rtl/>
          <w:lang w:bidi="ar-EG"/>
        </w:rPr>
        <w:t xml:space="preserve"> عامة عن عملية تطوير المشروع من خلال الرابط التالي:</w:t>
      </w:r>
      <w:r>
        <w:rPr>
          <w:rFonts w:asciiTheme="majorBidi" w:hAnsiTheme="majorBidi" w:cstheme="majorBidi" w:hint="cs"/>
          <w:sz w:val="20"/>
          <w:rtl/>
          <w:lang w:bidi="ar-EG"/>
        </w:rPr>
        <w:t xml:space="preserve"> </w:t>
      </w:r>
      <w:hyperlink r:id="rId2" w:history="1">
        <w:r w:rsidRPr="008F77B9">
          <w:rPr>
            <w:rStyle w:val="Hyperlink"/>
            <w:rFonts w:asciiTheme="majorBidi" w:hAnsiTheme="majorBidi" w:cstheme="majorBidi"/>
            <w:sz w:val="20"/>
          </w:rPr>
          <w:t>https://www.afdb.org/en/projects-and-operations/project-cycle</w:t>
        </w:r>
      </w:hyperlink>
      <w:r w:rsidRPr="008F77B9">
        <w:rPr>
          <w:rFonts w:asciiTheme="majorBidi" w:hAnsiTheme="majorBidi" w:cstheme="majorBidi"/>
          <w:sz w:val="20"/>
        </w:rPr>
        <w:t>.</w:t>
      </w:r>
      <w:r>
        <w:rPr>
          <w:rFonts w:asciiTheme="majorBidi" w:hAnsiTheme="majorBidi" w:cstheme="majorBidi" w:hint="cs"/>
          <w:sz w:val="20"/>
          <w:rtl/>
          <w:lang w:bidi="ar-EG"/>
        </w:rPr>
        <w:t>.</w:t>
      </w:r>
    </w:p>
  </w:footnote>
  <w:footnote w:id="53">
    <w:p w14:paraId="1D418C08"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يهدف الاستثمار الى أن يكون شريك ولاختيار للقطاع الخاص في بلدان أمريكيا اللاتينية وتقوم بتمويل المشروعات للطاقة النظيفة المتقدمة وتحديث الزراعة وتعزيز شبكات النقل.</w:t>
      </w:r>
      <w:r w:rsidRPr="008F77B9">
        <w:rPr>
          <w:rFonts w:asciiTheme="majorBidi" w:hAnsiTheme="majorBidi" w:cstheme="majorBidi"/>
        </w:rPr>
        <w:t xml:space="preserve"> </w:t>
      </w:r>
    </w:p>
  </w:footnote>
  <w:footnote w:id="54">
    <w:p w14:paraId="76A5D38A"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val="en-US" w:bidi="ar-EG"/>
        </w:rPr>
        <w:t xml:space="preserve"> </w:t>
      </w:r>
      <w:r>
        <w:rPr>
          <w:rFonts w:asciiTheme="majorBidi" w:hAnsiTheme="majorBidi" w:cstheme="majorBidi" w:hint="cs"/>
          <w:sz w:val="20"/>
          <w:rtl/>
          <w:lang w:val="en-US" w:bidi="ar-EG"/>
        </w:rPr>
        <w:t xml:space="preserve">يتوافر </w:t>
      </w:r>
      <w:r>
        <w:rPr>
          <w:rFonts w:asciiTheme="majorBidi" w:hAnsiTheme="majorBidi" w:cstheme="majorBidi" w:hint="cs"/>
          <w:sz w:val="20"/>
          <w:rtl/>
          <w:lang w:val="en-US" w:bidi="ar-EG"/>
        </w:rPr>
        <w:t xml:space="preserve">المزيد من التفاصيل عن إعداد المشروعات وتنفيذها في </w:t>
      </w:r>
      <w:r>
        <w:fldChar w:fldCharType="begin"/>
      </w:r>
      <w:r>
        <w:instrText xml:space="preserve"> HYPERLINK "https://www.iadb.org/en/how-projects-are-made/how-projects-are-made" </w:instrText>
      </w:r>
      <w:r>
        <w:fldChar w:fldCharType="separate"/>
      </w:r>
      <w:r w:rsidRPr="008F77B9">
        <w:rPr>
          <w:rStyle w:val="Hyperlink"/>
          <w:rFonts w:asciiTheme="majorBidi" w:hAnsiTheme="majorBidi" w:cstheme="majorBidi"/>
          <w:sz w:val="20"/>
        </w:rPr>
        <w:t>https://www.iadb.org/en/how-projects-are-made/how-projects-are-made</w:t>
      </w:r>
      <w:r>
        <w:rPr>
          <w:rStyle w:val="Hyperlink"/>
          <w:rFonts w:asciiTheme="majorBidi" w:hAnsiTheme="majorBidi" w:cstheme="majorBidi"/>
          <w:sz w:val="20"/>
        </w:rPr>
        <w:fldChar w:fldCharType="end"/>
      </w:r>
      <w:r w:rsidRPr="008F77B9">
        <w:rPr>
          <w:rFonts w:asciiTheme="majorBidi" w:hAnsiTheme="majorBidi" w:cstheme="majorBidi"/>
          <w:sz w:val="20"/>
        </w:rPr>
        <w:t>.</w:t>
      </w:r>
      <w:r>
        <w:rPr>
          <w:rFonts w:asciiTheme="majorBidi" w:hAnsiTheme="majorBidi" w:cstheme="majorBidi" w:hint="cs"/>
          <w:sz w:val="20"/>
          <w:rtl/>
          <w:lang w:val="en-US" w:bidi="ar-EG"/>
        </w:rPr>
        <w:t>.</w:t>
      </w:r>
    </w:p>
  </w:footnote>
  <w:footnote w:id="55">
    <w:p w14:paraId="52B13DA8"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ويتوافر </w:t>
      </w:r>
      <w:r>
        <w:rPr>
          <w:rFonts w:asciiTheme="majorBidi" w:hAnsiTheme="majorBidi" w:cstheme="majorBidi" w:hint="cs"/>
          <w:rtl/>
          <w:lang w:val="en-US" w:bidi="ar-EG"/>
        </w:rPr>
        <w:t xml:space="preserve">المزيد من التفاصيل عن المصادر المالية في </w:t>
      </w:r>
      <w:r>
        <w:fldChar w:fldCharType="begin"/>
      </w:r>
      <w:r>
        <w:instrText xml:space="preserve"> HYPERLINK "https://www.idbinvest.org/en/solutions" </w:instrText>
      </w:r>
      <w:r>
        <w:fldChar w:fldCharType="separate"/>
      </w:r>
      <w:r w:rsidRPr="008F77B9">
        <w:rPr>
          <w:rStyle w:val="Hyperlink"/>
          <w:rFonts w:asciiTheme="majorBidi" w:hAnsiTheme="majorBidi" w:cstheme="majorBidi"/>
        </w:rPr>
        <w:t>https://www.idbinvest.org/en/solutions</w:t>
      </w:r>
      <w:r>
        <w:rPr>
          <w:rStyle w:val="Hyperlink"/>
          <w:rFonts w:asciiTheme="majorBidi" w:hAnsiTheme="majorBidi" w:cstheme="majorBidi"/>
        </w:rPr>
        <w:fldChar w:fldCharType="end"/>
      </w:r>
      <w:r w:rsidRPr="008F77B9">
        <w:rPr>
          <w:rFonts w:asciiTheme="majorBidi" w:hAnsiTheme="majorBidi" w:cstheme="majorBidi"/>
        </w:rPr>
        <w:t>.</w:t>
      </w:r>
      <w:r>
        <w:rPr>
          <w:rFonts w:asciiTheme="majorBidi" w:hAnsiTheme="majorBidi" w:cstheme="majorBidi" w:hint="cs"/>
          <w:rtl/>
          <w:lang w:val="en-US" w:bidi="ar-EG"/>
        </w:rPr>
        <w:t xml:space="preserve"> ويتوفر الرابط التالي مزيدا من المعلومات عن استثمارات مصرف التنمية للبلدان الأمريكية </w:t>
      </w:r>
      <w:r>
        <w:fldChar w:fldCharType="begin"/>
      </w:r>
      <w:r>
        <w:instrText xml:space="preserve"> HYPERLINK "https://www.idbinvest.org/en/about-us" </w:instrText>
      </w:r>
      <w:r>
        <w:fldChar w:fldCharType="separate"/>
      </w:r>
      <w:r w:rsidRPr="008F77B9">
        <w:rPr>
          <w:rStyle w:val="Hyperlink"/>
          <w:rFonts w:asciiTheme="majorBidi" w:hAnsiTheme="majorBidi" w:cstheme="majorBidi"/>
        </w:rPr>
        <w:t>https://www.idbinvest.org/en/about-us</w:t>
      </w:r>
      <w:r>
        <w:rPr>
          <w:rStyle w:val="Hyperlink"/>
          <w:rFonts w:asciiTheme="majorBidi" w:hAnsiTheme="majorBidi" w:cstheme="majorBidi"/>
        </w:rPr>
        <w:fldChar w:fldCharType="end"/>
      </w:r>
      <w:r>
        <w:rPr>
          <w:rFonts w:asciiTheme="majorBidi" w:hAnsiTheme="majorBidi" w:cstheme="majorBidi" w:hint="cs"/>
          <w:rtl/>
          <w:lang w:val="en-US" w:bidi="ar-EG"/>
        </w:rPr>
        <w:t>.</w:t>
      </w:r>
      <w:r w:rsidRPr="008F77B9">
        <w:rPr>
          <w:rFonts w:asciiTheme="majorBidi" w:hAnsiTheme="majorBidi" w:cstheme="majorBidi"/>
        </w:rPr>
        <w:t xml:space="preserve"> </w:t>
      </w:r>
    </w:p>
  </w:footnote>
  <w:footnote w:id="56">
    <w:p w14:paraId="74973EDA"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يمكن </w:t>
      </w:r>
      <w:r>
        <w:rPr>
          <w:rFonts w:asciiTheme="majorBidi" w:hAnsiTheme="majorBidi" w:cstheme="majorBidi" w:hint="cs"/>
          <w:rtl/>
          <w:lang w:bidi="ar-EG"/>
        </w:rPr>
        <w:t xml:space="preserve">الاطلاع على موجز للمنتجات والخدمات التي يقدمها البنك في </w:t>
      </w:r>
      <w:r>
        <w:fldChar w:fldCharType="begin"/>
      </w:r>
      <w:r>
        <w:instrText xml:space="preserve"> HYPERLINK "https://www.worldbank.org/en/what-we-do/products-and-services" </w:instrText>
      </w:r>
      <w:r>
        <w:fldChar w:fldCharType="separate"/>
      </w:r>
      <w:r w:rsidRPr="008F77B9">
        <w:rPr>
          <w:rStyle w:val="Hyperlink"/>
          <w:rFonts w:asciiTheme="majorBidi" w:hAnsiTheme="majorBidi" w:cstheme="majorBidi"/>
        </w:rPr>
        <w:t>https://www.worldbank.org/en/what-we-do/products-and-services</w:t>
      </w:r>
      <w:r>
        <w:rPr>
          <w:rStyle w:val="Hyperlink"/>
          <w:rFonts w:asciiTheme="majorBidi" w:hAnsiTheme="majorBidi" w:cstheme="majorBidi"/>
        </w:rPr>
        <w:fldChar w:fldCharType="end"/>
      </w:r>
      <w:r w:rsidRPr="008F77B9">
        <w:rPr>
          <w:rFonts w:asciiTheme="majorBidi" w:hAnsiTheme="majorBidi" w:cstheme="majorBidi"/>
        </w:rPr>
        <w:t>.</w:t>
      </w:r>
    </w:p>
  </w:footnote>
  <w:footnote w:id="57">
    <w:p w14:paraId="695335D1"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تمول بعض مشروعات كفاءة استخدام الطاقة بموارد من المنح فقط التي تقدمها جهات مانحة أخرى مثل </w:t>
      </w:r>
      <w:r w:rsidRPr="008F77B9">
        <w:rPr>
          <w:rFonts w:asciiTheme="majorBidi" w:hAnsiTheme="majorBidi" w:cstheme="majorBidi"/>
        </w:rPr>
        <w:t>TFs</w:t>
      </w:r>
      <w:r>
        <w:rPr>
          <w:rFonts w:asciiTheme="majorBidi" w:hAnsiTheme="majorBidi" w:cstheme="majorBidi" w:hint="cs"/>
          <w:rtl/>
          <w:lang w:val="en-US" w:bidi="ar-EG"/>
        </w:rPr>
        <w:t xml:space="preserve"> وغيرها مثل مرفق البيئة العالمية.</w:t>
      </w:r>
    </w:p>
  </w:footnote>
  <w:footnote w:id="58">
    <w:p w14:paraId="3844803F" w14:textId="77777777" w:rsidR="002D440B" w:rsidRPr="008F77B9" w:rsidRDefault="002D440B" w:rsidP="002D440B">
      <w:pPr>
        <w:pStyle w:val="FootnoteText"/>
        <w:bidi/>
        <w:rPr>
          <w:rFonts w:asciiTheme="majorBidi" w:hAnsiTheme="majorBidi" w:cstheme="majorBidi"/>
          <w:rtl/>
          <w:lang w:bidi="ar-EG"/>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hyperlink r:id="rId3" w:history="1">
        <w:r w:rsidRPr="008F77B9">
          <w:rPr>
            <w:rStyle w:val="Hyperlink"/>
            <w:rFonts w:asciiTheme="majorBidi" w:hAnsiTheme="majorBidi" w:cstheme="majorBidi"/>
          </w:rPr>
          <w:t>https://policies.worldbank.org/en/policies</w:t>
        </w:r>
      </w:hyperlink>
      <w:r>
        <w:rPr>
          <w:rFonts w:asciiTheme="majorBidi" w:hAnsiTheme="majorBidi" w:cstheme="majorBidi" w:hint="cs"/>
          <w:rtl/>
          <w:lang w:bidi="ar-EG"/>
        </w:rPr>
        <w:t>.</w:t>
      </w:r>
    </w:p>
  </w:footnote>
  <w:footnote w:id="59">
    <w:p w14:paraId="36F8CB40"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bidi="ar-EG"/>
        </w:rPr>
        <w:t xml:space="preserve"> </w:t>
      </w:r>
      <w:r>
        <w:rPr>
          <w:rFonts w:asciiTheme="majorBidi" w:hAnsiTheme="majorBidi" w:cstheme="majorBidi" w:hint="cs"/>
          <w:sz w:val="20"/>
          <w:rtl/>
          <w:lang w:bidi="ar-EG"/>
        </w:rPr>
        <w:t xml:space="preserve">يقدم </w:t>
      </w:r>
      <w:r>
        <w:rPr>
          <w:rFonts w:asciiTheme="majorBidi" w:hAnsiTheme="majorBidi" w:cstheme="majorBidi" w:hint="cs"/>
          <w:sz w:val="20"/>
          <w:rtl/>
          <w:lang w:bidi="ar-EG"/>
        </w:rPr>
        <w:t xml:space="preserve">الموقع التالي معلومات عن مختلف مصادر التمويل المستدامة في وكالة التنمية الفرنسية </w:t>
      </w:r>
      <w:r>
        <w:fldChar w:fldCharType="begin"/>
      </w:r>
      <w:r>
        <w:instrText xml:space="preserve"> HYPERLINK "https://www.afd.fr/fr/financer-les-projets" </w:instrText>
      </w:r>
      <w:r>
        <w:fldChar w:fldCharType="separate"/>
      </w:r>
      <w:r w:rsidRPr="008F77B9">
        <w:rPr>
          <w:rStyle w:val="Hyperlink"/>
          <w:rFonts w:asciiTheme="majorBidi" w:hAnsiTheme="majorBidi" w:cstheme="majorBidi"/>
          <w:sz w:val="20"/>
        </w:rPr>
        <w:t>https://www.afd.fr/fr/financer-les-projets</w:t>
      </w:r>
      <w:r>
        <w:rPr>
          <w:rStyle w:val="Hyperlink"/>
          <w:rFonts w:asciiTheme="majorBidi" w:hAnsiTheme="majorBidi" w:cstheme="majorBidi"/>
          <w:sz w:val="20"/>
        </w:rPr>
        <w:fldChar w:fldCharType="end"/>
      </w:r>
      <w:r w:rsidRPr="008F77B9">
        <w:rPr>
          <w:rStyle w:val="Hyperlink"/>
          <w:rFonts w:asciiTheme="majorBidi" w:hAnsiTheme="majorBidi" w:cstheme="majorBidi"/>
          <w:sz w:val="20"/>
        </w:rPr>
        <w:t>.</w:t>
      </w:r>
      <w:r>
        <w:rPr>
          <w:rFonts w:asciiTheme="majorBidi" w:hAnsiTheme="majorBidi" w:cstheme="majorBidi" w:hint="cs"/>
          <w:sz w:val="20"/>
          <w:rtl/>
          <w:lang w:bidi="ar-EG"/>
        </w:rPr>
        <w:t>.</w:t>
      </w:r>
    </w:p>
  </w:footnote>
  <w:footnote w:id="60">
    <w:p w14:paraId="019A3257" w14:textId="77777777" w:rsidR="002D440B" w:rsidRPr="008F77B9" w:rsidRDefault="002D440B" w:rsidP="002D440B">
      <w:pPr>
        <w:pStyle w:val="Heading1"/>
        <w:numPr>
          <w:ilvl w:val="0"/>
          <w:numId w:val="0"/>
        </w:numPr>
        <w:bidi/>
        <w:spacing w:after="0"/>
        <w:jc w:val="left"/>
        <w:rPr>
          <w:rFonts w:asciiTheme="majorBidi" w:hAnsiTheme="majorBidi" w:cstheme="majorBidi"/>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bidi="ar-EG"/>
        </w:rPr>
        <w:t xml:space="preserve"> </w:t>
      </w:r>
      <w:r>
        <w:rPr>
          <w:rFonts w:asciiTheme="majorBidi" w:hAnsiTheme="majorBidi" w:cstheme="majorBidi" w:hint="cs"/>
          <w:sz w:val="20"/>
          <w:rtl/>
          <w:lang w:bidi="ar-EG"/>
        </w:rPr>
        <w:t xml:space="preserve">ترد </w:t>
      </w:r>
      <w:r>
        <w:rPr>
          <w:rFonts w:asciiTheme="majorBidi" w:hAnsiTheme="majorBidi" w:cstheme="majorBidi" w:hint="cs"/>
          <w:sz w:val="20"/>
          <w:rtl/>
          <w:lang w:bidi="ar-EG"/>
        </w:rPr>
        <w:t xml:space="preserve">تفاصيل معايير كفاءة استخدام الطاقة في المباني في الرابطة التالية: </w:t>
      </w:r>
      <w:hyperlink r:id="rId4" w:history="1">
        <w:r w:rsidRPr="008F77B9">
          <w:rPr>
            <w:rStyle w:val="Hyperlink"/>
            <w:rFonts w:asciiTheme="majorBidi" w:hAnsiTheme="majorBidi" w:cstheme="majorBidi"/>
            <w:sz w:val="20"/>
          </w:rPr>
          <w:t>https://www.peeb.build/imglib/downloads/PEEB_criteria_june%202019.pdf</w:t>
        </w:r>
      </w:hyperlink>
      <w:r>
        <w:rPr>
          <w:rFonts w:asciiTheme="majorBidi" w:hAnsiTheme="majorBidi" w:cstheme="majorBidi" w:hint="cs"/>
          <w:sz w:val="20"/>
          <w:rtl/>
          <w:lang w:bidi="ar-EG"/>
        </w:rPr>
        <w:t>.</w:t>
      </w:r>
      <w:r w:rsidRPr="008F77B9">
        <w:rPr>
          <w:rFonts w:asciiTheme="majorBidi" w:hAnsiTheme="majorBidi" w:cstheme="majorBidi"/>
        </w:rPr>
        <w:t xml:space="preserve"> </w:t>
      </w:r>
    </w:p>
  </w:footnote>
  <w:footnote w:id="61">
    <w:p w14:paraId="1389F027"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sidRPr="00EF35DA">
        <w:rPr>
          <w:rFonts w:asciiTheme="majorBidi" w:hAnsiTheme="majorBidi"/>
          <w:rtl/>
          <w:lang w:bidi="ar-EG"/>
        </w:rPr>
        <w:t xml:space="preserve">يمكن </w:t>
      </w:r>
      <w:r w:rsidRPr="00EF35DA">
        <w:rPr>
          <w:rFonts w:asciiTheme="majorBidi" w:hAnsiTheme="majorBidi"/>
          <w:rtl/>
          <w:lang w:bidi="ar-EG"/>
        </w:rPr>
        <w:t>الحصول على تفاصيل عملية تقييم المشروع المكونة من ست خطوات من خلال الرابط التالي:</w:t>
      </w:r>
      <w:r>
        <w:rPr>
          <w:rFonts w:asciiTheme="majorBidi" w:hAnsiTheme="majorBidi" w:hint="cs"/>
          <w:rtl/>
          <w:lang w:bidi="ar-EG"/>
        </w:rPr>
        <w:t xml:space="preserve"> </w:t>
      </w:r>
      <w:hyperlink r:id="rId5" w:history="1">
        <w:r w:rsidRPr="008F77B9">
          <w:rPr>
            <w:rStyle w:val="Hyperlink"/>
            <w:rFonts w:asciiTheme="majorBidi" w:hAnsiTheme="majorBidi" w:cstheme="majorBidi"/>
          </w:rPr>
          <w:t>https://www.sunref.org/en/sunref-2/submit-a-project/</w:t>
        </w:r>
      </w:hyperlink>
      <w:r>
        <w:rPr>
          <w:rFonts w:asciiTheme="majorBidi" w:hAnsiTheme="majorBidi" w:hint="cs"/>
          <w:rtl/>
          <w:lang w:bidi="ar-EG"/>
        </w:rPr>
        <w:t>.</w:t>
      </w:r>
    </w:p>
  </w:footnote>
  <w:footnote w:id="62">
    <w:p w14:paraId="2DCEB2A8"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ترد </w:t>
      </w:r>
      <w:r>
        <w:rPr>
          <w:rFonts w:asciiTheme="majorBidi" w:hAnsiTheme="majorBidi" w:cstheme="majorBidi" w:hint="cs"/>
          <w:rtl/>
          <w:lang w:val="en-US" w:bidi="ar-EG"/>
        </w:rPr>
        <w:t xml:space="preserve">المعلومات في </w:t>
      </w:r>
      <w:r>
        <w:fldChar w:fldCharType="begin"/>
      </w:r>
      <w:r>
        <w:instrText xml:space="preserve"> HYPERLINK "https://www.ffem.fr/en/call-project-proposals-sustainable-refrigeration-and-air-conditioning" </w:instrText>
      </w:r>
      <w:r>
        <w:fldChar w:fldCharType="separate"/>
      </w:r>
      <w:r w:rsidRPr="008F77B9">
        <w:rPr>
          <w:rStyle w:val="Hyperlink"/>
          <w:rFonts w:asciiTheme="majorBidi" w:hAnsiTheme="majorBidi" w:cstheme="majorBidi"/>
        </w:rPr>
        <w:t>https://www.ffem.fr/en/call-project-proposals-sustainable-refrigeration-and-air-conditioning</w:t>
      </w:r>
      <w:r>
        <w:rPr>
          <w:rStyle w:val="Hyperlink"/>
          <w:rFonts w:asciiTheme="majorBidi" w:hAnsiTheme="majorBidi" w:cstheme="majorBidi"/>
        </w:rPr>
        <w:fldChar w:fldCharType="end"/>
      </w:r>
      <w:r w:rsidRPr="008F77B9">
        <w:rPr>
          <w:rFonts w:asciiTheme="majorBidi" w:hAnsiTheme="majorBidi" w:cstheme="majorBidi"/>
        </w:rPr>
        <w:t>.</w:t>
      </w:r>
      <w:r>
        <w:rPr>
          <w:rFonts w:asciiTheme="majorBidi" w:hAnsiTheme="majorBidi" w:cstheme="majorBidi" w:hint="cs"/>
          <w:rtl/>
          <w:lang w:val="en-US" w:bidi="ar-EG"/>
        </w:rPr>
        <w:t>.</w:t>
      </w:r>
    </w:p>
  </w:footnote>
  <w:footnote w:id="63">
    <w:p w14:paraId="6DA895A2"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val="en-US" w:bidi="ar-EG"/>
        </w:rPr>
        <w:t xml:space="preserve"> </w:t>
      </w:r>
      <w:r>
        <w:rPr>
          <w:rFonts w:asciiTheme="majorBidi" w:hAnsiTheme="majorBidi" w:cstheme="majorBidi" w:hint="cs"/>
          <w:sz w:val="20"/>
          <w:rtl/>
          <w:lang w:val="en-US" w:bidi="ar-EG"/>
        </w:rPr>
        <w:t xml:space="preserve">تحدد </w:t>
      </w:r>
      <w:r>
        <w:rPr>
          <w:rFonts w:asciiTheme="majorBidi" w:hAnsiTheme="majorBidi" w:cstheme="majorBidi" w:hint="cs"/>
          <w:sz w:val="20"/>
          <w:rtl/>
          <w:lang w:val="en-US" w:bidi="ar-EG"/>
        </w:rPr>
        <w:t xml:space="preserve">إجراءات تقديم المشروع في دورة المشروع من خلال الرابط التالي </w:t>
      </w:r>
      <w:r>
        <w:fldChar w:fldCharType="begin"/>
      </w:r>
      <w:r>
        <w:instrText xml:space="preserve"> HYPERLINK "https://www.ffem.fr/en/submit-project" </w:instrText>
      </w:r>
      <w:r>
        <w:fldChar w:fldCharType="separate"/>
      </w:r>
      <w:r w:rsidRPr="008F77B9">
        <w:rPr>
          <w:rStyle w:val="Hyperlink"/>
          <w:rFonts w:asciiTheme="majorBidi" w:hAnsiTheme="majorBidi" w:cstheme="majorBidi"/>
          <w:sz w:val="20"/>
        </w:rPr>
        <w:t>https://www.ffem.fr/en/submit-project</w:t>
      </w:r>
      <w:r>
        <w:rPr>
          <w:rStyle w:val="Hyperlink"/>
          <w:rFonts w:asciiTheme="majorBidi" w:hAnsiTheme="majorBidi" w:cstheme="majorBidi"/>
          <w:sz w:val="20"/>
        </w:rPr>
        <w:fldChar w:fldCharType="end"/>
      </w:r>
      <w:r w:rsidRPr="008F77B9">
        <w:rPr>
          <w:rFonts w:asciiTheme="majorBidi" w:hAnsiTheme="majorBidi" w:cstheme="majorBidi"/>
          <w:sz w:val="20"/>
        </w:rPr>
        <w:t xml:space="preserve">.  </w:t>
      </w:r>
      <w:r>
        <w:rPr>
          <w:rFonts w:asciiTheme="majorBidi" w:hAnsiTheme="majorBidi" w:cstheme="majorBidi" w:hint="cs"/>
          <w:sz w:val="20"/>
          <w:rtl/>
          <w:lang w:val="en-US" w:bidi="ar-EG"/>
        </w:rPr>
        <w:t>.</w:t>
      </w:r>
      <w:r w:rsidRPr="008F77B9">
        <w:rPr>
          <w:rFonts w:asciiTheme="majorBidi" w:hAnsiTheme="majorBidi" w:cstheme="majorBidi"/>
          <w:sz w:val="20"/>
        </w:rPr>
        <w:t xml:space="preserve"> </w:t>
      </w:r>
    </w:p>
    <w:p w14:paraId="77814BB1" w14:textId="77777777" w:rsidR="002D440B" w:rsidRPr="008F77B9" w:rsidRDefault="002D440B" w:rsidP="002D440B">
      <w:pPr>
        <w:pStyle w:val="FootnoteText"/>
        <w:bidi/>
        <w:rPr>
          <w:rFonts w:asciiTheme="majorBidi" w:hAnsiTheme="majorBidi" w:cstheme="majorBidi"/>
        </w:rPr>
      </w:pPr>
    </w:p>
  </w:footnote>
  <w:footnote w:id="64">
    <w:p w14:paraId="3641B3D2" w14:textId="77777777" w:rsidR="002D440B" w:rsidRPr="008F77B9" w:rsidRDefault="002D440B" w:rsidP="002D440B">
      <w:pPr>
        <w:pStyle w:val="FootnoteText"/>
        <w:bidi/>
        <w:rPr>
          <w:rFonts w:asciiTheme="majorBidi" w:hAnsiTheme="majorBidi" w:cstheme="majorBidi"/>
          <w:rtl/>
          <w:lang w:bidi="ar-EG"/>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hint="cs"/>
          <w:rtl/>
          <w:lang w:bidi="ar-EG"/>
        </w:rPr>
        <w:t xml:space="preserve"> </w:t>
      </w:r>
      <w:r w:rsidRPr="0040296B">
        <w:rPr>
          <w:rFonts w:asciiTheme="majorBidi" w:hAnsiTheme="majorBidi"/>
          <w:rtl/>
          <w:lang w:bidi="ar-EG"/>
        </w:rPr>
        <w:t xml:space="preserve">الوزارة </w:t>
      </w:r>
      <w:r w:rsidRPr="0040296B">
        <w:rPr>
          <w:rFonts w:asciiTheme="majorBidi" w:hAnsiTheme="majorBidi"/>
          <w:rtl/>
          <w:lang w:bidi="ar-EG"/>
        </w:rPr>
        <w:t>الاتح</w:t>
      </w:r>
      <w:r>
        <w:rPr>
          <w:rFonts w:asciiTheme="majorBidi" w:hAnsiTheme="majorBidi"/>
          <w:rtl/>
          <w:lang w:bidi="ar-EG"/>
        </w:rPr>
        <w:t>ادية للتعاون الاقتصادي والتنمية</w:t>
      </w:r>
      <w:r w:rsidRPr="0040296B">
        <w:rPr>
          <w:rFonts w:asciiTheme="majorBidi" w:hAnsiTheme="majorBidi"/>
          <w:rtl/>
          <w:lang w:bidi="ar-EG"/>
        </w:rPr>
        <w:t>، ألمانيا.</w:t>
      </w:r>
    </w:p>
  </w:footnote>
  <w:footnote w:id="65">
    <w:p w14:paraId="119C5622" w14:textId="77777777" w:rsidR="002D440B" w:rsidRPr="008F77B9" w:rsidRDefault="002D440B" w:rsidP="002D440B">
      <w:pPr>
        <w:pStyle w:val="FootnoteText"/>
        <w:bidi/>
        <w:rPr>
          <w:rFonts w:asciiTheme="majorBidi" w:hAnsiTheme="majorBidi" w:cstheme="majorBidi"/>
          <w:rtl/>
          <w:lang w:bidi="ar-EG"/>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sidRPr="008F77B9">
        <w:rPr>
          <w:rFonts w:asciiTheme="majorBidi" w:hAnsiTheme="majorBidi" w:cstheme="majorBidi"/>
        </w:rPr>
        <w:t xml:space="preserve">Deutsche Gesellschaft für Internationale </w:t>
      </w:r>
      <w:proofErr w:type="spellStart"/>
      <w:r w:rsidRPr="008F77B9">
        <w:rPr>
          <w:rFonts w:asciiTheme="majorBidi" w:hAnsiTheme="majorBidi" w:cstheme="majorBidi"/>
        </w:rPr>
        <w:t>Zusammenarbeit</w:t>
      </w:r>
      <w:proofErr w:type="spellEnd"/>
      <w:r>
        <w:rPr>
          <w:rFonts w:asciiTheme="majorBidi" w:hAnsiTheme="majorBidi" w:cstheme="majorBidi" w:hint="cs"/>
          <w:rtl/>
          <w:lang w:bidi="ar-EG"/>
        </w:rPr>
        <w:t xml:space="preserve"> عبارة عن وكالة تنمية دولية تقدم الخدمات في مجال التعاون الإنمائي الدولي والعمل التعليمي الدولي.</w:t>
      </w:r>
    </w:p>
  </w:footnote>
  <w:footnote w:id="66">
    <w:p w14:paraId="35A11DD6" w14:textId="77777777" w:rsidR="002D440B" w:rsidRPr="008F77B9" w:rsidRDefault="002D440B" w:rsidP="002D440B">
      <w:pPr>
        <w:pStyle w:val="FootnoteText"/>
        <w:bidi/>
        <w:rPr>
          <w:rFonts w:asciiTheme="majorBidi" w:hAnsiTheme="majorBidi" w:cstheme="majorBidi"/>
          <w:rtl/>
          <w:lang w:bidi="ar-EG"/>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proofErr w:type="spellStart"/>
      <w:r w:rsidRPr="008F77B9">
        <w:rPr>
          <w:rFonts w:asciiTheme="majorBidi" w:hAnsiTheme="majorBidi" w:cstheme="majorBidi"/>
        </w:rPr>
        <w:t>Kreditanstalt</w:t>
      </w:r>
      <w:proofErr w:type="spellEnd"/>
      <w:r w:rsidRPr="008F77B9">
        <w:rPr>
          <w:rFonts w:asciiTheme="majorBidi" w:hAnsiTheme="majorBidi" w:cstheme="majorBidi"/>
        </w:rPr>
        <w:t xml:space="preserve"> für </w:t>
      </w:r>
      <w:proofErr w:type="spellStart"/>
      <w:r w:rsidRPr="008F77B9">
        <w:rPr>
          <w:rFonts w:asciiTheme="majorBidi" w:hAnsiTheme="majorBidi" w:cstheme="majorBidi"/>
        </w:rPr>
        <w:t>Wiederaufbau</w:t>
      </w:r>
      <w:proofErr w:type="spellEnd"/>
      <w:r>
        <w:rPr>
          <w:rFonts w:asciiTheme="majorBidi" w:hAnsiTheme="majorBidi" w:cstheme="majorBidi" w:hint="cs"/>
          <w:rtl/>
          <w:lang w:val="en-US" w:bidi="ar-EG"/>
        </w:rPr>
        <w:t xml:space="preserve"> مصرف للاستثمار والتنمية مملوك لألمانيا.</w:t>
      </w:r>
    </w:p>
  </w:footnote>
  <w:footnote w:id="67">
    <w:p w14:paraId="01025929"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val="en-US" w:bidi="ar-EG"/>
        </w:rPr>
        <w:t xml:space="preserve"> </w:t>
      </w:r>
      <w:r>
        <w:rPr>
          <w:rFonts w:asciiTheme="majorBidi" w:hAnsiTheme="majorBidi" w:cstheme="majorBidi" w:hint="cs"/>
          <w:sz w:val="20"/>
          <w:rtl/>
          <w:lang w:val="en-US" w:bidi="ar-EG"/>
        </w:rPr>
        <w:t xml:space="preserve">تتوافر </w:t>
      </w:r>
      <w:r>
        <w:rPr>
          <w:rFonts w:asciiTheme="majorBidi" w:hAnsiTheme="majorBidi" w:cstheme="majorBidi" w:hint="cs"/>
          <w:sz w:val="20"/>
          <w:rtl/>
          <w:lang w:val="en-US" w:bidi="ar-EG"/>
        </w:rPr>
        <w:t xml:space="preserve">قائمة البلدان التي تحصل حاليا على الدعم من الوزارة </w:t>
      </w:r>
      <w:r w:rsidRPr="004D5DCB">
        <w:rPr>
          <w:rFonts w:asciiTheme="majorBidi" w:hAnsiTheme="majorBidi"/>
          <w:sz w:val="20"/>
          <w:rtl/>
          <w:lang w:val="en-US" w:bidi="ar-EG"/>
        </w:rPr>
        <w:t xml:space="preserve">متاحة من خلال الرابط التالي: </w:t>
      </w:r>
      <w:hyperlink r:id="rId6" w:history="1">
        <w:r w:rsidRPr="008F77B9">
          <w:rPr>
            <w:rStyle w:val="Hyperlink"/>
            <w:rFonts w:asciiTheme="majorBidi" w:hAnsiTheme="majorBidi" w:cstheme="majorBidi"/>
            <w:sz w:val="20"/>
          </w:rPr>
          <w:t>https://www.bmz.de/en/countries</w:t>
        </w:r>
      </w:hyperlink>
      <w:r w:rsidRPr="008F77B9">
        <w:rPr>
          <w:rFonts w:asciiTheme="majorBidi" w:hAnsiTheme="majorBidi" w:cstheme="majorBidi"/>
          <w:sz w:val="20"/>
        </w:rPr>
        <w:t>.</w:t>
      </w:r>
      <w:r w:rsidRPr="004D5DCB">
        <w:rPr>
          <w:rFonts w:asciiTheme="majorBidi" w:hAnsiTheme="majorBidi"/>
          <w:sz w:val="20"/>
          <w:rtl/>
          <w:lang w:val="en-US" w:bidi="ar-EG"/>
        </w:rPr>
        <w:t>.</w:t>
      </w:r>
      <w:r w:rsidRPr="008F77B9">
        <w:rPr>
          <w:rFonts w:asciiTheme="majorBidi" w:hAnsiTheme="majorBidi" w:cstheme="majorBidi"/>
          <w:sz w:val="20"/>
        </w:rPr>
        <w:t xml:space="preserve"> </w:t>
      </w:r>
    </w:p>
  </w:footnote>
  <w:footnote w:id="68">
    <w:p w14:paraId="52233922"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الوزارة </w:t>
      </w:r>
      <w:r>
        <w:rPr>
          <w:rFonts w:asciiTheme="majorBidi" w:hAnsiTheme="majorBidi" w:cstheme="majorBidi" w:hint="cs"/>
          <w:rtl/>
          <w:lang w:val="en-US" w:bidi="ar-EG"/>
        </w:rPr>
        <w:t>الاتحادية الألمانية للبيئة وحفظ الطيعة والأمان النووي.</w:t>
      </w:r>
    </w:p>
  </w:footnote>
  <w:footnote w:id="69">
    <w:p w14:paraId="2C53B2E2"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val="en-US" w:bidi="ar-EG"/>
        </w:rPr>
        <w:t xml:space="preserve"> </w:t>
      </w:r>
      <w:r>
        <w:rPr>
          <w:rFonts w:asciiTheme="majorBidi" w:hAnsiTheme="majorBidi" w:cstheme="majorBidi" w:hint="cs"/>
          <w:rtl/>
          <w:lang w:val="en-US" w:bidi="ar-EG"/>
        </w:rPr>
        <w:t xml:space="preserve">نتيجة </w:t>
      </w:r>
      <w:r>
        <w:rPr>
          <w:rFonts w:asciiTheme="majorBidi" w:hAnsiTheme="majorBidi" w:cstheme="majorBidi" w:hint="cs"/>
          <w:rtl/>
          <w:lang w:val="en-US" w:bidi="ar-EG"/>
        </w:rPr>
        <w:t>لإعادة تشكيل الحكومة قد يحدث تغيير في تنفيذ مبادرة المناخ الدولية في المستقبل.</w:t>
      </w:r>
    </w:p>
  </w:footnote>
  <w:footnote w:id="70">
    <w:p w14:paraId="22024BC4"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يتوافر </w:t>
      </w:r>
      <w:r>
        <w:rPr>
          <w:rFonts w:asciiTheme="majorBidi" w:hAnsiTheme="majorBidi" w:cstheme="majorBidi" w:hint="cs"/>
          <w:rtl/>
          <w:lang w:bidi="ar-EG"/>
        </w:rPr>
        <w:t xml:space="preserve">المزيد من المعلومات عن ذلك. في </w:t>
      </w:r>
      <w:hyperlink r:id="rId7" w:history="1">
        <w:r w:rsidRPr="008F77B9">
          <w:rPr>
            <w:rStyle w:val="Hyperlink"/>
            <w:rFonts w:asciiTheme="majorBidi" w:hAnsiTheme="majorBidi" w:cstheme="majorBidi"/>
          </w:rPr>
          <w:t>https://www.international-climate-initiative.com/en/issues/mitigation/f-gases</w:t>
        </w:r>
      </w:hyperlink>
      <w:r w:rsidRPr="008F77B9">
        <w:rPr>
          <w:rFonts w:asciiTheme="majorBidi" w:hAnsiTheme="majorBidi" w:cstheme="majorBidi"/>
        </w:rPr>
        <w:t>.</w:t>
      </w:r>
      <w:r>
        <w:rPr>
          <w:rFonts w:asciiTheme="majorBidi" w:hAnsiTheme="majorBidi" w:cstheme="majorBidi" w:hint="cs"/>
          <w:rtl/>
          <w:lang w:bidi="ar-EG"/>
        </w:rPr>
        <w:t>.</w:t>
      </w:r>
      <w:r w:rsidRPr="008F77B9">
        <w:rPr>
          <w:rFonts w:asciiTheme="majorBidi" w:hAnsiTheme="majorBidi" w:cstheme="majorBidi"/>
        </w:rPr>
        <w:t xml:space="preserve"> </w:t>
      </w:r>
    </w:p>
  </w:footnote>
  <w:footnote w:id="71">
    <w:p w14:paraId="4D215281"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تتوافر </w:t>
      </w:r>
      <w:r>
        <w:rPr>
          <w:rFonts w:asciiTheme="majorBidi" w:hAnsiTheme="majorBidi" w:cstheme="majorBidi" w:hint="cs"/>
          <w:rtl/>
          <w:lang w:bidi="ar-EG"/>
        </w:rPr>
        <w:t xml:space="preserve">المبادئ التوجيهية لتخطيط المشروع أو البرنامج من الرابط التالي على الإنترنت: </w:t>
      </w:r>
      <w:hyperlink r:id="rId8" w:history="1">
        <w:r w:rsidRPr="008F77B9">
          <w:rPr>
            <w:rStyle w:val="Hyperlink"/>
            <w:rFonts w:asciiTheme="majorBidi" w:hAnsiTheme="majorBidi" w:cstheme="majorBidi"/>
          </w:rPr>
          <w:t>https://www.international-climate-initiative.com/fileadmin/Dokumente/2019/20190503_Guidelines_on_project_and_programme_planning.pdf</w:t>
        </w:r>
      </w:hyperlink>
      <w:r>
        <w:rPr>
          <w:rFonts w:asciiTheme="majorBidi" w:hAnsiTheme="majorBidi" w:cstheme="majorBidi" w:hint="cs"/>
          <w:rtl/>
          <w:lang w:bidi="ar-EG"/>
        </w:rPr>
        <w:t>.</w:t>
      </w:r>
      <w:r w:rsidRPr="008F77B9">
        <w:rPr>
          <w:rFonts w:asciiTheme="majorBidi" w:hAnsiTheme="majorBidi" w:cstheme="majorBidi"/>
        </w:rPr>
        <w:t xml:space="preserve"> </w:t>
      </w:r>
    </w:p>
  </w:footnote>
  <w:footnote w:id="72">
    <w:p w14:paraId="1266F077"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خفض </w:t>
      </w:r>
      <w:r>
        <w:rPr>
          <w:rFonts w:asciiTheme="majorBidi" w:hAnsiTheme="majorBidi" w:cstheme="majorBidi" w:hint="cs"/>
          <w:rtl/>
          <w:lang w:bidi="ar-EG"/>
        </w:rPr>
        <w:t>الانبعاثات من إزالة الغازات وتدهور الغابات ودور حفظ الغابات وإدارتها المستدامة وتعزيز مخزونات الكربون في غابات البلدان النامية.</w:t>
      </w:r>
    </w:p>
  </w:footnote>
  <w:footnote w:id="73">
    <w:p w14:paraId="1223B14B" w14:textId="77777777" w:rsidR="002D440B" w:rsidRPr="008F77B9" w:rsidRDefault="002D440B" w:rsidP="002D440B">
      <w:pPr>
        <w:pStyle w:val="Heading1"/>
        <w:numPr>
          <w:ilvl w:val="0"/>
          <w:numId w:val="0"/>
        </w:numPr>
        <w:bidi/>
        <w:spacing w:after="0"/>
        <w:rPr>
          <w:rFonts w:asciiTheme="majorBidi" w:hAnsiTheme="majorBidi" w:cstheme="majorBidi"/>
          <w:sz w:val="20"/>
        </w:rPr>
      </w:pPr>
      <w:r w:rsidRPr="008F77B9">
        <w:rPr>
          <w:rStyle w:val="FootnoteReference"/>
          <w:rFonts w:asciiTheme="majorBidi" w:hAnsiTheme="majorBidi" w:cstheme="majorBidi"/>
          <w:sz w:val="20"/>
        </w:rPr>
        <w:footnoteRef/>
      </w:r>
      <w:r w:rsidRPr="008F77B9">
        <w:rPr>
          <w:rFonts w:asciiTheme="majorBidi" w:hAnsiTheme="majorBidi" w:cstheme="majorBidi"/>
          <w:sz w:val="20"/>
        </w:rPr>
        <w:t xml:space="preserve"> </w:t>
      </w:r>
      <w:r>
        <w:rPr>
          <w:rFonts w:asciiTheme="majorBidi" w:hAnsiTheme="majorBidi" w:cstheme="majorBidi" w:hint="cs"/>
          <w:sz w:val="20"/>
          <w:rtl/>
          <w:lang w:val="en-US" w:bidi="ar-EG"/>
        </w:rPr>
        <w:t xml:space="preserve"> </w:t>
      </w:r>
      <w:r>
        <w:rPr>
          <w:rFonts w:asciiTheme="majorBidi" w:hAnsiTheme="majorBidi" w:cstheme="majorBidi" w:hint="cs"/>
          <w:sz w:val="20"/>
          <w:rtl/>
          <w:lang w:val="en-US" w:bidi="ar-EG"/>
        </w:rPr>
        <w:t xml:space="preserve">يرد </w:t>
      </w:r>
      <w:r>
        <w:rPr>
          <w:rFonts w:asciiTheme="majorBidi" w:hAnsiTheme="majorBidi" w:cstheme="majorBidi" w:hint="cs"/>
          <w:sz w:val="20"/>
          <w:rtl/>
          <w:lang w:val="en-US" w:bidi="ar-EG"/>
        </w:rPr>
        <w:t xml:space="preserve">المزيد من المعلومات عن ذلك بما في ذلك المبادئ التوجيهية للوزارة الاتحادية في </w:t>
      </w:r>
      <w:hyperlink r:id="rId9" w:history="1">
        <w:r w:rsidRPr="008F77B9">
          <w:rPr>
            <w:rStyle w:val="Hyperlink"/>
            <w:rFonts w:asciiTheme="majorBidi" w:hAnsiTheme="majorBidi" w:cstheme="majorBidi"/>
            <w:sz w:val="20"/>
          </w:rPr>
          <w:t>https://www.international-climate-initiative.com/en/project-funding/information-for-applicants</w:t>
        </w:r>
      </w:hyperlink>
      <w:r w:rsidRPr="008F77B9">
        <w:rPr>
          <w:rFonts w:asciiTheme="majorBidi" w:hAnsiTheme="majorBidi" w:cstheme="majorBidi"/>
          <w:sz w:val="20"/>
        </w:rPr>
        <w:t xml:space="preserve">. </w:t>
      </w:r>
    </w:p>
    <w:p w14:paraId="7E55363A" w14:textId="77777777" w:rsidR="002D440B" w:rsidRPr="008F77B9" w:rsidRDefault="002D440B" w:rsidP="002D440B">
      <w:pPr>
        <w:pStyle w:val="FootnoteText"/>
        <w:bidi/>
        <w:rPr>
          <w:rFonts w:asciiTheme="majorBidi" w:hAnsiTheme="majorBidi" w:cstheme="majorBidi"/>
        </w:rPr>
      </w:pPr>
    </w:p>
  </w:footnote>
  <w:footnote w:id="74">
    <w:p w14:paraId="260E40D0"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Pr>
          <w:rFonts w:asciiTheme="majorBidi" w:hAnsiTheme="majorBidi" w:cstheme="majorBidi" w:hint="cs"/>
          <w:rtl/>
        </w:rPr>
        <w:t xml:space="preserve">  </w:t>
      </w:r>
      <w:hyperlink r:id="rId10" w:history="1">
        <w:r w:rsidRPr="00B037A0">
          <w:rPr>
            <w:rStyle w:val="Hyperlink"/>
            <w:rFonts w:asciiTheme="majorBidi" w:hAnsiTheme="majorBidi" w:cstheme="majorBidi"/>
          </w:rPr>
          <w:t>https://www.fmo.nl/</w:t>
        </w:r>
      </w:hyperlink>
      <w:r>
        <w:rPr>
          <w:rFonts w:asciiTheme="majorBidi" w:hAnsiTheme="majorBidi" w:cstheme="majorBidi" w:hint="cs"/>
          <w:rtl/>
        </w:rPr>
        <w:t>.</w:t>
      </w:r>
    </w:p>
  </w:footnote>
  <w:footnote w:id="75">
    <w:p w14:paraId="0BD93B37" w14:textId="77777777" w:rsidR="002D440B" w:rsidRPr="003E397F" w:rsidRDefault="002D440B" w:rsidP="002D440B">
      <w:pPr>
        <w:pStyle w:val="FootnoteText"/>
        <w:bidi/>
        <w:rPr>
          <w:rFonts w:asciiTheme="majorBidi" w:hAnsiTheme="majorBidi" w:cstheme="majorBidi"/>
          <w:rtl/>
          <w:lang w:val="en-US" w:bidi="ar-EG"/>
        </w:rPr>
      </w:pPr>
      <w:r w:rsidRPr="00BF49AA">
        <w:rPr>
          <w:rFonts w:asciiTheme="majorBidi" w:hAnsiTheme="majorBidi" w:cstheme="majorBidi"/>
          <w:vertAlign w:val="superscript"/>
        </w:rPr>
        <w:footnoteRef/>
      </w:r>
      <w:r w:rsidRPr="00BF49AA">
        <w:rPr>
          <w:rFonts w:asciiTheme="majorBidi" w:hAnsiTheme="majorBidi" w:cstheme="majorBidi"/>
          <w:vertAlign w:val="superscript"/>
        </w:rPr>
        <w:t xml:space="preserve"> </w:t>
      </w:r>
      <w:r>
        <w:rPr>
          <w:rFonts w:asciiTheme="majorBidi" w:hAnsiTheme="majorBidi" w:cstheme="majorBidi" w:hint="cs"/>
          <w:rtl/>
        </w:rPr>
        <w:t xml:space="preserve"> </w:t>
      </w:r>
      <w:hyperlink r:id="rId11" w:history="1">
        <w:r w:rsidRPr="00B037A0">
          <w:rPr>
            <w:rStyle w:val="Hyperlink"/>
            <w:rFonts w:asciiTheme="majorBidi" w:hAnsiTheme="majorBidi" w:cstheme="majorBidi"/>
          </w:rPr>
          <w:t>https://investinternational.nl/</w:t>
        </w:r>
      </w:hyperlink>
      <w:r>
        <w:rPr>
          <w:rFonts w:asciiTheme="majorBidi" w:hAnsiTheme="majorBidi" w:cstheme="majorBidi" w:hint="cs"/>
          <w:rtl/>
        </w:rPr>
        <w:t>.</w:t>
      </w:r>
    </w:p>
  </w:footnote>
  <w:footnote w:id="76">
    <w:p w14:paraId="27C163AE" w14:textId="77777777" w:rsidR="002D440B" w:rsidRPr="008F77B9" w:rsidRDefault="002D440B" w:rsidP="002D440B">
      <w:pPr>
        <w:pStyle w:val="Heading1"/>
        <w:numPr>
          <w:ilvl w:val="0"/>
          <w:numId w:val="0"/>
        </w:numPr>
        <w:bidi/>
        <w:spacing w:after="0"/>
        <w:jc w:val="left"/>
        <w:rPr>
          <w:rFonts w:asciiTheme="majorBidi" w:hAnsiTheme="majorBidi" w:cstheme="majorBidi"/>
          <w:sz w:val="20"/>
        </w:rPr>
      </w:pPr>
      <w:r w:rsidRPr="008F77B9">
        <w:rPr>
          <w:rStyle w:val="FootnoteReference"/>
          <w:rFonts w:asciiTheme="majorBidi" w:hAnsiTheme="majorBidi" w:cstheme="majorBidi"/>
          <w:sz w:val="20"/>
        </w:rPr>
        <w:footnoteRef/>
      </w:r>
      <w:r>
        <w:rPr>
          <w:rFonts w:asciiTheme="majorBidi" w:hAnsiTheme="majorBidi" w:cstheme="majorBidi" w:hint="cs"/>
          <w:sz w:val="20"/>
          <w:rtl/>
          <w:lang w:val="en-US" w:bidi="ar-EG"/>
        </w:rPr>
        <w:t xml:space="preserve"> </w:t>
      </w:r>
      <w:r>
        <w:rPr>
          <w:rFonts w:asciiTheme="majorBidi" w:hAnsiTheme="majorBidi" w:cstheme="majorBidi" w:hint="cs"/>
          <w:sz w:val="20"/>
          <w:rtl/>
          <w:lang w:val="en-US" w:bidi="ar-EG"/>
        </w:rPr>
        <w:t xml:space="preserve">الرابطة الى بلدان الأولوية في بلدان التنمية المستدامة: </w:t>
      </w:r>
      <w:hyperlink r:id="rId12" w:history="1">
        <w:r w:rsidRPr="008F77B9">
          <w:rPr>
            <w:rStyle w:val="Hyperlink"/>
            <w:rFonts w:asciiTheme="majorBidi" w:hAnsiTheme="majorBidi" w:cstheme="majorBidi"/>
            <w:sz w:val="20"/>
          </w:rPr>
          <w:t>https://www.eda.admin.ch/deza/en/home/countries/schwerpunktregionen-iza.html</w:t>
        </w:r>
      </w:hyperlink>
      <w:r w:rsidRPr="008F77B9">
        <w:rPr>
          <w:rStyle w:val="Hyperlink"/>
          <w:rFonts w:asciiTheme="majorBidi" w:hAnsiTheme="majorBidi" w:cstheme="majorBidi"/>
          <w:sz w:val="20"/>
        </w:rPr>
        <w:t>.</w:t>
      </w:r>
      <w:r>
        <w:rPr>
          <w:rFonts w:asciiTheme="majorBidi" w:hAnsiTheme="majorBidi" w:cstheme="majorBidi" w:hint="cs"/>
          <w:sz w:val="20"/>
          <w:rtl/>
          <w:lang w:val="en-US" w:bidi="ar-EG"/>
        </w:rPr>
        <w:t xml:space="preserve"> والرابطة الخاصة ببلدان الأولوية في </w:t>
      </w:r>
      <w:r w:rsidRPr="008F77B9">
        <w:rPr>
          <w:rStyle w:val="Hyperlink"/>
          <w:rFonts w:asciiTheme="majorBidi" w:hAnsiTheme="majorBidi" w:cstheme="majorBidi"/>
          <w:sz w:val="20"/>
        </w:rPr>
        <w:t>SECO</w:t>
      </w:r>
      <w:r>
        <w:rPr>
          <w:rFonts w:asciiTheme="majorBidi" w:hAnsiTheme="majorBidi" w:cstheme="majorBidi" w:hint="cs"/>
          <w:sz w:val="20"/>
          <w:rtl/>
          <w:lang w:bidi="ar-EG"/>
        </w:rPr>
        <w:t xml:space="preserve">: </w:t>
      </w:r>
      <w:hyperlink r:id="rId13" w:history="1">
        <w:r w:rsidRPr="007448F1">
          <w:rPr>
            <w:rStyle w:val="Hyperlink"/>
            <w:rFonts w:asciiTheme="majorBidi" w:hAnsiTheme="majorBidi" w:cstheme="majorBidi"/>
            <w:sz w:val="20"/>
          </w:rPr>
          <w:t>https://www.seco-cooperation.admin.ch/secocoop/en/home/laender.html</w:t>
        </w:r>
      </w:hyperlink>
      <w:r>
        <w:rPr>
          <w:rFonts w:asciiTheme="majorBidi" w:hAnsiTheme="majorBidi" w:cstheme="majorBidi" w:hint="cs"/>
          <w:sz w:val="20"/>
          <w:rtl/>
          <w:lang w:bidi="ar-EG"/>
        </w:rPr>
        <w:t>.</w:t>
      </w:r>
      <w:r>
        <w:rPr>
          <w:rStyle w:val="Hyperlink"/>
          <w:rFonts w:asciiTheme="majorBidi" w:hAnsiTheme="majorBidi" w:cstheme="majorBidi"/>
          <w:sz w:val="20"/>
        </w:rPr>
        <w:t xml:space="preserve"> </w:t>
      </w:r>
    </w:p>
  </w:footnote>
  <w:footnote w:id="77">
    <w:p w14:paraId="4119D49D" w14:textId="77777777" w:rsidR="002D440B" w:rsidRPr="008F77B9" w:rsidRDefault="002D440B" w:rsidP="002D440B">
      <w:pPr>
        <w:pStyle w:val="FootnoteText"/>
        <w:bidi/>
        <w:jc w:val="left"/>
        <w:rPr>
          <w:rFonts w:asciiTheme="majorBidi" w:hAnsiTheme="majorBidi" w:cstheme="majorBidi"/>
          <w:rtl/>
          <w:lang w:bidi="ar-EG"/>
        </w:rPr>
      </w:pPr>
      <w:r w:rsidRPr="008F77B9">
        <w:rPr>
          <w:rStyle w:val="FootnoteReference"/>
          <w:rFonts w:asciiTheme="majorBidi" w:hAnsiTheme="majorBidi" w:cstheme="majorBidi"/>
        </w:rPr>
        <w:footnoteRef/>
      </w:r>
      <w:r>
        <w:rPr>
          <w:rFonts w:asciiTheme="majorBidi" w:hAnsiTheme="majorBidi" w:cstheme="majorBidi" w:hint="cs"/>
          <w:rtl/>
          <w:lang w:bidi="ar-EG"/>
        </w:rPr>
        <w:t xml:space="preserve"> </w:t>
      </w:r>
      <w:hyperlink r:id="rId14" w:history="1">
        <w:r w:rsidRPr="007448F1">
          <w:rPr>
            <w:rStyle w:val="Hyperlink"/>
            <w:rFonts w:asciiTheme="majorBidi" w:hAnsiTheme="majorBidi" w:cstheme="majorBidi"/>
          </w:rPr>
          <w:t>https://www.eda.admin.ch/dam/deza/en/documents/die-deza/strategie/broschuere-IZA-strategie-2021-2024_EN.pdf</w:t>
        </w:r>
      </w:hyperlink>
      <w:r>
        <w:rPr>
          <w:rFonts w:asciiTheme="majorBidi" w:hAnsiTheme="majorBidi" w:cstheme="majorBidi"/>
        </w:rPr>
        <w:t xml:space="preserve"> </w:t>
      </w:r>
      <w:proofErr w:type="gramStart"/>
      <w:r>
        <w:rPr>
          <w:rFonts w:asciiTheme="majorBidi" w:hAnsiTheme="majorBidi" w:cstheme="majorBidi"/>
        </w:rPr>
        <w:t xml:space="preserve"> </w:t>
      </w:r>
      <w:r w:rsidRPr="008F77B9">
        <w:rPr>
          <w:rFonts w:asciiTheme="majorBidi" w:hAnsiTheme="majorBidi" w:cstheme="majorBidi"/>
        </w:rPr>
        <w:t xml:space="preserve"> </w:t>
      </w:r>
      <w:r>
        <w:rPr>
          <w:rFonts w:asciiTheme="majorBidi" w:hAnsiTheme="majorBidi" w:cstheme="majorBidi" w:hint="cs"/>
          <w:rtl/>
          <w:lang w:bidi="ar-EG"/>
        </w:rPr>
        <w:t>.</w:t>
      </w:r>
      <w:proofErr w:type="gramEnd"/>
    </w:p>
  </w:footnote>
  <w:footnote w:id="78">
    <w:p w14:paraId="16FE730A" w14:textId="77777777" w:rsidR="002D440B" w:rsidRPr="008F77B9" w:rsidRDefault="002D440B" w:rsidP="002D440B">
      <w:pPr>
        <w:pStyle w:val="FootnoteText"/>
        <w:bidi/>
        <w:rPr>
          <w:rFonts w:asciiTheme="majorBidi" w:hAnsiTheme="majorBidi" w:cstheme="majorBidi"/>
        </w:rPr>
      </w:pPr>
      <w:r w:rsidRPr="008F77B9">
        <w:rPr>
          <w:rStyle w:val="FootnoteReference"/>
          <w:rFonts w:asciiTheme="majorBidi" w:hAnsiTheme="majorBidi" w:cstheme="majorBidi"/>
        </w:rPr>
        <w:footnoteRef/>
      </w:r>
      <w:r w:rsidRPr="008F77B9">
        <w:rPr>
          <w:rFonts w:asciiTheme="majorBidi" w:hAnsiTheme="majorBidi" w:cstheme="majorBidi"/>
        </w:rPr>
        <w:t xml:space="preserve"> </w:t>
      </w:r>
      <w:r>
        <w:rPr>
          <w:rFonts w:asciiTheme="majorBidi" w:hAnsiTheme="majorBidi" w:cstheme="majorBidi" w:hint="cs"/>
          <w:rtl/>
          <w:lang w:bidi="ar-EG"/>
        </w:rPr>
        <w:t xml:space="preserve"> </w:t>
      </w:r>
      <w:r>
        <w:rPr>
          <w:rFonts w:asciiTheme="majorBidi" w:hAnsiTheme="majorBidi" w:cstheme="majorBidi" w:hint="cs"/>
          <w:rtl/>
          <w:lang w:bidi="ar-EG"/>
        </w:rPr>
        <w:t xml:space="preserve">ترد </w:t>
      </w:r>
      <w:r>
        <w:rPr>
          <w:rFonts w:asciiTheme="majorBidi" w:hAnsiTheme="majorBidi" w:cstheme="majorBidi" w:hint="cs"/>
          <w:rtl/>
          <w:lang w:bidi="ar-EG"/>
        </w:rPr>
        <w:t xml:space="preserve">مشروعات تمويل المساعدات الإنمائية الرسمية في </w:t>
      </w:r>
      <w:hyperlink r:id="rId15" w:history="1">
        <w:r w:rsidRPr="008F77B9">
          <w:rPr>
            <w:rStyle w:val="Hyperlink"/>
            <w:rFonts w:asciiTheme="majorBidi" w:hAnsiTheme="majorBidi" w:cstheme="majorBidi"/>
          </w:rPr>
          <w:t>https://devtracker.fcdo.gov.uk/</w:t>
        </w:r>
      </w:hyperlink>
      <w:r>
        <w:rPr>
          <w:rFonts w:asciiTheme="majorBidi" w:hAnsiTheme="majorBidi" w:cstheme="majorBidi"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0974E" w14:textId="77777777" w:rsidR="000746C2" w:rsidRDefault="000746C2" w:rsidP="000746C2">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1BC639F3" w14:textId="01B942B6" w:rsidR="000746C2" w:rsidRDefault="000746C2">
    <w:pPr>
      <w:pStyle w:val="Header"/>
    </w:pPr>
  </w:p>
  <w:p w14:paraId="3B40FC83" w14:textId="77777777" w:rsidR="000746C2" w:rsidRDefault="00074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9FD7A" w14:textId="77777777" w:rsidR="00FB60FE" w:rsidRDefault="00FB60FE" w:rsidP="00FB60FE">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751AFB5E" w14:textId="110679B2" w:rsidR="000746C2" w:rsidRDefault="000746C2">
    <w:pPr>
      <w:pStyle w:val="Header"/>
    </w:pPr>
  </w:p>
  <w:p w14:paraId="2EF47DFF" w14:textId="77777777" w:rsidR="000746C2" w:rsidRDefault="00074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78C1A" w14:textId="77777777" w:rsidR="00FB60FE" w:rsidRDefault="00FB60FE" w:rsidP="000746C2">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31E6A241" w14:textId="54DA1595" w:rsidR="00FB60FE" w:rsidRDefault="00914B1E" w:rsidP="00914B1E">
    <w:pPr>
      <w:pStyle w:val="Header"/>
      <w:jc w:val="right"/>
    </w:pPr>
    <w:r>
      <w:t>Annex I</w:t>
    </w:r>
  </w:p>
  <w:p w14:paraId="77EB6529" w14:textId="77777777" w:rsidR="00FB60FE" w:rsidRDefault="00FB60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C6749" w14:textId="77777777" w:rsidR="00FB60FE" w:rsidRDefault="00FB60FE" w:rsidP="00FB60FE">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0A035AD4" w14:textId="77777777" w:rsidR="00FB60FE" w:rsidRDefault="00FB60FE">
    <w:pPr>
      <w:pStyle w:val="Header"/>
    </w:pPr>
    <w:r>
      <w:t>Annex I</w:t>
    </w:r>
  </w:p>
  <w:p w14:paraId="3DC01B82" w14:textId="77777777" w:rsidR="00FB60FE" w:rsidRDefault="00FB60F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ADD94" w14:textId="77777777" w:rsidR="00FB60FE" w:rsidRDefault="00FB60FE" w:rsidP="000746C2">
    <w:pPr>
      <w:jc w:val="right"/>
      <w:rPr>
        <w:rtl/>
      </w:rPr>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57937791" w14:textId="3DD6B3E2" w:rsidR="00FB60FE" w:rsidRDefault="00914B1E" w:rsidP="00914B1E">
    <w:pPr>
      <w:pStyle w:val="Header"/>
      <w:jc w:val="right"/>
    </w:pPr>
    <w:r>
      <w:t>Annex II</w:t>
    </w:r>
  </w:p>
  <w:p w14:paraId="4F5ED8CE" w14:textId="77777777" w:rsidR="00FB60FE" w:rsidRDefault="00FB60F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2F137" w14:textId="77777777" w:rsidR="00FB60FE" w:rsidRDefault="00FB60FE" w:rsidP="00FB60FE">
    <w:pPr>
      <w:jc w:val="left"/>
      <w:rPr>
        <w:rtl/>
      </w:rPr>
    </w:pPr>
    <w:r>
      <w:fldChar w:fldCharType="begin"/>
    </w:r>
    <w:r>
      <w:instrText xml:space="preserve"> DOCPROPERTY "Document number"  \* MERGEFORMAT </w:instrText>
    </w:r>
    <w:r>
      <w:fldChar w:fldCharType="separate"/>
    </w:r>
    <w:r>
      <w:t>UNEP/</w:t>
    </w:r>
    <w:proofErr w:type="spellStart"/>
    <w:r>
      <w:t>OzL.Pro</w:t>
    </w:r>
    <w:proofErr w:type="spellEnd"/>
    <w:r>
      <w:t>/ExCom/89/12</w:t>
    </w:r>
    <w:r>
      <w:fldChar w:fldCharType="end"/>
    </w:r>
  </w:p>
  <w:p w14:paraId="433CD1DA" w14:textId="4D7AC574" w:rsidR="00FB60FE" w:rsidRDefault="00FB60FE">
    <w:pPr>
      <w:pStyle w:val="Header"/>
    </w:pPr>
    <w:r>
      <w:t>Annex I</w:t>
    </w:r>
    <w:r w:rsidR="00914B1E">
      <w:t>I</w:t>
    </w:r>
  </w:p>
  <w:p w14:paraId="0F4B703D" w14:textId="77777777" w:rsidR="00FB60FE" w:rsidRDefault="00FB60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0B58D" w14:textId="0272C165" w:rsidR="007E5D09" w:rsidRDefault="00C27B58" w:rsidP="00131C01">
    <w:pPr>
      <w:jc w:val="right"/>
    </w:pPr>
    <w:r>
      <w:fldChar w:fldCharType="begin"/>
    </w:r>
    <w:r>
      <w:instrText xml:space="preserve"> DOCPROPERTY "Document number"  \* MERGEFORMAT </w:instrText>
    </w:r>
    <w:r>
      <w:fldChar w:fldCharType="separate"/>
    </w:r>
    <w:r w:rsidR="003B369D">
      <w:t>UNEP/</w:t>
    </w:r>
    <w:proofErr w:type="spellStart"/>
    <w:r w:rsidR="003B369D">
      <w:t>OzL.Pro</w:t>
    </w:r>
    <w:proofErr w:type="spellEnd"/>
    <w:r w:rsidR="003B369D">
      <w:t>/ExCom/89/12</w:t>
    </w:r>
    <w:r>
      <w:fldChar w:fldCharType="end"/>
    </w:r>
  </w:p>
  <w:p w14:paraId="7841B7DD" w14:textId="1BFD9278" w:rsidR="007E5D09" w:rsidRDefault="00131C01" w:rsidP="00131C01">
    <w:pPr>
      <w:jc w:val="right"/>
    </w:pPr>
    <w:r>
      <w:t>Annex III</w:t>
    </w:r>
  </w:p>
  <w:p w14:paraId="0C378ABB" w14:textId="77777777" w:rsidR="007E5D09" w:rsidRDefault="007E5D09" w:rsidP="00131C01">
    <w:pP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9C4D" w14:textId="610A3D94" w:rsidR="007E5D09" w:rsidRDefault="00C27B58" w:rsidP="00131C01">
    <w:pPr>
      <w:jc w:val="left"/>
    </w:pPr>
    <w:r>
      <w:fldChar w:fldCharType="begin"/>
    </w:r>
    <w:r>
      <w:instrText xml:space="preserve"> DOCPROPERTY "Document number"  \* MERGEFORMAT </w:instrText>
    </w:r>
    <w:r>
      <w:fldChar w:fldCharType="separate"/>
    </w:r>
    <w:r w:rsidR="003B369D">
      <w:t>UNEP/</w:t>
    </w:r>
    <w:proofErr w:type="spellStart"/>
    <w:r w:rsidR="003B369D">
      <w:t>OzL.Pro</w:t>
    </w:r>
    <w:proofErr w:type="spellEnd"/>
    <w:r w:rsidR="003B369D">
      <w:t>/ExCom/89/12</w:t>
    </w:r>
    <w:r>
      <w:fldChar w:fldCharType="end"/>
    </w:r>
  </w:p>
  <w:p w14:paraId="3406FEE1" w14:textId="74978128" w:rsidR="007E5D09" w:rsidRDefault="00131C01">
    <w:r>
      <w:t>Annex III</w:t>
    </w:r>
  </w:p>
  <w:p w14:paraId="0B6CCD77" w14:textId="77777777" w:rsidR="007E5D09" w:rsidRDefault="007E5D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F00D9" w14:textId="0A8A900D" w:rsidR="007E5D09" w:rsidRDefault="00C27B58">
    <w:pPr>
      <w:jc w:val="left"/>
    </w:pPr>
    <w:r>
      <w:fldChar w:fldCharType="begin"/>
    </w:r>
    <w:r>
      <w:instrText xml:space="preserve"> DOCPROPERTY "Document number"  \* MERGEFORMAT </w:instrText>
    </w:r>
    <w:r>
      <w:fldChar w:fldCharType="separate"/>
    </w:r>
    <w:r w:rsidR="003B369D">
      <w:t>UNEP/</w:t>
    </w:r>
    <w:proofErr w:type="spellStart"/>
    <w:r w:rsidR="003B369D">
      <w:t>OzL.Pro</w:t>
    </w:r>
    <w:proofErr w:type="spellEnd"/>
    <w:r w:rsidR="003B369D">
      <w:t>/ExCom/89/12</w:t>
    </w:r>
    <w:r>
      <w:fldChar w:fldCharType="end"/>
    </w:r>
  </w:p>
  <w:p w14:paraId="492057ED" w14:textId="6280841D" w:rsidR="007E5D09" w:rsidRDefault="00017133">
    <w:r>
      <w:t>Annex I</w:t>
    </w:r>
    <w:r w:rsidR="00131C01">
      <w:t>II</w:t>
    </w:r>
  </w:p>
  <w:p w14:paraId="78DA09C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189490"/>
    <w:lvl w:ilvl="0">
      <w:start w:val="1"/>
      <w:numFmt w:val="decimal"/>
      <w:pStyle w:val="Heading1"/>
      <w:lvlText w:val="%1."/>
      <w:lvlJc w:val="left"/>
      <w:pPr>
        <w:tabs>
          <w:tab w:val="num" w:pos="0"/>
        </w:tabs>
        <w:ind w:left="0" w:firstLine="0"/>
      </w:pPr>
      <w:rPr>
        <w:i w:val="0"/>
        <w:iCs w:val="0"/>
        <w:strike w:val="0"/>
        <w:sz w:val="26"/>
        <w:szCs w:val="26"/>
        <w:u w:val="none"/>
      </w:rPr>
    </w:lvl>
    <w:lvl w:ilvl="1">
      <w:start w:val="1"/>
      <w:numFmt w:val="arabicAbjad"/>
      <w:pStyle w:val="Heading2"/>
      <w:lvlText w:val="(%2)"/>
      <w:lvlJc w:val="left"/>
      <w:pPr>
        <w:ind w:left="9716" w:hanging="360"/>
      </w:pPr>
      <w:rPr>
        <w:rFonts w:hint="default"/>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0B6D36"/>
    <w:multiLevelType w:val="hybridMultilevel"/>
    <w:tmpl w:val="DC789000"/>
    <w:lvl w:ilvl="0" w:tplc="00F06C80">
      <w:start w:val="1"/>
      <w:numFmt w:val="arabicAbjad"/>
      <w:lvlText w:val="(%1)"/>
      <w:lvlJc w:val="left"/>
      <w:pPr>
        <w:ind w:left="5040" w:hanging="360"/>
      </w:pPr>
      <w:rPr>
        <w:rFonts w:hint="default"/>
      </w:r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2" w15:restartNumberingAfterBreak="0">
    <w:nsid w:val="09D72F87"/>
    <w:multiLevelType w:val="hybridMultilevel"/>
    <w:tmpl w:val="1B3A09C6"/>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0DE82F09"/>
    <w:multiLevelType w:val="hybridMultilevel"/>
    <w:tmpl w:val="772EA48C"/>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0117196"/>
    <w:multiLevelType w:val="hybridMultilevel"/>
    <w:tmpl w:val="693468D0"/>
    <w:lvl w:ilvl="0" w:tplc="20000015">
      <w:start w:val="1"/>
      <w:numFmt w:val="upp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6" w15:restartNumberingAfterBreak="0">
    <w:nsid w:val="21597C6D"/>
    <w:multiLevelType w:val="hybridMultilevel"/>
    <w:tmpl w:val="6EA8BA86"/>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DD23E10"/>
    <w:multiLevelType w:val="hybridMultilevel"/>
    <w:tmpl w:val="62E091A6"/>
    <w:lvl w:ilvl="0" w:tplc="4350AB5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90971E5"/>
    <w:multiLevelType w:val="hybridMultilevel"/>
    <w:tmpl w:val="04B632BC"/>
    <w:lvl w:ilvl="0" w:tplc="A664E5D4">
      <w:start w:val="1"/>
      <w:numFmt w:val="arabicAbjad"/>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4" w15:restartNumberingAfterBreak="0">
    <w:nsid w:val="63E0497A"/>
    <w:multiLevelType w:val="hybridMultilevel"/>
    <w:tmpl w:val="2F9CE7C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CD315D"/>
    <w:multiLevelType w:val="hybridMultilevel"/>
    <w:tmpl w:val="26EEDE48"/>
    <w:lvl w:ilvl="0" w:tplc="FAF2D844">
      <w:start w:val="1"/>
      <w:numFmt w:val="arabicAbjad"/>
      <w:lvlText w:val="%1."/>
      <w:lvlJc w:val="left"/>
      <w:pPr>
        <w:ind w:left="720" w:hanging="360"/>
      </w:pPr>
      <w:rPr>
        <w:rFonts w:hint="default"/>
        <w:b w:val="0"/>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378625069">
    <w:abstractNumId w:val="10"/>
  </w:num>
  <w:num w:numId="2" w16cid:durableId="866868956">
    <w:abstractNumId w:val="10"/>
  </w:num>
  <w:num w:numId="3" w16cid:durableId="1509828096">
    <w:abstractNumId w:val="10"/>
  </w:num>
  <w:num w:numId="4" w16cid:durableId="848911446">
    <w:abstractNumId w:val="10"/>
  </w:num>
  <w:num w:numId="5" w16cid:durableId="319308949">
    <w:abstractNumId w:val="10"/>
  </w:num>
  <w:num w:numId="6" w16cid:durableId="1824816136">
    <w:abstractNumId w:val="9"/>
  </w:num>
  <w:num w:numId="7" w16cid:durableId="939605056">
    <w:abstractNumId w:val="7"/>
  </w:num>
  <w:num w:numId="8" w16cid:durableId="2014646379">
    <w:abstractNumId w:val="6"/>
  </w:num>
  <w:num w:numId="9" w16cid:durableId="1028792392">
    <w:abstractNumId w:val="5"/>
  </w:num>
  <w:num w:numId="10" w16cid:durableId="2076001249">
    <w:abstractNumId w:val="4"/>
  </w:num>
  <w:num w:numId="11" w16cid:durableId="1140657544">
    <w:abstractNumId w:val="8"/>
  </w:num>
  <w:num w:numId="12" w16cid:durableId="1569069161">
    <w:abstractNumId w:val="3"/>
  </w:num>
  <w:num w:numId="13" w16cid:durableId="430669336">
    <w:abstractNumId w:val="2"/>
  </w:num>
  <w:num w:numId="14" w16cid:durableId="1564637197">
    <w:abstractNumId w:val="1"/>
  </w:num>
  <w:num w:numId="15" w16cid:durableId="554246520">
    <w:abstractNumId w:val="0"/>
  </w:num>
  <w:num w:numId="16" w16cid:durableId="1103576880">
    <w:abstractNumId w:val="17"/>
  </w:num>
  <w:num w:numId="17" w16cid:durableId="703822232">
    <w:abstractNumId w:val="21"/>
  </w:num>
  <w:num w:numId="18" w16cid:durableId="687488512">
    <w:abstractNumId w:val="22"/>
  </w:num>
  <w:num w:numId="19" w16cid:durableId="1935622924">
    <w:abstractNumId w:val="25"/>
  </w:num>
  <w:num w:numId="20" w16cid:durableId="618026224">
    <w:abstractNumId w:val="19"/>
  </w:num>
  <w:num w:numId="21" w16cid:durableId="480539765">
    <w:abstractNumId w:val="14"/>
  </w:num>
  <w:num w:numId="22" w16cid:durableId="720713767">
    <w:abstractNumId w:val="18"/>
  </w:num>
  <w:num w:numId="23" w16cid:durableId="867527555">
    <w:abstractNumId w:val="10"/>
  </w:num>
  <w:num w:numId="24" w16cid:durableId="15042734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26294388">
    <w:abstractNumId w:val="23"/>
  </w:num>
  <w:num w:numId="26" w16cid:durableId="1593663352">
    <w:abstractNumId w:val="26"/>
  </w:num>
  <w:num w:numId="27" w16cid:durableId="20922666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799759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24682342">
    <w:abstractNumId w:val="23"/>
  </w:num>
  <w:num w:numId="30" w16cid:durableId="79060513">
    <w:abstractNumId w:val="10"/>
  </w:num>
  <w:num w:numId="31" w16cid:durableId="1551264628">
    <w:abstractNumId w:val="26"/>
  </w:num>
  <w:num w:numId="32" w16cid:durableId="17407068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02601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580918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0050919">
    <w:abstractNumId w:val="12"/>
  </w:num>
  <w:num w:numId="36" w16cid:durableId="296765694">
    <w:abstractNumId w:val="11"/>
  </w:num>
  <w:num w:numId="37" w16cid:durableId="1591411">
    <w:abstractNumId w:val="13"/>
  </w:num>
  <w:num w:numId="38" w16cid:durableId="656111735">
    <w:abstractNumId w:val="16"/>
  </w:num>
  <w:num w:numId="39" w16cid:durableId="744837326">
    <w:abstractNumId w:val="20"/>
  </w:num>
  <w:num w:numId="40" w16cid:durableId="366686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685"/>
    <w:rsid w:val="00013372"/>
    <w:rsid w:val="00017133"/>
    <w:rsid w:val="0004254A"/>
    <w:rsid w:val="000746C2"/>
    <w:rsid w:val="000861FE"/>
    <w:rsid w:val="000C2FE8"/>
    <w:rsid w:val="000E538C"/>
    <w:rsid w:val="000F0FA6"/>
    <w:rsid w:val="00117E38"/>
    <w:rsid w:val="00131C01"/>
    <w:rsid w:val="001B6A62"/>
    <w:rsid w:val="001C2F53"/>
    <w:rsid w:val="001D2B45"/>
    <w:rsid w:val="00205FEE"/>
    <w:rsid w:val="002520A1"/>
    <w:rsid w:val="00270123"/>
    <w:rsid w:val="002B535E"/>
    <w:rsid w:val="002D440B"/>
    <w:rsid w:val="002E6A6F"/>
    <w:rsid w:val="002E7EF7"/>
    <w:rsid w:val="002F505F"/>
    <w:rsid w:val="0035441C"/>
    <w:rsid w:val="003B369D"/>
    <w:rsid w:val="003C337B"/>
    <w:rsid w:val="003D6994"/>
    <w:rsid w:val="003F2852"/>
    <w:rsid w:val="0041799B"/>
    <w:rsid w:val="004C5B74"/>
    <w:rsid w:val="00520DFB"/>
    <w:rsid w:val="0053063B"/>
    <w:rsid w:val="00555DF7"/>
    <w:rsid w:val="00577ACF"/>
    <w:rsid w:val="00580259"/>
    <w:rsid w:val="005A2ADC"/>
    <w:rsid w:val="005B65DF"/>
    <w:rsid w:val="005C7D4A"/>
    <w:rsid w:val="005F1A51"/>
    <w:rsid w:val="00624AEF"/>
    <w:rsid w:val="00645DAA"/>
    <w:rsid w:val="00662A73"/>
    <w:rsid w:val="006F2A2C"/>
    <w:rsid w:val="00702662"/>
    <w:rsid w:val="00717685"/>
    <w:rsid w:val="00786775"/>
    <w:rsid w:val="00791A1A"/>
    <w:rsid w:val="007D141D"/>
    <w:rsid w:val="007D567C"/>
    <w:rsid w:val="007E5D09"/>
    <w:rsid w:val="00885865"/>
    <w:rsid w:val="008972A5"/>
    <w:rsid w:val="008B5B0E"/>
    <w:rsid w:val="008E0E5E"/>
    <w:rsid w:val="008E3DF3"/>
    <w:rsid w:val="00902D2A"/>
    <w:rsid w:val="00914B1E"/>
    <w:rsid w:val="00983FD1"/>
    <w:rsid w:val="00995F8A"/>
    <w:rsid w:val="009A0AF3"/>
    <w:rsid w:val="009B148C"/>
    <w:rsid w:val="009C46B2"/>
    <w:rsid w:val="00A44778"/>
    <w:rsid w:val="00A755B6"/>
    <w:rsid w:val="00AB4886"/>
    <w:rsid w:val="00B11DB6"/>
    <w:rsid w:val="00B264B4"/>
    <w:rsid w:val="00B40E87"/>
    <w:rsid w:val="00B81E83"/>
    <w:rsid w:val="00B9375D"/>
    <w:rsid w:val="00B976A8"/>
    <w:rsid w:val="00C0337B"/>
    <w:rsid w:val="00C27B58"/>
    <w:rsid w:val="00C430F1"/>
    <w:rsid w:val="00C55EF2"/>
    <w:rsid w:val="00CE4E2A"/>
    <w:rsid w:val="00D45C4D"/>
    <w:rsid w:val="00D605B1"/>
    <w:rsid w:val="00DD4AF2"/>
    <w:rsid w:val="00E11350"/>
    <w:rsid w:val="00E1360E"/>
    <w:rsid w:val="00E57D77"/>
    <w:rsid w:val="00EB73FF"/>
    <w:rsid w:val="00EC108E"/>
    <w:rsid w:val="00F41F30"/>
    <w:rsid w:val="00F60F7E"/>
    <w:rsid w:val="00F840EB"/>
    <w:rsid w:val="00FB60FE"/>
    <w:rsid w:val="00FE6D6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B64B91"/>
  <w15:docId w15:val="{CA6F44FC-C808-4BC6-9C62-E897FFF7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3"/>
      </w:numPr>
      <w:spacing w:after="240"/>
      <w:ind w:left="108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pPr>
      <w:widowControl w:val="0"/>
      <w:numPr>
        <w:ilvl w:val="2"/>
        <w:numId w:val="2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C0337B"/>
    <w:rPr>
      <w:sz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C0337B"/>
    <w:rPr>
      <w:lang w:val="en-GB" w:bidi="ar-DZ"/>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C0337B"/>
    <w:rPr>
      <w:vertAlign w:val="superscript"/>
    </w:rPr>
  </w:style>
  <w:style w:type="paragraph" w:styleId="ListParagraph">
    <w:name w:val="List Paragraph"/>
    <w:basedOn w:val="Normal"/>
    <w:uiPriority w:val="34"/>
    <w:qFormat/>
    <w:rsid w:val="00717685"/>
    <w:pPr>
      <w:ind w:left="720"/>
      <w:contextualSpacing/>
    </w:pPr>
    <w:rPr>
      <w:sz w:val="22"/>
      <w:szCs w:val="22"/>
      <w:lang w:eastAsia="ar-EG" w:bidi="ar-S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17685"/>
    <w:pPr>
      <w:spacing w:after="160" w:line="240" w:lineRule="exact"/>
    </w:pPr>
    <w:rPr>
      <w:sz w:val="20"/>
      <w:vertAlign w:val="superscript"/>
      <w:lang w:val="en-US" w:bidi="ar-SA"/>
    </w:rPr>
  </w:style>
  <w:style w:type="character" w:styleId="Hyperlink">
    <w:name w:val="Hyperlink"/>
    <w:basedOn w:val="DefaultParagraphFont"/>
    <w:uiPriority w:val="99"/>
    <w:unhideWhenUsed/>
    <w:rsid w:val="000F0FA6"/>
    <w:rPr>
      <w:color w:val="0000FF"/>
      <w:u w:val="single"/>
    </w:rPr>
  </w:style>
  <w:style w:type="character" w:customStyle="1" w:styleId="ident211228">
    <w:name w:val="ident_211_228"/>
    <w:basedOn w:val="DefaultParagraphFont"/>
    <w:rsid w:val="000F0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63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773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s://www.tresor.economie.gouv.fr/services-aux-entreprises/le-pret-du-tresor" TargetMode="Externa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yperlink" Target="https://www.tresor.economie.gouv.fr/services-aux-entreprises/le-pret-du-tresor"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climateinvestmentfunds.org" TargetMode="External"/><Relationship Id="rId32" Type="http://schemas.openxmlformats.org/officeDocument/2006/relationships/footer" Target="footer10.xm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esmap.org)-" TargetMode="External"/><Relationship Id="rId28" Type="http://schemas.openxmlformats.org/officeDocument/2006/relationships/header" Target="header8.xm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international-climate-initiative.com/fileadmin/Dokumente/2019/20190503_Guidelines_on_project_and_programme_planning.pdf" TargetMode="External"/><Relationship Id="rId13" Type="http://schemas.openxmlformats.org/officeDocument/2006/relationships/hyperlink" Target="https://www.seco-cooperation.admin.ch/secocoop/en/home/laender.html" TargetMode="External"/><Relationship Id="rId3" Type="http://schemas.openxmlformats.org/officeDocument/2006/relationships/hyperlink" Target="https://policies.worldbank.org/en/policies" TargetMode="External"/><Relationship Id="rId7" Type="http://schemas.openxmlformats.org/officeDocument/2006/relationships/hyperlink" Target="https://www.international-climate-initiative.com/en/issues/mitigation/f-gases" TargetMode="External"/><Relationship Id="rId12" Type="http://schemas.openxmlformats.org/officeDocument/2006/relationships/hyperlink" Target="https://www.eda.admin.ch/deza/en/home/countries/schwerpunktregionen-iza.html" TargetMode="External"/><Relationship Id="rId2" Type="http://schemas.openxmlformats.org/officeDocument/2006/relationships/hyperlink" Target="https://www.afdb.org/en/projects-and-operations/project-cycle" TargetMode="External"/><Relationship Id="rId1" Type="http://schemas.openxmlformats.org/officeDocument/2006/relationships/hyperlink" Target="https://www.greenclimate.fund/about/partners/ae" TargetMode="External"/><Relationship Id="rId6" Type="http://schemas.openxmlformats.org/officeDocument/2006/relationships/hyperlink" Target="https://www.bmz.de/en/countries" TargetMode="External"/><Relationship Id="rId11" Type="http://schemas.openxmlformats.org/officeDocument/2006/relationships/hyperlink" Target="https://investinternational.nl/" TargetMode="External"/><Relationship Id="rId5" Type="http://schemas.openxmlformats.org/officeDocument/2006/relationships/hyperlink" Target="https://www.sunref.org/en/sunref-2/submit-a-project/" TargetMode="External"/><Relationship Id="rId15" Type="http://schemas.openxmlformats.org/officeDocument/2006/relationships/hyperlink" Target="https://devtracker.fcdo.gov.uk/" TargetMode="External"/><Relationship Id="rId10" Type="http://schemas.openxmlformats.org/officeDocument/2006/relationships/hyperlink" Target="https://www.fmo.nl/" TargetMode="External"/><Relationship Id="rId4" Type="http://schemas.openxmlformats.org/officeDocument/2006/relationships/hyperlink" Target="https://www.peeb.build/imglib/downloads/PEEB_criteria_june%202019.pdf" TargetMode="External"/><Relationship Id="rId9" Type="http://schemas.openxmlformats.org/officeDocument/2006/relationships/hyperlink" Target="https://www.international-climate-initiative.com/en/project-funding/information-for-applicants" TargetMode="External"/><Relationship Id="rId14" Type="http://schemas.openxmlformats.org/officeDocument/2006/relationships/hyperlink" Target="https://www.eda.admin.ch/dam/deza/en/documents/die-deza/strategie/broschuere-IZA-strategie-2021-2024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May%202022\A8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0A85A85B-A881-476D-9214-1488114D3F32}"/>
</file>

<file path=customXml/itemProps3.xml><?xml version="1.0" encoding="utf-8"?>
<ds:datastoreItem xmlns:ds="http://schemas.openxmlformats.org/officeDocument/2006/customXml" ds:itemID="{BBC73A46-9E64-4DFE-A70B-D09D4570F1E6}"/>
</file>

<file path=customXml/itemProps4.xml><?xml version="1.0" encoding="utf-8"?>
<ds:datastoreItem xmlns:ds="http://schemas.openxmlformats.org/officeDocument/2006/customXml" ds:itemID="{90E9A419-378E-41CE-A7E3-C5F5FD58A1C6}"/>
</file>

<file path=docProps/app.xml><?xml version="1.0" encoding="utf-8"?>
<Properties xmlns="http://schemas.openxmlformats.org/officeDocument/2006/extended-properties" xmlns:vt="http://schemas.openxmlformats.org/officeDocument/2006/docPropsVTypes">
  <Template>A89-template</Template>
  <TotalTime>85</TotalTime>
  <Pages>44</Pages>
  <Words>16045</Words>
  <Characters>91460</Characters>
  <Application>Microsoft Office Word</Application>
  <DocSecurity>0</DocSecurity>
  <Lines>762</Lines>
  <Paragraphs>214</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اعتمدت الأطراف في اجتماعها الثامن والعشرين تعديل كيغالي لبروتوكول مونتريال (المق</vt:lpstr>
      <vt:lpstr>وفي الاجتماع الثاني والثمانين، طلبت اللجنة التنفيذية إلى الأمانة إعداد وثائق داع</vt:lpstr>
      <vt:lpstr>وعقب المناقشة التي أجراها فريق الاتصال في يونيه/حزيران 2021،  اضطلعت اللجنة التن</vt:lpstr>
      <vt:lpstr>تقدم الأمانة هذا التقرير عملاً بالمقرر 87/51. وهو ينقسم إلى خمسة أقسام: يسرد الأ</vt:lpstr>
      <vt:lpstr>عند إعداد هذا التقرير، استعرضت الأمانة المعلومات المقدمة في تقرير فريق التكنولوج</vt:lpstr>
      <vt:lpstr>وبناءً على هذه المشاورات، حُددت المؤسسات المبينة في الجدول 1، وجرى التواصل معها </vt:lpstr>
      <vt:lpstr>وتعرب الأمانة عن تقديرها لهذه المؤسسات التي عبرت عن آرائها في المناقشات الخطية أ</vt:lpstr>
      <vt:lpstr>للوقوف على خيارات حشد الموارد المالية على النحو كما طلبت اللجنة التنفيذية في الم</vt:lpstr>
      <vt:lpstr>وفي العديد من البلدان العاملة بالمادة 5، من المتوقع من مشروعات الحفاظ على كفاءة </vt:lpstr>
      <vt:lpstr>المبادئ التوجيهية لإعداد خطط تنفيذ خطط تنفيذ تعديل كيغالي فيما يخص الهيدروفلوروك</vt:lpstr>
      <vt:lpstr>تصنيع المنتجات وتصميمها</vt:lpstr>
      <vt:lpstr>في حين أن جميع البلدان العاملة بالمادة 5 ستظل بحاجة إلى خدمة معدات التبريد وتكيي</vt:lpstr>
      <vt:lpstr>ويجب تصميم ووضع المشروعات المتعلقة بأساليب الصنع للقطاعات الفرعية لتصنيع الرغاوي</vt:lpstr>
      <vt:lpstr>تحسين كفاءة الطاقة في معدات التبريد وتكييف الهواء والمضخات الحرارية مدفوعٌ أساسا</vt:lpstr>
      <vt:lpstr>وعادة ما يستغرق تنفيذ المشروع في سياق خطة تنفيذ تعديل كيغالي فيما يخص الهيدروفلو</vt:lpstr>
      <vt:lpstr>وسوف تؤثر المشروعات الرامية إلى تحسين كفاءة استخدام المعدات للطاقة في البلدان ال</vt:lpstr>
      <vt:lpstr>وتشمل المشروعات في قطاع التصنيع عادة تحسينات في تصميم المكونات والمنتجات و/أو تط</vt:lpstr>
      <vt:lpstr>تركيب المعدات وخدمتها وصيانتها </vt:lpstr>
      <vt:lpstr>على عكس المعدات المصنعة بكميات كبيرة مثل الثلاجات المنزلية أو مكيفات الهواء، يمك</vt:lpstr>
      <vt:lpstr>على البلدان العاملة بالمادة 5 التي تصنع وتستورد معدات التبريد وتكييف الهواء والم</vt:lpstr>
      <vt:lpstr>    تحديث المواد التدريبية لتعزيز الممارسات الجيدة والجوانب ذات الصلة بكفاءة الطاقة </vt:lpstr>
      <vt:lpstr>    ووضع برامج اعتماد التقنيين على أساس الكفاءة، وتنفيذها، وتعزيز المؤسسات الوطنية ب</vt:lpstr>
      <vt:lpstr>    والمشروعات التجريبية المصممة للمستخدمين النهائيين والمقاولين، وتستهدفهم، لاعتماد</vt:lpstr>
      <vt:lpstr>    ورصد أثر الأنشطة المرتبطة بكفاءة الطاقة، وبرامج التوعية ونشر المعلومات للترويج ل</vt:lpstr>
      <vt:lpstr>وفي قطاع الخدمات، الجمع بين تنفيذ الأنشطة المتعلقة بالتخفيض التدريجي للمواد الهي</vt:lpstr>
      <vt:lpstr>وأجرى كبير موظفي الرصد والتقييم دراسة نظرية عن كفاءة الطاقة في قطاع الخدمات  عمل</vt:lpstr>
      <vt:lpstr>تطوير وتنفيذ سياسات الحفاظ على كفاءة الطاقة و/أو تعزيزها ولوائحها</vt:lpstr>
      <vt:lpstr>وضع سياسات وأنظمة لكفاءة الطاقة، وتنفيذها، أمرٌ ضروريٌ لضمان تحسينات مستدامة تتف</vt:lpstr>
      <vt:lpstr>بالإضافة إلى ذلك، اتفاقات الاعتراف المتبادل بين البلدان بشأن معايير كفاءة الطاقة</vt:lpstr>
      <vt:lpstr>والتنسيق المؤسسي بين وحدات الأوزون الوطنية وسلطات كفاءة الطاقة في البلد أمرٌ بال</vt:lpstr>
      <vt:lpstr>يجب تصميم وإدارة عمليات الرصد والإبلاغ عن وفورات الطاقة بعناية لإظهار تأثير الإج</vt:lpstr>
      <vt:lpstr>ب-	التأثير</vt:lpstr>
      <vt:lpstr>الاسترداد</vt:lpstr>
      <vt:lpstr>سيعود تحسين كفاءة الطاقة لمعدات التبريد وتكييف الهواء والمضخات الحرارية بالنفع ع</vt:lpstr>
      <vt:lpstr>ويبين الجدول 2 الاسترداد المحتمل حسب مستويات مختلفة من استخدام مكيف الهواء المنز</vt:lpstr>
      <vt:lpstr>وعلى مستوى أوسع، البلدان التي تنفذ تدابير كفاءة الطاقة تحقق أيضاً وفورات في الاس</vt:lpstr>
      <vt:lpstr>خفض انبعاثات غازات الدفيئة</vt:lpstr>
      <vt:lpstr>يختلف تأثير تحسين كفاءة الطاقة على انبعاثات غازات الدفيئة مع التخفيض التدريجي لل</vt:lpstr>
      <vt:lpstr>ومن الجدير بالملاحظة أنه بصرف النظر عن تخفيضات انبعاثات غازات الدفيئة، فإن تحسين</vt:lpstr>
      <vt:lpstr>في ضوء المعلومات الواردة أعلاه والمتعلقة بنوع (أو أنواع) المشروعات والأنشطة الرا</vt:lpstr>
      <vt:lpstr>بالإضافة إلى ذلك، وفي ضوء الخبرة المحدودة للغاية للصندوق المتعدد الأطراف في معال</vt:lpstr>
      <vt:lpstr>وينبغي تصميم هذه المشروعات بحيث تكون فترة تنفيذها قصيرة (أي من سنتين إلى ثلاث سن</vt:lpstr>
      <vt:lpstr>وبموجب هذا الخيار، ستمول كل من أنشطة التخفيض التدريجي للهيدروفلوروكربون وكفاءة ا</vt:lpstr>
      <vt:lpstr>سيكون تنفيذ هذا الخيار مماثلاً للإجراء المطبق للمساهمات الإضافية لدعم البداية ال</vt:lpstr>
      <vt:lpstr>الخيار الثالث:  التمويل من المساهمات الإضافية التي جرى التفاوض عليها مع صندوق ال</vt:lpstr>
      <vt:lpstr>في إطار هذا الخيار، مصدر تمويل أنشطة كفاءة الطاقة، بما فيها الأنشطة التي تبدأ با</vt:lpstr>
      <vt:lpstr>وبالنظر إلى أن صندوق المناخ الأخضر و/أو مرفق البيئة العالمية ومؤسسات التمويل الأ</vt:lpstr>
      <vt:lpstr>ويقدم الجدول 3 أدناه ملخصاً بالجوانب الرئيسية لمختلف الخيارات في عملية الموافقة </vt:lpstr>
      <vt:lpstr>الجدول 3- تقييم خيارات تمويل مكونات كفاءة الطاقة مع التخفيض التدريجي للمواد الهي</vt:lpstr>
      <vt:lpstr>ويمكن أيضاً تنفيذ الخيارات المذكورة أعلاه بالتوازي، أو بجمعها معاً، لأن تطبيق أح</vt:lpstr>
      <vt:lpstr>وسيلزم اتخاذ خطوات مختلفة لتفعيل ما توافق عليه اللجنة التنفيذية من خيار، أو خيار</vt:lpstr>
      <vt:lpstr>ويمكن أيضاً الجمع بين أي من الخيارات المذكورة أعلاه والجهود الممكنة التي تبذلها </vt:lpstr>
      <vt:lpstr>وفي حين أن اللجنة التنفيذية سترصد التقدم المحرز في مشروع التخفيض التدريجي للهيدر</vt:lpstr>
      <vt:lpstr>وجرى تقييم طريقة التنفيذ، وهي نفسها التي عولجت بها مكونات كفاءة الطاقة في بعض ال</vt:lpstr>
      <vt:lpstr>ب. 	التوافق مع عمليات الصندوق المتعدد الأطراف </vt:lpstr>
      <vt:lpstr>وُجّه طلب للأمانة بموجب المقرر 87/51(ب) لتحديد الخيارات التي تنطوي على العمل مع </vt:lpstr>
      <vt:lpstr>وقد تكون بعض عناصر الإجراءات التي تتخذها المؤسسات لتمويل مكونات كفاءة استخدام ال</vt:lpstr>
      <vt:lpstr>وُجه طلب للأمانة بموجب المقرر 87/51(ج) لتقديم معلومات عن إجراءات وشروط الحصول عل</vt:lpstr>
      <vt:lpstr>ويرد أدناه موجز للنتائج الرئيسية استناداً إلى الردود التي تلقتها الأمانة: </vt:lpstr>
      <vt:lpstr>    تتوافر مصادر تمويل كفاءة استخدام الطاقة في مؤسسات التمويل المختلفة من خلال أدوات</vt:lpstr>
      <vt:lpstr>    تستند إجراءات وشروط الحصول على منح المشروع وخيارات التمويل الأخرى من المؤسسات ال</vt:lpstr>
      <vt:lpstr>    تُستخدم خيارات التمويل المختلطة لتمويل المشروعات استناداً إلى احتياجات المشروع ا</vt:lpstr>
      <vt:lpstr>    لا تتوافر فرص تمويل مُخصصة لمعالجة كفاءة استخدام الطاقة حصراً في قطاع تصنيع الرغ</vt:lpstr>
      <vt:lpstr>    يوفر الصندوق الأخضر للمناخ ومرفق البيئة العالمية الدعم التمويلي لكفاءة استخدام ا</vt:lpstr>
      <vt:lpstr>    يقدم المانحون الثنائيون تمويل المانحين، في معظم الحالات، من خلال مؤسسات متعددة ا</vt:lpstr>
      <vt:lpstr>    يوفر المانحون الثنائيون التمويل للمشروعات أو البرامج من خلال ترتيبات مُتفاوض علي</vt:lpstr>
      <vt:lpstr>    تعرف مؤسسات التمويل والمؤسسات المالية المختلفة، على نطاق واسع، بروتوكول مونتريال</vt:lpstr>
      <vt:lpstr>يمكن ملاحظة النقاط الرئيسية التالية استناداً إلى المعلومات المُحصلة لإعداد هذه ا</vt:lpstr>
      <vt:lpstr>    يبدو أنه لا يوجد مصدر تمويل مخصص لتمويل كفاءة استخدام الطاقة حصراً عند التخفيض ا</vt:lpstr>
      <vt:lpstr>    لما كانت كفاءة استخدام الطاقة تحصل على تمويل من مؤسسات مختلفة تغطي مجموعة من الأ</vt:lpstr>
      <vt:lpstr>    سيتعين إدارة الأموال من خلال عمليات الصندوق المتعدد الأطراف واضطلاع اللجنة التنف</vt:lpstr>
      <vt:lpstr>    تتوقف إجراءات الحصول على الأموال على عملية الموافقة على المشروع التي تعتمدها الم</vt:lpstr>
      <vt:lpstr>    ستتحقق وفورات في التكاليف (مثل أنشطة تصميم المعدات المتكاملة للتخفيض التدريجي لل</vt:lpstr>
      <vt:lpstr>    يُعد بناء قدرات وكالات وفنيي خدمات معدات التبريد وتكييف الهواء والمضخات الحرارية</vt:lpstr>
      <vt:lpstr>    توضح الاتجاهات السائدة أن كفاءة استخدام الطاقة لمعدات التبريد وتكييف الهواء والم</vt:lpstr>
      <vt:lpstr>    يجب أن تستند أهداف كفاءة استخدام الطاقة للمشروعات إلى معايير كفاءة استخدام الطاق</vt:lpstr>
      <vt:lpstr>    سياسات الحفاظ على كفاءة الطاقة و/أو تعزيزها ولوائحهما</vt:lpstr>
      <vt:lpstr>    تُعد السياسات واللوائح، بما في ذلك معايير أداء الطاقة الدنيا وبرامج وضع العلامات</vt:lpstr>
      <vt:lpstr>    التنسيق المؤسسي</vt:lpstr>
      <vt:lpstr>    تلتزم وحدات الأوزون الوطنية بالتنسيق مع السلطات الوطنية المسؤولة عن المسائل المت</vt:lpstr>
      <vt:lpstr>    رصد التأثير والاسترداد</vt:lpstr>
      <vt:lpstr>    قد ينطوي رصد أداء كفاءة استخدام الطاقة في المنتجات على مستوى المستخدم النهائي عل</vt:lpstr>
      <vt:lpstr>    يستفيد المستخدمون النهائيون للمعدات التي تتسم بكفاءة استخدام الطاقة، نتيجة لانخف</vt:lpstr>
      <vt:lpstr>    جدير بالذكر أيضاً أن مؤسسات الصندوق المتعدد الأطراف لديها خبرة محدودة في تنفيذ ا</vt:lpstr>
      <vt:lpstr>    يُعد بناء قدرات المؤسسات المختلفة المشاركة في تطوير العناصر المتعلقة بكفاءة استخ</vt:lpstr>
      <vt:lpstr>قد ترغب اللجنة التنفيذية في الآتي:</vt:lpstr>
      <vt:lpstr>    أن تحيط علما بما يلي: </vt:lpstr>
      <vt:lpstr>        المقرر الذي يحدد الخيارات، بما فيها الإجراءات والشروط ذات الصلة لتعبئة الموارد ا</vt:lpstr>
      <vt:lpstr>        مع التقدير، مشاركة مؤسسات التمويل والمؤسسات المالية التي تقدم معلومات إلى الأمان</vt:lpstr>
      <vt:lpstr>    وأن تنظر فيما يلي:</vt:lpstr>
      <vt:lpstr>        الخيارات المحددة في الفقرات من 30 إلى 42 من الوثيقة UNEP/OzL.Pro/ExCom/89/12؛</vt:lpstr>
      <vt:lpstr>        إتاحة فرصة تمويل خاصة في خطة الأعمال الحالية على مستوى تمويل تقرره اللجنة التنفي</vt:lpstr>
      <vt:lpstr>    أن تطلب إلى الأمانة، [في حالة الاتفاق على فرصة التمويل الواردة في الفقرة الفرعية</vt:lpstr>
      <vt:lpstr>موجز المقررات والمناقشات التي دارت في اجتماعات اللجنة التنفيذية حتى  الدورة السا</vt:lpstr>
      <vt:lpstr>الاجتماع الثاني والثمانون </vt:lpstr>
      <vt:lpstr>طُلب إلى الأمانة أن تقدم لاجتماعها الثاني والثمانين ملخصاً لمداولات الأطراف في ا</vt:lpstr>
      <vt:lpstr/>
      <vt:lpstr>واستجابة للمقرر 82/83(د)، قدمت الأمانة إلى الاجتماع الثالث والثمانين  الوثيقة  U</vt:lpstr>
      <vt:lpstr>تمشيا مع المقرر 83/63، أعادت الأمانة تقديم الورقة بشأن الصناديق والمؤسسات المالي</vt:lpstr>
      <vt:lpstr>    (ب)’1‘	أن تعد، بالتشاور مع الوكالات المنفذة، وثيقة للاجتماع الخامس والثمانين، يم</vt:lpstr>
    </vt:vector>
  </TitlesOfParts>
  <Company>UNMFS</Company>
  <LinksUpToDate>false</LinksUpToDate>
  <CharactersWithSpaces>107291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Fathi</dc:creator>
  <cp:lastModifiedBy>HBE</cp:lastModifiedBy>
  <cp:revision>22</cp:revision>
  <cp:lastPrinted>2001-05-26T16:40:00Z</cp:lastPrinted>
  <dcterms:created xsi:type="dcterms:W3CDTF">2022-05-11T07:49:00Z</dcterms:created>
  <dcterms:modified xsi:type="dcterms:W3CDTF">2022-05-12T03:09:00Z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UNEP/OzL.Pro/ExCom/89/12</vt:lpwstr>
  </property>
  <property fmtid="{D5CDD505-2E9C-101B-9397-08002B2CF9AE}" pid="3" name="Revision date">
    <vt:lpwstr>5/5/2022</vt:lpwstr>
  </property>
  <property fmtid="{D5CDD505-2E9C-101B-9397-08002B2CF9AE}" pid="4" name="ContentTypeId">
    <vt:lpwstr>0x010100C5F60F8E60516143877F7AC30EFBB2F3</vt:lpwstr>
  </property>
  <property fmtid="{D5CDD505-2E9C-101B-9397-08002B2CF9AE}" pid="5" name="Order">
    <vt:r8>12165600</vt:r8>
  </property>
</Properties>
</file>