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70"/>
        <w:gridCol w:w="4122"/>
        <w:gridCol w:w="4050"/>
      </w:tblGrid>
      <w:tr w:rsidR="00227F4F" w:rsidRPr="00CC6E10" w14:paraId="5FE011E2" w14:textId="77777777" w:rsidTr="00A35E96">
        <w:trPr>
          <w:trHeight w:val="720"/>
        </w:trPr>
        <w:tc>
          <w:tcPr>
            <w:tcW w:w="6192" w:type="dxa"/>
            <w:gridSpan w:val="2"/>
            <w:tcBorders>
              <w:bottom w:val="single" w:sz="18" w:space="0" w:color="auto"/>
            </w:tcBorders>
          </w:tcPr>
          <w:p w14:paraId="04C22232"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050" w:type="dxa"/>
            <w:tcBorders>
              <w:bottom w:val="single" w:sz="18" w:space="0" w:color="auto"/>
            </w:tcBorders>
          </w:tcPr>
          <w:p w14:paraId="26A69648" w14:textId="77777777" w:rsidR="00227F4F" w:rsidRPr="00CC6E10" w:rsidRDefault="00227F4F" w:rsidP="00FD4690">
            <w:pPr>
              <w:jc w:val="right"/>
              <w:rPr>
                <w:sz w:val="52"/>
                <w:szCs w:val="52"/>
              </w:rPr>
            </w:pPr>
            <w:r>
              <w:rPr>
                <w:rFonts w:ascii="Univers Bold" w:hAnsi="Univers Bold"/>
                <w:b/>
                <w:sz w:val="72"/>
              </w:rPr>
              <w:t>EP</w:t>
            </w:r>
          </w:p>
        </w:tc>
      </w:tr>
      <w:tr w:rsidR="00227F4F" w:rsidRPr="00CC6E10" w14:paraId="0C5AD67F" w14:textId="77777777" w:rsidTr="00A35E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321B011D" w14:textId="77777777" w:rsidR="00227F4F" w:rsidRPr="00CC6E10" w:rsidRDefault="007B3D87" w:rsidP="00FD4690">
            <w:pPr>
              <w:spacing w:before="120"/>
            </w:pPr>
            <w:r>
              <w:rPr>
                <w:noProof/>
              </w:rPr>
              <mc:AlternateContent>
                <mc:Choice Requires="wpg">
                  <w:drawing>
                    <wp:anchor distT="0" distB="0" distL="114300" distR="114300" simplePos="0" relativeHeight="251658240" behindDoc="0" locked="0" layoutInCell="1" allowOverlap="1" wp14:anchorId="78EAF120" wp14:editId="442AF441">
                      <wp:simplePos x="0" y="0"/>
                      <wp:positionH relativeFrom="column">
                        <wp:posOffset>15240</wp:posOffset>
                      </wp:positionH>
                      <wp:positionV relativeFrom="paragraph">
                        <wp:posOffset>52705</wp:posOffset>
                      </wp:positionV>
                      <wp:extent cx="826179" cy="1533526"/>
                      <wp:effectExtent l="0" t="0" r="0" b="9525"/>
                      <wp:wrapNone/>
                      <wp:docPr id="1" name="Group 1"/>
                      <wp:cNvGraphicFramePr/>
                      <a:graphic xmlns:a="http://schemas.openxmlformats.org/drawingml/2006/main">
                        <a:graphicData uri="http://schemas.microsoft.com/office/word/2010/wordprocessingGroup">
                          <wpg:wgp>
                            <wpg:cNvGrpSpPr/>
                            <wpg:grpSpPr>
                              <a:xfrm>
                                <a:off x="0" y="0"/>
                                <a:ext cx="826179" cy="1533526"/>
                                <a:chOff x="0" y="0"/>
                                <a:chExt cx="826179" cy="153352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0" y="746126"/>
                                  <a:ext cx="826179" cy="7874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6BA2B05" id="Group 1" o:spid="_x0000_s1026" style="position:absolute;margin-left:1.2pt;margin-top:4.15pt;width:65.05pt;height:120.75pt;z-index:251658240;mso-width-relative:margin;mso-height-relative:margin" coordsize="8261,15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&#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CsM&#10;TfOHAgAArAcAAA4AAAAAAAAAAAAAAAAAOgIAAGRycy9lMm9Eb2MueG1sUEsBAi0ACgAAAAAAAAAh&#10;AH4VrL8SBgAAEgYAABQAAAAAAAAAAAAAAAAA7QQAAGRycy9tZWRpYS9pbWFnZTEucG5nUEsBAi0A&#10;CgAAAAAAAAAhAOCJ3RxtCQAAbQkAABQAAAAAAAAAAAAAAAAAMQsAAGRycy9tZWRpYS9pbWFnZTIu&#10;cG5nUEsBAi0AFAAGAAgAAAAhAFfoCOjcAAAABwEAAA8AAAAAAAAAAAAAAAAA0B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461;width:8261;height:7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22" w:type="dxa"/>
            <w:tcBorders>
              <w:top w:val="nil"/>
              <w:left w:val="nil"/>
              <w:bottom w:val="single" w:sz="36" w:space="0" w:color="auto"/>
              <w:right w:val="nil"/>
            </w:tcBorders>
          </w:tcPr>
          <w:p w14:paraId="4083E296" w14:textId="77777777" w:rsidR="00D436D2" w:rsidRDefault="00D436D2"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1069298" w14:textId="7DF52470" w:rsidR="00227F4F" w:rsidRPr="004F6138"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0432C1FD" w14:textId="77777777" w:rsidR="00227F4F" w:rsidRPr="004F6138"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5428132" w14:textId="7183580E" w:rsidR="00227F4F" w:rsidRPr="004F6138" w:rsidRDefault="00227F4F" w:rsidP="00D436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Pr>
                <w:rFonts w:ascii="Univers" w:hAnsi="Univers"/>
                <w:b/>
                <w:sz w:val="32"/>
              </w:rPr>
              <w:t>para el Medio Ambiente</w:t>
            </w:r>
          </w:p>
        </w:tc>
        <w:tc>
          <w:tcPr>
            <w:tcW w:w="4050" w:type="dxa"/>
            <w:tcBorders>
              <w:top w:val="nil"/>
              <w:left w:val="nil"/>
              <w:bottom w:val="single" w:sz="36" w:space="0" w:color="auto"/>
              <w:right w:val="nil"/>
            </w:tcBorders>
          </w:tcPr>
          <w:p w14:paraId="638BBBF6" w14:textId="77777777" w:rsidR="00A35E96" w:rsidRDefault="00A35E96" w:rsidP="00FD4690"/>
          <w:p w14:paraId="236328F1" w14:textId="6E19818C" w:rsidR="00227F4F" w:rsidRPr="004F6138" w:rsidRDefault="00227F4F" w:rsidP="00FD4690">
            <w:r>
              <w:t>Distr.</w:t>
            </w:r>
          </w:p>
          <w:p w14:paraId="2E266DDC" w14:textId="79609386" w:rsidR="00227F4F" w:rsidRPr="004F6138" w:rsidRDefault="00125B02" w:rsidP="00FD4690">
            <w:r>
              <w:t>GENERAL</w:t>
            </w:r>
          </w:p>
          <w:p w14:paraId="315A9BFA" w14:textId="77777777" w:rsidR="00227F4F" w:rsidRPr="004F6138" w:rsidRDefault="00227F4F" w:rsidP="00FD4690"/>
          <w:p w14:paraId="7C1E891A" w14:textId="04178E22" w:rsidR="00227F4F" w:rsidRPr="004F6138" w:rsidRDefault="00EA14C6" w:rsidP="00FD4690">
            <w:fldSimple w:instr="DOCPROPERTY &quot;Document number&quot;  \* MERGEFORMAT">
              <w:r w:rsidR="00D436D2">
                <w:t>UNEP/OzL.Pro/ExCom/97/88</w:t>
              </w:r>
            </w:fldSimple>
          </w:p>
          <w:p w14:paraId="3A7EAEFE" w14:textId="74030D10" w:rsidR="00227F4F" w:rsidRPr="004F6138" w:rsidRDefault="00227F4F" w:rsidP="00FD4690">
            <w:r w:rsidRPr="004F6138">
              <w:fldChar w:fldCharType="begin"/>
            </w:r>
            <w:r w:rsidRPr="004F6138">
              <w:instrText xml:space="preserve"> DOCPROPERTY "Revision date" \@ "d MMMM YYYY"  \* MERGEFORMAT </w:instrText>
            </w:r>
            <w:r w:rsidRPr="004F6138">
              <w:fldChar w:fldCharType="separate"/>
            </w:r>
            <w:r w:rsidR="00EA14C6">
              <w:t xml:space="preserve">3 </w:t>
            </w:r>
            <w:r w:rsidR="00A727FA">
              <w:t xml:space="preserve">de </w:t>
            </w:r>
            <w:r w:rsidR="00EA14C6">
              <w:t xml:space="preserve">noviembre </w:t>
            </w:r>
            <w:r w:rsidR="00A727FA">
              <w:t xml:space="preserve">de </w:t>
            </w:r>
            <w:r w:rsidR="00EA14C6">
              <w:t>2025</w:t>
            </w:r>
            <w:r w:rsidRPr="004F6138">
              <w:fldChar w:fldCharType="end"/>
            </w:r>
          </w:p>
          <w:p w14:paraId="290C2C8D" w14:textId="77777777" w:rsidR="00227F4F" w:rsidRPr="004F6138" w:rsidRDefault="00227F4F" w:rsidP="00FD4690">
            <w:pPr>
              <w:rPr>
                <w:caps/>
              </w:rPr>
            </w:pPr>
          </w:p>
          <w:p w14:paraId="5A132307" w14:textId="77777777" w:rsidR="00DD2087" w:rsidRDefault="00227F4F" w:rsidP="00FD4690">
            <w:r>
              <w:t xml:space="preserve">ESPAÑOL </w:t>
            </w:r>
          </w:p>
          <w:p w14:paraId="5315F4BD" w14:textId="489D6AB3" w:rsidR="00227F4F" w:rsidRPr="004F6138" w:rsidRDefault="00227F4F" w:rsidP="00FD4690">
            <w:r>
              <w:t>ORIGINAL: INGLÉS</w:t>
            </w:r>
          </w:p>
        </w:tc>
      </w:tr>
    </w:tbl>
    <w:p w14:paraId="13E385D4" w14:textId="77777777" w:rsidR="00E72900" w:rsidRDefault="00227F4F" w:rsidP="00E72900">
      <w:pPr>
        <w:jc w:val="left"/>
      </w:pPr>
      <w:r>
        <w:t>COMITÉ EJECUTIVO DEL FONDO MULTILATERAL</w:t>
      </w:r>
      <w:r>
        <w:br/>
        <w:t xml:space="preserve"> PARA LA APLICACIÓN DEL</w:t>
      </w:r>
      <w:r>
        <w:br/>
        <w:t xml:space="preserve"> PROTOCOLO DE MONTREAL</w:t>
      </w:r>
      <w:r>
        <w:br/>
        <w:t>Nonagésima séptima reunión</w:t>
      </w:r>
    </w:p>
    <w:p w14:paraId="1A91D8A1" w14:textId="77777777" w:rsidR="00E72900" w:rsidRDefault="00E72900" w:rsidP="00E72900">
      <w:pPr>
        <w:jc w:val="left"/>
      </w:pPr>
      <w:r>
        <w:t>Montreal, 1-5 de diciembre de 2025</w:t>
      </w:r>
    </w:p>
    <w:p w14:paraId="68305E52" w14:textId="70905B9B" w:rsidR="00D05563" w:rsidRDefault="00D05563" w:rsidP="00D05563">
      <w:pPr>
        <w:jc w:val="left"/>
      </w:pPr>
      <w:r>
        <w:t>Punto 12 del orden del día provisional</w:t>
      </w:r>
      <w:r w:rsidRPr="00512BEF">
        <w:rPr>
          <w:rStyle w:val="FootnoteReference"/>
        </w:rPr>
        <w:footnoteReference w:id="1"/>
      </w:r>
    </w:p>
    <w:p w14:paraId="229F54B8" w14:textId="77777777" w:rsidR="00BB264B" w:rsidRDefault="00BB264B" w:rsidP="00D05563">
      <w:pPr>
        <w:jc w:val="left"/>
      </w:pPr>
    </w:p>
    <w:p w14:paraId="5581E405" w14:textId="77777777" w:rsidR="00921064" w:rsidRDefault="00921064" w:rsidP="00E72900">
      <w:pPr>
        <w:jc w:val="left"/>
      </w:pPr>
    </w:p>
    <w:p w14:paraId="24361AF8" w14:textId="7E8E36B2" w:rsidR="008F7314" w:rsidRPr="00E82C0A" w:rsidRDefault="008F7314" w:rsidP="00F771B8">
      <w:pPr>
        <w:pStyle w:val="Heading1"/>
        <w:numPr>
          <w:ilvl w:val="0"/>
          <w:numId w:val="0"/>
        </w:numPr>
        <w:jc w:val="center"/>
        <w:rPr>
          <w:b/>
          <w:bCs/>
        </w:rPr>
      </w:pPr>
      <w:r>
        <w:rPr>
          <w:b/>
          <w:bCs/>
        </w:rPr>
        <w:t>EXAMEN DE LA POSIBILIDAD DE INTEGRAR LA PRESENTACIÓN DE INFORMES MEDIANTE INFORMES DE FINALIZACIÓN DE PROYECTOS E INFORMES FINALES DETALLADOS DE PROYECTOS (DECISIÓN 95/91 e))</w:t>
      </w:r>
    </w:p>
    <w:p w14:paraId="2748DBD3" w14:textId="77777777" w:rsidR="00047C8C" w:rsidRDefault="00047C8C" w:rsidP="00E125FB">
      <w:pPr>
        <w:jc w:val="left"/>
        <w:rPr>
          <w:b/>
          <w:bCs/>
        </w:rPr>
      </w:pPr>
    </w:p>
    <w:p w14:paraId="2DD81FFB" w14:textId="34FE9FE5" w:rsidR="00E125FB" w:rsidRPr="00047C8C" w:rsidRDefault="00047C8C" w:rsidP="00E125FB">
      <w:pPr>
        <w:jc w:val="left"/>
        <w:rPr>
          <w:b/>
          <w:bCs/>
        </w:rPr>
      </w:pPr>
      <w:r>
        <w:rPr>
          <w:b/>
          <w:bCs/>
        </w:rPr>
        <w:t>Introducción</w:t>
      </w:r>
    </w:p>
    <w:p w14:paraId="574F9EF9" w14:textId="77777777" w:rsidR="00AC3935" w:rsidRPr="00CC6E10" w:rsidRDefault="00AC3935">
      <w:pPr>
        <w:rPr>
          <w:color w:val="000000"/>
          <w:shd w:val="clear" w:color="auto" w:fill="FFFFFF"/>
        </w:rPr>
      </w:pPr>
    </w:p>
    <w:p w14:paraId="4F570C9D" w14:textId="4073892E" w:rsidR="006D7A91" w:rsidRPr="006D7A91" w:rsidRDefault="00A7435A" w:rsidP="003C6143">
      <w:pPr>
        <w:pStyle w:val="Heading1"/>
      </w:pPr>
      <w:r>
        <w:t>En su 95ª reunión, el Comité Ejecutivo examinó el documento sobre la asignación de los requisitos de presentación de informes y la optimización de la presentación de informes sobre los avances en todo el espectro de informes</w:t>
      </w:r>
      <w:r w:rsidR="002A5742">
        <w:rPr>
          <w:rStyle w:val="FootnoteReference"/>
        </w:rPr>
        <w:footnoteReference w:id="2"/>
      </w:r>
      <w:r>
        <w:t>. En el documento se indicaba que: “En determinados tipos de proyectos, los organismos bilaterales y de ejecución exigen presentar informes finales que incluyan información exhaustiva, tanto financiera como operativa, de los proyectos. Esta información puede alimentar la requerida para los informes de finalización de proyectos (IFP); por otro lado, al incluir en los informes finales de los proyectos la información que falta y que es requerida por los IFP, estos últimos podrían ser tratados como informes de finalización de proyectos.” Posteriormente, el Comité solicitó a la Secretaría y al Oficial Superior de Supervisión y Evaluación (OFSE) que estudiaran la posibilidad de integrar la presentación de informes mediante los IFP y los informes finales detallados de los proyectos, teniendo en cuenta el formato universal aprobado para los IFP, y que informaran al respecto en la 97ª reunión del Comité Ejecutivo (decisión 95/91 e)).</w:t>
      </w:r>
    </w:p>
    <w:p w14:paraId="2492988A" w14:textId="21EDCA71" w:rsidR="0094377F" w:rsidRDefault="009A5DE2" w:rsidP="00A7435A">
      <w:pPr>
        <w:pStyle w:val="Heading1"/>
      </w:pPr>
      <w:r>
        <w:t xml:space="preserve">De conformidad con la decisión, la Secretaría preparó el presente documento. </w:t>
      </w:r>
    </w:p>
    <w:p w14:paraId="12D3AAAE" w14:textId="6A1EB866" w:rsidR="00376BBB" w:rsidRPr="00B50F2A" w:rsidRDefault="00722D14" w:rsidP="00376BBB">
      <w:pPr>
        <w:rPr>
          <w:b/>
          <w:bCs/>
        </w:rPr>
      </w:pPr>
      <w:r>
        <w:rPr>
          <w:b/>
          <w:bCs/>
        </w:rPr>
        <w:t>Examen de los informes finales y los informes de finalización de proyectos.</w:t>
      </w:r>
    </w:p>
    <w:p w14:paraId="6CA852BE" w14:textId="77777777" w:rsidR="00366A35" w:rsidRDefault="00366A35" w:rsidP="00366A35"/>
    <w:p w14:paraId="626A69DA" w14:textId="32D28EEC" w:rsidR="00366A35" w:rsidRDefault="00804CC3" w:rsidP="00804CC3">
      <w:pPr>
        <w:pStyle w:val="Heading1"/>
      </w:pPr>
      <w:r>
        <w:t xml:space="preserve">El cuadro 1 presenta los requisitos finales de presentación de informes por tipo de proyecto. </w:t>
      </w:r>
    </w:p>
    <w:p w14:paraId="6FFB5B73" w14:textId="69BFAF96" w:rsidR="00617E98" w:rsidRPr="002A0EA7" w:rsidRDefault="00863F97" w:rsidP="00A20FEF">
      <w:pPr>
        <w:keepNext/>
        <w:rPr>
          <w:b/>
          <w:bCs/>
        </w:rPr>
      </w:pPr>
      <w:r>
        <w:rPr>
          <w:b/>
          <w:bCs/>
        </w:rPr>
        <w:lastRenderedPageBreak/>
        <w:t>Cuadro 1. Requisitos de presentación de informes finales por tipo de proyecto</w:t>
      </w:r>
    </w:p>
    <w:tbl>
      <w:tblPr>
        <w:tblStyle w:val="TableGrid"/>
        <w:tblW w:w="0" w:type="auto"/>
        <w:tblLook w:val="04A0" w:firstRow="1" w:lastRow="0" w:firstColumn="1" w:lastColumn="0" w:noHBand="0" w:noVBand="1"/>
      </w:tblPr>
      <w:tblGrid>
        <w:gridCol w:w="5035"/>
        <w:gridCol w:w="1980"/>
        <w:gridCol w:w="2425"/>
      </w:tblGrid>
      <w:tr w:rsidR="007B4023" w:rsidRPr="007B4023" w14:paraId="1DDAEF4D" w14:textId="77777777" w:rsidTr="00C72B6D">
        <w:trPr>
          <w:tblHeader/>
        </w:trPr>
        <w:tc>
          <w:tcPr>
            <w:tcW w:w="5035" w:type="dxa"/>
            <w:vMerge w:val="restart"/>
          </w:tcPr>
          <w:p w14:paraId="234C64D7" w14:textId="2B4A2280" w:rsidR="007B4023" w:rsidRPr="00F52175" w:rsidRDefault="007B4023" w:rsidP="00A20FEF">
            <w:pPr>
              <w:keepNext/>
              <w:rPr>
                <w:b/>
                <w:bCs/>
                <w:sz w:val="20"/>
                <w:szCs w:val="20"/>
              </w:rPr>
            </w:pPr>
            <w:r>
              <w:rPr>
                <w:b/>
                <w:bCs/>
                <w:sz w:val="20"/>
                <w:szCs w:val="20"/>
              </w:rPr>
              <w:t>Tipo de proyecto</w:t>
            </w:r>
          </w:p>
        </w:tc>
        <w:tc>
          <w:tcPr>
            <w:tcW w:w="4405" w:type="dxa"/>
            <w:gridSpan w:val="2"/>
            <w:vAlign w:val="bottom"/>
          </w:tcPr>
          <w:p w14:paraId="624F78D2" w14:textId="1781741D" w:rsidR="007B4023" w:rsidRPr="007B4023" w:rsidRDefault="007B4023" w:rsidP="00A20FEF">
            <w:pPr>
              <w:keepNext/>
              <w:jc w:val="center"/>
              <w:rPr>
                <w:sz w:val="20"/>
                <w:szCs w:val="20"/>
              </w:rPr>
            </w:pPr>
            <w:r>
              <w:rPr>
                <w:b/>
                <w:bCs/>
                <w:color w:val="000000" w:themeColor="text1"/>
                <w:sz w:val="20"/>
                <w:szCs w:val="20"/>
              </w:rPr>
              <w:t>Requisito de presentación de informes (Sí/No)</w:t>
            </w:r>
          </w:p>
        </w:tc>
      </w:tr>
      <w:tr w:rsidR="007B4023" w:rsidRPr="007B4023" w14:paraId="4A4086EA" w14:textId="77777777" w:rsidTr="00C72B6D">
        <w:trPr>
          <w:tblHeader/>
        </w:trPr>
        <w:tc>
          <w:tcPr>
            <w:tcW w:w="5035" w:type="dxa"/>
            <w:vMerge/>
          </w:tcPr>
          <w:p w14:paraId="731B1CBC" w14:textId="77777777" w:rsidR="007B4023" w:rsidRPr="007B4023" w:rsidRDefault="007B4023" w:rsidP="00A20FEF">
            <w:pPr>
              <w:keepNext/>
              <w:rPr>
                <w:sz w:val="20"/>
                <w:szCs w:val="20"/>
              </w:rPr>
            </w:pPr>
          </w:p>
        </w:tc>
        <w:tc>
          <w:tcPr>
            <w:tcW w:w="1980" w:type="dxa"/>
            <w:vAlign w:val="center"/>
          </w:tcPr>
          <w:p w14:paraId="722A483D" w14:textId="6CFE1801" w:rsidR="007B4023" w:rsidRPr="007B4023" w:rsidRDefault="007B4023" w:rsidP="00A20FEF">
            <w:pPr>
              <w:keepNext/>
              <w:jc w:val="center"/>
              <w:rPr>
                <w:sz w:val="20"/>
                <w:szCs w:val="20"/>
              </w:rPr>
            </w:pPr>
            <w:r>
              <w:rPr>
                <w:b/>
                <w:bCs/>
                <w:color w:val="000000" w:themeColor="text1"/>
                <w:sz w:val="20"/>
                <w:szCs w:val="20"/>
              </w:rPr>
              <w:t>Informe final</w:t>
            </w:r>
          </w:p>
        </w:tc>
        <w:tc>
          <w:tcPr>
            <w:tcW w:w="2425" w:type="dxa"/>
            <w:vAlign w:val="center"/>
          </w:tcPr>
          <w:p w14:paraId="5B223462" w14:textId="0CD0218E" w:rsidR="007B4023" w:rsidRPr="007B4023" w:rsidRDefault="002A0EA7" w:rsidP="00A20FEF">
            <w:pPr>
              <w:keepNext/>
              <w:jc w:val="center"/>
              <w:rPr>
                <w:sz w:val="20"/>
                <w:szCs w:val="20"/>
              </w:rPr>
            </w:pPr>
            <w:r>
              <w:rPr>
                <w:b/>
                <w:bCs/>
                <w:color w:val="000000" w:themeColor="text1"/>
                <w:sz w:val="20"/>
                <w:szCs w:val="20"/>
              </w:rPr>
              <w:t>IFP</w:t>
            </w:r>
          </w:p>
        </w:tc>
      </w:tr>
      <w:tr w:rsidR="007B4023" w:rsidRPr="00A27D8D" w14:paraId="77342868" w14:textId="77777777" w:rsidTr="009108A2">
        <w:tc>
          <w:tcPr>
            <w:tcW w:w="5035" w:type="dxa"/>
          </w:tcPr>
          <w:p w14:paraId="2884ADC1" w14:textId="2DB494C7" w:rsidR="007B4023" w:rsidRPr="00A27D8D" w:rsidRDefault="007B4023" w:rsidP="00A20FEF">
            <w:pPr>
              <w:keepNext/>
              <w:rPr>
                <w:sz w:val="20"/>
                <w:szCs w:val="20"/>
              </w:rPr>
            </w:pPr>
            <w:r>
              <w:rPr>
                <w:sz w:val="20"/>
                <w:szCs w:val="20"/>
              </w:rPr>
              <w:t xml:space="preserve">Preparación de proyectos </w:t>
            </w:r>
          </w:p>
        </w:tc>
        <w:tc>
          <w:tcPr>
            <w:tcW w:w="1980" w:type="dxa"/>
          </w:tcPr>
          <w:p w14:paraId="050A8A6D" w14:textId="04AB019E" w:rsidR="007B4023" w:rsidRPr="00A27D8D" w:rsidRDefault="007B4023" w:rsidP="00A20FEF">
            <w:pPr>
              <w:keepNext/>
              <w:jc w:val="center"/>
              <w:rPr>
                <w:sz w:val="20"/>
                <w:szCs w:val="20"/>
              </w:rPr>
            </w:pPr>
            <w:r>
              <w:rPr>
                <w:sz w:val="20"/>
                <w:szCs w:val="20"/>
              </w:rPr>
              <w:t>No</w:t>
            </w:r>
          </w:p>
        </w:tc>
        <w:tc>
          <w:tcPr>
            <w:tcW w:w="2425" w:type="dxa"/>
          </w:tcPr>
          <w:p w14:paraId="006D2BC1" w14:textId="2F69BBED" w:rsidR="007B4023" w:rsidRPr="00A27D8D" w:rsidRDefault="007B4023" w:rsidP="00A20FEF">
            <w:pPr>
              <w:keepNext/>
              <w:jc w:val="center"/>
              <w:rPr>
                <w:sz w:val="20"/>
                <w:szCs w:val="20"/>
              </w:rPr>
            </w:pPr>
            <w:r>
              <w:rPr>
                <w:sz w:val="20"/>
                <w:szCs w:val="20"/>
              </w:rPr>
              <w:t>No</w:t>
            </w:r>
          </w:p>
        </w:tc>
      </w:tr>
      <w:tr w:rsidR="007B4023" w:rsidRPr="00A27D8D" w14:paraId="69ECD6EA" w14:textId="77777777" w:rsidTr="009108A2">
        <w:tc>
          <w:tcPr>
            <w:tcW w:w="5035" w:type="dxa"/>
          </w:tcPr>
          <w:p w14:paraId="26FF1ED0" w14:textId="276D728E" w:rsidR="007B4023" w:rsidRPr="00A27D8D" w:rsidRDefault="00A22969" w:rsidP="00A20FEF">
            <w:pPr>
              <w:keepNext/>
              <w:rPr>
                <w:sz w:val="20"/>
                <w:szCs w:val="20"/>
              </w:rPr>
            </w:pPr>
            <w:r>
              <w:rPr>
                <w:sz w:val="20"/>
                <w:szCs w:val="20"/>
              </w:rPr>
              <w:t>Inventarios nacionales de sustancias controladas como residuos y planes de acción para su gestión</w:t>
            </w:r>
          </w:p>
        </w:tc>
        <w:tc>
          <w:tcPr>
            <w:tcW w:w="1980" w:type="dxa"/>
          </w:tcPr>
          <w:p w14:paraId="244DC856" w14:textId="64D29252" w:rsidR="007B4023" w:rsidRPr="00A27D8D" w:rsidRDefault="006768DE" w:rsidP="00A27D8D">
            <w:pPr>
              <w:jc w:val="center"/>
              <w:rPr>
                <w:sz w:val="20"/>
                <w:szCs w:val="20"/>
              </w:rPr>
            </w:pPr>
            <w:r>
              <w:rPr>
                <w:sz w:val="20"/>
                <w:szCs w:val="20"/>
              </w:rPr>
              <w:t>Inventario y plan</w:t>
            </w:r>
          </w:p>
        </w:tc>
        <w:tc>
          <w:tcPr>
            <w:tcW w:w="2425" w:type="dxa"/>
          </w:tcPr>
          <w:p w14:paraId="570B5C9D" w14:textId="4BDF0387" w:rsidR="007B4023" w:rsidRPr="00A27D8D" w:rsidRDefault="007B4023" w:rsidP="00A20FEF">
            <w:pPr>
              <w:keepNext/>
              <w:jc w:val="center"/>
              <w:rPr>
                <w:sz w:val="20"/>
                <w:szCs w:val="20"/>
              </w:rPr>
            </w:pPr>
            <w:r>
              <w:rPr>
                <w:sz w:val="20"/>
                <w:szCs w:val="20"/>
              </w:rPr>
              <w:t>No</w:t>
            </w:r>
          </w:p>
        </w:tc>
      </w:tr>
      <w:tr w:rsidR="007B4023" w:rsidRPr="00A27D8D" w14:paraId="65466D04" w14:textId="77777777" w:rsidTr="009108A2">
        <w:tc>
          <w:tcPr>
            <w:tcW w:w="5035" w:type="dxa"/>
          </w:tcPr>
          <w:p w14:paraId="3DFDADB8" w14:textId="00095C68" w:rsidR="007B4023" w:rsidRPr="00A27D8D" w:rsidRDefault="007B4023" w:rsidP="007B4023">
            <w:pPr>
              <w:rPr>
                <w:sz w:val="20"/>
                <w:szCs w:val="20"/>
              </w:rPr>
            </w:pPr>
            <w:r>
              <w:rPr>
                <w:sz w:val="20"/>
                <w:szCs w:val="20"/>
              </w:rPr>
              <w:t xml:space="preserve">Verificación </w:t>
            </w:r>
          </w:p>
        </w:tc>
        <w:tc>
          <w:tcPr>
            <w:tcW w:w="1980" w:type="dxa"/>
          </w:tcPr>
          <w:p w14:paraId="47FE3619" w14:textId="3EFAB434" w:rsidR="007B4023" w:rsidRPr="00A27D8D" w:rsidRDefault="00913140" w:rsidP="00F52175">
            <w:pPr>
              <w:jc w:val="center"/>
              <w:rPr>
                <w:sz w:val="20"/>
                <w:szCs w:val="20"/>
              </w:rPr>
            </w:pPr>
            <w:r>
              <w:rPr>
                <w:sz w:val="20"/>
                <w:szCs w:val="20"/>
              </w:rPr>
              <w:t>Informe de verificación</w:t>
            </w:r>
          </w:p>
        </w:tc>
        <w:tc>
          <w:tcPr>
            <w:tcW w:w="2425" w:type="dxa"/>
          </w:tcPr>
          <w:p w14:paraId="7E6E3724" w14:textId="78024097" w:rsidR="007B4023" w:rsidRPr="00A27D8D" w:rsidRDefault="007B4023" w:rsidP="00F52175">
            <w:pPr>
              <w:jc w:val="center"/>
              <w:rPr>
                <w:sz w:val="20"/>
                <w:szCs w:val="20"/>
              </w:rPr>
            </w:pPr>
            <w:r>
              <w:rPr>
                <w:sz w:val="20"/>
                <w:szCs w:val="20"/>
              </w:rPr>
              <w:t>No</w:t>
            </w:r>
          </w:p>
        </w:tc>
      </w:tr>
      <w:tr w:rsidR="00257D69" w:rsidRPr="00A27D8D" w14:paraId="6DD8F22B" w14:textId="77777777" w:rsidTr="009108A2">
        <w:tc>
          <w:tcPr>
            <w:tcW w:w="5035" w:type="dxa"/>
          </w:tcPr>
          <w:p w14:paraId="63A08F7D" w14:textId="0D361BB3" w:rsidR="00257D69" w:rsidRPr="00A27D8D" w:rsidRDefault="0045695D" w:rsidP="007B4023">
            <w:pPr>
              <w:rPr>
                <w:sz w:val="20"/>
                <w:szCs w:val="20"/>
              </w:rPr>
            </w:pPr>
            <w:r>
              <w:rPr>
                <w:sz w:val="20"/>
                <w:szCs w:val="20"/>
              </w:rPr>
              <w:t>Actividades de apoyo para la reducción de HFC</w:t>
            </w:r>
          </w:p>
        </w:tc>
        <w:tc>
          <w:tcPr>
            <w:tcW w:w="1980" w:type="dxa"/>
          </w:tcPr>
          <w:p w14:paraId="21AD8A46" w14:textId="0D238C03" w:rsidR="00257D69" w:rsidRDefault="0045695D" w:rsidP="00F52175">
            <w:pPr>
              <w:jc w:val="center"/>
              <w:rPr>
                <w:sz w:val="20"/>
                <w:szCs w:val="20"/>
              </w:rPr>
            </w:pPr>
            <w:r>
              <w:rPr>
                <w:sz w:val="20"/>
                <w:szCs w:val="20"/>
              </w:rPr>
              <w:t>Sí</w:t>
            </w:r>
          </w:p>
        </w:tc>
        <w:tc>
          <w:tcPr>
            <w:tcW w:w="2425" w:type="dxa"/>
          </w:tcPr>
          <w:p w14:paraId="199E6D6F" w14:textId="0974CBB5" w:rsidR="00257D69" w:rsidRPr="00A27D8D" w:rsidRDefault="0045695D" w:rsidP="00F52175">
            <w:pPr>
              <w:jc w:val="center"/>
              <w:rPr>
                <w:sz w:val="20"/>
                <w:szCs w:val="20"/>
              </w:rPr>
            </w:pPr>
            <w:r>
              <w:rPr>
                <w:sz w:val="20"/>
                <w:szCs w:val="20"/>
              </w:rPr>
              <w:t>No</w:t>
            </w:r>
          </w:p>
        </w:tc>
      </w:tr>
      <w:tr w:rsidR="007B4023" w:rsidRPr="00A27D8D" w14:paraId="76A13668" w14:textId="77777777" w:rsidTr="009108A2">
        <w:tc>
          <w:tcPr>
            <w:tcW w:w="5035" w:type="dxa"/>
          </w:tcPr>
          <w:p w14:paraId="59D125EB" w14:textId="32FA76FC" w:rsidR="007B4023" w:rsidRPr="00A27D8D" w:rsidRDefault="0070410D" w:rsidP="007B4023">
            <w:pPr>
              <w:rPr>
                <w:sz w:val="20"/>
                <w:szCs w:val="20"/>
              </w:rPr>
            </w:pPr>
            <w:r>
              <w:rPr>
                <w:sz w:val="20"/>
                <w:szCs w:val="20"/>
              </w:rPr>
              <w:t>Fases del fortalecimiento institucional</w:t>
            </w:r>
          </w:p>
        </w:tc>
        <w:tc>
          <w:tcPr>
            <w:tcW w:w="1980" w:type="dxa"/>
          </w:tcPr>
          <w:p w14:paraId="47A87EB0" w14:textId="3F6B5D80" w:rsidR="007B4023" w:rsidRPr="00A27D8D" w:rsidRDefault="00B26ED2" w:rsidP="00F52175">
            <w:pPr>
              <w:jc w:val="center"/>
              <w:rPr>
                <w:sz w:val="20"/>
                <w:szCs w:val="20"/>
              </w:rPr>
            </w:pPr>
            <w:r>
              <w:rPr>
                <w:sz w:val="20"/>
                <w:szCs w:val="20"/>
              </w:rPr>
              <w:t>Informe final</w:t>
            </w:r>
          </w:p>
        </w:tc>
        <w:tc>
          <w:tcPr>
            <w:tcW w:w="2425" w:type="dxa"/>
          </w:tcPr>
          <w:p w14:paraId="2611095F" w14:textId="60B79321" w:rsidR="007B4023" w:rsidRPr="00A27D8D" w:rsidRDefault="007B4023" w:rsidP="00F52175">
            <w:pPr>
              <w:jc w:val="center"/>
              <w:rPr>
                <w:sz w:val="20"/>
                <w:szCs w:val="20"/>
              </w:rPr>
            </w:pPr>
            <w:r>
              <w:rPr>
                <w:sz w:val="20"/>
                <w:szCs w:val="20"/>
              </w:rPr>
              <w:t>No</w:t>
            </w:r>
          </w:p>
        </w:tc>
      </w:tr>
      <w:tr w:rsidR="006B68A2" w:rsidRPr="00A27D8D" w14:paraId="7FD5BF0C" w14:textId="77777777" w:rsidTr="009108A2">
        <w:tc>
          <w:tcPr>
            <w:tcW w:w="5035" w:type="dxa"/>
          </w:tcPr>
          <w:p w14:paraId="34421319" w14:textId="183CB8C4" w:rsidR="006B68A2" w:rsidRPr="00A27D8D" w:rsidRDefault="006B68A2" w:rsidP="006B68A2">
            <w:pPr>
              <w:rPr>
                <w:sz w:val="20"/>
                <w:szCs w:val="20"/>
              </w:rPr>
            </w:pPr>
            <w:r>
              <w:rPr>
                <w:sz w:val="20"/>
                <w:szCs w:val="20"/>
              </w:rPr>
              <w:t>Estudios de alternativas a las SAO</w:t>
            </w:r>
          </w:p>
        </w:tc>
        <w:tc>
          <w:tcPr>
            <w:tcW w:w="1980" w:type="dxa"/>
          </w:tcPr>
          <w:p w14:paraId="65E36CD0" w14:textId="4D3DEA73" w:rsidR="006B68A2" w:rsidRPr="00A27D8D" w:rsidRDefault="002D17DF" w:rsidP="006B68A2">
            <w:pPr>
              <w:jc w:val="center"/>
              <w:rPr>
                <w:sz w:val="20"/>
                <w:szCs w:val="20"/>
              </w:rPr>
            </w:pPr>
            <w:r>
              <w:rPr>
                <w:sz w:val="20"/>
                <w:szCs w:val="20"/>
              </w:rPr>
              <w:t>Estudio</w:t>
            </w:r>
          </w:p>
        </w:tc>
        <w:tc>
          <w:tcPr>
            <w:tcW w:w="2425" w:type="dxa"/>
          </w:tcPr>
          <w:p w14:paraId="60D25362" w14:textId="1471D8DB" w:rsidR="006B68A2" w:rsidRPr="00A27D8D" w:rsidRDefault="006B68A2" w:rsidP="006B68A2">
            <w:pPr>
              <w:jc w:val="center"/>
              <w:rPr>
                <w:sz w:val="20"/>
                <w:szCs w:val="20"/>
              </w:rPr>
            </w:pPr>
            <w:r>
              <w:rPr>
                <w:sz w:val="20"/>
                <w:szCs w:val="20"/>
              </w:rPr>
              <w:t>Consolidado / Por región</w:t>
            </w:r>
          </w:p>
        </w:tc>
      </w:tr>
      <w:tr w:rsidR="007B4023" w:rsidRPr="00A27D8D" w14:paraId="513148CC" w14:textId="77777777" w:rsidTr="009108A2">
        <w:tc>
          <w:tcPr>
            <w:tcW w:w="5035" w:type="dxa"/>
          </w:tcPr>
          <w:p w14:paraId="460F3781" w14:textId="708FF51F" w:rsidR="007B4023" w:rsidRPr="00A27D8D" w:rsidRDefault="007B4023" w:rsidP="007B4023">
            <w:pPr>
              <w:rPr>
                <w:sz w:val="20"/>
                <w:szCs w:val="20"/>
              </w:rPr>
            </w:pPr>
            <w:r>
              <w:rPr>
                <w:sz w:val="20"/>
                <w:szCs w:val="20"/>
              </w:rPr>
              <w:t>Demostración / Proyectos piloto</w:t>
            </w:r>
          </w:p>
        </w:tc>
        <w:tc>
          <w:tcPr>
            <w:tcW w:w="1980" w:type="dxa"/>
          </w:tcPr>
          <w:p w14:paraId="50D12B5A" w14:textId="693C1F08" w:rsidR="007B4023" w:rsidRPr="00A27D8D" w:rsidRDefault="007B4023" w:rsidP="00F52175">
            <w:pPr>
              <w:jc w:val="center"/>
              <w:rPr>
                <w:sz w:val="20"/>
                <w:szCs w:val="20"/>
              </w:rPr>
            </w:pPr>
            <w:r>
              <w:rPr>
                <w:sz w:val="20"/>
                <w:szCs w:val="20"/>
              </w:rPr>
              <w:t>Sí</w:t>
            </w:r>
          </w:p>
        </w:tc>
        <w:tc>
          <w:tcPr>
            <w:tcW w:w="2425" w:type="dxa"/>
          </w:tcPr>
          <w:p w14:paraId="0378ED39" w14:textId="393DE2E3" w:rsidR="007B4023" w:rsidRPr="00A27D8D" w:rsidRDefault="007B4023" w:rsidP="00F52175">
            <w:pPr>
              <w:jc w:val="center"/>
              <w:rPr>
                <w:sz w:val="20"/>
                <w:szCs w:val="20"/>
              </w:rPr>
            </w:pPr>
            <w:r>
              <w:rPr>
                <w:sz w:val="20"/>
                <w:szCs w:val="20"/>
              </w:rPr>
              <w:t>Sí</w:t>
            </w:r>
          </w:p>
        </w:tc>
      </w:tr>
      <w:tr w:rsidR="00A01F06" w:rsidRPr="00A27D8D" w14:paraId="512AFF5C" w14:textId="77777777" w:rsidTr="009108A2">
        <w:tc>
          <w:tcPr>
            <w:tcW w:w="5035" w:type="dxa"/>
          </w:tcPr>
          <w:p w14:paraId="61A33155" w14:textId="6AD846ED" w:rsidR="00A01F06" w:rsidRPr="00A27D8D" w:rsidRDefault="00BC73F4" w:rsidP="007B4023">
            <w:pPr>
              <w:rPr>
                <w:sz w:val="20"/>
                <w:szCs w:val="20"/>
              </w:rPr>
            </w:pPr>
            <w:r>
              <w:rPr>
                <w:sz w:val="20"/>
                <w:szCs w:val="20"/>
              </w:rPr>
              <w:t>Otros proyectos individuales de inversión/sin inversión</w:t>
            </w:r>
          </w:p>
        </w:tc>
        <w:tc>
          <w:tcPr>
            <w:tcW w:w="1980" w:type="dxa"/>
          </w:tcPr>
          <w:p w14:paraId="4CA88549" w14:textId="7B3F9399" w:rsidR="00A01F06" w:rsidRPr="00A27D8D" w:rsidRDefault="00C92E70" w:rsidP="00F52175">
            <w:pPr>
              <w:jc w:val="center"/>
              <w:rPr>
                <w:sz w:val="20"/>
                <w:szCs w:val="20"/>
              </w:rPr>
            </w:pPr>
            <w:r>
              <w:rPr>
                <w:sz w:val="20"/>
                <w:szCs w:val="20"/>
              </w:rPr>
              <w:t>No</w:t>
            </w:r>
          </w:p>
        </w:tc>
        <w:tc>
          <w:tcPr>
            <w:tcW w:w="2425" w:type="dxa"/>
          </w:tcPr>
          <w:p w14:paraId="780E2193" w14:textId="2E75662A" w:rsidR="00A01F06" w:rsidRPr="00A27D8D" w:rsidRDefault="001B649E" w:rsidP="00F52175">
            <w:pPr>
              <w:jc w:val="center"/>
              <w:rPr>
                <w:sz w:val="20"/>
                <w:szCs w:val="20"/>
              </w:rPr>
            </w:pPr>
            <w:r>
              <w:rPr>
                <w:sz w:val="20"/>
                <w:szCs w:val="20"/>
              </w:rPr>
              <w:t>Sí</w:t>
            </w:r>
          </w:p>
        </w:tc>
      </w:tr>
      <w:tr w:rsidR="007B4023" w:rsidRPr="00A27D8D" w14:paraId="5A4CE7CC" w14:textId="77777777" w:rsidTr="009108A2">
        <w:tc>
          <w:tcPr>
            <w:tcW w:w="5035" w:type="dxa"/>
          </w:tcPr>
          <w:p w14:paraId="2850017B" w14:textId="7B3C55F4" w:rsidR="007B4023" w:rsidRPr="00A27D8D" w:rsidRDefault="00451967" w:rsidP="007B4023">
            <w:pPr>
              <w:rPr>
                <w:sz w:val="20"/>
                <w:szCs w:val="20"/>
              </w:rPr>
            </w:pPr>
            <w:r>
              <w:rPr>
                <w:sz w:val="20"/>
                <w:szCs w:val="20"/>
              </w:rPr>
              <w:t>Etapas de los acuerdos plurianuales</w:t>
            </w:r>
          </w:p>
        </w:tc>
        <w:tc>
          <w:tcPr>
            <w:tcW w:w="1980" w:type="dxa"/>
          </w:tcPr>
          <w:p w14:paraId="20559E2F" w14:textId="0D0B9BFD" w:rsidR="007B4023" w:rsidRPr="00A27D8D" w:rsidRDefault="007B4023" w:rsidP="00F52175">
            <w:pPr>
              <w:jc w:val="center"/>
              <w:rPr>
                <w:sz w:val="20"/>
                <w:szCs w:val="20"/>
              </w:rPr>
            </w:pPr>
            <w:r>
              <w:rPr>
                <w:sz w:val="20"/>
                <w:szCs w:val="20"/>
              </w:rPr>
              <w:t>Según corresponda</w:t>
            </w:r>
          </w:p>
        </w:tc>
        <w:tc>
          <w:tcPr>
            <w:tcW w:w="2425" w:type="dxa"/>
          </w:tcPr>
          <w:p w14:paraId="0FA22407" w14:textId="097C9211" w:rsidR="007B4023" w:rsidRPr="00A27D8D" w:rsidRDefault="007B4023" w:rsidP="00F52175">
            <w:pPr>
              <w:jc w:val="center"/>
              <w:rPr>
                <w:sz w:val="20"/>
                <w:szCs w:val="20"/>
              </w:rPr>
            </w:pPr>
            <w:r>
              <w:rPr>
                <w:sz w:val="20"/>
                <w:szCs w:val="20"/>
              </w:rPr>
              <w:t>Sí</w:t>
            </w:r>
          </w:p>
        </w:tc>
      </w:tr>
    </w:tbl>
    <w:p w14:paraId="53880761" w14:textId="77777777" w:rsidR="00617E98" w:rsidRDefault="00617E98" w:rsidP="00366A35"/>
    <w:p w14:paraId="39932FEF" w14:textId="3EE3C049" w:rsidR="00FB401D" w:rsidRDefault="002905E4" w:rsidP="002905E4">
      <w:pPr>
        <w:pStyle w:val="Heading1"/>
      </w:pPr>
      <w:r>
        <w:t>En principio, todos los proyectos requieren la presentación de un informe de finalización en un plazo de seis meses una vez concluidos (decisión 18/20). Como se indica en el cuadro 1, hay algunas excepciones. Entre ellas figuran:</w:t>
      </w:r>
    </w:p>
    <w:p w14:paraId="643C310E" w14:textId="77777777" w:rsidR="00A727FA" w:rsidRDefault="0058030B" w:rsidP="006C10E3">
      <w:pPr>
        <w:pStyle w:val="Heading2"/>
        <w:numPr>
          <w:ilvl w:val="1"/>
          <w:numId w:val="1"/>
        </w:numPr>
        <w:spacing w:after="120"/>
        <w:ind w:left="1440" w:hanging="720"/>
      </w:pPr>
      <w:r>
        <w:t>Preparación de proyectos de conformidad con la decisión 29/3 i), en la que se señalaba que no se solicitaba ningún IFP para las actividades de preparación de proyectos. Se espera que todos los preparativos del proyecto den lugar a propuestas de proyectos.</w:t>
      </w:r>
    </w:p>
    <w:p w14:paraId="3E2D11F3" w14:textId="77777777" w:rsidR="00A727FA" w:rsidRDefault="001B42CD" w:rsidP="006C10E3">
      <w:pPr>
        <w:pStyle w:val="Heading2"/>
        <w:numPr>
          <w:ilvl w:val="1"/>
          <w:numId w:val="1"/>
        </w:numPr>
        <w:spacing w:after="120"/>
        <w:ind w:left="1440" w:hanging="720"/>
      </w:pPr>
      <w:r>
        <w:t>Los inventarios nacionales de sustancias controladas como residuos y los planes de acción para su gestión se clasifican como preparación de proyectos y, por lo tanto, no es necesario presentar IFP. Cabe señalar que en la decisión 91/66 e) iii) también se solicitaba la presentación de un informe final y una copia de los inventarios nacionales y los planes de acción nacionales resultantes, a más tardar seis meses después de la finalización del proyecto, en los que se destacaran las dificultades y las experiencias recogidas;</w:t>
      </w:r>
    </w:p>
    <w:p w14:paraId="210D79BD" w14:textId="77777777" w:rsidR="00A727FA" w:rsidRDefault="00B075D2" w:rsidP="006C10E3">
      <w:pPr>
        <w:pStyle w:val="Heading2"/>
        <w:numPr>
          <w:ilvl w:val="1"/>
          <w:numId w:val="1"/>
        </w:numPr>
        <w:spacing w:after="120"/>
        <w:ind w:left="1440" w:hanging="720"/>
      </w:pPr>
      <w:r>
        <w:t>Verificación de conformidad con la decisión 93/25 a) ii), en la que se señalaba que a partir de 2024 ya no sería necesario presentar un IFP para obtener asistencia técnica para los informes de verificación. Se señala que la aprobación de la financiación para la verificación se entiende en el sentido de que se presentará un informe de verificación junto con la solicitud del siguiente tramo de financiación de los acuerdos plurianuales pertinentes;</w:t>
      </w:r>
    </w:p>
    <w:p w14:paraId="1943A8B4" w14:textId="77777777" w:rsidR="00A727FA" w:rsidRDefault="003E2DA3" w:rsidP="006C10E3">
      <w:pPr>
        <w:pStyle w:val="Heading2"/>
        <w:numPr>
          <w:ilvl w:val="1"/>
          <w:numId w:val="1"/>
        </w:numPr>
        <w:spacing w:after="120"/>
        <w:ind w:left="1440" w:hanging="720"/>
      </w:pPr>
      <w:r>
        <w:t>Se solicitaron actividades de habilitación para la reducción gradual de los HFC, cuya presentación del informe final debía realizarse en un plazo de seis meses a partir de la fecha de finalización del proyecto, destacando las experiencias recogidas sobre la forma en que las actividades de inicio rápido apoyaron la acción temprana en la aplicación de la Enmienda de Kigali, de conformidad con la decisión 81/32 b), por lo que se confirmó que no se necesitaban IFP para estos proyectos</w:t>
      </w:r>
      <w:r w:rsidR="00101445">
        <w:rPr>
          <w:rStyle w:val="FootnoteReference"/>
          <w:lang w:val="en-US"/>
        </w:rPr>
        <w:footnoteReference w:id="3"/>
      </w:r>
      <w:r>
        <w:t>.</w:t>
      </w:r>
    </w:p>
    <w:p w14:paraId="6EE535DB" w14:textId="77777777" w:rsidR="00A727FA" w:rsidRDefault="00100349" w:rsidP="006C10E3">
      <w:pPr>
        <w:pStyle w:val="Heading2"/>
        <w:numPr>
          <w:ilvl w:val="1"/>
          <w:numId w:val="1"/>
        </w:numPr>
        <w:spacing w:after="120"/>
        <w:ind w:left="1440" w:hanging="720"/>
      </w:pPr>
      <w:r>
        <w:t>Fases de los proyectos del fortalecimiento institucional de conformidad con la decisión 29/3 g), en la que se indicaba que los IFP sólo debían presentarse en los casos en que no hubiera solicitudes de prórroga. Para la renovación de proyectos de fortalecimiento institucional, se requiere un informe final de la fase anterior; y</w:t>
      </w:r>
    </w:p>
    <w:p w14:paraId="77FE1872" w14:textId="118D2586" w:rsidR="001F34BE" w:rsidRPr="001F34BE" w:rsidRDefault="00B57B72" w:rsidP="006C10E3">
      <w:pPr>
        <w:pStyle w:val="Heading2"/>
        <w:numPr>
          <w:ilvl w:val="1"/>
          <w:numId w:val="1"/>
        </w:numPr>
        <w:spacing w:after="120"/>
        <w:ind w:left="1440" w:hanging="720"/>
      </w:pPr>
      <w:r>
        <w:t>Estudios sobre alternativas a las SAO, para los que se esperaba la presentación de IFP como actividades de asistencia técnica. Sin embargo, teniendo en cuenta que en los estudios se habría proporcionado información exhaustiva sobre diversos aspectos, se acordó posteriormente que sólo se requería un IFP consolidado por organismo o por región (para el PNUMA), utilizando el formato de IFP elaborado para esos proyectos</w:t>
      </w:r>
      <w:r w:rsidR="00E33722">
        <w:rPr>
          <w:rStyle w:val="FootnoteReference"/>
        </w:rPr>
        <w:footnoteReference w:id="4"/>
      </w:r>
    </w:p>
    <w:p w14:paraId="77CB8353" w14:textId="52169DB1" w:rsidR="002905E4" w:rsidRDefault="00FB72ED" w:rsidP="004F6B52">
      <w:pPr>
        <w:pStyle w:val="Heading1"/>
      </w:pPr>
      <w:r>
        <w:lastRenderedPageBreak/>
        <w:t>En cuanto a los formatos de presentación de informes, en la 94ª reunión, el Comité Ejecutivo aprobó el formato IFP universal</w:t>
      </w:r>
      <w:r w:rsidR="00596106">
        <w:rPr>
          <w:rStyle w:val="FootnoteReference"/>
        </w:rPr>
        <w:footnoteReference w:id="5"/>
      </w:r>
      <w:r>
        <w:t>, aplicable tanto a proyectos individuales como a proyectos plurianuales, con el objetivo de recopilar información general, resultados globales y experiencias recogidas de un proyecto, tanto cuantitativas como cualitativas, así como los impactos más amplios del proyecto, como en la incorporación de la perspectiva de género y los objetivos de desarrollo sostenible. En el caso de los informes finales, cuya presentación suele ser solicitada por el Comité Ejecutivo, su formato suele ser detallado y estructurado de manera que se recopile información exhaustiva sobre un proyecto, incluidos los logros, así como los retos y las experiencias recogidas, cuando proceda, con el fin de fundamentar el debate posterior sobre el tema en cuestión. Para garantizarlo, la Secretaría suele elaborar formatos específicos para la presentación de informes basándose en los diferentes tipos de proyectos y siguiendo las decisiones pertinentes del Comité Ejecutivo sobre la información que debe recopilarse.</w:t>
      </w:r>
    </w:p>
    <w:p w14:paraId="6B386C7A" w14:textId="526A43AE" w:rsidR="00366A35" w:rsidRPr="00D77FAD" w:rsidRDefault="00366A35" w:rsidP="00366A35">
      <w:pPr>
        <w:rPr>
          <w:b/>
          <w:bCs/>
        </w:rPr>
      </w:pPr>
      <w:r>
        <w:rPr>
          <w:b/>
          <w:bCs/>
        </w:rPr>
        <w:t>Observaciones de la Secretaría</w:t>
      </w:r>
    </w:p>
    <w:p w14:paraId="77BC2DAE" w14:textId="77777777" w:rsidR="00366A35" w:rsidRDefault="00366A35" w:rsidP="00366A35"/>
    <w:p w14:paraId="0809EACB" w14:textId="5F092180" w:rsidR="008D4901" w:rsidRDefault="00D10D70" w:rsidP="001D5D21">
      <w:pPr>
        <w:pStyle w:val="Heading1"/>
      </w:pPr>
      <w:r>
        <w:t>En la preparación del documento, la Secretaría discutió el asunto con organismos bilaterales y de ejecución</w:t>
      </w:r>
      <w:r w:rsidR="00A803FD">
        <w:rPr>
          <w:rStyle w:val="FootnoteReference"/>
        </w:rPr>
        <w:footnoteReference w:id="6"/>
      </w:r>
      <w:r>
        <w:t>, así como con el Oficial Superior de Supervisión y Evaluación (OFSE). Los organismos destacaron la posible superposición y redundancia entre los IFP y los informes finales de los proyectos, ya que no parecía haber ninguna diferencia evidente entre ellos. Se señaló además que los informes finales solían contener información técnica y presupuestaria más detallada y presentaban los logros finales de los proyectos, incluida la sostenibilidad, mientras que los IFP proporcionaban una evaluación más general e integrada, y que disponer de un informe unificado ayudaría a aliviar la carga de trabajo</w:t>
      </w:r>
      <w:r w:rsidR="00937738">
        <w:rPr>
          <w:rStyle w:val="FootnoteReference"/>
        </w:rPr>
        <w:footnoteReference w:id="7"/>
      </w:r>
      <w:r>
        <w:t xml:space="preserve">. </w:t>
      </w:r>
    </w:p>
    <w:p w14:paraId="340F9E71" w14:textId="03E32969" w:rsidR="00CA16A3" w:rsidRDefault="00F61978" w:rsidP="00313688">
      <w:pPr>
        <w:pStyle w:val="Heading1"/>
      </w:pPr>
      <w:r>
        <w:t>Se recuerda que el formato universal del IFP se elaboró teniendo en cuenta la necesidad de optimizar el proceso de presentación de informes sobre los proyectos y que, con su futura utilización en el sistema de gestión del conocimiento, contribuirá a introducir mejoras, entre otras cosas, aligerando el proceso de recopilación de datos para los organismos, eliminando la duplicación de las presentaciones a la Secretaría y al OFSE; mejorando la calidad de ámbitos específicos de información recopilada únicamente a través de los IFP; facilitar la recopilación de datos sobre cuestiones no cubiertas anteriormente; e integrar el IFP en el ciclo completo de presentación de informes sobre la gestión de proyectos</w:t>
      </w:r>
      <w:r w:rsidR="00507FFB">
        <w:rPr>
          <w:rStyle w:val="FootnoteReference"/>
        </w:rPr>
        <w:footnoteReference w:id="8"/>
      </w:r>
      <w:r>
        <w:t>.</w:t>
      </w:r>
    </w:p>
    <w:p w14:paraId="5FCF9A5F" w14:textId="5C72789D" w:rsidR="00F608B2" w:rsidRDefault="00CA16A3" w:rsidP="00F608B2">
      <w:pPr>
        <w:pStyle w:val="Heading1"/>
      </w:pPr>
      <w:r>
        <w:t>La Secretaría señala además que se ha establecido la práctica de evitar la duplicación en la presentación de informes en el proceso final de un proyecto en función de los diferentes tipos de proyectos, de modo que se exige la presentación de un informe final o un IFP en un plazo de seis meses tras su conclusión, salvo en el caso de dos tipos de proyectos, a saber, los proyectos de demostración o proyectos piloto individuales y las etapas de los acuerdos plurianuales (en los que se exigen informes finales, según proceda), como se muestra en el cuadro 1. En el caso de los proyectos de demostración o piloto individuales, como los relacionados con la eficiencia energética, la Secretaría, al elaborar el formato de los informes finales detallados, debería ajustarse al formato universal de los IFP, cuando proceda, de modo que toda la información que sea necesario recopilar y comunicar se incluya en un informe unificado y no sea necesario presentar un IFP por separado para este tipo de proyectos. Dado que los informes finales se consideran IFP, estarán sujetos a las decisiones pertinentes sobre los IFP y se incluirán, según corresponda, en los análisis preparados para los IFP consolidados.</w:t>
      </w:r>
    </w:p>
    <w:p w14:paraId="1B0EB045" w14:textId="17624860" w:rsidR="007A6C88" w:rsidRPr="007A6C88" w:rsidRDefault="007A6C88" w:rsidP="007A6C88">
      <w:pPr>
        <w:pStyle w:val="Heading1"/>
      </w:pPr>
      <w:r>
        <w:t xml:space="preserve">En cuanto a las etapas de los acuerdos plurianuales, la Secretaría señala que no todos los acuerdos plurianuales exigen la presentación de un informe final y que, por lo general, el informe final es un informe sobre los progresos realizados en la ejecución que abarca únicamente el último programa de ejecución de una etapa del acuerdo plurianual. También señala que el informe sobre el estado de la ejecución y el desembolso de las etapas anteriores, presentado como parte de una nueva etapa de la solicitud del acuerdo </w:t>
      </w:r>
      <w:r>
        <w:lastRenderedPageBreak/>
        <w:t>plurianual</w:t>
      </w:r>
      <w:r w:rsidR="00721541">
        <w:rPr>
          <w:rStyle w:val="FootnoteReference"/>
        </w:rPr>
        <w:footnoteReference w:id="9"/>
      </w:r>
      <w:r>
        <w:t>, aunque incluye un análisis de los resultados obtenidos y las experiencias recogidas, entre otros aspectos, puede no proporcionar información coherente y suficiente a los efectos de los IFP. La Secretaría considera que la introducción en el futuro de la presentación en línea de proyectos e informes a lo largo de todo el ciclo de vida de los proyectos en el sistema de gestión del conocimiento facilitará el acceso a la información, incluidos los logros de cada tramo de los acuerdos plurianuales, lo que facilitará la preparación de los IFP para las etapas de los acuerdos plurianuales. A este respecto, se propone continuar con la práctica actual en materia de presentación de informes.</w:t>
      </w:r>
    </w:p>
    <w:p w14:paraId="26F2B70F" w14:textId="2A419F9A" w:rsidR="00AC3935" w:rsidRPr="00CC6E10" w:rsidRDefault="00D31ECA" w:rsidP="00C02DB5">
      <w:pPr>
        <w:keepNext/>
        <w:jc w:val="left"/>
        <w:rPr>
          <w:b/>
        </w:rPr>
      </w:pPr>
      <w:r>
        <w:rPr>
          <w:b/>
        </w:rPr>
        <w:t>Recomendación</w:t>
      </w:r>
    </w:p>
    <w:p w14:paraId="48657485" w14:textId="77777777" w:rsidR="00AC3935" w:rsidRPr="00CC6E10" w:rsidRDefault="00AC3935" w:rsidP="00C02DB5">
      <w:pPr>
        <w:keepNext/>
        <w:jc w:val="right"/>
        <w:rPr>
          <w:b/>
        </w:rPr>
      </w:pPr>
    </w:p>
    <w:p w14:paraId="1C89E127" w14:textId="3F0C0D9D" w:rsidR="007C15FB" w:rsidRDefault="007C15FB" w:rsidP="00C02DB5">
      <w:pPr>
        <w:pStyle w:val="Heading1"/>
        <w:keepNext/>
      </w:pPr>
      <w:r>
        <w:t>El Comité Ejecutivo puede considerar oportuno:</w:t>
      </w:r>
    </w:p>
    <w:p w14:paraId="359DFBB5" w14:textId="77777777" w:rsidR="00A727FA" w:rsidRDefault="007C15FB" w:rsidP="006C10E3">
      <w:pPr>
        <w:pStyle w:val="Heading2"/>
        <w:widowControl/>
        <w:numPr>
          <w:ilvl w:val="0"/>
          <w:numId w:val="29"/>
        </w:numPr>
        <w:ind w:left="1440" w:hanging="720"/>
      </w:pPr>
      <w:r>
        <w:t>Tomar nota del examen de la posibilidad de integrar la presentación de informes mediante informes sobre la finalización de proyectos e informes finales detallados sobre proyectos que figura en el documento UNEP/OzL.Pro/ExCom/97/88;</w:t>
      </w:r>
    </w:p>
    <w:p w14:paraId="0F2A47C2" w14:textId="77777777" w:rsidR="00A727FA" w:rsidRDefault="00C02DB5" w:rsidP="006C10E3">
      <w:pPr>
        <w:pStyle w:val="Heading2"/>
        <w:widowControl/>
        <w:numPr>
          <w:ilvl w:val="0"/>
          <w:numId w:val="29"/>
        </w:numPr>
        <w:ind w:left="1440" w:hanging="720"/>
      </w:pPr>
      <w:r>
        <w:t xml:space="preserve">Continuar con la práctica actual de presentación de informes finales por parte de los organismos bilaterales y de ejecución de diferentes tipos de proyectos, excepto los proyectos de demostración o piloto individuales, que se refleja en el cuadro 1 del documento mencionado en el apartado a) </w:t>
      </w:r>
      <w:r w:rsidRPr="00A727FA">
        <w:rPr>
          <w:i/>
        </w:rPr>
        <w:t>supra</w:t>
      </w:r>
      <w:r>
        <w:t>; y</w:t>
      </w:r>
    </w:p>
    <w:p w14:paraId="1CA2434C" w14:textId="12E2502B" w:rsidR="00FE3065" w:rsidRPr="00FE3065" w:rsidRDefault="00147EE0" w:rsidP="006C10E3">
      <w:pPr>
        <w:pStyle w:val="Heading2"/>
        <w:widowControl/>
        <w:numPr>
          <w:ilvl w:val="0"/>
          <w:numId w:val="29"/>
        </w:numPr>
        <w:ind w:left="1440" w:hanging="720"/>
      </w:pPr>
      <w:r>
        <w:t>Para los proyectos de demostración o piloto, en los que se requiere un informe final detallado, solicitar a la Secretaría que, al elaborar el formato de los informes finales, lo armonice con el formato universal de los informes de finalización de proyectos (IFP), cuando proceda, teniendo en cuenta que ya no será necesario presentar un IFP por separado para este tipo de proyectos.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442406" w14:paraId="328F559E" w14:textId="77777777" w:rsidTr="00442406">
        <w:tc>
          <w:tcPr>
            <w:tcW w:w="1888" w:type="dxa"/>
          </w:tcPr>
          <w:p w14:paraId="33DE8735" w14:textId="77777777" w:rsidR="00442406" w:rsidRDefault="00442406" w:rsidP="004E7F9C">
            <w:pPr>
              <w:pStyle w:val="StyleHeader4Para4Left0Firstline0"/>
              <w:numPr>
                <w:ilvl w:val="0"/>
                <w:numId w:val="0"/>
              </w:numPr>
              <w:rPr>
                <w:sz w:val="22"/>
              </w:rPr>
            </w:pPr>
          </w:p>
        </w:tc>
        <w:tc>
          <w:tcPr>
            <w:tcW w:w="1888" w:type="dxa"/>
          </w:tcPr>
          <w:p w14:paraId="7AF5C275" w14:textId="77777777" w:rsidR="00442406" w:rsidRDefault="00442406" w:rsidP="004E7F9C">
            <w:pPr>
              <w:pStyle w:val="StyleHeader4Para4Left0Firstline0"/>
              <w:numPr>
                <w:ilvl w:val="0"/>
                <w:numId w:val="0"/>
              </w:numPr>
              <w:rPr>
                <w:sz w:val="22"/>
              </w:rPr>
            </w:pPr>
          </w:p>
        </w:tc>
        <w:tc>
          <w:tcPr>
            <w:tcW w:w="1888" w:type="dxa"/>
            <w:tcBorders>
              <w:bottom w:val="single" w:sz="4" w:space="0" w:color="auto"/>
            </w:tcBorders>
          </w:tcPr>
          <w:p w14:paraId="41320A46" w14:textId="77777777" w:rsidR="00442406" w:rsidRDefault="00442406" w:rsidP="004E7F9C">
            <w:pPr>
              <w:pStyle w:val="StyleHeader4Para4Left0Firstline0"/>
              <w:numPr>
                <w:ilvl w:val="0"/>
                <w:numId w:val="0"/>
              </w:numPr>
              <w:rPr>
                <w:sz w:val="22"/>
              </w:rPr>
            </w:pPr>
          </w:p>
        </w:tc>
        <w:tc>
          <w:tcPr>
            <w:tcW w:w="1888" w:type="dxa"/>
          </w:tcPr>
          <w:p w14:paraId="37C0FE5D" w14:textId="77777777" w:rsidR="00442406" w:rsidRDefault="00442406" w:rsidP="004E7F9C">
            <w:pPr>
              <w:pStyle w:val="StyleHeader4Para4Left0Firstline0"/>
              <w:numPr>
                <w:ilvl w:val="0"/>
                <w:numId w:val="0"/>
              </w:numPr>
              <w:rPr>
                <w:sz w:val="22"/>
              </w:rPr>
            </w:pPr>
          </w:p>
        </w:tc>
        <w:tc>
          <w:tcPr>
            <w:tcW w:w="1888" w:type="dxa"/>
          </w:tcPr>
          <w:p w14:paraId="01EB14F3" w14:textId="77777777" w:rsidR="00442406" w:rsidRDefault="00442406" w:rsidP="004E7F9C">
            <w:pPr>
              <w:pStyle w:val="StyleHeader4Para4Left0Firstline0"/>
              <w:numPr>
                <w:ilvl w:val="0"/>
                <w:numId w:val="0"/>
              </w:numPr>
              <w:rPr>
                <w:sz w:val="22"/>
              </w:rPr>
            </w:pPr>
          </w:p>
        </w:tc>
      </w:tr>
    </w:tbl>
    <w:p w14:paraId="1D4F1FAB" w14:textId="77777777" w:rsidR="008C5738" w:rsidRPr="00CC6E10" w:rsidRDefault="008C5738" w:rsidP="004E7F9C">
      <w:pPr>
        <w:pStyle w:val="StyleHeader4Para4Left0Firstline0"/>
        <w:numPr>
          <w:ilvl w:val="0"/>
          <w:numId w:val="0"/>
        </w:numPr>
        <w:rPr>
          <w:sz w:val="22"/>
        </w:rPr>
      </w:pPr>
    </w:p>
    <w:p w14:paraId="384A0766" w14:textId="7BEBA441" w:rsidR="004E7F9C" w:rsidRPr="00CC6E10" w:rsidRDefault="004E7F9C" w:rsidP="004E7F9C">
      <w:pPr>
        <w:pStyle w:val="StyleHeader4Para4Left0Firstline0"/>
        <w:numPr>
          <w:ilvl w:val="0"/>
          <w:numId w:val="0"/>
        </w:numPr>
        <w:rPr>
          <w:sz w:val="22"/>
        </w:rPr>
      </w:pPr>
    </w:p>
    <w:sectPr w:rsidR="004E7F9C" w:rsidRPr="00CC6E10" w:rsidSect="006D0E4B">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B0C3" w14:textId="77777777" w:rsidR="00EB135D" w:rsidRDefault="00EB135D" w:rsidP="004A504B">
      <w:r>
        <w:separator/>
      </w:r>
    </w:p>
  </w:endnote>
  <w:endnote w:type="continuationSeparator" w:id="0">
    <w:p w14:paraId="20EB418B" w14:textId="77777777" w:rsidR="00EB135D" w:rsidRDefault="00EB135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9B4A" w14:textId="77777777" w:rsidR="00DC6A10" w:rsidRPr="0033525D" w:rsidRDefault="005A68C5">
    <w:pPr>
      <w:jc w:val="center"/>
    </w:pPr>
    <w:r>
      <w:fldChar w:fldCharType="begin"/>
    </w:r>
    <w:r w:rsidR="00FF1B8E">
      <w:instrText xml:space="preserve"> PAGE </w:instrText>
    </w:r>
    <w:r>
      <w:fldChar w:fldCharType="separate"/>
    </w:r>
    <w:r w:rsidR="002045DC">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EB4B" w14:textId="77777777" w:rsidR="00DC6A10" w:rsidRPr="0033525D" w:rsidRDefault="005A68C5">
    <w:pPr>
      <w:jc w:val="center"/>
    </w:pPr>
    <w:r>
      <w:fldChar w:fldCharType="begin"/>
    </w:r>
    <w:r w:rsidR="00FF1B8E">
      <w:instrText xml:space="preserve"> PAGE </w:instrText>
    </w:r>
    <w:r>
      <w:fldChar w:fldCharType="separate"/>
    </w:r>
    <w:r w:rsidR="002045DC">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464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FCB971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3CB67" w14:textId="77777777" w:rsidR="00EB135D" w:rsidRDefault="00EB135D" w:rsidP="004A504B">
      <w:r>
        <w:separator/>
      </w:r>
    </w:p>
  </w:footnote>
  <w:footnote w:type="continuationSeparator" w:id="0">
    <w:p w14:paraId="27E6C91B" w14:textId="77777777" w:rsidR="00EB135D" w:rsidRDefault="00EB135D" w:rsidP="004A504B">
      <w:r>
        <w:continuationSeparator/>
      </w:r>
    </w:p>
  </w:footnote>
  <w:footnote w:id="1">
    <w:p w14:paraId="5B84010B" w14:textId="77777777" w:rsidR="00D05563" w:rsidRPr="001E1147" w:rsidRDefault="00D05563" w:rsidP="00D05563">
      <w:pPr>
        <w:pStyle w:val="FootnoteText"/>
      </w:pPr>
      <w:r>
        <w:rPr>
          <w:rStyle w:val="FootnoteReference"/>
        </w:rPr>
        <w:footnoteRef/>
      </w:r>
      <w:r>
        <w:t xml:space="preserve"> UNEP/OzL.Pro/ExCom//97/1</w:t>
      </w:r>
    </w:p>
  </w:footnote>
  <w:footnote w:id="2">
    <w:p w14:paraId="61219C81" w14:textId="784E0505" w:rsidR="002A5742" w:rsidRPr="002A5742" w:rsidRDefault="002A5742">
      <w:pPr>
        <w:pStyle w:val="FootnoteText"/>
      </w:pPr>
      <w:r>
        <w:rPr>
          <w:rStyle w:val="FootnoteReference"/>
        </w:rPr>
        <w:footnoteRef/>
      </w:r>
      <w:r>
        <w:t xml:space="preserve"> UNEP/OzL.Pro/ExCom//95/91</w:t>
      </w:r>
    </w:p>
  </w:footnote>
  <w:footnote w:id="3">
    <w:p w14:paraId="701329C3" w14:textId="444FB147" w:rsidR="00101445" w:rsidRPr="00CC6B27" w:rsidRDefault="00101445" w:rsidP="00101445">
      <w:pPr>
        <w:pStyle w:val="FootnoteText"/>
      </w:pPr>
      <w:r>
        <w:rPr>
          <w:rStyle w:val="FootnoteReference"/>
        </w:rPr>
        <w:footnoteRef/>
      </w:r>
      <w:r>
        <w:t xml:space="preserve"> MLF/IACM.2019/1/28, </w:t>
      </w:r>
      <w:r w:rsidR="00A727FA">
        <w:t>párrafo</w:t>
      </w:r>
      <w:r>
        <w:t xml:space="preserve"> 33</w:t>
      </w:r>
    </w:p>
  </w:footnote>
  <w:footnote w:id="4">
    <w:p w14:paraId="663C9DBC" w14:textId="2B426E39" w:rsidR="00E33722" w:rsidRPr="00E33722" w:rsidRDefault="00E33722">
      <w:pPr>
        <w:pStyle w:val="FootnoteText"/>
      </w:pPr>
      <w:r>
        <w:rPr>
          <w:rStyle w:val="FootnoteReference"/>
        </w:rPr>
        <w:footnoteRef/>
      </w:r>
      <w:r>
        <w:t xml:space="preserve"> UNEP/OzL.Pro/ExCom/82/72, </w:t>
      </w:r>
      <w:r w:rsidR="00A727FA">
        <w:t>párrafo</w:t>
      </w:r>
      <w:r>
        <w:t xml:space="preserve"> 168 y MLF/IACM.2019/1/28, </w:t>
      </w:r>
      <w:r w:rsidR="00A727FA">
        <w:t>párrafo</w:t>
      </w:r>
      <w:r>
        <w:t xml:space="preserve"> 26</w:t>
      </w:r>
    </w:p>
  </w:footnote>
  <w:footnote w:id="5">
    <w:p w14:paraId="2B0BCD7B" w14:textId="42606750" w:rsidR="00596106" w:rsidRPr="00596106" w:rsidRDefault="00596106">
      <w:pPr>
        <w:pStyle w:val="FootnoteText"/>
      </w:pPr>
      <w:r>
        <w:t>UNEP/OzL.Pro/ExCom/94/67, anexo II</w:t>
      </w:r>
    </w:p>
  </w:footnote>
  <w:footnote w:id="6">
    <w:p w14:paraId="3D5DB025" w14:textId="77777777" w:rsidR="00A803FD" w:rsidRPr="00CB5CF8" w:rsidRDefault="00A803FD" w:rsidP="00A803FD">
      <w:pPr>
        <w:pStyle w:val="FootnoteText"/>
      </w:pPr>
      <w:r>
        <w:rPr>
          <w:rStyle w:val="FootnoteReference"/>
        </w:rPr>
        <w:footnoteRef/>
      </w:r>
      <w:r>
        <w:t xml:space="preserve"> En la reunión de coordinación interinstitucional celebrada en septiembre de 2025</w:t>
      </w:r>
    </w:p>
  </w:footnote>
  <w:footnote w:id="7">
    <w:p w14:paraId="61B472F6" w14:textId="31B62EB3" w:rsidR="00937738" w:rsidRPr="00E33773" w:rsidRDefault="00937738">
      <w:pPr>
        <w:pStyle w:val="FootnoteText"/>
      </w:pPr>
      <w:r>
        <w:rPr>
          <w:rStyle w:val="FootnoteReference"/>
        </w:rPr>
        <w:footnoteRef/>
      </w:r>
      <w:r>
        <w:t xml:space="preserve"> MLF/IACM.2025/2/, </w:t>
      </w:r>
      <w:r w:rsidR="00A727FA">
        <w:t>párrafo</w:t>
      </w:r>
      <w:r>
        <w:t xml:space="preserve"> 35</w:t>
      </w:r>
    </w:p>
  </w:footnote>
  <w:footnote w:id="8">
    <w:p w14:paraId="65551922" w14:textId="32C436FD" w:rsidR="00507FFB" w:rsidRPr="00562D75" w:rsidRDefault="00507FFB">
      <w:pPr>
        <w:pStyle w:val="FootnoteText"/>
      </w:pPr>
      <w:r>
        <w:rPr>
          <w:rStyle w:val="FootnoteReference"/>
        </w:rPr>
        <w:footnoteRef/>
      </w:r>
      <w:r>
        <w:t xml:space="preserve"> UNEP/OzL.Pro/ExCom/94/8, </w:t>
      </w:r>
      <w:r w:rsidR="00A727FA">
        <w:t>párrafo</w:t>
      </w:r>
      <w:r>
        <w:t xml:space="preserve"> 45</w:t>
      </w:r>
    </w:p>
  </w:footnote>
  <w:footnote w:id="9">
    <w:p w14:paraId="684AD8B6" w14:textId="40EF3AA7" w:rsidR="00346C39" w:rsidRPr="00721541" w:rsidRDefault="00721541">
      <w:pPr>
        <w:pStyle w:val="FootnoteText"/>
      </w:pPr>
      <w:r>
        <w:rPr>
          <w:rStyle w:val="FootnoteReference"/>
        </w:rPr>
        <w:footnoteRef/>
      </w:r>
      <w:r>
        <w:t xml:space="preserve"> Por ejemplo, véase la guía actualizada para la presentación de nuevas etapas de los planes de gestión para la eliminación de HCFC (PGEH), sección I, </w:t>
      </w:r>
      <w:hyperlink r:id="rId1" w:history="1">
        <w:r>
          <w:rPr>
            <w:rStyle w:val="Hyperlink"/>
          </w:rPr>
          <w:t>https://www.multilateralfund.org/resources/project-guides-tools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653F" w14:textId="22427010" w:rsidR="00DC6A10" w:rsidRPr="0033525D" w:rsidRDefault="00EA14C6">
    <w:fldSimple w:instr="DOCPROPERTY &quot;Document number&quot;  \* MERGEFORMAT">
      <w:r w:rsidR="00D436D2">
        <w:t>UNEP/OzL.Pro/ExCom/97/88</w:t>
      </w:r>
    </w:fldSimple>
  </w:p>
  <w:p w14:paraId="4A5ADD4E" w14:textId="77777777" w:rsidR="00DC6A10" w:rsidRPr="0033525D" w:rsidRDefault="00DC6A10"/>
  <w:p w14:paraId="1AE8D4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43E9" w14:textId="694935DD" w:rsidR="00DC6A10" w:rsidRPr="0033525D" w:rsidRDefault="00EA14C6">
    <w:pPr>
      <w:jc w:val="right"/>
    </w:pPr>
    <w:fldSimple w:instr="DOCPROPERTY &quot;Document number&quot;  \* MERGEFORMAT">
      <w:r w:rsidR="00D436D2">
        <w:t>UNEP/OzL.Pro/ExCom/97/88</w:t>
      </w:r>
    </w:fldSimple>
  </w:p>
  <w:p w14:paraId="310E17E3" w14:textId="77777777" w:rsidR="00DC6A10" w:rsidRPr="0033525D" w:rsidRDefault="00DC6A10"/>
  <w:p w14:paraId="04B73BE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BB0B6BA"/>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DAD6050"/>
    <w:multiLevelType w:val="hybridMultilevel"/>
    <w:tmpl w:val="2F0AE5F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1C1CA5"/>
    <w:multiLevelType w:val="multilevel"/>
    <w:tmpl w:val="31E23C7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10F5514"/>
    <w:multiLevelType w:val="multilevel"/>
    <w:tmpl w:val="31E23C7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62CA26D6"/>
    <w:multiLevelType w:val="multilevel"/>
    <w:tmpl w:val="39AE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714317"/>
    <w:multiLevelType w:val="multilevel"/>
    <w:tmpl w:val="F728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4"/>
  </w:num>
  <w:num w:numId="18" w16cid:durableId="871651730">
    <w:abstractNumId w:val="15"/>
  </w:num>
  <w:num w:numId="19" w16cid:durableId="88309556">
    <w:abstractNumId w:val="20"/>
  </w:num>
  <w:num w:numId="20" w16cid:durableId="1076512343">
    <w:abstractNumId w:val="12"/>
  </w:num>
  <w:num w:numId="21" w16cid:durableId="1599555443">
    <w:abstractNumId w:val="18"/>
  </w:num>
  <w:num w:numId="22" w16cid:durableId="888109828">
    <w:abstractNumId w:val="19"/>
  </w:num>
  <w:num w:numId="23" w16cid:durableId="1098017724">
    <w:abstractNumId w:val="17"/>
  </w:num>
  <w:num w:numId="24" w16cid:durableId="36902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8855261">
    <w:abstractNumId w:val="16"/>
  </w:num>
  <w:num w:numId="26" w16cid:durableId="138545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923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01115764">
    <w:abstractNumId w:val="10"/>
  </w:num>
  <w:num w:numId="29" w16cid:durableId="13730505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8F7314"/>
    <w:rsid w:val="00000FED"/>
    <w:rsid w:val="00001E6B"/>
    <w:rsid w:val="0000434E"/>
    <w:rsid w:val="00006B1C"/>
    <w:rsid w:val="00013236"/>
    <w:rsid w:val="00014994"/>
    <w:rsid w:val="00015B55"/>
    <w:rsid w:val="00017F19"/>
    <w:rsid w:val="00021C4B"/>
    <w:rsid w:val="00024F3A"/>
    <w:rsid w:val="00026359"/>
    <w:rsid w:val="00027178"/>
    <w:rsid w:val="00031260"/>
    <w:rsid w:val="00034B06"/>
    <w:rsid w:val="0003584D"/>
    <w:rsid w:val="0003681A"/>
    <w:rsid w:val="00036B62"/>
    <w:rsid w:val="00036EC2"/>
    <w:rsid w:val="000405A1"/>
    <w:rsid w:val="000436B3"/>
    <w:rsid w:val="00043DA8"/>
    <w:rsid w:val="00045751"/>
    <w:rsid w:val="0004651E"/>
    <w:rsid w:val="000466B5"/>
    <w:rsid w:val="000468A4"/>
    <w:rsid w:val="00047AED"/>
    <w:rsid w:val="00047C8C"/>
    <w:rsid w:val="00050811"/>
    <w:rsid w:val="00051BE8"/>
    <w:rsid w:val="0005434B"/>
    <w:rsid w:val="000554FD"/>
    <w:rsid w:val="000565EB"/>
    <w:rsid w:val="0005720C"/>
    <w:rsid w:val="00057628"/>
    <w:rsid w:val="0006085C"/>
    <w:rsid w:val="00061CAB"/>
    <w:rsid w:val="00062BDB"/>
    <w:rsid w:val="0006348B"/>
    <w:rsid w:val="00065D34"/>
    <w:rsid w:val="00070D6F"/>
    <w:rsid w:val="00071429"/>
    <w:rsid w:val="00072B13"/>
    <w:rsid w:val="00073A8B"/>
    <w:rsid w:val="000763B9"/>
    <w:rsid w:val="00080ED0"/>
    <w:rsid w:val="000837FA"/>
    <w:rsid w:val="00085B8F"/>
    <w:rsid w:val="00087AFC"/>
    <w:rsid w:val="00090064"/>
    <w:rsid w:val="00090481"/>
    <w:rsid w:val="0009059E"/>
    <w:rsid w:val="00090B1A"/>
    <w:rsid w:val="00091A22"/>
    <w:rsid w:val="00093706"/>
    <w:rsid w:val="00095045"/>
    <w:rsid w:val="000A0EFE"/>
    <w:rsid w:val="000A3B8E"/>
    <w:rsid w:val="000A419B"/>
    <w:rsid w:val="000A4674"/>
    <w:rsid w:val="000B0C7F"/>
    <w:rsid w:val="000B144C"/>
    <w:rsid w:val="000B14AC"/>
    <w:rsid w:val="000B2500"/>
    <w:rsid w:val="000B2E85"/>
    <w:rsid w:val="000B44DB"/>
    <w:rsid w:val="000B56B8"/>
    <w:rsid w:val="000B5B19"/>
    <w:rsid w:val="000C324A"/>
    <w:rsid w:val="000C50D8"/>
    <w:rsid w:val="000C597E"/>
    <w:rsid w:val="000D1666"/>
    <w:rsid w:val="000E07BC"/>
    <w:rsid w:val="000E0CAB"/>
    <w:rsid w:val="000E1079"/>
    <w:rsid w:val="000E44DE"/>
    <w:rsid w:val="000E5EB1"/>
    <w:rsid w:val="000F1428"/>
    <w:rsid w:val="000F1CD4"/>
    <w:rsid w:val="000F1F32"/>
    <w:rsid w:val="000F2356"/>
    <w:rsid w:val="000F2E00"/>
    <w:rsid w:val="000F369D"/>
    <w:rsid w:val="000F4103"/>
    <w:rsid w:val="000F5112"/>
    <w:rsid w:val="000F5201"/>
    <w:rsid w:val="000F70A7"/>
    <w:rsid w:val="00100349"/>
    <w:rsid w:val="00101445"/>
    <w:rsid w:val="00103E71"/>
    <w:rsid w:val="001049B8"/>
    <w:rsid w:val="00104D0D"/>
    <w:rsid w:val="00106A2E"/>
    <w:rsid w:val="001137FA"/>
    <w:rsid w:val="0011413C"/>
    <w:rsid w:val="00116FCA"/>
    <w:rsid w:val="00121BE4"/>
    <w:rsid w:val="00122F20"/>
    <w:rsid w:val="00123EA2"/>
    <w:rsid w:val="00125B02"/>
    <w:rsid w:val="00126965"/>
    <w:rsid w:val="001307B6"/>
    <w:rsid w:val="00132895"/>
    <w:rsid w:val="00135980"/>
    <w:rsid w:val="00140358"/>
    <w:rsid w:val="00141135"/>
    <w:rsid w:val="00146732"/>
    <w:rsid w:val="00147EE0"/>
    <w:rsid w:val="00151CE9"/>
    <w:rsid w:val="00154357"/>
    <w:rsid w:val="001562D5"/>
    <w:rsid w:val="00157C45"/>
    <w:rsid w:val="00160FBF"/>
    <w:rsid w:val="00161AE9"/>
    <w:rsid w:val="00164719"/>
    <w:rsid w:val="00166FC4"/>
    <w:rsid w:val="001677AC"/>
    <w:rsid w:val="001751C0"/>
    <w:rsid w:val="00175881"/>
    <w:rsid w:val="00180CB3"/>
    <w:rsid w:val="001811D9"/>
    <w:rsid w:val="00181872"/>
    <w:rsid w:val="00182C65"/>
    <w:rsid w:val="001841F2"/>
    <w:rsid w:val="00190A61"/>
    <w:rsid w:val="001920F4"/>
    <w:rsid w:val="00192E73"/>
    <w:rsid w:val="0019324D"/>
    <w:rsid w:val="001946B9"/>
    <w:rsid w:val="0019499A"/>
    <w:rsid w:val="00196C48"/>
    <w:rsid w:val="001A0BF3"/>
    <w:rsid w:val="001A113A"/>
    <w:rsid w:val="001A3342"/>
    <w:rsid w:val="001A3E3D"/>
    <w:rsid w:val="001A6857"/>
    <w:rsid w:val="001A6B86"/>
    <w:rsid w:val="001A6E19"/>
    <w:rsid w:val="001B1E40"/>
    <w:rsid w:val="001B3C4D"/>
    <w:rsid w:val="001B42CD"/>
    <w:rsid w:val="001B649E"/>
    <w:rsid w:val="001B7A33"/>
    <w:rsid w:val="001C01D0"/>
    <w:rsid w:val="001C1302"/>
    <w:rsid w:val="001C2C04"/>
    <w:rsid w:val="001C50CD"/>
    <w:rsid w:val="001C764E"/>
    <w:rsid w:val="001C7724"/>
    <w:rsid w:val="001D0ED4"/>
    <w:rsid w:val="001D5C28"/>
    <w:rsid w:val="001D5D21"/>
    <w:rsid w:val="001D6242"/>
    <w:rsid w:val="001E1052"/>
    <w:rsid w:val="001E1759"/>
    <w:rsid w:val="001E21B1"/>
    <w:rsid w:val="001E23CA"/>
    <w:rsid w:val="001E26E1"/>
    <w:rsid w:val="001E2CEB"/>
    <w:rsid w:val="001E2F93"/>
    <w:rsid w:val="001E5A6E"/>
    <w:rsid w:val="001E61E5"/>
    <w:rsid w:val="001E7F5D"/>
    <w:rsid w:val="001F02F3"/>
    <w:rsid w:val="001F07D1"/>
    <w:rsid w:val="001F2159"/>
    <w:rsid w:val="001F34BE"/>
    <w:rsid w:val="00200972"/>
    <w:rsid w:val="00203CA8"/>
    <w:rsid w:val="002045DC"/>
    <w:rsid w:val="002107DF"/>
    <w:rsid w:val="0021191D"/>
    <w:rsid w:val="002160C1"/>
    <w:rsid w:val="00216355"/>
    <w:rsid w:val="00223DCD"/>
    <w:rsid w:val="00226F4C"/>
    <w:rsid w:val="00227F4F"/>
    <w:rsid w:val="00234834"/>
    <w:rsid w:val="00237A8D"/>
    <w:rsid w:val="00240DEC"/>
    <w:rsid w:val="0024191C"/>
    <w:rsid w:val="002419EC"/>
    <w:rsid w:val="00243D01"/>
    <w:rsid w:val="00250822"/>
    <w:rsid w:val="00253222"/>
    <w:rsid w:val="00253607"/>
    <w:rsid w:val="002543F2"/>
    <w:rsid w:val="002570C2"/>
    <w:rsid w:val="00257D69"/>
    <w:rsid w:val="00260029"/>
    <w:rsid w:val="002624FF"/>
    <w:rsid w:val="00262E06"/>
    <w:rsid w:val="00267AF7"/>
    <w:rsid w:val="00270F20"/>
    <w:rsid w:val="00273869"/>
    <w:rsid w:val="00277278"/>
    <w:rsid w:val="0028110B"/>
    <w:rsid w:val="00284EDD"/>
    <w:rsid w:val="00287ADB"/>
    <w:rsid w:val="002905E4"/>
    <w:rsid w:val="00291880"/>
    <w:rsid w:val="00292DA4"/>
    <w:rsid w:val="0029418B"/>
    <w:rsid w:val="002A03B5"/>
    <w:rsid w:val="002A0EA7"/>
    <w:rsid w:val="002A2EEF"/>
    <w:rsid w:val="002A5742"/>
    <w:rsid w:val="002A5DBF"/>
    <w:rsid w:val="002A67BA"/>
    <w:rsid w:val="002B397A"/>
    <w:rsid w:val="002B448C"/>
    <w:rsid w:val="002B4AD2"/>
    <w:rsid w:val="002B628F"/>
    <w:rsid w:val="002B69A5"/>
    <w:rsid w:val="002B72E9"/>
    <w:rsid w:val="002B7732"/>
    <w:rsid w:val="002C5938"/>
    <w:rsid w:val="002C7E90"/>
    <w:rsid w:val="002D14E4"/>
    <w:rsid w:val="002D17DF"/>
    <w:rsid w:val="002D4A28"/>
    <w:rsid w:val="002D5868"/>
    <w:rsid w:val="002D5A75"/>
    <w:rsid w:val="002D6696"/>
    <w:rsid w:val="002D6781"/>
    <w:rsid w:val="002E1D44"/>
    <w:rsid w:val="002E2C35"/>
    <w:rsid w:val="002E37B8"/>
    <w:rsid w:val="002E40D2"/>
    <w:rsid w:val="002E5BF0"/>
    <w:rsid w:val="002F439F"/>
    <w:rsid w:val="002F52A4"/>
    <w:rsid w:val="002F6E3D"/>
    <w:rsid w:val="0030065C"/>
    <w:rsid w:val="00300B16"/>
    <w:rsid w:val="00300D9D"/>
    <w:rsid w:val="0030465A"/>
    <w:rsid w:val="003110AB"/>
    <w:rsid w:val="00311465"/>
    <w:rsid w:val="00311599"/>
    <w:rsid w:val="00311726"/>
    <w:rsid w:val="003126A7"/>
    <w:rsid w:val="003158BB"/>
    <w:rsid w:val="003246ED"/>
    <w:rsid w:val="00327A3B"/>
    <w:rsid w:val="003306E1"/>
    <w:rsid w:val="003320E4"/>
    <w:rsid w:val="00332B3E"/>
    <w:rsid w:val="00332D52"/>
    <w:rsid w:val="00332F0E"/>
    <w:rsid w:val="003339A4"/>
    <w:rsid w:val="0033525D"/>
    <w:rsid w:val="003359A8"/>
    <w:rsid w:val="00337E25"/>
    <w:rsid w:val="003414F3"/>
    <w:rsid w:val="00346C39"/>
    <w:rsid w:val="003476D4"/>
    <w:rsid w:val="00350785"/>
    <w:rsid w:val="0035129F"/>
    <w:rsid w:val="00351E07"/>
    <w:rsid w:val="00354574"/>
    <w:rsid w:val="0035613E"/>
    <w:rsid w:val="003574CB"/>
    <w:rsid w:val="00360B6D"/>
    <w:rsid w:val="00360FF0"/>
    <w:rsid w:val="00362E3B"/>
    <w:rsid w:val="003630C2"/>
    <w:rsid w:val="00363EE9"/>
    <w:rsid w:val="00366A35"/>
    <w:rsid w:val="00367C21"/>
    <w:rsid w:val="00370E5E"/>
    <w:rsid w:val="00371522"/>
    <w:rsid w:val="00373254"/>
    <w:rsid w:val="00374B70"/>
    <w:rsid w:val="00375421"/>
    <w:rsid w:val="00376128"/>
    <w:rsid w:val="00376BA0"/>
    <w:rsid w:val="00376BBB"/>
    <w:rsid w:val="0037742E"/>
    <w:rsid w:val="0038245A"/>
    <w:rsid w:val="003839E4"/>
    <w:rsid w:val="00385304"/>
    <w:rsid w:val="003860E2"/>
    <w:rsid w:val="003907FC"/>
    <w:rsid w:val="00392A95"/>
    <w:rsid w:val="00392C36"/>
    <w:rsid w:val="0039337A"/>
    <w:rsid w:val="00394E53"/>
    <w:rsid w:val="0039551B"/>
    <w:rsid w:val="00396605"/>
    <w:rsid w:val="00396D34"/>
    <w:rsid w:val="0039764A"/>
    <w:rsid w:val="0039764E"/>
    <w:rsid w:val="003A3189"/>
    <w:rsid w:val="003A624A"/>
    <w:rsid w:val="003A6ACD"/>
    <w:rsid w:val="003B2972"/>
    <w:rsid w:val="003B3973"/>
    <w:rsid w:val="003B3AB8"/>
    <w:rsid w:val="003B505D"/>
    <w:rsid w:val="003B53E0"/>
    <w:rsid w:val="003B569D"/>
    <w:rsid w:val="003B5E01"/>
    <w:rsid w:val="003B6CE7"/>
    <w:rsid w:val="003C1BC4"/>
    <w:rsid w:val="003C26D4"/>
    <w:rsid w:val="003C3C0E"/>
    <w:rsid w:val="003C428B"/>
    <w:rsid w:val="003D013E"/>
    <w:rsid w:val="003D2A2D"/>
    <w:rsid w:val="003D4FAC"/>
    <w:rsid w:val="003D6F6F"/>
    <w:rsid w:val="003D71B5"/>
    <w:rsid w:val="003E1000"/>
    <w:rsid w:val="003E2DA3"/>
    <w:rsid w:val="003E47F3"/>
    <w:rsid w:val="003E7218"/>
    <w:rsid w:val="003E7906"/>
    <w:rsid w:val="003F0090"/>
    <w:rsid w:val="003F0593"/>
    <w:rsid w:val="003F071D"/>
    <w:rsid w:val="003F2552"/>
    <w:rsid w:val="003F3C50"/>
    <w:rsid w:val="0040042A"/>
    <w:rsid w:val="004007A6"/>
    <w:rsid w:val="00403862"/>
    <w:rsid w:val="00406A6A"/>
    <w:rsid w:val="00406B22"/>
    <w:rsid w:val="00406BA5"/>
    <w:rsid w:val="0041223B"/>
    <w:rsid w:val="00413AD3"/>
    <w:rsid w:val="00415AEC"/>
    <w:rsid w:val="004172CA"/>
    <w:rsid w:val="0042363D"/>
    <w:rsid w:val="00423DC8"/>
    <w:rsid w:val="00423FCD"/>
    <w:rsid w:val="00432279"/>
    <w:rsid w:val="004328A7"/>
    <w:rsid w:val="00434C74"/>
    <w:rsid w:val="0043677F"/>
    <w:rsid w:val="004412CE"/>
    <w:rsid w:val="0044167C"/>
    <w:rsid w:val="00442406"/>
    <w:rsid w:val="004435E1"/>
    <w:rsid w:val="00444F4E"/>
    <w:rsid w:val="00450AA6"/>
    <w:rsid w:val="00451967"/>
    <w:rsid w:val="00452AC4"/>
    <w:rsid w:val="00453A8F"/>
    <w:rsid w:val="0045695D"/>
    <w:rsid w:val="00456EB4"/>
    <w:rsid w:val="004576E0"/>
    <w:rsid w:val="0046024B"/>
    <w:rsid w:val="004652CA"/>
    <w:rsid w:val="00466350"/>
    <w:rsid w:val="00470584"/>
    <w:rsid w:val="00470D6D"/>
    <w:rsid w:val="004718F3"/>
    <w:rsid w:val="00471DDB"/>
    <w:rsid w:val="0047334F"/>
    <w:rsid w:val="00474E95"/>
    <w:rsid w:val="00475040"/>
    <w:rsid w:val="004820B7"/>
    <w:rsid w:val="0048329B"/>
    <w:rsid w:val="0048349F"/>
    <w:rsid w:val="00483EAA"/>
    <w:rsid w:val="0048470D"/>
    <w:rsid w:val="00485D88"/>
    <w:rsid w:val="00491A54"/>
    <w:rsid w:val="00493D40"/>
    <w:rsid w:val="004971B7"/>
    <w:rsid w:val="004974EA"/>
    <w:rsid w:val="004A0D2B"/>
    <w:rsid w:val="004A504B"/>
    <w:rsid w:val="004A6911"/>
    <w:rsid w:val="004A6D04"/>
    <w:rsid w:val="004B2897"/>
    <w:rsid w:val="004B4381"/>
    <w:rsid w:val="004B5134"/>
    <w:rsid w:val="004B54E0"/>
    <w:rsid w:val="004B7384"/>
    <w:rsid w:val="004C118E"/>
    <w:rsid w:val="004C24BB"/>
    <w:rsid w:val="004C4269"/>
    <w:rsid w:val="004C600D"/>
    <w:rsid w:val="004C69CD"/>
    <w:rsid w:val="004C7E0D"/>
    <w:rsid w:val="004D1D54"/>
    <w:rsid w:val="004D2089"/>
    <w:rsid w:val="004D256D"/>
    <w:rsid w:val="004D2D5F"/>
    <w:rsid w:val="004D4CDB"/>
    <w:rsid w:val="004D5915"/>
    <w:rsid w:val="004D6236"/>
    <w:rsid w:val="004D6EDF"/>
    <w:rsid w:val="004D7C74"/>
    <w:rsid w:val="004E2F62"/>
    <w:rsid w:val="004E39AE"/>
    <w:rsid w:val="004E4C07"/>
    <w:rsid w:val="004E4DBB"/>
    <w:rsid w:val="004E6472"/>
    <w:rsid w:val="004E6C96"/>
    <w:rsid w:val="004E7F9C"/>
    <w:rsid w:val="004F3493"/>
    <w:rsid w:val="004F5FEC"/>
    <w:rsid w:val="004F6138"/>
    <w:rsid w:val="004F7870"/>
    <w:rsid w:val="00500300"/>
    <w:rsid w:val="00501FA1"/>
    <w:rsid w:val="00507E4C"/>
    <w:rsid w:val="00507FFB"/>
    <w:rsid w:val="00512B09"/>
    <w:rsid w:val="00513FD5"/>
    <w:rsid w:val="00524424"/>
    <w:rsid w:val="00524790"/>
    <w:rsid w:val="0053259C"/>
    <w:rsid w:val="00532682"/>
    <w:rsid w:val="00532AC8"/>
    <w:rsid w:val="00532C3F"/>
    <w:rsid w:val="00532FA9"/>
    <w:rsid w:val="00535733"/>
    <w:rsid w:val="005468EF"/>
    <w:rsid w:val="00546B4F"/>
    <w:rsid w:val="005505C3"/>
    <w:rsid w:val="0055311C"/>
    <w:rsid w:val="00555B3B"/>
    <w:rsid w:val="00555D75"/>
    <w:rsid w:val="0055708B"/>
    <w:rsid w:val="00560534"/>
    <w:rsid w:val="00560DF0"/>
    <w:rsid w:val="00561A74"/>
    <w:rsid w:val="00562D75"/>
    <w:rsid w:val="00565319"/>
    <w:rsid w:val="0056581B"/>
    <w:rsid w:val="005660F3"/>
    <w:rsid w:val="00572FC7"/>
    <w:rsid w:val="00575A22"/>
    <w:rsid w:val="00575B35"/>
    <w:rsid w:val="005775CC"/>
    <w:rsid w:val="0058030B"/>
    <w:rsid w:val="005814EB"/>
    <w:rsid w:val="005830D3"/>
    <w:rsid w:val="00586E00"/>
    <w:rsid w:val="00587E87"/>
    <w:rsid w:val="0059214B"/>
    <w:rsid w:val="005930D0"/>
    <w:rsid w:val="005934FB"/>
    <w:rsid w:val="00596106"/>
    <w:rsid w:val="00596897"/>
    <w:rsid w:val="00596F22"/>
    <w:rsid w:val="005A2067"/>
    <w:rsid w:val="005A346D"/>
    <w:rsid w:val="005A68C5"/>
    <w:rsid w:val="005B175C"/>
    <w:rsid w:val="005B2436"/>
    <w:rsid w:val="005B26A4"/>
    <w:rsid w:val="005B28F8"/>
    <w:rsid w:val="005B361B"/>
    <w:rsid w:val="005B3762"/>
    <w:rsid w:val="005B48FF"/>
    <w:rsid w:val="005B5E95"/>
    <w:rsid w:val="005C1D4F"/>
    <w:rsid w:val="005C3EBE"/>
    <w:rsid w:val="005C685F"/>
    <w:rsid w:val="005C70BF"/>
    <w:rsid w:val="005C7A40"/>
    <w:rsid w:val="005E1978"/>
    <w:rsid w:val="005E3894"/>
    <w:rsid w:val="005F0CF5"/>
    <w:rsid w:val="005F217A"/>
    <w:rsid w:val="005F55B7"/>
    <w:rsid w:val="00600A67"/>
    <w:rsid w:val="00601141"/>
    <w:rsid w:val="006012A7"/>
    <w:rsid w:val="00601390"/>
    <w:rsid w:val="00604603"/>
    <w:rsid w:val="00611118"/>
    <w:rsid w:val="006141C1"/>
    <w:rsid w:val="006158D5"/>
    <w:rsid w:val="00617E98"/>
    <w:rsid w:val="006241EB"/>
    <w:rsid w:val="006243D3"/>
    <w:rsid w:val="00624625"/>
    <w:rsid w:val="00625D83"/>
    <w:rsid w:val="006309DD"/>
    <w:rsid w:val="006405BE"/>
    <w:rsid w:val="0064103E"/>
    <w:rsid w:val="006431D2"/>
    <w:rsid w:val="00643292"/>
    <w:rsid w:val="00647834"/>
    <w:rsid w:val="00650BA4"/>
    <w:rsid w:val="00651531"/>
    <w:rsid w:val="006530A8"/>
    <w:rsid w:val="0065508A"/>
    <w:rsid w:val="00656F77"/>
    <w:rsid w:val="00660901"/>
    <w:rsid w:val="006623E7"/>
    <w:rsid w:val="00662B80"/>
    <w:rsid w:val="006630FB"/>
    <w:rsid w:val="00666947"/>
    <w:rsid w:val="006702D6"/>
    <w:rsid w:val="006727FD"/>
    <w:rsid w:val="00674ED6"/>
    <w:rsid w:val="006768DE"/>
    <w:rsid w:val="006779C7"/>
    <w:rsid w:val="00677B6A"/>
    <w:rsid w:val="00680534"/>
    <w:rsid w:val="00683522"/>
    <w:rsid w:val="00684264"/>
    <w:rsid w:val="006852C7"/>
    <w:rsid w:val="00687328"/>
    <w:rsid w:val="00687601"/>
    <w:rsid w:val="006A1C9A"/>
    <w:rsid w:val="006A2C78"/>
    <w:rsid w:val="006A6E85"/>
    <w:rsid w:val="006A7948"/>
    <w:rsid w:val="006B0DEC"/>
    <w:rsid w:val="006B14D3"/>
    <w:rsid w:val="006B2BAB"/>
    <w:rsid w:val="006B5458"/>
    <w:rsid w:val="006B5913"/>
    <w:rsid w:val="006B5CCC"/>
    <w:rsid w:val="006B68A2"/>
    <w:rsid w:val="006B6B14"/>
    <w:rsid w:val="006B7FBC"/>
    <w:rsid w:val="006C019F"/>
    <w:rsid w:val="006C10E3"/>
    <w:rsid w:val="006C1727"/>
    <w:rsid w:val="006C2DD9"/>
    <w:rsid w:val="006C32FD"/>
    <w:rsid w:val="006C363D"/>
    <w:rsid w:val="006D0E4B"/>
    <w:rsid w:val="006D0FCC"/>
    <w:rsid w:val="006D140E"/>
    <w:rsid w:val="006D4F00"/>
    <w:rsid w:val="006D5E81"/>
    <w:rsid w:val="006D7A91"/>
    <w:rsid w:val="006E0D57"/>
    <w:rsid w:val="006E133D"/>
    <w:rsid w:val="006E2367"/>
    <w:rsid w:val="006E40CF"/>
    <w:rsid w:val="006E4F03"/>
    <w:rsid w:val="006E67F9"/>
    <w:rsid w:val="006F1A22"/>
    <w:rsid w:val="006F2564"/>
    <w:rsid w:val="006F2A14"/>
    <w:rsid w:val="006F4B3D"/>
    <w:rsid w:val="006F6061"/>
    <w:rsid w:val="006F7903"/>
    <w:rsid w:val="006F7E21"/>
    <w:rsid w:val="007021DE"/>
    <w:rsid w:val="0070410D"/>
    <w:rsid w:val="0070616B"/>
    <w:rsid w:val="00706FDA"/>
    <w:rsid w:val="00711591"/>
    <w:rsid w:val="00711F9A"/>
    <w:rsid w:val="00713810"/>
    <w:rsid w:val="00714EE3"/>
    <w:rsid w:val="007159D3"/>
    <w:rsid w:val="007162CD"/>
    <w:rsid w:val="00717150"/>
    <w:rsid w:val="00717FAD"/>
    <w:rsid w:val="00721541"/>
    <w:rsid w:val="0072230F"/>
    <w:rsid w:val="00722D14"/>
    <w:rsid w:val="00723023"/>
    <w:rsid w:val="007231B3"/>
    <w:rsid w:val="00723D59"/>
    <w:rsid w:val="00727CC8"/>
    <w:rsid w:val="007303A5"/>
    <w:rsid w:val="00730B3E"/>
    <w:rsid w:val="00731D4B"/>
    <w:rsid w:val="0073420B"/>
    <w:rsid w:val="007350A2"/>
    <w:rsid w:val="007357BE"/>
    <w:rsid w:val="0074760E"/>
    <w:rsid w:val="0074777E"/>
    <w:rsid w:val="00754ABA"/>
    <w:rsid w:val="00757A01"/>
    <w:rsid w:val="00760F9F"/>
    <w:rsid w:val="00767164"/>
    <w:rsid w:val="007715DA"/>
    <w:rsid w:val="00772373"/>
    <w:rsid w:val="00777EAF"/>
    <w:rsid w:val="00781142"/>
    <w:rsid w:val="007839EF"/>
    <w:rsid w:val="007866F7"/>
    <w:rsid w:val="00795440"/>
    <w:rsid w:val="007964D1"/>
    <w:rsid w:val="00796DB5"/>
    <w:rsid w:val="007A1546"/>
    <w:rsid w:val="007A228C"/>
    <w:rsid w:val="007A31F6"/>
    <w:rsid w:val="007A368E"/>
    <w:rsid w:val="007A4D12"/>
    <w:rsid w:val="007A5868"/>
    <w:rsid w:val="007A6C01"/>
    <w:rsid w:val="007A6C88"/>
    <w:rsid w:val="007B0449"/>
    <w:rsid w:val="007B04CE"/>
    <w:rsid w:val="007B1023"/>
    <w:rsid w:val="007B2BC5"/>
    <w:rsid w:val="007B3D87"/>
    <w:rsid w:val="007B4023"/>
    <w:rsid w:val="007B598C"/>
    <w:rsid w:val="007B6871"/>
    <w:rsid w:val="007C0C02"/>
    <w:rsid w:val="007C15FB"/>
    <w:rsid w:val="007C1C13"/>
    <w:rsid w:val="007C1E9B"/>
    <w:rsid w:val="007C3640"/>
    <w:rsid w:val="007C3D33"/>
    <w:rsid w:val="007C4332"/>
    <w:rsid w:val="007D00FA"/>
    <w:rsid w:val="007D12F4"/>
    <w:rsid w:val="007D294A"/>
    <w:rsid w:val="007D47D2"/>
    <w:rsid w:val="007D4951"/>
    <w:rsid w:val="007D6463"/>
    <w:rsid w:val="007D69F8"/>
    <w:rsid w:val="007D6EC0"/>
    <w:rsid w:val="007D7E1D"/>
    <w:rsid w:val="007E1D04"/>
    <w:rsid w:val="007E36A5"/>
    <w:rsid w:val="007F2E1B"/>
    <w:rsid w:val="007F33CA"/>
    <w:rsid w:val="007F612E"/>
    <w:rsid w:val="007F616E"/>
    <w:rsid w:val="007F7E73"/>
    <w:rsid w:val="008005A2"/>
    <w:rsid w:val="008012FD"/>
    <w:rsid w:val="00802265"/>
    <w:rsid w:val="00803C6C"/>
    <w:rsid w:val="00804CC3"/>
    <w:rsid w:val="008063BA"/>
    <w:rsid w:val="00810F2D"/>
    <w:rsid w:val="0081133E"/>
    <w:rsid w:val="00811671"/>
    <w:rsid w:val="0081177D"/>
    <w:rsid w:val="008130E9"/>
    <w:rsid w:val="00813B1D"/>
    <w:rsid w:val="00814B7A"/>
    <w:rsid w:val="00815B9D"/>
    <w:rsid w:val="008175CF"/>
    <w:rsid w:val="00826141"/>
    <w:rsid w:val="008334B7"/>
    <w:rsid w:val="008339E0"/>
    <w:rsid w:val="00834E55"/>
    <w:rsid w:val="0084077C"/>
    <w:rsid w:val="0084454D"/>
    <w:rsid w:val="00860517"/>
    <w:rsid w:val="00861A68"/>
    <w:rsid w:val="00863230"/>
    <w:rsid w:val="0086398A"/>
    <w:rsid w:val="00863F97"/>
    <w:rsid w:val="00864252"/>
    <w:rsid w:val="00864A49"/>
    <w:rsid w:val="00866C21"/>
    <w:rsid w:val="00870C8D"/>
    <w:rsid w:val="008717D8"/>
    <w:rsid w:val="0087215C"/>
    <w:rsid w:val="00875272"/>
    <w:rsid w:val="00880DA1"/>
    <w:rsid w:val="00884566"/>
    <w:rsid w:val="008875FE"/>
    <w:rsid w:val="00887F8E"/>
    <w:rsid w:val="0089151C"/>
    <w:rsid w:val="008936F5"/>
    <w:rsid w:val="00895990"/>
    <w:rsid w:val="00896234"/>
    <w:rsid w:val="00897E43"/>
    <w:rsid w:val="00897FDD"/>
    <w:rsid w:val="008A1C15"/>
    <w:rsid w:val="008A473C"/>
    <w:rsid w:val="008A4E45"/>
    <w:rsid w:val="008A60E1"/>
    <w:rsid w:val="008B16A8"/>
    <w:rsid w:val="008B1B93"/>
    <w:rsid w:val="008B493C"/>
    <w:rsid w:val="008B4A3A"/>
    <w:rsid w:val="008B5BB6"/>
    <w:rsid w:val="008B5D53"/>
    <w:rsid w:val="008B7D12"/>
    <w:rsid w:val="008B7D1F"/>
    <w:rsid w:val="008C1D25"/>
    <w:rsid w:val="008C4731"/>
    <w:rsid w:val="008C5153"/>
    <w:rsid w:val="008C5738"/>
    <w:rsid w:val="008C736A"/>
    <w:rsid w:val="008C7EAD"/>
    <w:rsid w:val="008D120A"/>
    <w:rsid w:val="008D1471"/>
    <w:rsid w:val="008D2BCE"/>
    <w:rsid w:val="008D4027"/>
    <w:rsid w:val="008D4901"/>
    <w:rsid w:val="008D5E32"/>
    <w:rsid w:val="008D6152"/>
    <w:rsid w:val="008D72C6"/>
    <w:rsid w:val="008E50C1"/>
    <w:rsid w:val="008F0F81"/>
    <w:rsid w:val="008F3CF7"/>
    <w:rsid w:val="008F7314"/>
    <w:rsid w:val="00903438"/>
    <w:rsid w:val="00905901"/>
    <w:rsid w:val="009108A2"/>
    <w:rsid w:val="00912D2C"/>
    <w:rsid w:val="00913140"/>
    <w:rsid w:val="00921064"/>
    <w:rsid w:val="00922BCF"/>
    <w:rsid w:val="00923540"/>
    <w:rsid w:val="00923669"/>
    <w:rsid w:val="00924915"/>
    <w:rsid w:val="00924B26"/>
    <w:rsid w:val="00926767"/>
    <w:rsid w:val="00927701"/>
    <w:rsid w:val="00931D86"/>
    <w:rsid w:val="009328F2"/>
    <w:rsid w:val="009361D5"/>
    <w:rsid w:val="00936941"/>
    <w:rsid w:val="009374A6"/>
    <w:rsid w:val="00937738"/>
    <w:rsid w:val="00940DBB"/>
    <w:rsid w:val="00941840"/>
    <w:rsid w:val="00943014"/>
    <w:rsid w:val="00943069"/>
    <w:rsid w:val="0094377F"/>
    <w:rsid w:val="00945DE5"/>
    <w:rsid w:val="0094747F"/>
    <w:rsid w:val="009526DE"/>
    <w:rsid w:val="00952A41"/>
    <w:rsid w:val="00954356"/>
    <w:rsid w:val="0095464F"/>
    <w:rsid w:val="00955E70"/>
    <w:rsid w:val="00962EAA"/>
    <w:rsid w:val="009659F4"/>
    <w:rsid w:val="00970D60"/>
    <w:rsid w:val="009768BB"/>
    <w:rsid w:val="00976B17"/>
    <w:rsid w:val="00977A32"/>
    <w:rsid w:val="009805E1"/>
    <w:rsid w:val="0098347B"/>
    <w:rsid w:val="0098608C"/>
    <w:rsid w:val="00987549"/>
    <w:rsid w:val="00987B84"/>
    <w:rsid w:val="009931F2"/>
    <w:rsid w:val="00995613"/>
    <w:rsid w:val="00996381"/>
    <w:rsid w:val="009A0F1E"/>
    <w:rsid w:val="009A1FBA"/>
    <w:rsid w:val="009A5DE2"/>
    <w:rsid w:val="009A6723"/>
    <w:rsid w:val="009A7661"/>
    <w:rsid w:val="009A7ADC"/>
    <w:rsid w:val="009B1CB9"/>
    <w:rsid w:val="009B1D0E"/>
    <w:rsid w:val="009B4CDA"/>
    <w:rsid w:val="009B5E22"/>
    <w:rsid w:val="009C19B7"/>
    <w:rsid w:val="009C401F"/>
    <w:rsid w:val="009C4B6F"/>
    <w:rsid w:val="009C5803"/>
    <w:rsid w:val="009C69C6"/>
    <w:rsid w:val="009D104F"/>
    <w:rsid w:val="009D3547"/>
    <w:rsid w:val="009D7C51"/>
    <w:rsid w:val="009E23F9"/>
    <w:rsid w:val="009E750E"/>
    <w:rsid w:val="009E7F77"/>
    <w:rsid w:val="009F0EB3"/>
    <w:rsid w:val="009F1DE9"/>
    <w:rsid w:val="009F36BF"/>
    <w:rsid w:val="009F4FE1"/>
    <w:rsid w:val="009F512E"/>
    <w:rsid w:val="009F61F8"/>
    <w:rsid w:val="009F6706"/>
    <w:rsid w:val="00A01F06"/>
    <w:rsid w:val="00A02790"/>
    <w:rsid w:val="00A105FB"/>
    <w:rsid w:val="00A111B6"/>
    <w:rsid w:val="00A14B78"/>
    <w:rsid w:val="00A14B99"/>
    <w:rsid w:val="00A14DBB"/>
    <w:rsid w:val="00A16247"/>
    <w:rsid w:val="00A17F3D"/>
    <w:rsid w:val="00A20DFA"/>
    <w:rsid w:val="00A20FEF"/>
    <w:rsid w:val="00A22065"/>
    <w:rsid w:val="00A22969"/>
    <w:rsid w:val="00A25315"/>
    <w:rsid w:val="00A27D8D"/>
    <w:rsid w:val="00A30AF1"/>
    <w:rsid w:val="00A35E96"/>
    <w:rsid w:val="00A41AEA"/>
    <w:rsid w:val="00A42A99"/>
    <w:rsid w:val="00A42DFB"/>
    <w:rsid w:val="00A43DE6"/>
    <w:rsid w:val="00A47530"/>
    <w:rsid w:val="00A50578"/>
    <w:rsid w:val="00A5151A"/>
    <w:rsid w:val="00A5276D"/>
    <w:rsid w:val="00A52FE2"/>
    <w:rsid w:val="00A54775"/>
    <w:rsid w:val="00A56989"/>
    <w:rsid w:val="00A61620"/>
    <w:rsid w:val="00A62137"/>
    <w:rsid w:val="00A624FB"/>
    <w:rsid w:val="00A65807"/>
    <w:rsid w:val="00A65B0B"/>
    <w:rsid w:val="00A664C3"/>
    <w:rsid w:val="00A66790"/>
    <w:rsid w:val="00A66FA1"/>
    <w:rsid w:val="00A709EC"/>
    <w:rsid w:val="00A718A4"/>
    <w:rsid w:val="00A727FA"/>
    <w:rsid w:val="00A72D4F"/>
    <w:rsid w:val="00A7435A"/>
    <w:rsid w:val="00A77E4C"/>
    <w:rsid w:val="00A803FD"/>
    <w:rsid w:val="00A80DF0"/>
    <w:rsid w:val="00A823F6"/>
    <w:rsid w:val="00A852F9"/>
    <w:rsid w:val="00A8616E"/>
    <w:rsid w:val="00A86980"/>
    <w:rsid w:val="00A87EA6"/>
    <w:rsid w:val="00A91407"/>
    <w:rsid w:val="00A924D8"/>
    <w:rsid w:val="00A92663"/>
    <w:rsid w:val="00A93450"/>
    <w:rsid w:val="00A958F2"/>
    <w:rsid w:val="00AA0A89"/>
    <w:rsid w:val="00AA459C"/>
    <w:rsid w:val="00AA4C4E"/>
    <w:rsid w:val="00AB37F2"/>
    <w:rsid w:val="00AB38C4"/>
    <w:rsid w:val="00AB47B4"/>
    <w:rsid w:val="00AB7364"/>
    <w:rsid w:val="00AC01AA"/>
    <w:rsid w:val="00AC2B79"/>
    <w:rsid w:val="00AC3935"/>
    <w:rsid w:val="00AC4F72"/>
    <w:rsid w:val="00AC5577"/>
    <w:rsid w:val="00AC6F9C"/>
    <w:rsid w:val="00AD50AA"/>
    <w:rsid w:val="00AE3928"/>
    <w:rsid w:val="00AE6943"/>
    <w:rsid w:val="00AF0E47"/>
    <w:rsid w:val="00AF741A"/>
    <w:rsid w:val="00B00EE8"/>
    <w:rsid w:val="00B04161"/>
    <w:rsid w:val="00B056F9"/>
    <w:rsid w:val="00B072A7"/>
    <w:rsid w:val="00B075D2"/>
    <w:rsid w:val="00B10BA2"/>
    <w:rsid w:val="00B11E25"/>
    <w:rsid w:val="00B11E3D"/>
    <w:rsid w:val="00B13355"/>
    <w:rsid w:val="00B17E82"/>
    <w:rsid w:val="00B2133F"/>
    <w:rsid w:val="00B22F7F"/>
    <w:rsid w:val="00B26849"/>
    <w:rsid w:val="00B26ED2"/>
    <w:rsid w:val="00B305E5"/>
    <w:rsid w:val="00B30D40"/>
    <w:rsid w:val="00B329F9"/>
    <w:rsid w:val="00B32E11"/>
    <w:rsid w:val="00B33BD7"/>
    <w:rsid w:val="00B34B32"/>
    <w:rsid w:val="00B36044"/>
    <w:rsid w:val="00B37697"/>
    <w:rsid w:val="00B408C6"/>
    <w:rsid w:val="00B41FEA"/>
    <w:rsid w:val="00B46EDC"/>
    <w:rsid w:val="00B50DBB"/>
    <w:rsid w:val="00B50F2A"/>
    <w:rsid w:val="00B519B1"/>
    <w:rsid w:val="00B54B48"/>
    <w:rsid w:val="00B55263"/>
    <w:rsid w:val="00B55C26"/>
    <w:rsid w:val="00B55E56"/>
    <w:rsid w:val="00B575BA"/>
    <w:rsid w:val="00B57B72"/>
    <w:rsid w:val="00B632B0"/>
    <w:rsid w:val="00B66E16"/>
    <w:rsid w:val="00B676AD"/>
    <w:rsid w:val="00B67711"/>
    <w:rsid w:val="00B67F64"/>
    <w:rsid w:val="00B700B3"/>
    <w:rsid w:val="00B7184E"/>
    <w:rsid w:val="00B72F79"/>
    <w:rsid w:val="00B76429"/>
    <w:rsid w:val="00B81989"/>
    <w:rsid w:val="00B84E8E"/>
    <w:rsid w:val="00B85677"/>
    <w:rsid w:val="00B856C0"/>
    <w:rsid w:val="00B86702"/>
    <w:rsid w:val="00B87E0C"/>
    <w:rsid w:val="00B87FD8"/>
    <w:rsid w:val="00B956D4"/>
    <w:rsid w:val="00B97944"/>
    <w:rsid w:val="00B97FAE"/>
    <w:rsid w:val="00BA01ED"/>
    <w:rsid w:val="00BA0D38"/>
    <w:rsid w:val="00BA16BC"/>
    <w:rsid w:val="00BA19BA"/>
    <w:rsid w:val="00BA4D71"/>
    <w:rsid w:val="00BA7432"/>
    <w:rsid w:val="00BA7BEF"/>
    <w:rsid w:val="00BA7FBC"/>
    <w:rsid w:val="00BB0337"/>
    <w:rsid w:val="00BB1D64"/>
    <w:rsid w:val="00BB264B"/>
    <w:rsid w:val="00BB4680"/>
    <w:rsid w:val="00BC1AA0"/>
    <w:rsid w:val="00BC3080"/>
    <w:rsid w:val="00BC43B5"/>
    <w:rsid w:val="00BC49CD"/>
    <w:rsid w:val="00BC73F4"/>
    <w:rsid w:val="00BC7EB9"/>
    <w:rsid w:val="00BD2643"/>
    <w:rsid w:val="00BD32D3"/>
    <w:rsid w:val="00BD3DAB"/>
    <w:rsid w:val="00BD42C2"/>
    <w:rsid w:val="00BD4F1F"/>
    <w:rsid w:val="00BD6477"/>
    <w:rsid w:val="00BD6558"/>
    <w:rsid w:val="00BE08BF"/>
    <w:rsid w:val="00BE0B1C"/>
    <w:rsid w:val="00BE2B37"/>
    <w:rsid w:val="00BF3214"/>
    <w:rsid w:val="00BF59A9"/>
    <w:rsid w:val="00C010F7"/>
    <w:rsid w:val="00C02DB5"/>
    <w:rsid w:val="00C02F4A"/>
    <w:rsid w:val="00C03B20"/>
    <w:rsid w:val="00C05ED5"/>
    <w:rsid w:val="00C075AD"/>
    <w:rsid w:val="00C07B3E"/>
    <w:rsid w:val="00C135C7"/>
    <w:rsid w:val="00C13883"/>
    <w:rsid w:val="00C13AA8"/>
    <w:rsid w:val="00C15867"/>
    <w:rsid w:val="00C17E66"/>
    <w:rsid w:val="00C2296D"/>
    <w:rsid w:val="00C23155"/>
    <w:rsid w:val="00C34F66"/>
    <w:rsid w:val="00C367C1"/>
    <w:rsid w:val="00C36F76"/>
    <w:rsid w:val="00C40A87"/>
    <w:rsid w:val="00C40C41"/>
    <w:rsid w:val="00C42B3C"/>
    <w:rsid w:val="00C43175"/>
    <w:rsid w:val="00C45885"/>
    <w:rsid w:val="00C47A83"/>
    <w:rsid w:val="00C50E07"/>
    <w:rsid w:val="00C50F22"/>
    <w:rsid w:val="00C556BC"/>
    <w:rsid w:val="00C57971"/>
    <w:rsid w:val="00C61376"/>
    <w:rsid w:val="00C618E8"/>
    <w:rsid w:val="00C61C86"/>
    <w:rsid w:val="00C64271"/>
    <w:rsid w:val="00C67906"/>
    <w:rsid w:val="00C7294D"/>
    <w:rsid w:val="00C72B6D"/>
    <w:rsid w:val="00C744A0"/>
    <w:rsid w:val="00C76BA4"/>
    <w:rsid w:val="00C779A4"/>
    <w:rsid w:val="00C80F90"/>
    <w:rsid w:val="00C81F99"/>
    <w:rsid w:val="00C82606"/>
    <w:rsid w:val="00C83A48"/>
    <w:rsid w:val="00C85865"/>
    <w:rsid w:val="00C85CD9"/>
    <w:rsid w:val="00C85E85"/>
    <w:rsid w:val="00C91899"/>
    <w:rsid w:val="00C92E70"/>
    <w:rsid w:val="00C93C1C"/>
    <w:rsid w:val="00C96CB3"/>
    <w:rsid w:val="00CA03ED"/>
    <w:rsid w:val="00CA16A3"/>
    <w:rsid w:val="00CA2EAE"/>
    <w:rsid w:val="00CA4451"/>
    <w:rsid w:val="00CA4AC1"/>
    <w:rsid w:val="00CA5789"/>
    <w:rsid w:val="00CA65CB"/>
    <w:rsid w:val="00CA6966"/>
    <w:rsid w:val="00CA753B"/>
    <w:rsid w:val="00CB0316"/>
    <w:rsid w:val="00CB0AF4"/>
    <w:rsid w:val="00CB0B11"/>
    <w:rsid w:val="00CB4425"/>
    <w:rsid w:val="00CB4677"/>
    <w:rsid w:val="00CB5354"/>
    <w:rsid w:val="00CB5CF8"/>
    <w:rsid w:val="00CC18D8"/>
    <w:rsid w:val="00CC31F7"/>
    <w:rsid w:val="00CC4E0D"/>
    <w:rsid w:val="00CC6A14"/>
    <w:rsid w:val="00CC6B27"/>
    <w:rsid w:val="00CC6E10"/>
    <w:rsid w:val="00CC70A3"/>
    <w:rsid w:val="00CD02F4"/>
    <w:rsid w:val="00CD0681"/>
    <w:rsid w:val="00CD24E8"/>
    <w:rsid w:val="00CD474E"/>
    <w:rsid w:val="00CD53C3"/>
    <w:rsid w:val="00CD574E"/>
    <w:rsid w:val="00CD5D65"/>
    <w:rsid w:val="00CE165F"/>
    <w:rsid w:val="00CE4C22"/>
    <w:rsid w:val="00CE53D1"/>
    <w:rsid w:val="00CE67EE"/>
    <w:rsid w:val="00CF15E2"/>
    <w:rsid w:val="00CF41EC"/>
    <w:rsid w:val="00CF5C2A"/>
    <w:rsid w:val="00CF5D04"/>
    <w:rsid w:val="00CF6727"/>
    <w:rsid w:val="00D003EA"/>
    <w:rsid w:val="00D0289E"/>
    <w:rsid w:val="00D03293"/>
    <w:rsid w:val="00D039B1"/>
    <w:rsid w:val="00D04DE4"/>
    <w:rsid w:val="00D05563"/>
    <w:rsid w:val="00D063F1"/>
    <w:rsid w:val="00D10D70"/>
    <w:rsid w:val="00D1176A"/>
    <w:rsid w:val="00D11F07"/>
    <w:rsid w:val="00D135D1"/>
    <w:rsid w:val="00D14F22"/>
    <w:rsid w:val="00D155ED"/>
    <w:rsid w:val="00D20A8C"/>
    <w:rsid w:val="00D21023"/>
    <w:rsid w:val="00D24723"/>
    <w:rsid w:val="00D31ECA"/>
    <w:rsid w:val="00D320F9"/>
    <w:rsid w:val="00D3262D"/>
    <w:rsid w:val="00D32B61"/>
    <w:rsid w:val="00D348A1"/>
    <w:rsid w:val="00D400DF"/>
    <w:rsid w:val="00D40113"/>
    <w:rsid w:val="00D42237"/>
    <w:rsid w:val="00D430E4"/>
    <w:rsid w:val="00D436D2"/>
    <w:rsid w:val="00D44A72"/>
    <w:rsid w:val="00D4718A"/>
    <w:rsid w:val="00D50D20"/>
    <w:rsid w:val="00D530E5"/>
    <w:rsid w:val="00D53947"/>
    <w:rsid w:val="00D563A6"/>
    <w:rsid w:val="00D57007"/>
    <w:rsid w:val="00D57918"/>
    <w:rsid w:val="00D60602"/>
    <w:rsid w:val="00D61F01"/>
    <w:rsid w:val="00D620FF"/>
    <w:rsid w:val="00D63050"/>
    <w:rsid w:val="00D636C1"/>
    <w:rsid w:val="00D64CFD"/>
    <w:rsid w:val="00D65A05"/>
    <w:rsid w:val="00D666B3"/>
    <w:rsid w:val="00D67F6C"/>
    <w:rsid w:val="00D71DDE"/>
    <w:rsid w:val="00D731B5"/>
    <w:rsid w:val="00D73DC6"/>
    <w:rsid w:val="00D74C1A"/>
    <w:rsid w:val="00D75205"/>
    <w:rsid w:val="00D754C1"/>
    <w:rsid w:val="00D77A35"/>
    <w:rsid w:val="00D77FAD"/>
    <w:rsid w:val="00D815BD"/>
    <w:rsid w:val="00D81B3E"/>
    <w:rsid w:val="00D82F3E"/>
    <w:rsid w:val="00D84455"/>
    <w:rsid w:val="00D862F3"/>
    <w:rsid w:val="00D87339"/>
    <w:rsid w:val="00D90C70"/>
    <w:rsid w:val="00D90E49"/>
    <w:rsid w:val="00D914B8"/>
    <w:rsid w:val="00D91E0B"/>
    <w:rsid w:val="00D92A73"/>
    <w:rsid w:val="00D937B7"/>
    <w:rsid w:val="00DA166F"/>
    <w:rsid w:val="00DA2384"/>
    <w:rsid w:val="00DA3E14"/>
    <w:rsid w:val="00DA4E93"/>
    <w:rsid w:val="00DB12FF"/>
    <w:rsid w:val="00DB4AF5"/>
    <w:rsid w:val="00DB4F9E"/>
    <w:rsid w:val="00DB5BA0"/>
    <w:rsid w:val="00DC6A10"/>
    <w:rsid w:val="00DC6AC3"/>
    <w:rsid w:val="00DC6DCB"/>
    <w:rsid w:val="00DD0765"/>
    <w:rsid w:val="00DD2087"/>
    <w:rsid w:val="00DD21D7"/>
    <w:rsid w:val="00DD3BD8"/>
    <w:rsid w:val="00DD5BD9"/>
    <w:rsid w:val="00DD6195"/>
    <w:rsid w:val="00DD727E"/>
    <w:rsid w:val="00DD7458"/>
    <w:rsid w:val="00DD7B38"/>
    <w:rsid w:val="00DE13F5"/>
    <w:rsid w:val="00DE1D5E"/>
    <w:rsid w:val="00DE3196"/>
    <w:rsid w:val="00DE3383"/>
    <w:rsid w:val="00DE3F39"/>
    <w:rsid w:val="00DE657E"/>
    <w:rsid w:val="00DE7E08"/>
    <w:rsid w:val="00DF1D0F"/>
    <w:rsid w:val="00DF4704"/>
    <w:rsid w:val="00DF4D84"/>
    <w:rsid w:val="00DF5007"/>
    <w:rsid w:val="00DF61A6"/>
    <w:rsid w:val="00DF65E3"/>
    <w:rsid w:val="00E0018D"/>
    <w:rsid w:val="00E00CBC"/>
    <w:rsid w:val="00E02497"/>
    <w:rsid w:val="00E024AA"/>
    <w:rsid w:val="00E06673"/>
    <w:rsid w:val="00E06A72"/>
    <w:rsid w:val="00E079F6"/>
    <w:rsid w:val="00E125FB"/>
    <w:rsid w:val="00E1693E"/>
    <w:rsid w:val="00E16D12"/>
    <w:rsid w:val="00E250F1"/>
    <w:rsid w:val="00E2539F"/>
    <w:rsid w:val="00E25D79"/>
    <w:rsid w:val="00E273F2"/>
    <w:rsid w:val="00E27FEE"/>
    <w:rsid w:val="00E3330B"/>
    <w:rsid w:val="00E334A9"/>
    <w:rsid w:val="00E33722"/>
    <w:rsid w:val="00E33773"/>
    <w:rsid w:val="00E3550D"/>
    <w:rsid w:val="00E35DE9"/>
    <w:rsid w:val="00E3796C"/>
    <w:rsid w:val="00E50035"/>
    <w:rsid w:val="00E614E0"/>
    <w:rsid w:val="00E662A6"/>
    <w:rsid w:val="00E72900"/>
    <w:rsid w:val="00E72E03"/>
    <w:rsid w:val="00E73342"/>
    <w:rsid w:val="00E73F7F"/>
    <w:rsid w:val="00E741F5"/>
    <w:rsid w:val="00E76170"/>
    <w:rsid w:val="00E77EE5"/>
    <w:rsid w:val="00E80FB1"/>
    <w:rsid w:val="00E82BB2"/>
    <w:rsid w:val="00E82C0A"/>
    <w:rsid w:val="00E87785"/>
    <w:rsid w:val="00E914AB"/>
    <w:rsid w:val="00E92EE4"/>
    <w:rsid w:val="00E93E3C"/>
    <w:rsid w:val="00EA14C6"/>
    <w:rsid w:val="00EA16EA"/>
    <w:rsid w:val="00EA2887"/>
    <w:rsid w:val="00EA429F"/>
    <w:rsid w:val="00EA4F9E"/>
    <w:rsid w:val="00EA6571"/>
    <w:rsid w:val="00EA6D3B"/>
    <w:rsid w:val="00EB00AD"/>
    <w:rsid w:val="00EB03E7"/>
    <w:rsid w:val="00EB135D"/>
    <w:rsid w:val="00EB136C"/>
    <w:rsid w:val="00EB1C6F"/>
    <w:rsid w:val="00EB215D"/>
    <w:rsid w:val="00EB2280"/>
    <w:rsid w:val="00EB2F5D"/>
    <w:rsid w:val="00EB3362"/>
    <w:rsid w:val="00EB480E"/>
    <w:rsid w:val="00EB5EC6"/>
    <w:rsid w:val="00EB6211"/>
    <w:rsid w:val="00EB6E5D"/>
    <w:rsid w:val="00EB7FC9"/>
    <w:rsid w:val="00EC29A6"/>
    <w:rsid w:val="00EC2FB3"/>
    <w:rsid w:val="00EC3333"/>
    <w:rsid w:val="00EC38A7"/>
    <w:rsid w:val="00ED63C3"/>
    <w:rsid w:val="00ED7137"/>
    <w:rsid w:val="00EE702D"/>
    <w:rsid w:val="00EF4A7D"/>
    <w:rsid w:val="00EF65CE"/>
    <w:rsid w:val="00F01833"/>
    <w:rsid w:val="00F01F89"/>
    <w:rsid w:val="00F036EB"/>
    <w:rsid w:val="00F04075"/>
    <w:rsid w:val="00F04EEC"/>
    <w:rsid w:val="00F06A09"/>
    <w:rsid w:val="00F07818"/>
    <w:rsid w:val="00F1248E"/>
    <w:rsid w:val="00F172AC"/>
    <w:rsid w:val="00F21088"/>
    <w:rsid w:val="00F2351E"/>
    <w:rsid w:val="00F3023D"/>
    <w:rsid w:val="00F32350"/>
    <w:rsid w:val="00F327E7"/>
    <w:rsid w:val="00F32A5F"/>
    <w:rsid w:val="00F3307B"/>
    <w:rsid w:val="00F333A0"/>
    <w:rsid w:val="00F35746"/>
    <w:rsid w:val="00F36371"/>
    <w:rsid w:val="00F40DC3"/>
    <w:rsid w:val="00F447C7"/>
    <w:rsid w:val="00F44B98"/>
    <w:rsid w:val="00F45A91"/>
    <w:rsid w:val="00F45EC6"/>
    <w:rsid w:val="00F46CDF"/>
    <w:rsid w:val="00F5160F"/>
    <w:rsid w:val="00F52175"/>
    <w:rsid w:val="00F522D9"/>
    <w:rsid w:val="00F52618"/>
    <w:rsid w:val="00F554A9"/>
    <w:rsid w:val="00F562D1"/>
    <w:rsid w:val="00F56C7E"/>
    <w:rsid w:val="00F56F79"/>
    <w:rsid w:val="00F608B2"/>
    <w:rsid w:val="00F61780"/>
    <w:rsid w:val="00F61978"/>
    <w:rsid w:val="00F64810"/>
    <w:rsid w:val="00F66015"/>
    <w:rsid w:val="00F66C1E"/>
    <w:rsid w:val="00F671F8"/>
    <w:rsid w:val="00F67DDA"/>
    <w:rsid w:val="00F716FD"/>
    <w:rsid w:val="00F721B6"/>
    <w:rsid w:val="00F724BC"/>
    <w:rsid w:val="00F73ACF"/>
    <w:rsid w:val="00F76F48"/>
    <w:rsid w:val="00F771B8"/>
    <w:rsid w:val="00F80355"/>
    <w:rsid w:val="00F80482"/>
    <w:rsid w:val="00F80727"/>
    <w:rsid w:val="00F81DF5"/>
    <w:rsid w:val="00F85D77"/>
    <w:rsid w:val="00F866D1"/>
    <w:rsid w:val="00F90B60"/>
    <w:rsid w:val="00F91EAB"/>
    <w:rsid w:val="00F975DB"/>
    <w:rsid w:val="00FA31C1"/>
    <w:rsid w:val="00FB0C81"/>
    <w:rsid w:val="00FB0CCD"/>
    <w:rsid w:val="00FB1107"/>
    <w:rsid w:val="00FB12AD"/>
    <w:rsid w:val="00FB3E02"/>
    <w:rsid w:val="00FB401D"/>
    <w:rsid w:val="00FB5DF8"/>
    <w:rsid w:val="00FB70FB"/>
    <w:rsid w:val="00FB72ED"/>
    <w:rsid w:val="00FB765F"/>
    <w:rsid w:val="00FC18CC"/>
    <w:rsid w:val="00FC2200"/>
    <w:rsid w:val="00FC2540"/>
    <w:rsid w:val="00FC365B"/>
    <w:rsid w:val="00FC3FC5"/>
    <w:rsid w:val="00FC7502"/>
    <w:rsid w:val="00FD317C"/>
    <w:rsid w:val="00FD5683"/>
    <w:rsid w:val="00FE3065"/>
    <w:rsid w:val="00FE3364"/>
    <w:rsid w:val="00FE4373"/>
    <w:rsid w:val="00FE4E22"/>
    <w:rsid w:val="00FE4F98"/>
    <w:rsid w:val="00FE5938"/>
    <w:rsid w:val="00FE669A"/>
    <w:rsid w:val="00FF0204"/>
    <w:rsid w:val="00FF08DF"/>
    <w:rsid w:val="00FF0B73"/>
    <w:rsid w:val="00FF1B8E"/>
    <w:rsid w:val="00FF3AED"/>
    <w:rsid w:val="00FF58F6"/>
    <w:rsid w:val="0DB942FB"/>
    <w:rsid w:val="15B4F69F"/>
    <w:rsid w:val="16F3B10C"/>
    <w:rsid w:val="1A713B76"/>
    <w:rsid w:val="21E0E908"/>
    <w:rsid w:val="25764735"/>
    <w:rsid w:val="3873D3A3"/>
    <w:rsid w:val="39D33A7A"/>
    <w:rsid w:val="484B1E7B"/>
    <w:rsid w:val="6535D93E"/>
    <w:rsid w:val="69967F1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BFCFD"/>
  <w15:docId w15:val="{285FAD0E-3A9C-437E-AD62-BB2D2BFB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styleId="Hyperlink">
    <w:name w:val="Hyperlink"/>
    <w:basedOn w:val="DefaultParagraphFont"/>
    <w:uiPriority w:val="99"/>
    <w:unhideWhenUsed/>
    <w:rsid w:val="00C67906"/>
    <w:rPr>
      <w:color w:val="0000FF" w:themeColor="hyperlink"/>
      <w:u w:val="single"/>
    </w:rPr>
  </w:style>
  <w:style w:type="paragraph" w:styleId="NormalWeb">
    <w:name w:val="Normal (Web)"/>
    <w:basedOn w:val="Normal"/>
    <w:uiPriority w:val="99"/>
    <w:semiHidden/>
    <w:unhideWhenUsed/>
    <w:rsid w:val="00617E98"/>
    <w:pPr>
      <w:spacing w:before="100" w:beforeAutospacing="1" w:after="100" w:afterAutospacing="1"/>
      <w:jc w:val="left"/>
    </w:pPr>
    <w:rPr>
      <w:sz w:val="24"/>
      <w:szCs w:val="24"/>
      <w:lang w:eastAsia="en-CA"/>
    </w:rPr>
  </w:style>
  <w:style w:type="character" w:styleId="UnresolvedMention">
    <w:name w:val="Unresolved Mention"/>
    <w:basedOn w:val="DefaultParagraphFont"/>
    <w:uiPriority w:val="99"/>
    <w:semiHidden/>
    <w:unhideWhenUsed/>
    <w:rsid w:val="00346C39"/>
    <w:rPr>
      <w:color w:val="605E5C"/>
      <w:shd w:val="clear" w:color="auto" w:fill="E1DFDD"/>
    </w:rPr>
  </w:style>
  <w:style w:type="paragraph" w:styleId="Revision">
    <w:name w:val="Revision"/>
    <w:hidden/>
    <w:uiPriority w:val="99"/>
    <w:semiHidden/>
    <w:rsid w:val="00562D7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423183">
      <w:bodyDiv w:val="1"/>
      <w:marLeft w:val="0"/>
      <w:marRight w:val="0"/>
      <w:marTop w:val="0"/>
      <w:marBottom w:val="0"/>
      <w:divBdr>
        <w:top w:val="none" w:sz="0" w:space="0" w:color="auto"/>
        <w:left w:val="none" w:sz="0" w:space="0" w:color="auto"/>
        <w:bottom w:val="none" w:sz="0" w:space="0" w:color="auto"/>
        <w:right w:val="none" w:sz="0" w:space="0" w:color="auto"/>
      </w:divBdr>
      <w:divsChild>
        <w:div w:id="1972661587">
          <w:marLeft w:val="0"/>
          <w:marRight w:val="0"/>
          <w:marTop w:val="0"/>
          <w:marBottom w:val="0"/>
          <w:divBdr>
            <w:top w:val="none" w:sz="0" w:space="0" w:color="auto"/>
            <w:left w:val="none" w:sz="0" w:space="0" w:color="auto"/>
            <w:bottom w:val="none" w:sz="0" w:space="0" w:color="auto"/>
            <w:right w:val="none" w:sz="0" w:space="0" w:color="auto"/>
          </w:divBdr>
        </w:div>
        <w:div w:id="330564186">
          <w:marLeft w:val="0"/>
          <w:marRight w:val="0"/>
          <w:marTop w:val="0"/>
          <w:marBottom w:val="0"/>
          <w:divBdr>
            <w:top w:val="none" w:sz="0" w:space="0" w:color="auto"/>
            <w:left w:val="none" w:sz="0" w:space="0" w:color="auto"/>
            <w:bottom w:val="none" w:sz="0" w:space="0" w:color="auto"/>
            <w:right w:val="none" w:sz="0" w:space="0" w:color="auto"/>
          </w:divBdr>
          <w:divsChild>
            <w:div w:id="597637775">
              <w:marLeft w:val="0"/>
              <w:marRight w:val="0"/>
              <w:marTop w:val="30"/>
              <w:marBottom w:val="30"/>
              <w:divBdr>
                <w:top w:val="none" w:sz="0" w:space="0" w:color="auto"/>
                <w:left w:val="none" w:sz="0" w:space="0" w:color="auto"/>
                <w:bottom w:val="none" w:sz="0" w:space="0" w:color="auto"/>
                <w:right w:val="none" w:sz="0" w:space="0" w:color="auto"/>
              </w:divBdr>
              <w:divsChild>
                <w:div w:id="678236645">
                  <w:marLeft w:val="0"/>
                  <w:marRight w:val="0"/>
                  <w:marTop w:val="0"/>
                  <w:marBottom w:val="0"/>
                  <w:divBdr>
                    <w:top w:val="none" w:sz="0" w:space="0" w:color="auto"/>
                    <w:left w:val="none" w:sz="0" w:space="0" w:color="auto"/>
                    <w:bottom w:val="none" w:sz="0" w:space="0" w:color="auto"/>
                    <w:right w:val="none" w:sz="0" w:space="0" w:color="auto"/>
                  </w:divBdr>
                  <w:divsChild>
                    <w:div w:id="832917617">
                      <w:marLeft w:val="0"/>
                      <w:marRight w:val="0"/>
                      <w:marTop w:val="0"/>
                      <w:marBottom w:val="0"/>
                      <w:divBdr>
                        <w:top w:val="none" w:sz="0" w:space="0" w:color="auto"/>
                        <w:left w:val="none" w:sz="0" w:space="0" w:color="auto"/>
                        <w:bottom w:val="none" w:sz="0" w:space="0" w:color="auto"/>
                        <w:right w:val="none" w:sz="0" w:space="0" w:color="auto"/>
                      </w:divBdr>
                    </w:div>
                  </w:divsChild>
                </w:div>
                <w:div w:id="1014922219">
                  <w:marLeft w:val="0"/>
                  <w:marRight w:val="0"/>
                  <w:marTop w:val="0"/>
                  <w:marBottom w:val="0"/>
                  <w:divBdr>
                    <w:top w:val="none" w:sz="0" w:space="0" w:color="auto"/>
                    <w:left w:val="none" w:sz="0" w:space="0" w:color="auto"/>
                    <w:bottom w:val="none" w:sz="0" w:space="0" w:color="auto"/>
                    <w:right w:val="none" w:sz="0" w:space="0" w:color="auto"/>
                  </w:divBdr>
                  <w:divsChild>
                    <w:div w:id="22680726">
                      <w:marLeft w:val="0"/>
                      <w:marRight w:val="0"/>
                      <w:marTop w:val="0"/>
                      <w:marBottom w:val="0"/>
                      <w:divBdr>
                        <w:top w:val="none" w:sz="0" w:space="0" w:color="auto"/>
                        <w:left w:val="none" w:sz="0" w:space="0" w:color="auto"/>
                        <w:bottom w:val="none" w:sz="0" w:space="0" w:color="auto"/>
                        <w:right w:val="none" w:sz="0" w:space="0" w:color="auto"/>
                      </w:divBdr>
                    </w:div>
                  </w:divsChild>
                </w:div>
                <w:div w:id="1709991150">
                  <w:marLeft w:val="0"/>
                  <w:marRight w:val="0"/>
                  <w:marTop w:val="0"/>
                  <w:marBottom w:val="0"/>
                  <w:divBdr>
                    <w:top w:val="none" w:sz="0" w:space="0" w:color="auto"/>
                    <w:left w:val="none" w:sz="0" w:space="0" w:color="auto"/>
                    <w:bottom w:val="none" w:sz="0" w:space="0" w:color="auto"/>
                    <w:right w:val="none" w:sz="0" w:space="0" w:color="auto"/>
                  </w:divBdr>
                  <w:divsChild>
                    <w:div w:id="159809521">
                      <w:marLeft w:val="0"/>
                      <w:marRight w:val="0"/>
                      <w:marTop w:val="0"/>
                      <w:marBottom w:val="0"/>
                      <w:divBdr>
                        <w:top w:val="none" w:sz="0" w:space="0" w:color="auto"/>
                        <w:left w:val="none" w:sz="0" w:space="0" w:color="auto"/>
                        <w:bottom w:val="none" w:sz="0" w:space="0" w:color="auto"/>
                        <w:right w:val="none" w:sz="0" w:space="0" w:color="auto"/>
                      </w:divBdr>
                    </w:div>
                  </w:divsChild>
                </w:div>
                <w:div w:id="561136971">
                  <w:marLeft w:val="0"/>
                  <w:marRight w:val="0"/>
                  <w:marTop w:val="0"/>
                  <w:marBottom w:val="0"/>
                  <w:divBdr>
                    <w:top w:val="none" w:sz="0" w:space="0" w:color="auto"/>
                    <w:left w:val="none" w:sz="0" w:space="0" w:color="auto"/>
                    <w:bottom w:val="none" w:sz="0" w:space="0" w:color="auto"/>
                    <w:right w:val="none" w:sz="0" w:space="0" w:color="auto"/>
                  </w:divBdr>
                  <w:divsChild>
                    <w:div w:id="748385826">
                      <w:marLeft w:val="0"/>
                      <w:marRight w:val="0"/>
                      <w:marTop w:val="0"/>
                      <w:marBottom w:val="0"/>
                      <w:divBdr>
                        <w:top w:val="none" w:sz="0" w:space="0" w:color="auto"/>
                        <w:left w:val="none" w:sz="0" w:space="0" w:color="auto"/>
                        <w:bottom w:val="none" w:sz="0" w:space="0" w:color="auto"/>
                        <w:right w:val="none" w:sz="0" w:space="0" w:color="auto"/>
                      </w:divBdr>
                    </w:div>
                  </w:divsChild>
                </w:div>
                <w:div w:id="58020685">
                  <w:marLeft w:val="0"/>
                  <w:marRight w:val="0"/>
                  <w:marTop w:val="0"/>
                  <w:marBottom w:val="0"/>
                  <w:divBdr>
                    <w:top w:val="none" w:sz="0" w:space="0" w:color="auto"/>
                    <w:left w:val="none" w:sz="0" w:space="0" w:color="auto"/>
                    <w:bottom w:val="none" w:sz="0" w:space="0" w:color="auto"/>
                    <w:right w:val="none" w:sz="0" w:space="0" w:color="auto"/>
                  </w:divBdr>
                  <w:divsChild>
                    <w:div w:id="1607618212">
                      <w:marLeft w:val="0"/>
                      <w:marRight w:val="0"/>
                      <w:marTop w:val="0"/>
                      <w:marBottom w:val="0"/>
                      <w:divBdr>
                        <w:top w:val="none" w:sz="0" w:space="0" w:color="auto"/>
                        <w:left w:val="none" w:sz="0" w:space="0" w:color="auto"/>
                        <w:bottom w:val="none" w:sz="0" w:space="0" w:color="auto"/>
                        <w:right w:val="none" w:sz="0" w:space="0" w:color="auto"/>
                      </w:divBdr>
                    </w:div>
                  </w:divsChild>
                </w:div>
                <w:div w:id="660157499">
                  <w:marLeft w:val="0"/>
                  <w:marRight w:val="0"/>
                  <w:marTop w:val="0"/>
                  <w:marBottom w:val="0"/>
                  <w:divBdr>
                    <w:top w:val="none" w:sz="0" w:space="0" w:color="auto"/>
                    <w:left w:val="none" w:sz="0" w:space="0" w:color="auto"/>
                    <w:bottom w:val="none" w:sz="0" w:space="0" w:color="auto"/>
                    <w:right w:val="none" w:sz="0" w:space="0" w:color="auto"/>
                  </w:divBdr>
                  <w:divsChild>
                    <w:div w:id="1065100839">
                      <w:marLeft w:val="0"/>
                      <w:marRight w:val="0"/>
                      <w:marTop w:val="0"/>
                      <w:marBottom w:val="0"/>
                      <w:divBdr>
                        <w:top w:val="none" w:sz="0" w:space="0" w:color="auto"/>
                        <w:left w:val="none" w:sz="0" w:space="0" w:color="auto"/>
                        <w:bottom w:val="none" w:sz="0" w:space="0" w:color="auto"/>
                        <w:right w:val="none" w:sz="0" w:space="0" w:color="auto"/>
                      </w:divBdr>
                    </w:div>
                  </w:divsChild>
                </w:div>
                <w:div w:id="973632127">
                  <w:marLeft w:val="0"/>
                  <w:marRight w:val="0"/>
                  <w:marTop w:val="0"/>
                  <w:marBottom w:val="0"/>
                  <w:divBdr>
                    <w:top w:val="none" w:sz="0" w:space="0" w:color="auto"/>
                    <w:left w:val="none" w:sz="0" w:space="0" w:color="auto"/>
                    <w:bottom w:val="none" w:sz="0" w:space="0" w:color="auto"/>
                    <w:right w:val="none" w:sz="0" w:space="0" w:color="auto"/>
                  </w:divBdr>
                  <w:divsChild>
                    <w:div w:id="1246260236">
                      <w:marLeft w:val="0"/>
                      <w:marRight w:val="0"/>
                      <w:marTop w:val="0"/>
                      <w:marBottom w:val="0"/>
                      <w:divBdr>
                        <w:top w:val="none" w:sz="0" w:space="0" w:color="auto"/>
                        <w:left w:val="none" w:sz="0" w:space="0" w:color="auto"/>
                        <w:bottom w:val="none" w:sz="0" w:space="0" w:color="auto"/>
                        <w:right w:val="none" w:sz="0" w:space="0" w:color="auto"/>
                      </w:divBdr>
                    </w:div>
                  </w:divsChild>
                </w:div>
                <w:div w:id="1691105663">
                  <w:marLeft w:val="0"/>
                  <w:marRight w:val="0"/>
                  <w:marTop w:val="0"/>
                  <w:marBottom w:val="0"/>
                  <w:divBdr>
                    <w:top w:val="none" w:sz="0" w:space="0" w:color="auto"/>
                    <w:left w:val="none" w:sz="0" w:space="0" w:color="auto"/>
                    <w:bottom w:val="none" w:sz="0" w:space="0" w:color="auto"/>
                    <w:right w:val="none" w:sz="0" w:space="0" w:color="auto"/>
                  </w:divBdr>
                  <w:divsChild>
                    <w:div w:id="166483993">
                      <w:marLeft w:val="0"/>
                      <w:marRight w:val="0"/>
                      <w:marTop w:val="0"/>
                      <w:marBottom w:val="0"/>
                      <w:divBdr>
                        <w:top w:val="none" w:sz="0" w:space="0" w:color="auto"/>
                        <w:left w:val="none" w:sz="0" w:space="0" w:color="auto"/>
                        <w:bottom w:val="none" w:sz="0" w:space="0" w:color="auto"/>
                        <w:right w:val="none" w:sz="0" w:space="0" w:color="auto"/>
                      </w:divBdr>
                    </w:div>
                  </w:divsChild>
                </w:div>
                <w:div w:id="140660624">
                  <w:marLeft w:val="0"/>
                  <w:marRight w:val="0"/>
                  <w:marTop w:val="0"/>
                  <w:marBottom w:val="0"/>
                  <w:divBdr>
                    <w:top w:val="none" w:sz="0" w:space="0" w:color="auto"/>
                    <w:left w:val="none" w:sz="0" w:space="0" w:color="auto"/>
                    <w:bottom w:val="none" w:sz="0" w:space="0" w:color="auto"/>
                    <w:right w:val="none" w:sz="0" w:space="0" w:color="auto"/>
                  </w:divBdr>
                  <w:divsChild>
                    <w:div w:id="1413624424">
                      <w:marLeft w:val="0"/>
                      <w:marRight w:val="0"/>
                      <w:marTop w:val="0"/>
                      <w:marBottom w:val="0"/>
                      <w:divBdr>
                        <w:top w:val="none" w:sz="0" w:space="0" w:color="auto"/>
                        <w:left w:val="none" w:sz="0" w:space="0" w:color="auto"/>
                        <w:bottom w:val="none" w:sz="0" w:space="0" w:color="auto"/>
                        <w:right w:val="none" w:sz="0" w:space="0" w:color="auto"/>
                      </w:divBdr>
                    </w:div>
                    <w:div w:id="1492522759">
                      <w:marLeft w:val="0"/>
                      <w:marRight w:val="0"/>
                      <w:marTop w:val="0"/>
                      <w:marBottom w:val="0"/>
                      <w:divBdr>
                        <w:top w:val="none" w:sz="0" w:space="0" w:color="auto"/>
                        <w:left w:val="none" w:sz="0" w:space="0" w:color="auto"/>
                        <w:bottom w:val="none" w:sz="0" w:space="0" w:color="auto"/>
                        <w:right w:val="none" w:sz="0" w:space="0" w:color="auto"/>
                      </w:divBdr>
                    </w:div>
                    <w:div w:id="526219786">
                      <w:marLeft w:val="0"/>
                      <w:marRight w:val="0"/>
                      <w:marTop w:val="0"/>
                      <w:marBottom w:val="0"/>
                      <w:divBdr>
                        <w:top w:val="none" w:sz="0" w:space="0" w:color="auto"/>
                        <w:left w:val="none" w:sz="0" w:space="0" w:color="auto"/>
                        <w:bottom w:val="none" w:sz="0" w:space="0" w:color="auto"/>
                        <w:right w:val="none" w:sz="0" w:space="0" w:color="auto"/>
                      </w:divBdr>
                    </w:div>
                  </w:divsChild>
                </w:div>
                <w:div w:id="221404759">
                  <w:marLeft w:val="0"/>
                  <w:marRight w:val="0"/>
                  <w:marTop w:val="0"/>
                  <w:marBottom w:val="0"/>
                  <w:divBdr>
                    <w:top w:val="none" w:sz="0" w:space="0" w:color="auto"/>
                    <w:left w:val="none" w:sz="0" w:space="0" w:color="auto"/>
                    <w:bottom w:val="none" w:sz="0" w:space="0" w:color="auto"/>
                    <w:right w:val="none" w:sz="0" w:space="0" w:color="auto"/>
                  </w:divBdr>
                  <w:divsChild>
                    <w:div w:id="1427775377">
                      <w:marLeft w:val="0"/>
                      <w:marRight w:val="0"/>
                      <w:marTop w:val="0"/>
                      <w:marBottom w:val="0"/>
                      <w:divBdr>
                        <w:top w:val="none" w:sz="0" w:space="0" w:color="auto"/>
                        <w:left w:val="none" w:sz="0" w:space="0" w:color="auto"/>
                        <w:bottom w:val="none" w:sz="0" w:space="0" w:color="auto"/>
                        <w:right w:val="none" w:sz="0" w:space="0" w:color="auto"/>
                      </w:divBdr>
                    </w:div>
                  </w:divsChild>
                </w:div>
                <w:div w:id="2101292038">
                  <w:marLeft w:val="0"/>
                  <w:marRight w:val="0"/>
                  <w:marTop w:val="0"/>
                  <w:marBottom w:val="0"/>
                  <w:divBdr>
                    <w:top w:val="none" w:sz="0" w:space="0" w:color="auto"/>
                    <w:left w:val="none" w:sz="0" w:space="0" w:color="auto"/>
                    <w:bottom w:val="none" w:sz="0" w:space="0" w:color="auto"/>
                    <w:right w:val="none" w:sz="0" w:space="0" w:color="auto"/>
                  </w:divBdr>
                  <w:divsChild>
                    <w:div w:id="1304310487">
                      <w:marLeft w:val="0"/>
                      <w:marRight w:val="0"/>
                      <w:marTop w:val="0"/>
                      <w:marBottom w:val="0"/>
                      <w:divBdr>
                        <w:top w:val="none" w:sz="0" w:space="0" w:color="auto"/>
                        <w:left w:val="none" w:sz="0" w:space="0" w:color="auto"/>
                        <w:bottom w:val="none" w:sz="0" w:space="0" w:color="auto"/>
                        <w:right w:val="none" w:sz="0" w:space="0" w:color="auto"/>
                      </w:divBdr>
                    </w:div>
                  </w:divsChild>
                </w:div>
                <w:div w:id="1733387005">
                  <w:marLeft w:val="0"/>
                  <w:marRight w:val="0"/>
                  <w:marTop w:val="0"/>
                  <w:marBottom w:val="0"/>
                  <w:divBdr>
                    <w:top w:val="none" w:sz="0" w:space="0" w:color="auto"/>
                    <w:left w:val="none" w:sz="0" w:space="0" w:color="auto"/>
                    <w:bottom w:val="none" w:sz="0" w:space="0" w:color="auto"/>
                    <w:right w:val="none" w:sz="0" w:space="0" w:color="auto"/>
                  </w:divBdr>
                  <w:divsChild>
                    <w:div w:id="1979723972">
                      <w:marLeft w:val="0"/>
                      <w:marRight w:val="0"/>
                      <w:marTop w:val="0"/>
                      <w:marBottom w:val="0"/>
                      <w:divBdr>
                        <w:top w:val="none" w:sz="0" w:space="0" w:color="auto"/>
                        <w:left w:val="none" w:sz="0" w:space="0" w:color="auto"/>
                        <w:bottom w:val="none" w:sz="0" w:space="0" w:color="auto"/>
                        <w:right w:val="none" w:sz="0" w:space="0" w:color="auto"/>
                      </w:divBdr>
                    </w:div>
                  </w:divsChild>
                </w:div>
                <w:div w:id="1508907559">
                  <w:marLeft w:val="0"/>
                  <w:marRight w:val="0"/>
                  <w:marTop w:val="0"/>
                  <w:marBottom w:val="0"/>
                  <w:divBdr>
                    <w:top w:val="none" w:sz="0" w:space="0" w:color="auto"/>
                    <w:left w:val="none" w:sz="0" w:space="0" w:color="auto"/>
                    <w:bottom w:val="none" w:sz="0" w:space="0" w:color="auto"/>
                    <w:right w:val="none" w:sz="0" w:space="0" w:color="auto"/>
                  </w:divBdr>
                  <w:divsChild>
                    <w:div w:id="824322627">
                      <w:marLeft w:val="0"/>
                      <w:marRight w:val="0"/>
                      <w:marTop w:val="0"/>
                      <w:marBottom w:val="0"/>
                      <w:divBdr>
                        <w:top w:val="none" w:sz="0" w:space="0" w:color="auto"/>
                        <w:left w:val="none" w:sz="0" w:space="0" w:color="auto"/>
                        <w:bottom w:val="none" w:sz="0" w:space="0" w:color="auto"/>
                        <w:right w:val="none" w:sz="0" w:space="0" w:color="auto"/>
                      </w:divBdr>
                    </w:div>
                  </w:divsChild>
                </w:div>
                <w:div w:id="1604730554">
                  <w:marLeft w:val="0"/>
                  <w:marRight w:val="0"/>
                  <w:marTop w:val="0"/>
                  <w:marBottom w:val="0"/>
                  <w:divBdr>
                    <w:top w:val="none" w:sz="0" w:space="0" w:color="auto"/>
                    <w:left w:val="none" w:sz="0" w:space="0" w:color="auto"/>
                    <w:bottom w:val="none" w:sz="0" w:space="0" w:color="auto"/>
                    <w:right w:val="none" w:sz="0" w:space="0" w:color="auto"/>
                  </w:divBdr>
                  <w:divsChild>
                    <w:div w:id="1472942221">
                      <w:marLeft w:val="0"/>
                      <w:marRight w:val="0"/>
                      <w:marTop w:val="0"/>
                      <w:marBottom w:val="0"/>
                      <w:divBdr>
                        <w:top w:val="none" w:sz="0" w:space="0" w:color="auto"/>
                        <w:left w:val="none" w:sz="0" w:space="0" w:color="auto"/>
                        <w:bottom w:val="none" w:sz="0" w:space="0" w:color="auto"/>
                        <w:right w:val="none" w:sz="0" w:space="0" w:color="auto"/>
                      </w:divBdr>
                    </w:div>
                  </w:divsChild>
                </w:div>
                <w:div w:id="664868815">
                  <w:marLeft w:val="0"/>
                  <w:marRight w:val="0"/>
                  <w:marTop w:val="0"/>
                  <w:marBottom w:val="0"/>
                  <w:divBdr>
                    <w:top w:val="none" w:sz="0" w:space="0" w:color="auto"/>
                    <w:left w:val="none" w:sz="0" w:space="0" w:color="auto"/>
                    <w:bottom w:val="none" w:sz="0" w:space="0" w:color="auto"/>
                    <w:right w:val="none" w:sz="0" w:space="0" w:color="auto"/>
                  </w:divBdr>
                  <w:divsChild>
                    <w:div w:id="190609828">
                      <w:marLeft w:val="0"/>
                      <w:marRight w:val="0"/>
                      <w:marTop w:val="0"/>
                      <w:marBottom w:val="0"/>
                      <w:divBdr>
                        <w:top w:val="none" w:sz="0" w:space="0" w:color="auto"/>
                        <w:left w:val="none" w:sz="0" w:space="0" w:color="auto"/>
                        <w:bottom w:val="none" w:sz="0" w:space="0" w:color="auto"/>
                        <w:right w:val="none" w:sz="0" w:space="0" w:color="auto"/>
                      </w:divBdr>
                    </w:div>
                  </w:divsChild>
                </w:div>
                <w:div w:id="1583756280">
                  <w:marLeft w:val="0"/>
                  <w:marRight w:val="0"/>
                  <w:marTop w:val="0"/>
                  <w:marBottom w:val="0"/>
                  <w:divBdr>
                    <w:top w:val="none" w:sz="0" w:space="0" w:color="auto"/>
                    <w:left w:val="none" w:sz="0" w:space="0" w:color="auto"/>
                    <w:bottom w:val="none" w:sz="0" w:space="0" w:color="auto"/>
                    <w:right w:val="none" w:sz="0" w:space="0" w:color="auto"/>
                  </w:divBdr>
                  <w:divsChild>
                    <w:div w:id="205314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multilateralfund.org/resources/project-guides-too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7x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2.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3.xml><?xml version="1.0" encoding="utf-8"?>
<ds:datastoreItem xmlns:ds="http://schemas.openxmlformats.org/officeDocument/2006/customXml" ds:itemID="{C3AA0620-5A69-41B1-B510-CECF24015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97xx</Template>
  <TotalTime>3</TotalTime>
  <Pages>4</Pages>
  <Words>1710</Words>
  <Characters>9750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Examen de la posibilidad de integrar la presentación de informes mediante informes de finalización de proyectos e informes finales detallados de proyectos (decisión 95/91 e))</vt:lpstr>
    </vt:vector>
  </TitlesOfParts>
  <Company>UNMFS</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la posibilidad de integrar la presentación de informes mediante informes de finalización de proyectos e informes finales detallados de proyectos (decisión 95/91 e))</dc:title>
  <dc:subject>97th meeting</dc:subject>
  <dc:creator>José María Riquelme Gómez</dc:creator>
  <cp:lastModifiedBy>Angela Xue He Yan</cp:lastModifiedBy>
  <cp:revision>4</cp:revision>
  <cp:lastPrinted>2025-11-04T01:35:00Z</cp:lastPrinted>
  <dcterms:created xsi:type="dcterms:W3CDTF">2025-11-04T22:44:00Z</dcterms:created>
  <dcterms:modified xsi:type="dcterms:W3CDTF">2025-11-05T19:34:00Z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UNEP/OzL.Pro/ExCom/97/88</vt:lpwstr>
  </property>
  <property fmtid="{D5CDD505-2E9C-101B-9397-08002B2CF9AE}" pid="3" name="Revision date">
    <vt:lpwstr>11/3/2025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docLang">
    <vt:lpwstr>en</vt:lpwstr>
  </property>
</Properties>
</file>