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C15867" w:rsidRPr="00240DA8" w14:paraId="22D3EFAC" w14:textId="77777777" w:rsidTr="008163D1">
        <w:trPr>
          <w:trHeight w:val="720"/>
        </w:trPr>
        <w:tc>
          <w:tcPr>
            <w:tcW w:w="6372" w:type="dxa"/>
            <w:gridSpan w:val="2"/>
            <w:tcBorders>
              <w:bottom w:val="single" w:sz="18" w:space="0" w:color="auto"/>
            </w:tcBorders>
          </w:tcPr>
          <w:p w14:paraId="16016976" w14:textId="5E951EC4" w:rsidR="001A5A39" w:rsidRPr="008163D1" w:rsidRDefault="00C15867" w:rsidP="008163D1">
            <w:pPr>
              <w:pStyle w:val="Heading3"/>
              <w:numPr>
                <w:ilvl w:val="0"/>
                <w:numId w:val="0"/>
              </w:numPr>
              <w:ind w:left="39"/>
              <w:rPr>
                <w:rFonts w:ascii="Univers" w:hAnsi="Univers"/>
                <w:b/>
                <w:bCs/>
                <w:sz w:val="28"/>
                <w:szCs w:val="28"/>
                <w:lang w:val="es-AR"/>
              </w:rPr>
            </w:pPr>
            <w:bookmarkStart w:id="0" w:name="_Hlk180144586"/>
            <w:r w:rsidRPr="00240DA8">
              <w:rPr>
                <w:rFonts w:ascii="Univers" w:hAnsi="Univers"/>
                <w:b/>
                <w:bCs/>
                <w:sz w:val="28"/>
                <w:szCs w:val="28"/>
                <w:lang w:val="es-AR"/>
              </w:rPr>
              <w:t>NACIONES</w:t>
            </w:r>
            <w:r w:rsidRPr="00240DA8">
              <w:rPr>
                <w:rFonts w:ascii="Univers" w:hAnsi="Univers"/>
                <w:b/>
                <w:bCs/>
                <w:sz w:val="28"/>
                <w:szCs w:val="28"/>
                <w:lang w:val="es-AR"/>
              </w:rPr>
              <w:br/>
            </w:r>
            <w:r w:rsidR="003939E8">
              <w:rPr>
                <w:rFonts w:ascii="Univers" w:hAnsi="Univers"/>
                <w:b/>
                <w:bCs/>
                <w:sz w:val="28"/>
                <w:szCs w:val="28"/>
                <w:lang w:val="es-AR"/>
              </w:rPr>
              <w:t>UNIDAS</w:t>
            </w:r>
          </w:p>
        </w:tc>
        <w:tc>
          <w:tcPr>
            <w:tcW w:w="3780" w:type="dxa"/>
            <w:tcBorders>
              <w:bottom w:val="single" w:sz="18" w:space="0" w:color="auto"/>
            </w:tcBorders>
          </w:tcPr>
          <w:p w14:paraId="4F379820" w14:textId="77777777" w:rsidR="00C15867" w:rsidRPr="00240DA8" w:rsidRDefault="00C15867" w:rsidP="009C59F7">
            <w:pPr>
              <w:jc w:val="right"/>
              <w:rPr>
                <w:rFonts w:ascii="Univers" w:hAnsi="Univers" w:cstheme="majorBidi"/>
                <w:sz w:val="52"/>
                <w:szCs w:val="52"/>
                <w:lang w:val="es-AR"/>
              </w:rPr>
            </w:pPr>
            <w:r w:rsidRPr="00240DA8">
              <w:rPr>
                <w:rFonts w:ascii="Univers" w:hAnsi="Univers" w:cstheme="majorBidi"/>
                <w:b/>
                <w:sz w:val="72"/>
                <w:lang w:val="es-AR"/>
              </w:rPr>
              <w:t>EP</w:t>
            </w:r>
          </w:p>
        </w:tc>
      </w:tr>
      <w:tr w:rsidR="00C15867" w:rsidRPr="00010CF0" w14:paraId="0F426E6E" w14:textId="77777777" w:rsidTr="008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E707A" w14:textId="77777777" w:rsidR="00C15867" w:rsidRPr="00240DA8" w:rsidRDefault="00E52838" w:rsidP="009C59F7">
            <w:pPr>
              <w:spacing w:before="120"/>
              <w:rPr>
                <w:lang w:val="es-AR"/>
              </w:rPr>
            </w:pPr>
            <w:r w:rsidRPr="00240DA8">
              <w:rPr>
                <w:noProof/>
                <w:lang w:val="en-US"/>
              </w:rPr>
              <mc:AlternateContent>
                <mc:Choice Requires="wpg">
                  <w:drawing>
                    <wp:anchor distT="0" distB="0" distL="114300" distR="114300" simplePos="0" relativeHeight="251658240" behindDoc="0" locked="0" layoutInCell="1" allowOverlap="1" wp14:anchorId="12512C17" wp14:editId="4F1539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350152D"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7C77BEB2"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AB0058" w14:textId="6F6478B6"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C38FA5F"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0E9F683"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916E270" w14:textId="77777777" w:rsidR="00C15867" w:rsidRPr="00240DA8" w:rsidRDefault="00C15867"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Bidi" w:hAnsiTheme="majorBidi" w:cstheme="majorBidi"/>
                <w:lang w:val="es-AR"/>
              </w:rPr>
            </w:pPr>
          </w:p>
        </w:tc>
        <w:tc>
          <w:tcPr>
            <w:tcW w:w="3780" w:type="dxa"/>
            <w:tcBorders>
              <w:top w:val="nil"/>
              <w:left w:val="nil"/>
              <w:bottom w:val="single" w:sz="36" w:space="0" w:color="auto"/>
              <w:right w:val="nil"/>
            </w:tcBorders>
          </w:tcPr>
          <w:p w14:paraId="7D0C733F" w14:textId="77777777" w:rsidR="001A5A39" w:rsidRDefault="001A5A39" w:rsidP="009C59F7">
            <w:pPr>
              <w:rPr>
                <w:rFonts w:asciiTheme="majorBidi" w:hAnsiTheme="majorBidi" w:cstheme="majorBidi"/>
                <w:lang w:val="es-AR"/>
              </w:rPr>
            </w:pPr>
          </w:p>
          <w:p w14:paraId="6DF9BE66" w14:textId="55501A44" w:rsidR="00C15867" w:rsidRPr="00240DA8" w:rsidRDefault="00C15867" w:rsidP="009C59F7">
            <w:pPr>
              <w:rPr>
                <w:rFonts w:asciiTheme="majorBidi" w:hAnsiTheme="majorBidi" w:cstheme="majorBidi"/>
                <w:lang w:val="es-AR"/>
              </w:rPr>
            </w:pPr>
            <w:r w:rsidRPr="00240DA8">
              <w:rPr>
                <w:rFonts w:asciiTheme="majorBidi" w:hAnsiTheme="majorBidi" w:cstheme="majorBidi"/>
                <w:lang w:val="es-AR"/>
              </w:rPr>
              <w:t>Distr.</w:t>
            </w:r>
          </w:p>
          <w:p w14:paraId="210A357C" w14:textId="77777777" w:rsidR="00923540" w:rsidRPr="00240DA8" w:rsidRDefault="00923540" w:rsidP="00923540">
            <w:pPr>
              <w:rPr>
                <w:rFonts w:asciiTheme="majorBidi" w:hAnsiTheme="majorBidi" w:cstheme="majorBidi"/>
                <w:lang w:val="es-AR"/>
              </w:rPr>
            </w:pPr>
            <w:r w:rsidRPr="00240DA8">
              <w:rPr>
                <w:rFonts w:asciiTheme="majorBidi" w:hAnsiTheme="majorBidi" w:cstheme="majorBidi"/>
                <w:lang w:val="es-AR"/>
              </w:rPr>
              <w:t>GENERAL</w:t>
            </w:r>
          </w:p>
          <w:p w14:paraId="1FB29537" w14:textId="77777777" w:rsidR="00C15867" w:rsidRPr="00240DA8" w:rsidRDefault="00C15867" w:rsidP="009C59F7">
            <w:pPr>
              <w:rPr>
                <w:rFonts w:asciiTheme="majorBidi" w:hAnsiTheme="majorBidi" w:cstheme="majorBidi"/>
                <w:lang w:val="es-AR"/>
              </w:rPr>
            </w:pPr>
          </w:p>
          <w:p w14:paraId="746CFC06" w14:textId="19582B7A" w:rsidR="00C15867" w:rsidRPr="00240DA8" w:rsidRDefault="00EF1991" w:rsidP="009C59F7">
            <w:pPr>
              <w:rPr>
                <w:rFonts w:asciiTheme="majorBidi" w:hAnsiTheme="majorBidi" w:cstheme="majorBidi"/>
                <w:lang w:val="es-AR"/>
              </w:rPr>
            </w:pPr>
            <w:r w:rsidRPr="00240DA8">
              <w:rPr>
                <w:rFonts w:asciiTheme="majorBidi" w:hAnsiTheme="majorBidi" w:cstheme="majorBidi"/>
                <w:lang w:val="es-AR"/>
              </w:rPr>
              <w:fldChar w:fldCharType="begin"/>
            </w:r>
            <w:r w:rsidRPr="00240DA8">
              <w:rPr>
                <w:rFonts w:asciiTheme="majorBidi" w:hAnsiTheme="majorBidi" w:cstheme="majorBidi"/>
                <w:lang w:val="es-AR"/>
              </w:rPr>
              <w:instrText xml:space="preserve"> DOCPROPERTY "Document number"  \* MERGEFORMAT </w:instrText>
            </w:r>
            <w:r w:rsidRPr="00240DA8">
              <w:rPr>
                <w:rFonts w:asciiTheme="majorBidi" w:hAnsiTheme="majorBidi" w:cstheme="majorBidi"/>
                <w:lang w:val="es-AR"/>
              </w:rPr>
              <w:fldChar w:fldCharType="separate"/>
            </w:r>
            <w:r w:rsidR="00010CF0">
              <w:rPr>
                <w:rFonts w:asciiTheme="majorBidi" w:hAnsiTheme="majorBidi" w:cstheme="majorBidi"/>
                <w:lang w:val="es-AR"/>
              </w:rPr>
              <w:t>UNEP/OzL.Pro/ExCom/97/79</w:t>
            </w:r>
            <w:r w:rsidRPr="00240DA8">
              <w:rPr>
                <w:rFonts w:asciiTheme="majorBidi" w:hAnsiTheme="majorBidi" w:cstheme="majorBidi"/>
                <w:lang w:val="es-AR"/>
              </w:rPr>
              <w:fldChar w:fldCharType="end"/>
            </w:r>
            <w:r w:rsidR="00DA6943">
              <w:t>*</w:t>
            </w:r>
          </w:p>
          <w:p w14:paraId="140D7ADA" w14:textId="7ECBB65D" w:rsidR="00C15867" w:rsidRPr="00240DA8" w:rsidRDefault="00BD5494" w:rsidP="009C59F7">
            <w:pPr>
              <w:rPr>
                <w:rFonts w:asciiTheme="majorBidi" w:hAnsiTheme="majorBidi" w:cstheme="majorBidi"/>
                <w:lang w:val="es-AR"/>
              </w:rPr>
            </w:pPr>
            <w:r>
              <w:rPr>
                <w:rFonts w:asciiTheme="majorBidi" w:hAnsiTheme="majorBidi" w:cstheme="majorBidi"/>
                <w:lang w:val="es-AR"/>
              </w:rPr>
              <w:t xml:space="preserve">13 de noviembre </w:t>
            </w:r>
            <w:r w:rsidR="00A7691B" w:rsidRPr="00240DA8">
              <w:rPr>
                <w:rFonts w:asciiTheme="majorBidi" w:hAnsiTheme="majorBidi" w:cstheme="majorBidi"/>
                <w:lang w:val="es-AR"/>
              </w:rPr>
              <w:fldChar w:fldCharType="begin"/>
            </w:r>
            <w:r w:rsidR="00A7691B" w:rsidRPr="00240DA8">
              <w:rPr>
                <w:rFonts w:asciiTheme="majorBidi" w:hAnsiTheme="majorBidi" w:cstheme="majorBidi"/>
                <w:lang w:val="es-AR"/>
              </w:rPr>
              <w:instrText xml:space="preserve"> DOCPROPERTY  "Revision date"  \* MERGEFORMAT </w:instrText>
            </w:r>
            <w:r w:rsidR="00A7691B" w:rsidRPr="00240DA8">
              <w:rPr>
                <w:rFonts w:asciiTheme="majorBidi" w:hAnsiTheme="majorBidi" w:cstheme="majorBidi"/>
                <w:lang w:val="es-AR"/>
              </w:rPr>
              <w:fldChar w:fldCharType="separate"/>
            </w:r>
            <w:r w:rsidR="00772B43" w:rsidRPr="00240DA8">
              <w:rPr>
                <w:rFonts w:asciiTheme="majorBidi" w:hAnsiTheme="majorBidi" w:cstheme="majorBidi"/>
                <w:lang w:val="es-AR"/>
              </w:rPr>
              <w:t xml:space="preserve"> de 2025</w:t>
            </w:r>
            <w:r w:rsidR="00A7691B" w:rsidRPr="00240DA8">
              <w:rPr>
                <w:rFonts w:asciiTheme="majorBidi" w:hAnsiTheme="majorBidi" w:cstheme="majorBidi"/>
                <w:lang w:val="es-AR"/>
              </w:rPr>
              <w:fldChar w:fldCharType="end"/>
            </w:r>
          </w:p>
          <w:p w14:paraId="642EBCA8" w14:textId="77777777" w:rsidR="00C15867" w:rsidRPr="00240DA8" w:rsidRDefault="00C15867" w:rsidP="009C59F7">
            <w:pPr>
              <w:rPr>
                <w:rFonts w:asciiTheme="majorBidi" w:hAnsiTheme="majorBidi" w:cstheme="majorBidi"/>
                <w:caps/>
                <w:lang w:val="es-AR"/>
              </w:rPr>
            </w:pPr>
          </w:p>
          <w:p w14:paraId="3015D1FA" w14:textId="77777777" w:rsidR="001A5A39" w:rsidRDefault="001A5A39" w:rsidP="009C59F7">
            <w:pPr>
              <w:rPr>
                <w:rFonts w:asciiTheme="majorBidi" w:hAnsiTheme="majorBidi" w:cstheme="majorBidi"/>
                <w:lang w:val="es-AR"/>
              </w:rPr>
            </w:pPr>
            <w:r>
              <w:rPr>
                <w:rFonts w:asciiTheme="majorBidi" w:hAnsiTheme="majorBidi" w:cstheme="majorBidi"/>
                <w:lang w:val="es-AR"/>
              </w:rPr>
              <w:t>ESPAÑOL</w:t>
            </w:r>
          </w:p>
          <w:p w14:paraId="70087376" w14:textId="42CF91B6" w:rsidR="00C15867" w:rsidRPr="00240DA8" w:rsidRDefault="00C15867" w:rsidP="009C59F7">
            <w:pPr>
              <w:rPr>
                <w:rFonts w:asciiTheme="majorBidi" w:hAnsiTheme="majorBidi" w:cstheme="majorBidi"/>
                <w:lang w:val="es-AR"/>
              </w:rPr>
            </w:pPr>
            <w:r w:rsidRPr="00240DA8">
              <w:rPr>
                <w:rFonts w:asciiTheme="majorBidi" w:hAnsiTheme="majorBidi" w:cstheme="majorBidi"/>
                <w:lang w:val="es-AR"/>
              </w:rPr>
              <w:t>ORIGINAL: INGLÉS</w:t>
            </w:r>
          </w:p>
        </w:tc>
      </w:tr>
    </w:tbl>
    <w:bookmarkEnd w:id="0"/>
    <w:p w14:paraId="2A18444C" w14:textId="77777777" w:rsidR="00247AE4" w:rsidRPr="008E3560" w:rsidRDefault="00247AE4" w:rsidP="00247AE4">
      <w:pPr>
        <w:jc w:val="left"/>
        <w:rPr>
          <w:lang w:val="es-ES_tradnl"/>
        </w:rPr>
      </w:pPr>
      <w:r w:rsidRPr="008E3560">
        <w:rPr>
          <w:lang w:val="es-ES_tradnl"/>
        </w:rPr>
        <w:t>COMITÉ EJECUTIVO DEL FONDO MULTILATERAL</w:t>
      </w:r>
      <w:r w:rsidRPr="008E3560">
        <w:rPr>
          <w:lang w:val="es-ES_tradnl"/>
        </w:rPr>
        <w:br/>
        <w:t xml:space="preserve"> PARA LA APLICACIÓN DEL</w:t>
      </w:r>
    </w:p>
    <w:p w14:paraId="0000DFC5" w14:textId="77777777" w:rsidR="00247AE4" w:rsidRPr="008E3560" w:rsidRDefault="00247AE4" w:rsidP="00247AE4">
      <w:pPr>
        <w:jc w:val="left"/>
        <w:rPr>
          <w:lang w:val="es-ES_tradnl"/>
        </w:rPr>
      </w:pPr>
      <w:r w:rsidRPr="008E3560">
        <w:rPr>
          <w:lang w:val="es-ES_tradnl"/>
        </w:rPr>
        <w:t xml:space="preserve"> PROTOCOLO DE MONTREAL</w:t>
      </w:r>
      <w:r w:rsidRPr="008E3560">
        <w:rPr>
          <w:lang w:val="es-ES_tradnl"/>
        </w:rPr>
        <w:br/>
      </w:r>
      <w:r w:rsidRPr="008E3560">
        <w:rPr>
          <w:lang w:val="es-AR"/>
        </w:rPr>
        <w:t>Nonagésima séptima reunión</w:t>
      </w:r>
    </w:p>
    <w:p w14:paraId="3C9538F8" w14:textId="77777777" w:rsidR="00247AE4" w:rsidRPr="008E3560" w:rsidRDefault="00247AE4" w:rsidP="00247AE4">
      <w:pPr>
        <w:jc w:val="left"/>
        <w:rPr>
          <w:lang w:val="es-ES_tradnl"/>
        </w:rPr>
      </w:pPr>
      <w:r w:rsidRPr="008E3560">
        <w:rPr>
          <w:lang w:val="es-ES_tradnl"/>
        </w:rPr>
        <w:t>Montreal, 1-5 de diciembre de 2025</w:t>
      </w:r>
    </w:p>
    <w:p w14:paraId="43B768F9" w14:textId="77777777" w:rsidR="00247AE4" w:rsidRPr="00DB5136" w:rsidRDefault="00247AE4" w:rsidP="00247AE4">
      <w:pPr>
        <w:jc w:val="left"/>
        <w:rPr>
          <w:lang w:val="es-ES_tradnl"/>
        </w:rPr>
      </w:pPr>
      <w:r w:rsidRPr="008E3560">
        <w:rPr>
          <w:lang w:val="es-ES_tradnl"/>
        </w:rPr>
        <w:t>Punto 9 d) del orden del día provisional</w:t>
      </w:r>
      <w:r w:rsidRPr="008E3560">
        <w:rPr>
          <w:rStyle w:val="FootnoteReference"/>
          <w:lang w:val="es-ES_tradnl"/>
        </w:rPr>
        <w:footnoteReference w:id="1"/>
      </w:r>
    </w:p>
    <w:p w14:paraId="6E42E8C7" w14:textId="77777777" w:rsidR="00247AE4" w:rsidRPr="00DB5136" w:rsidRDefault="00247AE4" w:rsidP="00247AE4">
      <w:pPr>
        <w:jc w:val="left"/>
        <w:rPr>
          <w:lang w:val="es-ES_tradnl"/>
        </w:rPr>
      </w:pPr>
    </w:p>
    <w:p w14:paraId="17E90FB5" w14:textId="77777777" w:rsidR="00247AE4" w:rsidRPr="00DB5136" w:rsidRDefault="00247AE4" w:rsidP="00247AE4">
      <w:pPr>
        <w:rPr>
          <w:lang w:val="es-ES_tradnl"/>
        </w:rPr>
      </w:pPr>
    </w:p>
    <w:p w14:paraId="630C5E81" w14:textId="77777777" w:rsidR="00247AE4" w:rsidRPr="00DB5136" w:rsidRDefault="00247AE4" w:rsidP="00247AE4">
      <w:pPr>
        <w:rPr>
          <w:lang w:val="es-ES_tradnl"/>
        </w:rPr>
      </w:pPr>
    </w:p>
    <w:p w14:paraId="6C926D34" w14:textId="77777777" w:rsidR="00247AE4" w:rsidRPr="00DB5136" w:rsidRDefault="00247AE4" w:rsidP="00247AE4">
      <w:pPr>
        <w:pStyle w:val="Title1"/>
        <w:jc w:val="right"/>
        <w:rPr>
          <w:b w:val="0"/>
          <w:lang w:val="es-ES_tradnl"/>
        </w:rPr>
      </w:pPr>
    </w:p>
    <w:p w14:paraId="487444C6" w14:textId="77777777" w:rsidR="00247AE4" w:rsidRPr="00DB5136" w:rsidRDefault="00247AE4" w:rsidP="00247AE4">
      <w:pPr>
        <w:jc w:val="center"/>
        <w:rPr>
          <w:b/>
          <w:lang w:val="es-ES_tradnl"/>
        </w:rPr>
      </w:pPr>
      <w:bookmarkStart w:id="1" w:name="_Hlk213949392"/>
      <w:r w:rsidRPr="00DB5136">
        <w:rPr>
          <w:b/>
          <w:lang w:val="es-ES_tradnl"/>
        </w:rPr>
        <w:t>PROPUESTA DE PROYECTO: TOGO</w:t>
      </w:r>
    </w:p>
    <w:bookmarkEnd w:id="1"/>
    <w:p w14:paraId="2F7F3486" w14:textId="77777777" w:rsidR="00247AE4" w:rsidRPr="00DB5136" w:rsidRDefault="00247AE4" w:rsidP="00247AE4">
      <w:pPr>
        <w:rPr>
          <w:highlight w:val="yellow"/>
          <w:lang w:val="es-ES_tradnl"/>
        </w:rPr>
      </w:pPr>
    </w:p>
    <w:p w14:paraId="3E0ED54B" w14:textId="77777777" w:rsidR="00247AE4" w:rsidRPr="00DB5136" w:rsidRDefault="00247AE4" w:rsidP="00247AE4">
      <w:pPr>
        <w:rPr>
          <w:highlight w:val="yellow"/>
          <w:lang w:val="es-ES_tradnl"/>
        </w:rPr>
      </w:pPr>
    </w:p>
    <w:p w14:paraId="5A196534" w14:textId="77777777" w:rsidR="00247AE4" w:rsidRPr="00DB5136" w:rsidRDefault="00247AE4" w:rsidP="00247AE4">
      <w:pPr>
        <w:ind w:firstLine="720"/>
        <w:rPr>
          <w:lang w:val="es-ES_tradnl"/>
        </w:rPr>
      </w:pPr>
      <w:r w:rsidRPr="00DB5136">
        <w:rPr>
          <w:lang w:val="es-ES_tradnl"/>
        </w:rPr>
        <w:t>El presente documento contiene las observaciones y recomendación de la Secretaría sobre la siguiente propuesta de proyecto:</w:t>
      </w:r>
    </w:p>
    <w:p w14:paraId="1B4C5642" w14:textId="77777777" w:rsidR="00247AE4" w:rsidRPr="00DB5136" w:rsidRDefault="00247AE4" w:rsidP="00247AE4">
      <w:pPr>
        <w:spacing w:before="240" w:after="240"/>
        <w:rPr>
          <w:u w:val="single"/>
          <w:lang w:val="es-ES_tradnl"/>
        </w:rPr>
      </w:pPr>
      <w:r w:rsidRPr="00DB5136">
        <w:rPr>
          <w:u w:val="single"/>
          <w:lang w:val="es-ES_tradnl"/>
        </w:rPr>
        <w:t>Eficiencia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1575"/>
        <w:gridCol w:w="1438"/>
      </w:tblGrid>
      <w:tr w:rsidR="00DA6943" w:rsidRPr="00DB5136" w14:paraId="6B6A6CF2" w14:textId="77777777" w:rsidTr="000E5D4B">
        <w:trPr>
          <w:trHeight w:val="300"/>
        </w:trPr>
        <w:tc>
          <w:tcPr>
            <w:tcW w:w="6480" w:type="dxa"/>
            <w:hideMark/>
          </w:tcPr>
          <w:p w14:paraId="5A95D7B3" w14:textId="77777777" w:rsidR="00247AE4" w:rsidRPr="00DB5136" w:rsidRDefault="00247AE4" w:rsidP="00107764">
            <w:pPr>
              <w:numPr>
                <w:ilvl w:val="0"/>
                <w:numId w:val="10"/>
              </w:numPr>
              <w:ind w:hanging="830"/>
              <w:contextualSpacing/>
              <w:jc w:val="left"/>
              <w:rPr>
                <w:lang w:val="es-ES_tradnl"/>
              </w:rPr>
            </w:pPr>
            <w:r w:rsidRPr="00DB5136">
              <w:rPr>
                <w:lang w:val="es-ES_tradnl"/>
              </w:rPr>
              <w:t xml:space="preserve">Proyecto piloto para </w:t>
            </w:r>
            <w:r>
              <w:rPr>
                <w:lang w:val="es-ES_tradnl"/>
              </w:rPr>
              <w:t>aumentar</w:t>
            </w:r>
            <w:r w:rsidRPr="00DB5136">
              <w:rPr>
                <w:lang w:val="es-ES_tradnl"/>
              </w:rPr>
              <w:t xml:space="preserve"> la eficiencia energética de las tecnologías y equipos de sustitución en el marco de la reducción de los HFC (actividades sin inversión): </w:t>
            </w:r>
            <w:r>
              <w:rPr>
                <w:lang w:val="es-ES_tradnl"/>
              </w:rPr>
              <w:t>D</w:t>
            </w:r>
            <w:r w:rsidRPr="00DB5136">
              <w:rPr>
                <w:lang w:val="es-ES_tradnl"/>
              </w:rPr>
              <w:t xml:space="preserve">emostración de la tecnología de </w:t>
            </w:r>
            <w:r>
              <w:rPr>
                <w:lang w:val="es-ES_tradnl"/>
              </w:rPr>
              <w:t xml:space="preserve">climatización </w:t>
            </w:r>
            <w:r w:rsidRPr="00DB5136">
              <w:rPr>
                <w:lang w:val="es-ES_tradnl"/>
              </w:rPr>
              <w:t>a base</w:t>
            </w:r>
            <w:r>
              <w:rPr>
                <w:lang w:val="es-ES_tradnl"/>
              </w:rPr>
              <w:t xml:space="preserve"> del </w:t>
            </w:r>
            <w:r w:rsidRPr="00DB5136">
              <w:rPr>
                <w:lang w:val="es-ES_tradnl"/>
              </w:rPr>
              <w:t xml:space="preserve">refrigerante R-290 y ventajas de </w:t>
            </w:r>
            <w:r>
              <w:rPr>
                <w:lang w:val="es-ES_tradnl"/>
              </w:rPr>
              <w:t>un manejo</w:t>
            </w:r>
            <w:r w:rsidRPr="00DB5136">
              <w:rPr>
                <w:lang w:val="es-ES_tradnl"/>
              </w:rPr>
              <w:t xml:space="preserve"> y gestión adecuad</w:t>
            </w:r>
            <w:r>
              <w:rPr>
                <w:lang w:val="es-ES_tradnl"/>
              </w:rPr>
              <w:t>o</w:t>
            </w:r>
            <w:r w:rsidRPr="00DB5136">
              <w:rPr>
                <w:lang w:val="es-ES_tradnl"/>
              </w:rPr>
              <w:t xml:space="preserve">s de los refrigerantes y de las prácticas de </w:t>
            </w:r>
            <w:r>
              <w:rPr>
                <w:lang w:val="es-ES_tradnl"/>
              </w:rPr>
              <w:t xml:space="preserve">mantenimiento de refrigeración y climatización </w:t>
            </w:r>
          </w:p>
        </w:tc>
        <w:tc>
          <w:tcPr>
            <w:tcW w:w="1575" w:type="dxa"/>
            <w:hideMark/>
          </w:tcPr>
          <w:p w14:paraId="4180D0EF" w14:textId="1B7DBB89" w:rsidR="00247AE4" w:rsidRPr="00DB5136" w:rsidRDefault="00DA6943" w:rsidP="00512EC5">
            <w:pPr>
              <w:jc w:val="center"/>
              <w:rPr>
                <w:lang w:val="es-ES_tradnl"/>
              </w:rPr>
            </w:pPr>
            <w:r>
              <w:rPr>
                <w:lang w:val="es-ES_tradnl"/>
              </w:rPr>
              <w:t xml:space="preserve">Reino Unido de Gran </w:t>
            </w:r>
            <w:r w:rsidRPr="00DA6943">
              <w:rPr>
                <w:lang w:val="es-AR"/>
              </w:rPr>
              <w:t>Bretaña</w:t>
            </w:r>
            <w:r>
              <w:rPr>
                <w:lang w:val="es-ES_tradnl"/>
              </w:rPr>
              <w:t xml:space="preserve"> e Irlanda del Norte</w:t>
            </w:r>
          </w:p>
        </w:tc>
        <w:tc>
          <w:tcPr>
            <w:tcW w:w="1438" w:type="dxa"/>
          </w:tcPr>
          <w:p w14:paraId="05DC31AD" w14:textId="77777777" w:rsidR="00247AE4" w:rsidRPr="00DB5136" w:rsidRDefault="00247AE4" w:rsidP="00512EC5">
            <w:pPr>
              <w:ind w:right="-251"/>
              <w:jc w:val="center"/>
              <w:rPr>
                <w:lang w:val="es-ES_tradnl"/>
              </w:rPr>
            </w:pPr>
            <w:r w:rsidRPr="00DB5136">
              <w:rPr>
                <w:lang w:val="es-ES_tradnl"/>
              </w:rPr>
              <w:t>Para consideración individual</w:t>
            </w:r>
          </w:p>
        </w:tc>
      </w:tr>
    </w:tbl>
    <w:p w14:paraId="56211CFC" w14:textId="77777777" w:rsidR="00DA6943" w:rsidRDefault="00DA6943" w:rsidP="00247AE4">
      <w:pPr>
        <w:jc w:val="left"/>
        <w:rPr>
          <w:b/>
          <w:lang w:val="es-ES_tradnl"/>
        </w:rPr>
      </w:pPr>
    </w:p>
    <w:p w14:paraId="762424E0" w14:textId="77777777" w:rsidR="00DA6943" w:rsidRDefault="00DA6943" w:rsidP="00247AE4">
      <w:pPr>
        <w:jc w:val="left"/>
        <w:rPr>
          <w:b/>
          <w:lang w:val="es-ES_tradnl"/>
        </w:rPr>
      </w:pPr>
    </w:p>
    <w:p w14:paraId="2EE74EC7" w14:textId="77777777" w:rsidR="00DA6943" w:rsidRDefault="00DA6943" w:rsidP="00247AE4">
      <w:pPr>
        <w:jc w:val="left"/>
        <w:rPr>
          <w:b/>
          <w:lang w:val="es-ES_tradnl"/>
        </w:rPr>
      </w:pPr>
    </w:p>
    <w:p w14:paraId="155031F0" w14:textId="77777777" w:rsidR="00DA6943" w:rsidRDefault="00DA6943" w:rsidP="00247AE4">
      <w:pPr>
        <w:jc w:val="left"/>
        <w:rPr>
          <w:b/>
          <w:lang w:val="es-ES_tradnl"/>
        </w:rPr>
      </w:pPr>
    </w:p>
    <w:p w14:paraId="34EB7E27" w14:textId="77777777" w:rsidR="00DA6943" w:rsidRDefault="00DA6943" w:rsidP="00247AE4">
      <w:pPr>
        <w:jc w:val="left"/>
        <w:rPr>
          <w:b/>
          <w:lang w:val="es-ES_tradnl"/>
        </w:rPr>
      </w:pPr>
    </w:p>
    <w:p w14:paraId="22D66EE6" w14:textId="77777777" w:rsidR="00DA6943" w:rsidRDefault="00DA6943" w:rsidP="00247AE4">
      <w:pPr>
        <w:jc w:val="left"/>
        <w:rPr>
          <w:b/>
          <w:lang w:val="es-ES_tradnl"/>
        </w:rPr>
      </w:pPr>
    </w:p>
    <w:p w14:paraId="3B804F66" w14:textId="77777777" w:rsidR="00DA6943" w:rsidRDefault="00DA6943" w:rsidP="00247AE4">
      <w:pPr>
        <w:jc w:val="left"/>
        <w:rPr>
          <w:b/>
          <w:lang w:val="es-ES_tradnl"/>
        </w:rPr>
      </w:pPr>
    </w:p>
    <w:p w14:paraId="410199F2" w14:textId="77777777" w:rsidR="00DA6943" w:rsidRDefault="00DA6943" w:rsidP="00247AE4">
      <w:pPr>
        <w:jc w:val="left"/>
        <w:rPr>
          <w:b/>
          <w:lang w:val="es-ES_tradnl"/>
        </w:rPr>
      </w:pPr>
    </w:p>
    <w:p w14:paraId="67ACBA47" w14:textId="77777777" w:rsidR="00DA6943" w:rsidRDefault="00DA6943" w:rsidP="00247AE4">
      <w:pPr>
        <w:jc w:val="left"/>
        <w:rPr>
          <w:b/>
          <w:lang w:val="es-ES_tradnl"/>
        </w:rPr>
      </w:pPr>
    </w:p>
    <w:p w14:paraId="250B3EE8" w14:textId="77777777" w:rsidR="00DA6943" w:rsidRDefault="00DA6943" w:rsidP="00247AE4">
      <w:pPr>
        <w:jc w:val="left"/>
        <w:rPr>
          <w:b/>
          <w:lang w:val="es-ES_tradnl"/>
        </w:rPr>
      </w:pPr>
    </w:p>
    <w:p w14:paraId="31012FB8" w14:textId="77777777" w:rsidR="00DA6943" w:rsidRDefault="00DA6943" w:rsidP="00247AE4">
      <w:pPr>
        <w:jc w:val="left"/>
        <w:rPr>
          <w:b/>
          <w:lang w:val="es-ES_tradnl"/>
        </w:rPr>
      </w:pPr>
    </w:p>
    <w:p w14:paraId="634890B4" w14:textId="77777777" w:rsidR="00DA6943" w:rsidRDefault="00DA6943" w:rsidP="00247AE4">
      <w:pPr>
        <w:jc w:val="left"/>
        <w:rPr>
          <w:b/>
          <w:lang w:val="es-ES_tradnl"/>
        </w:rPr>
      </w:pPr>
    </w:p>
    <w:p w14:paraId="757BA5DD" w14:textId="20790579" w:rsidR="00DA6943" w:rsidRPr="00DA6943" w:rsidRDefault="00DA6943" w:rsidP="00DA6943">
      <w:pPr>
        <w:rPr>
          <w:rFonts w:asciiTheme="majorBidi" w:hAnsiTheme="majorBidi" w:cstheme="majorBidi"/>
          <w:lang w:val="es-AR"/>
        </w:rPr>
      </w:pPr>
      <w:r w:rsidRPr="008163D1">
        <w:rPr>
          <w:lang w:val="fr-CA"/>
        </w:rPr>
        <w:t>*</w:t>
      </w:r>
      <w:r w:rsidRPr="00DA6943">
        <w:rPr>
          <w:lang w:val="es-AR"/>
        </w:rPr>
        <w:t>Expedido nuevamente por razones técnicas el 17 de noviembre de 2025</w:t>
      </w:r>
    </w:p>
    <w:p w14:paraId="6CE27B78" w14:textId="5DD3C959" w:rsidR="00247AE4" w:rsidRPr="00DB5136" w:rsidRDefault="00247AE4" w:rsidP="00247AE4">
      <w:pPr>
        <w:jc w:val="left"/>
        <w:rPr>
          <w:b/>
          <w:lang w:val="es-ES_tradnl"/>
        </w:rPr>
      </w:pPr>
    </w:p>
    <w:p w14:paraId="47A798AA" w14:textId="77777777" w:rsidR="00247AE4" w:rsidRPr="00DB5136" w:rsidRDefault="00247AE4" w:rsidP="00247AE4">
      <w:pPr>
        <w:jc w:val="center"/>
        <w:rPr>
          <w:b/>
          <w:lang w:val="es-ES_tradnl"/>
        </w:rPr>
      </w:pPr>
      <w:r w:rsidRPr="00DB5136">
        <w:rPr>
          <w:b/>
          <w:lang w:val="es-ES_tradnl"/>
        </w:rPr>
        <w:t>HOJA DE EVALUACIÓN – PROYECTOS NO PLURIANUALES</w:t>
      </w:r>
    </w:p>
    <w:p w14:paraId="03988528" w14:textId="77777777" w:rsidR="00247AE4" w:rsidRPr="00DB5136" w:rsidRDefault="00247AE4" w:rsidP="00247AE4">
      <w:pPr>
        <w:jc w:val="center"/>
        <w:rPr>
          <w:b/>
          <w:lang w:val="es-ES_tradnl"/>
        </w:rPr>
      </w:pPr>
    </w:p>
    <w:p w14:paraId="0D390961" w14:textId="77777777" w:rsidR="00247AE4" w:rsidRPr="00DB5136" w:rsidRDefault="00247AE4" w:rsidP="00247AE4">
      <w:pPr>
        <w:ind w:left="142"/>
        <w:jc w:val="center"/>
        <w:rPr>
          <w:b/>
          <w:lang w:val="es-ES_tradnl"/>
        </w:rPr>
      </w:pPr>
      <w:r w:rsidRPr="00DB5136">
        <w:rPr>
          <w:b/>
          <w:lang w:val="es-ES_tradnl"/>
        </w:rPr>
        <w:t>Togo</w:t>
      </w:r>
    </w:p>
    <w:p w14:paraId="60298A67" w14:textId="77777777" w:rsidR="00247AE4" w:rsidRPr="00DB5136" w:rsidRDefault="00247AE4" w:rsidP="00247AE4">
      <w:pPr>
        <w:ind w:left="142"/>
        <w:jc w:val="center"/>
        <w:rPr>
          <w:b/>
          <w:lang w:val="es-ES_tradnl"/>
        </w:rPr>
      </w:pPr>
    </w:p>
    <w:p w14:paraId="34AF8C27" w14:textId="77777777" w:rsidR="00247AE4" w:rsidRPr="00DB5136" w:rsidRDefault="00247AE4" w:rsidP="00247AE4">
      <w:pPr>
        <w:tabs>
          <w:tab w:val="left" w:pos="5580"/>
        </w:tabs>
        <w:ind w:right="-450" w:hanging="450"/>
        <w:rPr>
          <w:b/>
          <w:sz w:val="20"/>
          <w:lang w:val="es-ES_tradnl"/>
        </w:rPr>
      </w:pPr>
      <w:r w:rsidRPr="00DB5136">
        <w:rPr>
          <w:b/>
          <w:caps/>
          <w:sz w:val="20"/>
          <w:lang w:val="es-ES_tradnl"/>
        </w:rPr>
        <w:t>Proyecto</w:t>
      </w:r>
      <w:r w:rsidRPr="00DB5136">
        <w:rPr>
          <w:b/>
          <w:sz w:val="20"/>
          <w:lang w:val="es-ES_tradnl"/>
        </w:rPr>
        <w:tab/>
      </w:r>
      <w:r w:rsidRPr="00DB5136">
        <w:rPr>
          <w:b/>
          <w:caps/>
          <w:sz w:val="20"/>
          <w:lang w:val="es-ES_tradnl"/>
        </w:rPr>
        <w:t xml:space="preserve"> Organismo bilateral/de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8545"/>
        <w:gridCol w:w="1621"/>
      </w:tblGrid>
      <w:tr w:rsidR="00247AE4" w:rsidRPr="00010CF0" w14:paraId="10A96CE8" w14:textId="77777777" w:rsidTr="000E5D4B">
        <w:trPr>
          <w:trHeight w:val="251"/>
        </w:trPr>
        <w:tc>
          <w:tcPr>
            <w:tcW w:w="8545" w:type="dxa"/>
            <w:tcBorders>
              <w:right w:val="single" w:sz="4" w:space="0" w:color="auto"/>
            </w:tcBorders>
          </w:tcPr>
          <w:p w14:paraId="4DA07BE0" w14:textId="77777777" w:rsidR="00247AE4" w:rsidRPr="00DB5136" w:rsidRDefault="00247AE4" w:rsidP="00512EC5">
            <w:pPr>
              <w:tabs>
                <w:tab w:val="left" w:pos="383"/>
              </w:tabs>
              <w:rPr>
                <w:sz w:val="20"/>
                <w:szCs w:val="20"/>
                <w:highlight w:val="yellow"/>
                <w:lang w:val="es-ES_tradnl"/>
              </w:rPr>
            </w:pPr>
            <w:bookmarkStart w:id="2" w:name="_Hlk183010580"/>
            <w:r w:rsidRPr="00DB5136">
              <w:rPr>
                <w:sz w:val="20"/>
                <w:szCs w:val="20"/>
                <w:lang w:val="es-ES_tradnl"/>
              </w:rPr>
              <w:t xml:space="preserve">Proyecto piloto para </w:t>
            </w:r>
            <w:r>
              <w:rPr>
                <w:sz w:val="20"/>
                <w:szCs w:val="20"/>
                <w:lang w:val="es-ES_tradnl"/>
              </w:rPr>
              <w:t>aumentar</w:t>
            </w:r>
            <w:r w:rsidRPr="00DB5136">
              <w:rPr>
                <w:sz w:val="20"/>
                <w:szCs w:val="20"/>
                <w:lang w:val="es-ES_tradnl"/>
              </w:rPr>
              <w:t xml:space="preserve"> la eficiencia energética de las tecnologías y equipos de sustitución en el marco de la reducción de los HFC (actividades </w:t>
            </w:r>
            <w:r>
              <w:rPr>
                <w:sz w:val="20"/>
                <w:szCs w:val="20"/>
                <w:lang w:val="es-ES_tradnl"/>
              </w:rPr>
              <w:t xml:space="preserve">sin </w:t>
            </w:r>
            <w:r w:rsidRPr="00DB5136">
              <w:rPr>
                <w:sz w:val="20"/>
                <w:szCs w:val="20"/>
                <w:lang w:val="es-ES_tradnl"/>
              </w:rPr>
              <w:t xml:space="preserve">inversión): demostración de la tecnología de </w:t>
            </w:r>
            <w:r>
              <w:rPr>
                <w:sz w:val="20"/>
                <w:szCs w:val="20"/>
                <w:lang w:val="es-ES_tradnl"/>
              </w:rPr>
              <w:t xml:space="preserve">climatización </w:t>
            </w:r>
            <w:r w:rsidRPr="00DB5136">
              <w:rPr>
                <w:sz w:val="20"/>
                <w:szCs w:val="20"/>
                <w:lang w:val="es-ES_tradnl"/>
              </w:rPr>
              <w:t>a base</w:t>
            </w:r>
            <w:r>
              <w:rPr>
                <w:sz w:val="20"/>
                <w:szCs w:val="20"/>
                <w:lang w:val="es-ES_tradnl"/>
              </w:rPr>
              <w:t xml:space="preserve"> del </w:t>
            </w:r>
            <w:r w:rsidRPr="00DB5136">
              <w:rPr>
                <w:sz w:val="20"/>
                <w:szCs w:val="20"/>
                <w:lang w:val="es-ES_tradnl"/>
              </w:rPr>
              <w:t xml:space="preserve">refrigerante R-290 y ventajas de </w:t>
            </w:r>
            <w:r w:rsidRPr="00B47993">
              <w:rPr>
                <w:sz w:val="20"/>
                <w:szCs w:val="20"/>
                <w:lang w:val="es-ES_tradnl"/>
              </w:rPr>
              <w:t>un</w:t>
            </w:r>
            <w:r>
              <w:rPr>
                <w:sz w:val="20"/>
                <w:szCs w:val="20"/>
                <w:lang w:val="es-ES_tradnl"/>
              </w:rPr>
              <w:t xml:space="preserve"> manejo</w:t>
            </w:r>
            <w:r w:rsidRPr="00DB5136">
              <w:rPr>
                <w:sz w:val="20"/>
                <w:szCs w:val="20"/>
                <w:lang w:val="es-ES_tradnl"/>
              </w:rPr>
              <w:t xml:space="preserve"> y gestión adecuad</w:t>
            </w:r>
            <w:r>
              <w:rPr>
                <w:sz w:val="20"/>
                <w:szCs w:val="20"/>
                <w:lang w:val="es-ES_tradnl"/>
              </w:rPr>
              <w:t>o</w:t>
            </w:r>
            <w:r w:rsidRPr="00DB5136">
              <w:rPr>
                <w:sz w:val="20"/>
                <w:szCs w:val="20"/>
                <w:lang w:val="es-ES_tradnl"/>
              </w:rPr>
              <w:t xml:space="preserve">s de los refrigerantes y de las prácticas de </w:t>
            </w:r>
            <w:r>
              <w:rPr>
                <w:sz w:val="20"/>
                <w:szCs w:val="20"/>
                <w:lang w:val="es-ES_tradnl"/>
              </w:rPr>
              <w:t>mantenimiento de refrigeración y climatización</w:t>
            </w:r>
            <w:r w:rsidRPr="00DB5136">
              <w:rPr>
                <w:sz w:val="20"/>
                <w:szCs w:val="20"/>
                <w:lang w:val="es-ES_tradnl"/>
              </w:rPr>
              <w:t>.</w:t>
            </w:r>
            <w:bookmarkEnd w:id="2"/>
          </w:p>
        </w:tc>
        <w:tc>
          <w:tcPr>
            <w:tcW w:w="1621" w:type="dxa"/>
            <w:tcBorders>
              <w:top w:val="single" w:sz="4" w:space="0" w:color="auto"/>
              <w:left w:val="single" w:sz="4" w:space="0" w:color="auto"/>
              <w:bottom w:val="single" w:sz="4" w:space="0" w:color="auto"/>
            </w:tcBorders>
          </w:tcPr>
          <w:p w14:paraId="20BD13B3" w14:textId="6ECDF06F" w:rsidR="00247AE4" w:rsidRPr="00DB5136" w:rsidRDefault="00DA6943" w:rsidP="00512EC5">
            <w:pPr>
              <w:jc w:val="right"/>
              <w:rPr>
                <w:sz w:val="20"/>
                <w:szCs w:val="20"/>
                <w:lang w:val="es-ES_tradnl"/>
              </w:rPr>
            </w:pPr>
            <w:r>
              <w:rPr>
                <w:sz w:val="20"/>
                <w:szCs w:val="20"/>
                <w:lang w:val="es-ES_tradnl"/>
              </w:rPr>
              <w:t>Reino Unido de Gran Bretaña e Irlanda del Norte</w:t>
            </w:r>
          </w:p>
        </w:tc>
      </w:tr>
    </w:tbl>
    <w:p w14:paraId="4EC3C092" w14:textId="77777777" w:rsidR="00247AE4" w:rsidRPr="00DB5136" w:rsidRDefault="00247AE4" w:rsidP="00247AE4">
      <w:pPr>
        <w:rPr>
          <w:sz w:val="20"/>
          <w:highlight w:val="yellow"/>
          <w:lang w:val="es-ES_tradnl"/>
        </w:rPr>
      </w:pPr>
    </w:p>
    <w:p w14:paraId="46BF7509" w14:textId="77777777" w:rsidR="00247AE4" w:rsidRPr="00DB5136" w:rsidRDefault="00247AE4" w:rsidP="00247AE4">
      <w:pPr>
        <w:ind w:hanging="426"/>
        <w:rPr>
          <w:sz w:val="20"/>
          <w:lang w:val="es-ES_tradnl"/>
        </w:rPr>
      </w:pPr>
      <w:r w:rsidRPr="00DB5136">
        <w:rPr>
          <w:b/>
          <w:caps/>
          <w:sz w:val="20"/>
          <w:lang w:val="es-ES_tradnl"/>
        </w:rPr>
        <w:t>OBJETIVO del proyecto</w:t>
      </w:r>
    </w:p>
    <w:tbl>
      <w:tblPr>
        <w:tblStyle w:val="TableGrid"/>
        <w:tblW w:w="10165" w:type="dxa"/>
        <w:jc w:val="center"/>
        <w:tblLook w:val="01E0" w:firstRow="1" w:lastRow="1" w:firstColumn="1" w:lastColumn="1" w:noHBand="0" w:noVBand="0"/>
      </w:tblPr>
      <w:tblGrid>
        <w:gridCol w:w="10165"/>
      </w:tblGrid>
      <w:tr w:rsidR="00247AE4" w:rsidRPr="00010CF0" w14:paraId="394EE110" w14:textId="77777777" w:rsidTr="00512EC5">
        <w:trPr>
          <w:trHeight w:val="1350"/>
          <w:jc w:val="center"/>
        </w:trPr>
        <w:tc>
          <w:tcPr>
            <w:tcW w:w="10165" w:type="dxa"/>
            <w:vAlign w:val="center"/>
          </w:tcPr>
          <w:p w14:paraId="39F9A580" w14:textId="77777777" w:rsidR="00247AE4" w:rsidRPr="00DB5136" w:rsidRDefault="00247AE4" w:rsidP="00512EC5">
            <w:pPr>
              <w:spacing w:after="120"/>
              <w:outlineLvl w:val="0"/>
              <w:rPr>
                <w:color w:val="000000" w:themeColor="text1"/>
                <w:sz w:val="20"/>
                <w:szCs w:val="20"/>
                <w:lang w:val="es-ES_tradnl"/>
              </w:rPr>
            </w:pPr>
            <w:r w:rsidRPr="00DB5136">
              <w:rPr>
                <w:sz w:val="20"/>
                <w:szCs w:val="20"/>
                <w:lang w:val="es-ES_tradnl"/>
              </w:rPr>
              <w:t xml:space="preserve">El proyecto piloto tiene como objetivo demostrar el </w:t>
            </w:r>
            <w:r>
              <w:rPr>
                <w:sz w:val="20"/>
                <w:szCs w:val="20"/>
                <w:lang w:val="es-ES_tradnl"/>
              </w:rPr>
              <w:t>desempeño</w:t>
            </w:r>
            <w:r w:rsidRPr="00DB5136">
              <w:rPr>
                <w:sz w:val="20"/>
                <w:szCs w:val="20"/>
                <w:lang w:val="es-ES_tradnl"/>
              </w:rPr>
              <w:t xml:space="preserve"> y la viabilidad de la </w:t>
            </w:r>
            <w:r>
              <w:rPr>
                <w:sz w:val="20"/>
                <w:szCs w:val="20"/>
                <w:lang w:val="es-ES_tradnl"/>
              </w:rPr>
              <w:t>tecnología de climatización</w:t>
            </w:r>
            <w:r w:rsidRPr="00DB5136">
              <w:rPr>
                <w:sz w:val="20"/>
                <w:szCs w:val="20"/>
                <w:lang w:val="es-ES_tradnl"/>
              </w:rPr>
              <w:t xml:space="preserve"> a base de R-290, altamente ecoenergética y de bajo </w:t>
            </w:r>
            <w:r>
              <w:rPr>
                <w:sz w:val="20"/>
                <w:szCs w:val="20"/>
                <w:lang w:val="es-ES_tradnl"/>
              </w:rPr>
              <w:t>potencial de calentamiento atmosférico</w:t>
            </w:r>
            <w:r w:rsidRPr="00DB5136">
              <w:rPr>
                <w:sz w:val="20"/>
                <w:szCs w:val="20"/>
                <w:lang w:val="es-ES_tradnl"/>
              </w:rPr>
              <w:t xml:space="preserve">, mediante la sustitución de 211 </w:t>
            </w:r>
            <w:r>
              <w:rPr>
                <w:sz w:val="20"/>
                <w:szCs w:val="20"/>
                <w:lang w:val="es-ES_tradnl"/>
              </w:rPr>
              <w:t>aparatos</w:t>
            </w:r>
            <w:r w:rsidRPr="00DB5136">
              <w:rPr>
                <w:sz w:val="20"/>
                <w:szCs w:val="20"/>
                <w:lang w:val="es-ES_tradnl"/>
              </w:rPr>
              <w:t xml:space="preserve"> en tres hospitales públicos de Togo, </w:t>
            </w:r>
            <w:r>
              <w:rPr>
                <w:sz w:val="20"/>
                <w:szCs w:val="20"/>
                <w:lang w:val="es-ES_tradnl"/>
              </w:rPr>
              <w:t>exponiendo las ventajas</w:t>
            </w:r>
            <w:r w:rsidRPr="00DB5136">
              <w:rPr>
                <w:sz w:val="20"/>
                <w:szCs w:val="20"/>
                <w:lang w:val="es-ES_tradnl"/>
              </w:rPr>
              <w:t xml:space="preserve"> de aplicar técnicas adecuadas de </w:t>
            </w:r>
            <w:r>
              <w:rPr>
                <w:sz w:val="20"/>
                <w:szCs w:val="20"/>
                <w:lang w:val="es-ES_tradnl"/>
              </w:rPr>
              <w:t>manejo</w:t>
            </w:r>
            <w:r w:rsidRPr="00DB5136">
              <w:rPr>
                <w:sz w:val="20"/>
                <w:szCs w:val="20"/>
                <w:lang w:val="es-ES_tradnl"/>
              </w:rPr>
              <w:t xml:space="preserve"> y </w:t>
            </w:r>
            <w:r>
              <w:rPr>
                <w:sz w:val="20"/>
                <w:szCs w:val="20"/>
                <w:lang w:val="es-ES_tradnl"/>
              </w:rPr>
              <w:t>gestión de refrigerantes</w:t>
            </w:r>
            <w:r w:rsidRPr="00DB5136">
              <w:rPr>
                <w:sz w:val="20"/>
                <w:szCs w:val="20"/>
                <w:lang w:val="es-ES_tradnl"/>
              </w:rPr>
              <w:t xml:space="preserve"> y prácticas de mantenimiento de refrigeración y climatización, en términos de ahorro de energía, emisiones y costos, para facilitar la aceptación en el mercado.</w:t>
            </w:r>
          </w:p>
        </w:tc>
      </w:tr>
    </w:tbl>
    <w:p w14:paraId="221CFA2E" w14:textId="77777777" w:rsidR="00247AE4" w:rsidRPr="00DB5136" w:rsidRDefault="00247AE4" w:rsidP="00247AE4">
      <w:pPr>
        <w:rPr>
          <w:sz w:val="20"/>
          <w:highlight w:val="yellow"/>
          <w:lang w:val="es-ES_tradnl"/>
        </w:rPr>
      </w:pPr>
    </w:p>
    <w:tbl>
      <w:tblPr>
        <w:tblStyle w:val="TableGrid"/>
        <w:tblW w:w="10165" w:type="dxa"/>
        <w:jc w:val="center"/>
        <w:tblLook w:val="01E0" w:firstRow="1" w:lastRow="1" w:firstColumn="1" w:lastColumn="1" w:noHBand="0" w:noVBand="0"/>
      </w:tblPr>
      <w:tblGrid>
        <w:gridCol w:w="4135"/>
        <w:gridCol w:w="6030"/>
      </w:tblGrid>
      <w:tr w:rsidR="00247AE4" w:rsidRPr="00DB5136" w14:paraId="4AEF4C2C" w14:textId="77777777" w:rsidTr="00512EC5">
        <w:trPr>
          <w:jc w:val="center"/>
        </w:trPr>
        <w:tc>
          <w:tcPr>
            <w:tcW w:w="4135" w:type="dxa"/>
          </w:tcPr>
          <w:p w14:paraId="4CB6889B" w14:textId="77777777" w:rsidR="00247AE4" w:rsidRPr="00DB5136" w:rsidRDefault="00247AE4" w:rsidP="00512EC5">
            <w:pPr>
              <w:rPr>
                <w:sz w:val="20"/>
                <w:szCs w:val="20"/>
                <w:lang w:val="es-ES_tradnl"/>
              </w:rPr>
            </w:pPr>
            <w:r w:rsidRPr="00DB5136">
              <w:rPr>
                <w:b/>
                <w:caps/>
                <w:sz w:val="20"/>
                <w:szCs w:val="20"/>
                <w:lang w:val="es-ES_tradnl"/>
              </w:rPr>
              <w:t>Organismo nacional de coordinación</w:t>
            </w:r>
          </w:p>
        </w:tc>
        <w:tc>
          <w:tcPr>
            <w:tcW w:w="6030" w:type="dxa"/>
          </w:tcPr>
          <w:p w14:paraId="11A3909B" w14:textId="77777777" w:rsidR="00247AE4" w:rsidRPr="00DB5136" w:rsidRDefault="00247AE4" w:rsidP="00512EC5">
            <w:pPr>
              <w:jc w:val="right"/>
              <w:rPr>
                <w:sz w:val="20"/>
                <w:szCs w:val="20"/>
                <w:lang w:val="es-ES_tradnl"/>
              </w:rPr>
            </w:pPr>
            <w:r>
              <w:rPr>
                <w:sz w:val="20"/>
                <w:szCs w:val="20"/>
                <w:lang w:val="es-ES_tradnl"/>
              </w:rPr>
              <w:t>Oficina Nacional del Ozono</w:t>
            </w:r>
            <w:r w:rsidRPr="00DB5136">
              <w:rPr>
                <w:sz w:val="20"/>
                <w:szCs w:val="20"/>
                <w:lang w:val="es-ES_tradnl"/>
              </w:rPr>
              <w:t>, Ministerio del Medio Ambiente y Recursos Forestales</w:t>
            </w:r>
          </w:p>
        </w:tc>
      </w:tr>
    </w:tbl>
    <w:p w14:paraId="594A00DC" w14:textId="77777777" w:rsidR="00247AE4" w:rsidRPr="00DB5136" w:rsidRDefault="00247AE4" w:rsidP="00247AE4">
      <w:pPr>
        <w:tabs>
          <w:tab w:val="left" w:pos="4248"/>
        </w:tabs>
        <w:ind w:left="113"/>
        <w:jc w:val="left"/>
        <w:rPr>
          <w:sz w:val="20"/>
          <w:szCs w:val="20"/>
          <w:lang w:val="es-ES_tradnl"/>
        </w:rPr>
      </w:pPr>
    </w:p>
    <w:tbl>
      <w:tblPr>
        <w:tblStyle w:val="TableGrid"/>
        <w:tblW w:w="10165" w:type="dxa"/>
        <w:jc w:val="center"/>
        <w:tblLook w:val="01E0" w:firstRow="1" w:lastRow="1" w:firstColumn="1" w:lastColumn="1" w:noHBand="0" w:noVBand="0"/>
      </w:tblPr>
      <w:tblGrid>
        <w:gridCol w:w="4135"/>
        <w:gridCol w:w="1247"/>
        <w:gridCol w:w="2533"/>
        <w:gridCol w:w="2250"/>
      </w:tblGrid>
      <w:tr w:rsidR="00247AE4" w:rsidRPr="00DB5136" w14:paraId="74607EAD" w14:textId="77777777" w:rsidTr="00512EC5">
        <w:trPr>
          <w:jc w:val="center"/>
        </w:trPr>
        <w:tc>
          <w:tcPr>
            <w:tcW w:w="4135" w:type="dxa"/>
          </w:tcPr>
          <w:p w14:paraId="070FDFB4" w14:textId="77777777" w:rsidR="00247AE4" w:rsidRPr="00DB5136" w:rsidRDefault="00247AE4" w:rsidP="00512EC5">
            <w:pPr>
              <w:rPr>
                <w:b/>
                <w:caps/>
                <w:sz w:val="20"/>
                <w:szCs w:val="20"/>
                <w:lang w:val="es-ES_tradnl"/>
              </w:rPr>
            </w:pPr>
            <w:r w:rsidRPr="00DB5136">
              <w:rPr>
                <w:b/>
                <w:sz w:val="20"/>
                <w:lang w:val="es-ES_tradnl"/>
              </w:rPr>
              <w:t>DATOS MÁS RECIENTES DEL ARTÍCULO 7 (Anexo F)</w:t>
            </w:r>
          </w:p>
        </w:tc>
        <w:tc>
          <w:tcPr>
            <w:tcW w:w="1247" w:type="dxa"/>
          </w:tcPr>
          <w:p w14:paraId="07059F76" w14:textId="77777777" w:rsidR="00247AE4" w:rsidRPr="00DB5136" w:rsidRDefault="00247AE4" w:rsidP="00512EC5">
            <w:pPr>
              <w:jc w:val="left"/>
              <w:rPr>
                <w:sz w:val="20"/>
                <w:szCs w:val="20"/>
                <w:lang w:val="es-ES_tradnl"/>
              </w:rPr>
            </w:pPr>
            <w:r w:rsidRPr="00DB5136">
              <w:rPr>
                <w:b/>
                <w:bCs/>
                <w:sz w:val="20"/>
                <w:szCs w:val="20"/>
                <w:lang w:val="es-ES_tradnl"/>
              </w:rPr>
              <w:t>Año:</w:t>
            </w:r>
            <w:r w:rsidRPr="00DB5136">
              <w:rPr>
                <w:color w:val="000000" w:themeColor="text1"/>
                <w:sz w:val="20"/>
                <w:szCs w:val="20"/>
                <w:lang w:val="es-ES_tradnl"/>
              </w:rPr>
              <w:t xml:space="preserve"> 2024</w:t>
            </w:r>
          </w:p>
        </w:tc>
        <w:tc>
          <w:tcPr>
            <w:tcW w:w="2533" w:type="dxa"/>
          </w:tcPr>
          <w:p w14:paraId="7DC325A4" w14:textId="77777777" w:rsidR="00247AE4" w:rsidRPr="00DB5136" w:rsidRDefault="00247AE4" w:rsidP="00512EC5">
            <w:pPr>
              <w:jc w:val="center"/>
              <w:rPr>
                <w:sz w:val="20"/>
                <w:szCs w:val="20"/>
                <w:lang w:val="es-ES_tradnl"/>
              </w:rPr>
            </w:pPr>
            <w:r w:rsidRPr="00DB5136">
              <w:rPr>
                <w:color w:val="000000" w:themeColor="text1"/>
                <w:sz w:val="20"/>
                <w:szCs w:val="20"/>
                <w:lang w:val="es-ES_tradnl" w:eastAsia="en-CA"/>
              </w:rPr>
              <w:t xml:space="preserve">584,13 </w:t>
            </w:r>
            <w:r w:rsidRPr="00DB5136">
              <w:rPr>
                <w:sz w:val="20"/>
                <w:szCs w:val="20"/>
                <w:lang w:val="es-ES_tradnl"/>
              </w:rPr>
              <w:t>toneladas métricas (tm)</w:t>
            </w:r>
          </w:p>
        </w:tc>
        <w:tc>
          <w:tcPr>
            <w:tcW w:w="2250" w:type="dxa"/>
          </w:tcPr>
          <w:p w14:paraId="4287F220" w14:textId="77777777" w:rsidR="00247AE4" w:rsidRPr="00DB5136" w:rsidRDefault="00247AE4" w:rsidP="00512EC5">
            <w:pPr>
              <w:jc w:val="left"/>
              <w:rPr>
                <w:sz w:val="20"/>
                <w:szCs w:val="20"/>
                <w:lang w:val="es-ES_tradnl"/>
              </w:rPr>
            </w:pPr>
            <w:r w:rsidRPr="00DB5136">
              <w:rPr>
                <w:color w:val="000000" w:themeColor="text1"/>
                <w:sz w:val="20"/>
                <w:szCs w:val="20"/>
                <w:lang w:val="es-ES_tradnl" w:eastAsia="en-CA"/>
              </w:rPr>
              <w:t>1</w:t>
            </w:r>
            <w:r>
              <w:rPr>
                <w:color w:val="000000" w:themeColor="text1"/>
                <w:sz w:val="20"/>
                <w:szCs w:val="20"/>
                <w:lang w:val="es-ES_tradnl" w:eastAsia="en-CA"/>
              </w:rPr>
              <w:t>.</w:t>
            </w:r>
            <w:r w:rsidRPr="00DB5136">
              <w:rPr>
                <w:color w:val="000000" w:themeColor="text1"/>
                <w:sz w:val="20"/>
                <w:szCs w:val="20"/>
                <w:lang w:val="es-ES_tradnl" w:eastAsia="en-CA"/>
              </w:rPr>
              <w:t>116</w:t>
            </w:r>
            <w:r>
              <w:rPr>
                <w:color w:val="000000" w:themeColor="text1"/>
                <w:sz w:val="20"/>
                <w:szCs w:val="20"/>
                <w:lang w:val="es-ES_tradnl" w:eastAsia="en-CA"/>
              </w:rPr>
              <w:t>.</w:t>
            </w:r>
            <w:r w:rsidRPr="00DB5136">
              <w:rPr>
                <w:color w:val="000000" w:themeColor="text1"/>
                <w:sz w:val="20"/>
                <w:szCs w:val="20"/>
                <w:lang w:val="es-ES_tradnl" w:eastAsia="en-CA"/>
              </w:rPr>
              <w:t xml:space="preserve">869 </w:t>
            </w:r>
            <w:r w:rsidRPr="00DB5136">
              <w:rPr>
                <w:sz w:val="20"/>
                <w:szCs w:val="20"/>
                <w:lang w:val="es-ES_tradnl"/>
              </w:rPr>
              <w:t>toneladas de CO</w:t>
            </w:r>
            <w:r w:rsidRPr="003F126B">
              <w:rPr>
                <w:sz w:val="20"/>
                <w:szCs w:val="20"/>
                <w:vertAlign w:val="subscript"/>
                <w:lang w:val="es-ES_tradnl"/>
              </w:rPr>
              <w:t>2</w:t>
            </w:r>
            <w:r w:rsidRPr="00DB5136">
              <w:rPr>
                <w:sz w:val="20"/>
                <w:szCs w:val="20"/>
                <w:lang w:val="es-ES_tradnl"/>
              </w:rPr>
              <w:t xml:space="preserve"> equivalente</w:t>
            </w:r>
          </w:p>
        </w:tc>
      </w:tr>
    </w:tbl>
    <w:p w14:paraId="34E8B6DF" w14:textId="77777777" w:rsidR="00247AE4" w:rsidRPr="00DB5136" w:rsidRDefault="00247AE4" w:rsidP="00247AE4">
      <w:pPr>
        <w:jc w:val="center"/>
        <w:rPr>
          <w:sz w:val="10"/>
          <w:szCs w:val="10"/>
          <w:highlight w:val="yellow"/>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247AE4" w:rsidRPr="00DB5136" w14:paraId="5F12B0FA" w14:textId="77777777" w:rsidTr="00512EC5">
        <w:trPr>
          <w:trHeight w:val="250"/>
          <w:jc w:val="center"/>
        </w:trPr>
        <w:tc>
          <w:tcPr>
            <w:tcW w:w="7285" w:type="dxa"/>
            <w:tcBorders>
              <w:top w:val="single" w:sz="4" w:space="0" w:color="auto"/>
              <w:left w:val="single" w:sz="4" w:space="0" w:color="auto"/>
              <w:right w:val="single" w:sz="4" w:space="0" w:color="auto"/>
            </w:tcBorders>
          </w:tcPr>
          <w:p w14:paraId="5EBC64F2"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Pr>
                <w:b/>
                <w:sz w:val="20"/>
                <w:lang w:val="es-ES_tradnl"/>
              </w:rPr>
              <w:t xml:space="preserve">Datos del proyecto </w:t>
            </w:r>
          </w:p>
        </w:tc>
        <w:tc>
          <w:tcPr>
            <w:tcW w:w="2880" w:type="dxa"/>
            <w:tcBorders>
              <w:top w:val="single" w:sz="4" w:space="0" w:color="auto"/>
              <w:left w:val="single" w:sz="4" w:space="0" w:color="auto"/>
              <w:bottom w:val="single" w:sz="4" w:space="0" w:color="auto"/>
              <w:right w:val="single" w:sz="4" w:space="0" w:color="auto"/>
            </w:tcBorders>
          </w:tcPr>
          <w:p w14:paraId="7C79933E"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sidRPr="00DB5136">
              <w:rPr>
                <w:sz w:val="20"/>
                <w:lang w:val="es-ES_tradnl"/>
              </w:rPr>
              <w:t>Actividades sin inversión</w:t>
            </w:r>
          </w:p>
        </w:tc>
      </w:tr>
      <w:tr w:rsidR="00247AE4" w:rsidRPr="00DB5136" w14:paraId="4DFD4C18" w14:textId="77777777" w:rsidTr="00512EC5">
        <w:trPr>
          <w:trHeight w:val="250"/>
          <w:jc w:val="center"/>
        </w:trPr>
        <w:tc>
          <w:tcPr>
            <w:tcW w:w="7285" w:type="dxa"/>
            <w:vMerge w:val="restart"/>
            <w:tcBorders>
              <w:top w:val="single" w:sz="4" w:space="0" w:color="auto"/>
              <w:left w:val="single" w:sz="4" w:space="0" w:color="auto"/>
              <w:right w:val="single" w:sz="4" w:space="0" w:color="auto"/>
            </w:tcBorders>
            <w:vAlign w:val="center"/>
          </w:tcPr>
          <w:p w14:paraId="6B1C3F9C"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sidRPr="00DB5136">
              <w:rPr>
                <w:bCs/>
                <w:sz w:val="20"/>
                <w:lang w:val="es-ES_tradnl"/>
              </w:rPr>
              <w:t xml:space="preserve">HFC utilizados por el sector de servicio técnico (datos del </w:t>
            </w:r>
            <w:r>
              <w:rPr>
                <w:bCs/>
                <w:sz w:val="20"/>
                <w:lang w:val="es-ES_tradnl"/>
              </w:rPr>
              <w:t>programa de país</w:t>
            </w:r>
            <w:r w:rsidRPr="00DB5136">
              <w:rPr>
                <w:bCs/>
                <w:sz w:val="20"/>
                <w:lang w:val="es-ES_tradnl"/>
              </w:rPr>
              <w:t xml:space="preserve"> de 2024)</w:t>
            </w:r>
          </w:p>
        </w:tc>
        <w:tc>
          <w:tcPr>
            <w:tcW w:w="2880" w:type="dxa"/>
            <w:tcBorders>
              <w:top w:val="single" w:sz="4" w:space="0" w:color="auto"/>
              <w:left w:val="single" w:sz="4" w:space="0" w:color="auto"/>
              <w:bottom w:val="single" w:sz="4" w:space="0" w:color="auto"/>
              <w:right w:val="single" w:sz="4" w:space="0" w:color="auto"/>
            </w:tcBorders>
          </w:tcPr>
          <w:p w14:paraId="35C126E1"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DB5136">
              <w:rPr>
                <w:color w:val="000000" w:themeColor="text1"/>
                <w:sz w:val="20"/>
                <w:szCs w:val="20"/>
                <w:lang w:val="es-ES_tradnl" w:eastAsia="en-CA"/>
              </w:rPr>
              <w:t xml:space="preserve">584,13 </w:t>
            </w:r>
            <w:r w:rsidRPr="00DB5136">
              <w:rPr>
                <w:sz w:val="20"/>
                <w:lang w:val="es-ES_tradnl"/>
              </w:rPr>
              <w:t xml:space="preserve">tm </w:t>
            </w:r>
          </w:p>
        </w:tc>
      </w:tr>
      <w:tr w:rsidR="00247AE4" w:rsidRPr="00DB5136" w14:paraId="2C4644C6" w14:textId="77777777" w:rsidTr="00512EC5">
        <w:trPr>
          <w:trHeight w:val="250"/>
          <w:jc w:val="center"/>
        </w:trPr>
        <w:tc>
          <w:tcPr>
            <w:tcW w:w="7285" w:type="dxa"/>
            <w:vMerge/>
            <w:tcBorders>
              <w:left w:val="single" w:sz="4" w:space="0" w:color="auto"/>
              <w:right w:val="single" w:sz="4" w:space="0" w:color="auto"/>
            </w:tcBorders>
          </w:tcPr>
          <w:p w14:paraId="095D2411"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p>
        </w:tc>
        <w:tc>
          <w:tcPr>
            <w:tcW w:w="2880" w:type="dxa"/>
            <w:tcBorders>
              <w:top w:val="single" w:sz="4" w:space="0" w:color="auto"/>
              <w:left w:val="single" w:sz="4" w:space="0" w:color="auto"/>
              <w:bottom w:val="single" w:sz="4" w:space="0" w:color="auto"/>
              <w:right w:val="single" w:sz="4" w:space="0" w:color="auto"/>
            </w:tcBorders>
          </w:tcPr>
          <w:p w14:paraId="553D5081"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DB5136">
              <w:rPr>
                <w:color w:val="000000" w:themeColor="text1"/>
                <w:sz w:val="20"/>
                <w:szCs w:val="20"/>
                <w:lang w:val="es-ES_tradnl" w:eastAsia="en-CA"/>
              </w:rPr>
              <w:t>1</w:t>
            </w:r>
            <w:r>
              <w:rPr>
                <w:color w:val="000000" w:themeColor="text1"/>
                <w:sz w:val="20"/>
                <w:szCs w:val="20"/>
                <w:lang w:val="es-ES_tradnl" w:eastAsia="en-CA"/>
              </w:rPr>
              <w:t>.</w:t>
            </w:r>
            <w:r w:rsidRPr="00DB5136">
              <w:rPr>
                <w:color w:val="000000" w:themeColor="text1"/>
                <w:sz w:val="20"/>
                <w:szCs w:val="20"/>
                <w:lang w:val="es-ES_tradnl" w:eastAsia="en-CA"/>
              </w:rPr>
              <w:t>116</w:t>
            </w:r>
            <w:r>
              <w:rPr>
                <w:color w:val="000000" w:themeColor="text1"/>
                <w:sz w:val="20"/>
                <w:szCs w:val="20"/>
                <w:lang w:val="es-ES_tradnl" w:eastAsia="en-CA"/>
              </w:rPr>
              <w:t>.</w:t>
            </w:r>
            <w:r w:rsidRPr="00DB5136">
              <w:rPr>
                <w:color w:val="000000" w:themeColor="text1"/>
                <w:sz w:val="20"/>
                <w:szCs w:val="20"/>
                <w:lang w:val="es-ES_tradnl" w:eastAsia="en-CA"/>
              </w:rPr>
              <w:t xml:space="preserve">869 </w:t>
            </w:r>
            <w:r w:rsidRPr="00DB5136">
              <w:rPr>
                <w:sz w:val="20"/>
                <w:lang w:val="es-ES_tradnl"/>
              </w:rPr>
              <w:t xml:space="preserve">toneladas de </w:t>
            </w:r>
            <w:r w:rsidRPr="00DB5136">
              <w:rPr>
                <w:sz w:val="20"/>
                <w:szCs w:val="20"/>
                <w:lang w:val="es-ES_tradnl"/>
              </w:rPr>
              <w:t>CO</w:t>
            </w:r>
            <w:r w:rsidRPr="003F126B">
              <w:rPr>
                <w:sz w:val="20"/>
                <w:szCs w:val="20"/>
                <w:vertAlign w:val="subscript"/>
                <w:lang w:val="es-ES_tradnl"/>
              </w:rPr>
              <w:t>2</w:t>
            </w:r>
            <w:r w:rsidRPr="00DB5136">
              <w:rPr>
                <w:sz w:val="20"/>
                <w:szCs w:val="20"/>
                <w:lang w:val="es-ES_tradnl"/>
              </w:rPr>
              <w:t xml:space="preserve"> </w:t>
            </w:r>
            <w:r w:rsidRPr="00DB5136">
              <w:rPr>
                <w:sz w:val="20"/>
                <w:lang w:val="es-ES_tradnl"/>
              </w:rPr>
              <w:t>equivalente</w:t>
            </w:r>
          </w:p>
        </w:tc>
      </w:tr>
      <w:tr w:rsidR="00247AE4" w:rsidRPr="00DB5136" w14:paraId="3E0A758A" w14:textId="77777777" w:rsidTr="00512EC5">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1EC92697"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Duración del proyecto (meses):</w:t>
            </w:r>
          </w:p>
        </w:tc>
        <w:tc>
          <w:tcPr>
            <w:tcW w:w="2880" w:type="dxa"/>
            <w:tcBorders>
              <w:top w:val="single" w:sz="4" w:space="0" w:color="auto"/>
              <w:left w:val="single" w:sz="4" w:space="0" w:color="auto"/>
              <w:bottom w:val="single" w:sz="4" w:space="0" w:color="auto"/>
              <w:right w:val="single" w:sz="4" w:space="0" w:color="auto"/>
            </w:tcBorders>
          </w:tcPr>
          <w:p w14:paraId="25DA2D59" w14:textId="77777777" w:rsidR="00247AE4" w:rsidRPr="00DB5136" w:rsidRDefault="00247AE4" w:rsidP="00512EC5">
            <w:pPr>
              <w:jc w:val="right"/>
              <w:rPr>
                <w:sz w:val="20"/>
                <w:szCs w:val="20"/>
                <w:lang w:val="es-ES_tradnl"/>
              </w:rPr>
            </w:pPr>
            <w:r w:rsidRPr="00DB5136">
              <w:rPr>
                <w:sz w:val="20"/>
                <w:szCs w:val="20"/>
                <w:lang w:val="es-ES_tradnl"/>
              </w:rPr>
              <w:t>30</w:t>
            </w:r>
          </w:p>
        </w:tc>
      </w:tr>
      <w:tr w:rsidR="00247AE4" w:rsidRPr="00DB5136" w14:paraId="06B63457" w14:textId="77777777" w:rsidTr="00512EC5">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24C108A"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Pr>
                <w:sz w:val="20"/>
                <w:lang w:val="es-ES_tradnl"/>
              </w:rPr>
              <w:t xml:space="preserve">Monto </w:t>
            </w:r>
            <w:r w:rsidRPr="00DB5136">
              <w:rPr>
                <w:sz w:val="20"/>
                <w:lang w:val="es-ES_tradnl"/>
              </w:rPr>
              <w:t>inicial solicitado (USD):</w:t>
            </w:r>
          </w:p>
        </w:tc>
        <w:tc>
          <w:tcPr>
            <w:tcW w:w="2880" w:type="dxa"/>
            <w:tcBorders>
              <w:top w:val="single" w:sz="4" w:space="0" w:color="auto"/>
              <w:left w:val="single" w:sz="4" w:space="0" w:color="auto"/>
              <w:bottom w:val="single" w:sz="4" w:space="0" w:color="auto"/>
              <w:right w:val="single" w:sz="4" w:space="0" w:color="auto"/>
            </w:tcBorders>
          </w:tcPr>
          <w:p w14:paraId="2B235D12"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B5136">
              <w:rPr>
                <w:sz w:val="20"/>
                <w:szCs w:val="20"/>
                <w:lang w:val="es-ES_tradnl"/>
              </w:rPr>
              <w:t>360</w:t>
            </w:r>
            <w:r>
              <w:rPr>
                <w:sz w:val="20"/>
                <w:szCs w:val="20"/>
                <w:lang w:val="es-ES_tradnl"/>
              </w:rPr>
              <w:t>.</w:t>
            </w:r>
            <w:r w:rsidRPr="00DB5136">
              <w:rPr>
                <w:sz w:val="20"/>
                <w:szCs w:val="20"/>
                <w:lang w:val="es-ES_tradnl"/>
              </w:rPr>
              <w:t xml:space="preserve">160 </w:t>
            </w:r>
          </w:p>
        </w:tc>
      </w:tr>
      <w:tr w:rsidR="00247AE4" w:rsidRPr="00DB5136" w14:paraId="26ED8514" w14:textId="77777777" w:rsidTr="00512EC5">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170294F2"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s-ES_tradnl"/>
              </w:rPr>
            </w:pPr>
            <w:r w:rsidRPr="00DB5136">
              <w:rPr>
                <w:sz w:val="20"/>
                <w:lang w:val="es-ES_tradnl"/>
              </w:rPr>
              <w:t>Costos finales del proyecto (USD):</w:t>
            </w:r>
          </w:p>
        </w:tc>
        <w:tc>
          <w:tcPr>
            <w:tcW w:w="2880" w:type="dxa"/>
            <w:tcBorders>
              <w:top w:val="single" w:sz="4" w:space="0" w:color="auto"/>
              <w:left w:val="single" w:sz="4" w:space="0" w:color="auto"/>
              <w:bottom w:val="single" w:sz="4" w:space="0" w:color="auto"/>
              <w:right w:val="single" w:sz="4" w:space="0" w:color="auto"/>
            </w:tcBorders>
          </w:tcPr>
          <w:p w14:paraId="5918C940" w14:textId="77777777" w:rsidR="00247AE4" w:rsidRPr="00DB5136" w:rsidRDefault="00247AE4" w:rsidP="00512EC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highlight w:val="yellow"/>
                <w:lang w:val="es-ES_tradnl"/>
              </w:rPr>
            </w:pPr>
            <w:r w:rsidRPr="00DB5136">
              <w:rPr>
                <w:sz w:val="20"/>
                <w:szCs w:val="20"/>
                <w:lang w:val="es-ES_tradnl"/>
              </w:rPr>
              <w:t>321</w:t>
            </w:r>
            <w:r>
              <w:rPr>
                <w:sz w:val="20"/>
                <w:szCs w:val="20"/>
                <w:lang w:val="es-ES_tradnl"/>
              </w:rPr>
              <w:t>.</w:t>
            </w:r>
            <w:r w:rsidRPr="00DB5136">
              <w:rPr>
                <w:sz w:val="20"/>
                <w:szCs w:val="20"/>
                <w:lang w:val="es-ES_tradnl"/>
              </w:rPr>
              <w:t xml:space="preserve">300 </w:t>
            </w:r>
          </w:p>
        </w:tc>
      </w:tr>
      <w:tr w:rsidR="00247AE4" w:rsidRPr="00DB5136" w14:paraId="19A62A9B" w14:textId="77777777" w:rsidTr="00512EC5">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117082B"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Subvención solicitada (USD):</w:t>
            </w:r>
          </w:p>
        </w:tc>
        <w:tc>
          <w:tcPr>
            <w:tcW w:w="2880" w:type="dxa"/>
            <w:tcBorders>
              <w:top w:val="single" w:sz="4" w:space="0" w:color="auto"/>
              <w:left w:val="single" w:sz="4" w:space="0" w:color="auto"/>
              <w:bottom w:val="single" w:sz="4" w:space="0" w:color="auto"/>
              <w:right w:val="single" w:sz="4" w:space="0" w:color="auto"/>
            </w:tcBorders>
          </w:tcPr>
          <w:p w14:paraId="6BA0FA10"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B5136">
              <w:rPr>
                <w:sz w:val="20"/>
                <w:szCs w:val="20"/>
                <w:lang w:val="es-ES_tradnl"/>
              </w:rPr>
              <w:t>321</w:t>
            </w:r>
            <w:r>
              <w:rPr>
                <w:sz w:val="20"/>
                <w:szCs w:val="20"/>
                <w:lang w:val="es-ES_tradnl"/>
              </w:rPr>
              <w:t>.</w:t>
            </w:r>
            <w:r w:rsidRPr="00DB5136">
              <w:rPr>
                <w:sz w:val="20"/>
                <w:szCs w:val="20"/>
                <w:lang w:val="es-ES_tradnl"/>
              </w:rPr>
              <w:t xml:space="preserve">300 </w:t>
            </w:r>
          </w:p>
        </w:tc>
      </w:tr>
      <w:tr w:rsidR="00247AE4" w:rsidRPr="00DB5136" w14:paraId="157B128C" w14:textId="77777777" w:rsidTr="00512EC5">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6BD45D1"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 xml:space="preserve">Gastos de apoyo </w:t>
            </w:r>
            <w:r>
              <w:rPr>
                <w:sz w:val="20"/>
                <w:lang w:val="es-ES_tradnl"/>
              </w:rPr>
              <w:t xml:space="preserve">del </w:t>
            </w:r>
            <w:r w:rsidRPr="00DB5136">
              <w:rPr>
                <w:sz w:val="20"/>
                <w:lang w:val="es-ES_tradnl"/>
              </w:rPr>
              <w:t>organismo de ejecución (USD):</w:t>
            </w:r>
          </w:p>
        </w:tc>
        <w:tc>
          <w:tcPr>
            <w:tcW w:w="2880" w:type="dxa"/>
            <w:tcBorders>
              <w:top w:val="single" w:sz="4" w:space="0" w:color="auto"/>
              <w:left w:val="single" w:sz="4" w:space="0" w:color="auto"/>
              <w:bottom w:val="single" w:sz="4" w:space="0" w:color="auto"/>
              <w:right w:val="single" w:sz="4" w:space="0" w:color="auto"/>
            </w:tcBorders>
          </w:tcPr>
          <w:p w14:paraId="762C1DAB"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B5136">
              <w:rPr>
                <w:sz w:val="20"/>
                <w:szCs w:val="20"/>
                <w:lang w:val="es-ES_tradnl"/>
              </w:rPr>
              <w:t>41</w:t>
            </w:r>
            <w:r>
              <w:rPr>
                <w:sz w:val="20"/>
                <w:szCs w:val="20"/>
                <w:lang w:val="es-ES_tradnl"/>
              </w:rPr>
              <w:t>.</w:t>
            </w:r>
            <w:r w:rsidRPr="00DB5136">
              <w:rPr>
                <w:sz w:val="20"/>
                <w:szCs w:val="20"/>
                <w:lang w:val="es-ES_tradnl"/>
              </w:rPr>
              <w:t>769</w:t>
            </w:r>
          </w:p>
        </w:tc>
      </w:tr>
      <w:tr w:rsidR="00247AE4" w:rsidRPr="00DB5136" w14:paraId="70EE0E78" w14:textId="77777777" w:rsidTr="00512EC5">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D834E37"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Costo total del proyecto para el Fondo Multilateral (USD):</w:t>
            </w:r>
          </w:p>
        </w:tc>
        <w:tc>
          <w:tcPr>
            <w:tcW w:w="2880" w:type="dxa"/>
            <w:tcBorders>
              <w:top w:val="single" w:sz="4" w:space="0" w:color="auto"/>
              <w:left w:val="single" w:sz="4" w:space="0" w:color="auto"/>
              <w:bottom w:val="single" w:sz="4" w:space="0" w:color="auto"/>
              <w:right w:val="single" w:sz="4" w:space="0" w:color="auto"/>
            </w:tcBorders>
          </w:tcPr>
          <w:p w14:paraId="215C6727"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B5136">
              <w:rPr>
                <w:sz w:val="20"/>
                <w:szCs w:val="20"/>
                <w:lang w:val="es-ES_tradnl"/>
              </w:rPr>
              <w:t>363.069</w:t>
            </w:r>
          </w:p>
        </w:tc>
      </w:tr>
      <w:tr w:rsidR="00247AE4" w:rsidRPr="00DB5136" w14:paraId="124E9561" w14:textId="77777777" w:rsidTr="00512EC5">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77AE007C" w14:textId="77777777" w:rsidR="00247AE4" w:rsidRPr="00DB5136" w:rsidRDefault="00247AE4" w:rsidP="00512EC5">
            <w:pPr>
              <w:rPr>
                <w:sz w:val="20"/>
                <w:szCs w:val="20"/>
                <w:lang w:val="es-ES_tradnl"/>
              </w:rPr>
            </w:pPr>
            <w:r w:rsidRPr="00DB5136">
              <w:rPr>
                <w:sz w:val="20"/>
                <w:szCs w:val="20"/>
                <w:lang w:val="es-ES_tradnl"/>
              </w:rPr>
              <w:t>Cofinanciamiento (</w:t>
            </w:r>
            <w:r>
              <w:rPr>
                <w:sz w:val="20"/>
                <w:szCs w:val="20"/>
                <w:lang w:val="es-ES_tradnl"/>
              </w:rPr>
              <w:t>USD</w:t>
            </w:r>
            <w:r w:rsidRPr="00DB513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69558EA7" w14:textId="74286222" w:rsidR="00247AE4" w:rsidRPr="003347EA" w:rsidRDefault="003347EA" w:rsidP="00512EC5">
            <w:pPr>
              <w:jc w:val="right"/>
              <w:rPr>
                <w:sz w:val="20"/>
                <w:szCs w:val="20"/>
                <w:highlight w:val="yellow"/>
                <w:lang w:val="en-US"/>
              </w:rPr>
            </w:pPr>
            <w:r w:rsidRPr="003347EA">
              <w:rPr>
                <w:sz w:val="20"/>
                <w:szCs w:val="20"/>
                <w:lang w:val="en-US"/>
              </w:rPr>
              <w:t>n.a.</w:t>
            </w:r>
          </w:p>
        </w:tc>
      </w:tr>
      <w:tr w:rsidR="00247AE4" w:rsidRPr="00DB5136" w14:paraId="12422FC2" w14:textId="77777777" w:rsidTr="00512EC5">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6BC5759D"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 xml:space="preserve">Ahorro </w:t>
            </w:r>
            <w:r>
              <w:rPr>
                <w:sz w:val="20"/>
                <w:lang w:val="es-ES_tradnl"/>
              </w:rPr>
              <w:t>por</w:t>
            </w:r>
            <w:r w:rsidRPr="00DB5136">
              <w:rPr>
                <w:sz w:val="20"/>
                <w:lang w:val="es-ES_tradnl"/>
              </w:rPr>
              <w:t xml:space="preserve"> eficiencia energética (kWh/año):</w:t>
            </w:r>
          </w:p>
        </w:tc>
        <w:tc>
          <w:tcPr>
            <w:tcW w:w="2880" w:type="dxa"/>
            <w:tcBorders>
              <w:top w:val="single" w:sz="4" w:space="0" w:color="auto"/>
              <w:left w:val="single" w:sz="4" w:space="0" w:color="auto"/>
              <w:bottom w:val="single" w:sz="4" w:space="0" w:color="auto"/>
              <w:right w:val="single" w:sz="4" w:space="0" w:color="auto"/>
            </w:tcBorders>
          </w:tcPr>
          <w:p w14:paraId="113DFDE7" w14:textId="37979564"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B5136">
              <w:rPr>
                <w:sz w:val="20"/>
                <w:szCs w:val="20"/>
                <w:lang w:val="es-ES_tradnl"/>
              </w:rPr>
              <w:t>390</w:t>
            </w:r>
            <w:r w:rsidR="00711A37">
              <w:rPr>
                <w:sz w:val="20"/>
                <w:szCs w:val="20"/>
                <w:lang w:val="es-ES_tradnl"/>
              </w:rPr>
              <w:t>.</w:t>
            </w:r>
            <w:r w:rsidRPr="00DB5136">
              <w:rPr>
                <w:sz w:val="20"/>
                <w:szCs w:val="20"/>
                <w:lang w:val="es-ES_tradnl"/>
              </w:rPr>
              <w:t>100</w:t>
            </w:r>
          </w:p>
        </w:tc>
      </w:tr>
      <w:tr w:rsidR="00247AE4" w:rsidRPr="00DB5136" w14:paraId="7801CAC7" w14:textId="77777777" w:rsidTr="00512EC5">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02ED8BB"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 xml:space="preserve">Estado del </w:t>
            </w:r>
            <w:r>
              <w:rPr>
                <w:sz w:val="20"/>
                <w:lang w:val="es-ES_tradnl"/>
              </w:rPr>
              <w:t xml:space="preserve">financiamiento de la contraparte </w:t>
            </w:r>
            <w:r w:rsidRPr="00DB5136">
              <w:rPr>
                <w:sz w:val="20"/>
                <w:lang w:val="es-ES_tradnl"/>
              </w:rPr>
              <w:t>(S/N):</w:t>
            </w:r>
          </w:p>
        </w:tc>
        <w:tc>
          <w:tcPr>
            <w:tcW w:w="2880" w:type="dxa"/>
            <w:tcBorders>
              <w:top w:val="single" w:sz="4" w:space="0" w:color="auto"/>
              <w:left w:val="single" w:sz="4" w:space="0" w:color="auto"/>
              <w:bottom w:val="single" w:sz="4" w:space="0" w:color="auto"/>
              <w:right w:val="single" w:sz="4" w:space="0" w:color="auto"/>
            </w:tcBorders>
          </w:tcPr>
          <w:p w14:paraId="703D3AB3"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B5136">
              <w:rPr>
                <w:sz w:val="20"/>
                <w:szCs w:val="20"/>
                <w:lang w:val="es-ES_tradnl"/>
              </w:rPr>
              <w:t>N</w:t>
            </w:r>
          </w:p>
        </w:tc>
      </w:tr>
      <w:tr w:rsidR="00247AE4" w:rsidRPr="00DB5136" w14:paraId="2D42E9E8" w14:textId="77777777" w:rsidTr="00512EC5">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7CD27E7"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Hitos de supervisión del proyecto incluidos (S/N):</w:t>
            </w:r>
          </w:p>
        </w:tc>
        <w:tc>
          <w:tcPr>
            <w:tcW w:w="2880" w:type="dxa"/>
            <w:tcBorders>
              <w:top w:val="single" w:sz="4" w:space="0" w:color="auto"/>
              <w:left w:val="single" w:sz="4" w:space="0" w:color="auto"/>
              <w:bottom w:val="single" w:sz="4" w:space="0" w:color="auto"/>
              <w:right w:val="single" w:sz="4" w:space="0" w:color="auto"/>
            </w:tcBorders>
          </w:tcPr>
          <w:p w14:paraId="1480D39D"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B5136">
              <w:rPr>
                <w:sz w:val="20"/>
                <w:szCs w:val="20"/>
                <w:lang w:val="es-ES_tradnl"/>
              </w:rPr>
              <w:t>S</w:t>
            </w:r>
          </w:p>
        </w:tc>
      </w:tr>
      <w:tr w:rsidR="00247AE4" w:rsidRPr="00DB5136" w14:paraId="6D0611F1" w14:textId="77777777" w:rsidTr="00512EC5">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B1421C6"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B5136">
              <w:rPr>
                <w:sz w:val="20"/>
                <w:lang w:val="es-ES_tradnl"/>
              </w:rPr>
              <w:t>N</w:t>
            </w:r>
            <w:r>
              <w:rPr>
                <w:sz w:val="20"/>
                <w:lang w:val="es-ES_tradnl"/>
              </w:rPr>
              <w:t>ormas mínimas de eficiencia energética</w:t>
            </w:r>
            <w:r w:rsidRPr="00DB5136">
              <w:rPr>
                <w:sz w:val="20"/>
                <w:lang w:val="es-ES_tradnl"/>
              </w:rPr>
              <w:t xml:space="preserve"> </w:t>
            </w:r>
            <w:r>
              <w:rPr>
                <w:sz w:val="20"/>
                <w:lang w:val="es-ES_tradnl"/>
              </w:rPr>
              <w:t>disponible</w:t>
            </w:r>
            <w:r w:rsidRPr="00DB5136">
              <w:rPr>
                <w:sz w:val="20"/>
                <w:lang w:val="es-ES_tradnl"/>
              </w:rPr>
              <w:t>s para el sector pertinente (S/N):</w:t>
            </w:r>
          </w:p>
        </w:tc>
        <w:tc>
          <w:tcPr>
            <w:tcW w:w="2880" w:type="dxa"/>
            <w:tcBorders>
              <w:top w:val="single" w:sz="4" w:space="0" w:color="auto"/>
              <w:left w:val="single" w:sz="4" w:space="0" w:color="auto"/>
              <w:bottom w:val="single" w:sz="4" w:space="0" w:color="auto"/>
              <w:right w:val="single" w:sz="4" w:space="0" w:color="auto"/>
            </w:tcBorders>
          </w:tcPr>
          <w:p w14:paraId="4E60A77C" w14:textId="77777777" w:rsidR="00247AE4" w:rsidRPr="00DB5136" w:rsidRDefault="00247AE4" w:rsidP="00512EC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B5136">
              <w:rPr>
                <w:sz w:val="20"/>
                <w:szCs w:val="20"/>
                <w:lang w:val="es-ES_tradnl"/>
              </w:rPr>
              <w:t>S</w:t>
            </w:r>
          </w:p>
        </w:tc>
      </w:tr>
    </w:tbl>
    <w:p w14:paraId="1CEB38D9" w14:textId="77777777" w:rsidR="00247AE4" w:rsidRPr="00DB5136" w:rsidRDefault="00247AE4" w:rsidP="00247AE4">
      <w:pPr>
        <w:rPr>
          <w:highlight w:val="yellow"/>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47AE4" w:rsidRPr="00DB5136" w14:paraId="4E0098E8" w14:textId="77777777" w:rsidTr="00512EC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06F09EB3"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s-ES_tradnl"/>
              </w:rPr>
            </w:pPr>
            <w:r>
              <w:rPr>
                <w:b/>
                <w:sz w:val="20"/>
                <w:lang w:val="es-ES_tradnl"/>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5804DF8A" w14:textId="77777777" w:rsidR="00247AE4" w:rsidRPr="00DB5136" w:rsidRDefault="00247AE4" w:rsidP="00512E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s-ES_tradnl"/>
              </w:rPr>
            </w:pPr>
            <w:r w:rsidRPr="00DB5136">
              <w:rPr>
                <w:sz w:val="20"/>
                <w:lang w:val="es-ES_tradnl"/>
              </w:rPr>
              <w:t xml:space="preserve">Para consideración individual </w:t>
            </w:r>
          </w:p>
        </w:tc>
      </w:tr>
    </w:tbl>
    <w:p w14:paraId="07F6EC14" w14:textId="77777777" w:rsidR="00247AE4" w:rsidRPr="00DB5136" w:rsidRDefault="00247AE4" w:rsidP="00247AE4">
      <w:pPr>
        <w:rPr>
          <w:highlight w:val="yellow"/>
          <w:lang w:val="es-ES_tradnl"/>
        </w:rPr>
      </w:pPr>
    </w:p>
    <w:p w14:paraId="26CB6F0B" w14:textId="77777777" w:rsidR="00247AE4" w:rsidRPr="00DB5136" w:rsidRDefault="00247AE4" w:rsidP="00247AE4">
      <w:pPr>
        <w:jc w:val="left"/>
        <w:rPr>
          <w:b/>
          <w:highlight w:val="yellow"/>
          <w:lang w:val="es-ES_tradnl"/>
        </w:rPr>
      </w:pPr>
      <w:r w:rsidRPr="00DB5136">
        <w:rPr>
          <w:b/>
          <w:highlight w:val="yellow"/>
          <w:lang w:val="es-ES_tradnl"/>
        </w:rPr>
        <w:br w:type="page"/>
      </w:r>
    </w:p>
    <w:p w14:paraId="656FC02D" w14:textId="77777777" w:rsidR="00247AE4" w:rsidRPr="00DB5136" w:rsidRDefault="00247AE4" w:rsidP="00247AE4">
      <w:pPr>
        <w:tabs>
          <w:tab w:val="left" w:pos="5530"/>
        </w:tabs>
        <w:jc w:val="center"/>
        <w:rPr>
          <w:b/>
          <w:lang w:val="es-ES_tradnl"/>
        </w:rPr>
      </w:pPr>
      <w:r w:rsidRPr="00DB5136">
        <w:rPr>
          <w:b/>
          <w:lang w:val="es-ES_tradnl"/>
        </w:rPr>
        <w:lastRenderedPageBreak/>
        <w:t>DESCRIPCIÓN DE PROYECTO</w:t>
      </w:r>
    </w:p>
    <w:p w14:paraId="0B2C6D9F" w14:textId="77777777" w:rsidR="00247AE4" w:rsidRPr="00DB5136" w:rsidRDefault="00247AE4" w:rsidP="00247AE4">
      <w:pPr>
        <w:spacing w:before="240" w:after="240"/>
        <w:rPr>
          <w:b/>
          <w:bCs/>
          <w:lang w:val="es-ES_tradnl"/>
        </w:rPr>
      </w:pPr>
      <w:r w:rsidRPr="00DB5136">
        <w:rPr>
          <w:b/>
          <w:bCs/>
          <w:lang w:val="es-ES_tradnl"/>
        </w:rPr>
        <w:t>Antecedentes</w:t>
      </w:r>
    </w:p>
    <w:p w14:paraId="4276161F" w14:textId="109DAA62" w:rsidR="00247AE4" w:rsidRPr="00DB5136" w:rsidRDefault="00081B50" w:rsidP="00247AE4">
      <w:pPr>
        <w:tabs>
          <w:tab w:val="num" w:pos="0"/>
        </w:tabs>
        <w:spacing w:after="240"/>
        <w:outlineLvl w:val="0"/>
        <w:rPr>
          <w:lang w:val="es-ES_tradnl"/>
        </w:rPr>
      </w:pPr>
      <w:r>
        <w:rPr>
          <w:lang w:val="es-ES_tradnl"/>
        </w:rPr>
        <w:t>1.</w:t>
      </w:r>
      <w:r>
        <w:rPr>
          <w:lang w:val="es-ES_tradnl"/>
        </w:rPr>
        <w:tab/>
      </w:r>
      <w:r w:rsidR="00247AE4" w:rsidRPr="00DB5136">
        <w:rPr>
          <w:lang w:val="es-ES_tradnl"/>
        </w:rPr>
        <w:t>En nombre del Gobierno de Togo, el Gobierno de</w:t>
      </w:r>
      <w:r w:rsidR="00DA6943">
        <w:rPr>
          <w:lang w:val="es-ES_tradnl"/>
        </w:rPr>
        <w:t>l Reino Unido de Gran Bretaña e Irlanda del Norte</w:t>
      </w:r>
      <w:r w:rsidR="00247AE4">
        <w:rPr>
          <w:lang w:val="es-ES_tradnl"/>
        </w:rPr>
        <w:t>,</w:t>
      </w:r>
      <w:r w:rsidR="00DA6943">
        <w:rPr>
          <w:rStyle w:val="FootnoteReference"/>
        </w:rPr>
        <w:footnoteReference w:id="2"/>
      </w:r>
      <w:r w:rsidR="00247AE4" w:rsidRPr="00DB5136">
        <w:rPr>
          <w:lang w:val="es-ES_tradnl"/>
        </w:rPr>
        <w:t xml:space="preserve"> de conformidad con la decisión 91/65, </w:t>
      </w:r>
      <w:r w:rsidR="00247AE4">
        <w:rPr>
          <w:lang w:val="es-ES_tradnl"/>
        </w:rPr>
        <w:t>presentó</w:t>
      </w:r>
      <w:r w:rsidR="00247AE4" w:rsidRPr="00DB5136">
        <w:rPr>
          <w:lang w:val="es-ES_tradnl"/>
        </w:rPr>
        <w:t xml:space="preserve"> una solicitud de proyecto piloto </w:t>
      </w:r>
      <w:bookmarkStart w:id="3" w:name="_Hlk148535980"/>
      <w:r w:rsidR="00247AE4" w:rsidRPr="00DB5136">
        <w:rPr>
          <w:lang w:val="es-ES_tradnl"/>
        </w:rPr>
        <w:t>para mejorar la eficiencia energética de las tecnologías y los equipos de sustitución en el contexto de la reducción de los HFC (actividades sin inversión)</w:t>
      </w:r>
      <w:bookmarkEnd w:id="3"/>
      <w:r w:rsidR="00247AE4" w:rsidRPr="00DB5136">
        <w:rPr>
          <w:lang w:val="es-ES_tradnl"/>
        </w:rPr>
        <w:t xml:space="preserve">, </w:t>
      </w:r>
      <w:r w:rsidR="00247AE4">
        <w:rPr>
          <w:lang w:val="es-ES_tradnl"/>
        </w:rPr>
        <w:t xml:space="preserve">por un monto </w:t>
      </w:r>
      <w:r w:rsidR="00247AE4" w:rsidRPr="00DB5136">
        <w:rPr>
          <w:lang w:val="es-ES_tradnl"/>
        </w:rPr>
        <w:t>de USD 360</w:t>
      </w:r>
      <w:r w:rsidR="00247AE4">
        <w:rPr>
          <w:lang w:val="es-ES_tradnl"/>
        </w:rPr>
        <w:t>.</w:t>
      </w:r>
      <w:r w:rsidR="00247AE4" w:rsidRPr="00DB5136">
        <w:rPr>
          <w:lang w:val="es-ES_tradnl"/>
        </w:rPr>
        <w:t>160</w:t>
      </w:r>
      <w:r w:rsidR="00247AE4">
        <w:rPr>
          <w:lang w:val="es-ES_tradnl"/>
        </w:rPr>
        <w:t>,</w:t>
      </w:r>
      <w:r w:rsidR="00247AE4" w:rsidRPr="00DB5136">
        <w:rPr>
          <w:lang w:val="es-ES_tradnl"/>
        </w:rPr>
        <w:t xml:space="preserve"> más </w:t>
      </w:r>
      <w:r w:rsidR="00247AE4">
        <w:rPr>
          <w:lang w:val="es-ES_tradnl"/>
        </w:rPr>
        <w:t xml:space="preserve">los </w:t>
      </w:r>
      <w:r w:rsidR="00247AE4" w:rsidRPr="00DB5136">
        <w:rPr>
          <w:lang w:val="es-ES_tradnl"/>
        </w:rPr>
        <w:t xml:space="preserve">gastos de apoyo </w:t>
      </w:r>
      <w:r w:rsidR="00247AE4">
        <w:rPr>
          <w:lang w:val="es-ES_tradnl"/>
        </w:rPr>
        <w:t xml:space="preserve">del organismo, </w:t>
      </w:r>
      <w:r w:rsidR="00247AE4" w:rsidRPr="00DB5136">
        <w:rPr>
          <w:lang w:val="es-ES_tradnl"/>
        </w:rPr>
        <w:t>por un valor de USD 46</w:t>
      </w:r>
      <w:r w:rsidR="00BC06D2">
        <w:rPr>
          <w:lang w:val="es-ES_tradnl"/>
        </w:rPr>
        <w:t>.</w:t>
      </w:r>
      <w:r w:rsidR="00247AE4" w:rsidRPr="00DB5136">
        <w:rPr>
          <w:lang w:val="es-ES_tradnl"/>
        </w:rPr>
        <w:t>821, según lo solicitado</w:t>
      </w:r>
      <w:r w:rsidR="00247AE4">
        <w:rPr>
          <w:lang w:val="es-ES_tradnl"/>
        </w:rPr>
        <w:t xml:space="preserve"> </w:t>
      </w:r>
      <w:r w:rsidR="00247AE4" w:rsidRPr="00DB5136">
        <w:rPr>
          <w:lang w:val="es-ES_tradnl"/>
        </w:rPr>
        <w:t>originalmente.</w:t>
      </w:r>
      <w:r w:rsidR="00247AE4" w:rsidRPr="00DB5136">
        <w:rPr>
          <w:vertAlign w:val="superscript"/>
          <w:lang w:val="es-ES_tradnl"/>
        </w:rPr>
        <w:footnoteReference w:id="3"/>
      </w:r>
    </w:p>
    <w:p w14:paraId="473B874A" w14:textId="77777777" w:rsidR="00247AE4" w:rsidRPr="00DB5136" w:rsidRDefault="00247AE4" w:rsidP="00BC06D2">
      <w:pPr>
        <w:spacing w:after="240"/>
        <w:rPr>
          <w:b/>
          <w:bCs/>
          <w:lang w:val="es-ES_tradnl"/>
        </w:rPr>
      </w:pPr>
      <w:r w:rsidRPr="00DB5136">
        <w:rPr>
          <w:b/>
          <w:bCs/>
          <w:lang w:val="es-ES_tradnl"/>
        </w:rPr>
        <w:t>Proyecto piloto de eficiencia energética</w:t>
      </w:r>
    </w:p>
    <w:p w14:paraId="51C20E87" w14:textId="49515BA7" w:rsidR="00247AE4" w:rsidRPr="00DB5136" w:rsidRDefault="00551B26" w:rsidP="00551B26">
      <w:pPr>
        <w:pStyle w:val="Heading1"/>
        <w:numPr>
          <w:ilvl w:val="0"/>
          <w:numId w:val="0"/>
        </w:numPr>
        <w:rPr>
          <w:sz w:val="24"/>
          <w:szCs w:val="24"/>
          <w:lang w:val="es-ES_tradnl"/>
        </w:rPr>
      </w:pPr>
      <w:r>
        <w:rPr>
          <w:lang w:val="es-ES_tradnl"/>
        </w:rPr>
        <w:t>2.</w:t>
      </w:r>
      <w:r>
        <w:rPr>
          <w:lang w:val="es-ES_tradnl"/>
        </w:rPr>
        <w:tab/>
      </w:r>
      <w:r w:rsidR="00247AE4" w:rsidRPr="00DB5136">
        <w:rPr>
          <w:lang w:val="es-ES_tradnl"/>
        </w:rPr>
        <w:t>En la 93</w:t>
      </w:r>
      <w:r w:rsidR="00247AE4">
        <w:rPr>
          <w:lang w:val="es-ES_tradnl"/>
        </w:rPr>
        <w:t>ª reunión,</w:t>
      </w:r>
      <w:r w:rsidR="00247AE4" w:rsidRPr="00DB5136">
        <w:rPr>
          <w:lang w:val="es-ES_tradnl"/>
        </w:rPr>
        <w:t xml:space="preserve"> el Comité Ejecutivo aprobó un proyecto preparatorio para la demostración de tecnología de climatización ecoenergética y de bajo </w:t>
      </w:r>
      <w:r w:rsidR="00247AE4">
        <w:rPr>
          <w:lang w:val="es-ES_tradnl"/>
        </w:rPr>
        <w:t>potencial de calentamiento atmosférico</w:t>
      </w:r>
      <w:r w:rsidR="00247AE4" w:rsidRPr="00DB5136">
        <w:rPr>
          <w:lang w:val="es-ES_tradnl"/>
        </w:rPr>
        <w:t xml:space="preserve"> en Togo (decisión 93/40). Durante la elaboración de la propuesta, el Gobierno de Togo informó al Gobierno de Alemania su intención de cambiar el beneficiario del Puerto Autónomo de Lomé, que era el beneficiario previsto inicialmente, para centrarse en el sector hospitalario, dado su mayor potencial de replicabilidad y su impacto social y en el mercado.</w:t>
      </w:r>
      <w:r w:rsidR="00247AE4" w:rsidRPr="00DB5136">
        <w:rPr>
          <w:rStyle w:val="FootnoteReference"/>
          <w:lang w:val="es-ES_tradnl"/>
        </w:rPr>
        <w:footnoteReference w:id="4"/>
      </w:r>
      <w:r w:rsidR="00247AE4" w:rsidRPr="00DB5136">
        <w:rPr>
          <w:lang w:val="es-ES_tradnl"/>
        </w:rPr>
        <w:t xml:space="preserve"> El proyecto seguir</w:t>
      </w:r>
      <w:r w:rsidR="00247AE4">
        <w:rPr>
          <w:lang w:val="es-ES_tradnl"/>
        </w:rPr>
        <w:t>ía</w:t>
      </w:r>
      <w:r w:rsidR="00247AE4" w:rsidRPr="00DB5136">
        <w:rPr>
          <w:lang w:val="es-ES_tradnl"/>
        </w:rPr>
        <w:t xml:space="preserve"> sustituyendo </w:t>
      </w:r>
      <w:r w:rsidR="00247AE4">
        <w:rPr>
          <w:lang w:val="es-ES_tradnl"/>
        </w:rPr>
        <w:t>los aparatos</w:t>
      </w:r>
      <w:r w:rsidR="00247AE4" w:rsidRPr="00DB5136">
        <w:rPr>
          <w:lang w:val="es-ES_tradnl"/>
        </w:rPr>
        <w:t xml:space="preserve"> de climatización ineficientes por otr</w:t>
      </w:r>
      <w:r w:rsidR="00247AE4">
        <w:rPr>
          <w:lang w:val="es-ES_tradnl"/>
        </w:rPr>
        <w:t>o</w:t>
      </w:r>
      <w:r w:rsidR="00247AE4" w:rsidRPr="00DB5136">
        <w:rPr>
          <w:lang w:val="es-ES_tradnl"/>
        </w:rPr>
        <w:t>s eficientes que utiliza</w:t>
      </w:r>
      <w:r w:rsidR="00247AE4">
        <w:rPr>
          <w:lang w:val="es-ES_tradnl"/>
        </w:rPr>
        <w:t>se</w:t>
      </w:r>
      <w:r w:rsidR="00247AE4" w:rsidRPr="00DB5136">
        <w:rPr>
          <w:lang w:val="es-ES_tradnl"/>
        </w:rPr>
        <w:t xml:space="preserve">n </w:t>
      </w:r>
      <w:r w:rsidR="00247AE4">
        <w:rPr>
          <w:lang w:val="es-ES_tradnl"/>
        </w:rPr>
        <w:t xml:space="preserve">un </w:t>
      </w:r>
      <w:r w:rsidR="00247AE4" w:rsidRPr="00DB5136">
        <w:rPr>
          <w:lang w:val="es-ES_tradnl"/>
        </w:rPr>
        <w:t xml:space="preserve">refrigerante de bajo </w:t>
      </w:r>
      <w:r w:rsidR="00247AE4">
        <w:rPr>
          <w:lang w:val="es-ES_tradnl"/>
        </w:rPr>
        <w:t>potencial de calentamiento atmosférico</w:t>
      </w:r>
      <w:r w:rsidR="00247AE4" w:rsidRPr="00DB5136">
        <w:rPr>
          <w:lang w:val="es-ES_tradnl"/>
        </w:rPr>
        <w:t xml:space="preserve"> (R-290); ir</w:t>
      </w:r>
      <w:r w:rsidR="00247AE4">
        <w:rPr>
          <w:lang w:val="es-ES_tradnl"/>
        </w:rPr>
        <w:t>ía</w:t>
      </w:r>
      <w:r w:rsidR="00247AE4" w:rsidRPr="00DB5136">
        <w:rPr>
          <w:lang w:val="es-ES_tradnl"/>
        </w:rPr>
        <w:t xml:space="preserve"> acompañado de </w:t>
      </w:r>
      <w:r w:rsidR="00247AE4">
        <w:rPr>
          <w:lang w:val="es-ES_tradnl"/>
        </w:rPr>
        <w:t xml:space="preserve">programas capacitación y </w:t>
      </w:r>
      <w:r w:rsidR="00247AE4" w:rsidRPr="00DB5136">
        <w:rPr>
          <w:lang w:val="es-ES_tradnl"/>
        </w:rPr>
        <w:t xml:space="preserve">campañas de sensibilización, así como de un </w:t>
      </w:r>
      <w:r w:rsidR="00247AE4">
        <w:rPr>
          <w:lang w:val="es-ES_tradnl"/>
        </w:rPr>
        <w:t>fortalecimiento de capacidad</w:t>
      </w:r>
      <w:r w:rsidR="00247AE4" w:rsidRPr="00DB5136">
        <w:rPr>
          <w:lang w:val="es-ES_tradnl"/>
        </w:rPr>
        <w:t xml:space="preserve"> de</w:t>
      </w:r>
      <w:r w:rsidR="00247AE4">
        <w:rPr>
          <w:lang w:val="es-ES_tradnl"/>
        </w:rPr>
        <w:t xml:space="preserve"> los</w:t>
      </w:r>
      <w:r w:rsidR="00247AE4" w:rsidRPr="00DB5136">
        <w:rPr>
          <w:lang w:val="es-ES_tradnl"/>
        </w:rPr>
        <w:t xml:space="preserve"> técnicos, promoviendo </w:t>
      </w:r>
      <w:r w:rsidR="00247AE4">
        <w:rPr>
          <w:lang w:val="es-ES_tradnl"/>
        </w:rPr>
        <w:t xml:space="preserve">de este modo las alternativas de los </w:t>
      </w:r>
      <w:r w:rsidR="00247AE4" w:rsidRPr="00DB5136">
        <w:rPr>
          <w:lang w:val="es-ES_tradnl"/>
        </w:rPr>
        <w:t>HFC y mejoras en la cadena de suministro de equipos a base de R-290 en Togo.</w:t>
      </w:r>
    </w:p>
    <w:p w14:paraId="1CB4396C" w14:textId="39B301D0" w:rsidR="00247AE4" w:rsidRPr="00DB5136" w:rsidRDefault="00551B26" w:rsidP="00247AE4">
      <w:pPr>
        <w:tabs>
          <w:tab w:val="num" w:pos="0"/>
        </w:tabs>
        <w:spacing w:after="240"/>
        <w:outlineLvl w:val="0"/>
        <w:rPr>
          <w:lang w:val="es-ES_tradnl"/>
        </w:rPr>
      </w:pPr>
      <w:r>
        <w:rPr>
          <w:lang w:val="es-ES_tradnl"/>
        </w:rPr>
        <w:t>3.</w:t>
      </w:r>
      <w:r>
        <w:rPr>
          <w:lang w:val="es-ES_tradnl"/>
        </w:rPr>
        <w:tab/>
      </w:r>
      <w:r w:rsidR="00247AE4">
        <w:rPr>
          <w:lang w:val="es-ES_tradnl"/>
        </w:rPr>
        <w:t>E</w:t>
      </w:r>
      <w:r w:rsidR="00247AE4" w:rsidRPr="00DB5136">
        <w:rPr>
          <w:lang w:val="es-ES_tradnl"/>
        </w:rPr>
        <w:t>l 8 de marzo de 2018</w:t>
      </w:r>
      <w:r w:rsidR="00247AE4">
        <w:rPr>
          <w:lang w:val="es-ES_tradnl"/>
        </w:rPr>
        <w:t xml:space="preserve"> </w:t>
      </w:r>
      <w:r w:rsidR="00247AE4" w:rsidRPr="00DB5136">
        <w:rPr>
          <w:lang w:val="es-ES_tradnl"/>
        </w:rPr>
        <w:t>Togo ratificó la Enmienda de Kigali, y en enero de 2024</w:t>
      </w:r>
      <w:r w:rsidR="00247AE4">
        <w:rPr>
          <w:lang w:val="es-ES_tradnl"/>
        </w:rPr>
        <w:t xml:space="preserve"> comenzó a aplicarse </w:t>
      </w:r>
      <w:r w:rsidR="00247AE4" w:rsidRPr="00DB5136">
        <w:rPr>
          <w:lang w:val="es-ES_tradnl"/>
        </w:rPr>
        <w:t>el sistema de cuotas de HFC. En la etapa I del plan de aplicación de la Enmienda de Kigali relativa a los HFC (PAK), aprobado en la</w:t>
      </w:r>
      <w:r w:rsidR="00247AE4">
        <w:rPr>
          <w:lang w:val="es-ES_tradnl"/>
        </w:rPr>
        <w:t xml:space="preserve"> 95ª reunión,</w:t>
      </w:r>
      <w:r w:rsidR="00247AE4" w:rsidRPr="00DB5136">
        <w:rPr>
          <w:rStyle w:val="FootnoteReference"/>
          <w:lang w:val="es-ES_tradnl"/>
        </w:rPr>
        <w:footnoteReference w:id="5"/>
      </w:r>
      <w:r w:rsidR="00247AE4" w:rsidRPr="00DB5136">
        <w:rPr>
          <w:lang w:val="es-ES_tradnl"/>
        </w:rPr>
        <w:t xml:space="preserve"> el país se </w:t>
      </w:r>
      <w:r w:rsidR="00247AE4">
        <w:rPr>
          <w:lang w:val="es-ES_tradnl"/>
        </w:rPr>
        <w:t xml:space="preserve">comprometió </w:t>
      </w:r>
      <w:r w:rsidR="00247AE4" w:rsidRPr="00DB5136">
        <w:rPr>
          <w:lang w:val="es-ES_tradnl"/>
        </w:rPr>
        <w:t xml:space="preserve">a reducir el consumo de HFC en un 15 </w:t>
      </w:r>
      <w:r w:rsidR="00247AE4">
        <w:rPr>
          <w:lang w:val="es-ES_tradnl"/>
        </w:rPr>
        <w:t>por ciento</w:t>
      </w:r>
      <w:r w:rsidR="00247AE4" w:rsidRPr="00DB5136">
        <w:rPr>
          <w:lang w:val="es-ES_tradnl"/>
        </w:rPr>
        <w:t xml:space="preserve"> </w:t>
      </w:r>
      <w:r w:rsidR="00247AE4">
        <w:rPr>
          <w:lang w:val="es-ES_tradnl"/>
        </w:rPr>
        <w:t xml:space="preserve">para el </w:t>
      </w:r>
      <w:r w:rsidR="00247AE4" w:rsidRPr="00DB5136">
        <w:rPr>
          <w:lang w:val="es-ES_tradnl"/>
        </w:rPr>
        <w:t>año 2029.</w:t>
      </w:r>
    </w:p>
    <w:p w14:paraId="490B98AF" w14:textId="77777777" w:rsidR="00247AE4" w:rsidRPr="00DB5136" w:rsidRDefault="00247AE4" w:rsidP="00247AE4">
      <w:pPr>
        <w:spacing w:after="240"/>
        <w:rPr>
          <w:highlight w:val="yellow"/>
          <w:u w:val="single"/>
          <w:lang w:val="es-ES_tradnl"/>
        </w:rPr>
      </w:pPr>
      <w:r w:rsidRPr="00DB5136">
        <w:rPr>
          <w:u w:val="single"/>
          <w:lang w:val="es-ES_tradnl"/>
        </w:rPr>
        <w:t xml:space="preserve">Marco reglamentario, </w:t>
      </w:r>
      <w:r>
        <w:rPr>
          <w:u w:val="single"/>
          <w:lang w:val="es-ES_tradnl"/>
        </w:rPr>
        <w:t xml:space="preserve">de políticas </w:t>
      </w:r>
      <w:r w:rsidRPr="00DB5136">
        <w:rPr>
          <w:u w:val="single"/>
          <w:lang w:val="es-ES_tradnl"/>
        </w:rPr>
        <w:t>e institucional</w:t>
      </w:r>
    </w:p>
    <w:p w14:paraId="5CED511B" w14:textId="4DB26FBD" w:rsidR="00247AE4" w:rsidRPr="00DB5136" w:rsidRDefault="00551B26" w:rsidP="00551B26">
      <w:pPr>
        <w:pStyle w:val="Heading1"/>
        <w:numPr>
          <w:ilvl w:val="0"/>
          <w:numId w:val="0"/>
        </w:numPr>
        <w:spacing w:before="240"/>
        <w:rPr>
          <w:lang w:val="es-ES_tradnl"/>
        </w:rPr>
      </w:pPr>
      <w:r>
        <w:rPr>
          <w:lang w:val="es-ES_tradnl"/>
        </w:rPr>
        <w:t>4.</w:t>
      </w:r>
      <w:r>
        <w:rPr>
          <w:lang w:val="es-ES_tradnl"/>
        </w:rPr>
        <w:tab/>
      </w:r>
      <w:r w:rsidR="00247AE4" w:rsidRPr="00DB5136">
        <w:rPr>
          <w:lang w:val="es-ES_tradnl"/>
        </w:rPr>
        <w:t xml:space="preserve">El </w:t>
      </w:r>
      <w:r w:rsidR="00247AE4">
        <w:rPr>
          <w:lang w:val="es-ES_tradnl"/>
        </w:rPr>
        <w:t>sistema de otorgamiento de licencias</w:t>
      </w:r>
      <w:r w:rsidR="00247AE4" w:rsidRPr="00DB5136">
        <w:rPr>
          <w:lang w:val="es-ES_tradnl"/>
        </w:rPr>
        <w:t xml:space="preserve"> </w:t>
      </w:r>
      <w:r w:rsidR="00247AE4">
        <w:rPr>
          <w:lang w:val="es-ES_tradnl"/>
        </w:rPr>
        <w:t>para los</w:t>
      </w:r>
      <w:r w:rsidR="00247AE4" w:rsidRPr="00DB5136">
        <w:rPr>
          <w:lang w:val="es-ES_tradnl"/>
        </w:rPr>
        <w:t xml:space="preserve"> HFC </w:t>
      </w:r>
      <w:r w:rsidR="00247AE4">
        <w:rPr>
          <w:lang w:val="es-ES_tradnl"/>
        </w:rPr>
        <w:t xml:space="preserve">opera </w:t>
      </w:r>
      <w:r w:rsidR="00247AE4" w:rsidRPr="00DB5136">
        <w:rPr>
          <w:lang w:val="es-ES_tradnl"/>
        </w:rPr>
        <w:t xml:space="preserve">desde 2021, y el sistema de cuotas, desde el 1º de enero de 2024. El Decreto Interministerial </w:t>
      </w:r>
      <w:r w:rsidR="00247AE4">
        <w:rPr>
          <w:lang w:val="es-ES_tradnl"/>
        </w:rPr>
        <w:t>nº</w:t>
      </w:r>
      <w:r w:rsidR="00247AE4" w:rsidRPr="00DB5136">
        <w:rPr>
          <w:lang w:val="es-ES_tradnl"/>
        </w:rPr>
        <w:t xml:space="preserve"> 13/MERF/MEF/MCICL, adoptado el 30 de marzo de 2021, </w:t>
      </w:r>
      <w:r w:rsidR="00247AE4">
        <w:rPr>
          <w:lang w:val="es-ES_tradnl"/>
        </w:rPr>
        <w:t xml:space="preserve">consta de </w:t>
      </w:r>
      <w:r w:rsidR="00247AE4" w:rsidRPr="00DB5136">
        <w:rPr>
          <w:lang w:val="es-ES_tradnl"/>
        </w:rPr>
        <w:t xml:space="preserve">disposiciones sobre la concesión de licencias, cuotas </w:t>
      </w:r>
      <w:r w:rsidR="00247AE4">
        <w:rPr>
          <w:lang w:val="es-ES_tradnl"/>
        </w:rPr>
        <w:t xml:space="preserve">e información </w:t>
      </w:r>
      <w:r w:rsidR="00247AE4" w:rsidRPr="00DB5136">
        <w:rPr>
          <w:lang w:val="es-ES_tradnl"/>
        </w:rPr>
        <w:t>de datos para la importación y distribución de</w:t>
      </w:r>
      <w:r w:rsidR="00247AE4">
        <w:rPr>
          <w:lang w:val="es-ES_tradnl"/>
        </w:rPr>
        <w:t xml:space="preserve"> los</w:t>
      </w:r>
      <w:r w:rsidR="00247AE4" w:rsidRPr="00DB5136">
        <w:rPr>
          <w:lang w:val="es-ES_tradnl"/>
        </w:rPr>
        <w:t xml:space="preserve"> HFC, y obliga a los importadores y distribuidores de HFC a etiquetar los envases con el código aduanero, el tipo y la cantidad del refrigerante.</w:t>
      </w:r>
    </w:p>
    <w:p w14:paraId="174D695B" w14:textId="767C9BC1" w:rsidR="00247AE4" w:rsidRPr="00DB5136" w:rsidRDefault="00551B26" w:rsidP="00551B26">
      <w:pPr>
        <w:pStyle w:val="Heading1"/>
        <w:numPr>
          <w:ilvl w:val="0"/>
          <w:numId w:val="0"/>
        </w:numPr>
        <w:rPr>
          <w:lang w:val="es-ES_tradnl"/>
        </w:rPr>
      </w:pPr>
      <w:r>
        <w:rPr>
          <w:lang w:val="es-ES_tradnl"/>
        </w:rPr>
        <w:t>5.</w:t>
      </w:r>
      <w:r>
        <w:rPr>
          <w:lang w:val="es-ES_tradnl"/>
        </w:rPr>
        <w:tab/>
      </w:r>
      <w:r w:rsidR="00247AE4" w:rsidRPr="00DB5136">
        <w:rPr>
          <w:lang w:val="es-ES_tradnl"/>
        </w:rPr>
        <w:t xml:space="preserve">En Togo </w:t>
      </w:r>
      <w:r w:rsidR="00247AE4">
        <w:rPr>
          <w:lang w:val="es-ES_tradnl"/>
        </w:rPr>
        <w:t xml:space="preserve">se aplican </w:t>
      </w:r>
      <w:r w:rsidR="00247AE4" w:rsidRPr="00DB5136">
        <w:rPr>
          <w:lang w:val="es-ES_tradnl"/>
        </w:rPr>
        <w:t>las normas mínimas de eficiencia energética, establecidas por la Comunidad Económica de los Estados de África Occidental (</w:t>
      </w:r>
      <w:r w:rsidR="00247AE4" w:rsidRPr="0080404E">
        <w:rPr>
          <w:lang w:val="es-ES_tradnl"/>
        </w:rPr>
        <w:t>CEDEAO</w:t>
      </w:r>
      <w:r w:rsidR="00247AE4" w:rsidRPr="00DB5136">
        <w:rPr>
          <w:lang w:val="es-ES_tradnl"/>
        </w:rPr>
        <w:t>) para los productos de refrigeración</w:t>
      </w:r>
      <w:r w:rsidR="00247AE4" w:rsidRPr="00DB5136">
        <w:rPr>
          <w:rStyle w:val="FootnoteReference"/>
          <w:lang w:val="es-ES_tradnl"/>
        </w:rPr>
        <w:footnoteReference w:id="6"/>
      </w:r>
      <w:r w:rsidR="00247AE4" w:rsidRPr="00DB5136">
        <w:rPr>
          <w:lang w:val="es-ES_tradnl"/>
        </w:rPr>
        <w:t xml:space="preserve"> y los </w:t>
      </w:r>
      <w:r w:rsidR="00247AE4" w:rsidRPr="00DB5136">
        <w:rPr>
          <w:lang w:val="es-ES_tradnl"/>
        </w:rPr>
        <w:lastRenderedPageBreak/>
        <w:t>productos de climatización comercial y doméstica</w:t>
      </w:r>
      <w:r w:rsidR="00247AE4">
        <w:rPr>
          <w:lang w:val="es-ES_tradnl"/>
        </w:rPr>
        <w:t>,</w:t>
      </w:r>
      <w:r w:rsidR="00247AE4" w:rsidRPr="00DB5136">
        <w:rPr>
          <w:rStyle w:val="FootnoteReference"/>
          <w:lang w:val="es-ES_tradnl"/>
        </w:rPr>
        <w:footnoteReference w:id="7"/>
      </w:r>
      <w:r w:rsidR="00247AE4" w:rsidRPr="00DB5136">
        <w:rPr>
          <w:lang w:val="es-ES_tradnl"/>
        </w:rPr>
        <w:t xml:space="preserve"> </w:t>
      </w:r>
      <w:r w:rsidR="00247AE4">
        <w:rPr>
          <w:lang w:val="es-ES_tradnl"/>
        </w:rPr>
        <w:t xml:space="preserve">e implementadas </w:t>
      </w:r>
      <w:r w:rsidR="00247AE4" w:rsidRPr="00DB5136">
        <w:rPr>
          <w:lang w:val="es-ES_tradnl"/>
        </w:rPr>
        <w:t>en el marco del Plan de Acción Nacional de Eficiencia Energética (PANEE</w:t>
      </w:r>
      <w:r w:rsidR="00247AE4">
        <w:rPr>
          <w:lang w:val="es-ES_tradnl"/>
        </w:rPr>
        <w:t>, por su sigla en francés</w:t>
      </w:r>
      <w:r w:rsidR="00247AE4" w:rsidRPr="00DB5136">
        <w:rPr>
          <w:lang w:val="es-ES_tradnl"/>
        </w:rPr>
        <w:t xml:space="preserve">) de Togo, elaborado en 2015 y que se extiende hasta 2030. Entre sus principales objetivos figuran la promoción de las energías renovables, la reducción del consumo energético, la mejora de la eficiencia en sectores clave (iluminación, construcción e industria) y </w:t>
      </w:r>
      <w:r w:rsidR="00247AE4">
        <w:rPr>
          <w:lang w:val="es-ES_tradnl"/>
        </w:rPr>
        <w:t>el fortalecimiento</w:t>
      </w:r>
      <w:r w:rsidR="00247AE4" w:rsidRPr="00DB5136">
        <w:rPr>
          <w:lang w:val="es-ES_tradnl"/>
        </w:rPr>
        <w:t xml:space="preserve"> del marco regulatorio e institucional para atraer la inversión privada en el sector energético.</w:t>
      </w:r>
    </w:p>
    <w:p w14:paraId="0FCF74CB" w14:textId="0CC67E13" w:rsidR="00247AE4" w:rsidRPr="00DB5136" w:rsidRDefault="00454E60" w:rsidP="00454E60">
      <w:pPr>
        <w:pStyle w:val="Heading1"/>
        <w:numPr>
          <w:ilvl w:val="0"/>
          <w:numId w:val="0"/>
        </w:numPr>
        <w:rPr>
          <w:lang w:val="es-ES_tradnl"/>
        </w:rPr>
      </w:pPr>
      <w:r>
        <w:rPr>
          <w:lang w:val="es-ES_tradnl"/>
        </w:rPr>
        <w:t>6.</w:t>
      </w:r>
      <w:r>
        <w:rPr>
          <w:lang w:val="es-ES_tradnl"/>
        </w:rPr>
        <w:tab/>
      </w:r>
      <w:r w:rsidR="00247AE4" w:rsidRPr="00DB5136">
        <w:rPr>
          <w:lang w:val="es-ES_tradnl"/>
        </w:rPr>
        <w:t>Como miembro de la CEDEAO, Togo participa en l</w:t>
      </w:r>
      <w:r w:rsidR="00247AE4">
        <w:rPr>
          <w:lang w:val="es-ES_tradnl"/>
        </w:rPr>
        <w:t xml:space="preserve">a labor </w:t>
      </w:r>
      <w:r w:rsidR="00247AE4" w:rsidRPr="00DB5136">
        <w:rPr>
          <w:lang w:val="es-ES_tradnl"/>
        </w:rPr>
        <w:t xml:space="preserve">de esta organización, en particular en lo que se refiere a </w:t>
      </w:r>
      <w:r w:rsidR="00247AE4">
        <w:rPr>
          <w:lang w:val="es-ES_tradnl"/>
        </w:rPr>
        <w:t xml:space="preserve">las cuestiones </w:t>
      </w:r>
      <w:r w:rsidR="00247AE4" w:rsidRPr="00DB5136">
        <w:rPr>
          <w:lang w:val="es-ES_tradnl"/>
        </w:rPr>
        <w:t xml:space="preserve">de calidad. A través de </w:t>
      </w:r>
      <w:r w:rsidR="00247AE4">
        <w:rPr>
          <w:lang w:val="es-ES_tradnl"/>
        </w:rPr>
        <w:t>la Agencia Togolesa de Normalización</w:t>
      </w:r>
      <w:r w:rsidR="00247AE4" w:rsidRPr="00DB5136">
        <w:rPr>
          <w:lang w:val="es-ES_tradnl"/>
        </w:rPr>
        <w:t xml:space="preserve"> (ATN</w:t>
      </w:r>
      <w:r w:rsidR="00247AE4">
        <w:rPr>
          <w:lang w:val="es-ES_tradnl"/>
        </w:rPr>
        <w:t>, por su sigla en francés</w:t>
      </w:r>
      <w:r w:rsidR="00247AE4" w:rsidRPr="00DB5136">
        <w:rPr>
          <w:lang w:val="es-ES_tradnl"/>
        </w:rPr>
        <w:t>), órgano técnico de la Alta Autoridad para la Calidad y el Medio Ambiente (HAUQE</w:t>
      </w:r>
      <w:r w:rsidR="00247AE4">
        <w:rPr>
          <w:lang w:val="es-ES_tradnl"/>
        </w:rPr>
        <w:t>, por su sigla en francés</w:t>
      </w:r>
      <w:r w:rsidR="00247AE4" w:rsidRPr="00DB5136">
        <w:rPr>
          <w:lang w:val="es-ES_tradnl"/>
        </w:rPr>
        <w:t>), el país participa en la armonización de las normas comunitarias (</w:t>
      </w:r>
      <w:r w:rsidR="00247AE4" w:rsidRPr="00AF0221">
        <w:rPr>
          <w:lang w:val="es-ES_tradnl"/>
        </w:rPr>
        <w:t>ECOSTAND)</w:t>
      </w:r>
      <w:r w:rsidR="00247AE4" w:rsidRPr="00DB5136">
        <w:rPr>
          <w:lang w:val="es-ES_tradnl"/>
        </w:rPr>
        <w:t xml:space="preserve">. La ATN cuenta con expertos en los 11 comités técnicos de armonización de la CEDEAO y participa activamente en todas las etapas de la </w:t>
      </w:r>
      <w:r w:rsidR="00247AE4">
        <w:rPr>
          <w:lang w:val="es-ES_tradnl"/>
        </w:rPr>
        <w:t xml:space="preserve">aplicación </w:t>
      </w:r>
      <w:r w:rsidR="00247AE4" w:rsidRPr="00DB5136">
        <w:rPr>
          <w:lang w:val="es-ES_tradnl"/>
        </w:rPr>
        <w:t>de normas.</w:t>
      </w:r>
    </w:p>
    <w:p w14:paraId="24C05415" w14:textId="25F3AACA" w:rsidR="00247AE4" w:rsidRPr="00DB5136" w:rsidRDefault="00454E60" w:rsidP="00454E60">
      <w:pPr>
        <w:pStyle w:val="Heading1"/>
        <w:numPr>
          <w:ilvl w:val="0"/>
          <w:numId w:val="0"/>
        </w:numPr>
        <w:suppressAutoHyphens/>
        <w:spacing w:before="240"/>
        <w:rPr>
          <w:lang w:val="es-ES_tradnl"/>
        </w:rPr>
      </w:pPr>
      <w:r>
        <w:rPr>
          <w:lang w:val="es-ES_tradnl"/>
        </w:rPr>
        <w:t>7.</w:t>
      </w:r>
      <w:r>
        <w:rPr>
          <w:lang w:val="es-ES_tradnl"/>
        </w:rPr>
        <w:tab/>
      </w:r>
      <w:r w:rsidR="00247AE4" w:rsidRPr="00DB5136">
        <w:rPr>
          <w:lang w:val="es-ES_tradnl"/>
        </w:rPr>
        <w:t xml:space="preserve">Este proyecto forma parte de las políticas nacionales </w:t>
      </w:r>
      <w:r w:rsidR="00247AE4">
        <w:rPr>
          <w:lang w:val="es-ES_tradnl"/>
        </w:rPr>
        <w:t xml:space="preserve">togolesas </w:t>
      </w:r>
      <w:r w:rsidR="00247AE4" w:rsidRPr="00DB5136">
        <w:rPr>
          <w:lang w:val="es-ES_tradnl"/>
        </w:rPr>
        <w:t xml:space="preserve">destinadas a mejorar la eficiencia energética y reducir las emisiones de gases de efecto invernadero. La transformación del mercado hacia tecnologías de refrigeración y climatización ecoenergéticas y de bajo </w:t>
      </w:r>
      <w:r w:rsidR="00247AE4">
        <w:rPr>
          <w:lang w:val="es-ES_tradnl"/>
        </w:rPr>
        <w:t>potencial de calentamiento atmosférico</w:t>
      </w:r>
      <w:r w:rsidR="00247AE4" w:rsidRPr="00DB5136">
        <w:rPr>
          <w:lang w:val="es-ES_tradnl"/>
        </w:rPr>
        <w:t xml:space="preserve"> se verá respaldada por la ejecución de este proyecto, y la </w:t>
      </w:r>
      <w:r w:rsidR="00247AE4">
        <w:rPr>
          <w:lang w:val="es-ES_tradnl"/>
        </w:rPr>
        <w:t>Oficina Nacional del Ozono</w:t>
      </w:r>
      <w:r w:rsidR="00247AE4" w:rsidRPr="00DB5136">
        <w:rPr>
          <w:lang w:val="es-ES_tradnl"/>
        </w:rPr>
        <w:t xml:space="preserve"> (ONO), supervisada por el Ministerio de Medio Ambiente, colaborará con la HAUQE en la adopción de las </w:t>
      </w:r>
      <w:r w:rsidR="00247AE4">
        <w:rPr>
          <w:lang w:val="es-ES_tradnl"/>
        </w:rPr>
        <w:t>directrices</w:t>
      </w:r>
      <w:r w:rsidR="00247AE4" w:rsidRPr="00DB5136">
        <w:rPr>
          <w:lang w:val="es-ES_tradnl"/>
        </w:rPr>
        <w:t xml:space="preserve"> de seguridad de la ISO.</w:t>
      </w:r>
    </w:p>
    <w:p w14:paraId="01667649" w14:textId="77777777" w:rsidR="00247AE4" w:rsidRPr="00DB5136" w:rsidRDefault="00247AE4" w:rsidP="00247AE4">
      <w:pPr>
        <w:pStyle w:val="Heading1"/>
        <w:keepNext/>
        <w:numPr>
          <w:ilvl w:val="0"/>
          <w:numId w:val="0"/>
        </w:numPr>
        <w:suppressAutoHyphens/>
        <w:spacing w:before="240"/>
        <w:rPr>
          <w:u w:val="single"/>
          <w:lang w:val="es-ES_tradnl"/>
        </w:rPr>
      </w:pPr>
      <w:r w:rsidRPr="00DB5136">
        <w:rPr>
          <w:u w:val="single"/>
          <w:lang w:val="es-ES_tradnl"/>
        </w:rPr>
        <w:t xml:space="preserve">Consumo de HFC y antecedentes </w:t>
      </w:r>
      <w:r>
        <w:rPr>
          <w:u w:val="single"/>
          <w:lang w:val="es-ES_tradnl"/>
        </w:rPr>
        <w:t xml:space="preserve">sectoriales </w:t>
      </w:r>
    </w:p>
    <w:p w14:paraId="52D47B07" w14:textId="03CAEA0B" w:rsidR="00247AE4" w:rsidRPr="00DB5136" w:rsidRDefault="00454E60" w:rsidP="00247AE4">
      <w:pPr>
        <w:tabs>
          <w:tab w:val="num" w:pos="0"/>
        </w:tabs>
        <w:spacing w:after="240"/>
        <w:outlineLvl w:val="0"/>
        <w:rPr>
          <w:lang w:val="es-ES_tradnl" w:eastAsia="zh-CN"/>
        </w:rPr>
      </w:pPr>
      <w:r>
        <w:rPr>
          <w:lang w:val="es-ES_tradnl"/>
        </w:rPr>
        <w:t>8.</w:t>
      </w:r>
      <w:r>
        <w:rPr>
          <w:lang w:val="es-ES_tradnl"/>
        </w:rPr>
        <w:tab/>
      </w:r>
      <w:r w:rsidR="00247AE4" w:rsidRPr="00DB5136">
        <w:rPr>
          <w:lang w:val="es-ES_tradnl"/>
        </w:rPr>
        <w:t xml:space="preserve">La base de comparación para el consumo de HFC en Togo se </w:t>
      </w:r>
      <w:r w:rsidR="00247AE4">
        <w:rPr>
          <w:lang w:val="es-ES_tradnl"/>
        </w:rPr>
        <w:t xml:space="preserve">estableció </w:t>
      </w:r>
      <w:r w:rsidR="00247AE4" w:rsidRPr="00DB5136">
        <w:rPr>
          <w:lang w:val="es-ES_tradnl"/>
        </w:rPr>
        <w:t>en 1</w:t>
      </w:r>
      <w:r w:rsidR="00247AE4">
        <w:rPr>
          <w:lang w:val="es-ES_tradnl"/>
        </w:rPr>
        <w:t>.</w:t>
      </w:r>
      <w:r w:rsidR="00247AE4" w:rsidRPr="00DB5136">
        <w:rPr>
          <w:lang w:val="es-ES_tradnl"/>
        </w:rPr>
        <w:t>124</w:t>
      </w:r>
      <w:r w:rsidR="00247AE4">
        <w:rPr>
          <w:lang w:val="es-ES_tradnl"/>
        </w:rPr>
        <w:t>.</w:t>
      </w:r>
      <w:r w:rsidR="00247AE4" w:rsidRPr="00DB5136">
        <w:rPr>
          <w:lang w:val="es-ES_tradnl"/>
        </w:rPr>
        <w:t xml:space="preserve">896 </w:t>
      </w:r>
      <w:r w:rsidR="00247AE4">
        <w:rPr>
          <w:lang w:val="es-ES_tradnl"/>
        </w:rPr>
        <w:t>toneladas de CO</w:t>
      </w:r>
      <w:r w:rsidR="00247AE4">
        <w:rPr>
          <w:rFonts w:ascii="Cambria Math" w:hAnsi="Cambria Math" w:cs="Cambria Math"/>
          <w:lang w:val="es-ES_tradnl"/>
        </w:rPr>
        <w:t>₂</w:t>
      </w:r>
      <w:r w:rsidR="00247AE4">
        <w:rPr>
          <w:lang w:val="es-ES_tradnl"/>
        </w:rPr>
        <w:t xml:space="preserve"> equivalente</w:t>
      </w:r>
      <w:r w:rsidR="00247AE4" w:rsidRPr="00DB5136">
        <w:rPr>
          <w:lang w:val="es-ES_tradnl"/>
        </w:rPr>
        <w:t xml:space="preserve">. </w:t>
      </w:r>
      <w:r w:rsidR="00247AE4">
        <w:rPr>
          <w:lang w:val="es-ES_tradnl"/>
        </w:rPr>
        <w:t>E</w:t>
      </w:r>
      <w:r w:rsidR="00247AE4">
        <w:rPr>
          <w:lang w:val="es-ES_tradnl" w:eastAsia="zh-CN"/>
        </w:rPr>
        <w:t>l Cuadro</w:t>
      </w:r>
      <w:r w:rsidR="00247AE4" w:rsidRPr="00DB5136">
        <w:rPr>
          <w:lang w:val="es-ES_tradnl" w:eastAsia="zh-CN"/>
        </w:rPr>
        <w:t xml:space="preserve"> 1 presenta el consumo de HFC en </w:t>
      </w:r>
      <w:r w:rsidR="00247AE4">
        <w:rPr>
          <w:lang w:val="es-ES_tradnl" w:eastAsia="zh-CN"/>
        </w:rPr>
        <w:t>ese país</w:t>
      </w:r>
      <w:r w:rsidR="00247AE4" w:rsidRPr="00DB5136">
        <w:rPr>
          <w:lang w:val="es-ES_tradnl" w:eastAsia="zh-CN"/>
        </w:rPr>
        <w:t>.</w:t>
      </w:r>
    </w:p>
    <w:p w14:paraId="3C809156" w14:textId="77777777" w:rsidR="00247AE4" w:rsidRPr="00DB5136" w:rsidRDefault="00247AE4" w:rsidP="00247AE4">
      <w:pPr>
        <w:keepNext/>
        <w:rPr>
          <w:b/>
          <w:bCs/>
          <w:highlight w:val="yellow"/>
          <w:lang w:val="es-ES_tradnl" w:eastAsia="zh-CN"/>
        </w:rPr>
      </w:pPr>
      <w:r w:rsidRPr="00DB5136">
        <w:rPr>
          <w:b/>
          <w:bCs/>
          <w:lang w:val="es-ES_tradnl" w:eastAsia="zh-CN"/>
        </w:rPr>
        <w:t>Cuadro 1. Consumo de HFC en Togo (2020-2024</w:t>
      </w:r>
      <w:r>
        <w:rPr>
          <w:b/>
          <w:bCs/>
          <w:lang w:val="es-ES_tradnl" w:eastAsia="zh-CN"/>
        </w:rPr>
        <w:t xml:space="preserve"> en virtud del</w:t>
      </w:r>
      <w:r w:rsidRPr="00DB5136">
        <w:rPr>
          <w:b/>
          <w:bCs/>
          <w:lang w:val="es-ES_tradnl" w:eastAsia="zh-CN"/>
        </w:rPr>
        <w:t xml:space="preserve"> </w:t>
      </w:r>
      <w:r>
        <w:rPr>
          <w:b/>
          <w:bCs/>
          <w:lang w:val="es-ES_tradnl" w:eastAsia="zh-CN"/>
        </w:rPr>
        <w:t>Artículo</w:t>
      </w:r>
      <w:r w:rsidRPr="00DB5136">
        <w:rPr>
          <w:b/>
          <w:bCs/>
          <w:lang w:val="es-ES_tradnl" w:eastAsia="zh-CN"/>
        </w:rPr>
        <w:t xml:space="preserve"> 7)</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247AE4" w:rsidRPr="00DB5136" w14:paraId="1BAE0A3B" w14:textId="77777777" w:rsidTr="00512EC5">
        <w:trPr>
          <w:trHeight w:val="300"/>
          <w:tblHeader/>
        </w:trPr>
        <w:tc>
          <w:tcPr>
            <w:tcW w:w="1589" w:type="pct"/>
            <w:noWrap/>
            <w:vAlign w:val="center"/>
            <w:hideMark/>
          </w:tcPr>
          <w:p w14:paraId="2B5474B9" w14:textId="77777777" w:rsidR="00247AE4" w:rsidRPr="00DB5136" w:rsidRDefault="00247AE4" w:rsidP="00512EC5">
            <w:pPr>
              <w:keepNext/>
              <w:jc w:val="left"/>
              <w:rPr>
                <w:b/>
                <w:bCs/>
                <w:color w:val="000000"/>
                <w:sz w:val="20"/>
                <w:szCs w:val="20"/>
                <w:lang w:val="es-ES_tradnl" w:eastAsia="en-CA"/>
              </w:rPr>
            </w:pPr>
            <w:r w:rsidRPr="00DB5136">
              <w:rPr>
                <w:b/>
                <w:bCs/>
                <w:color w:val="000000"/>
                <w:sz w:val="20"/>
                <w:szCs w:val="20"/>
                <w:lang w:val="es-ES_tradnl" w:eastAsia="en-CA"/>
              </w:rPr>
              <w:t xml:space="preserve">Consumo de HFC </w:t>
            </w:r>
          </w:p>
        </w:tc>
        <w:tc>
          <w:tcPr>
            <w:tcW w:w="683" w:type="pct"/>
            <w:noWrap/>
            <w:vAlign w:val="center"/>
            <w:hideMark/>
          </w:tcPr>
          <w:p w14:paraId="620EA6EF" w14:textId="77777777" w:rsidR="00247AE4" w:rsidRPr="00DB5136" w:rsidRDefault="00247AE4" w:rsidP="00512EC5">
            <w:pPr>
              <w:keepNext/>
              <w:jc w:val="center"/>
              <w:rPr>
                <w:b/>
                <w:bCs/>
                <w:color w:val="000000"/>
                <w:sz w:val="20"/>
                <w:szCs w:val="20"/>
                <w:lang w:val="es-ES_tradnl" w:eastAsia="en-CA"/>
              </w:rPr>
            </w:pPr>
            <w:r w:rsidRPr="00DB5136">
              <w:rPr>
                <w:b/>
                <w:bCs/>
                <w:color w:val="000000"/>
                <w:sz w:val="20"/>
                <w:szCs w:val="20"/>
                <w:lang w:val="es-ES_tradnl" w:eastAsia="en-CA"/>
              </w:rPr>
              <w:t>2020</w:t>
            </w:r>
          </w:p>
        </w:tc>
        <w:tc>
          <w:tcPr>
            <w:tcW w:w="683" w:type="pct"/>
            <w:noWrap/>
            <w:vAlign w:val="center"/>
            <w:hideMark/>
          </w:tcPr>
          <w:p w14:paraId="672714D6" w14:textId="77777777" w:rsidR="00247AE4" w:rsidRPr="00DB5136" w:rsidRDefault="00247AE4" w:rsidP="00512EC5">
            <w:pPr>
              <w:keepNext/>
              <w:jc w:val="center"/>
              <w:rPr>
                <w:b/>
                <w:bCs/>
                <w:color w:val="000000"/>
                <w:sz w:val="20"/>
                <w:szCs w:val="20"/>
                <w:lang w:val="es-ES_tradnl" w:eastAsia="en-CA"/>
              </w:rPr>
            </w:pPr>
            <w:r w:rsidRPr="00DB5136">
              <w:rPr>
                <w:b/>
                <w:bCs/>
                <w:color w:val="000000"/>
                <w:sz w:val="20"/>
                <w:szCs w:val="20"/>
                <w:lang w:val="es-ES_tradnl" w:eastAsia="en-CA"/>
              </w:rPr>
              <w:t>2021</w:t>
            </w:r>
          </w:p>
        </w:tc>
        <w:tc>
          <w:tcPr>
            <w:tcW w:w="683" w:type="pct"/>
            <w:noWrap/>
            <w:vAlign w:val="center"/>
            <w:hideMark/>
          </w:tcPr>
          <w:p w14:paraId="615732CD" w14:textId="77777777" w:rsidR="00247AE4" w:rsidRPr="00DB5136" w:rsidRDefault="00247AE4" w:rsidP="00512EC5">
            <w:pPr>
              <w:keepNext/>
              <w:jc w:val="center"/>
              <w:rPr>
                <w:b/>
                <w:bCs/>
                <w:color w:val="000000"/>
                <w:sz w:val="20"/>
                <w:szCs w:val="20"/>
                <w:lang w:val="es-ES_tradnl" w:eastAsia="en-CA"/>
              </w:rPr>
            </w:pPr>
            <w:r w:rsidRPr="00DB5136">
              <w:rPr>
                <w:b/>
                <w:bCs/>
                <w:color w:val="000000"/>
                <w:sz w:val="20"/>
                <w:szCs w:val="20"/>
                <w:lang w:val="es-ES_tradnl" w:eastAsia="en-CA"/>
              </w:rPr>
              <w:t>2022</w:t>
            </w:r>
          </w:p>
        </w:tc>
        <w:tc>
          <w:tcPr>
            <w:tcW w:w="681" w:type="pct"/>
            <w:vAlign w:val="center"/>
          </w:tcPr>
          <w:p w14:paraId="6944D33D" w14:textId="77777777" w:rsidR="00247AE4" w:rsidRPr="00DB5136" w:rsidRDefault="00247AE4" w:rsidP="00512EC5">
            <w:pPr>
              <w:keepNext/>
              <w:jc w:val="center"/>
              <w:rPr>
                <w:b/>
                <w:bCs/>
                <w:color w:val="000000" w:themeColor="text1"/>
                <w:sz w:val="20"/>
                <w:szCs w:val="20"/>
                <w:lang w:val="es-ES_tradnl" w:eastAsia="en-CA"/>
              </w:rPr>
            </w:pPr>
            <w:r w:rsidRPr="00DB5136">
              <w:rPr>
                <w:b/>
                <w:bCs/>
                <w:color w:val="000000" w:themeColor="text1"/>
                <w:sz w:val="20"/>
                <w:szCs w:val="20"/>
                <w:lang w:val="es-ES_tradnl" w:eastAsia="en-CA"/>
              </w:rPr>
              <w:t>2023</w:t>
            </w:r>
          </w:p>
        </w:tc>
        <w:tc>
          <w:tcPr>
            <w:tcW w:w="681" w:type="pct"/>
            <w:vAlign w:val="center"/>
          </w:tcPr>
          <w:p w14:paraId="1068B32A" w14:textId="77777777" w:rsidR="00247AE4" w:rsidRPr="00DB5136" w:rsidRDefault="00247AE4" w:rsidP="00512EC5">
            <w:pPr>
              <w:keepNext/>
              <w:jc w:val="center"/>
              <w:rPr>
                <w:b/>
                <w:bCs/>
                <w:color w:val="000000" w:themeColor="text1"/>
                <w:sz w:val="20"/>
                <w:szCs w:val="20"/>
                <w:lang w:val="es-ES_tradnl" w:eastAsia="en-CA"/>
              </w:rPr>
            </w:pPr>
            <w:r w:rsidRPr="00DB5136">
              <w:rPr>
                <w:b/>
                <w:bCs/>
                <w:color w:val="000000" w:themeColor="text1"/>
                <w:sz w:val="20"/>
                <w:szCs w:val="20"/>
                <w:lang w:val="es-ES_tradnl" w:eastAsia="en-CA"/>
              </w:rPr>
              <w:t>2024</w:t>
            </w:r>
          </w:p>
        </w:tc>
      </w:tr>
      <w:tr w:rsidR="00247AE4" w:rsidRPr="00DB5136" w14:paraId="6B49140B" w14:textId="77777777" w:rsidTr="00512EC5">
        <w:trPr>
          <w:trHeight w:val="300"/>
        </w:trPr>
        <w:tc>
          <w:tcPr>
            <w:tcW w:w="1589" w:type="pct"/>
            <w:noWrap/>
            <w:vAlign w:val="center"/>
            <w:hideMark/>
          </w:tcPr>
          <w:p w14:paraId="7ECB4735" w14:textId="77777777" w:rsidR="00247AE4" w:rsidRPr="00DB5136" w:rsidRDefault="00247AE4" w:rsidP="00512EC5">
            <w:pPr>
              <w:keepNext/>
              <w:jc w:val="left"/>
              <w:rPr>
                <w:color w:val="000000"/>
                <w:sz w:val="20"/>
                <w:szCs w:val="20"/>
                <w:lang w:val="es-ES_tradnl" w:eastAsia="en-CA"/>
              </w:rPr>
            </w:pPr>
            <w:r>
              <w:rPr>
                <w:color w:val="000000"/>
                <w:sz w:val="20"/>
                <w:szCs w:val="20"/>
                <w:lang w:val="es-ES_tradnl" w:eastAsia="en-CA"/>
              </w:rPr>
              <w:t>T</w:t>
            </w:r>
            <w:r w:rsidRPr="00DB5136">
              <w:rPr>
                <w:color w:val="000000"/>
                <w:sz w:val="20"/>
                <w:szCs w:val="20"/>
                <w:lang w:val="es-ES_tradnl" w:eastAsia="en-CA"/>
              </w:rPr>
              <w:t xml:space="preserve">m </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777AAEC" w14:textId="77777777" w:rsidR="00247AE4" w:rsidRPr="00DB5136" w:rsidRDefault="00247AE4" w:rsidP="00512EC5">
            <w:pPr>
              <w:keepNext/>
              <w:jc w:val="center"/>
              <w:rPr>
                <w:color w:val="000000"/>
                <w:sz w:val="20"/>
                <w:szCs w:val="20"/>
                <w:lang w:val="es-ES_tradnl" w:eastAsia="en-CA"/>
              </w:rPr>
            </w:pPr>
            <w:r w:rsidRPr="00DB5136">
              <w:rPr>
                <w:color w:val="000000"/>
                <w:sz w:val="20"/>
                <w:szCs w:val="20"/>
                <w:lang w:val="es-ES_tradnl"/>
              </w:rPr>
              <w:t>332,04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24E50484" w14:textId="77777777" w:rsidR="00247AE4" w:rsidRPr="00DB5136" w:rsidRDefault="00247AE4" w:rsidP="00512EC5">
            <w:pPr>
              <w:keepNext/>
              <w:jc w:val="center"/>
              <w:rPr>
                <w:color w:val="000000"/>
                <w:sz w:val="20"/>
                <w:szCs w:val="20"/>
                <w:lang w:val="es-ES_tradnl" w:eastAsia="en-CA"/>
              </w:rPr>
            </w:pPr>
            <w:r w:rsidRPr="00DB5136">
              <w:rPr>
                <w:color w:val="000000"/>
                <w:sz w:val="20"/>
                <w:szCs w:val="20"/>
                <w:lang w:val="es-ES_tradnl"/>
              </w:rPr>
              <w:t>358,94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00EAFB32" w14:textId="77777777" w:rsidR="00247AE4" w:rsidRPr="00DB5136" w:rsidRDefault="00247AE4" w:rsidP="00512EC5">
            <w:pPr>
              <w:keepNext/>
              <w:jc w:val="center"/>
              <w:rPr>
                <w:color w:val="000000"/>
                <w:sz w:val="20"/>
                <w:szCs w:val="20"/>
                <w:lang w:val="es-ES_tradnl" w:eastAsia="en-CA"/>
              </w:rPr>
            </w:pPr>
            <w:r w:rsidRPr="00DB5136">
              <w:rPr>
                <w:color w:val="000000"/>
                <w:sz w:val="20"/>
                <w:szCs w:val="20"/>
                <w:lang w:val="es-ES_tradnl"/>
              </w:rPr>
              <w:t>459,80</w:t>
            </w:r>
          </w:p>
        </w:tc>
        <w:tc>
          <w:tcPr>
            <w:tcW w:w="681" w:type="pct"/>
            <w:tcBorders>
              <w:top w:val="single" w:sz="4" w:space="0" w:color="auto"/>
              <w:left w:val="single" w:sz="4" w:space="0" w:color="auto"/>
              <w:bottom w:val="single" w:sz="4" w:space="0" w:color="auto"/>
              <w:right w:val="single" w:sz="4" w:space="0" w:color="auto"/>
            </w:tcBorders>
            <w:vAlign w:val="center"/>
          </w:tcPr>
          <w:p w14:paraId="51B36C54" w14:textId="77777777" w:rsidR="00247AE4" w:rsidRPr="00DB5136" w:rsidRDefault="00247AE4" w:rsidP="00512EC5">
            <w:pPr>
              <w:keepNext/>
              <w:jc w:val="center"/>
              <w:rPr>
                <w:color w:val="000000" w:themeColor="text1"/>
                <w:sz w:val="20"/>
                <w:szCs w:val="20"/>
                <w:lang w:val="es-ES_tradnl" w:eastAsia="en-CA"/>
              </w:rPr>
            </w:pPr>
            <w:r w:rsidRPr="00DB5136">
              <w:rPr>
                <w:sz w:val="20"/>
                <w:szCs w:val="20"/>
                <w:lang w:val="es-ES_tradnl"/>
              </w:rPr>
              <w:t>396,50</w:t>
            </w:r>
          </w:p>
        </w:tc>
        <w:tc>
          <w:tcPr>
            <w:tcW w:w="681" w:type="pct"/>
            <w:vAlign w:val="center"/>
          </w:tcPr>
          <w:p w14:paraId="6B4FB113" w14:textId="77777777" w:rsidR="00247AE4" w:rsidRPr="00DB5136" w:rsidRDefault="00247AE4" w:rsidP="00512EC5">
            <w:pPr>
              <w:keepNext/>
              <w:jc w:val="center"/>
              <w:rPr>
                <w:color w:val="000000" w:themeColor="text1"/>
                <w:sz w:val="20"/>
                <w:szCs w:val="20"/>
                <w:lang w:val="es-ES_tradnl" w:eastAsia="en-CA"/>
              </w:rPr>
            </w:pPr>
            <w:r w:rsidRPr="00DB5136">
              <w:rPr>
                <w:color w:val="000000" w:themeColor="text1"/>
                <w:sz w:val="20"/>
                <w:szCs w:val="20"/>
                <w:lang w:val="es-ES_tradnl" w:eastAsia="en-CA"/>
              </w:rPr>
              <w:t>584,13</w:t>
            </w:r>
          </w:p>
        </w:tc>
      </w:tr>
      <w:tr w:rsidR="00247AE4" w:rsidRPr="00DB5136" w14:paraId="3913EB1C" w14:textId="77777777" w:rsidTr="00512EC5">
        <w:trPr>
          <w:trHeight w:val="300"/>
        </w:trPr>
        <w:tc>
          <w:tcPr>
            <w:tcW w:w="1589" w:type="pct"/>
            <w:noWrap/>
            <w:vAlign w:val="center"/>
          </w:tcPr>
          <w:p w14:paraId="6D92EACC" w14:textId="77777777" w:rsidR="00247AE4" w:rsidRPr="00DB5136" w:rsidRDefault="00247AE4" w:rsidP="00512EC5">
            <w:pPr>
              <w:jc w:val="left"/>
              <w:rPr>
                <w:color w:val="1E1E1E"/>
                <w:sz w:val="20"/>
                <w:szCs w:val="20"/>
                <w:lang w:val="es-ES_tradnl"/>
              </w:rPr>
            </w:pPr>
            <w:r w:rsidRPr="00DB5136">
              <w:rPr>
                <w:color w:val="1E1E1E"/>
                <w:sz w:val="20"/>
                <w:szCs w:val="20"/>
                <w:lang w:val="es-ES_tradnl"/>
              </w:rPr>
              <w:t xml:space="preserve">Toneladas de </w:t>
            </w:r>
            <w:r>
              <w:rPr>
                <w:lang w:val="es-ES_tradnl"/>
              </w:rPr>
              <w:t>CO</w:t>
            </w:r>
            <w:r>
              <w:rPr>
                <w:rFonts w:ascii="Cambria Math" w:hAnsi="Cambria Math" w:cs="Cambria Math"/>
                <w:lang w:val="es-ES_tradnl"/>
              </w:rPr>
              <w:t>₂</w:t>
            </w:r>
            <w:r>
              <w:rPr>
                <w:rFonts w:ascii="American Typewriter" w:hAnsi="American Typewriter" w:cs="American Typewriter"/>
                <w:lang w:val="es-ES_tradnl"/>
              </w:rPr>
              <w:t xml:space="preserve"> </w:t>
            </w:r>
            <w:r w:rsidRPr="00DB5136">
              <w:rPr>
                <w:color w:val="1E1E1E"/>
                <w:sz w:val="20"/>
                <w:szCs w:val="20"/>
                <w:lang w:val="es-ES_tradnl"/>
              </w:rPr>
              <w:t>equivalente</w:t>
            </w:r>
          </w:p>
        </w:tc>
        <w:tc>
          <w:tcPr>
            <w:tcW w:w="683" w:type="pct"/>
            <w:tcBorders>
              <w:top w:val="single" w:sz="4" w:space="0" w:color="auto"/>
              <w:left w:val="single" w:sz="4" w:space="0" w:color="auto"/>
              <w:bottom w:val="single" w:sz="4" w:space="0" w:color="auto"/>
              <w:right w:val="single" w:sz="4" w:space="0" w:color="auto"/>
            </w:tcBorders>
            <w:noWrap/>
            <w:vAlign w:val="center"/>
          </w:tcPr>
          <w:p w14:paraId="3846773E" w14:textId="77777777" w:rsidR="00247AE4" w:rsidRPr="00DB5136" w:rsidRDefault="00247AE4" w:rsidP="00512EC5">
            <w:pPr>
              <w:jc w:val="center"/>
              <w:rPr>
                <w:color w:val="000000"/>
                <w:sz w:val="20"/>
                <w:szCs w:val="20"/>
                <w:lang w:val="es-ES_tradnl" w:eastAsia="en-CA"/>
              </w:rPr>
            </w:pPr>
            <w:r w:rsidRPr="00DB5136">
              <w:rPr>
                <w:color w:val="000000"/>
                <w:sz w:val="20"/>
                <w:szCs w:val="20"/>
                <w:lang w:val="es-ES_tradnl"/>
              </w:rPr>
              <w:t>607</w:t>
            </w:r>
            <w:r>
              <w:rPr>
                <w:color w:val="000000"/>
                <w:sz w:val="20"/>
                <w:szCs w:val="20"/>
                <w:lang w:val="es-ES_tradnl"/>
              </w:rPr>
              <w:t>.</w:t>
            </w:r>
            <w:r w:rsidRPr="00DB5136">
              <w:rPr>
                <w:color w:val="000000"/>
                <w:sz w:val="20"/>
                <w:szCs w:val="20"/>
                <w:lang w:val="es-ES_tradnl"/>
              </w:rPr>
              <w:t>767</w:t>
            </w:r>
          </w:p>
        </w:tc>
        <w:tc>
          <w:tcPr>
            <w:tcW w:w="683" w:type="pct"/>
            <w:tcBorders>
              <w:top w:val="single" w:sz="4" w:space="0" w:color="auto"/>
              <w:left w:val="single" w:sz="4" w:space="0" w:color="auto"/>
              <w:bottom w:val="single" w:sz="4" w:space="0" w:color="auto"/>
              <w:right w:val="single" w:sz="4" w:space="0" w:color="auto"/>
            </w:tcBorders>
            <w:noWrap/>
            <w:vAlign w:val="center"/>
          </w:tcPr>
          <w:p w14:paraId="025944FE" w14:textId="77777777" w:rsidR="00247AE4" w:rsidRPr="00DB5136" w:rsidRDefault="00247AE4" w:rsidP="00512EC5">
            <w:pPr>
              <w:jc w:val="center"/>
              <w:rPr>
                <w:color w:val="000000"/>
                <w:sz w:val="20"/>
                <w:szCs w:val="20"/>
                <w:lang w:val="es-ES_tradnl" w:eastAsia="en-CA"/>
              </w:rPr>
            </w:pPr>
            <w:r w:rsidRPr="00DB5136">
              <w:rPr>
                <w:color w:val="000000"/>
                <w:sz w:val="20"/>
                <w:szCs w:val="20"/>
                <w:lang w:val="es-ES_tradnl"/>
              </w:rPr>
              <w:t>635</w:t>
            </w:r>
            <w:r>
              <w:rPr>
                <w:color w:val="000000"/>
                <w:sz w:val="20"/>
                <w:szCs w:val="20"/>
                <w:lang w:val="es-ES_tradnl"/>
              </w:rPr>
              <w:t>.</w:t>
            </w:r>
            <w:r w:rsidRPr="00DB5136">
              <w:rPr>
                <w:color w:val="000000"/>
                <w:sz w:val="20"/>
                <w:szCs w:val="20"/>
                <w:lang w:val="es-ES_tradnl"/>
              </w:rPr>
              <w:t>045</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B871FB" w14:textId="77777777" w:rsidR="00247AE4" w:rsidRPr="00DB5136" w:rsidRDefault="00247AE4" w:rsidP="00512EC5">
            <w:pPr>
              <w:jc w:val="center"/>
              <w:rPr>
                <w:color w:val="000000"/>
                <w:sz w:val="20"/>
                <w:szCs w:val="20"/>
                <w:lang w:val="es-ES_tradnl" w:eastAsia="en-CA"/>
              </w:rPr>
            </w:pPr>
            <w:r w:rsidRPr="00DB5136">
              <w:rPr>
                <w:color w:val="000000"/>
                <w:sz w:val="20"/>
                <w:szCs w:val="20"/>
                <w:lang w:val="es-ES_tradnl"/>
              </w:rPr>
              <w:t>852</w:t>
            </w:r>
            <w:r>
              <w:rPr>
                <w:color w:val="000000"/>
                <w:sz w:val="20"/>
                <w:szCs w:val="20"/>
                <w:lang w:val="es-ES_tradnl"/>
              </w:rPr>
              <w:t>.</w:t>
            </w:r>
            <w:r w:rsidRPr="00DB5136">
              <w:rPr>
                <w:color w:val="000000"/>
                <w:sz w:val="20"/>
                <w:szCs w:val="20"/>
                <w:lang w:val="es-ES_tradnl"/>
              </w:rPr>
              <w:t>133</w:t>
            </w:r>
          </w:p>
        </w:tc>
        <w:tc>
          <w:tcPr>
            <w:tcW w:w="681" w:type="pct"/>
            <w:tcBorders>
              <w:top w:val="single" w:sz="4" w:space="0" w:color="auto"/>
              <w:left w:val="single" w:sz="4" w:space="0" w:color="auto"/>
              <w:bottom w:val="single" w:sz="4" w:space="0" w:color="auto"/>
              <w:right w:val="single" w:sz="4" w:space="0" w:color="auto"/>
            </w:tcBorders>
            <w:vAlign w:val="center"/>
          </w:tcPr>
          <w:p w14:paraId="7FF97C61" w14:textId="77777777" w:rsidR="00247AE4" w:rsidRPr="00DB5136" w:rsidRDefault="00247AE4" w:rsidP="00512EC5">
            <w:pPr>
              <w:jc w:val="center"/>
              <w:rPr>
                <w:color w:val="000000" w:themeColor="text1"/>
                <w:sz w:val="20"/>
                <w:szCs w:val="20"/>
                <w:lang w:val="es-ES_tradnl" w:eastAsia="en-CA"/>
              </w:rPr>
            </w:pPr>
            <w:r w:rsidRPr="00DB5136">
              <w:rPr>
                <w:color w:val="000000"/>
                <w:sz w:val="20"/>
                <w:szCs w:val="20"/>
                <w:lang w:val="es-ES_tradnl"/>
              </w:rPr>
              <w:t>736</w:t>
            </w:r>
            <w:r>
              <w:rPr>
                <w:color w:val="000000"/>
                <w:sz w:val="20"/>
                <w:szCs w:val="20"/>
                <w:lang w:val="es-ES_tradnl"/>
              </w:rPr>
              <w:t>.</w:t>
            </w:r>
            <w:r w:rsidRPr="00DB5136">
              <w:rPr>
                <w:color w:val="000000"/>
                <w:sz w:val="20"/>
                <w:szCs w:val="20"/>
                <w:lang w:val="es-ES_tradnl"/>
              </w:rPr>
              <w:t>797</w:t>
            </w:r>
          </w:p>
        </w:tc>
        <w:tc>
          <w:tcPr>
            <w:tcW w:w="681" w:type="pct"/>
            <w:vAlign w:val="center"/>
          </w:tcPr>
          <w:p w14:paraId="2125900C" w14:textId="77777777" w:rsidR="00247AE4" w:rsidRPr="00DB5136" w:rsidRDefault="00247AE4" w:rsidP="00512EC5">
            <w:pPr>
              <w:jc w:val="center"/>
              <w:rPr>
                <w:color w:val="000000" w:themeColor="text1"/>
                <w:sz w:val="20"/>
                <w:szCs w:val="20"/>
                <w:lang w:val="es-ES_tradnl" w:eastAsia="en-CA"/>
              </w:rPr>
            </w:pPr>
            <w:r w:rsidRPr="00DB5136">
              <w:rPr>
                <w:color w:val="000000" w:themeColor="text1"/>
                <w:sz w:val="20"/>
                <w:szCs w:val="20"/>
                <w:lang w:val="es-ES_tradnl" w:eastAsia="en-CA"/>
              </w:rPr>
              <w:t>1</w:t>
            </w:r>
            <w:r>
              <w:rPr>
                <w:color w:val="000000" w:themeColor="text1"/>
                <w:sz w:val="20"/>
                <w:szCs w:val="20"/>
                <w:lang w:val="es-ES_tradnl" w:eastAsia="en-CA"/>
              </w:rPr>
              <w:t>.</w:t>
            </w:r>
            <w:r w:rsidRPr="00DB5136">
              <w:rPr>
                <w:color w:val="000000" w:themeColor="text1"/>
                <w:sz w:val="20"/>
                <w:szCs w:val="20"/>
                <w:lang w:val="es-ES_tradnl" w:eastAsia="en-CA"/>
              </w:rPr>
              <w:t>116</w:t>
            </w:r>
            <w:r>
              <w:rPr>
                <w:color w:val="000000" w:themeColor="text1"/>
                <w:sz w:val="20"/>
                <w:szCs w:val="20"/>
                <w:lang w:val="es-ES_tradnl" w:eastAsia="en-CA"/>
              </w:rPr>
              <w:t>.</w:t>
            </w:r>
            <w:r w:rsidRPr="00DB5136">
              <w:rPr>
                <w:color w:val="000000" w:themeColor="text1"/>
                <w:sz w:val="20"/>
                <w:szCs w:val="20"/>
                <w:lang w:val="es-ES_tradnl" w:eastAsia="en-CA"/>
              </w:rPr>
              <w:t>869</w:t>
            </w:r>
          </w:p>
        </w:tc>
      </w:tr>
    </w:tbl>
    <w:p w14:paraId="4C2F6757" w14:textId="77777777" w:rsidR="00247AE4" w:rsidRPr="00DB5136" w:rsidRDefault="00247AE4" w:rsidP="00247AE4">
      <w:pPr>
        <w:tabs>
          <w:tab w:val="left" w:pos="1384"/>
          <w:tab w:val="left" w:pos="2917"/>
          <w:tab w:val="left" w:pos="4289"/>
          <w:tab w:val="left" w:pos="5581"/>
          <w:tab w:val="left" w:pos="6875"/>
          <w:tab w:val="left" w:pos="8169"/>
        </w:tabs>
        <w:ind w:left="113"/>
        <w:jc w:val="left"/>
        <w:rPr>
          <w:color w:val="000000" w:themeColor="text1"/>
          <w:sz w:val="20"/>
          <w:szCs w:val="20"/>
          <w:lang w:val="es-ES_tradnl" w:eastAsia="en-CA"/>
        </w:rPr>
      </w:pPr>
    </w:p>
    <w:p w14:paraId="519C4A19" w14:textId="725DFB2D" w:rsidR="00247AE4" w:rsidRPr="00DB5136" w:rsidRDefault="00454E60" w:rsidP="00454E60">
      <w:pPr>
        <w:pStyle w:val="Heading1"/>
        <w:numPr>
          <w:ilvl w:val="0"/>
          <w:numId w:val="0"/>
        </w:numPr>
        <w:rPr>
          <w:lang w:val="es-ES_tradnl"/>
        </w:rPr>
      </w:pPr>
      <w:r>
        <w:rPr>
          <w:lang w:val="es-ES_tradnl"/>
        </w:rPr>
        <w:t>9.</w:t>
      </w:r>
      <w:r>
        <w:rPr>
          <w:lang w:val="es-ES_tradnl"/>
        </w:rPr>
        <w:tab/>
      </w:r>
      <w:r w:rsidR="00247AE4" w:rsidRPr="00DB5136">
        <w:rPr>
          <w:lang w:val="es-ES_tradnl"/>
        </w:rPr>
        <w:t>El consumo de HFC ha sido irregular, debido en gran medida a los efectos de la pandemia del Covid-19, en particular a la disminución del consumo en 2020 y 2021</w:t>
      </w:r>
      <w:r w:rsidR="00247AE4">
        <w:rPr>
          <w:lang w:val="es-ES_tradnl"/>
        </w:rPr>
        <w:t>,</w:t>
      </w:r>
      <w:r w:rsidR="00247AE4" w:rsidRPr="00DB5136">
        <w:rPr>
          <w:lang w:val="es-ES_tradnl"/>
        </w:rPr>
        <w:t xml:space="preserve"> como consecuencia de la reducción del servicio técnico de equipos de refrigeración y climatización durante la pandemia, seguid</w:t>
      </w:r>
      <w:r w:rsidR="00247AE4">
        <w:rPr>
          <w:lang w:val="es-ES_tradnl"/>
        </w:rPr>
        <w:t>o</w:t>
      </w:r>
      <w:r w:rsidR="00247AE4" w:rsidRPr="00DB5136">
        <w:rPr>
          <w:lang w:val="es-ES_tradnl"/>
        </w:rPr>
        <w:t xml:space="preserve"> de importaciones</w:t>
      </w:r>
      <w:r w:rsidR="00247AE4">
        <w:rPr>
          <w:lang w:val="es-ES_tradnl"/>
        </w:rPr>
        <w:t xml:space="preserve"> considerables</w:t>
      </w:r>
      <w:r w:rsidR="00247AE4" w:rsidRPr="00DB5136">
        <w:rPr>
          <w:lang w:val="es-ES_tradnl"/>
        </w:rPr>
        <w:t xml:space="preserve"> en previsión de una elevada demanda de mantenimiento en 2022</w:t>
      </w:r>
      <w:r w:rsidR="00247AE4">
        <w:rPr>
          <w:lang w:val="es-ES_tradnl"/>
        </w:rPr>
        <w:t>; no obstante,</w:t>
      </w:r>
      <w:r w:rsidR="00247AE4" w:rsidRPr="00DB5136">
        <w:rPr>
          <w:lang w:val="es-ES_tradnl"/>
        </w:rPr>
        <w:t xml:space="preserve"> es probable que esas necesidades se sobreestima</w:t>
      </w:r>
      <w:r w:rsidR="00247AE4">
        <w:rPr>
          <w:lang w:val="es-ES_tradnl"/>
        </w:rPr>
        <w:t>se</w:t>
      </w:r>
      <w:r w:rsidR="00247AE4" w:rsidRPr="00DB5136">
        <w:rPr>
          <w:lang w:val="es-ES_tradnl"/>
        </w:rPr>
        <w:t>n y se utiliza</w:t>
      </w:r>
      <w:r w:rsidR="00247AE4">
        <w:rPr>
          <w:lang w:val="es-ES_tradnl"/>
        </w:rPr>
        <w:t>se</w:t>
      </w:r>
      <w:r w:rsidR="00247AE4" w:rsidRPr="00DB5136">
        <w:rPr>
          <w:lang w:val="es-ES_tradnl"/>
        </w:rPr>
        <w:t xml:space="preserve">n en 2023, lo que redujo las cantidades importadas para ese año. </w:t>
      </w:r>
      <w:r w:rsidR="00247AE4">
        <w:rPr>
          <w:lang w:val="es-ES_tradnl"/>
        </w:rPr>
        <w:t xml:space="preserve">Si bien </w:t>
      </w:r>
      <w:r w:rsidR="00247AE4" w:rsidRPr="00DB5136">
        <w:rPr>
          <w:lang w:val="es-ES_tradnl"/>
        </w:rPr>
        <w:t xml:space="preserve">en 2024 el consumo es </w:t>
      </w:r>
      <w:r w:rsidR="00247AE4">
        <w:rPr>
          <w:lang w:val="es-ES_tradnl"/>
        </w:rPr>
        <w:t xml:space="preserve">notablemente </w:t>
      </w:r>
      <w:r w:rsidR="00247AE4" w:rsidRPr="00DB5136">
        <w:rPr>
          <w:lang w:val="es-ES_tradnl"/>
        </w:rPr>
        <w:t>superior al de años anteriores, se encuentra dentro del consumo máximo permitido por las medidas de control del Protocolo de Montreal y el Acuerdo</w:t>
      </w:r>
      <w:r w:rsidR="00247AE4">
        <w:rPr>
          <w:lang w:val="es-ES_tradnl"/>
        </w:rPr>
        <w:t xml:space="preserve"> del</w:t>
      </w:r>
      <w:r w:rsidR="00247AE4" w:rsidRPr="00DB5136">
        <w:rPr>
          <w:lang w:val="es-ES_tradnl"/>
        </w:rPr>
        <w:t xml:space="preserve"> PAK, y es coherente con la cuota para 2024</w:t>
      </w:r>
      <w:r w:rsidR="00247AE4">
        <w:rPr>
          <w:lang w:val="es-ES_tradnl"/>
        </w:rPr>
        <w:t>,</w:t>
      </w:r>
      <w:r w:rsidR="00247AE4" w:rsidRPr="00DB5136">
        <w:rPr>
          <w:lang w:val="es-ES_tradnl"/>
        </w:rPr>
        <w:t xml:space="preserve"> declarada por el país en </w:t>
      </w:r>
      <w:r w:rsidR="00247AE4">
        <w:rPr>
          <w:lang w:val="es-ES_tradnl"/>
        </w:rPr>
        <w:t xml:space="preserve">la </w:t>
      </w:r>
      <w:r w:rsidR="00247AE4" w:rsidRPr="00DB5136">
        <w:rPr>
          <w:lang w:val="es-ES_tradnl"/>
        </w:rPr>
        <w:t>etapa I del PAK.</w:t>
      </w:r>
      <w:r w:rsidR="00247AE4" w:rsidRPr="00DB5136">
        <w:rPr>
          <w:rStyle w:val="FootnoteReference"/>
          <w:lang w:val="es-ES_tradnl"/>
        </w:rPr>
        <w:footnoteReference w:id="8"/>
      </w:r>
    </w:p>
    <w:p w14:paraId="73D38495" w14:textId="7E5A74F0" w:rsidR="00247AE4" w:rsidRPr="00DB5136" w:rsidRDefault="00247AE4" w:rsidP="00247AE4">
      <w:pPr>
        <w:tabs>
          <w:tab w:val="num" w:pos="0"/>
        </w:tabs>
        <w:spacing w:after="240"/>
        <w:outlineLvl w:val="0"/>
        <w:rPr>
          <w:lang w:val="es-ES_tradnl"/>
        </w:rPr>
      </w:pPr>
      <w:r>
        <w:rPr>
          <w:noProof/>
          <w:lang w:val="es-ES_tradnl"/>
        </w:rPr>
        <mc:AlternateContent>
          <mc:Choice Requires="wpi">
            <w:drawing>
              <wp:anchor distT="0" distB="0" distL="114300" distR="114300" simplePos="0" relativeHeight="251658241" behindDoc="0" locked="0" layoutInCell="1" allowOverlap="1" wp14:anchorId="41DCDF53" wp14:editId="51703803">
                <wp:simplePos x="0" y="0"/>
                <wp:positionH relativeFrom="column">
                  <wp:posOffset>2047687</wp:posOffset>
                </wp:positionH>
                <wp:positionV relativeFrom="paragraph">
                  <wp:posOffset>873423</wp:posOffset>
                </wp:positionV>
                <wp:extent cx="276480" cy="19440"/>
                <wp:effectExtent l="95250" t="152400" r="104775" b="152400"/>
                <wp:wrapNone/>
                <wp:docPr id="545301884"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276480" cy="19440"/>
                      </w14:xfrm>
                    </w14:contentPart>
                  </a:graphicData>
                </a:graphic>
              </wp:anchor>
            </w:drawing>
          </mc:Choice>
          <mc:Fallback>
            <w:pict>
              <v:shape w14:anchorId="69C36E43" id="Ink 2" o:spid="_x0000_s1026" type="#_x0000_t75" style="position:absolute;margin-left:157pt;margin-top:60.1pt;width:30.25pt;height:18.9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">
                <v:imagedata r:id="rId16" o:title=""/>
              </v:shape>
            </w:pict>
          </mc:Fallback>
        </mc:AlternateContent>
      </w:r>
      <w:r w:rsidR="00454E60">
        <w:rPr>
          <w:lang w:val="es-ES_tradnl"/>
        </w:rPr>
        <w:t>10.</w:t>
      </w:r>
      <w:r w:rsidR="00454E60">
        <w:rPr>
          <w:lang w:val="es-ES_tradnl"/>
        </w:rPr>
        <w:tab/>
      </w:r>
      <w:r w:rsidRPr="00DB5136">
        <w:rPr>
          <w:lang w:val="es-ES_tradnl"/>
        </w:rPr>
        <w:t xml:space="preserve">Según se indica en el PAK, el segundo mayor consumo de HFC se destinó a los sistemas de climatización residencial, </w:t>
      </w:r>
      <w:r>
        <w:rPr>
          <w:lang w:val="es-ES_tradnl"/>
        </w:rPr>
        <w:t xml:space="preserve">representando </w:t>
      </w:r>
      <w:r w:rsidRPr="00DB5136">
        <w:rPr>
          <w:lang w:val="es-ES_tradnl"/>
        </w:rPr>
        <w:t>el 17,4 por ciento del consumo total de HFC en tm o el 19,2</w:t>
      </w:r>
      <w:r>
        <w:rPr>
          <w:lang w:val="es-ES_tradnl"/>
        </w:rPr>
        <w:t xml:space="preserve"> </w:t>
      </w:r>
      <w:r w:rsidRPr="00DB5136">
        <w:rPr>
          <w:lang w:val="es-ES_tradnl"/>
        </w:rPr>
        <w:t>por ciento en toneladas de CO</w:t>
      </w:r>
      <w:r w:rsidRPr="00776597">
        <w:rPr>
          <w:vertAlign w:val="subscript"/>
          <w:lang w:val="es-ES_tradnl"/>
        </w:rPr>
        <w:t>2</w:t>
      </w:r>
      <w:r w:rsidRPr="00DB5136">
        <w:rPr>
          <w:lang w:val="es-ES_tradnl"/>
        </w:rPr>
        <w:t xml:space="preserve"> equivalente. Se estima que hay 694</w:t>
      </w:r>
      <w:r>
        <w:rPr>
          <w:lang w:val="es-ES_tradnl"/>
        </w:rPr>
        <w:t>.</w:t>
      </w:r>
      <w:r w:rsidRPr="00DB5136">
        <w:rPr>
          <w:lang w:val="es-ES_tradnl"/>
        </w:rPr>
        <w:t xml:space="preserve">872 climatizadores de ventana, de dos bloques y portátiles que consumen HFC en el subsector de climatización residencial del país, con diferentes </w:t>
      </w:r>
      <w:r>
        <w:rPr>
          <w:lang w:val="es-ES_tradnl"/>
        </w:rPr>
        <w:t xml:space="preserve">índices </w:t>
      </w:r>
      <w:r w:rsidRPr="00DB5136">
        <w:rPr>
          <w:lang w:val="es-ES_tradnl"/>
        </w:rPr>
        <w:t xml:space="preserve">de fugas que oscilan entre el 10 por ciento y el 50 por ciento. La mayoría de </w:t>
      </w:r>
      <w:r>
        <w:rPr>
          <w:lang w:val="es-ES_tradnl"/>
        </w:rPr>
        <w:t>los aparatos</w:t>
      </w:r>
      <w:r w:rsidRPr="00DB5136">
        <w:rPr>
          <w:lang w:val="es-ES_tradnl"/>
        </w:rPr>
        <w:t xml:space="preserve"> a base de HFC en este subsector son </w:t>
      </w:r>
      <w:r>
        <w:rPr>
          <w:lang w:val="es-ES_tradnl"/>
        </w:rPr>
        <w:t xml:space="preserve">aparatos de dos bloques </w:t>
      </w:r>
      <w:r w:rsidRPr="00DB5136">
        <w:rPr>
          <w:lang w:val="es-ES_tradnl"/>
        </w:rPr>
        <w:t>a base de</w:t>
      </w:r>
      <w:r>
        <w:rPr>
          <w:lang w:val="es-ES_tradnl"/>
        </w:rPr>
        <w:t>l</w:t>
      </w:r>
      <w:r w:rsidRPr="00DB5136">
        <w:rPr>
          <w:lang w:val="es-ES_tradnl"/>
        </w:rPr>
        <w:t xml:space="preserve"> R-410A, aunque </w:t>
      </w:r>
      <w:r>
        <w:rPr>
          <w:lang w:val="es-ES_tradnl"/>
        </w:rPr>
        <w:t xml:space="preserve">siguen utilizándose </w:t>
      </w:r>
      <w:r w:rsidRPr="00DB5136">
        <w:rPr>
          <w:lang w:val="es-ES_tradnl"/>
        </w:rPr>
        <w:t xml:space="preserve">en el país </w:t>
      </w:r>
      <w:r>
        <w:rPr>
          <w:lang w:val="es-ES_tradnl"/>
        </w:rPr>
        <w:t xml:space="preserve">algunos aparatos </w:t>
      </w:r>
      <w:r w:rsidRPr="00DB5136">
        <w:rPr>
          <w:lang w:val="es-ES_tradnl"/>
        </w:rPr>
        <w:t>antigu</w:t>
      </w:r>
      <w:r>
        <w:rPr>
          <w:lang w:val="es-ES_tradnl"/>
        </w:rPr>
        <w:t>o</w:t>
      </w:r>
      <w:r w:rsidRPr="00DB5136">
        <w:rPr>
          <w:lang w:val="es-ES_tradnl"/>
        </w:rPr>
        <w:t xml:space="preserve">s de climatización residencial </w:t>
      </w:r>
      <w:r>
        <w:rPr>
          <w:lang w:val="es-ES_tradnl"/>
        </w:rPr>
        <w:t xml:space="preserve">a base del </w:t>
      </w:r>
      <w:r w:rsidRPr="00DB5136">
        <w:rPr>
          <w:lang w:val="es-ES_tradnl"/>
        </w:rPr>
        <w:t>HCFC-22.</w:t>
      </w:r>
    </w:p>
    <w:p w14:paraId="149250BA" w14:textId="2AABECB3" w:rsidR="00247AE4" w:rsidRPr="00DB5136" w:rsidRDefault="00454E60" w:rsidP="00247AE4">
      <w:pPr>
        <w:tabs>
          <w:tab w:val="num" w:pos="0"/>
        </w:tabs>
        <w:spacing w:after="240"/>
        <w:outlineLvl w:val="0"/>
        <w:rPr>
          <w:lang w:val="es-ES_tradnl"/>
        </w:rPr>
      </w:pPr>
      <w:r>
        <w:rPr>
          <w:lang w:val="es-ES_tradnl"/>
        </w:rPr>
        <w:lastRenderedPageBreak/>
        <w:t>11.</w:t>
      </w:r>
      <w:r>
        <w:rPr>
          <w:lang w:val="es-ES_tradnl"/>
        </w:rPr>
        <w:tab/>
      </w:r>
      <w:r w:rsidR="00247AE4" w:rsidRPr="00DB5136">
        <w:rPr>
          <w:lang w:val="es-ES_tradnl"/>
        </w:rPr>
        <w:t xml:space="preserve">Según los informes de ejecución del </w:t>
      </w:r>
      <w:r w:rsidR="00247AE4">
        <w:rPr>
          <w:lang w:val="es-ES_tradnl"/>
        </w:rPr>
        <w:t>programa de país</w:t>
      </w:r>
      <w:r w:rsidR="00247AE4" w:rsidRPr="00DB5136">
        <w:rPr>
          <w:lang w:val="es-ES_tradnl"/>
        </w:rPr>
        <w:t xml:space="preserve">, el R-410A muestra un </w:t>
      </w:r>
      <w:r w:rsidR="00247AE4">
        <w:rPr>
          <w:lang w:val="es-ES_tradnl"/>
        </w:rPr>
        <w:t xml:space="preserve">importante </w:t>
      </w:r>
      <w:r w:rsidR="00247AE4" w:rsidRPr="00DB5136">
        <w:rPr>
          <w:lang w:val="es-ES_tradnl"/>
        </w:rPr>
        <w:t>aumento en 2024, alcanzando las 238,02 tm (496</w:t>
      </w:r>
      <w:r w:rsidR="00247AE4">
        <w:rPr>
          <w:lang w:val="es-ES_tradnl"/>
        </w:rPr>
        <w:t>.</w:t>
      </w:r>
      <w:r w:rsidR="00247AE4" w:rsidRPr="00DB5136">
        <w:rPr>
          <w:lang w:val="es-ES_tradnl"/>
        </w:rPr>
        <w:t xml:space="preserve">986 </w:t>
      </w:r>
      <w:r w:rsidR="00247AE4">
        <w:rPr>
          <w:lang w:val="es-ES_tradnl"/>
        </w:rPr>
        <w:t xml:space="preserve">toneladas de </w:t>
      </w:r>
      <w:r w:rsidR="00247AE4" w:rsidRPr="008163D1">
        <w:rPr>
          <w:lang w:val="fr-CA"/>
        </w:rPr>
        <w:t>CO</w:t>
      </w:r>
      <w:r w:rsidR="00247AE4" w:rsidRPr="008163D1">
        <w:rPr>
          <w:vertAlign w:val="subscript"/>
          <w:lang w:val="fr-CA"/>
        </w:rPr>
        <w:t xml:space="preserve">2 </w:t>
      </w:r>
      <w:r w:rsidR="00247AE4" w:rsidRPr="00DB5136">
        <w:rPr>
          <w:lang w:val="es-ES_tradnl"/>
        </w:rPr>
        <w:t xml:space="preserve">equivalente) en comparación con las 128,82 tm (268 976 </w:t>
      </w:r>
      <w:r w:rsidR="00247AE4">
        <w:rPr>
          <w:lang w:val="es-ES_tradnl"/>
        </w:rPr>
        <w:t xml:space="preserve">toneladas de </w:t>
      </w:r>
      <w:r w:rsidR="00247AE4" w:rsidRPr="008163D1">
        <w:rPr>
          <w:lang w:val="fr-CA"/>
        </w:rPr>
        <w:t>CO</w:t>
      </w:r>
      <w:r w:rsidR="00247AE4" w:rsidRPr="008163D1">
        <w:rPr>
          <w:vertAlign w:val="subscript"/>
          <w:lang w:val="fr-CA"/>
        </w:rPr>
        <w:t xml:space="preserve">2 </w:t>
      </w:r>
      <w:r w:rsidR="00247AE4" w:rsidRPr="00DB5136">
        <w:rPr>
          <w:lang w:val="es-ES_tradnl"/>
        </w:rPr>
        <w:t>equivalente) en 2023.</w:t>
      </w:r>
    </w:p>
    <w:p w14:paraId="4C2FA824" w14:textId="77777777" w:rsidR="00247AE4" w:rsidRPr="00DB5136" w:rsidRDefault="00247AE4" w:rsidP="00247AE4">
      <w:pPr>
        <w:spacing w:after="240"/>
        <w:outlineLvl w:val="0"/>
        <w:rPr>
          <w:u w:val="single"/>
          <w:lang w:val="es-ES_tradnl"/>
        </w:rPr>
      </w:pPr>
      <w:bookmarkStart w:id="4" w:name="_Hlk126662278"/>
      <w:bookmarkStart w:id="5" w:name="_Hlk126934445"/>
      <w:r w:rsidRPr="00DB5136">
        <w:rPr>
          <w:u w:val="single"/>
          <w:lang w:val="es-ES_tradnl"/>
        </w:rPr>
        <w:t>Objetivos del proyecto</w:t>
      </w:r>
    </w:p>
    <w:p w14:paraId="5B524C3C" w14:textId="0678150C" w:rsidR="00247AE4" w:rsidRPr="00DB5136" w:rsidRDefault="00454E60" w:rsidP="00454E60">
      <w:pPr>
        <w:pStyle w:val="Heading1"/>
        <w:numPr>
          <w:ilvl w:val="0"/>
          <w:numId w:val="0"/>
        </w:numPr>
        <w:rPr>
          <w:lang w:val="es-ES_tradnl"/>
        </w:rPr>
      </w:pPr>
      <w:r>
        <w:rPr>
          <w:lang w:val="es-ES_tradnl"/>
        </w:rPr>
        <w:t>12.</w:t>
      </w:r>
      <w:r>
        <w:rPr>
          <w:lang w:val="es-ES_tradnl"/>
        </w:rPr>
        <w:tab/>
      </w:r>
      <w:r w:rsidR="00247AE4" w:rsidRPr="00DB5136">
        <w:rPr>
          <w:lang w:val="es-ES_tradnl"/>
        </w:rPr>
        <w:t>El proyecto piloto tiene por objet</w:t>
      </w:r>
      <w:r w:rsidR="00247AE4">
        <w:rPr>
          <w:lang w:val="es-ES_tradnl"/>
        </w:rPr>
        <w:t xml:space="preserve">ivo </w:t>
      </w:r>
      <w:r w:rsidR="00247AE4" w:rsidRPr="00DB5136">
        <w:rPr>
          <w:lang w:val="es-ES_tradnl"/>
        </w:rPr>
        <w:t xml:space="preserve">demostrar el </w:t>
      </w:r>
      <w:r w:rsidR="00247AE4">
        <w:rPr>
          <w:lang w:val="es-ES_tradnl"/>
        </w:rPr>
        <w:t>desempeño</w:t>
      </w:r>
      <w:r w:rsidR="00247AE4" w:rsidRPr="00DB5136">
        <w:rPr>
          <w:lang w:val="es-ES_tradnl"/>
        </w:rPr>
        <w:t xml:space="preserve"> y la viabilidad de la tecnología de </w:t>
      </w:r>
      <w:r w:rsidR="00247AE4">
        <w:rPr>
          <w:lang w:val="es-ES_tradnl"/>
        </w:rPr>
        <w:t xml:space="preserve">climatización </w:t>
      </w:r>
      <w:r w:rsidR="00247AE4" w:rsidRPr="00DB5136">
        <w:rPr>
          <w:lang w:val="es-ES_tradnl"/>
        </w:rPr>
        <w:t>a base</w:t>
      </w:r>
      <w:r w:rsidR="00247AE4">
        <w:rPr>
          <w:lang w:val="es-ES_tradnl"/>
        </w:rPr>
        <w:t xml:space="preserve"> del </w:t>
      </w:r>
      <w:r w:rsidR="00247AE4" w:rsidRPr="00DB5136">
        <w:rPr>
          <w:lang w:val="es-ES_tradnl"/>
        </w:rPr>
        <w:t xml:space="preserve">R-290, ecoenergética y de bajo </w:t>
      </w:r>
      <w:r w:rsidR="00247AE4">
        <w:rPr>
          <w:lang w:val="es-ES_tradnl"/>
        </w:rPr>
        <w:t>potencial de calentamiento atmosférico</w:t>
      </w:r>
      <w:r w:rsidR="00247AE4" w:rsidRPr="00DB5136">
        <w:rPr>
          <w:lang w:val="es-ES_tradnl"/>
        </w:rPr>
        <w:t xml:space="preserve">, mediante la sustitución de 211 </w:t>
      </w:r>
      <w:r w:rsidR="00247AE4">
        <w:rPr>
          <w:lang w:val="es-ES_tradnl"/>
        </w:rPr>
        <w:t>aparatos</w:t>
      </w:r>
      <w:r w:rsidR="00247AE4" w:rsidRPr="00DB5136">
        <w:rPr>
          <w:lang w:val="es-ES_tradnl"/>
        </w:rPr>
        <w:t xml:space="preserve"> en tres hospitales públicos, </w:t>
      </w:r>
      <w:r w:rsidR="00247AE4">
        <w:rPr>
          <w:lang w:val="es-ES_tradnl"/>
        </w:rPr>
        <w:t>exponiendo las ventajas</w:t>
      </w:r>
      <w:r w:rsidR="00247AE4" w:rsidRPr="00DB5136">
        <w:rPr>
          <w:lang w:val="es-ES_tradnl"/>
        </w:rPr>
        <w:t xml:space="preserve"> de aplicar técnicas adecuadas de </w:t>
      </w:r>
      <w:r w:rsidR="00247AE4">
        <w:rPr>
          <w:lang w:val="es-ES_tradnl"/>
        </w:rPr>
        <w:t>manejo</w:t>
      </w:r>
      <w:r w:rsidR="00247AE4" w:rsidRPr="00DB5136">
        <w:rPr>
          <w:lang w:val="es-ES_tradnl"/>
        </w:rPr>
        <w:t xml:space="preserve"> y</w:t>
      </w:r>
      <w:r w:rsidR="00247AE4">
        <w:rPr>
          <w:lang w:val="es-ES_tradnl"/>
        </w:rPr>
        <w:t xml:space="preserve"> gestión de refrigerantes</w:t>
      </w:r>
      <w:r w:rsidR="00247AE4" w:rsidRPr="00DB5136">
        <w:rPr>
          <w:lang w:val="es-ES_tradnl"/>
        </w:rPr>
        <w:t xml:space="preserve"> y prácticas de mantenimiento de sistemas de climatización y refrigeración, en términos de ahorro de energía, emisiones y costos, para facilitar la aceptación del mercado.</w:t>
      </w:r>
    </w:p>
    <w:p w14:paraId="7F438DDB" w14:textId="5D989ACF" w:rsidR="00247AE4" w:rsidRPr="00DB5136" w:rsidRDefault="00454E60" w:rsidP="00454E60">
      <w:pPr>
        <w:pStyle w:val="Heading1"/>
        <w:numPr>
          <w:ilvl w:val="0"/>
          <w:numId w:val="0"/>
        </w:numPr>
        <w:rPr>
          <w:lang w:val="es-ES_tradnl"/>
        </w:rPr>
      </w:pPr>
      <w:r>
        <w:rPr>
          <w:lang w:val="es-ES_tradnl"/>
        </w:rPr>
        <w:t>13.</w:t>
      </w:r>
      <w:r>
        <w:rPr>
          <w:lang w:val="es-ES_tradnl"/>
        </w:rPr>
        <w:tab/>
      </w:r>
      <w:r w:rsidR="00247AE4">
        <w:rPr>
          <w:lang w:val="es-ES_tradnl"/>
        </w:rPr>
        <w:t>Asimismo, e</w:t>
      </w:r>
      <w:r w:rsidR="00247AE4" w:rsidRPr="00DB5136">
        <w:rPr>
          <w:lang w:val="es-ES_tradnl"/>
        </w:rPr>
        <w:t xml:space="preserve">l proyecto incluirá el </w:t>
      </w:r>
      <w:r w:rsidR="00247AE4">
        <w:rPr>
          <w:lang w:val="es-ES_tradnl"/>
        </w:rPr>
        <w:t>fortalecimiento de capacidad</w:t>
      </w:r>
      <w:r w:rsidR="00247AE4" w:rsidRPr="00DB5136">
        <w:rPr>
          <w:lang w:val="es-ES_tradnl"/>
        </w:rPr>
        <w:t xml:space="preserve">, incluyendo el suministro de equipos de medición del consumo eléctrico adecuados para los climatizadores de los hospitales; </w:t>
      </w:r>
      <w:r w:rsidR="00247AE4">
        <w:rPr>
          <w:lang w:val="es-ES_tradnl"/>
        </w:rPr>
        <w:t xml:space="preserve">programas de </w:t>
      </w:r>
      <w:r w:rsidR="00247AE4" w:rsidRPr="00DB5136">
        <w:rPr>
          <w:lang w:val="es-ES_tradnl"/>
        </w:rPr>
        <w:t>formación sobre:  i) medición y verificación de</w:t>
      </w:r>
      <w:r w:rsidR="00247AE4">
        <w:rPr>
          <w:lang w:val="es-ES_tradnl"/>
        </w:rPr>
        <w:t xml:space="preserve"> la eficiencia </w:t>
      </w:r>
      <w:r w:rsidR="00247AE4" w:rsidRPr="00DB5136">
        <w:rPr>
          <w:lang w:val="es-ES_tradnl"/>
        </w:rPr>
        <w:t>energétic</w:t>
      </w:r>
      <w:r w:rsidR="00247AE4">
        <w:rPr>
          <w:lang w:val="es-ES_tradnl"/>
        </w:rPr>
        <w:t>a</w:t>
      </w:r>
      <w:r w:rsidR="00247AE4" w:rsidRPr="00DB5136">
        <w:rPr>
          <w:lang w:val="es-ES_tradnl"/>
        </w:rPr>
        <w:t xml:space="preserve">, ii) </w:t>
      </w:r>
      <w:r w:rsidR="00247AE4">
        <w:rPr>
          <w:lang w:val="es-ES_tradnl"/>
        </w:rPr>
        <w:t xml:space="preserve">supervisión </w:t>
      </w:r>
      <w:r w:rsidR="00247AE4" w:rsidRPr="00DB5136">
        <w:rPr>
          <w:lang w:val="es-ES_tradnl"/>
        </w:rPr>
        <w:t>cont</w:t>
      </w:r>
      <w:r w:rsidR="00247AE4">
        <w:rPr>
          <w:lang w:val="es-ES_tradnl"/>
        </w:rPr>
        <w:t xml:space="preserve">inua </w:t>
      </w:r>
      <w:r w:rsidR="00247AE4" w:rsidRPr="00DB5136">
        <w:rPr>
          <w:lang w:val="es-ES_tradnl"/>
        </w:rPr>
        <w:t>de los equipos para un ahorro energético sostenible, iii) mantenimiento y buenas prácticas de servicio técnico, y i</w:t>
      </w:r>
      <w:r w:rsidR="00247AE4" w:rsidRPr="00063E4B">
        <w:rPr>
          <w:lang w:val="es-ES_tradnl"/>
        </w:rPr>
        <w:t>v)</w:t>
      </w:r>
      <w:r w:rsidR="00247AE4">
        <w:rPr>
          <w:lang w:val="es-ES_tradnl"/>
        </w:rPr>
        <w:t xml:space="preserve"> </w:t>
      </w:r>
      <w:r w:rsidR="00247AE4" w:rsidRPr="00063E4B">
        <w:rPr>
          <w:lang w:val="es-ES_tradnl"/>
        </w:rPr>
        <w:t>calibración,</w:t>
      </w:r>
      <w:r w:rsidR="00247AE4" w:rsidRPr="00DB5136">
        <w:rPr>
          <w:lang w:val="es-ES_tradnl"/>
        </w:rPr>
        <w:t xml:space="preserve"> instalación y eliminación de equipos. El </w:t>
      </w:r>
      <w:r w:rsidR="00247AE4">
        <w:rPr>
          <w:lang w:val="es-ES_tradnl"/>
        </w:rPr>
        <w:t>fortalecimiento de capacidad</w:t>
      </w:r>
      <w:r w:rsidR="00247AE4" w:rsidRPr="00DB5136">
        <w:rPr>
          <w:lang w:val="es-ES_tradnl"/>
        </w:rPr>
        <w:t xml:space="preserve"> también </w:t>
      </w:r>
      <w:r w:rsidR="00247AE4">
        <w:rPr>
          <w:lang w:val="es-ES_tradnl"/>
        </w:rPr>
        <w:t xml:space="preserve">comprende </w:t>
      </w:r>
      <w:r w:rsidR="00247AE4" w:rsidRPr="00DB5136">
        <w:rPr>
          <w:lang w:val="es-ES_tradnl"/>
        </w:rPr>
        <w:t xml:space="preserve">el manejo y la gestión adecuados de los refrigerantes, incluido los inflamables, mediante el suministro de equipos y herramientas; la capacitación sobre el uso adecuado de los equipos y la interpretación de los resultados; </w:t>
      </w:r>
      <w:r w:rsidR="00247AE4">
        <w:rPr>
          <w:lang w:val="es-ES_tradnl"/>
        </w:rPr>
        <w:t xml:space="preserve">además de </w:t>
      </w:r>
      <w:r w:rsidR="00247AE4" w:rsidRPr="00DB5136">
        <w:rPr>
          <w:lang w:val="es-ES_tradnl"/>
        </w:rPr>
        <w:t>la capacitación sobre normas y reglamentos.</w:t>
      </w:r>
    </w:p>
    <w:p w14:paraId="5DA6189F" w14:textId="77777777" w:rsidR="00247AE4" w:rsidRPr="00DB5136" w:rsidRDefault="00247AE4" w:rsidP="00247AE4">
      <w:pPr>
        <w:keepNext/>
        <w:spacing w:before="240" w:after="240"/>
        <w:outlineLvl w:val="0"/>
        <w:rPr>
          <w:u w:val="single"/>
          <w:lang w:val="es-ES_tradnl"/>
        </w:rPr>
      </w:pPr>
      <w:r w:rsidRPr="00DB5136">
        <w:rPr>
          <w:u w:val="single"/>
          <w:lang w:val="es-ES_tradnl"/>
        </w:rPr>
        <w:t>Beneficiarios</w:t>
      </w:r>
    </w:p>
    <w:p w14:paraId="480B7496" w14:textId="1E20DE01" w:rsidR="00247AE4" w:rsidRPr="00DB5136" w:rsidRDefault="00454E60" w:rsidP="00454E60">
      <w:pPr>
        <w:pStyle w:val="Heading1"/>
        <w:numPr>
          <w:ilvl w:val="0"/>
          <w:numId w:val="0"/>
        </w:numPr>
        <w:rPr>
          <w:lang w:val="es-ES_tradnl"/>
        </w:rPr>
      </w:pPr>
      <w:r>
        <w:rPr>
          <w:lang w:val="es-ES_tradnl"/>
        </w:rPr>
        <w:t>14.</w:t>
      </w:r>
      <w:r>
        <w:rPr>
          <w:lang w:val="es-ES_tradnl"/>
        </w:rPr>
        <w:tab/>
      </w:r>
      <w:r w:rsidR="00247AE4" w:rsidRPr="00DB5136">
        <w:rPr>
          <w:lang w:val="es-ES_tradnl"/>
        </w:rPr>
        <w:t>Los tres hospitales seleccionados para el proyecto piloto son</w:t>
      </w:r>
      <w:r w:rsidR="00247AE4">
        <w:rPr>
          <w:lang w:val="es-ES_tradnl"/>
        </w:rPr>
        <w:t>:</w:t>
      </w:r>
      <w:r w:rsidR="00247AE4" w:rsidRPr="00DB5136">
        <w:rPr>
          <w:lang w:val="es-ES_tradnl"/>
        </w:rPr>
        <w:t xml:space="preserve"> el Centre Hospitalier Universitaire (CHU) Sylvanus Olympio Lome (CHU Lome), el Centre Hospitalier Universitaire de Kara (CHU Kara) y el Centre Hospitalier R</w:t>
      </w:r>
      <w:r w:rsidR="00247AE4">
        <w:rPr>
          <w:lang w:val="es-ES_tradnl"/>
        </w:rPr>
        <w:t>é</w:t>
      </w:r>
      <w:r w:rsidR="00247AE4" w:rsidRPr="00DB5136">
        <w:rPr>
          <w:lang w:val="es-ES_tradnl"/>
        </w:rPr>
        <w:t xml:space="preserve">gional de Sokodé (CHR Sokode), donde se realizará </w:t>
      </w:r>
      <w:r w:rsidR="00247AE4">
        <w:rPr>
          <w:lang w:val="es-ES_tradnl"/>
        </w:rPr>
        <w:t xml:space="preserve">la sustitución </w:t>
      </w:r>
      <w:r w:rsidR="00247AE4" w:rsidRPr="00DB5136">
        <w:rPr>
          <w:lang w:val="es-ES_tradnl"/>
        </w:rPr>
        <w:t xml:space="preserve">de 112, 50 y 41 climatizadores, respectivamente, lo que supone un total de 203 </w:t>
      </w:r>
      <w:r w:rsidR="00247AE4">
        <w:rPr>
          <w:lang w:val="es-ES_tradnl"/>
        </w:rPr>
        <w:t>aparatos</w:t>
      </w:r>
      <w:r w:rsidR="00247AE4" w:rsidRPr="00DB5136">
        <w:rPr>
          <w:lang w:val="es-ES_tradnl"/>
        </w:rPr>
        <w:t>.</w:t>
      </w:r>
    </w:p>
    <w:p w14:paraId="7A847CC0" w14:textId="6B649483" w:rsidR="00247AE4" w:rsidRPr="00DB5136" w:rsidRDefault="00454E60" w:rsidP="00454E60">
      <w:pPr>
        <w:pStyle w:val="Heading1"/>
        <w:numPr>
          <w:ilvl w:val="0"/>
          <w:numId w:val="0"/>
        </w:numPr>
        <w:rPr>
          <w:lang w:val="es-ES_tradnl"/>
        </w:rPr>
      </w:pPr>
      <w:r>
        <w:rPr>
          <w:lang w:val="es-ES_tradnl"/>
        </w:rPr>
        <w:t>15.</w:t>
      </w:r>
      <w:r>
        <w:rPr>
          <w:lang w:val="es-ES_tradnl"/>
        </w:rPr>
        <w:tab/>
      </w:r>
      <w:r w:rsidR="00247AE4" w:rsidRPr="00DB5136">
        <w:rPr>
          <w:lang w:val="es-ES_tradnl"/>
        </w:rPr>
        <w:t xml:space="preserve">La recopilación de datos en los tres hospitales públicos se centró en los refrigerantes utilizados en los equipos de climatización, su capacidad, uso (número de horas al año), condiciones operativas y eficiencia energética </w:t>
      </w:r>
      <w:r w:rsidR="00247AE4">
        <w:rPr>
          <w:lang w:val="es-ES_tradnl"/>
        </w:rPr>
        <w:t xml:space="preserve">mediante </w:t>
      </w:r>
      <w:r w:rsidR="00247AE4" w:rsidRPr="00DB5136">
        <w:rPr>
          <w:lang w:val="es-ES_tradnl"/>
        </w:rPr>
        <w:t xml:space="preserve">el </w:t>
      </w:r>
      <w:r w:rsidR="00247AE4">
        <w:rPr>
          <w:lang w:val="es-ES_tradnl"/>
        </w:rPr>
        <w:t>Í</w:t>
      </w:r>
      <w:r w:rsidR="00247AE4" w:rsidRPr="00DB5136">
        <w:rPr>
          <w:lang w:val="es-ES_tradnl"/>
        </w:rPr>
        <w:t xml:space="preserve">ndice de </w:t>
      </w:r>
      <w:r w:rsidR="00247AE4">
        <w:rPr>
          <w:lang w:val="es-ES_tradnl"/>
        </w:rPr>
        <w:t>E</w:t>
      </w:r>
      <w:r w:rsidR="00247AE4" w:rsidRPr="00DB5136">
        <w:rPr>
          <w:lang w:val="es-ES_tradnl"/>
        </w:rPr>
        <w:t xml:space="preserve">ficiencia </w:t>
      </w:r>
      <w:r w:rsidR="00247AE4">
        <w:rPr>
          <w:lang w:val="es-ES_tradnl"/>
        </w:rPr>
        <w:t>E</w:t>
      </w:r>
      <w:r w:rsidR="00247AE4" w:rsidRPr="00DB5136">
        <w:rPr>
          <w:lang w:val="es-ES_tradnl"/>
        </w:rPr>
        <w:t>nergética</w:t>
      </w:r>
      <w:r w:rsidR="00247AE4">
        <w:rPr>
          <w:lang w:val="es-ES_tradnl"/>
        </w:rPr>
        <w:t xml:space="preserve"> (EER, por su sigla en inglés)</w:t>
      </w:r>
      <w:r w:rsidR="00247AE4" w:rsidRPr="00DB5136">
        <w:rPr>
          <w:lang w:val="es-ES_tradnl"/>
        </w:rPr>
        <w:t>. La cuantificación de las emisiones de CO</w:t>
      </w:r>
      <w:r w:rsidR="00247AE4" w:rsidRPr="00DB5136">
        <w:rPr>
          <w:vertAlign w:val="subscript"/>
          <w:lang w:val="es-ES_tradnl"/>
        </w:rPr>
        <w:t>2</w:t>
      </w:r>
      <w:r w:rsidR="00247AE4">
        <w:rPr>
          <w:lang w:val="es-ES_tradnl"/>
        </w:rPr>
        <w:t xml:space="preserve"> equivalente</w:t>
      </w:r>
      <w:r w:rsidR="00247AE4" w:rsidRPr="00DB5136">
        <w:rPr>
          <w:lang w:val="es-ES_tradnl"/>
        </w:rPr>
        <w:t xml:space="preserve"> se realiza a través del </w:t>
      </w:r>
      <w:r w:rsidR="00247AE4">
        <w:rPr>
          <w:lang w:val="es-ES_tradnl"/>
        </w:rPr>
        <w:t>E</w:t>
      </w:r>
      <w:r w:rsidR="00247AE4" w:rsidRPr="00DB5136">
        <w:rPr>
          <w:lang w:val="es-ES_tradnl"/>
        </w:rPr>
        <w:t xml:space="preserve">fecto de </w:t>
      </w:r>
      <w:r w:rsidR="00247AE4">
        <w:rPr>
          <w:lang w:val="es-ES_tradnl"/>
        </w:rPr>
        <w:t>C</w:t>
      </w:r>
      <w:r w:rsidR="00247AE4" w:rsidRPr="00DB5136">
        <w:rPr>
          <w:lang w:val="es-ES_tradnl"/>
        </w:rPr>
        <w:t xml:space="preserve">alentamiento </w:t>
      </w:r>
      <w:r w:rsidR="00247AE4">
        <w:rPr>
          <w:lang w:val="es-ES_tradnl"/>
        </w:rPr>
        <w:t>T</w:t>
      </w:r>
      <w:r w:rsidR="00247AE4" w:rsidRPr="00DB5136">
        <w:rPr>
          <w:lang w:val="es-ES_tradnl"/>
        </w:rPr>
        <w:t xml:space="preserve">otal </w:t>
      </w:r>
      <w:r w:rsidR="00247AE4">
        <w:rPr>
          <w:lang w:val="es-ES_tradnl"/>
        </w:rPr>
        <w:t>E</w:t>
      </w:r>
      <w:r w:rsidR="00247AE4" w:rsidRPr="00DB5136">
        <w:rPr>
          <w:lang w:val="es-ES_tradnl"/>
        </w:rPr>
        <w:t>quivalente</w:t>
      </w:r>
      <w:r w:rsidR="00247AE4">
        <w:rPr>
          <w:lang w:val="es-ES_tradnl"/>
        </w:rPr>
        <w:t xml:space="preserve"> (TEWI, por su sigla en inglés)</w:t>
      </w:r>
      <w:r w:rsidR="00247AE4" w:rsidRPr="00DB5136">
        <w:rPr>
          <w:lang w:val="es-ES_tradnl"/>
        </w:rPr>
        <w:t>.</w:t>
      </w:r>
      <w:r w:rsidR="00247AE4" w:rsidRPr="00DB5136">
        <w:rPr>
          <w:rStyle w:val="FootnoteReference"/>
          <w:lang w:val="es-ES_tradnl"/>
        </w:rPr>
        <w:footnoteReference w:id="9"/>
      </w:r>
      <w:r w:rsidR="00247AE4" w:rsidRPr="00DB5136">
        <w:rPr>
          <w:lang w:val="es-ES_tradnl"/>
        </w:rPr>
        <w:t xml:space="preserve"> Las conclusiones de esta actividad permitieron calcular el </w:t>
      </w:r>
      <w:r w:rsidR="00247AE4">
        <w:rPr>
          <w:lang w:val="es-ES_tradnl"/>
        </w:rPr>
        <w:t>efecto de calentamiento total equivalente</w:t>
      </w:r>
      <w:r w:rsidR="00247AE4" w:rsidRPr="00DB5136">
        <w:rPr>
          <w:lang w:val="es-ES_tradnl"/>
        </w:rPr>
        <w:t xml:space="preserve"> de cada climatizador y el valor </w:t>
      </w:r>
      <w:r w:rsidR="00247AE4">
        <w:rPr>
          <w:lang w:val="es-ES_tradnl"/>
        </w:rPr>
        <w:t xml:space="preserve">total </w:t>
      </w:r>
      <w:r w:rsidR="00247AE4" w:rsidRPr="00DB5136">
        <w:rPr>
          <w:lang w:val="es-ES_tradnl"/>
        </w:rPr>
        <w:t>de la muestra.</w:t>
      </w:r>
    </w:p>
    <w:p w14:paraId="47B2BEEC" w14:textId="71B96A67" w:rsidR="00247AE4" w:rsidRPr="00DB5136" w:rsidRDefault="00454E60" w:rsidP="00454E60">
      <w:pPr>
        <w:pStyle w:val="Heading1"/>
        <w:numPr>
          <w:ilvl w:val="0"/>
          <w:numId w:val="0"/>
        </w:numPr>
        <w:rPr>
          <w:lang w:val="es-ES_tradnl"/>
        </w:rPr>
      </w:pPr>
      <w:r>
        <w:rPr>
          <w:lang w:val="es-ES_tradnl"/>
        </w:rPr>
        <w:t>16.</w:t>
      </w:r>
      <w:r>
        <w:rPr>
          <w:lang w:val="es-ES_tradnl"/>
        </w:rPr>
        <w:tab/>
      </w:r>
      <w:r w:rsidR="00247AE4" w:rsidRPr="00DB5136">
        <w:rPr>
          <w:lang w:val="es-ES_tradnl"/>
        </w:rPr>
        <w:t>El refrigerante R-290 en los climatizador</w:t>
      </w:r>
      <w:r w:rsidR="00247AE4">
        <w:rPr>
          <w:lang w:val="es-ES_tradnl"/>
        </w:rPr>
        <w:t>es</w:t>
      </w:r>
      <w:r w:rsidR="00247AE4" w:rsidRPr="00DB5136">
        <w:rPr>
          <w:lang w:val="es-ES_tradnl"/>
        </w:rPr>
        <w:t xml:space="preserve"> de ambiente tiene un impacto positivo demostrado en la reducción de las emisiones directas e indirectas, lo que se traduce en un aumento de la eficiencia energética. Para reemplazar </w:t>
      </w:r>
      <w:r w:rsidR="00247AE4">
        <w:rPr>
          <w:lang w:val="es-ES_tradnl"/>
        </w:rPr>
        <w:t>los 203 aparatos</w:t>
      </w:r>
      <w:r w:rsidR="00247AE4" w:rsidRPr="00DB5136">
        <w:rPr>
          <w:lang w:val="es-ES_tradnl"/>
        </w:rPr>
        <w:t xml:space="preserve"> de los tres hospitales beneficiarios, se necesitan 211 </w:t>
      </w:r>
      <w:r w:rsidR="00247AE4">
        <w:rPr>
          <w:lang w:val="es-ES_tradnl"/>
        </w:rPr>
        <w:t>aparatos</w:t>
      </w:r>
      <w:r w:rsidR="00247AE4" w:rsidRPr="00DB5136">
        <w:rPr>
          <w:lang w:val="es-ES_tradnl"/>
        </w:rPr>
        <w:t xml:space="preserve"> en una combinación de los modelos </w:t>
      </w:r>
      <w:r w:rsidR="00247AE4">
        <w:rPr>
          <w:lang w:val="es-ES_tradnl"/>
        </w:rPr>
        <w:t>disponible</w:t>
      </w:r>
      <w:r w:rsidR="00247AE4" w:rsidRPr="00DB5136">
        <w:rPr>
          <w:lang w:val="es-ES_tradnl"/>
        </w:rPr>
        <w:t>s de 12</w:t>
      </w:r>
      <w:r w:rsidR="00247AE4">
        <w:rPr>
          <w:lang w:val="es-ES_tradnl"/>
        </w:rPr>
        <w:t>.</w:t>
      </w:r>
      <w:r w:rsidR="00247AE4" w:rsidRPr="00DB5136">
        <w:rPr>
          <w:lang w:val="es-ES_tradnl"/>
        </w:rPr>
        <w:t>000 y 18</w:t>
      </w:r>
      <w:r w:rsidR="00247AE4">
        <w:rPr>
          <w:lang w:val="es-ES_tradnl"/>
        </w:rPr>
        <w:t>.</w:t>
      </w:r>
      <w:r w:rsidR="00247AE4" w:rsidRPr="00DB5136">
        <w:rPr>
          <w:lang w:val="es-ES_tradnl"/>
        </w:rPr>
        <w:t>000 Btu/h</w:t>
      </w:r>
      <w:r w:rsidR="00247AE4" w:rsidRPr="00DB5136">
        <w:rPr>
          <w:rStyle w:val="FootnoteReference"/>
          <w:lang w:val="es-ES_tradnl"/>
        </w:rPr>
        <w:footnoteReference w:id="10"/>
      </w:r>
      <w:r w:rsidR="00247AE4" w:rsidRPr="00DB5136">
        <w:rPr>
          <w:lang w:val="es-ES_tradnl"/>
        </w:rPr>
        <w:t xml:space="preserve"> </w:t>
      </w:r>
      <w:r w:rsidR="00247AE4">
        <w:rPr>
          <w:lang w:val="es-ES_tradnl"/>
        </w:rPr>
        <w:t xml:space="preserve">a fin de </w:t>
      </w:r>
      <w:r w:rsidR="00247AE4" w:rsidRPr="00DB5136">
        <w:rPr>
          <w:lang w:val="es-ES_tradnl"/>
        </w:rPr>
        <w:t>conseguir el mismo efecto de refrigeración. La distribución de estos climatizadores por hospital sigue siendo aproximadamente la misma, con un 55 por ciento para el CHU Lome, un 25 por ciento para el CHU Kara y un 20 por ciento para el CHR Sokode.</w:t>
      </w:r>
    </w:p>
    <w:p w14:paraId="2F53303D" w14:textId="77777777" w:rsidR="00247AE4" w:rsidRPr="00DB5136" w:rsidRDefault="00247AE4" w:rsidP="00247AE4">
      <w:pPr>
        <w:keepNext/>
        <w:spacing w:before="240" w:after="240"/>
        <w:rPr>
          <w:u w:val="single"/>
          <w:lang w:val="es-ES_tradnl"/>
        </w:rPr>
      </w:pPr>
      <w:r w:rsidRPr="00DB5136">
        <w:rPr>
          <w:u w:val="single"/>
          <w:lang w:val="es-ES_tradnl"/>
        </w:rPr>
        <w:t>Actividades propuestas</w:t>
      </w:r>
    </w:p>
    <w:p w14:paraId="256E5919" w14:textId="64693AC5" w:rsidR="00247AE4" w:rsidRPr="00DB5136" w:rsidRDefault="00454E60" w:rsidP="00247AE4">
      <w:pPr>
        <w:tabs>
          <w:tab w:val="num" w:pos="0"/>
        </w:tabs>
        <w:spacing w:after="240"/>
        <w:outlineLvl w:val="0"/>
        <w:rPr>
          <w:lang w:val="es-ES_tradnl"/>
        </w:rPr>
      </w:pPr>
      <w:r>
        <w:rPr>
          <w:lang w:val="es-ES_tradnl"/>
        </w:rPr>
        <w:t>17.</w:t>
      </w:r>
      <w:r>
        <w:rPr>
          <w:lang w:val="es-ES_tradnl"/>
        </w:rPr>
        <w:tab/>
      </w:r>
      <w:r w:rsidR="00247AE4" w:rsidRPr="00DB5136">
        <w:rPr>
          <w:lang w:val="es-ES_tradnl"/>
        </w:rPr>
        <w:t>A continuación se describen las actividades con su desglose de costos (según se presentaron inicialmente).</w:t>
      </w:r>
    </w:p>
    <w:p w14:paraId="155CCBC2" w14:textId="77777777" w:rsidR="00247AE4" w:rsidRPr="00DB5136" w:rsidRDefault="00247AE4" w:rsidP="00247AE4">
      <w:pPr>
        <w:pStyle w:val="Heading2"/>
        <w:rPr>
          <w:lang w:val="es-ES_tradnl"/>
        </w:rPr>
      </w:pPr>
      <w:r w:rsidRPr="00DB5136">
        <w:rPr>
          <w:i/>
          <w:iCs/>
          <w:lang w:val="es-ES_tradnl"/>
        </w:rPr>
        <w:t xml:space="preserve">Demostración de climatizadores </w:t>
      </w:r>
      <w:r>
        <w:rPr>
          <w:i/>
          <w:iCs/>
          <w:lang w:val="es-ES_tradnl"/>
        </w:rPr>
        <w:t xml:space="preserve">con </w:t>
      </w:r>
      <w:r w:rsidRPr="00DB5136">
        <w:rPr>
          <w:i/>
          <w:iCs/>
          <w:lang w:val="es-ES_tradnl"/>
        </w:rPr>
        <w:t>R-290 y medición y supervisión de energía (</w:t>
      </w:r>
      <w:r>
        <w:rPr>
          <w:i/>
          <w:iCs/>
          <w:lang w:val="es-ES_tradnl"/>
        </w:rPr>
        <w:t xml:space="preserve">USD </w:t>
      </w:r>
      <w:r w:rsidRPr="00DB5136">
        <w:rPr>
          <w:i/>
          <w:iCs/>
          <w:lang w:val="es-ES_tradnl"/>
        </w:rPr>
        <w:t>201</w:t>
      </w:r>
      <w:r>
        <w:rPr>
          <w:i/>
          <w:iCs/>
          <w:lang w:val="es-ES_tradnl"/>
        </w:rPr>
        <w:t>.</w:t>
      </w:r>
      <w:r w:rsidRPr="00DB5136">
        <w:rPr>
          <w:i/>
          <w:iCs/>
          <w:lang w:val="es-ES_tradnl"/>
        </w:rPr>
        <w:t xml:space="preserve"> </w:t>
      </w:r>
      <w:r w:rsidRPr="00DB5136">
        <w:rPr>
          <w:i/>
          <w:iCs/>
          <w:lang w:val="es-ES_tradnl"/>
        </w:rPr>
        <w:lastRenderedPageBreak/>
        <w:t>160)</w:t>
      </w:r>
      <w:r w:rsidRPr="00DB5136">
        <w:rPr>
          <w:lang w:val="es-ES_tradnl"/>
        </w:rPr>
        <w:t xml:space="preserve">: Adquisición, entrega e instalación de 128 climatizadores </w:t>
      </w:r>
      <w:r>
        <w:rPr>
          <w:lang w:val="es-ES_tradnl"/>
        </w:rPr>
        <w:t xml:space="preserve">con </w:t>
      </w:r>
      <w:r w:rsidRPr="00DB5136">
        <w:rPr>
          <w:lang w:val="es-ES_tradnl"/>
        </w:rPr>
        <w:t>R-290 (12</w:t>
      </w:r>
      <w:r>
        <w:rPr>
          <w:lang w:val="es-ES_tradnl"/>
        </w:rPr>
        <w:t>.</w:t>
      </w:r>
      <w:r w:rsidRPr="00DB5136">
        <w:rPr>
          <w:lang w:val="es-ES_tradnl"/>
        </w:rPr>
        <w:t>000 Btu/h) (</w:t>
      </w:r>
      <w:r>
        <w:rPr>
          <w:lang w:val="es-ES_tradnl"/>
        </w:rPr>
        <w:t xml:space="preserve">USD </w:t>
      </w:r>
      <w:r w:rsidRPr="00DB5136">
        <w:rPr>
          <w:lang w:val="es-ES_tradnl"/>
        </w:rPr>
        <w:t>76</w:t>
      </w:r>
      <w:r>
        <w:rPr>
          <w:lang w:val="es-ES_tradnl"/>
        </w:rPr>
        <w:t>.</w:t>
      </w:r>
      <w:r w:rsidRPr="00DB5136">
        <w:rPr>
          <w:lang w:val="es-ES_tradnl"/>
        </w:rPr>
        <w:t xml:space="preserve">800) y 83 climatizadores </w:t>
      </w:r>
      <w:r>
        <w:rPr>
          <w:lang w:val="es-ES_tradnl"/>
        </w:rPr>
        <w:t xml:space="preserve">con </w:t>
      </w:r>
      <w:r w:rsidRPr="00DB5136">
        <w:rPr>
          <w:lang w:val="es-ES_tradnl"/>
        </w:rPr>
        <w:t>R-290 (18</w:t>
      </w:r>
      <w:r>
        <w:rPr>
          <w:lang w:val="es-ES_tradnl"/>
        </w:rPr>
        <w:t>.</w:t>
      </w:r>
      <w:r w:rsidRPr="00DB5136">
        <w:rPr>
          <w:lang w:val="es-ES_tradnl"/>
        </w:rPr>
        <w:t>000 Btu/h) (</w:t>
      </w:r>
      <w:r>
        <w:rPr>
          <w:lang w:val="es-ES_tradnl"/>
        </w:rPr>
        <w:t xml:space="preserve">USD </w:t>
      </w:r>
      <w:r w:rsidRPr="00DB5136">
        <w:rPr>
          <w:lang w:val="es-ES_tradnl"/>
        </w:rPr>
        <w:t>59</w:t>
      </w:r>
      <w:r>
        <w:rPr>
          <w:lang w:val="es-ES_tradnl"/>
        </w:rPr>
        <w:t>.</w:t>
      </w:r>
      <w:r w:rsidRPr="00DB5136">
        <w:rPr>
          <w:lang w:val="es-ES_tradnl"/>
        </w:rPr>
        <w:t>760</w:t>
      </w:r>
      <w:r>
        <w:rPr>
          <w:lang w:val="es-ES_tradnl"/>
        </w:rPr>
        <w:t>)</w:t>
      </w:r>
      <w:r w:rsidRPr="00DB5136">
        <w:rPr>
          <w:lang w:val="es-ES_tradnl"/>
        </w:rPr>
        <w:t xml:space="preserve">; adquisición e instalación de 20 dispositivos de medición de energía con registrador de datos para </w:t>
      </w:r>
      <w:r>
        <w:rPr>
          <w:lang w:val="es-ES_tradnl"/>
        </w:rPr>
        <w:t>supervisar e</w:t>
      </w:r>
      <w:r w:rsidRPr="00DB5136">
        <w:rPr>
          <w:lang w:val="es-ES_tradnl"/>
        </w:rPr>
        <w:t xml:space="preserve">l </w:t>
      </w:r>
      <w:r>
        <w:rPr>
          <w:lang w:val="es-ES_tradnl"/>
        </w:rPr>
        <w:t>desempeño</w:t>
      </w:r>
      <w:r w:rsidRPr="00DB5136">
        <w:rPr>
          <w:lang w:val="es-ES_tradnl"/>
        </w:rPr>
        <w:t xml:space="preserve"> y </w:t>
      </w:r>
      <w:r>
        <w:rPr>
          <w:lang w:val="es-ES_tradnl"/>
        </w:rPr>
        <w:t>e</w:t>
      </w:r>
      <w:r w:rsidRPr="00DB5136">
        <w:rPr>
          <w:lang w:val="es-ES_tradnl"/>
        </w:rPr>
        <w:t xml:space="preserve">l consumo de energía de </w:t>
      </w:r>
      <w:r>
        <w:rPr>
          <w:lang w:val="es-ES_tradnl"/>
        </w:rPr>
        <w:t>los aparatos instalados</w:t>
      </w:r>
      <w:r w:rsidRPr="00DB5136">
        <w:rPr>
          <w:lang w:val="es-ES_tradnl"/>
        </w:rPr>
        <w:t xml:space="preserve"> (USD 11</w:t>
      </w:r>
      <w:r>
        <w:rPr>
          <w:lang w:val="es-ES_tradnl"/>
        </w:rPr>
        <w:t>.</w:t>
      </w:r>
      <w:r w:rsidRPr="00DB5136">
        <w:rPr>
          <w:lang w:val="es-ES_tradnl"/>
        </w:rPr>
        <w:t xml:space="preserve">000); configuración, recopilación de datos, supervisión y notificación sobre la medición de energía en los sitios de demostración durante dos años </w:t>
      </w:r>
      <w:r w:rsidRPr="00DB5136" w:rsidDel="0070470D">
        <w:rPr>
          <w:lang w:val="es-ES_tradnl"/>
        </w:rPr>
        <w:t>(</w:t>
      </w:r>
      <w:r w:rsidRPr="00DB5136">
        <w:rPr>
          <w:lang w:val="es-ES_tradnl"/>
        </w:rPr>
        <w:t>USD 33</w:t>
      </w:r>
      <w:r>
        <w:rPr>
          <w:lang w:val="es-ES_tradnl"/>
        </w:rPr>
        <w:t>.</w:t>
      </w:r>
      <w:r w:rsidRPr="00DB5136">
        <w:rPr>
          <w:lang w:val="es-ES_tradnl"/>
        </w:rPr>
        <w:t xml:space="preserve">600); y </w:t>
      </w:r>
      <w:r>
        <w:rPr>
          <w:lang w:val="es-ES_tradnl"/>
        </w:rPr>
        <w:t xml:space="preserve">gastos </w:t>
      </w:r>
      <w:r w:rsidRPr="00DB5136">
        <w:rPr>
          <w:lang w:val="es-ES_tradnl"/>
        </w:rPr>
        <w:t>imprevisto</w:t>
      </w:r>
      <w:r>
        <w:rPr>
          <w:lang w:val="es-ES_tradnl"/>
        </w:rPr>
        <w:t>s</w:t>
      </w:r>
      <w:r w:rsidRPr="00DB5136">
        <w:rPr>
          <w:lang w:val="es-ES_tradnl"/>
        </w:rPr>
        <w:t xml:space="preserve"> (USD 20</w:t>
      </w:r>
      <w:r>
        <w:rPr>
          <w:lang w:val="es-ES_tradnl"/>
        </w:rPr>
        <w:t>.</w:t>
      </w:r>
      <w:r w:rsidRPr="00DB5136">
        <w:rPr>
          <w:lang w:val="es-ES_tradnl"/>
        </w:rPr>
        <w:t>000);</w:t>
      </w:r>
    </w:p>
    <w:p w14:paraId="24018361" w14:textId="77777777" w:rsidR="00247AE4" w:rsidRPr="00DB5136" w:rsidRDefault="00247AE4" w:rsidP="00247AE4">
      <w:pPr>
        <w:pStyle w:val="Heading2"/>
        <w:rPr>
          <w:lang w:val="es-ES_tradnl"/>
        </w:rPr>
      </w:pPr>
      <w:r w:rsidRPr="00DB5136">
        <w:rPr>
          <w:i/>
          <w:iCs/>
          <w:lang w:val="es-ES_tradnl"/>
        </w:rPr>
        <w:t>Capacitación de técnicos, instaladores y empresas de servicio técnico (USD 134</w:t>
      </w:r>
      <w:r>
        <w:rPr>
          <w:i/>
          <w:iCs/>
          <w:lang w:val="es-ES_tradnl"/>
        </w:rPr>
        <w:t>.</w:t>
      </w:r>
      <w:r w:rsidRPr="00DB5136">
        <w:rPr>
          <w:i/>
          <w:iCs/>
          <w:lang w:val="es-ES_tradnl"/>
        </w:rPr>
        <w:t>500)</w:t>
      </w:r>
      <w:r w:rsidRPr="00DB5136">
        <w:rPr>
          <w:lang w:val="es-ES_tradnl"/>
        </w:rPr>
        <w:t xml:space="preserve">: </w:t>
      </w:r>
      <w:r>
        <w:rPr>
          <w:lang w:val="es-ES_tradnl"/>
        </w:rPr>
        <w:t>C</w:t>
      </w:r>
      <w:r w:rsidRPr="00DB5136">
        <w:rPr>
          <w:lang w:val="es-ES_tradnl"/>
        </w:rPr>
        <w:t xml:space="preserve">apacitación sobre la ejecución y supervisión del proyecto </w:t>
      </w:r>
      <w:r>
        <w:rPr>
          <w:lang w:val="es-ES_tradnl"/>
        </w:rPr>
        <w:t xml:space="preserve">de demostración </w:t>
      </w:r>
      <w:r w:rsidRPr="00DB5136">
        <w:rPr>
          <w:lang w:val="es-ES_tradnl"/>
        </w:rPr>
        <w:t>(USD 17</w:t>
      </w:r>
      <w:r>
        <w:rPr>
          <w:lang w:val="es-ES_tradnl"/>
        </w:rPr>
        <w:t>.</w:t>
      </w:r>
      <w:r w:rsidRPr="00DB5136">
        <w:rPr>
          <w:lang w:val="es-ES_tradnl"/>
        </w:rPr>
        <w:t xml:space="preserve">000); capacitación sobre </w:t>
      </w:r>
      <w:r>
        <w:rPr>
          <w:lang w:val="es-ES_tradnl"/>
        </w:rPr>
        <w:t>el manejo y la gestión de refrigerantes</w:t>
      </w:r>
      <w:r w:rsidRPr="00DB5136">
        <w:rPr>
          <w:lang w:val="es-ES_tradnl"/>
        </w:rPr>
        <w:t xml:space="preserve"> inflamables (</w:t>
      </w:r>
      <w:r>
        <w:rPr>
          <w:lang w:val="es-ES_tradnl"/>
        </w:rPr>
        <w:t xml:space="preserve">USD </w:t>
      </w:r>
      <w:r w:rsidRPr="00DB5136">
        <w:rPr>
          <w:lang w:val="es-ES_tradnl"/>
        </w:rPr>
        <w:t>32</w:t>
      </w:r>
      <w:r>
        <w:rPr>
          <w:lang w:val="es-ES_tradnl"/>
        </w:rPr>
        <w:t>.</w:t>
      </w:r>
      <w:r w:rsidRPr="00DB5136">
        <w:rPr>
          <w:lang w:val="es-ES_tradnl"/>
        </w:rPr>
        <w:t>300); consultor internacional para desarrollar una metodología</w:t>
      </w:r>
      <w:r w:rsidRPr="00DB5136">
        <w:rPr>
          <w:rStyle w:val="CommentReference"/>
          <w:sz w:val="22"/>
          <w:szCs w:val="22"/>
          <w:lang w:val="es-ES_tradnl"/>
        </w:rPr>
        <w:t xml:space="preserve"> de medición de energía</w:t>
      </w:r>
      <w:r w:rsidRPr="00DB5136">
        <w:rPr>
          <w:lang w:val="es-ES_tradnl"/>
        </w:rPr>
        <w:t>, configuración de supervisión remota y presentación de informes (</w:t>
      </w:r>
      <w:r>
        <w:rPr>
          <w:lang w:val="es-ES_tradnl"/>
        </w:rPr>
        <w:t xml:space="preserve">USD </w:t>
      </w:r>
      <w:r w:rsidRPr="00DB5136">
        <w:rPr>
          <w:lang w:val="es-ES_tradnl"/>
        </w:rPr>
        <w:t>43</w:t>
      </w:r>
      <w:r>
        <w:rPr>
          <w:lang w:val="es-ES_tradnl"/>
        </w:rPr>
        <w:t>.</w:t>
      </w:r>
      <w:r w:rsidRPr="00DB5136">
        <w:rPr>
          <w:lang w:val="es-ES_tradnl"/>
        </w:rPr>
        <w:t>200); suministro de 12 climatizadores</w:t>
      </w:r>
      <w:r>
        <w:rPr>
          <w:lang w:val="es-ES_tradnl"/>
        </w:rPr>
        <w:t xml:space="preserve"> con</w:t>
      </w:r>
      <w:r w:rsidRPr="00DB5136">
        <w:rPr>
          <w:lang w:val="es-ES_tradnl"/>
        </w:rPr>
        <w:t xml:space="preserve"> R-290, equipos y herramientas para el manejo y la recuperación de refrigerantes </w:t>
      </w:r>
      <w:r>
        <w:rPr>
          <w:lang w:val="es-ES_tradnl"/>
        </w:rPr>
        <w:t xml:space="preserve">a </w:t>
      </w:r>
      <w:r w:rsidRPr="00DB5136">
        <w:rPr>
          <w:lang w:val="es-ES_tradnl"/>
        </w:rPr>
        <w:t>un centro de capacitación (</w:t>
      </w:r>
      <w:r>
        <w:rPr>
          <w:lang w:val="es-ES_tradnl"/>
        </w:rPr>
        <w:t xml:space="preserve">USD </w:t>
      </w:r>
      <w:r w:rsidRPr="00DB5136">
        <w:rPr>
          <w:lang w:val="es-ES_tradnl"/>
        </w:rPr>
        <w:t>42</w:t>
      </w:r>
      <w:r>
        <w:rPr>
          <w:lang w:val="es-ES_tradnl"/>
        </w:rPr>
        <w:t>.</w:t>
      </w:r>
      <w:r w:rsidRPr="00DB5136">
        <w:rPr>
          <w:lang w:val="es-ES_tradnl"/>
        </w:rPr>
        <w:t>000); y</w:t>
      </w:r>
    </w:p>
    <w:p w14:paraId="6919F907" w14:textId="412C5926" w:rsidR="00247AE4" w:rsidRPr="00DB5136" w:rsidRDefault="00247AE4" w:rsidP="00454E60">
      <w:pPr>
        <w:pStyle w:val="Heading2"/>
        <w:rPr>
          <w:lang w:val="es-ES_tradnl"/>
        </w:rPr>
      </w:pPr>
      <w:r w:rsidRPr="00DB5136">
        <w:rPr>
          <w:i/>
          <w:iCs/>
          <w:lang w:val="es-ES_tradnl"/>
        </w:rPr>
        <w:t>Comunicación, extensión y normas (USD 24</w:t>
      </w:r>
      <w:r>
        <w:rPr>
          <w:i/>
          <w:iCs/>
          <w:lang w:val="es-ES_tradnl"/>
        </w:rPr>
        <w:t>.</w:t>
      </w:r>
      <w:r w:rsidRPr="00DB5136">
        <w:rPr>
          <w:i/>
          <w:iCs/>
          <w:lang w:val="es-ES_tradnl"/>
        </w:rPr>
        <w:t>500)</w:t>
      </w:r>
      <w:r w:rsidRPr="00DB5136">
        <w:rPr>
          <w:lang w:val="es-ES_tradnl"/>
        </w:rPr>
        <w:t>: campañas de extensión (</w:t>
      </w:r>
      <w:r>
        <w:rPr>
          <w:lang w:val="es-ES_tradnl"/>
        </w:rPr>
        <w:t xml:space="preserve">USD </w:t>
      </w:r>
      <w:r w:rsidRPr="00DB5136">
        <w:rPr>
          <w:lang w:val="es-ES_tradnl"/>
        </w:rPr>
        <w:t>9</w:t>
      </w:r>
      <w:r>
        <w:rPr>
          <w:lang w:val="es-ES_tradnl"/>
        </w:rPr>
        <w:t>.</w:t>
      </w:r>
      <w:r w:rsidRPr="00DB5136">
        <w:rPr>
          <w:lang w:val="es-ES_tradnl"/>
        </w:rPr>
        <w:t xml:space="preserve">000); visitas a instalaciones </w:t>
      </w:r>
      <w:r>
        <w:rPr>
          <w:lang w:val="es-ES_tradnl"/>
        </w:rPr>
        <w:t xml:space="preserve">(USD </w:t>
      </w:r>
      <w:r w:rsidRPr="00DB5136">
        <w:rPr>
          <w:lang w:val="es-ES_tradnl"/>
        </w:rPr>
        <w:t>1</w:t>
      </w:r>
      <w:r>
        <w:rPr>
          <w:lang w:val="es-ES_tradnl"/>
        </w:rPr>
        <w:t>.</w:t>
      </w:r>
      <w:r w:rsidRPr="00DB5136">
        <w:rPr>
          <w:lang w:val="es-ES_tradnl"/>
        </w:rPr>
        <w:t>500); presentación de resultados en conferencias, incluid</w:t>
      </w:r>
      <w:r>
        <w:rPr>
          <w:lang w:val="es-ES_tradnl"/>
        </w:rPr>
        <w:t>o</w:t>
      </w:r>
      <w:r w:rsidRPr="00DB5136">
        <w:rPr>
          <w:lang w:val="es-ES_tradnl"/>
        </w:rPr>
        <w:t xml:space="preserve"> las reuniones relacionadas con el Protocolo de Montreal (</w:t>
      </w:r>
      <w:r>
        <w:rPr>
          <w:lang w:val="es-ES_tradnl"/>
        </w:rPr>
        <w:t xml:space="preserve">USD </w:t>
      </w:r>
      <w:r w:rsidRPr="00DB5136">
        <w:rPr>
          <w:lang w:val="es-ES_tradnl"/>
        </w:rPr>
        <w:t>4</w:t>
      </w:r>
      <w:r>
        <w:rPr>
          <w:lang w:val="es-ES_tradnl"/>
        </w:rPr>
        <w:t>.</w:t>
      </w:r>
      <w:r w:rsidRPr="00DB5136">
        <w:rPr>
          <w:lang w:val="es-ES_tradnl"/>
        </w:rPr>
        <w:t>000); apoyo a la adopción de normas de seguridad pertinentes por parte del mercado nacional, incluid</w:t>
      </w:r>
      <w:r>
        <w:rPr>
          <w:lang w:val="es-ES_tradnl"/>
        </w:rPr>
        <w:t>o</w:t>
      </w:r>
      <w:r w:rsidRPr="00DB5136">
        <w:rPr>
          <w:lang w:val="es-ES_tradnl"/>
        </w:rPr>
        <w:t xml:space="preserve"> la actualización de las normas nacionales y un estudio sobre las necesidades del mercado para el uso de las normas (</w:t>
      </w:r>
      <w:r>
        <w:rPr>
          <w:lang w:val="es-ES_tradnl"/>
        </w:rPr>
        <w:t xml:space="preserve">USD </w:t>
      </w:r>
      <w:r w:rsidRPr="00DB5136">
        <w:rPr>
          <w:lang w:val="es-ES_tradnl"/>
        </w:rPr>
        <w:t>10</w:t>
      </w:r>
      <w:r>
        <w:rPr>
          <w:lang w:val="es-ES_tradnl"/>
        </w:rPr>
        <w:t>.</w:t>
      </w:r>
      <w:r w:rsidRPr="00DB5136">
        <w:rPr>
          <w:lang w:val="es-ES_tradnl"/>
        </w:rPr>
        <w:t>000).</w:t>
      </w:r>
    </w:p>
    <w:p w14:paraId="247364C0" w14:textId="77777777" w:rsidR="00247AE4" w:rsidRPr="00DB5136" w:rsidRDefault="00247AE4" w:rsidP="00247AE4">
      <w:pPr>
        <w:keepNext/>
        <w:keepLines/>
        <w:spacing w:before="240" w:after="240"/>
        <w:rPr>
          <w:u w:val="single"/>
          <w:lang w:val="es-ES_tradnl"/>
        </w:rPr>
      </w:pPr>
      <w:r w:rsidRPr="00DB5136">
        <w:rPr>
          <w:u w:val="single"/>
          <w:lang w:val="es-ES_tradnl"/>
        </w:rPr>
        <w:t>Mejoras en la eficiencia energética y estimación preliminar del ahorro de electricidad.</w:t>
      </w:r>
    </w:p>
    <w:p w14:paraId="79ECE01B" w14:textId="6D3DC9C5" w:rsidR="00247AE4" w:rsidRDefault="00454E60" w:rsidP="00247AE4">
      <w:pPr>
        <w:tabs>
          <w:tab w:val="num" w:pos="0"/>
        </w:tabs>
        <w:spacing w:after="240"/>
        <w:outlineLvl w:val="0"/>
        <w:rPr>
          <w:lang w:val="es-ES_tradnl"/>
        </w:rPr>
      </w:pPr>
      <w:r>
        <w:rPr>
          <w:lang w:val="es-ES_tradnl"/>
        </w:rPr>
        <w:t>18.</w:t>
      </w:r>
      <w:r>
        <w:rPr>
          <w:lang w:val="es-ES_tradnl"/>
        </w:rPr>
        <w:tab/>
      </w:r>
      <w:r w:rsidR="00247AE4" w:rsidRPr="00DB5136">
        <w:rPr>
          <w:lang w:val="es-ES_tradnl"/>
        </w:rPr>
        <w:t>La propuesta de proyecto ofrec</w:t>
      </w:r>
      <w:r w:rsidR="00247AE4">
        <w:rPr>
          <w:lang w:val="es-ES_tradnl"/>
        </w:rPr>
        <w:t>ió</w:t>
      </w:r>
      <w:r w:rsidR="00247AE4" w:rsidRPr="00DB5136">
        <w:rPr>
          <w:lang w:val="es-ES_tradnl"/>
        </w:rPr>
        <w:t xml:space="preserve"> un análisis detallado de los resultados esperados en el futuro, en términos de</w:t>
      </w:r>
      <w:r w:rsidR="00247AE4">
        <w:rPr>
          <w:lang w:val="es-ES_tradnl"/>
        </w:rPr>
        <w:t>l</w:t>
      </w:r>
      <w:r w:rsidR="00247AE4" w:rsidRPr="00DB5136">
        <w:rPr>
          <w:lang w:val="es-ES_tradnl"/>
        </w:rPr>
        <w:t xml:space="preserve"> efecto de calentamiento total equivalente y</w:t>
      </w:r>
      <w:r w:rsidR="00247AE4">
        <w:rPr>
          <w:lang w:val="es-ES_tradnl"/>
        </w:rPr>
        <w:t xml:space="preserve"> el promedio del</w:t>
      </w:r>
      <w:r w:rsidR="00247AE4" w:rsidRPr="00DB5136">
        <w:rPr>
          <w:lang w:val="es-ES_tradnl"/>
        </w:rPr>
        <w:t xml:space="preserve"> índice de eficiencia energética de los equipos, mostrando el consumo total de energía durante 10 años, </w:t>
      </w:r>
      <w:r w:rsidR="00247AE4">
        <w:rPr>
          <w:lang w:val="es-ES_tradnl"/>
        </w:rPr>
        <w:t xml:space="preserve">que representa el promedio de </w:t>
      </w:r>
      <w:r w:rsidR="00247AE4" w:rsidRPr="00DB5136">
        <w:rPr>
          <w:lang w:val="es-ES_tradnl"/>
        </w:rPr>
        <w:t xml:space="preserve">vida útil de los climatizadores en Togo. El consumo energético de </w:t>
      </w:r>
      <w:r w:rsidR="00247AE4">
        <w:rPr>
          <w:lang w:val="es-ES_tradnl"/>
        </w:rPr>
        <w:t xml:space="preserve">la </w:t>
      </w:r>
      <w:r w:rsidR="00247AE4" w:rsidRPr="00DB5136">
        <w:rPr>
          <w:lang w:val="es-ES_tradnl"/>
        </w:rPr>
        <w:t>base de comparación asciende a un total de 9</w:t>
      </w:r>
      <w:r w:rsidR="00247AE4">
        <w:rPr>
          <w:lang w:val="es-ES_tradnl"/>
        </w:rPr>
        <w:t>.</w:t>
      </w:r>
      <w:r w:rsidR="00247AE4" w:rsidRPr="00DB5136">
        <w:rPr>
          <w:lang w:val="es-ES_tradnl"/>
        </w:rPr>
        <w:t>900 MWh</w:t>
      </w:r>
      <w:r w:rsidR="00247AE4" w:rsidRPr="00DB5136">
        <w:rPr>
          <w:rStyle w:val="FootnoteReference"/>
          <w:lang w:val="es-ES_tradnl"/>
        </w:rPr>
        <w:footnoteReference w:id="11"/>
      </w:r>
      <w:r w:rsidR="00247AE4" w:rsidRPr="00DB5136">
        <w:rPr>
          <w:lang w:val="es-ES_tradnl"/>
        </w:rPr>
        <w:t>/10 años y emisiones estimadas de 4</w:t>
      </w:r>
      <w:r w:rsidR="00247AE4">
        <w:rPr>
          <w:lang w:val="es-ES_tradnl"/>
        </w:rPr>
        <w:t>.</w:t>
      </w:r>
      <w:r w:rsidR="00247AE4" w:rsidRPr="00DB5136">
        <w:rPr>
          <w:lang w:val="es-ES_tradnl"/>
        </w:rPr>
        <w:t>729 toneladas de CO</w:t>
      </w:r>
      <w:r w:rsidR="00247AE4" w:rsidRPr="00DB5136">
        <w:rPr>
          <w:vertAlign w:val="subscript"/>
          <w:lang w:val="es-ES_tradnl"/>
        </w:rPr>
        <w:t>2</w:t>
      </w:r>
      <w:r w:rsidR="00247AE4">
        <w:rPr>
          <w:lang w:val="es-ES_tradnl"/>
        </w:rPr>
        <w:t xml:space="preserve"> equivalente</w:t>
      </w:r>
      <w:r w:rsidR="00247AE4" w:rsidRPr="00DB5136">
        <w:rPr>
          <w:lang w:val="es-ES_tradnl"/>
        </w:rPr>
        <w:t>/10 años para las capacidades actuales</w:t>
      </w:r>
      <w:r w:rsidR="00247AE4">
        <w:rPr>
          <w:lang w:val="es-ES_tradnl"/>
        </w:rPr>
        <w:t>,</w:t>
      </w:r>
      <w:r w:rsidR="00247AE4" w:rsidRPr="00DB5136">
        <w:rPr>
          <w:lang w:val="es-ES_tradnl"/>
        </w:rPr>
        <w:t xml:space="preserve"> utilizando </w:t>
      </w:r>
      <w:r w:rsidR="00247AE4">
        <w:rPr>
          <w:lang w:val="es-ES_tradnl"/>
        </w:rPr>
        <w:t>aparatos</w:t>
      </w:r>
      <w:r w:rsidR="00247AE4" w:rsidRPr="00DB5136">
        <w:rPr>
          <w:lang w:val="es-ES_tradnl"/>
        </w:rPr>
        <w:t xml:space="preserve"> existentes a base de HFC con un bajo índice de eficiencia energética de 2,8. </w:t>
      </w:r>
      <w:r w:rsidR="00247AE4">
        <w:rPr>
          <w:lang w:val="es-ES_tradnl"/>
        </w:rPr>
        <w:t xml:space="preserve">Mediante </w:t>
      </w:r>
      <w:r w:rsidR="00247AE4" w:rsidRPr="00DB5136">
        <w:rPr>
          <w:lang w:val="es-ES_tradnl"/>
        </w:rPr>
        <w:t xml:space="preserve">el uso de </w:t>
      </w:r>
      <w:r w:rsidR="00247AE4">
        <w:rPr>
          <w:lang w:val="es-ES_tradnl"/>
        </w:rPr>
        <w:t xml:space="preserve">climatizadores con </w:t>
      </w:r>
      <w:r w:rsidR="00247AE4" w:rsidRPr="00DB5136">
        <w:rPr>
          <w:lang w:val="es-ES_tradnl"/>
        </w:rPr>
        <w:t>R-290 con un índice de eficiencia energética más alto de 3,5 y el apoyo de mejores prácticas de manejo de refrigerantes y mantenimiento de equipos, se obtendrá un consumo total de energía de 5</w:t>
      </w:r>
      <w:r w:rsidR="00247AE4">
        <w:rPr>
          <w:lang w:val="es-ES_tradnl"/>
        </w:rPr>
        <w:t>.</w:t>
      </w:r>
      <w:r w:rsidR="00247AE4" w:rsidRPr="00DB5136">
        <w:rPr>
          <w:lang w:val="es-ES_tradnl"/>
        </w:rPr>
        <w:t>999 MWh/10 años y emisiones estimadas de 2</w:t>
      </w:r>
      <w:r w:rsidR="00247AE4">
        <w:rPr>
          <w:lang w:val="es-ES_tradnl"/>
        </w:rPr>
        <w:t>.</w:t>
      </w:r>
      <w:r w:rsidR="00247AE4" w:rsidRPr="00DB5136">
        <w:rPr>
          <w:lang w:val="es-ES_tradnl"/>
        </w:rPr>
        <w:t>496 toneladas de CO</w:t>
      </w:r>
      <w:r w:rsidR="00247AE4" w:rsidRPr="00DB5136">
        <w:rPr>
          <w:vertAlign w:val="subscript"/>
          <w:lang w:val="es-ES_tradnl"/>
        </w:rPr>
        <w:t>2</w:t>
      </w:r>
      <w:r w:rsidR="00247AE4">
        <w:rPr>
          <w:vertAlign w:val="subscript"/>
          <w:lang w:val="es-ES_tradnl"/>
        </w:rPr>
        <w:t xml:space="preserve"> </w:t>
      </w:r>
      <w:r w:rsidR="00247AE4" w:rsidRPr="00DB5136">
        <w:rPr>
          <w:lang w:val="es-ES_tradnl"/>
        </w:rPr>
        <w:t>e</w:t>
      </w:r>
      <w:r w:rsidR="00247AE4">
        <w:rPr>
          <w:lang w:val="es-ES_tradnl"/>
        </w:rPr>
        <w:t>quivalente</w:t>
      </w:r>
      <w:r w:rsidR="00247AE4" w:rsidRPr="00DB5136">
        <w:rPr>
          <w:lang w:val="es-ES_tradnl"/>
        </w:rPr>
        <w:t>/10 años. El Gobierno de Alemania proporcionó cálculos detallados de los antecedentes de los tres emplazamientos seleccionados, incluyendo las capacidades de refrigeración, ubicaciones, cargas, niveles de consumo de energía y cálculos de las emisiones indirectas.</w:t>
      </w:r>
    </w:p>
    <w:bookmarkEnd w:id="4"/>
    <w:bookmarkEnd w:id="5"/>
    <w:p w14:paraId="20847184" w14:textId="77777777" w:rsidR="000E5D4B" w:rsidRPr="00DB5136" w:rsidRDefault="000E5D4B" w:rsidP="000E5D4B">
      <w:pPr>
        <w:keepNext/>
        <w:keepLines/>
        <w:spacing w:after="240"/>
        <w:outlineLvl w:val="0"/>
        <w:rPr>
          <w:lang w:val="es-ES_tradnl"/>
        </w:rPr>
      </w:pPr>
      <w:r w:rsidRPr="00DB5136">
        <w:rPr>
          <w:u w:val="single"/>
          <w:lang w:val="es-ES_tradnl"/>
        </w:rPr>
        <w:t>Costo total del proyecto piloto</w:t>
      </w:r>
    </w:p>
    <w:p w14:paraId="1403A474" w14:textId="77777777" w:rsidR="000E5D4B" w:rsidRDefault="000E5D4B" w:rsidP="000E5D4B">
      <w:pPr>
        <w:keepNext/>
        <w:keepLines/>
        <w:tabs>
          <w:tab w:val="num" w:pos="0"/>
        </w:tabs>
        <w:spacing w:after="240"/>
        <w:outlineLvl w:val="0"/>
        <w:rPr>
          <w:lang w:val="es-ES_tradnl"/>
        </w:rPr>
      </w:pPr>
      <w:r>
        <w:rPr>
          <w:lang w:val="es-ES_tradnl"/>
        </w:rPr>
        <w:t>19.</w:t>
      </w:r>
      <w:r>
        <w:rPr>
          <w:lang w:val="es-ES_tradnl"/>
        </w:rPr>
        <w:tab/>
      </w:r>
      <w:r w:rsidRPr="00DB5136">
        <w:rPr>
          <w:lang w:val="es-ES_tradnl"/>
        </w:rPr>
        <w:t xml:space="preserve">Se prevé que el proyecto se complete en 30 meses tras su aprobación, entre enero de 2026 y junio de 2028, </w:t>
      </w:r>
      <w:r>
        <w:rPr>
          <w:lang w:val="es-ES_tradnl"/>
        </w:rPr>
        <w:t xml:space="preserve">por </w:t>
      </w:r>
      <w:r w:rsidRPr="00DB5136">
        <w:rPr>
          <w:lang w:val="es-ES_tradnl"/>
        </w:rPr>
        <w:t>un monto total de USD 360</w:t>
      </w:r>
      <w:r>
        <w:rPr>
          <w:lang w:val="es-ES_tradnl"/>
        </w:rPr>
        <w:t>.</w:t>
      </w:r>
      <w:r w:rsidRPr="00DB5136">
        <w:rPr>
          <w:lang w:val="es-ES_tradnl"/>
        </w:rPr>
        <w:t xml:space="preserve">160, </w:t>
      </w:r>
      <w:r>
        <w:rPr>
          <w:lang w:val="es-ES_tradnl"/>
        </w:rPr>
        <w:t>tal como se presentó originalmente</w:t>
      </w:r>
      <w:r w:rsidRPr="00DB5136">
        <w:rPr>
          <w:lang w:val="es-ES_tradnl"/>
        </w:rPr>
        <w:t>.</w:t>
      </w:r>
    </w:p>
    <w:p w14:paraId="085B05D2" w14:textId="77777777" w:rsidR="00247AE4" w:rsidRPr="00A96DDD" w:rsidRDefault="00247AE4" w:rsidP="00247AE4">
      <w:pPr>
        <w:keepNext/>
        <w:jc w:val="center"/>
        <w:rPr>
          <w:b/>
          <w:bCs/>
          <w:caps/>
          <w:lang w:val="es-ES_tradnl"/>
        </w:rPr>
      </w:pPr>
      <w:r w:rsidRPr="00A96DDD">
        <w:rPr>
          <w:b/>
          <w:bCs/>
          <w:caps/>
          <w:lang w:val="es-ES_tradnl"/>
        </w:rPr>
        <w:t xml:space="preserve">observaciones </w:t>
      </w:r>
      <w:r w:rsidRPr="00B5169D">
        <w:rPr>
          <w:b/>
          <w:bCs/>
          <w:caps/>
          <w:lang w:val="es-ES_tradnl"/>
        </w:rPr>
        <w:t>y recomendación</w:t>
      </w:r>
      <w:r w:rsidRPr="00A96DDD">
        <w:rPr>
          <w:b/>
          <w:bCs/>
          <w:caps/>
          <w:lang w:val="es-ES_tradnl"/>
        </w:rPr>
        <w:t xml:space="preserve"> de la Secretaría</w:t>
      </w:r>
    </w:p>
    <w:p w14:paraId="26FB0888" w14:textId="77777777" w:rsidR="00247AE4" w:rsidRPr="00DB5136" w:rsidRDefault="00247AE4" w:rsidP="00247AE4">
      <w:pPr>
        <w:keepNext/>
        <w:rPr>
          <w:b/>
          <w:bCs/>
          <w:lang w:val="es-ES_tradnl"/>
        </w:rPr>
      </w:pPr>
    </w:p>
    <w:p w14:paraId="07830893" w14:textId="77777777" w:rsidR="00247AE4" w:rsidRPr="00DB5136" w:rsidRDefault="00247AE4" w:rsidP="00247AE4">
      <w:pPr>
        <w:keepNext/>
        <w:rPr>
          <w:b/>
          <w:bCs/>
          <w:lang w:val="es-ES_tradnl"/>
        </w:rPr>
      </w:pPr>
      <w:r w:rsidRPr="00DB5136">
        <w:rPr>
          <w:b/>
          <w:bCs/>
          <w:lang w:val="es-ES_tradnl"/>
        </w:rPr>
        <w:t>OBSERVACIONES</w:t>
      </w:r>
    </w:p>
    <w:p w14:paraId="48ECA799" w14:textId="5DBA042D" w:rsidR="00247AE4" w:rsidRPr="00DB5136" w:rsidRDefault="00454E60" w:rsidP="00247AE4">
      <w:pPr>
        <w:tabs>
          <w:tab w:val="num" w:pos="0"/>
        </w:tabs>
        <w:spacing w:before="240" w:after="240"/>
        <w:outlineLvl w:val="0"/>
        <w:rPr>
          <w:lang w:val="es-ES_tradnl"/>
        </w:rPr>
      </w:pPr>
      <w:r>
        <w:rPr>
          <w:lang w:val="es-ES_tradnl"/>
        </w:rPr>
        <w:t>20.</w:t>
      </w:r>
      <w:r>
        <w:rPr>
          <w:lang w:val="es-ES_tradnl"/>
        </w:rPr>
        <w:tab/>
      </w:r>
      <w:r w:rsidR="00247AE4" w:rsidRPr="00DB5136">
        <w:rPr>
          <w:lang w:val="es-ES_tradnl"/>
        </w:rPr>
        <w:t xml:space="preserve">La Secretaría </w:t>
      </w:r>
      <w:r w:rsidR="00247AE4">
        <w:rPr>
          <w:lang w:val="es-ES_tradnl"/>
        </w:rPr>
        <w:t xml:space="preserve">examinó </w:t>
      </w:r>
      <w:r w:rsidR="00247AE4" w:rsidRPr="00DB5136">
        <w:rPr>
          <w:lang w:val="es-ES_tradnl"/>
        </w:rPr>
        <w:t>la propuesta de proyecto a la luz de las actividades descritas en las decisiones 89/6 y 91/65, así como de las que se están llevando a cabo en la etapa I del PAK.</w:t>
      </w:r>
    </w:p>
    <w:p w14:paraId="39E67B43" w14:textId="77777777" w:rsidR="00247AE4" w:rsidRPr="00DB5136" w:rsidRDefault="00247AE4" w:rsidP="00247AE4">
      <w:pPr>
        <w:keepNext/>
        <w:spacing w:before="240" w:after="240"/>
        <w:rPr>
          <w:u w:val="single"/>
          <w:lang w:val="es-ES_tradnl"/>
        </w:rPr>
      </w:pPr>
      <w:r w:rsidRPr="00DB5136">
        <w:rPr>
          <w:u w:val="single"/>
          <w:lang w:val="es-ES_tradnl"/>
        </w:rPr>
        <w:lastRenderedPageBreak/>
        <w:t>Admisibilidad en virtud de la decisión 91/65</w:t>
      </w:r>
    </w:p>
    <w:p w14:paraId="5A139BA5" w14:textId="7A9C17CA" w:rsidR="00247AE4" w:rsidRPr="00DB5136" w:rsidRDefault="00454E60" w:rsidP="00247AE4">
      <w:pPr>
        <w:tabs>
          <w:tab w:val="num" w:pos="0"/>
        </w:tabs>
        <w:spacing w:after="240"/>
        <w:outlineLvl w:val="0"/>
        <w:rPr>
          <w:lang w:val="es-ES_tradnl"/>
        </w:rPr>
      </w:pPr>
      <w:r>
        <w:rPr>
          <w:lang w:val="es-ES_tradnl"/>
        </w:rPr>
        <w:t>21</w:t>
      </w:r>
      <w:r>
        <w:rPr>
          <w:lang w:val="es-ES_tradnl"/>
        </w:rPr>
        <w:tab/>
      </w:r>
      <w:r w:rsidR="00247AE4">
        <w:rPr>
          <w:lang w:val="es-ES_tradnl"/>
        </w:rPr>
        <w:t>C</w:t>
      </w:r>
      <w:r w:rsidR="00247AE4" w:rsidRPr="00DB5136">
        <w:rPr>
          <w:lang w:val="es-ES_tradnl"/>
        </w:rPr>
        <w:t>onforme a lo dispuesto en la decisión 91/65 b) iv), el Gobierno de Togo confirma que si Togo moviliza</w:t>
      </w:r>
      <w:r w:rsidR="00247AE4">
        <w:rPr>
          <w:lang w:val="es-ES_tradnl"/>
        </w:rPr>
        <w:t>se</w:t>
      </w:r>
      <w:r w:rsidR="00247AE4" w:rsidRPr="00DB5136">
        <w:rPr>
          <w:lang w:val="es-ES_tradnl"/>
        </w:rPr>
        <w:t xml:space="preserve"> fondos </w:t>
      </w:r>
      <w:r w:rsidR="00247AE4">
        <w:rPr>
          <w:lang w:val="es-ES_tradnl"/>
        </w:rPr>
        <w:t xml:space="preserve">provenientes de otras </w:t>
      </w:r>
      <w:r w:rsidR="00247AE4" w:rsidRPr="00DB5136">
        <w:rPr>
          <w:lang w:val="es-ES_tradnl"/>
        </w:rPr>
        <w:t xml:space="preserve">fuentes </w:t>
      </w:r>
      <w:r w:rsidR="00247AE4">
        <w:rPr>
          <w:lang w:val="es-ES_tradnl"/>
        </w:rPr>
        <w:t xml:space="preserve">que no fuesen </w:t>
      </w:r>
      <w:r w:rsidR="00247AE4" w:rsidRPr="00DB5136">
        <w:rPr>
          <w:lang w:val="es-ES_tradnl"/>
        </w:rPr>
        <w:t>del Fondo Multilateral para los componentes ecoenergéticos durante la reducción de los HFC, el proyecto no dar</w:t>
      </w:r>
      <w:r w:rsidR="00247AE4">
        <w:rPr>
          <w:lang w:val="es-ES_tradnl"/>
        </w:rPr>
        <w:t>ía</w:t>
      </w:r>
      <w:r w:rsidR="00247AE4" w:rsidRPr="00DB5136">
        <w:rPr>
          <w:lang w:val="es-ES_tradnl"/>
        </w:rPr>
        <w:t xml:space="preserve"> lugar a la duplicación de actividades entre las financiadas por el Fondo Multilateral y las financiadas por otras fuentes; la información sobre los avances, los resultados y las principales enseñanzas del proyecto se pondr</w:t>
      </w:r>
      <w:r w:rsidR="00247AE4">
        <w:rPr>
          <w:lang w:val="es-ES_tradnl"/>
        </w:rPr>
        <w:t>ía</w:t>
      </w:r>
      <w:r w:rsidR="00247AE4" w:rsidRPr="00DB5136">
        <w:rPr>
          <w:lang w:val="es-ES_tradnl"/>
        </w:rPr>
        <w:t xml:space="preserve"> a disposición, según procediera; la fecha de término del proyecto se </w:t>
      </w:r>
      <w:r w:rsidR="00247AE4">
        <w:rPr>
          <w:lang w:val="es-ES_tradnl"/>
        </w:rPr>
        <w:t>fijaría</w:t>
      </w:r>
      <w:r w:rsidR="00247AE4" w:rsidRPr="00DB5136">
        <w:rPr>
          <w:lang w:val="es-ES_tradnl"/>
        </w:rPr>
        <w:t xml:space="preserve"> en un plazo máximo de 30 meses</w:t>
      </w:r>
      <w:r w:rsidR="00247AE4">
        <w:rPr>
          <w:lang w:val="es-ES_tradnl"/>
        </w:rPr>
        <w:t>,</w:t>
      </w:r>
      <w:r w:rsidR="00247AE4" w:rsidRPr="00DB5136">
        <w:rPr>
          <w:lang w:val="es-ES_tradnl"/>
        </w:rPr>
        <w:t xml:space="preserve"> a partir de la fecha de aprobación por el Comité Ejecutivo y</w:t>
      </w:r>
      <w:r w:rsidR="00247AE4">
        <w:rPr>
          <w:lang w:val="es-ES_tradnl"/>
        </w:rPr>
        <w:t>,</w:t>
      </w:r>
      <w:r w:rsidR="00247AE4" w:rsidRPr="00DB5136">
        <w:rPr>
          <w:lang w:val="es-ES_tradnl"/>
        </w:rPr>
        <w:t xml:space="preserve"> en un plazo de seis meses a partir de la fecha de término del proyecto se presentar</w:t>
      </w:r>
      <w:r w:rsidR="00247AE4">
        <w:rPr>
          <w:lang w:val="es-ES_tradnl"/>
        </w:rPr>
        <w:t>ía</w:t>
      </w:r>
      <w:r w:rsidR="00247AE4" w:rsidRPr="00DB5136">
        <w:rPr>
          <w:lang w:val="es-ES_tradnl"/>
        </w:rPr>
        <w:t xml:space="preserve"> un informe detallado del proyecto a</w:t>
      </w:r>
      <w:r w:rsidR="00247AE4">
        <w:rPr>
          <w:lang w:val="es-ES_tradnl"/>
        </w:rPr>
        <w:t xml:space="preserve"> dicho </w:t>
      </w:r>
      <w:r w:rsidR="00247AE4" w:rsidRPr="00DB5136">
        <w:rPr>
          <w:lang w:val="es-ES_tradnl"/>
        </w:rPr>
        <w:t>Comité.</w:t>
      </w:r>
    </w:p>
    <w:p w14:paraId="3D46EEC5" w14:textId="77777777" w:rsidR="00247AE4" w:rsidRPr="00DB5136" w:rsidRDefault="00247AE4" w:rsidP="00247AE4">
      <w:pPr>
        <w:keepNext/>
        <w:rPr>
          <w:u w:val="single"/>
          <w:lang w:val="es-ES_tradnl"/>
        </w:rPr>
      </w:pPr>
      <w:r w:rsidRPr="00DB5136">
        <w:rPr>
          <w:u w:val="single"/>
          <w:lang w:val="es-ES_tradnl"/>
        </w:rPr>
        <w:t>Relación con la reducción de los HFC y el plan de aplicación de la Enmienda de Kigali relativa a los HFC</w:t>
      </w:r>
    </w:p>
    <w:p w14:paraId="6542CFA2" w14:textId="77777777" w:rsidR="00247AE4" w:rsidRPr="00DB5136" w:rsidRDefault="00247AE4" w:rsidP="00247AE4">
      <w:pPr>
        <w:keepNext/>
        <w:rPr>
          <w:highlight w:val="yellow"/>
          <w:lang w:val="es-ES_tradnl"/>
        </w:rPr>
      </w:pPr>
    </w:p>
    <w:p w14:paraId="4F247269" w14:textId="0CB19401" w:rsidR="00247AE4" w:rsidRPr="00454E60" w:rsidRDefault="00247AE4" w:rsidP="00107764">
      <w:pPr>
        <w:pStyle w:val="Heading1"/>
        <w:numPr>
          <w:ilvl w:val="0"/>
          <w:numId w:val="11"/>
        </w:numPr>
        <w:rPr>
          <w:color w:val="000000" w:themeColor="text1"/>
          <w:lang w:val="es-ES_tradnl"/>
        </w:rPr>
      </w:pPr>
      <w:r w:rsidRPr="00454E60">
        <w:rPr>
          <w:lang w:val="es-ES_tradnl"/>
        </w:rPr>
        <w:t>En respuesta a la consulta de la Secretaría sobre las actividades incluidas en la etapa I del PAK,</w:t>
      </w:r>
      <w:r w:rsidRPr="00DB5136">
        <w:rPr>
          <w:rStyle w:val="FootnoteReference"/>
          <w:color w:val="000000" w:themeColor="text1"/>
          <w:lang w:val="es-ES_tradnl"/>
        </w:rPr>
        <w:footnoteReference w:id="12"/>
      </w:r>
      <w:r w:rsidRPr="00454E60">
        <w:rPr>
          <w:lang w:val="es-ES_tradnl"/>
        </w:rPr>
        <w:t xml:space="preserve"> el Gobierno de</w:t>
      </w:r>
      <w:r w:rsidR="00DA6943">
        <w:rPr>
          <w:lang w:val="es-ES_tradnl"/>
        </w:rPr>
        <w:t xml:space="preserve">l Reino Unido </w:t>
      </w:r>
      <w:r w:rsidRPr="00454E60">
        <w:rPr>
          <w:lang w:val="es-ES_tradnl"/>
        </w:rPr>
        <w:t xml:space="preserve">explicó que este proyecto permitirá introducir equipos de bajo potencial de calentamiento atmosférico, contribuyendo así a alcanzar los objetivos del PAK de eliminar gradualmente los HFC y acelerar la transición a tecnologías que cumplan con el PAK. También demostrará el ahorro energético y los beneficios climáticos, reduciendo al mismo tiempo los HFC en un sector clave de consumo en Togo. Mientras se ejecuta el proyecto piloto y a través de </w:t>
      </w:r>
      <w:r w:rsidRPr="00454E60">
        <w:rPr>
          <w:color w:val="000000" w:themeColor="text1"/>
          <w:lang w:val="es-ES_tradnl"/>
        </w:rPr>
        <w:t>las actividades</w:t>
      </w:r>
      <w:r w:rsidRPr="00454E60">
        <w:rPr>
          <w:lang w:val="es-ES_tradnl"/>
        </w:rPr>
        <w:t xml:space="preserve"> del KIP</w:t>
      </w:r>
      <w:r w:rsidRPr="00454E60">
        <w:rPr>
          <w:color w:val="000000" w:themeColor="text1"/>
          <w:lang w:val="es-ES_tradnl"/>
        </w:rPr>
        <w:t>, el Gobierno de Togo supervisará las necesidades del mercado nacional, la adopción de alternativas y los resultados de la demostración del proyecto piloto, y considerará prohibir los equipos a base de HFC de alto potencial de calentamiento atmosférico en 2030. Junto con el segundo tramo de la etapa I del KIP se prevé presentar un análisis detallado.</w:t>
      </w:r>
    </w:p>
    <w:p w14:paraId="444609F3" w14:textId="17B67464" w:rsidR="00247AE4" w:rsidRPr="00DB5136" w:rsidRDefault="00247AE4" w:rsidP="00247AE4">
      <w:pPr>
        <w:pStyle w:val="Heading1"/>
        <w:rPr>
          <w:lang w:val="es-ES_tradnl"/>
        </w:rPr>
      </w:pPr>
      <w:r w:rsidRPr="00DB5136">
        <w:rPr>
          <w:lang w:val="es-ES_tradnl"/>
        </w:rPr>
        <w:t xml:space="preserve">En cuanto a la vinculación con la </w:t>
      </w:r>
      <w:r>
        <w:rPr>
          <w:lang w:val="es-ES_tradnl"/>
        </w:rPr>
        <w:t xml:space="preserve">capacitación </w:t>
      </w:r>
      <w:r w:rsidRPr="00DB5136">
        <w:rPr>
          <w:lang w:val="es-ES_tradnl"/>
        </w:rPr>
        <w:t xml:space="preserve">en </w:t>
      </w:r>
      <w:r>
        <w:rPr>
          <w:lang w:val="es-ES_tradnl"/>
        </w:rPr>
        <w:t xml:space="preserve">cuestiones de </w:t>
      </w:r>
      <w:r w:rsidRPr="00DB5136">
        <w:rPr>
          <w:lang w:val="es-ES_tradnl"/>
        </w:rPr>
        <w:t xml:space="preserve">seguridad </w:t>
      </w:r>
      <w:r w:rsidRPr="00E0404C">
        <w:rPr>
          <w:lang w:val="es-ES_tradnl"/>
        </w:rPr>
        <w:t>para</w:t>
      </w:r>
      <w:r>
        <w:rPr>
          <w:lang w:val="es-ES_tradnl"/>
        </w:rPr>
        <w:t xml:space="preserve"> </w:t>
      </w:r>
      <w:r w:rsidRPr="00DB5136">
        <w:rPr>
          <w:lang w:val="es-ES_tradnl"/>
        </w:rPr>
        <w:t xml:space="preserve">instalaciones de refrigeración y climatización, este proyecto complementa las acciones ya llevadas a cabo en el marco del </w:t>
      </w:r>
      <w:r>
        <w:rPr>
          <w:lang w:val="es-ES_tradnl"/>
        </w:rPr>
        <w:t>plan de gestión para la eliminación de los HCFC (</w:t>
      </w:r>
      <w:r w:rsidRPr="00DB5136">
        <w:rPr>
          <w:lang w:val="es-ES_tradnl"/>
        </w:rPr>
        <w:t>PGEH</w:t>
      </w:r>
      <w:r>
        <w:rPr>
          <w:lang w:val="es-ES_tradnl"/>
        </w:rPr>
        <w:t>)</w:t>
      </w:r>
      <w:r w:rsidRPr="00DB5136">
        <w:rPr>
          <w:lang w:val="es-ES_tradnl"/>
        </w:rPr>
        <w:t xml:space="preserve"> y la formación prevista en el PAK. El Gobierno de</w:t>
      </w:r>
      <w:r w:rsidR="00DA6943">
        <w:rPr>
          <w:lang w:val="es-ES_tradnl"/>
        </w:rPr>
        <w:t xml:space="preserve">l Reino Unido </w:t>
      </w:r>
      <w:r w:rsidRPr="00DB5136">
        <w:rPr>
          <w:lang w:val="es-ES_tradnl"/>
        </w:rPr>
        <w:t xml:space="preserve">aclaró que el PGEH </w:t>
      </w:r>
      <w:r>
        <w:rPr>
          <w:lang w:val="es-ES_tradnl"/>
        </w:rPr>
        <w:t xml:space="preserve">fortalece </w:t>
      </w:r>
      <w:r w:rsidRPr="00DB5136">
        <w:rPr>
          <w:lang w:val="es-ES_tradnl"/>
        </w:rPr>
        <w:t xml:space="preserve">la capacidad de los técnicos en buenas prácticas de </w:t>
      </w:r>
      <w:r>
        <w:rPr>
          <w:lang w:val="es-ES_tradnl"/>
        </w:rPr>
        <w:t>manejo</w:t>
      </w:r>
      <w:r w:rsidRPr="00DB5136">
        <w:rPr>
          <w:lang w:val="es-ES_tradnl"/>
        </w:rPr>
        <w:t xml:space="preserve"> de refrigerantes y reducción de emisiones durante las operaciones de mantenimiento, mientras que el PAK hará hincapié</w:t>
      </w:r>
      <w:r>
        <w:rPr>
          <w:lang w:val="es-ES_tradnl"/>
        </w:rPr>
        <w:t xml:space="preserve"> especialmente</w:t>
      </w:r>
      <w:r w:rsidRPr="00DB5136">
        <w:rPr>
          <w:lang w:val="es-ES_tradnl"/>
        </w:rPr>
        <w:t xml:space="preserve"> en la transición a tecnologías de bajo </w:t>
      </w:r>
      <w:r>
        <w:rPr>
          <w:lang w:val="es-ES_tradnl"/>
        </w:rPr>
        <w:t>potencial de calentamiento atmosférico</w:t>
      </w:r>
      <w:r w:rsidRPr="00DB5136">
        <w:rPr>
          <w:lang w:val="es-ES_tradnl"/>
        </w:rPr>
        <w:t xml:space="preserve">. La capacitación ofrecida en el marco del proyecto piloto </w:t>
      </w:r>
      <w:r>
        <w:rPr>
          <w:lang w:val="es-ES_tradnl"/>
        </w:rPr>
        <w:t xml:space="preserve">fortalecerá </w:t>
      </w:r>
      <w:r w:rsidRPr="00DB5136">
        <w:rPr>
          <w:lang w:val="es-ES_tradnl"/>
        </w:rPr>
        <w:t xml:space="preserve">capacidades centrándose en los riesgos específicos asociados a los refrigerantes alternativos inflamables durante la instalación, </w:t>
      </w:r>
      <w:r>
        <w:rPr>
          <w:lang w:val="es-ES_tradnl"/>
        </w:rPr>
        <w:t xml:space="preserve">además de la </w:t>
      </w:r>
      <w:r w:rsidRPr="00DB5136">
        <w:rPr>
          <w:lang w:val="es-ES_tradnl"/>
        </w:rPr>
        <w:t>seguridad de las instalaciones.</w:t>
      </w:r>
    </w:p>
    <w:p w14:paraId="4DF88705" w14:textId="77777777" w:rsidR="00247AE4" w:rsidRPr="00DB5136" w:rsidRDefault="00247AE4" w:rsidP="00247AE4">
      <w:pPr>
        <w:spacing w:after="240"/>
        <w:outlineLvl w:val="0"/>
        <w:rPr>
          <w:u w:val="single"/>
          <w:lang w:val="es-ES_tradnl"/>
        </w:rPr>
      </w:pPr>
      <w:r w:rsidRPr="00DB5136">
        <w:rPr>
          <w:u w:val="single"/>
          <w:lang w:val="es-ES_tradnl"/>
        </w:rPr>
        <w:t xml:space="preserve">Marco reglamentario, </w:t>
      </w:r>
      <w:r>
        <w:rPr>
          <w:u w:val="single"/>
          <w:lang w:val="es-ES_tradnl"/>
        </w:rPr>
        <w:t xml:space="preserve">de políticas </w:t>
      </w:r>
      <w:r w:rsidRPr="00DB5136">
        <w:rPr>
          <w:u w:val="single"/>
          <w:lang w:val="es-ES_tradnl"/>
        </w:rPr>
        <w:t>e institucional</w:t>
      </w:r>
    </w:p>
    <w:p w14:paraId="52609931" w14:textId="77777777" w:rsidR="00247AE4" w:rsidRPr="00DB5136" w:rsidRDefault="00247AE4" w:rsidP="00247AE4">
      <w:pPr>
        <w:keepNext/>
        <w:spacing w:after="240"/>
        <w:outlineLvl w:val="0"/>
        <w:rPr>
          <w:i/>
          <w:iCs/>
          <w:lang w:val="es-ES_tradnl"/>
        </w:rPr>
      </w:pPr>
      <w:r w:rsidRPr="00DB5136">
        <w:rPr>
          <w:i/>
          <w:iCs/>
          <w:lang w:val="es-ES_tradnl"/>
        </w:rPr>
        <w:t>N</w:t>
      </w:r>
      <w:r>
        <w:rPr>
          <w:i/>
          <w:iCs/>
          <w:lang w:val="es-ES_tradnl"/>
        </w:rPr>
        <w:t>ormas mínimas de eficiencia energética</w:t>
      </w:r>
    </w:p>
    <w:p w14:paraId="5EE1C67D" w14:textId="676677A7" w:rsidR="00247AE4" w:rsidRPr="00DB5136" w:rsidRDefault="00247AE4" w:rsidP="00454E60">
      <w:pPr>
        <w:pStyle w:val="Heading1"/>
        <w:rPr>
          <w:lang w:val="es-ES_tradnl"/>
        </w:rPr>
      </w:pPr>
      <w:r w:rsidRPr="00DB5136">
        <w:rPr>
          <w:lang w:val="es-ES_tradnl"/>
        </w:rPr>
        <w:t xml:space="preserve">En respuesta a la </w:t>
      </w:r>
      <w:r>
        <w:rPr>
          <w:lang w:val="es-ES_tradnl"/>
        </w:rPr>
        <w:t xml:space="preserve">pregunta </w:t>
      </w:r>
      <w:r w:rsidRPr="00DB5136">
        <w:rPr>
          <w:lang w:val="es-ES_tradnl"/>
        </w:rPr>
        <w:t xml:space="preserve">de la Secretaría sobre el </w:t>
      </w:r>
      <w:r w:rsidRPr="00DB5136">
        <w:rPr>
          <w:rFonts w:asciiTheme="majorBidi" w:hAnsiTheme="majorBidi" w:cstheme="majorBidi"/>
          <w:lang w:val="es-ES_tradnl"/>
        </w:rPr>
        <w:t>marco nacional</w:t>
      </w:r>
      <w:r>
        <w:rPr>
          <w:rFonts w:asciiTheme="majorBidi" w:hAnsiTheme="majorBidi" w:cstheme="majorBidi"/>
          <w:lang w:val="es-ES_tradnl"/>
        </w:rPr>
        <w:t xml:space="preserve"> de políticas</w:t>
      </w:r>
      <w:r w:rsidRPr="00DB5136">
        <w:rPr>
          <w:rFonts w:asciiTheme="majorBidi" w:hAnsiTheme="majorBidi" w:cstheme="majorBidi"/>
          <w:lang w:val="es-ES_tradnl"/>
        </w:rPr>
        <w:t xml:space="preserve"> vigente</w:t>
      </w:r>
      <w:r>
        <w:rPr>
          <w:rFonts w:asciiTheme="majorBidi" w:hAnsiTheme="majorBidi" w:cstheme="majorBidi"/>
          <w:lang w:val="es-ES_tradnl"/>
        </w:rPr>
        <w:t>s</w:t>
      </w:r>
      <w:r w:rsidRPr="00DB5136">
        <w:rPr>
          <w:rFonts w:asciiTheme="majorBidi" w:hAnsiTheme="majorBidi" w:cstheme="majorBidi"/>
          <w:lang w:val="es-ES_tradnl"/>
        </w:rPr>
        <w:t xml:space="preserve"> en materia de eficiencia energética y el estado de </w:t>
      </w:r>
      <w:r>
        <w:rPr>
          <w:rFonts w:asciiTheme="majorBidi" w:hAnsiTheme="majorBidi" w:cstheme="majorBidi"/>
          <w:lang w:val="es-ES_tradnl"/>
        </w:rPr>
        <w:t xml:space="preserve">aplicación </w:t>
      </w:r>
      <w:r w:rsidRPr="00DB5136">
        <w:rPr>
          <w:rFonts w:asciiTheme="majorBidi" w:hAnsiTheme="majorBidi" w:cstheme="majorBidi"/>
          <w:lang w:val="es-ES_tradnl"/>
        </w:rPr>
        <w:t xml:space="preserve">de las </w:t>
      </w:r>
      <w:r w:rsidRPr="00DB5136">
        <w:rPr>
          <w:lang w:val="es-ES_tradnl"/>
        </w:rPr>
        <w:t xml:space="preserve">normas mínimas de eficiencia energética de la </w:t>
      </w:r>
      <w:r w:rsidRPr="00D47894">
        <w:rPr>
          <w:lang w:val="es-ES_tradnl"/>
        </w:rPr>
        <w:t>CEDEAO (ECOSTAND 071-2:2017), el Gobierno de</w:t>
      </w:r>
      <w:r w:rsidR="00DA6943">
        <w:rPr>
          <w:lang w:val="es-ES_tradnl"/>
        </w:rPr>
        <w:t>l Reino Unido</w:t>
      </w:r>
      <w:r w:rsidRPr="00D47894">
        <w:rPr>
          <w:lang w:val="es-ES_tradnl"/>
        </w:rPr>
        <w:t xml:space="preserve"> explicó que el PANEE de Togo tiene por objeto aplicar las directrices de la</w:t>
      </w:r>
      <w:r w:rsidRPr="00DB5136">
        <w:rPr>
          <w:lang w:val="es-ES_tradnl"/>
        </w:rPr>
        <w:t xml:space="preserve"> CEDEAO en materia de eficiencia energética. Además, la CEDEAO está considerando la posibilidad de ayudar a cada Estado a </w:t>
      </w:r>
      <w:r>
        <w:rPr>
          <w:lang w:val="es-ES_tradnl"/>
        </w:rPr>
        <w:t xml:space="preserve">tomar </w:t>
      </w:r>
      <w:r w:rsidRPr="00DB5136">
        <w:rPr>
          <w:lang w:val="es-ES_tradnl"/>
        </w:rPr>
        <w:t xml:space="preserve">conciencia de las normas ECOSTAND, lo que contribuirá </w:t>
      </w:r>
      <w:r>
        <w:rPr>
          <w:lang w:val="es-ES_tradnl"/>
        </w:rPr>
        <w:t xml:space="preserve">también </w:t>
      </w:r>
      <w:r w:rsidRPr="00DB5136">
        <w:rPr>
          <w:lang w:val="es-ES_tradnl"/>
        </w:rPr>
        <w:t xml:space="preserve">a </w:t>
      </w:r>
      <w:r>
        <w:rPr>
          <w:lang w:val="es-ES_tradnl"/>
        </w:rPr>
        <w:t xml:space="preserve">tomar </w:t>
      </w:r>
      <w:r w:rsidRPr="00DB5136">
        <w:rPr>
          <w:lang w:val="es-ES_tradnl"/>
        </w:rPr>
        <w:t xml:space="preserve">conciencia de las normas de la CEDEAO. Las normas armonizadas de la </w:t>
      </w:r>
      <w:r>
        <w:rPr>
          <w:lang w:val="es-ES_tradnl"/>
        </w:rPr>
        <w:t>C</w:t>
      </w:r>
      <w:r w:rsidRPr="00DB5136">
        <w:rPr>
          <w:lang w:val="es-ES_tradnl"/>
        </w:rPr>
        <w:t xml:space="preserve">omunidad se ponen a disposición de cada Estado miembro. Además, la </w:t>
      </w:r>
      <w:r w:rsidRPr="00D47894">
        <w:rPr>
          <w:lang w:val="es-ES_tradnl"/>
        </w:rPr>
        <w:t>HAUQE,</w:t>
      </w:r>
      <w:r w:rsidRPr="00DB5136">
        <w:rPr>
          <w:lang w:val="es-ES_tradnl"/>
        </w:rPr>
        <w:t xml:space="preserve"> a través de</w:t>
      </w:r>
      <w:r>
        <w:rPr>
          <w:lang w:val="es-ES_tradnl"/>
        </w:rPr>
        <w:t xml:space="preserve"> la Agencia </w:t>
      </w:r>
      <w:r w:rsidRPr="00DB5136">
        <w:rPr>
          <w:lang w:val="es-ES_tradnl"/>
        </w:rPr>
        <w:t>Togolesa para la Promoción de la Calidad</w:t>
      </w:r>
      <w:r>
        <w:rPr>
          <w:lang w:val="es-ES_tradnl"/>
        </w:rPr>
        <w:t xml:space="preserve"> (</w:t>
      </w:r>
      <w:r w:rsidRPr="008163D1">
        <w:rPr>
          <w:lang w:val="fr-CA"/>
        </w:rPr>
        <w:t xml:space="preserve">ATOPROQ, </w:t>
      </w:r>
      <w:r w:rsidRPr="00D47894">
        <w:rPr>
          <w:lang w:val="es-AR"/>
        </w:rPr>
        <w:t>por su sigla en francés</w:t>
      </w:r>
      <w:r w:rsidRPr="008163D1">
        <w:rPr>
          <w:lang w:val="fr-CA"/>
        </w:rPr>
        <w:t>)</w:t>
      </w:r>
      <w:r w:rsidRPr="00DB5136">
        <w:rPr>
          <w:lang w:val="es-ES_tradnl"/>
        </w:rPr>
        <w:t xml:space="preserve">, está trabajando para </w:t>
      </w:r>
      <w:r>
        <w:rPr>
          <w:lang w:val="es-ES_tradnl"/>
        </w:rPr>
        <w:t xml:space="preserve">concientizar a las contrapartes sobre </w:t>
      </w:r>
      <w:r w:rsidRPr="00DB5136">
        <w:rPr>
          <w:lang w:val="es-ES_tradnl"/>
        </w:rPr>
        <w:t>las disti</w:t>
      </w:r>
      <w:r>
        <w:rPr>
          <w:lang w:val="es-ES_tradnl"/>
        </w:rPr>
        <w:t xml:space="preserve">ntas </w:t>
      </w:r>
      <w:r w:rsidRPr="00DB5136">
        <w:rPr>
          <w:lang w:val="es-ES_tradnl"/>
        </w:rPr>
        <w:t xml:space="preserve">normas mediante talleres de sensibilización, </w:t>
      </w:r>
      <w:r>
        <w:rPr>
          <w:lang w:val="es-ES_tradnl"/>
        </w:rPr>
        <w:t xml:space="preserve">programas </w:t>
      </w:r>
      <w:r w:rsidRPr="00DB5136">
        <w:rPr>
          <w:lang w:val="es-ES_tradnl"/>
        </w:rPr>
        <w:t xml:space="preserve">de capacitación, </w:t>
      </w:r>
      <w:r>
        <w:rPr>
          <w:lang w:val="es-ES_tradnl"/>
        </w:rPr>
        <w:t xml:space="preserve">paneles </w:t>
      </w:r>
      <w:r w:rsidRPr="00DB5136">
        <w:rPr>
          <w:lang w:val="es-ES_tradnl"/>
        </w:rPr>
        <w:t>y participación en foros.</w:t>
      </w:r>
    </w:p>
    <w:p w14:paraId="16889383" w14:textId="77777777" w:rsidR="00247AE4" w:rsidRPr="00DB5136" w:rsidRDefault="00247AE4" w:rsidP="00247AE4">
      <w:pPr>
        <w:spacing w:after="240"/>
        <w:outlineLvl w:val="0"/>
        <w:rPr>
          <w:i/>
          <w:iCs/>
          <w:lang w:val="es-ES_tradnl"/>
        </w:rPr>
      </w:pPr>
      <w:r w:rsidRPr="00DB5136">
        <w:rPr>
          <w:i/>
          <w:iCs/>
          <w:lang w:val="es-ES_tradnl"/>
        </w:rPr>
        <w:lastRenderedPageBreak/>
        <w:t>Marco institucional</w:t>
      </w:r>
    </w:p>
    <w:p w14:paraId="108FC3DD" w14:textId="01A50735" w:rsidR="00247AE4" w:rsidRPr="00DB5136" w:rsidRDefault="00247AE4" w:rsidP="00247AE4">
      <w:pPr>
        <w:pStyle w:val="Heading1"/>
        <w:rPr>
          <w:lang w:val="es-ES_tradnl"/>
        </w:rPr>
      </w:pPr>
      <w:r w:rsidRPr="00DB5136">
        <w:rPr>
          <w:lang w:val="es-ES_tradnl"/>
        </w:rPr>
        <w:t xml:space="preserve">La Secretaría preguntó cuáles eran las autoridades competentes en materia de eficiencia energética en el país y </w:t>
      </w:r>
      <w:r>
        <w:rPr>
          <w:lang w:val="es-ES_tradnl"/>
        </w:rPr>
        <w:t xml:space="preserve">de qué manera </w:t>
      </w:r>
      <w:r w:rsidRPr="00DB5136">
        <w:rPr>
          <w:lang w:val="es-ES_tradnl"/>
        </w:rPr>
        <w:t>la ONO coordinará la ejecución del proyecto con esas autoridades. El Gobierno de</w:t>
      </w:r>
      <w:r w:rsidR="00DA6943">
        <w:rPr>
          <w:lang w:val="es-ES_tradnl"/>
        </w:rPr>
        <w:t xml:space="preserve">l reino Unido </w:t>
      </w:r>
      <w:r w:rsidRPr="00DB5136">
        <w:rPr>
          <w:lang w:val="es-ES_tradnl"/>
        </w:rPr>
        <w:t>confirmó que el proyecto se esforzará por involucrar a la HAUQE y al Ministerio de Minas y Recursos Energéticos, que es la autoridad supervisora responsable de definir y aplicar las políticas energéticas nacionales, incluid</w:t>
      </w:r>
      <w:r>
        <w:rPr>
          <w:lang w:val="es-ES_tradnl"/>
        </w:rPr>
        <w:t>o</w:t>
      </w:r>
      <w:r w:rsidRPr="00DB5136">
        <w:rPr>
          <w:lang w:val="es-ES_tradnl"/>
        </w:rPr>
        <w:t xml:space="preserve"> la eficiencia energética, y a través de departamentos como la Dirección General de Energía, la estructura técnica del ministerio que desarrolla y supervisa los programas de eficiencia energética. La Asociación de Ingenieros de Refrigeración de Togo, </w:t>
      </w:r>
      <w:r>
        <w:rPr>
          <w:lang w:val="es-ES_tradnl"/>
        </w:rPr>
        <w:t xml:space="preserve">que es </w:t>
      </w:r>
      <w:r w:rsidRPr="00DB5136">
        <w:rPr>
          <w:lang w:val="es-ES_tradnl"/>
        </w:rPr>
        <w:t xml:space="preserve">también </w:t>
      </w:r>
      <w:r>
        <w:rPr>
          <w:lang w:val="es-ES_tradnl"/>
        </w:rPr>
        <w:t xml:space="preserve">un asociado </w:t>
      </w:r>
      <w:r w:rsidRPr="00DB5136">
        <w:rPr>
          <w:lang w:val="es-ES_tradnl"/>
        </w:rPr>
        <w:t xml:space="preserve">clave de la ONO, aportará su experiencia en el montaje y la puesta en marcha de los climatizadores, así como en su supervisión tras la instalación, y recibirá capacitación </w:t>
      </w:r>
      <w:r>
        <w:rPr>
          <w:lang w:val="es-ES_tradnl"/>
        </w:rPr>
        <w:t xml:space="preserve">adaptada </w:t>
      </w:r>
      <w:r w:rsidRPr="00DB5136">
        <w:rPr>
          <w:lang w:val="es-ES_tradnl"/>
        </w:rPr>
        <w:t>a las nuevas tecnologías y las mejores prácticas en</w:t>
      </w:r>
      <w:r>
        <w:rPr>
          <w:lang w:val="es-ES_tradnl"/>
        </w:rPr>
        <w:t xml:space="preserve"> el</w:t>
      </w:r>
      <w:r w:rsidRPr="00DB5136">
        <w:rPr>
          <w:lang w:val="es-ES_tradnl"/>
        </w:rPr>
        <w:t xml:space="preserve"> manejo de refrigerantes. El Ministerio de Salud e Higiene Pública, beneficiario directo de los equipos, es responsable del funcionamiento sustentable de </w:t>
      </w:r>
      <w:r>
        <w:rPr>
          <w:lang w:val="es-ES_tradnl"/>
        </w:rPr>
        <w:t>los aparatos instalados</w:t>
      </w:r>
      <w:r w:rsidRPr="00DB5136">
        <w:rPr>
          <w:lang w:val="es-ES_tradnl"/>
        </w:rPr>
        <w:t xml:space="preserve">; y el Ministerio de Educación Técnica, Formación </w:t>
      </w:r>
      <w:r>
        <w:rPr>
          <w:lang w:val="es-ES_tradnl"/>
        </w:rPr>
        <w:t xml:space="preserve">Vocacional </w:t>
      </w:r>
      <w:r w:rsidRPr="00DB5136">
        <w:rPr>
          <w:lang w:val="es-ES_tradnl"/>
        </w:rPr>
        <w:t xml:space="preserve">y </w:t>
      </w:r>
      <w:r>
        <w:rPr>
          <w:lang w:val="es-ES_tradnl"/>
        </w:rPr>
        <w:t>Capacitación</w:t>
      </w:r>
      <w:r w:rsidRPr="00DB5136">
        <w:rPr>
          <w:lang w:val="es-ES_tradnl"/>
        </w:rPr>
        <w:t xml:space="preserve">, que es el ministerio responsable de los centros de formación técnica, cuyos </w:t>
      </w:r>
      <w:r>
        <w:rPr>
          <w:lang w:val="es-ES_tradnl"/>
        </w:rPr>
        <w:t xml:space="preserve">instructores </w:t>
      </w:r>
      <w:r w:rsidRPr="00DB5136">
        <w:rPr>
          <w:lang w:val="es-ES_tradnl"/>
        </w:rPr>
        <w:t xml:space="preserve">se utilizarán para </w:t>
      </w:r>
      <w:r>
        <w:rPr>
          <w:lang w:val="es-ES_tradnl"/>
        </w:rPr>
        <w:t xml:space="preserve">formar </w:t>
      </w:r>
      <w:r w:rsidRPr="00DB5136">
        <w:rPr>
          <w:lang w:val="es-ES_tradnl"/>
        </w:rPr>
        <w:t xml:space="preserve">y </w:t>
      </w:r>
      <w:r>
        <w:rPr>
          <w:lang w:val="es-ES_tradnl"/>
        </w:rPr>
        <w:t xml:space="preserve">concientizar a </w:t>
      </w:r>
      <w:r w:rsidRPr="00DB5136">
        <w:rPr>
          <w:lang w:val="es-ES_tradnl"/>
        </w:rPr>
        <w:t xml:space="preserve">los técnicos que trabajan en los centros beneficiarios </w:t>
      </w:r>
      <w:r>
        <w:rPr>
          <w:lang w:val="es-ES_tradnl"/>
        </w:rPr>
        <w:t xml:space="preserve">en </w:t>
      </w:r>
      <w:r w:rsidRPr="00DB5136">
        <w:rPr>
          <w:lang w:val="es-ES_tradnl"/>
        </w:rPr>
        <w:t xml:space="preserve">el mantenimiento de los </w:t>
      </w:r>
      <w:r>
        <w:rPr>
          <w:lang w:val="es-ES_tradnl"/>
        </w:rPr>
        <w:t>climatizadores con</w:t>
      </w:r>
      <w:r w:rsidRPr="00DB5136">
        <w:rPr>
          <w:lang w:val="es-ES_tradnl"/>
        </w:rPr>
        <w:t xml:space="preserve"> bajo </w:t>
      </w:r>
      <w:r>
        <w:rPr>
          <w:lang w:val="es-ES_tradnl"/>
        </w:rPr>
        <w:t>potencial de calentamiento atmosférico</w:t>
      </w:r>
      <w:r w:rsidRPr="00DB5136">
        <w:rPr>
          <w:lang w:val="es-ES_tradnl"/>
        </w:rPr>
        <w:t>.</w:t>
      </w:r>
    </w:p>
    <w:p w14:paraId="76599C65" w14:textId="77777777" w:rsidR="00247AE4" w:rsidRPr="00DB5136" w:rsidRDefault="00247AE4" w:rsidP="00247AE4">
      <w:pPr>
        <w:pStyle w:val="Heading1"/>
        <w:rPr>
          <w:lang w:val="es-ES_tradnl"/>
        </w:rPr>
      </w:pPr>
      <w:r w:rsidRPr="00DB5136">
        <w:rPr>
          <w:lang w:val="es-ES_tradnl"/>
        </w:rPr>
        <w:t xml:space="preserve">En la práctica, y para una coordinación eficaz, la ONO creará un comité técnico </w:t>
      </w:r>
      <w:r w:rsidRPr="009C1926">
        <w:rPr>
          <w:i/>
          <w:iCs/>
          <w:lang w:val="es-ES_tradnl"/>
        </w:rPr>
        <w:t>ad hoc</w:t>
      </w:r>
      <w:r w:rsidRPr="00DB5136">
        <w:rPr>
          <w:lang w:val="es-ES_tradnl"/>
        </w:rPr>
        <w:t xml:space="preserve"> que reunirá a estas diferentes instituciones</w:t>
      </w:r>
      <w:r>
        <w:rPr>
          <w:lang w:val="es-ES_tradnl"/>
        </w:rPr>
        <w:t>,</w:t>
      </w:r>
      <w:r w:rsidRPr="00DB5136">
        <w:rPr>
          <w:lang w:val="es-ES_tradnl"/>
        </w:rPr>
        <w:t xml:space="preserve"> según sea necesario</w:t>
      </w:r>
      <w:r>
        <w:rPr>
          <w:lang w:val="es-ES_tradnl"/>
        </w:rPr>
        <w:t>,</w:t>
      </w:r>
      <w:r w:rsidRPr="00DB5136">
        <w:rPr>
          <w:lang w:val="es-ES_tradnl"/>
        </w:rPr>
        <w:t xml:space="preserve"> o se basará en los miembros del Comité Nacional del </w:t>
      </w:r>
      <w:r w:rsidRPr="00BE2038">
        <w:rPr>
          <w:lang w:val="es-ES_tradnl"/>
        </w:rPr>
        <w:t>Ozono proveniente</w:t>
      </w:r>
      <w:r>
        <w:rPr>
          <w:lang w:val="es-ES_tradnl"/>
        </w:rPr>
        <w:t>s</w:t>
      </w:r>
      <w:r w:rsidRPr="00BE2038">
        <w:rPr>
          <w:lang w:val="es-ES_tradnl"/>
        </w:rPr>
        <w:t xml:space="preserve"> de estas diferentes estructuras</w:t>
      </w:r>
      <w:r w:rsidRPr="00DB5136">
        <w:rPr>
          <w:lang w:val="es-ES_tradnl"/>
        </w:rPr>
        <w:t xml:space="preserve"> para </w:t>
      </w:r>
      <w:r>
        <w:rPr>
          <w:lang w:val="es-ES_tradnl"/>
        </w:rPr>
        <w:t xml:space="preserve">asegurar </w:t>
      </w:r>
      <w:r w:rsidRPr="00DB5136">
        <w:rPr>
          <w:lang w:val="es-ES_tradnl"/>
        </w:rPr>
        <w:t xml:space="preserve">la coherencia de las acciones, </w:t>
      </w:r>
      <w:r>
        <w:rPr>
          <w:lang w:val="es-ES_tradnl"/>
        </w:rPr>
        <w:t>supervisar e</w:t>
      </w:r>
      <w:r w:rsidRPr="00DB5136">
        <w:rPr>
          <w:lang w:val="es-ES_tradnl"/>
        </w:rPr>
        <w:t xml:space="preserve">l cumplimiento </w:t>
      </w:r>
      <w:r>
        <w:rPr>
          <w:lang w:val="es-ES_tradnl"/>
        </w:rPr>
        <w:t xml:space="preserve">regulatorio y </w:t>
      </w:r>
      <w:r w:rsidRPr="00DB5136">
        <w:rPr>
          <w:lang w:val="es-ES_tradnl"/>
        </w:rPr>
        <w:t>de la normativa</w:t>
      </w:r>
      <w:r>
        <w:rPr>
          <w:lang w:val="es-ES_tradnl"/>
        </w:rPr>
        <w:t>,</w:t>
      </w:r>
      <w:r w:rsidRPr="00DB5136">
        <w:rPr>
          <w:lang w:val="es-ES_tradnl"/>
        </w:rPr>
        <w:t xml:space="preserve"> y </w:t>
      </w:r>
      <w:r w:rsidRPr="009C1926">
        <w:rPr>
          <w:lang w:val="es-ES_tradnl"/>
        </w:rPr>
        <w:t>fortalecer</w:t>
      </w:r>
      <w:r w:rsidRPr="00DB5136">
        <w:rPr>
          <w:lang w:val="es-ES_tradnl"/>
        </w:rPr>
        <w:t xml:space="preserve"> la capacidad de los técnicos y los </w:t>
      </w:r>
      <w:r>
        <w:rPr>
          <w:lang w:val="es-ES_tradnl"/>
        </w:rPr>
        <w:t xml:space="preserve">administradores </w:t>
      </w:r>
      <w:r w:rsidRPr="00DB5136">
        <w:rPr>
          <w:lang w:val="es-ES_tradnl"/>
        </w:rPr>
        <w:t>de equipos hospitalarios.</w:t>
      </w:r>
    </w:p>
    <w:p w14:paraId="66D1C7D9" w14:textId="77777777" w:rsidR="00247AE4" w:rsidRPr="00DB5136" w:rsidRDefault="00247AE4" w:rsidP="00247AE4">
      <w:pPr>
        <w:spacing w:after="240"/>
        <w:outlineLvl w:val="0"/>
        <w:rPr>
          <w:u w:val="single"/>
          <w:lang w:val="es-ES_tradnl"/>
        </w:rPr>
      </w:pPr>
      <w:r w:rsidRPr="00DB5136">
        <w:rPr>
          <w:u w:val="single"/>
          <w:lang w:val="es-ES_tradnl"/>
        </w:rPr>
        <w:t>Aspectos técnicos y de costos</w:t>
      </w:r>
    </w:p>
    <w:p w14:paraId="18ECC519" w14:textId="77777777" w:rsidR="00247AE4" w:rsidRPr="00DB5136" w:rsidRDefault="00247AE4" w:rsidP="00247AE4">
      <w:pPr>
        <w:spacing w:after="240"/>
        <w:outlineLvl w:val="0"/>
        <w:rPr>
          <w:i/>
          <w:iCs/>
          <w:lang w:val="es-ES_tradnl"/>
        </w:rPr>
      </w:pPr>
      <w:r>
        <w:rPr>
          <w:i/>
          <w:iCs/>
          <w:lang w:val="es-ES_tradnl"/>
        </w:rPr>
        <w:t>S</w:t>
      </w:r>
      <w:r w:rsidRPr="00DB5136">
        <w:rPr>
          <w:i/>
          <w:iCs/>
          <w:lang w:val="es-ES_tradnl"/>
        </w:rPr>
        <w:t xml:space="preserve">elección de los beneficiarios y número de </w:t>
      </w:r>
      <w:r>
        <w:rPr>
          <w:i/>
          <w:iCs/>
          <w:lang w:val="es-ES_tradnl"/>
        </w:rPr>
        <w:t>aparatos</w:t>
      </w:r>
      <w:r w:rsidRPr="00DB5136">
        <w:rPr>
          <w:i/>
          <w:iCs/>
          <w:lang w:val="es-ES_tradnl"/>
        </w:rPr>
        <w:t xml:space="preserve"> para su reemplazo</w:t>
      </w:r>
    </w:p>
    <w:p w14:paraId="4E520DD3" w14:textId="7F9A3AA3" w:rsidR="00247AE4" w:rsidRPr="00DB5136" w:rsidRDefault="00247AE4" w:rsidP="00247AE4">
      <w:pPr>
        <w:pStyle w:val="Heading1"/>
        <w:rPr>
          <w:lang w:val="es-ES_tradnl"/>
        </w:rPr>
      </w:pPr>
      <w:r w:rsidRPr="00DB5136">
        <w:rPr>
          <w:lang w:val="es-ES_tradnl"/>
        </w:rPr>
        <w:t xml:space="preserve">En cuanto a la selección de los tres hospitales públicos, la Secretaría preguntó por la antigüedad de los equipos a ser sustituidos, el porcentaje de </w:t>
      </w:r>
      <w:r>
        <w:rPr>
          <w:lang w:val="es-ES_tradnl"/>
        </w:rPr>
        <w:t>dichos aparatos</w:t>
      </w:r>
      <w:r w:rsidRPr="00DB5136">
        <w:rPr>
          <w:lang w:val="es-ES_tradnl"/>
        </w:rPr>
        <w:t xml:space="preserve"> con respecto al número total de </w:t>
      </w:r>
      <w:r>
        <w:rPr>
          <w:lang w:val="es-ES_tradnl"/>
        </w:rPr>
        <w:t>aparatos instalados</w:t>
      </w:r>
      <w:r w:rsidRPr="00DB5136">
        <w:rPr>
          <w:lang w:val="es-ES_tradnl"/>
        </w:rPr>
        <w:t xml:space="preserve"> en los tres lugares y el tamaño del sector sanitario en Togo. El Gobierno de</w:t>
      </w:r>
      <w:r w:rsidR="00DA6943">
        <w:rPr>
          <w:lang w:val="es-ES_tradnl"/>
        </w:rPr>
        <w:t>l Reino Unido</w:t>
      </w:r>
      <w:r w:rsidRPr="00DB5136">
        <w:rPr>
          <w:lang w:val="es-ES_tradnl"/>
        </w:rPr>
        <w:t xml:space="preserve"> aclaró que la antigüedad de </w:t>
      </w:r>
      <w:r>
        <w:rPr>
          <w:lang w:val="es-ES_tradnl"/>
        </w:rPr>
        <w:t>los aparatos</w:t>
      </w:r>
      <w:r w:rsidRPr="00DB5136">
        <w:rPr>
          <w:lang w:val="es-ES_tradnl"/>
        </w:rPr>
        <w:t xml:space="preserve"> que se van a sustituir oscila entre recién instalad</w:t>
      </w:r>
      <w:r>
        <w:rPr>
          <w:lang w:val="es-ES_tradnl"/>
        </w:rPr>
        <w:t>o</w:t>
      </w:r>
      <w:r w:rsidRPr="00DB5136">
        <w:rPr>
          <w:lang w:val="es-ES_tradnl"/>
        </w:rPr>
        <w:t xml:space="preserve">s y un máximo de 10 años. Los tres hospitales seleccionados cuentan con 720 </w:t>
      </w:r>
      <w:r>
        <w:rPr>
          <w:lang w:val="es-ES_tradnl"/>
        </w:rPr>
        <w:t>aparatos</w:t>
      </w:r>
      <w:r w:rsidRPr="00DB5136">
        <w:rPr>
          <w:lang w:val="es-ES_tradnl"/>
        </w:rPr>
        <w:t xml:space="preserve"> en total, lo que significa que </w:t>
      </w:r>
      <w:r>
        <w:rPr>
          <w:lang w:val="es-ES_tradnl"/>
        </w:rPr>
        <w:t>los aparatos</w:t>
      </w:r>
      <w:r w:rsidRPr="00DB5136">
        <w:rPr>
          <w:lang w:val="es-ES_tradnl"/>
        </w:rPr>
        <w:t xml:space="preserve"> de reemplazo representan alrededor del 30 por ciento de</w:t>
      </w:r>
      <w:r>
        <w:rPr>
          <w:lang w:val="es-ES_tradnl"/>
        </w:rPr>
        <w:t xml:space="preserve"> ese</w:t>
      </w:r>
      <w:r w:rsidRPr="00DB5136">
        <w:rPr>
          <w:lang w:val="es-ES_tradnl"/>
        </w:rPr>
        <w:t xml:space="preserve"> total. Se estima que el sector sanitario de Togo cuenta con 207 hospitales,</w:t>
      </w:r>
      <w:r w:rsidRPr="00DB5136">
        <w:rPr>
          <w:rStyle w:val="FootnoteReference"/>
          <w:lang w:val="es-ES_tradnl"/>
        </w:rPr>
        <w:footnoteReference w:id="13"/>
      </w:r>
      <w:r w:rsidRPr="00DB5136">
        <w:rPr>
          <w:lang w:val="es-ES_tradnl"/>
        </w:rPr>
        <w:t xml:space="preserve"> y los tres hospitales beneficiarios seleccionados se encuentran entre los más grandes del país y todos utilizan climatización unitari</w:t>
      </w:r>
      <w:r>
        <w:rPr>
          <w:lang w:val="es-ES_tradnl"/>
        </w:rPr>
        <w:t>a</w:t>
      </w:r>
      <w:r w:rsidRPr="00DB5136">
        <w:rPr>
          <w:lang w:val="es-ES_tradnl"/>
        </w:rPr>
        <w:t>. El número de climatizadores a ser reemplazados pondrá de manifiesto el valor del ahorro resultante del proyecto y demostrará el despliegue de dicha tecnología a gran escala</w:t>
      </w:r>
      <w:r>
        <w:rPr>
          <w:lang w:val="es-ES_tradnl"/>
        </w:rPr>
        <w:t xml:space="preserve"> y en condiciones de seguridad</w:t>
      </w:r>
      <w:r w:rsidRPr="00DB5136">
        <w:rPr>
          <w:lang w:val="es-ES_tradnl"/>
        </w:rPr>
        <w:t>, lo que facilitará su adopción por parte de otros actores del mismo sector u otros sectores públicos.</w:t>
      </w:r>
    </w:p>
    <w:p w14:paraId="3CE924E7" w14:textId="77777777" w:rsidR="00247AE4" w:rsidRPr="00DB5136" w:rsidRDefault="00247AE4" w:rsidP="00247AE4">
      <w:pPr>
        <w:pStyle w:val="Heading1"/>
        <w:keepNext/>
        <w:numPr>
          <w:ilvl w:val="0"/>
          <w:numId w:val="0"/>
        </w:numPr>
        <w:rPr>
          <w:i/>
          <w:iCs/>
          <w:lang w:val="es-ES_tradnl"/>
        </w:rPr>
      </w:pPr>
      <w:r w:rsidRPr="00DB5136">
        <w:rPr>
          <w:i/>
          <w:iCs/>
          <w:lang w:val="es-ES_tradnl"/>
        </w:rPr>
        <w:t>Actividades</w:t>
      </w:r>
    </w:p>
    <w:p w14:paraId="5739962C" w14:textId="05554972" w:rsidR="00247AE4" w:rsidRPr="00DB5136" w:rsidRDefault="00247AE4" w:rsidP="00247AE4">
      <w:pPr>
        <w:pStyle w:val="Heading1"/>
        <w:rPr>
          <w:color w:val="000000" w:themeColor="text1"/>
          <w:lang w:val="es-ES_tradnl"/>
        </w:rPr>
      </w:pPr>
      <w:r w:rsidRPr="00DB5136">
        <w:rPr>
          <w:rFonts w:asciiTheme="majorBidi" w:hAnsiTheme="majorBidi" w:cstheme="majorBidi"/>
          <w:lang w:val="es-ES_tradnl"/>
        </w:rPr>
        <w:t xml:space="preserve">La </w:t>
      </w:r>
      <w:r w:rsidRPr="00DB5136">
        <w:rPr>
          <w:rFonts w:asciiTheme="majorBidi" w:hAnsiTheme="majorBidi" w:cstheme="majorBidi"/>
          <w:color w:val="000000" w:themeColor="text1"/>
          <w:lang w:val="es-ES_tradnl"/>
        </w:rPr>
        <w:t xml:space="preserve">Secretaría preguntó por las actividades específicas que se llevarán a cabo en el marco del proyecto para ayudar a la normalización nacional a adoptar las </w:t>
      </w:r>
      <w:r>
        <w:rPr>
          <w:rFonts w:asciiTheme="majorBidi" w:hAnsiTheme="majorBidi" w:cstheme="majorBidi"/>
          <w:color w:val="000000" w:themeColor="text1"/>
          <w:lang w:val="es-ES_tradnl"/>
        </w:rPr>
        <w:t xml:space="preserve">directrices </w:t>
      </w:r>
      <w:r w:rsidRPr="00DB5136">
        <w:rPr>
          <w:rFonts w:asciiTheme="majorBidi" w:hAnsiTheme="majorBidi" w:cstheme="majorBidi"/>
          <w:color w:val="000000" w:themeColor="text1"/>
          <w:lang w:val="es-ES_tradnl"/>
        </w:rPr>
        <w:t>de seguridad pertinentes a las que se hace referencia en la propuesta. El Gobierno de</w:t>
      </w:r>
      <w:r w:rsidR="00DA6943">
        <w:rPr>
          <w:rFonts w:asciiTheme="majorBidi" w:hAnsiTheme="majorBidi" w:cstheme="majorBidi"/>
          <w:color w:val="000000" w:themeColor="text1"/>
          <w:lang w:val="es-ES_tradnl"/>
        </w:rPr>
        <w:t>l Reino Unido</w:t>
      </w:r>
      <w:r w:rsidRPr="00DB5136">
        <w:rPr>
          <w:rFonts w:asciiTheme="majorBidi" w:hAnsiTheme="majorBidi" w:cstheme="majorBidi"/>
          <w:color w:val="000000" w:themeColor="text1"/>
          <w:lang w:val="es-ES_tradnl"/>
        </w:rPr>
        <w:t xml:space="preserve"> aclaró que el proyecto </w:t>
      </w:r>
      <w:r w:rsidRPr="00DB5136">
        <w:rPr>
          <w:color w:val="000000" w:themeColor="text1"/>
          <w:lang w:val="es-ES_tradnl"/>
        </w:rPr>
        <w:t>facilitará la traducción de las normas de seguridad al francés, organizará consultas con las principales partes</w:t>
      </w:r>
      <w:r>
        <w:rPr>
          <w:color w:val="000000" w:themeColor="text1"/>
          <w:lang w:val="es-ES_tradnl"/>
        </w:rPr>
        <w:t xml:space="preserve"> interesadas</w:t>
      </w:r>
      <w:r w:rsidRPr="00DB5136">
        <w:rPr>
          <w:color w:val="000000" w:themeColor="text1"/>
          <w:lang w:val="es-ES_tradnl"/>
        </w:rPr>
        <w:t xml:space="preserve"> nacionales para </w:t>
      </w:r>
      <w:r w:rsidRPr="00B53722">
        <w:rPr>
          <w:color w:val="000000" w:themeColor="text1"/>
          <w:lang w:val="es-ES_tradnl"/>
        </w:rPr>
        <w:t>asegurar</w:t>
      </w:r>
      <w:r w:rsidRPr="00DB5136">
        <w:rPr>
          <w:color w:val="000000" w:themeColor="text1"/>
          <w:lang w:val="es-ES_tradnl"/>
        </w:rPr>
        <w:t xml:space="preserve"> la aplicabilidad de las normas y apoyará la integración de las normas en los procesos de normalización nacional en curso, que se llevarán a cabo en coordinación con la ONO y la oficina nacional de normalización.</w:t>
      </w:r>
    </w:p>
    <w:p w14:paraId="5742F12C" w14:textId="79BEFEA7" w:rsidR="00247AE4" w:rsidRPr="00DB5136" w:rsidRDefault="00247AE4" w:rsidP="00247AE4">
      <w:pPr>
        <w:pStyle w:val="Heading1"/>
        <w:rPr>
          <w:lang w:val="es-ES_tradnl"/>
        </w:rPr>
      </w:pPr>
      <w:r>
        <w:rPr>
          <w:lang w:val="es-ES_tradnl"/>
        </w:rPr>
        <w:lastRenderedPageBreak/>
        <w:t xml:space="preserve">Con respecto a las actividades propuestas de extensión y concientización en términos de </w:t>
      </w:r>
      <w:r w:rsidRPr="00DB5136">
        <w:rPr>
          <w:lang w:val="es-ES_tradnl"/>
        </w:rPr>
        <w:t>alcances, contenido y grupos destinatarios</w:t>
      </w:r>
      <w:r>
        <w:rPr>
          <w:lang w:val="es-ES_tradnl"/>
        </w:rPr>
        <w:t xml:space="preserve"> seleccionados</w:t>
      </w:r>
      <w:r w:rsidRPr="00DB5136">
        <w:rPr>
          <w:lang w:val="es-ES_tradnl"/>
        </w:rPr>
        <w:t>, el Gobierno de</w:t>
      </w:r>
      <w:r w:rsidR="00DA6943">
        <w:rPr>
          <w:lang w:val="es-ES_tradnl"/>
        </w:rPr>
        <w:t>l Reino Unido</w:t>
      </w:r>
      <w:r w:rsidRPr="00DB5136">
        <w:rPr>
          <w:lang w:val="es-ES_tradnl"/>
        </w:rPr>
        <w:t xml:space="preserve"> explicó que estas actividades se dirigirán tanto a las partes interesadas técnicas de la cadena de servicios de refrigeración y climatización como al público en general, con el fin de </w:t>
      </w:r>
      <w:r w:rsidRPr="00B53722">
        <w:rPr>
          <w:lang w:val="es-ES_tradnl"/>
        </w:rPr>
        <w:t>asegurar</w:t>
      </w:r>
      <w:r w:rsidRPr="00DB5136">
        <w:rPr>
          <w:lang w:val="es-ES_tradnl"/>
        </w:rPr>
        <w:t xml:space="preserve"> un impacto amplio y duradero. Para los profesionales (técnicos, instaladores y empresas de servicios), las actividades incluirán seminarios y talleres sobre el </w:t>
      </w:r>
      <w:r w:rsidRPr="00B53722">
        <w:rPr>
          <w:lang w:val="es-ES_tradnl"/>
        </w:rPr>
        <w:t>manejo seguro</w:t>
      </w:r>
      <w:r w:rsidRPr="00DB5136">
        <w:rPr>
          <w:lang w:val="es-ES_tradnl"/>
        </w:rPr>
        <w:t xml:space="preserve"> del R-290, centrándose en las similitudes y diferencias con respecto a los refrigerantes convencionales y en </w:t>
      </w:r>
      <w:r>
        <w:rPr>
          <w:lang w:val="es-ES_tradnl"/>
        </w:rPr>
        <w:t xml:space="preserve">la </w:t>
      </w:r>
      <w:r w:rsidRPr="00DB5136">
        <w:rPr>
          <w:lang w:val="es-ES_tradnl"/>
        </w:rPr>
        <w:t xml:space="preserve">alineación con las mejores prácticas internacionales. Para el público y los usuarios finales, las campañas de </w:t>
      </w:r>
      <w:r>
        <w:rPr>
          <w:lang w:val="es-ES_tradnl"/>
        </w:rPr>
        <w:t xml:space="preserve">concienciación </w:t>
      </w:r>
      <w:r w:rsidRPr="00DB5136">
        <w:rPr>
          <w:lang w:val="es-ES_tradnl"/>
        </w:rPr>
        <w:t xml:space="preserve">harán hincapié </w:t>
      </w:r>
      <w:r>
        <w:rPr>
          <w:lang w:val="es-ES_tradnl"/>
        </w:rPr>
        <w:t xml:space="preserve">en </w:t>
      </w:r>
      <w:r w:rsidRPr="00DB5136">
        <w:rPr>
          <w:lang w:val="es-ES_tradnl"/>
        </w:rPr>
        <w:t xml:space="preserve">las ventajas de los </w:t>
      </w:r>
      <w:r w:rsidRPr="00704277">
        <w:rPr>
          <w:lang w:val="es-ES_tradnl"/>
        </w:rPr>
        <w:t>climatizadores con bajo potencial</w:t>
      </w:r>
      <w:r>
        <w:rPr>
          <w:lang w:val="es-ES_tradnl"/>
        </w:rPr>
        <w:t xml:space="preserve"> de calentamiento atmosférico</w:t>
      </w:r>
      <w:r w:rsidRPr="00DB5136">
        <w:rPr>
          <w:lang w:val="es-ES_tradnl"/>
        </w:rPr>
        <w:t xml:space="preserve">, </w:t>
      </w:r>
      <w:r>
        <w:rPr>
          <w:lang w:val="es-ES_tradnl"/>
        </w:rPr>
        <w:t xml:space="preserve">como </w:t>
      </w:r>
      <w:r w:rsidRPr="00DB5136">
        <w:rPr>
          <w:lang w:val="es-ES_tradnl"/>
        </w:rPr>
        <w:t>la eficiencia energética, los beneficios climáticos y las consideraciones de seguridad, con el fin de contribuir a la adopción de la tecnología y la expansión del mercado.</w:t>
      </w:r>
    </w:p>
    <w:p w14:paraId="3E2B00FF" w14:textId="0CBFB34D" w:rsidR="00247AE4" w:rsidRPr="00DB5136" w:rsidRDefault="00247AE4" w:rsidP="00247AE4">
      <w:pPr>
        <w:pStyle w:val="Heading1"/>
        <w:rPr>
          <w:sz w:val="24"/>
          <w:szCs w:val="24"/>
          <w:lang w:val="es-ES_tradnl"/>
        </w:rPr>
      </w:pPr>
      <w:r w:rsidRPr="00DB5136">
        <w:rPr>
          <w:lang w:val="es-ES_tradnl"/>
        </w:rPr>
        <w:t xml:space="preserve">La Secretaría también preguntó </w:t>
      </w:r>
      <w:r>
        <w:rPr>
          <w:lang w:val="es-ES_tradnl"/>
        </w:rPr>
        <w:t xml:space="preserve">de qué manera </w:t>
      </w:r>
      <w:r w:rsidRPr="00DB5136">
        <w:rPr>
          <w:lang w:val="es-ES_tradnl"/>
        </w:rPr>
        <w:t>las actividades de extensión facilitarán el avance de la cadena de suministro de equipos a base de R-290 en el país. El Gobierno de</w:t>
      </w:r>
      <w:r w:rsidR="00DA6943">
        <w:rPr>
          <w:lang w:val="es-ES_tradnl"/>
        </w:rPr>
        <w:t>l Reino Unido</w:t>
      </w:r>
      <w:r w:rsidRPr="00DB5136">
        <w:rPr>
          <w:lang w:val="es-ES_tradnl"/>
        </w:rPr>
        <w:t xml:space="preserve"> aclaró que el avance de las actividades de comunicación y extensión del proyecto sobre los beneficios del cambio de climatiza</w:t>
      </w:r>
      <w:r>
        <w:rPr>
          <w:lang w:val="es-ES_tradnl"/>
        </w:rPr>
        <w:t xml:space="preserve">ción </w:t>
      </w:r>
      <w:r w:rsidRPr="00DB5136">
        <w:rPr>
          <w:lang w:val="es-ES_tradnl"/>
        </w:rPr>
        <w:t xml:space="preserve">a </w:t>
      </w:r>
      <w:r>
        <w:rPr>
          <w:lang w:val="es-ES_tradnl"/>
        </w:rPr>
        <w:t xml:space="preserve">la </w:t>
      </w:r>
      <w:r w:rsidRPr="00DB5136">
        <w:rPr>
          <w:lang w:val="es-ES_tradnl"/>
        </w:rPr>
        <w:t xml:space="preserve">tecnología </w:t>
      </w:r>
      <w:r>
        <w:rPr>
          <w:lang w:val="es-ES_tradnl"/>
        </w:rPr>
        <w:t xml:space="preserve">con bajo potencial de calentamiento atmosférico </w:t>
      </w:r>
      <w:r w:rsidRPr="00DB5136">
        <w:rPr>
          <w:lang w:val="es-ES_tradnl"/>
        </w:rPr>
        <w:t xml:space="preserve">se ampliará al sector minorista. Se prevé que esto contribuya a mejorar la adopción de la tecnología tanto desde el lado de la demanda como desde el </w:t>
      </w:r>
      <w:r>
        <w:rPr>
          <w:lang w:val="es-ES_tradnl"/>
        </w:rPr>
        <w:t xml:space="preserve">lado </w:t>
      </w:r>
      <w:r w:rsidRPr="00DB5136">
        <w:rPr>
          <w:lang w:val="es-ES_tradnl"/>
        </w:rPr>
        <w:t>de la oferta del mercado nacional.</w:t>
      </w:r>
    </w:p>
    <w:p w14:paraId="12D21294" w14:textId="77777777" w:rsidR="00247AE4" w:rsidRPr="00DB5136" w:rsidRDefault="00247AE4" w:rsidP="00247AE4">
      <w:pPr>
        <w:keepNext/>
        <w:spacing w:after="240"/>
        <w:contextualSpacing/>
        <w:outlineLvl w:val="0"/>
        <w:rPr>
          <w:i/>
          <w:iCs/>
          <w:lang w:val="es-ES_tradnl"/>
        </w:rPr>
      </w:pPr>
      <w:r>
        <w:rPr>
          <w:i/>
          <w:iCs/>
          <w:lang w:val="es-ES_tradnl"/>
        </w:rPr>
        <w:t xml:space="preserve">Supervisión </w:t>
      </w:r>
    </w:p>
    <w:p w14:paraId="201F6660" w14:textId="2297B944" w:rsidR="00247AE4" w:rsidRPr="00DB5136" w:rsidRDefault="00247AE4" w:rsidP="00247AE4">
      <w:pPr>
        <w:pStyle w:val="Heading1"/>
        <w:rPr>
          <w:lang w:val="es-ES_tradnl"/>
        </w:rPr>
      </w:pPr>
      <w:r>
        <w:rPr>
          <w:lang w:val="es-ES_tradnl"/>
        </w:rPr>
        <w:t>Asimismo, l</w:t>
      </w:r>
      <w:r w:rsidRPr="00DB5136">
        <w:rPr>
          <w:lang w:val="es-ES_tradnl"/>
        </w:rPr>
        <w:t xml:space="preserve">a Secretaría preguntó </w:t>
      </w:r>
      <w:r>
        <w:rPr>
          <w:lang w:val="es-ES_tradnl"/>
        </w:rPr>
        <w:t xml:space="preserve">de qué manera </w:t>
      </w:r>
      <w:r w:rsidRPr="00DB5136">
        <w:rPr>
          <w:lang w:val="es-ES_tradnl"/>
        </w:rPr>
        <w:t xml:space="preserve">se hará la recopilación de datos, </w:t>
      </w:r>
      <w:r>
        <w:rPr>
          <w:lang w:val="es-ES_tradnl"/>
        </w:rPr>
        <w:t>su</w:t>
      </w:r>
      <w:r w:rsidRPr="00DB5136">
        <w:rPr>
          <w:lang w:val="es-ES_tradnl"/>
        </w:rPr>
        <w:t xml:space="preserve"> supervisión y el intercambio de los mismos, durante cuánto tiempo y qué entidad será responsable de la calidad de este proceso. El Gobierno de</w:t>
      </w:r>
      <w:r w:rsidR="00DA6943">
        <w:rPr>
          <w:lang w:val="es-ES_tradnl"/>
        </w:rPr>
        <w:t>l Reino Unido</w:t>
      </w:r>
      <w:r w:rsidRPr="00DB5136">
        <w:rPr>
          <w:lang w:val="es-ES_tradnl"/>
        </w:rPr>
        <w:t xml:space="preserve"> explicó que, mediante el uso de registradores de datos, tarjetas </w:t>
      </w:r>
      <w:r>
        <w:rPr>
          <w:lang w:val="es-ES_tradnl"/>
        </w:rPr>
        <w:t>de memorización (</w:t>
      </w:r>
      <w:r w:rsidRPr="00DB5136">
        <w:rPr>
          <w:lang w:val="es-ES_tradnl"/>
        </w:rPr>
        <w:t>flash</w:t>
      </w:r>
      <w:r>
        <w:rPr>
          <w:lang w:val="es-ES_tradnl"/>
        </w:rPr>
        <w:t>cards)</w:t>
      </w:r>
      <w:r w:rsidRPr="00DB5136">
        <w:rPr>
          <w:lang w:val="es-ES_tradnl"/>
        </w:rPr>
        <w:t xml:space="preserve"> instaladas, conectividad Wi-Fi y personal capacitado por el proyecto, la recopilación de datos se hará de forma regular, lo que permitirá obtener información sobre el funcionamiento y la eficiencia de </w:t>
      </w:r>
      <w:r>
        <w:rPr>
          <w:lang w:val="es-ES_tradnl"/>
        </w:rPr>
        <w:t>los aparatos instalados</w:t>
      </w:r>
      <w:r w:rsidRPr="00DB5136">
        <w:rPr>
          <w:lang w:val="es-ES_tradnl"/>
        </w:rPr>
        <w:t xml:space="preserve">. Un consultor supervisará el proceso e intervendrá a nivel </w:t>
      </w:r>
      <w:r>
        <w:rPr>
          <w:lang w:val="es-ES_tradnl"/>
        </w:rPr>
        <w:t>nacional</w:t>
      </w:r>
      <w:r w:rsidRPr="00DB5136">
        <w:rPr>
          <w:lang w:val="es-ES_tradnl"/>
        </w:rPr>
        <w:t xml:space="preserve"> s</w:t>
      </w:r>
      <w:r>
        <w:rPr>
          <w:lang w:val="es-ES_tradnl"/>
        </w:rPr>
        <w:t>ó</w:t>
      </w:r>
      <w:r w:rsidRPr="00DB5136">
        <w:rPr>
          <w:lang w:val="es-ES_tradnl"/>
        </w:rPr>
        <w:t>lo si surgen problemas, especialmente al principio. Mientras tanto, el Gobierno de</w:t>
      </w:r>
      <w:r w:rsidR="00DA6943">
        <w:rPr>
          <w:lang w:val="es-ES_tradnl"/>
        </w:rPr>
        <w:t>l</w:t>
      </w:r>
      <w:r w:rsidRPr="00DB5136">
        <w:rPr>
          <w:lang w:val="es-ES_tradnl"/>
        </w:rPr>
        <w:t xml:space="preserve"> </w:t>
      </w:r>
      <w:r w:rsidR="00DA6943">
        <w:rPr>
          <w:lang w:val="es-ES_tradnl"/>
        </w:rPr>
        <w:t xml:space="preserve">Reino Unido </w:t>
      </w:r>
      <w:r w:rsidRPr="00DB5136">
        <w:rPr>
          <w:lang w:val="es-ES_tradnl"/>
        </w:rPr>
        <w:t xml:space="preserve">se beneficiará de otros proyectos con plataformas en línea para ayudar a informar el proceso de </w:t>
      </w:r>
      <w:r>
        <w:rPr>
          <w:lang w:val="es-ES_tradnl"/>
        </w:rPr>
        <w:t xml:space="preserve">supervisión </w:t>
      </w:r>
      <w:r w:rsidRPr="00DB5136">
        <w:rPr>
          <w:lang w:val="es-ES_tradnl"/>
        </w:rPr>
        <w:t>en Togo: los datos serán capturados y comunicados a intervalos regulares por el hospital, o bien esto se hará de forma automática. La ONO actuará como autoridad central para coordinar la ejecución con los beneficiarios, inclu</w:t>
      </w:r>
      <w:r>
        <w:rPr>
          <w:lang w:val="es-ES_tradnl"/>
        </w:rPr>
        <w:t xml:space="preserve">ido </w:t>
      </w:r>
      <w:r w:rsidRPr="00DB5136">
        <w:rPr>
          <w:lang w:val="es-ES_tradnl"/>
        </w:rPr>
        <w:t>la gestión de datos y la presentación de informes.</w:t>
      </w:r>
    </w:p>
    <w:p w14:paraId="6FA72399" w14:textId="77777777" w:rsidR="00247AE4" w:rsidRPr="00DB5136" w:rsidRDefault="00247AE4" w:rsidP="00247AE4">
      <w:pPr>
        <w:rPr>
          <w:u w:val="single"/>
          <w:lang w:val="es-ES_tradnl"/>
        </w:rPr>
      </w:pPr>
      <w:r w:rsidRPr="00DB5136">
        <w:rPr>
          <w:u w:val="single"/>
          <w:lang w:val="es-ES_tradnl"/>
        </w:rPr>
        <w:t>Costos convenidos del proyecto piloto</w:t>
      </w:r>
    </w:p>
    <w:p w14:paraId="7A0DA3A8" w14:textId="77777777" w:rsidR="00247AE4" w:rsidRPr="00DB5136" w:rsidRDefault="00247AE4" w:rsidP="00247AE4">
      <w:pPr>
        <w:rPr>
          <w:u w:val="single"/>
          <w:lang w:val="es-ES_tradnl"/>
        </w:rPr>
      </w:pPr>
    </w:p>
    <w:p w14:paraId="784C66A1" w14:textId="3263B6D8" w:rsidR="00247AE4" w:rsidRPr="00DB5136" w:rsidRDefault="00247AE4" w:rsidP="00454E60">
      <w:pPr>
        <w:pStyle w:val="Heading1"/>
        <w:rPr>
          <w:lang w:val="es-ES_tradnl"/>
        </w:rPr>
      </w:pPr>
      <w:r w:rsidRPr="00DB5136">
        <w:rPr>
          <w:lang w:val="es-ES_tradnl"/>
        </w:rPr>
        <w:t xml:space="preserve">Tras </w:t>
      </w:r>
      <w:r>
        <w:rPr>
          <w:lang w:val="es-ES_tradnl"/>
        </w:rPr>
        <w:t xml:space="preserve">las pormenorizadas deliberaciones </w:t>
      </w:r>
      <w:r w:rsidRPr="00DB5136">
        <w:rPr>
          <w:lang w:val="es-ES_tradnl"/>
        </w:rPr>
        <w:t>con el Gobierno de</w:t>
      </w:r>
      <w:r w:rsidR="00DA6943">
        <w:rPr>
          <w:lang w:val="es-ES_tradnl"/>
        </w:rPr>
        <w:t xml:space="preserve">l Reino Unido </w:t>
      </w:r>
      <w:r w:rsidRPr="00DB5136">
        <w:rPr>
          <w:lang w:val="es-ES_tradnl"/>
        </w:rPr>
        <w:t xml:space="preserve">sobre los costos propuestos para las actividades, incluido los costos de climatizadores, la instalación y la configuración, la </w:t>
      </w:r>
      <w:r>
        <w:rPr>
          <w:lang w:val="es-ES_tradnl"/>
        </w:rPr>
        <w:t>consultoría</w:t>
      </w:r>
      <w:r w:rsidRPr="00DB5136">
        <w:rPr>
          <w:lang w:val="es-ES_tradnl"/>
        </w:rPr>
        <w:t xml:space="preserve"> y </w:t>
      </w:r>
      <w:r>
        <w:rPr>
          <w:lang w:val="es-ES_tradnl"/>
        </w:rPr>
        <w:t xml:space="preserve">asistencia </w:t>
      </w:r>
      <w:r w:rsidRPr="00DB5136">
        <w:rPr>
          <w:lang w:val="es-ES_tradnl"/>
        </w:rPr>
        <w:t>técnica, así como los</w:t>
      </w:r>
      <w:r>
        <w:rPr>
          <w:lang w:val="es-ES_tradnl"/>
        </w:rPr>
        <w:t xml:space="preserve"> gastos</w:t>
      </w:r>
      <w:r w:rsidRPr="00DB5136">
        <w:rPr>
          <w:lang w:val="es-ES_tradnl"/>
        </w:rPr>
        <w:t xml:space="preserve"> imprevistos, se </w:t>
      </w:r>
      <w:r>
        <w:rPr>
          <w:lang w:val="es-ES_tradnl"/>
        </w:rPr>
        <w:t xml:space="preserve">realizaron </w:t>
      </w:r>
      <w:r w:rsidRPr="00DB5136">
        <w:rPr>
          <w:lang w:val="es-ES_tradnl"/>
        </w:rPr>
        <w:t xml:space="preserve">ajustes en los elementos mencionados, garantizando al mismo tiempo que los objetivos sigan siendo los presentados en la propuesta. Los costos convenidos para ejecutar el proyecto piloto destinado a mejorar la eficiencia energética mediante la sustitución de </w:t>
      </w:r>
      <w:r>
        <w:rPr>
          <w:lang w:val="es-ES_tradnl"/>
        </w:rPr>
        <w:t xml:space="preserve">los climatizadores de dos bloques </w:t>
      </w:r>
      <w:r w:rsidRPr="00DB5136">
        <w:rPr>
          <w:lang w:val="es-ES_tradnl"/>
        </w:rPr>
        <w:t xml:space="preserve">en tres hospitales públicos por tecnologías y </w:t>
      </w:r>
      <w:r>
        <w:rPr>
          <w:lang w:val="es-ES_tradnl"/>
        </w:rPr>
        <w:t>aparatos</w:t>
      </w:r>
      <w:r w:rsidRPr="00DB5136">
        <w:rPr>
          <w:lang w:val="es-ES_tradnl"/>
        </w:rPr>
        <w:t xml:space="preserve"> ecoenergétic</w:t>
      </w:r>
      <w:r>
        <w:rPr>
          <w:lang w:val="es-ES_tradnl"/>
        </w:rPr>
        <w:t>o</w:t>
      </w:r>
      <w:r w:rsidRPr="00DB5136">
        <w:rPr>
          <w:lang w:val="es-ES_tradnl"/>
        </w:rPr>
        <w:t xml:space="preserve">s y de bajo </w:t>
      </w:r>
      <w:r>
        <w:rPr>
          <w:lang w:val="es-ES_tradnl"/>
        </w:rPr>
        <w:t>potencial de calentamiento atmosférico</w:t>
      </w:r>
      <w:r w:rsidRPr="00DB5136">
        <w:rPr>
          <w:lang w:val="es-ES_tradnl"/>
        </w:rPr>
        <w:t xml:space="preserve"> ascienden a </w:t>
      </w:r>
      <w:r>
        <w:rPr>
          <w:lang w:val="es-ES_tradnl"/>
        </w:rPr>
        <w:t xml:space="preserve">USD </w:t>
      </w:r>
      <w:r w:rsidRPr="00DB5136">
        <w:rPr>
          <w:lang w:val="es-ES_tradnl"/>
        </w:rPr>
        <w:t>321</w:t>
      </w:r>
      <w:r>
        <w:rPr>
          <w:lang w:val="es-ES_tradnl"/>
        </w:rPr>
        <w:t>.</w:t>
      </w:r>
      <w:r w:rsidRPr="00DB5136">
        <w:rPr>
          <w:lang w:val="es-ES_tradnl"/>
        </w:rPr>
        <w:t xml:space="preserve">300, como se muestra en el </w:t>
      </w:r>
      <w:r w:rsidRPr="008A23C6">
        <w:rPr>
          <w:lang w:val="es-ES_tradnl"/>
        </w:rPr>
        <w:t>Cuadro</w:t>
      </w:r>
      <w:r w:rsidRPr="00DB5136">
        <w:rPr>
          <w:lang w:val="es-ES_tradnl"/>
        </w:rPr>
        <w:t xml:space="preserve"> 2.</w:t>
      </w:r>
    </w:p>
    <w:p w14:paraId="260A1F68" w14:textId="77777777" w:rsidR="00247AE4" w:rsidRPr="00DB5136" w:rsidRDefault="00247AE4" w:rsidP="00247AE4">
      <w:pPr>
        <w:keepNext/>
        <w:rPr>
          <w:b/>
          <w:bCs/>
          <w:lang w:val="es-ES_tradnl"/>
        </w:rPr>
      </w:pPr>
      <w:r w:rsidRPr="00DB5136">
        <w:rPr>
          <w:b/>
          <w:bCs/>
          <w:lang w:val="es-ES_tradnl"/>
        </w:rPr>
        <w:t xml:space="preserve">Cuadro 2. Presupuesto total del proyecto y desglose, según lo acordado </w:t>
      </w:r>
      <w:r>
        <w:rPr>
          <w:b/>
          <w:bCs/>
          <w:lang w:val="es-ES_tradnl"/>
        </w:rPr>
        <w:t>(USD</w:t>
      </w:r>
      <w:r w:rsidRPr="00DB5136">
        <w:rPr>
          <w:b/>
          <w:bCs/>
          <w:lang w:val="es-ES_tradnl"/>
        </w:rPr>
        <w:t>)</w:t>
      </w:r>
    </w:p>
    <w:tbl>
      <w:tblPr>
        <w:tblW w:w="9693" w:type="dxa"/>
        <w:tblCellMar>
          <w:top w:w="15" w:type="dxa"/>
        </w:tblCellMar>
        <w:tblLook w:val="04A0" w:firstRow="1" w:lastRow="0" w:firstColumn="1" w:lastColumn="0" w:noHBand="0" w:noVBand="1"/>
      </w:tblPr>
      <w:tblGrid>
        <w:gridCol w:w="7114"/>
        <w:gridCol w:w="1161"/>
        <w:gridCol w:w="1076"/>
        <w:gridCol w:w="330"/>
        <w:gridCol w:w="12"/>
      </w:tblGrid>
      <w:tr w:rsidR="00247AE4" w:rsidRPr="00DB5136" w14:paraId="493414DF" w14:textId="77777777" w:rsidTr="00167D36">
        <w:trPr>
          <w:gridAfter w:val="2"/>
          <w:wAfter w:w="342" w:type="dxa"/>
          <w:trHeight w:val="20"/>
          <w:tblHeader/>
        </w:trPr>
        <w:tc>
          <w:tcPr>
            <w:tcW w:w="7195" w:type="dxa"/>
            <w:tcBorders>
              <w:top w:val="single" w:sz="4" w:space="0" w:color="auto"/>
              <w:left w:val="single" w:sz="4" w:space="0" w:color="auto"/>
              <w:bottom w:val="single" w:sz="4" w:space="0" w:color="auto"/>
              <w:right w:val="single" w:sz="4" w:space="0" w:color="auto"/>
            </w:tcBorders>
            <w:vAlign w:val="center"/>
            <w:hideMark/>
          </w:tcPr>
          <w:p w14:paraId="6D63A86D" w14:textId="77777777" w:rsidR="00247AE4" w:rsidRPr="00DB5136" w:rsidRDefault="00247AE4" w:rsidP="00512EC5">
            <w:pPr>
              <w:keepNext/>
              <w:jc w:val="center"/>
              <w:rPr>
                <w:b/>
                <w:bCs/>
                <w:color w:val="000000"/>
                <w:sz w:val="20"/>
                <w:szCs w:val="20"/>
                <w:lang w:val="es-ES_tradnl" w:eastAsia="en-CA"/>
              </w:rPr>
            </w:pPr>
            <w:r>
              <w:rPr>
                <w:b/>
                <w:bCs/>
                <w:color w:val="000000"/>
                <w:sz w:val="20"/>
                <w:szCs w:val="20"/>
                <w:lang w:val="es-ES_tradnl" w:eastAsia="en-CA"/>
              </w:rPr>
              <w:t xml:space="preserve">Datos del proyecto </w:t>
            </w:r>
          </w:p>
        </w:tc>
        <w:tc>
          <w:tcPr>
            <w:tcW w:w="1080" w:type="dxa"/>
            <w:tcBorders>
              <w:top w:val="single" w:sz="4" w:space="0" w:color="auto"/>
              <w:left w:val="nil"/>
              <w:bottom w:val="single" w:sz="4" w:space="0" w:color="auto"/>
              <w:right w:val="single" w:sz="4" w:space="0" w:color="auto"/>
            </w:tcBorders>
            <w:vAlign w:val="center"/>
            <w:hideMark/>
          </w:tcPr>
          <w:p w14:paraId="23416106" w14:textId="77777777" w:rsidR="00247AE4" w:rsidRPr="00DB5136" w:rsidRDefault="00247AE4" w:rsidP="00512EC5">
            <w:pPr>
              <w:jc w:val="center"/>
              <w:rPr>
                <w:b/>
                <w:bCs/>
                <w:color w:val="000000"/>
                <w:sz w:val="20"/>
                <w:szCs w:val="20"/>
                <w:lang w:val="es-ES_tradnl" w:eastAsia="en-CA"/>
              </w:rPr>
            </w:pPr>
            <w:r w:rsidRPr="00DB5136">
              <w:rPr>
                <w:b/>
                <w:bCs/>
                <w:color w:val="000000"/>
                <w:sz w:val="20"/>
                <w:szCs w:val="20"/>
                <w:lang w:val="es-ES_tradnl" w:eastAsia="en-CA"/>
              </w:rPr>
              <w:t xml:space="preserve">Según lo presentado </w:t>
            </w:r>
          </w:p>
        </w:tc>
        <w:tc>
          <w:tcPr>
            <w:tcW w:w="1076" w:type="dxa"/>
            <w:tcBorders>
              <w:top w:val="single" w:sz="4" w:space="0" w:color="auto"/>
              <w:left w:val="nil"/>
              <w:bottom w:val="single" w:sz="4" w:space="0" w:color="auto"/>
              <w:right w:val="single" w:sz="4" w:space="0" w:color="auto"/>
            </w:tcBorders>
            <w:vAlign w:val="center"/>
            <w:hideMark/>
          </w:tcPr>
          <w:p w14:paraId="1E33EDBC" w14:textId="77777777" w:rsidR="00247AE4" w:rsidRPr="00DB5136" w:rsidRDefault="00247AE4" w:rsidP="00512EC5">
            <w:pPr>
              <w:jc w:val="center"/>
              <w:rPr>
                <w:b/>
                <w:bCs/>
                <w:color w:val="000000"/>
                <w:sz w:val="20"/>
                <w:szCs w:val="20"/>
                <w:lang w:val="es-ES_tradnl" w:eastAsia="en-CA"/>
              </w:rPr>
            </w:pPr>
            <w:r w:rsidRPr="00DB5136">
              <w:rPr>
                <w:b/>
                <w:bCs/>
                <w:color w:val="000000"/>
                <w:sz w:val="20"/>
                <w:szCs w:val="20"/>
                <w:lang w:val="es-ES_tradnl" w:eastAsia="en-CA"/>
              </w:rPr>
              <w:t xml:space="preserve">Según lo acordado </w:t>
            </w:r>
          </w:p>
        </w:tc>
      </w:tr>
      <w:tr w:rsidR="00247AE4" w:rsidRPr="00010CF0" w14:paraId="312C2B56" w14:textId="77777777" w:rsidTr="00512EC5">
        <w:trPr>
          <w:gridAfter w:val="2"/>
          <w:wAfter w:w="342" w:type="dxa"/>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E11851A" w14:textId="77777777" w:rsidR="00247AE4" w:rsidRPr="00DB5136" w:rsidRDefault="00247AE4" w:rsidP="00512EC5">
            <w:pPr>
              <w:keepNext/>
              <w:jc w:val="left"/>
              <w:rPr>
                <w:b/>
                <w:bCs/>
                <w:color w:val="000000"/>
                <w:sz w:val="20"/>
                <w:szCs w:val="20"/>
                <w:lang w:val="es-ES_tradnl" w:eastAsia="en-CA"/>
              </w:rPr>
            </w:pPr>
            <w:r w:rsidRPr="00DB5136">
              <w:rPr>
                <w:b/>
                <w:bCs/>
                <w:color w:val="000000"/>
                <w:sz w:val="20"/>
                <w:szCs w:val="20"/>
                <w:lang w:val="es-ES_tradnl" w:eastAsia="en-CA"/>
              </w:rPr>
              <w:t>Demostración de climatizadores</w:t>
            </w:r>
            <w:r>
              <w:rPr>
                <w:b/>
                <w:bCs/>
                <w:color w:val="000000"/>
                <w:sz w:val="20"/>
                <w:szCs w:val="20"/>
                <w:lang w:val="es-ES_tradnl" w:eastAsia="en-CA"/>
              </w:rPr>
              <w:t xml:space="preserve"> con</w:t>
            </w:r>
            <w:r w:rsidRPr="00DB5136">
              <w:rPr>
                <w:b/>
                <w:bCs/>
                <w:color w:val="000000"/>
                <w:sz w:val="20"/>
                <w:szCs w:val="20"/>
                <w:lang w:val="es-ES_tradnl" w:eastAsia="en-CA"/>
              </w:rPr>
              <w:t xml:space="preserve"> R-290 y medición y supervisión de energía</w:t>
            </w:r>
          </w:p>
        </w:tc>
      </w:tr>
      <w:tr w:rsidR="00247AE4" w:rsidRPr="00DB5136" w14:paraId="5E4AAD80" w14:textId="77777777" w:rsidTr="00167D36">
        <w:trPr>
          <w:gridAfter w:val="2"/>
          <w:wAfter w:w="342" w:type="dxa"/>
          <w:trHeight w:val="20"/>
        </w:trPr>
        <w:tc>
          <w:tcPr>
            <w:tcW w:w="7195" w:type="dxa"/>
            <w:tcBorders>
              <w:top w:val="nil"/>
              <w:left w:val="single" w:sz="4" w:space="0" w:color="auto"/>
              <w:bottom w:val="single" w:sz="4" w:space="0" w:color="auto"/>
              <w:right w:val="single" w:sz="4" w:space="0" w:color="auto"/>
            </w:tcBorders>
            <w:vAlign w:val="center"/>
            <w:hideMark/>
          </w:tcPr>
          <w:p w14:paraId="06874382" w14:textId="77777777" w:rsidR="00247AE4" w:rsidRPr="00DB5136" w:rsidRDefault="00247AE4" w:rsidP="00512EC5">
            <w:pPr>
              <w:keepNext/>
              <w:jc w:val="left"/>
              <w:rPr>
                <w:color w:val="000000"/>
                <w:sz w:val="20"/>
                <w:szCs w:val="20"/>
                <w:lang w:val="es-ES_tradnl" w:eastAsia="en-CA"/>
              </w:rPr>
            </w:pPr>
            <w:r w:rsidRPr="00DB5136">
              <w:rPr>
                <w:color w:val="000000"/>
                <w:sz w:val="20"/>
                <w:szCs w:val="20"/>
                <w:lang w:val="es-ES_tradnl" w:eastAsia="en-CA"/>
              </w:rPr>
              <w:t>128 climatizadores</w:t>
            </w:r>
            <w:r>
              <w:rPr>
                <w:color w:val="000000"/>
                <w:sz w:val="20"/>
                <w:szCs w:val="20"/>
                <w:lang w:val="es-ES_tradnl" w:eastAsia="en-CA"/>
              </w:rPr>
              <w:t xml:space="preserve"> con</w:t>
            </w:r>
            <w:r w:rsidRPr="00DB5136">
              <w:rPr>
                <w:color w:val="000000"/>
                <w:sz w:val="20"/>
                <w:szCs w:val="20"/>
                <w:lang w:val="es-ES_tradnl" w:eastAsia="en-CA"/>
              </w:rPr>
              <w:t xml:space="preserve"> R-290 (capacidad de 12</w:t>
            </w:r>
            <w:r>
              <w:rPr>
                <w:color w:val="000000"/>
                <w:sz w:val="20"/>
                <w:szCs w:val="20"/>
                <w:lang w:val="es-ES_tradnl" w:eastAsia="en-CA"/>
              </w:rPr>
              <w:t>.</w:t>
            </w:r>
            <w:r w:rsidRPr="00DB5136">
              <w:rPr>
                <w:color w:val="000000"/>
                <w:sz w:val="20"/>
                <w:szCs w:val="20"/>
                <w:lang w:val="es-ES_tradnl" w:eastAsia="en-CA"/>
              </w:rPr>
              <w:t>000 Btu/h), incluid</w:t>
            </w:r>
            <w:r>
              <w:rPr>
                <w:color w:val="000000"/>
                <w:sz w:val="20"/>
                <w:szCs w:val="20"/>
                <w:lang w:val="es-ES_tradnl" w:eastAsia="en-CA"/>
              </w:rPr>
              <w:t>o</w:t>
            </w:r>
            <w:r w:rsidRPr="00DB5136">
              <w:rPr>
                <w:color w:val="000000"/>
                <w:sz w:val="20"/>
                <w:szCs w:val="20"/>
                <w:lang w:val="es-ES_tradnl" w:eastAsia="en-CA"/>
              </w:rPr>
              <w:t xml:space="preserve"> la instalación</w:t>
            </w:r>
          </w:p>
        </w:tc>
        <w:tc>
          <w:tcPr>
            <w:tcW w:w="1080" w:type="dxa"/>
            <w:tcBorders>
              <w:top w:val="nil"/>
              <w:left w:val="nil"/>
              <w:bottom w:val="single" w:sz="4" w:space="0" w:color="auto"/>
              <w:right w:val="single" w:sz="4" w:space="0" w:color="auto"/>
            </w:tcBorders>
            <w:vAlign w:val="center"/>
            <w:hideMark/>
          </w:tcPr>
          <w:p w14:paraId="0E358DB9"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76</w:t>
            </w:r>
            <w:r>
              <w:rPr>
                <w:color w:val="000000"/>
                <w:sz w:val="20"/>
                <w:szCs w:val="20"/>
                <w:lang w:val="es-ES_tradnl" w:eastAsia="en-CA"/>
              </w:rPr>
              <w:t>.</w:t>
            </w:r>
            <w:r w:rsidRPr="00DB5136">
              <w:rPr>
                <w:color w:val="000000"/>
                <w:sz w:val="20"/>
                <w:szCs w:val="20"/>
                <w:lang w:val="es-ES_tradnl" w:eastAsia="en-CA"/>
              </w:rPr>
              <w:t>800</w:t>
            </w:r>
          </w:p>
        </w:tc>
        <w:tc>
          <w:tcPr>
            <w:tcW w:w="1076" w:type="dxa"/>
            <w:tcBorders>
              <w:top w:val="nil"/>
              <w:left w:val="nil"/>
              <w:bottom w:val="single" w:sz="4" w:space="0" w:color="auto"/>
              <w:right w:val="single" w:sz="4" w:space="0" w:color="auto"/>
            </w:tcBorders>
            <w:vAlign w:val="center"/>
            <w:hideMark/>
          </w:tcPr>
          <w:p w14:paraId="378AAE3A"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70</w:t>
            </w:r>
            <w:r>
              <w:rPr>
                <w:color w:val="000000"/>
                <w:sz w:val="20"/>
                <w:szCs w:val="20"/>
                <w:lang w:val="es-ES_tradnl" w:eastAsia="en-CA"/>
              </w:rPr>
              <w:t>.</w:t>
            </w:r>
            <w:r w:rsidRPr="00DB5136">
              <w:rPr>
                <w:color w:val="000000"/>
                <w:sz w:val="20"/>
                <w:szCs w:val="20"/>
                <w:lang w:val="es-ES_tradnl" w:eastAsia="en-CA"/>
              </w:rPr>
              <w:t>400</w:t>
            </w:r>
          </w:p>
        </w:tc>
      </w:tr>
      <w:tr w:rsidR="00247AE4" w:rsidRPr="00DB5136" w14:paraId="63E5672A" w14:textId="77777777" w:rsidTr="00167D36">
        <w:trPr>
          <w:gridAfter w:val="2"/>
          <w:wAfter w:w="342" w:type="dxa"/>
          <w:trHeight w:val="20"/>
        </w:trPr>
        <w:tc>
          <w:tcPr>
            <w:tcW w:w="7195" w:type="dxa"/>
            <w:tcBorders>
              <w:top w:val="nil"/>
              <w:left w:val="single" w:sz="4" w:space="0" w:color="auto"/>
              <w:bottom w:val="single" w:sz="4" w:space="0" w:color="auto"/>
              <w:right w:val="single" w:sz="4" w:space="0" w:color="auto"/>
            </w:tcBorders>
            <w:vAlign w:val="center"/>
            <w:hideMark/>
          </w:tcPr>
          <w:p w14:paraId="71EEFDCF"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 xml:space="preserve">83 climatizadores </w:t>
            </w:r>
            <w:r>
              <w:rPr>
                <w:color w:val="000000"/>
                <w:sz w:val="20"/>
                <w:szCs w:val="20"/>
                <w:lang w:val="es-ES_tradnl" w:eastAsia="en-CA"/>
              </w:rPr>
              <w:t xml:space="preserve">con </w:t>
            </w:r>
            <w:r w:rsidRPr="00DB5136">
              <w:rPr>
                <w:color w:val="000000"/>
                <w:sz w:val="20"/>
                <w:szCs w:val="20"/>
                <w:lang w:val="es-ES_tradnl" w:eastAsia="en-CA"/>
              </w:rPr>
              <w:t>R-290 (capacidad de 18</w:t>
            </w:r>
            <w:r>
              <w:rPr>
                <w:color w:val="000000"/>
                <w:sz w:val="20"/>
                <w:szCs w:val="20"/>
                <w:lang w:val="es-ES_tradnl" w:eastAsia="en-CA"/>
              </w:rPr>
              <w:t>.</w:t>
            </w:r>
            <w:r w:rsidRPr="00DB5136">
              <w:rPr>
                <w:color w:val="000000"/>
                <w:sz w:val="20"/>
                <w:szCs w:val="20"/>
                <w:lang w:val="es-ES_tradnl" w:eastAsia="en-CA"/>
              </w:rPr>
              <w:t>000 Btu/h), incluid</w:t>
            </w:r>
            <w:r>
              <w:rPr>
                <w:color w:val="000000"/>
                <w:sz w:val="20"/>
                <w:szCs w:val="20"/>
                <w:lang w:val="es-ES_tradnl" w:eastAsia="en-CA"/>
              </w:rPr>
              <w:t>o</w:t>
            </w:r>
            <w:r w:rsidRPr="00DB5136">
              <w:rPr>
                <w:color w:val="000000"/>
                <w:sz w:val="20"/>
                <w:szCs w:val="20"/>
                <w:lang w:val="es-ES_tradnl" w:eastAsia="en-CA"/>
              </w:rPr>
              <w:t xml:space="preserve"> la instalación</w:t>
            </w:r>
          </w:p>
        </w:tc>
        <w:tc>
          <w:tcPr>
            <w:tcW w:w="1080" w:type="dxa"/>
            <w:tcBorders>
              <w:top w:val="nil"/>
              <w:left w:val="nil"/>
              <w:bottom w:val="single" w:sz="4" w:space="0" w:color="auto"/>
              <w:right w:val="single" w:sz="4" w:space="0" w:color="auto"/>
            </w:tcBorders>
            <w:vAlign w:val="center"/>
            <w:hideMark/>
          </w:tcPr>
          <w:p w14:paraId="788BE721"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59</w:t>
            </w:r>
            <w:r>
              <w:rPr>
                <w:color w:val="000000"/>
                <w:sz w:val="20"/>
                <w:szCs w:val="20"/>
                <w:lang w:val="es-ES_tradnl" w:eastAsia="en-CA"/>
              </w:rPr>
              <w:t>.</w:t>
            </w:r>
            <w:r w:rsidRPr="00DB5136">
              <w:rPr>
                <w:color w:val="000000"/>
                <w:sz w:val="20"/>
                <w:szCs w:val="20"/>
                <w:lang w:val="es-ES_tradnl" w:eastAsia="en-CA"/>
              </w:rPr>
              <w:t>760</w:t>
            </w:r>
          </w:p>
        </w:tc>
        <w:tc>
          <w:tcPr>
            <w:tcW w:w="1076" w:type="dxa"/>
            <w:tcBorders>
              <w:top w:val="nil"/>
              <w:left w:val="nil"/>
              <w:bottom w:val="single" w:sz="4" w:space="0" w:color="auto"/>
              <w:right w:val="single" w:sz="4" w:space="0" w:color="auto"/>
            </w:tcBorders>
            <w:vAlign w:val="center"/>
            <w:hideMark/>
          </w:tcPr>
          <w:p w14:paraId="2A2EE3C9"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58</w:t>
            </w:r>
            <w:r>
              <w:rPr>
                <w:color w:val="000000"/>
                <w:sz w:val="20"/>
                <w:szCs w:val="20"/>
                <w:lang w:val="es-ES_tradnl" w:eastAsia="en-CA"/>
              </w:rPr>
              <w:t>.</w:t>
            </w:r>
            <w:r w:rsidRPr="00DB5136">
              <w:rPr>
                <w:color w:val="000000"/>
                <w:sz w:val="20"/>
                <w:szCs w:val="20"/>
                <w:lang w:val="es-ES_tradnl" w:eastAsia="en-CA"/>
              </w:rPr>
              <w:t>100</w:t>
            </w:r>
          </w:p>
        </w:tc>
      </w:tr>
      <w:tr w:rsidR="00247AE4" w:rsidRPr="00DB5136" w14:paraId="07476E74" w14:textId="77777777" w:rsidTr="00167D36">
        <w:trPr>
          <w:gridAfter w:val="2"/>
          <w:wAfter w:w="342" w:type="dxa"/>
          <w:trHeight w:val="253"/>
        </w:trPr>
        <w:tc>
          <w:tcPr>
            <w:tcW w:w="7195" w:type="dxa"/>
            <w:vMerge w:val="restart"/>
            <w:tcBorders>
              <w:top w:val="nil"/>
              <w:left w:val="single" w:sz="4" w:space="0" w:color="auto"/>
              <w:bottom w:val="single" w:sz="4" w:space="0" w:color="auto"/>
              <w:right w:val="single" w:sz="4" w:space="0" w:color="auto"/>
            </w:tcBorders>
            <w:vAlign w:val="center"/>
            <w:hideMark/>
          </w:tcPr>
          <w:p w14:paraId="72B3AB98"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 xml:space="preserve">20 dispositivos de medición con capacidad de registro de datos y tres dispositivos de medición de temperatura y humedad </w:t>
            </w:r>
            <w:r>
              <w:rPr>
                <w:color w:val="000000"/>
                <w:sz w:val="20"/>
                <w:szCs w:val="20"/>
                <w:lang w:val="es-ES_tradnl" w:eastAsia="en-CA"/>
              </w:rPr>
              <w:t xml:space="preserve">relativa </w:t>
            </w:r>
            <w:r w:rsidRPr="00DB5136">
              <w:rPr>
                <w:color w:val="000000"/>
                <w:sz w:val="20"/>
                <w:szCs w:val="20"/>
                <w:lang w:val="es-ES_tradnl" w:eastAsia="en-CA"/>
              </w:rPr>
              <w:t xml:space="preserve">/registro de datos </w:t>
            </w:r>
          </w:p>
        </w:tc>
        <w:tc>
          <w:tcPr>
            <w:tcW w:w="1080" w:type="dxa"/>
            <w:vMerge w:val="restart"/>
            <w:tcBorders>
              <w:top w:val="nil"/>
              <w:left w:val="single" w:sz="4" w:space="0" w:color="auto"/>
              <w:bottom w:val="single" w:sz="4" w:space="0" w:color="auto"/>
              <w:right w:val="single" w:sz="4" w:space="0" w:color="auto"/>
            </w:tcBorders>
            <w:vAlign w:val="center"/>
            <w:hideMark/>
          </w:tcPr>
          <w:p w14:paraId="71CAD14A"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11</w:t>
            </w:r>
            <w:r>
              <w:rPr>
                <w:color w:val="000000"/>
                <w:sz w:val="20"/>
                <w:szCs w:val="20"/>
                <w:lang w:val="es-ES_tradnl" w:eastAsia="en-CA"/>
              </w:rPr>
              <w:t>.</w:t>
            </w:r>
            <w:r w:rsidRPr="00DB5136">
              <w:rPr>
                <w:color w:val="000000"/>
                <w:sz w:val="20"/>
                <w:szCs w:val="20"/>
                <w:lang w:val="es-ES_tradnl" w:eastAsia="en-CA"/>
              </w:rPr>
              <w:t>000</w:t>
            </w:r>
          </w:p>
        </w:tc>
        <w:tc>
          <w:tcPr>
            <w:tcW w:w="1076" w:type="dxa"/>
            <w:vMerge w:val="restart"/>
            <w:tcBorders>
              <w:top w:val="nil"/>
              <w:left w:val="single" w:sz="4" w:space="0" w:color="auto"/>
              <w:bottom w:val="single" w:sz="4" w:space="0" w:color="auto"/>
              <w:right w:val="single" w:sz="4" w:space="0" w:color="auto"/>
            </w:tcBorders>
            <w:vAlign w:val="center"/>
            <w:hideMark/>
          </w:tcPr>
          <w:p w14:paraId="0CCBF374" w14:textId="77777777" w:rsidR="00247AE4" w:rsidRPr="00DB5136" w:rsidRDefault="00247AE4" w:rsidP="00512EC5">
            <w:pPr>
              <w:jc w:val="right"/>
              <w:rPr>
                <w:color w:val="000000"/>
                <w:sz w:val="20"/>
                <w:szCs w:val="20"/>
                <w:lang w:val="es-ES_tradnl" w:eastAsia="en-CA"/>
              </w:rPr>
            </w:pPr>
            <w:r>
              <w:rPr>
                <w:color w:val="000000"/>
                <w:sz w:val="20"/>
                <w:szCs w:val="20"/>
                <w:lang w:val="es-ES_tradnl" w:eastAsia="en-CA"/>
              </w:rPr>
              <w:t>2.000</w:t>
            </w:r>
          </w:p>
        </w:tc>
      </w:tr>
      <w:tr w:rsidR="00247AE4" w:rsidRPr="00DB5136" w14:paraId="62ECAEC0" w14:textId="77777777" w:rsidTr="00167D36">
        <w:trPr>
          <w:gridAfter w:val="1"/>
          <w:wAfter w:w="12" w:type="dxa"/>
          <w:trHeight w:val="20"/>
        </w:trPr>
        <w:tc>
          <w:tcPr>
            <w:tcW w:w="7195" w:type="dxa"/>
            <w:vMerge/>
            <w:tcBorders>
              <w:top w:val="nil"/>
              <w:left w:val="single" w:sz="4" w:space="0" w:color="auto"/>
              <w:bottom w:val="single" w:sz="4" w:space="0" w:color="auto"/>
              <w:right w:val="single" w:sz="4" w:space="0" w:color="auto"/>
            </w:tcBorders>
            <w:vAlign w:val="center"/>
            <w:hideMark/>
          </w:tcPr>
          <w:p w14:paraId="5A650C4A" w14:textId="77777777" w:rsidR="00247AE4" w:rsidRPr="00DB5136" w:rsidRDefault="00247AE4" w:rsidP="00512EC5">
            <w:pPr>
              <w:jc w:val="left"/>
              <w:rPr>
                <w:color w:val="000000"/>
                <w:sz w:val="20"/>
                <w:szCs w:val="20"/>
                <w:lang w:val="es-ES_tradnl" w:eastAsia="en-CA"/>
              </w:rPr>
            </w:pPr>
          </w:p>
        </w:tc>
        <w:tc>
          <w:tcPr>
            <w:tcW w:w="1080" w:type="dxa"/>
            <w:vMerge/>
            <w:tcBorders>
              <w:top w:val="nil"/>
              <w:left w:val="single" w:sz="4" w:space="0" w:color="auto"/>
              <w:bottom w:val="single" w:sz="4" w:space="0" w:color="auto"/>
              <w:right w:val="single" w:sz="4" w:space="0" w:color="auto"/>
            </w:tcBorders>
            <w:vAlign w:val="center"/>
            <w:hideMark/>
          </w:tcPr>
          <w:p w14:paraId="71955CE7" w14:textId="77777777" w:rsidR="00247AE4" w:rsidRPr="00DB5136" w:rsidRDefault="00247AE4" w:rsidP="00512EC5">
            <w:pPr>
              <w:jc w:val="right"/>
              <w:rPr>
                <w:color w:val="000000"/>
                <w:sz w:val="20"/>
                <w:szCs w:val="20"/>
                <w:lang w:val="es-ES_tradnl" w:eastAsia="en-CA"/>
              </w:rPr>
            </w:pPr>
          </w:p>
        </w:tc>
        <w:tc>
          <w:tcPr>
            <w:tcW w:w="1076" w:type="dxa"/>
            <w:vMerge/>
            <w:tcBorders>
              <w:top w:val="nil"/>
              <w:left w:val="single" w:sz="4" w:space="0" w:color="auto"/>
              <w:bottom w:val="single" w:sz="4" w:space="0" w:color="auto"/>
              <w:right w:val="single" w:sz="4" w:space="0" w:color="auto"/>
            </w:tcBorders>
            <w:vAlign w:val="center"/>
            <w:hideMark/>
          </w:tcPr>
          <w:p w14:paraId="0A1A0AF3" w14:textId="77777777" w:rsidR="00247AE4" w:rsidRPr="00DB5136" w:rsidRDefault="00247AE4" w:rsidP="00512EC5">
            <w:pPr>
              <w:jc w:val="right"/>
              <w:rPr>
                <w:color w:val="000000"/>
                <w:sz w:val="20"/>
                <w:szCs w:val="20"/>
                <w:lang w:val="es-ES_tradnl" w:eastAsia="en-CA"/>
              </w:rPr>
            </w:pPr>
          </w:p>
        </w:tc>
        <w:tc>
          <w:tcPr>
            <w:tcW w:w="330" w:type="dxa"/>
            <w:tcBorders>
              <w:top w:val="nil"/>
              <w:left w:val="nil"/>
              <w:bottom w:val="nil"/>
              <w:right w:val="nil"/>
            </w:tcBorders>
            <w:noWrap/>
            <w:vAlign w:val="bottom"/>
            <w:hideMark/>
          </w:tcPr>
          <w:p w14:paraId="2422B7AA" w14:textId="77777777" w:rsidR="00247AE4" w:rsidRPr="00DB5136" w:rsidRDefault="00247AE4" w:rsidP="00512EC5">
            <w:pPr>
              <w:jc w:val="center"/>
              <w:rPr>
                <w:rFonts w:asciiTheme="majorBidi" w:hAnsiTheme="majorBidi" w:cstheme="majorBidi"/>
                <w:color w:val="000000"/>
                <w:lang w:val="es-ES_tradnl" w:eastAsia="en-CA"/>
              </w:rPr>
            </w:pPr>
          </w:p>
        </w:tc>
      </w:tr>
      <w:tr w:rsidR="00247AE4" w:rsidRPr="00DB5136" w14:paraId="6D888169" w14:textId="77777777" w:rsidTr="00167D36">
        <w:trPr>
          <w:gridAfter w:val="1"/>
          <w:wAfter w:w="12" w:type="dxa"/>
          <w:trHeight w:val="20"/>
        </w:trPr>
        <w:tc>
          <w:tcPr>
            <w:tcW w:w="7195" w:type="dxa"/>
            <w:vMerge w:val="restart"/>
            <w:tcBorders>
              <w:top w:val="nil"/>
              <w:left w:val="single" w:sz="4" w:space="0" w:color="auto"/>
              <w:bottom w:val="single" w:sz="4" w:space="0" w:color="auto"/>
              <w:right w:val="single" w:sz="4" w:space="0" w:color="auto"/>
            </w:tcBorders>
            <w:vAlign w:val="center"/>
            <w:hideMark/>
          </w:tcPr>
          <w:p w14:paraId="2CF8EC38"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 xml:space="preserve">Configuración, recopilación de datos, </w:t>
            </w:r>
            <w:r>
              <w:rPr>
                <w:color w:val="000000"/>
                <w:sz w:val="20"/>
                <w:szCs w:val="20"/>
                <w:lang w:val="es-ES_tradnl" w:eastAsia="en-CA"/>
              </w:rPr>
              <w:t xml:space="preserve">supervisión </w:t>
            </w:r>
            <w:r w:rsidRPr="00DB5136">
              <w:rPr>
                <w:color w:val="000000"/>
                <w:sz w:val="20"/>
                <w:szCs w:val="20"/>
                <w:lang w:val="es-ES_tradnl" w:eastAsia="en-CA"/>
              </w:rPr>
              <w:t>y notificación sobre la medición de energía en los sitios de demostración durante dos años</w:t>
            </w:r>
          </w:p>
        </w:tc>
        <w:tc>
          <w:tcPr>
            <w:tcW w:w="1080" w:type="dxa"/>
            <w:vMerge w:val="restart"/>
            <w:tcBorders>
              <w:top w:val="nil"/>
              <w:left w:val="single" w:sz="4" w:space="0" w:color="auto"/>
              <w:bottom w:val="single" w:sz="4" w:space="0" w:color="auto"/>
              <w:right w:val="single" w:sz="4" w:space="0" w:color="auto"/>
            </w:tcBorders>
            <w:vAlign w:val="center"/>
            <w:hideMark/>
          </w:tcPr>
          <w:p w14:paraId="648AEC78"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33</w:t>
            </w:r>
            <w:r>
              <w:rPr>
                <w:color w:val="000000"/>
                <w:sz w:val="20"/>
                <w:szCs w:val="20"/>
                <w:lang w:val="es-ES_tradnl" w:eastAsia="en-CA"/>
              </w:rPr>
              <w:t>.</w:t>
            </w:r>
            <w:r w:rsidRPr="00DB5136">
              <w:rPr>
                <w:color w:val="000000"/>
                <w:sz w:val="20"/>
                <w:szCs w:val="20"/>
                <w:lang w:val="es-ES_tradnl" w:eastAsia="en-CA"/>
              </w:rPr>
              <w:t>600</w:t>
            </w:r>
          </w:p>
        </w:tc>
        <w:tc>
          <w:tcPr>
            <w:tcW w:w="1076" w:type="dxa"/>
            <w:vMerge w:val="restart"/>
            <w:tcBorders>
              <w:top w:val="nil"/>
              <w:left w:val="single" w:sz="4" w:space="0" w:color="auto"/>
              <w:bottom w:val="single" w:sz="4" w:space="0" w:color="auto"/>
              <w:right w:val="single" w:sz="4" w:space="0" w:color="auto"/>
            </w:tcBorders>
            <w:vAlign w:val="center"/>
            <w:hideMark/>
          </w:tcPr>
          <w:p w14:paraId="409EA66A"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30</w:t>
            </w:r>
            <w:r>
              <w:rPr>
                <w:color w:val="000000"/>
                <w:sz w:val="20"/>
                <w:szCs w:val="20"/>
                <w:lang w:val="es-ES_tradnl" w:eastAsia="en-CA"/>
              </w:rPr>
              <w:t>.</w:t>
            </w:r>
            <w:r w:rsidRPr="00DB5136">
              <w:rPr>
                <w:color w:val="000000"/>
                <w:sz w:val="20"/>
                <w:szCs w:val="20"/>
                <w:lang w:val="es-ES_tradnl" w:eastAsia="en-CA"/>
              </w:rPr>
              <w:t>000</w:t>
            </w:r>
          </w:p>
        </w:tc>
        <w:tc>
          <w:tcPr>
            <w:tcW w:w="330" w:type="dxa"/>
            <w:vAlign w:val="center"/>
            <w:hideMark/>
          </w:tcPr>
          <w:p w14:paraId="2162FCC9"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2D787EFB" w14:textId="77777777" w:rsidTr="00167D36">
        <w:trPr>
          <w:gridAfter w:val="1"/>
          <w:wAfter w:w="12" w:type="dxa"/>
          <w:trHeight w:val="20"/>
        </w:trPr>
        <w:tc>
          <w:tcPr>
            <w:tcW w:w="7195" w:type="dxa"/>
            <w:vMerge/>
            <w:tcBorders>
              <w:top w:val="nil"/>
              <w:left w:val="single" w:sz="4" w:space="0" w:color="auto"/>
              <w:bottom w:val="single" w:sz="4" w:space="0" w:color="auto"/>
              <w:right w:val="single" w:sz="4" w:space="0" w:color="auto"/>
            </w:tcBorders>
            <w:vAlign w:val="center"/>
            <w:hideMark/>
          </w:tcPr>
          <w:p w14:paraId="28D9838B" w14:textId="77777777" w:rsidR="00247AE4" w:rsidRPr="00DB5136" w:rsidRDefault="00247AE4" w:rsidP="00512EC5">
            <w:pPr>
              <w:jc w:val="left"/>
              <w:rPr>
                <w:color w:val="000000"/>
                <w:sz w:val="20"/>
                <w:szCs w:val="20"/>
                <w:lang w:val="es-ES_tradnl" w:eastAsia="en-CA"/>
              </w:rPr>
            </w:pPr>
          </w:p>
        </w:tc>
        <w:tc>
          <w:tcPr>
            <w:tcW w:w="1080" w:type="dxa"/>
            <w:vMerge/>
            <w:tcBorders>
              <w:top w:val="nil"/>
              <w:left w:val="single" w:sz="4" w:space="0" w:color="auto"/>
              <w:bottom w:val="single" w:sz="4" w:space="0" w:color="auto"/>
              <w:right w:val="single" w:sz="4" w:space="0" w:color="auto"/>
            </w:tcBorders>
            <w:vAlign w:val="center"/>
            <w:hideMark/>
          </w:tcPr>
          <w:p w14:paraId="3B9842A3" w14:textId="77777777" w:rsidR="00247AE4" w:rsidRPr="00DB5136" w:rsidRDefault="00247AE4" w:rsidP="00512EC5">
            <w:pPr>
              <w:jc w:val="right"/>
              <w:rPr>
                <w:color w:val="000000"/>
                <w:sz w:val="20"/>
                <w:szCs w:val="20"/>
                <w:lang w:val="es-ES_tradnl" w:eastAsia="en-CA"/>
              </w:rPr>
            </w:pPr>
          </w:p>
        </w:tc>
        <w:tc>
          <w:tcPr>
            <w:tcW w:w="1076" w:type="dxa"/>
            <w:vMerge/>
            <w:tcBorders>
              <w:top w:val="nil"/>
              <w:left w:val="single" w:sz="4" w:space="0" w:color="auto"/>
              <w:bottom w:val="single" w:sz="4" w:space="0" w:color="auto"/>
              <w:right w:val="single" w:sz="4" w:space="0" w:color="auto"/>
            </w:tcBorders>
            <w:vAlign w:val="center"/>
            <w:hideMark/>
          </w:tcPr>
          <w:p w14:paraId="5B414A92" w14:textId="77777777" w:rsidR="00247AE4" w:rsidRPr="00DB5136" w:rsidRDefault="00247AE4" w:rsidP="00512EC5">
            <w:pPr>
              <w:jc w:val="right"/>
              <w:rPr>
                <w:color w:val="000000"/>
                <w:sz w:val="20"/>
                <w:szCs w:val="20"/>
                <w:lang w:val="es-ES_tradnl" w:eastAsia="en-CA"/>
              </w:rPr>
            </w:pPr>
          </w:p>
        </w:tc>
        <w:tc>
          <w:tcPr>
            <w:tcW w:w="330" w:type="dxa"/>
            <w:tcBorders>
              <w:top w:val="nil"/>
              <w:left w:val="nil"/>
              <w:bottom w:val="nil"/>
              <w:right w:val="nil"/>
            </w:tcBorders>
            <w:noWrap/>
            <w:vAlign w:val="bottom"/>
            <w:hideMark/>
          </w:tcPr>
          <w:p w14:paraId="72D69755" w14:textId="77777777" w:rsidR="00247AE4" w:rsidRPr="00DB5136" w:rsidRDefault="00247AE4" w:rsidP="00512EC5">
            <w:pPr>
              <w:jc w:val="center"/>
              <w:rPr>
                <w:rFonts w:asciiTheme="majorBidi" w:hAnsiTheme="majorBidi" w:cstheme="majorBidi"/>
                <w:color w:val="000000"/>
                <w:lang w:val="es-ES_tradnl" w:eastAsia="en-CA"/>
              </w:rPr>
            </w:pPr>
          </w:p>
        </w:tc>
      </w:tr>
      <w:tr w:rsidR="00247AE4" w:rsidRPr="00DB5136" w14:paraId="7E971728"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02AC3AA1"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Imprevisto</w:t>
            </w:r>
            <w:r>
              <w:rPr>
                <w:color w:val="000000"/>
                <w:sz w:val="20"/>
                <w:szCs w:val="20"/>
                <w:lang w:val="es-ES_tradnl" w:eastAsia="en-CA"/>
              </w:rPr>
              <w:t>s</w:t>
            </w:r>
          </w:p>
        </w:tc>
        <w:tc>
          <w:tcPr>
            <w:tcW w:w="1080" w:type="dxa"/>
            <w:tcBorders>
              <w:top w:val="nil"/>
              <w:left w:val="nil"/>
              <w:bottom w:val="single" w:sz="4" w:space="0" w:color="auto"/>
              <w:right w:val="single" w:sz="4" w:space="0" w:color="auto"/>
            </w:tcBorders>
            <w:vAlign w:val="center"/>
            <w:hideMark/>
          </w:tcPr>
          <w:p w14:paraId="2451E4FE"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20</w:t>
            </w:r>
            <w:r>
              <w:rPr>
                <w:color w:val="000000"/>
                <w:sz w:val="20"/>
                <w:szCs w:val="20"/>
                <w:lang w:val="es-ES_tradnl" w:eastAsia="en-CA"/>
              </w:rPr>
              <w:t>.</w:t>
            </w:r>
            <w:r w:rsidRPr="00DB5136">
              <w:rPr>
                <w:color w:val="000000"/>
                <w:sz w:val="20"/>
                <w:szCs w:val="20"/>
                <w:lang w:val="es-ES_tradnl" w:eastAsia="en-CA"/>
              </w:rPr>
              <w:t>000</w:t>
            </w:r>
          </w:p>
        </w:tc>
        <w:tc>
          <w:tcPr>
            <w:tcW w:w="1076" w:type="dxa"/>
            <w:tcBorders>
              <w:top w:val="nil"/>
              <w:left w:val="nil"/>
              <w:bottom w:val="single" w:sz="4" w:space="0" w:color="auto"/>
              <w:right w:val="single" w:sz="4" w:space="0" w:color="auto"/>
            </w:tcBorders>
            <w:vAlign w:val="center"/>
            <w:hideMark/>
          </w:tcPr>
          <w:p w14:paraId="74CAA815"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15</w:t>
            </w:r>
            <w:r>
              <w:rPr>
                <w:color w:val="000000"/>
                <w:sz w:val="20"/>
                <w:szCs w:val="20"/>
                <w:lang w:val="es-ES_tradnl" w:eastAsia="en-CA"/>
              </w:rPr>
              <w:t>.</w:t>
            </w:r>
            <w:r w:rsidRPr="00DB5136">
              <w:rPr>
                <w:color w:val="000000"/>
                <w:sz w:val="20"/>
                <w:szCs w:val="20"/>
                <w:lang w:val="es-ES_tradnl" w:eastAsia="en-CA"/>
              </w:rPr>
              <w:t>000</w:t>
            </w:r>
          </w:p>
        </w:tc>
        <w:tc>
          <w:tcPr>
            <w:tcW w:w="330" w:type="dxa"/>
            <w:vAlign w:val="center"/>
            <w:hideMark/>
          </w:tcPr>
          <w:p w14:paraId="1D9F2D3C"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679D741F"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05605ADD"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Subtotal</w:t>
            </w:r>
          </w:p>
        </w:tc>
        <w:tc>
          <w:tcPr>
            <w:tcW w:w="1080" w:type="dxa"/>
            <w:tcBorders>
              <w:top w:val="nil"/>
              <w:left w:val="nil"/>
              <w:bottom w:val="single" w:sz="4" w:space="0" w:color="auto"/>
              <w:right w:val="single" w:sz="4" w:space="0" w:color="auto"/>
            </w:tcBorders>
            <w:vAlign w:val="center"/>
            <w:hideMark/>
          </w:tcPr>
          <w:p w14:paraId="5C8A712D"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201</w:t>
            </w:r>
            <w:r>
              <w:rPr>
                <w:b/>
                <w:bCs/>
                <w:i/>
                <w:iCs/>
                <w:color w:val="000000"/>
                <w:sz w:val="20"/>
                <w:szCs w:val="20"/>
                <w:lang w:val="es-ES_tradnl" w:eastAsia="en-CA"/>
              </w:rPr>
              <w:t>.</w:t>
            </w:r>
            <w:r w:rsidRPr="00DB5136">
              <w:rPr>
                <w:b/>
                <w:bCs/>
                <w:i/>
                <w:iCs/>
                <w:color w:val="000000"/>
                <w:sz w:val="20"/>
                <w:szCs w:val="20"/>
                <w:lang w:val="es-ES_tradnl" w:eastAsia="en-CA"/>
              </w:rPr>
              <w:t xml:space="preserve">160 </w:t>
            </w:r>
          </w:p>
        </w:tc>
        <w:tc>
          <w:tcPr>
            <w:tcW w:w="1076" w:type="dxa"/>
            <w:tcBorders>
              <w:top w:val="nil"/>
              <w:left w:val="nil"/>
              <w:bottom w:val="single" w:sz="4" w:space="0" w:color="auto"/>
              <w:right w:val="single" w:sz="4" w:space="0" w:color="auto"/>
            </w:tcBorders>
            <w:vAlign w:val="center"/>
            <w:hideMark/>
          </w:tcPr>
          <w:p w14:paraId="4624C196"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175</w:t>
            </w:r>
            <w:r>
              <w:rPr>
                <w:b/>
                <w:bCs/>
                <w:i/>
                <w:iCs/>
                <w:color w:val="000000"/>
                <w:sz w:val="20"/>
                <w:szCs w:val="20"/>
                <w:lang w:val="es-ES_tradnl" w:eastAsia="en-CA"/>
              </w:rPr>
              <w:t>.</w:t>
            </w:r>
            <w:r w:rsidRPr="00DB5136">
              <w:rPr>
                <w:b/>
                <w:bCs/>
                <w:i/>
                <w:iCs/>
                <w:color w:val="000000"/>
                <w:sz w:val="20"/>
                <w:szCs w:val="20"/>
                <w:lang w:val="es-ES_tradnl" w:eastAsia="en-CA"/>
              </w:rPr>
              <w:t xml:space="preserve">500 </w:t>
            </w:r>
          </w:p>
        </w:tc>
        <w:tc>
          <w:tcPr>
            <w:tcW w:w="330" w:type="dxa"/>
            <w:vAlign w:val="center"/>
            <w:hideMark/>
          </w:tcPr>
          <w:p w14:paraId="0B236319" w14:textId="77777777" w:rsidR="00247AE4" w:rsidRPr="00DB5136" w:rsidRDefault="00247AE4" w:rsidP="00512EC5">
            <w:pPr>
              <w:jc w:val="left"/>
              <w:rPr>
                <w:rFonts w:asciiTheme="majorBidi" w:hAnsiTheme="majorBidi" w:cstheme="majorBidi"/>
                <w:lang w:val="es-ES_tradnl" w:eastAsia="en-CA"/>
              </w:rPr>
            </w:pPr>
          </w:p>
        </w:tc>
      </w:tr>
      <w:tr w:rsidR="00247AE4" w:rsidRPr="00010CF0" w14:paraId="5C9D2FFB" w14:textId="77777777" w:rsidTr="00512EC5">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1E7CB263" w14:textId="77777777" w:rsidR="00247AE4" w:rsidRPr="00DB5136" w:rsidRDefault="00247AE4" w:rsidP="00512EC5">
            <w:pPr>
              <w:jc w:val="left"/>
              <w:rPr>
                <w:b/>
                <w:bCs/>
                <w:color w:val="000000"/>
                <w:sz w:val="20"/>
                <w:szCs w:val="20"/>
                <w:lang w:val="es-ES_tradnl" w:eastAsia="en-CA"/>
              </w:rPr>
            </w:pPr>
            <w:r w:rsidRPr="00DB5136">
              <w:rPr>
                <w:b/>
                <w:bCs/>
                <w:color w:val="000000"/>
                <w:sz w:val="20"/>
                <w:szCs w:val="20"/>
                <w:lang w:val="es-ES_tradnl" w:eastAsia="en-CA"/>
              </w:rPr>
              <w:t>Capacitación de técnicos, instaladores y empresas de servicio técnico</w:t>
            </w:r>
          </w:p>
        </w:tc>
        <w:tc>
          <w:tcPr>
            <w:tcW w:w="342" w:type="dxa"/>
            <w:gridSpan w:val="2"/>
            <w:vAlign w:val="center"/>
            <w:hideMark/>
          </w:tcPr>
          <w:p w14:paraId="30D453BC"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57FC60DA"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1546A47A"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Capacitación en medición y supervisión de energía (160 personas)</w:t>
            </w:r>
          </w:p>
        </w:tc>
        <w:tc>
          <w:tcPr>
            <w:tcW w:w="1080" w:type="dxa"/>
            <w:tcBorders>
              <w:top w:val="nil"/>
              <w:left w:val="nil"/>
              <w:bottom w:val="single" w:sz="4" w:space="0" w:color="auto"/>
              <w:right w:val="single" w:sz="4" w:space="0" w:color="auto"/>
            </w:tcBorders>
            <w:vAlign w:val="center"/>
            <w:hideMark/>
          </w:tcPr>
          <w:p w14:paraId="52208C33"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17</w:t>
            </w:r>
            <w:r>
              <w:rPr>
                <w:color w:val="000000"/>
                <w:sz w:val="20"/>
                <w:szCs w:val="20"/>
                <w:lang w:val="es-ES_tradnl" w:eastAsia="en-CA"/>
              </w:rPr>
              <w:t>.0</w:t>
            </w:r>
            <w:r w:rsidRPr="00DB5136">
              <w:rPr>
                <w:color w:val="000000"/>
                <w:sz w:val="20"/>
                <w:szCs w:val="20"/>
                <w:lang w:val="es-ES_tradnl" w:eastAsia="en-CA"/>
              </w:rPr>
              <w:t xml:space="preserve">00 </w:t>
            </w:r>
          </w:p>
        </w:tc>
        <w:tc>
          <w:tcPr>
            <w:tcW w:w="1076" w:type="dxa"/>
            <w:tcBorders>
              <w:top w:val="nil"/>
              <w:left w:val="nil"/>
              <w:bottom w:val="single" w:sz="4" w:space="0" w:color="auto"/>
              <w:right w:val="single" w:sz="4" w:space="0" w:color="auto"/>
            </w:tcBorders>
            <w:vAlign w:val="center"/>
            <w:hideMark/>
          </w:tcPr>
          <w:p w14:paraId="45AF5CFD"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17</w:t>
            </w:r>
            <w:r>
              <w:rPr>
                <w:color w:val="000000"/>
                <w:sz w:val="20"/>
                <w:szCs w:val="20"/>
                <w:lang w:val="es-ES_tradnl" w:eastAsia="en-CA"/>
              </w:rPr>
              <w:t>.</w:t>
            </w:r>
            <w:r w:rsidRPr="00DB5136">
              <w:rPr>
                <w:color w:val="000000"/>
                <w:sz w:val="20"/>
                <w:szCs w:val="20"/>
                <w:lang w:val="es-ES_tradnl" w:eastAsia="en-CA"/>
              </w:rPr>
              <w:t xml:space="preserve">000 </w:t>
            </w:r>
          </w:p>
        </w:tc>
        <w:tc>
          <w:tcPr>
            <w:tcW w:w="330" w:type="dxa"/>
            <w:vAlign w:val="center"/>
            <w:hideMark/>
          </w:tcPr>
          <w:p w14:paraId="738F354B"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2E5A3D6D"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081C6689"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 xml:space="preserve">Capacitación sobre seguridad y servicio técnico </w:t>
            </w:r>
            <w:r>
              <w:rPr>
                <w:color w:val="000000"/>
                <w:sz w:val="20"/>
                <w:szCs w:val="20"/>
                <w:lang w:val="es-ES_tradnl" w:eastAsia="en-CA"/>
              </w:rPr>
              <w:t>con</w:t>
            </w:r>
            <w:r w:rsidRPr="00DB5136">
              <w:rPr>
                <w:color w:val="000000"/>
                <w:sz w:val="20"/>
                <w:szCs w:val="20"/>
                <w:lang w:val="es-ES_tradnl" w:eastAsia="en-CA"/>
              </w:rPr>
              <w:t xml:space="preserve"> refrigerantes (300 personas)</w:t>
            </w:r>
          </w:p>
        </w:tc>
        <w:tc>
          <w:tcPr>
            <w:tcW w:w="1080" w:type="dxa"/>
            <w:tcBorders>
              <w:top w:val="nil"/>
              <w:left w:val="nil"/>
              <w:bottom w:val="single" w:sz="4" w:space="0" w:color="auto"/>
              <w:right w:val="single" w:sz="4" w:space="0" w:color="auto"/>
            </w:tcBorders>
            <w:vAlign w:val="center"/>
            <w:hideMark/>
          </w:tcPr>
          <w:p w14:paraId="4496595B"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32</w:t>
            </w:r>
            <w:r>
              <w:rPr>
                <w:color w:val="000000"/>
                <w:sz w:val="20"/>
                <w:szCs w:val="20"/>
                <w:lang w:val="es-ES_tradnl" w:eastAsia="en-CA"/>
              </w:rPr>
              <w:t>.</w:t>
            </w:r>
            <w:r w:rsidRPr="00DB5136">
              <w:rPr>
                <w:color w:val="000000"/>
                <w:sz w:val="20"/>
                <w:szCs w:val="20"/>
                <w:lang w:val="es-ES_tradnl" w:eastAsia="en-CA"/>
              </w:rPr>
              <w:t xml:space="preserve">300 </w:t>
            </w:r>
          </w:p>
        </w:tc>
        <w:tc>
          <w:tcPr>
            <w:tcW w:w="1076" w:type="dxa"/>
            <w:tcBorders>
              <w:top w:val="nil"/>
              <w:left w:val="nil"/>
              <w:bottom w:val="single" w:sz="4" w:space="0" w:color="auto"/>
              <w:right w:val="single" w:sz="4" w:space="0" w:color="auto"/>
            </w:tcBorders>
            <w:vAlign w:val="center"/>
            <w:hideMark/>
          </w:tcPr>
          <w:p w14:paraId="56EECBC1"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32</w:t>
            </w:r>
            <w:r>
              <w:rPr>
                <w:color w:val="000000"/>
                <w:sz w:val="20"/>
                <w:szCs w:val="20"/>
                <w:lang w:val="es-ES_tradnl" w:eastAsia="en-CA"/>
              </w:rPr>
              <w:t>.</w:t>
            </w:r>
            <w:r w:rsidRPr="00DB5136">
              <w:rPr>
                <w:color w:val="000000"/>
                <w:sz w:val="20"/>
                <w:szCs w:val="20"/>
                <w:lang w:val="es-ES_tradnl" w:eastAsia="en-CA"/>
              </w:rPr>
              <w:t xml:space="preserve">300 </w:t>
            </w:r>
          </w:p>
        </w:tc>
        <w:tc>
          <w:tcPr>
            <w:tcW w:w="330" w:type="dxa"/>
            <w:vAlign w:val="center"/>
            <w:hideMark/>
          </w:tcPr>
          <w:p w14:paraId="220B80D5"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6C47FB93"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56F35477" w14:textId="77777777" w:rsidR="00247AE4" w:rsidRPr="00DB5136" w:rsidRDefault="00247AE4" w:rsidP="00512EC5">
            <w:pPr>
              <w:jc w:val="left"/>
              <w:rPr>
                <w:color w:val="000000"/>
                <w:sz w:val="20"/>
                <w:szCs w:val="20"/>
                <w:lang w:val="es-ES_tradnl" w:eastAsia="en-CA"/>
              </w:rPr>
            </w:pPr>
            <w:r>
              <w:rPr>
                <w:color w:val="000000"/>
                <w:sz w:val="20"/>
                <w:szCs w:val="20"/>
                <w:lang w:val="es-ES_tradnl" w:eastAsia="en-CA"/>
              </w:rPr>
              <w:t xml:space="preserve">Consultoría </w:t>
            </w:r>
            <w:r w:rsidRPr="00DB5136">
              <w:rPr>
                <w:color w:val="000000"/>
                <w:sz w:val="20"/>
                <w:szCs w:val="20"/>
                <w:lang w:val="es-ES_tradnl" w:eastAsia="en-CA"/>
              </w:rPr>
              <w:t xml:space="preserve">internacional </w:t>
            </w:r>
          </w:p>
        </w:tc>
        <w:tc>
          <w:tcPr>
            <w:tcW w:w="1080" w:type="dxa"/>
            <w:tcBorders>
              <w:top w:val="nil"/>
              <w:left w:val="nil"/>
              <w:bottom w:val="single" w:sz="4" w:space="0" w:color="auto"/>
              <w:right w:val="single" w:sz="4" w:space="0" w:color="auto"/>
            </w:tcBorders>
            <w:vAlign w:val="center"/>
            <w:hideMark/>
          </w:tcPr>
          <w:p w14:paraId="4FFC3937"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43</w:t>
            </w:r>
            <w:r>
              <w:rPr>
                <w:color w:val="000000"/>
                <w:sz w:val="20"/>
                <w:szCs w:val="20"/>
                <w:lang w:val="es-ES_tradnl" w:eastAsia="en-CA"/>
              </w:rPr>
              <w:t>.</w:t>
            </w:r>
            <w:r w:rsidRPr="00DB5136">
              <w:rPr>
                <w:color w:val="000000"/>
                <w:sz w:val="20"/>
                <w:szCs w:val="20"/>
                <w:lang w:val="es-ES_tradnl" w:eastAsia="en-CA"/>
              </w:rPr>
              <w:t xml:space="preserve">200 </w:t>
            </w:r>
          </w:p>
        </w:tc>
        <w:tc>
          <w:tcPr>
            <w:tcW w:w="1076" w:type="dxa"/>
            <w:tcBorders>
              <w:top w:val="nil"/>
              <w:left w:val="nil"/>
              <w:bottom w:val="single" w:sz="4" w:space="0" w:color="auto"/>
              <w:right w:val="single" w:sz="4" w:space="0" w:color="auto"/>
            </w:tcBorders>
            <w:vAlign w:val="center"/>
            <w:hideMark/>
          </w:tcPr>
          <w:p w14:paraId="1A2BC09C" w14:textId="77777777" w:rsidR="00247AE4" w:rsidRPr="00DB5136" w:rsidRDefault="00247AE4" w:rsidP="00512EC5">
            <w:pPr>
              <w:jc w:val="right"/>
              <w:rPr>
                <w:sz w:val="20"/>
                <w:szCs w:val="20"/>
                <w:lang w:val="es-ES_tradnl" w:eastAsia="en-CA"/>
              </w:rPr>
            </w:pPr>
            <w:r w:rsidRPr="00DB5136">
              <w:rPr>
                <w:sz w:val="20"/>
                <w:szCs w:val="20"/>
                <w:lang w:val="es-ES_tradnl" w:eastAsia="en-CA"/>
              </w:rPr>
              <w:t>30</w:t>
            </w:r>
            <w:r>
              <w:rPr>
                <w:sz w:val="20"/>
                <w:szCs w:val="20"/>
                <w:lang w:val="es-ES_tradnl" w:eastAsia="en-CA"/>
              </w:rPr>
              <w:t>.</w:t>
            </w:r>
            <w:r w:rsidRPr="00DB5136">
              <w:rPr>
                <w:sz w:val="20"/>
                <w:szCs w:val="20"/>
                <w:lang w:val="es-ES_tradnl" w:eastAsia="en-CA"/>
              </w:rPr>
              <w:t xml:space="preserve">000 </w:t>
            </w:r>
          </w:p>
        </w:tc>
        <w:tc>
          <w:tcPr>
            <w:tcW w:w="330" w:type="dxa"/>
            <w:vAlign w:val="center"/>
            <w:hideMark/>
          </w:tcPr>
          <w:p w14:paraId="1B88DB0B"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470DFE5F"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208B3AA7"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12 climatizadores</w:t>
            </w:r>
            <w:r>
              <w:rPr>
                <w:color w:val="000000"/>
                <w:sz w:val="20"/>
                <w:szCs w:val="20"/>
                <w:lang w:val="es-ES_tradnl" w:eastAsia="en-CA"/>
              </w:rPr>
              <w:t xml:space="preserve"> con</w:t>
            </w:r>
            <w:r w:rsidRPr="00DB5136">
              <w:rPr>
                <w:color w:val="000000"/>
                <w:sz w:val="20"/>
                <w:szCs w:val="20"/>
                <w:lang w:val="es-ES_tradnl" w:eastAsia="en-CA"/>
              </w:rPr>
              <w:t xml:space="preserve"> R-290, equipos y herramientas para el manejo y recuperación de refrigerantes para el centro de capacitación</w:t>
            </w:r>
          </w:p>
        </w:tc>
        <w:tc>
          <w:tcPr>
            <w:tcW w:w="1080" w:type="dxa"/>
            <w:tcBorders>
              <w:top w:val="nil"/>
              <w:left w:val="nil"/>
              <w:bottom w:val="single" w:sz="4" w:space="0" w:color="auto"/>
              <w:right w:val="single" w:sz="4" w:space="0" w:color="auto"/>
            </w:tcBorders>
            <w:vAlign w:val="center"/>
            <w:hideMark/>
          </w:tcPr>
          <w:p w14:paraId="1855E313"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42</w:t>
            </w:r>
            <w:r>
              <w:rPr>
                <w:color w:val="000000"/>
                <w:sz w:val="20"/>
                <w:szCs w:val="20"/>
                <w:lang w:val="es-ES_tradnl" w:eastAsia="en-CA"/>
              </w:rPr>
              <w:t>.</w:t>
            </w:r>
            <w:r w:rsidRPr="00DB5136">
              <w:rPr>
                <w:color w:val="000000"/>
                <w:sz w:val="20"/>
                <w:szCs w:val="20"/>
                <w:lang w:val="es-ES_tradnl" w:eastAsia="en-CA"/>
              </w:rPr>
              <w:t xml:space="preserve">000 </w:t>
            </w:r>
          </w:p>
        </w:tc>
        <w:tc>
          <w:tcPr>
            <w:tcW w:w="1076" w:type="dxa"/>
            <w:tcBorders>
              <w:top w:val="nil"/>
              <w:left w:val="nil"/>
              <w:bottom w:val="single" w:sz="4" w:space="0" w:color="auto"/>
              <w:right w:val="single" w:sz="4" w:space="0" w:color="auto"/>
            </w:tcBorders>
            <w:vAlign w:val="center"/>
            <w:hideMark/>
          </w:tcPr>
          <w:p w14:paraId="31F5118A"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42</w:t>
            </w:r>
            <w:r>
              <w:rPr>
                <w:color w:val="000000"/>
                <w:sz w:val="20"/>
                <w:szCs w:val="20"/>
                <w:lang w:val="es-ES_tradnl" w:eastAsia="en-CA"/>
              </w:rPr>
              <w:t>.</w:t>
            </w:r>
            <w:r w:rsidRPr="00DB5136">
              <w:rPr>
                <w:color w:val="000000"/>
                <w:sz w:val="20"/>
                <w:szCs w:val="20"/>
                <w:lang w:val="es-ES_tradnl" w:eastAsia="en-CA"/>
              </w:rPr>
              <w:t xml:space="preserve">000 </w:t>
            </w:r>
          </w:p>
        </w:tc>
        <w:tc>
          <w:tcPr>
            <w:tcW w:w="330" w:type="dxa"/>
            <w:vAlign w:val="center"/>
            <w:hideMark/>
          </w:tcPr>
          <w:p w14:paraId="21AEB978"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33270DFB"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7EE44AD0"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Subtotal</w:t>
            </w:r>
          </w:p>
        </w:tc>
        <w:tc>
          <w:tcPr>
            <w:tcW w:w="1080" w:type="dxa"/>
            <w:tcBorders>
              <w:top w:val="nil"/>
              <w:left w:val="nil"/>
              <w:bottom w:val="single" w:sz="4" w:space="0" w:color="auto"/>
              <w:right w:val="single" w:sz="4" w:space="0" w:color="auto"/>
            </w:tcBorders>
            <w:noWrap/>
            <w:vAlign w:val="bottom"/>
            <w:hideMark/>
          </w:tcPr>
          <w:p w14:paraId="171718A2"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134</w:t>
            </w:r>
            <w:r>
              <w:rPr>
                <w:b/>
                <w:bCs/>
                <w:i/>
                <w:iCs/>
                <w:color w:val="000000"/>
                <w:sz w:val="20"/>
                <w:szCs w:val="20"/>
                <w:lang w:val="es-ES_tradnl" w:eastAsia="en-CA"/>
              </w:rPr>
              <w:t>.</w:t>
            </w:r>
            <w:r w:rsidRPr="00DB5136">
              <w:rPr>
                <w:b/>
                <w:bCs/>
                <w:i/>
                <w:iCs/>
                <w:color w:val="000000"/>
                <w:sz w:val="20"/>
                <w:szCs w:val="20"/>
                <w:lang w:val="es-ES_tradnl" w:eastAsia="en-CA"/>
              </w:rPr>
              <w:t xml:space="preserve">500 </w:t>
            </w:r>
          </w:p>
        </w:tc>
        <w:tc>
          <w:tcPr>
            <w:tcW w:w="1076" w:type="dxa"/>
            <w:tcBorders>
              <w:top w:val="nil"/>
              <w:left w:val="nil"/>
              <w:bottom w:val="single" w:sz="4" w:space="0" w:color="auto"/>
              <w:right w:val="single" w:sz="4" w:space="0" w:color="auto"/>
            </w:tcBorders>
            <w:noWrap/>
            <w:vAlign w:val="bottom"/>
            <w:hideMark/>
          </w:tcPr>
          <w:p w14:paraId="6C18B71F"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121</w:t>
            </w:r>
            <w:r>
              <w:rPr>
                <w:b/>
                <w:bCs/>
                <w:i/>
                <w:iCs/>
                <w:color w:val="000000"/>
                <w:sz w:val="20"/>
                <w:szCs w:val="20"/>
                <w:lang w:val="es-ES_tradnl" w:eastAsia="en-CA"/>
              </w:rPr>
              <w:t>.</w:t>
            </w:r>
            <w:r w:rsidRPr="00DB5136">
              <w:rPr>
                <w:b/>
                <w:bCs/>
                <w:i/>
                <w:iCs/>
                <w:color w:val="000000"/>
                <w:sz w:val="20"/>
                <w:szCs w:val="20"/>
                <w:lang w:val="es-ES_tradnl" w:eastAsia="en-CA"/>
              </w:rPr>
              <w:t xml:space="preserve">300 </w:t>
            </w:r>
          </w:p>
        </w:tc>
        <w:tc>
          <w:tcPr>
            <w:tcW w:w="330" w:type="dxa"/>
            <w:vAlign w:val="center"/>
            <w:hideMark/>
          </w:tcPr>
          <w:p w14:paraId="0B3609EA"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3C701743" w14:textId="77777777" w:rsidTr="00512EC5">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7C5023F5" w14:textId="77777777" w:rsidR="00247AE4" w:rsidRPr="00DB5136" w:rsidRDefault="00247AE4" w:rsidP="00512EC5">
            <w:pPr>
              <w:jc w:val="left"/>
              <w:rPr>
                <w:b/>
                <w:bCs/>
                <w:color w:val="000000"/>
                <w:sz w:val="20"/>
                <w:szCs w:val="20"/>
                <w:lang w:val="es-ES_tradnl" w:eastAsia="en-CA"/>
              </w:rPr>
            </w:pPr>
            <w:r w:rsidRPr="00DB5136">
              <w:rPr>
                <w:b/>
                <w:bCs/>
                <w:color w:val="000000"/>
                <w:sz w:val="20"/>
                <w:szCs w:val="20"/>
                <w:lang w:val="es-ES_tradnl" w:eastAsia="en-CA"/>
              </w:rPr>
              <w:t xml:space="preserve">Comunicación, extensión y normas </w:t>
            </w:r>
          </w:p>
        </w:tc>
        <w:tc>
          <w:tcPr>
            <w:tcW w:w="342" w:type="dxa"/>
            <w:gridSpan w:val="2"/>
            <w:vAlign w:val="center"/>
            <w:hideMark/>
          </w:tcPr>
          <w:p w14:paraId="29805CAD"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57E07A42"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33394AF2"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Campañas de extensión</w:t>
            </w:r>
          </w:p>
        </w:tc>
        <w:tc>
          <w:tcPr>
            <w:tcW w:w="1080" w:type="dxa"/>
            <w:tcBorders>
              <w:top w:val="nil"/>
              <w:left w:val="nil"/>
              <w:bottom w:val="single" w:sz="4" w:space="0" w:color="auto"/>
              <w:right w:val="single" w:sz="4" w:space="0" w:color="auto"/>
            </w:tcBorders>
            <w:vAlign w:val="center"/>
            <w:hideMark/>
          </w:tcPr>
          <w:p w14:paraId="37FCE514"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9</w:t>
            </w:r>
            <w:r>
              <w:rPr>
                <w:color w:val="000000"/>
                <w:sz w:val="20"/>
                <w:szCs w:val="20"/>
                <w:lang w:val="es-ES_tradnl" w:eastAsia="en-CA"/>
              </w:rPr>
              <w:t>.</w:t>
            </w:r>
            <w:r w:rsidRPr="00DB5136">
              <w:rPr>
                <w:color w:val="000000"/>
                <w:sz w:val="20"/>
                <w:szCs w:val="20"/>
                <w:lang w:val="es-ES_tradnl" w:eastAsia="en-CA"/>
              </w:rPr>
              <w:t xml:space="preserve">000 </w:t>
            </w:r>
          </w:p>
        </w:tc>
        <w:tc>
          <w:tcPr>
            <w:tcW w:w="1076" w:type="dxa"/>
            <w:tcBorders>
              <w:top w:val="nil"/>
              <w:left w:val="nil"/>
              <w:bottom w:val="single" w:sz="4" w:space="0" w:color="auto"/>
              <w:right w:val="single" w:sz="4" w:space="0" w:color="auto"/>
            </w:tcBorders>
            <w:vAlign w:val="center"/>
            <w:hideMark/>
          </w:tcPr>
          <w:p w14:paraId="7BED0ED2"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9</w:t>
            </w:r>
            <w:r>
              <w:rPr>
                <w:color w:val="000000"/>
                <w:sz w:val="20"/>
                <w:szCs w:val="20"/>
                <w:lang w:val="es-ES_tradnl" w:eastAsia="en-CA"/>
              </w:rPr>
              <w:t>.</w:t>
            </w:r>
            <w:r w:rsidRPr="00DB5136">
              <w:rPr>
                <w:color w:val="000000"/>
                <w:sz w:val="20"/>
                <w:szCs w:val="20"/>
                <w:lang w:val="es-ES_tradnl" w:eastAsia="en-CA"/>
              </w:rPr>
              <w:t xml:space="preserve">000 </w:t>
            </w:r>
          </w:p>
        </w:tc>
        <w:tc>
          <w:tcPr>
            <w:tcW w:w="330" w:type="dxa"/>
            <w:vAlign w:val="center"/>
            <w:hideMark/>
          </w:tcPr>
          <w:p w14:paraId="505E9755"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4C4227AF"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59BF22C5"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Visitas a los emplazamientos</w:t>
            </w:r>
          </w:p>
        </w:tc>
        <w:tc>
          <w:tcPr>
            <w:tcW w:w="1080" w:type="dxa"/>
            <w:tcBorders>
              <w:top w:val="nil"/>
              <w:left w:val="nil"/>
              <w:bottom w:val="single" w:sz="4" w:space="0" w:color="auto"/>
              <w:right w:val="single" w:sz="4" w:space="0" w:color="auto"/>
            </w:tcBorders>
            <w:vAlign w:val="center"/>
            <w:hideMark/>
          </w:tcPr>
          <w:p w14:paraId="14A5D5E2"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w:t>
            </w:r>
            <w:r>
              <w:rPr>
                <w:color w:val="000000"/>
                <w:sz w:val="20"/>
                <w:szCs w:val="20"/>
                <w:lang w:val="es-ES_tradnl" w:eastAsia="en-CA"/>
              </w:rPr>
              <w:t>.</w:t>
            </w:r>
            <w:r w:rsidRPr="00DB5136">
              <w:rPr>
                <w:color w:val="000000"/>
                <w:sz w:val="20"/>
                <w:szCs w:val="20"/>
                <w:lang w:val="es-ES_tradnl" w:eastAsia="en-CA"/>
              </w:rPr>
              <w:t xml:space="preserve">500 </w:t>
            </w:r>
          </w:p>
        </w:tc>
        <w:tc>
          <w:tcPr>
            <w:tcW w:w="1076" w:type="dxa"/>
            <w:tcBorders>
              <w:top w:val="nil"/>
              <w:left w:val="nil"/>
              <w:bottom w:val="single" w:sz="4" w:space="0" w:color="auto"/>
              <w:right w:val="single" w:sz="4" w:space="0" w:color="auto"/>
            </w:tcBorders>
            <w:vAlign w:val="center"/>
            <w:hideMark/>
          </w:tcPr>
          <w:p w14:paraId="390AEB4F"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 xml:space="preserve">1.500 </w:t>
            </w:r>
          </w:p>
        </w:tc>
        <w:tc>
          <w:tcPr>
            <w:tcW w:w="330" w:type="dxa"/>
            <w:vAlign w:val="center"/>
            <w:hideMark/>
          </w:tcPr>
          <w:p w14:paraId="72F215FB"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75C13A01"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20F934D3"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Presentación en conferencias, incluid</w:t>
            </w:r>
            <w:r>
              <w:rPr>
                <w:color w:val="000000"/>
                <w:sz w:val="20"/>
                <w:szCs w:val="20"/>
                <w:lang w:val="es-ES_tradnl" w:eastAsia="en-CA"/>
              </w:rPr>
              <w:t>o grupos de trabajo de composición abierta/reunión de las Partes</w:t>
            </w:r>
          </w:p>
        </w:tc>
        <w:tc>
          <w:tcPr>
            <w:tcW w:w="1080" w:type="dxa"/>
            <w:tcBorders>
              <w:top w:val="nil"/>
              <w:left w:val="nil"/>
              <w:bottom w:val="single" w:sz="4" w:space="0" w:color="auto"/>
              <w:right w:val="single" w:sz="4" w:space="0" w:color="auto"/>
            </w:tcBorders>
            <w:vAlign w:val="center"/>
            <w:hideMark/>
          </w:tcPr>
          <w:p w14:paraId="136C4ABD"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4</w:t>
            </w:r>
            <w:r>
              <w:rPr>
                <w:color w:val="000000"/>
                <w:sz w:val="20"/>
                <w:szCs w:val="20"/>
                <w:lang w:val="es-ES_tradnl" w:eastAsia="en-CA"/>
              </w:rPr>
              <w:t>.</w:t>
            </w:r>
            <w:r w:rsidRPr="00DB5136">
              <w:rPr>
                <w:color w:val="000000"/>
                <w:sz w:val="20"/>
                <w:szCs w:val="20"/>
                <w:lang w:val="es-ES_tradnl" w:eastAsia="en-CA"/>
              </w:rPr>
              <w:t xml:space="preserve">000 </w:t>
            </w:r>
          </w:p>
        </w:tc>
        <w:tc>
          <w:tcPr>
            <w:tcW w:w="1076" w:type="dxa"/>
            <w:tcBorders>
              <w:top w:val="nil"/>
              <w:left w:val="nil"/>
              <w:bottom w:val="single" w:sz="4" w:space="0" w:color="auto"/>
              <w:right w:val="single" w:sz="4" w:space="0" w:color="auto"/>
            </w:tcBorders>
            <w:vAlign w:val="center"/>
            <w:hideMark/>
          </w:tcPr>
          <w:p w14:paraId="3C7BDE19"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 xml:space="preserve">4.000 </w:t>
            </w:r>
          </w:p>
        </w:tc>
        <w:tc>
          <w:tcPr>
            <w:tcW w:w="330" w:type="dxa"/>
            <w:vAlign w:val="center"/>
            <w:hideMark/>
          </w:tcPr>
          <w:p w14:paraId="770429B7"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78F5A926"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10DB2131" w14:textId="77777777" w:rsidR="00247AE4" w:rsidRPr="00DB5136" w:rsidRDefault="00247AE4" w:rsidP="00512EC5">
            <w:pPr>
              <w:jc w:val="left"/>
              <w:rPr>
                <w:color w:val="000000"/>
                <w:sz w:val="20"/>
                <w:szCs w:val="20"/>
                <w:lang w:val="es-ES_tradnl" w:eastAsia="en-CA"/>
              </w:rPr>
            </w:pPr>
            <w:r w:rsidRPr="00DB5136">
              <w:rPr>
                <w:color w:val="000000"/>
                <w:sz w:val="20"/>
                <w:szCs w:val="20"/>
                <w:lang w:val="es-ES_tradnl" w:eastAsia="en-CA"/>
              </w:rPr>
              <w:t>Apoyo a la adopción de normas de seguridad pertinentes por parte del mercado nacional</w:t>
            </w:r>
            <w:r w:rsidRPr="00DB5136">
              <w:rPr>
                <w:color w:val="000000"/>
                <w:sz w:val="20"/>
                <w:szCs w:val="20"/>
                <w:lang w:val="es-ES_tradnl" w:eastAsia="en-CA"/>
              </w:rPr>
              <w:br/>
              <w:t xml:space="preserve">- Apoyo a la actualización de las normas </w:t>
            </w:r>
            <w:r>
              <w:rPr>
                <w:color w:val="000000"/>
                <w:sz w:val="20"/>
                <w:szCs w:val="20"/>
                <w:lang w:val="es-ES_tradnl" w:eastAsia="en-CA"/>
              </w:rPr>
              <w:t>nacional</w:t>
            </w:r>
            <w:r w:rsidRPr="00DB5136">
              <w:rPr>
                <w:color w:val="000000"/>
                <w:sz w:val="20"/>
                <w:szCs w:val="20"/>
                <w:lang w:val="es-ES_tradnl" w:eastAsia="en-CA"/>
              </w:rPr>
              <w:t>es</w:t>
            </w:r>
            <w:r w:rsidRPr="00DB5136">
              <w:rPr>
                <w:color w:val="000000"/>
                <w:sz w:val="20"/>
                <w:szCs w:val="20"/>
                <w:lang w:val="es-ES_tradnl" w:eastAsia="en-CA"/>
              </w:rPr>
              <w:br/>
              <w:t>- Estudio de las necesidades del mercado para la aplicación de las normas</w:t>
            </w:r>
          </w:p>
        </w:tc>
        <w:tc>
          <w:tcPr>
            <w:tcW w:w="1080" w:type="dxa"/>
            <w:tcBorders>
              <w:top w:val="nil"/>
              <w:left w:val="nil"/>
              <w:bottom w:val="single" w:sz="4" w:space="0" w:color="auto"/>
              <w:right w:val="single" w:sz="4" w:space="0" w:color="auto"/>
            </w:tcBorders>
            <w:vAlign w:val="center"/>
            <w:hideMark/>
          </w:tcPr>
          <w:p w14:paraId="41950CC6" w14:textId="77777777" w:rsidR="00247AE4" w:rsidRPr="00DB5136" w:rsidRDefault="00247AE4" w:rsidP="00512EC5">
            <w:pPr>
              <w:jc w:val="right"/>
              <w:rPr>
                <w:color w:val="000000"/>
                <w:sz w:val="20"/>
                <w:szCs w:val="20"/>
                <w:lang w:val="es-ES_tradnl" w:eastAsia="en-CA"/>
              </w:rPr>
            </w:pPr>
            <w:r w:rsidRPr="00DB5136">
              <w:rPr>
                <w:color w:val="000000"/>
                <w:sz w:val="20"/>
                <w:szCs w:val="20"/>
                <w:lang w:val="es-ES_tradnl" w:eastAsia="en-CA"/>
              </w:rPr>
              <w:t>10</w:t>
            </w:r>
            <w:r>
              <w:rPr>
                <w:color w:val="000000"/>
                <w:sz w:val="20"/>
                <w:szCs w:val="20"/>
                <w:lang w:val="es-ES_tradnl" w:eastAsia="en-CA"/>
              </w:rPr>
              <w:t>.</w:t>
            </w:r>
            <w:r w:rsidRPr="00DB5136">
              <w:rPr>
                <w:color w:val="000000"/>
                <w:sz w:val="20"/>
                <w:szCs w:val="20"/>
                <w:lang w:val="es-ES_tradnl" w:eastAsia="en-CA"/>
              </w:rPr>
              <w:t xml:space="preserve">000 </w:t>
            </w:r>
          </w:p>
        </w:tc>
        <w:tc>
          <w:tcPr>
            <w:tcW w:w="1076" w:type="dxa"/>
            <w:tcBorders>
              <w:top w:val="nil"/>
              <w:left w:val="nil"/>
              <w:bottom w:val="single" w:sz="4" w:space="0" w:color="auto"/>
              <w:right w:val="single" w:sz="4" w:space="0" w:color="auto"/>
            </w:tcBorders>
            <w:vAlign w:val="center"/>
            <w:hideMark/>
          </w:tcPr>
          <w:p w14:paraId="0E17D5B5" w14:textId="77777777" w:rsidR="00247AE4" w:rsidRPr="00DB5136" w:rsidRDefault="00247AE4" w:rsidP="00512EC5">
            <w:pPr>
              <w:jc w:val="right"/>
              <w:rPr>
                <w:sz w:val="20"/>
                <w:szCs w:val="20"/>
                <w:lang w:val="es-ES_tradnl" w:eastAsia="en-CA"/>
              </w:rPr>
            </w:pPr>
            <w:r w:rsidRPr="00DB5136">
              <w:rPr>
                <w:sz w:val="20"/>
                <w:szCs w:val="20"/>
                <w:lang w:val="es-ES_tradnl" w:eastAsia="en-CA"/>
              </w:rPr>
              <w:t>10</w:t>
            </w:r>
            <w:r>
              <w:rPr>
                <w:sz w:val="20"/>
                <w:szCs w:val="20"/>
                <w:lang w:val="es-ES_tradnl" w:eastAsia="en-CA"/>
              </w:rPr>
              <w:t>.</w:t>
            </w:r>
            <w:r w:rsidRPr="00DB5136">
              <w:rPr>
                <w:sz w:val="20"/>
                <w:szCs w:val="20"/>
                <w:lang w:val="es-ES_tradnl" w:eastAsia="en-CA"/>
              </w:rPr>
              <w:t xml:space="preserve">000 </w:t>
            </w:r>
          </w:p>
        </w:tc>
        <w:tc>
          <w:tcPr>
            <w:tcW w:w="330" w:type="dxa"/>
            <w:vAlign w:val="center"/>
            <w:hideMark/>
          </w:tcPr>
          <w:p w14:paraId="436E490F"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1E820D27"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hideMark/>
          </w:tcPr>
          <w:p w14:paraId="03671BCE"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Subtotal</w:t>
            </w:r>
          </w:p>
        </w:tc>
        <w:tc>
          <w:tcPr>
            <w:tcW w:w="1080" w:type="dxa"/>
            <w:tcBorders>
              <w:top w:val="nil"/>
              <w:left w:val="nil"/>
              <w:bottom w:val="single" w:sz="4" w:space="0" w:color="auto"/>
              <w:right w:val="single" w:sz="4" w:space="0" w:color="auto"/>
            </w:tcBorders>
            <w:vAlign w:val="center"/>
            <w:hideMark/>
          </w:tcPr>
          <w:p w14:paraId="25A27133"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24</w:t>
            </w:r>
            <w:r>
              <w:rPr>
                <w:b/>
                <w:bCs/>
                <w:i/>
                <w:iCs/>
                <w:color w:val="000000"/>
                <w:sz w:val="20"/>
                <w:szCs w:val="20"/>
                <w:lang w:val="es-ES_tradnl" w:eastAsia="en-CA"/>
              </w:rPr>
              <w:t>.</w:t>
            </w:r>
            <w:r w:rsidRPr="00DB5136">
              <w:rPr>
                <w:b/>
                <w:bCs/>
                <w:i/>
                <w:iCs/>
                <w:color w:val="000000"/>
                <w:sz w:val="20"/>
                <w:szCs w:val="20"/>
                <w:lang w:val="es-ES_tradnl" w:eastAsia="en-CA"/>
              </w:rPr>
              <w:t xml:space="preserve">500 </w:t>
            </w:r>
          </w:p>
        </w:tc>
        <w:tc>
          <w:tcPr>
            <w:tcW w:w="1076" w:type="dxa"/>
            <w:tcBorders>
              <w:top w:val="nil"/>
              <w:left w:val="nil"/>
              <w:bottom w:val="single" w:sz="4" w:space="0" w:color="auto"/>
              <w:right w:val="single" w:sz="4" w:space="0" w:color="auto"/>
            </w:tcBorders>
            <w:vAlign w:val="center"/>
            <w:hideMark/>
          </w:tcPr>
          <w:p w14:paraId="63DD7051" w14:textId="77777777" w:rsidR="00247AE4" w:rsidRPr="00DB5136" w:rsidRDefault="00247AE4" w:rsidP="00512EC5">
            <w:pPr>
              <w:jc w:val="right"/>
              <w:rPr>
                <w:b/>
                <w:bCs/>
                <w:i/>
                <w:iCs/>
                <w:color w:val="000000"/>
                <w:sz w:val="20"/>
                <w:szCs w:val="20"/>
                <w:lang w:val="es-ES_tradnl" w:eastAsia="en-CA"/>
              </w:rPr>
            </w:pPr>
            <w:r w:rsidRPr="00DB5136">
              <w:rPr>
                <w:b/>
                <w:bCs/>
                <w:i/>
                <w:iCs/>
                <w:color w:val="000000"/>
                <w:sz w:val="20"/>
                <w:szCs w:val="20"/>
                <w:lang w:val="es-ES_tradnl" w:eastAsia="en-CA"/>
              </w:rPr>
              <w:t>24</w:t>
            </w:r>
            <w:r>
              <w:rPr>
                <w:b/>
                <w:bCs/>
                <w:i/>
                <w:iCs/>
                <w:color w:val="000000"/>
                <w:sz w:val="20"/>
                <w:szCs w:val="20"/>
                <w:lang w:val="es-ES_tradnl" w:eastAsia="en-CA"/>
              </w:rPr>
              <w:t>.</w:t>
            </w:r>
            <w:r w:rsidRPr="00DB5136">
              <w:rPr>
                <w:b/>
                <w:bCs/>
                <w:i/>
                <w:iCs/>
                <w:color w:val="000000"/>
                <w:sz w:val="20"/>
                <w:szCs w:val="20"/>
                <w:lang w:val="es-ES_tradnl" w:eastAsia="en-CA"/>
              </w:rPr>
              <w:t xml:space="preserve">500 </w:t>
            </w:r>
          </w:p>
        </w:tc>
        <w:tc>
          <w:tcPr>
            <w:tcW w:w="330" w:type="dxa"/>
            <w:vAlign w:val="center"/>
            <w:hideMark/>
          </w:tcPr>
          <w:p w14:paraId="412AB582" w14:textId="77777777" w:rsidR="00247AE4" w:rsidRPr="00DB5136" w:rsidRDefault="00247AE4" w:rsidP="00512EC5">
            <w:pPr>
              <w:jc w:val="left"/>
              <w:rPr>
                <w:rFonts w:asciiTheme="majorBidi" w:hAnsiTheme="majorBidi" w:cstheme="majorBidi"/>
                <w:lang w:val="es-ES_tradnl" w:eastAsia="en-CA"/>
              </w:rPr>
            </w:pPr>
          </w:p>
        </w:tc>
      </w:tr>
      <w:tr w:rsidR="00247AE4" w:rsidRPr="00DB5136" w14:paraId="299098A9" w14:textId="77777777" w:rsidTr="00167D36">
        <w:trPr>
          <w:gridAfter w:val="1"/>
          <w:wAfter w:w="12" w:type="dxa"/>
          <w:trHeight w:val="20"/>
        </w:trPr>
        <w:tc>
          <w:tcPr>
            <w:tcW w:w="7195" w:type="dxa"/>
            <w:tcBorders>
              <w:top w:val="nil"/>
              <w:left w:val="single" w:sz="4" w:space="0" w:color="auto"/>
              <w:bottom w:val="single" w:sz="4" w:space="0" w:color="auto"/>
              <w:right w:val="single" w:sz="4" w:space="0" w:color="auto"/>
            </w:tcBorders>
            <w:vAlign w:val="center"/>
          </w:tcPr>
          <w:p w14:paraId="7E3F4B3C" w14:textId="77777777" w:rsidR="00247AE4" w:rsidRPr="00DB5136" w:rsidRDefault="00247AE4" w:rsidP="00512EC5">
            <w:pPr>
              <w:jc w:val="right"/>
              <w:rPr>
                <w:b/>
                <w:bCs/>
                <w:color w:val="000000"/>
                <w:sz w:val="20"/>
                <w:szCs w:val="20"/>
                <w:lang w:val="es-ES_tradnl" w:eastAsia="en-CA"/>
              </w:rPr>
            </w:pPr>
            <w:r w:rsidRPr="00DB5136">
              <w:rPr>
                <w:b/>
                <w:bCs/>
                <w:color w:val="000000"/>
                <w:sz w:val="20"/>
                <w:szCs w:val="20"/>
                <w:lang w:val="es-ES_tradnl" w:eastAsia="en-CA"/>
              </w:rPr>
              <w:t>TOTAL</w:t>
            </w:r>
          </w:p>
        </w:tc>
        <w:tc>
          <w:tcPr>
            <w:tcW w:w="1080" w:type="dxa"/>
            <w:tcBorders>
              <w:top w:val="nil"/>
              <w:left w:val="nil"/>
              <w:bottom w:val="single" w:sz="4" w:space="0" w:color="auto"/>
              <w:right w:val="single" w:sz="4" w:space="0" w:color="auto"/>
            </w:tcBorders>
            <w:vAlign w:val="center"/>
          </w:tcPr>
          <w:p w14:paraId="5D36343B" w14:textId="77777777" w:rsidR="00247AE4" w:rsidRPr="00DB5136" w:rsidDel="001109B6" w:rsidRDefault="00247AE4" w:rsidP="00512EC5">
            <w:pPr>
              <w:jc w:val="right"/>
              <w:rPr>
                <w:b/>
                <w:bCs/>
                <w:color w:val="000000"/>
                <w:sz w:val="20"/>
                <w:szCs w:val="20"/>
                <w:lang w:val="es-ES_tradnl" w:eastAsia="en-CA"/>
              </w:rPr>
            </w:pPr>
            <w:r w:rsidRPr="00DB5136">
              <w:rPr>
                <w:b/>
                <w:bCs/>
                <w:color w:val="000000"/>
                <w:sz w:val="20"/>
                <w:szCs w:val="20"/>
                <w:lang w:val="es-ES_tradnl" w:eastAsia="en-CA"/>
              </w:rPr>
              <w:t>360</w:t>
            </w:r>
            <w:r>
              <w:rPr>
                <w:b/>
                <w:bCs/>
                <w:color w:val="000000"/>
                <w:sz w:val="20"/>
                <w:szCs w:val="20"/>
                <w:lang w:val="es-ES_tradnl" w:eastAsia="en-CA"/>
              </w:rPr>
              <w:t>.</w:t>
            </w:r>
            <w:r w:rsidRPr="00DB5136">
              <w:rPr>
                <w:b/>
                <w:bCs/>
                <w:color w:val="000000"/>
                <w:sz w:val="20"/>
                <w:szCs w:val="20"/>
                <w:lang w:val="es-ES_tradnl" w:eastAsia="en-CA"/>
              </w:rPr>
              <w:t>160</w:t>
            </w:r>
          </w:p>
        </w:tc>
        <w:tc>
          <w:tcPr>
            <w:tcW w:w="1076" w:type="dxa"/>
            <w:tcBorders>
              <w:top w:val="nil"/>
              <w:left w:val="nil"/>
              <w:bottom w:val="single" w:sz="4" w:space="0" w:color="auto"/>
              <w:right w:val="single" w:sz="4" w:space="0" w:color="auto"/>
            </w:tcBorders>
            <w:vAlign w:val="center"/>
          </w:tcPr>
          <w:p w14:paraId="037EA9F5" w14:textId="77777777" w:rsidR="00247AE4" w:rsidRPr="00DB5136" w:rsidDel="001109B6" w:rsidRDefault="00247AE4" w:rsidP="00512EC5">
            <w:pPr>
              <w:jc w:val="right"/>
              <w:rPr>
                <w:b/>
                <w:bCs/>
                <w:color w:val="000000"/>
                <w:sz w:val="20"/>
                <w:szCs w:val="20"/>
                <w:lang w:val="es-ES_tradnl" w:eastAsia="en-CA"/>
              </w:rPr>
            </w:pPr>
            <w:r w:rsidRPr="00DB5136">
              <w:rPr>
                <w:b/>
                <w:bCs/>
                <w:color w:val="000000"/>
                <w:sz w:val="20"/>
                <w:szCs w:val="20"/>
                <w:lang w:val="es-ES_tradnl" w:eastAsia="en-CA"/>
              </w:rPr>
              <w:t>321</w:t>
            </w:r>
            <w:r>
              <w:rPr>
                <w:b/>
                <w:bCs/>
                <w:color w:val="000000"/>
                <w:sz w:val="20"/>
                <w:szCs w:val="20"/>
                <w:lang w:val="es-ES_tradnl" w:eastAsia="en-CA"/>
              </w:rPr>
              <w:t>.</w:t>
            </w:r>
            <w:r w:rsidRPr="00DB5136">
              <w:rPr>
                <w:b/>
                <w:bCs/>
                <w:color w:val="000000"/>
                <w:sz w:val="20"/>
                <w:szCs w:val="20"/>
                <w:lang w:val="es-ES_tradnl" w:eastAsia="en-CA"/>
              </w:rPr>
              <w:t>300</w:t>
            </w:r>
          </w:p>
        </w:tc>
        <w:tc>
          <w:tcPr>
            <w:tcW w:w="330" w:type="dxa"/>
            <w:vAlign w:val="center"/>
          </w:tcPr>
          <w:p w14:paraId="2D4ACC69" w14:textId="77777777" w:rsidR="00247AE4" w:rsidRPr="00DB5136" w:rsidRDefault="00247AE4" w:rsidP="00512EC5">
            <w:pPr>
              <w:jc w:val="left"/>
              <w:rPr>
                <w:rFonts w:asciiTheme="majorBidi" w:hAnsiTheme="majorBidi" w:cstheme="majorBidi"/>
                <w:lang w:val="es-ES_tradnl" w:eastAsia="en-CA"/>
              </w:rPr>
            </w:pPr>
          </w:p>
        </w:tc>
      </w:tr>
    </w:tbl>
    <w:p w14:paraId="2B3D4DEF" w14:textId="77777777" w:rsidR="00247AE4" w:rsidRPr="00DB5136" w:rsidDel="008C5D53" w:rsidRDefault="00247AE4" w:rsidP="00247AE4">
      <w:pPr>
        <w:spacing w:before="240" w:after="240"/>
        <w:rPr>
          <w:i/>
          <w:iCs/>
          <w:lang w:val="es-ES_tradnl"/>
        </w:rPr>
      </w:pPr>
      <w:r w:rsidRPr="00DB5136" w:rsidDel="008C5D53">
        <w:rPr>
          <w:i/>
          <w:iCs/>
          <w:lang w:val="es-ES_tradnl"/>
        </w:rPr>
        <w:t>Cofinanciamiento</w:t>
      </w:r>
    </w:p>
    <w:p w14:paraId="69E388B0" w14:textId="11EB7466" w:rsidR="00247AE4" w:rsidRPr="00DA6943" w:rsidDel="008C5D53" w:rsidRDefault="00247AE4" w:rsidP="00247AE4">
      <w:pPr>
        <w:pStyle w:val="Heading1"/>
        <w:rPr>
          <w:lang w:val="es-ES_tradnl"/>
        </w:rPr>
      </w:pPr>
      <w:r w:rsidRPr="00DB5136">
        <w:rPr>
          <w:lang w:val="es-ES_tradnl"/>
        </w:rPr>
        <w:t xml:space="preserve">La Secretaría preguntó sobre las consideraciones relativas al cofinanciamiento, ya que se incluían en la propuesta de proyecto. </w:t>
      </w:r>
      <w:r w:rsidRPr="00DB5136" w:rsidDel="008C5D53">
        <w:rPr>
          <w:lang w:val="es-ES_tradnl"/>
        </w:rPr>
        <w:t>El Gobierno de</w:t>
      </w:r>
      <w:r w:rsidR="00DA6943">
        <w:rPr>
          <w:lang w:val="es-ES_tradnl"/>
        </w:rPr>
        <w:t>l Reino Unido</w:t>
      </w:r>
      <w:r w:rsidRPr="00DB5136" w:rsidDel="008C5D53">
        <w:rPr>
          <w:lang w:val="es-ES_tradnl"/>
        </w:rPr>
        <w:t xml:space="preserve"> </w:t>
      </w:r>
      <w:r w:rsidRPr="00DB5136">
        <w:rPr>
          <w:lang w:val="es-ES_tradnl"/>
        </w:rPr>
        <w:t xml:space="preserve">indicó </w:t>
      </w:r>
      <w:r w:rsidRPr="00DB5136" w:rsidDel="008C5D53">
        <w:rPr>
          <w:lang w:val="es-ES_tradnl"/>
        </w:rPr>
        <w:t xml:space="preserve">que el Ministerio de Salud e Higiene Pública, como beneficiario directo del equipo, </w:t>
      </w:r>
      <w:r w:rsidRPr="00DB5136">
        <w:rPr>
          <w:lang w:val="es-ES_tradnl"/>
        </w:rPr>
        <w:t xml:space="preserve">se </w:t>
      </w:r>
      <w:r w:rsidRPr="00DB5136" w:rsidDel="008C5D53">
        <w:rPr>
          <w:lang w:val="es-ES_tradnl"/>
        </w:rPr>
        <w:t xml:space="preserve">encargará del funcionamiento sostenible de </w:t>
      </w:r>
      <w:r>
        <w:rPr>
          <w:lang w:val="es-ES_tradnl"/>
        </w:rPr>
        <w:t>los aparatos instalados</w:t>
      </w:r>
      <w:r w:rsidRPr="00DB5136">
        <w:rPr>
          <w:lang w:val="es-ES_tradnl"/>
        </w:rPr>
        <w:t xml:space="preserve">, así como </w:t>
      </w:r>
      <w:r w:rsidRPr="00DB5136" w:rsidDel="008C5D53">
        <w:rPr>
          <w:lang w:val="es-ES_tradnl"/>
        </w:rPr>
        <w:t xml:space="preserve">de los costos de mantenimiento y reparación. El Ministerio de Educación Técnica, Formación </w:t>
      </w:r>
      <w:r>
        <w:rPr>
          <w:lang w:val="es-ES_tradnl"/>
        </w:rPr>
        <w:t xml:space="preserve">Vocacional </w:t>
      </w:r>
      <w:r w:rsidRPr="00DB5136" w:rsidDel="008C5D53">
        <w:rPr>
          <w:lang w:val="es-ES_tradnl"/>
        </w:rPr>
        <w:t xml:space="preserve">y </w:t>
      </w:r>
      <w:r>
        <w:rPr>
          <w:lang w:val="es-ES_tradnl"/>
        </w:rPr>
        <w:t xml:space="preserve">Capacitación </w:t>
      </w:r>
      <w:r w:rsidRPr="00DB5136" w:rsidDel="008C5D53">
        <w:rPr>
          <w:lang w:val="es-ES_tradnl"/>
        </w:rPr>
        <w:t xml:space="preserve">movilizará a los instructores de estos centros para </w:t>
      </w:r>
      <w:r w:rsidRPr="00B53722">
        <w:rPr>
          <w:lang w:val="es-ES_tradnl"/>
        </w:rPr>
        <w:t>asegurar</w:t>
      </w:r>
      <w:r w:rsidRPr="00DB5136" w:rsidDel="008C5D53">
        <w:rPr>
          <w:lang w:val="es-ES_tradnl"/>
        </w:rPr>
        <w:t xml:space="preserve"> la capacitación y la </w:t>
      </w:r>
      <w:r>
        <w:rPr>
          <w:lang w:val="es-ES_tradnl"/>
        </w:rPr>
        <w:t xml:space="preserve">concientización </w:t>
      </w:r>
      <w:r w:rsidRPr="00DB5136" w:rsidDel="008C5D53">
        <w:rPr>
          <w:lang w:val="es-ES_tradnl"/>
        </w:rPr>
        <w:t xml:space="preserve">de los técnicos de los centros beneficiarios en el mantenimiento de </w:t>
      </w:r>
      <w:r>
        <w:rPr>
          <w:lang w:val="es-ES_tradnl"/>
        </w:rPr>
        <w:t xml:space="preserve">climatizadores </w:t>
      </w:r>
      <w:r w:rsidRPr="00DB5136" w:rsidDel="008C5D53">
        <w:rPr>
          <w:lang w:val="es-ES_tradnl"/>
        </w:rPr>
        <w:t xml:space="preserve">con bajo potencial de calentamiento </w:t>
      </w:r>
      <w:r>
        <w:rPr>
          <w:lang w:val="es-ES_tradnl"/>
        </w:rPr>
        <w:t>atmosférico</w:t>
      </w:r>
      <w:r w:rsidRPr="00DB5136" w:rsidDel="008C5D53">
        <w:rPr>
          <w:lang w:val="es-ES_tradnl"/>
        </w:rPr>
        <w:t xml:space="preserve">, lo que va más allá de la capacitación ofrecida en el marco del proyecto. Estos costos serán sufragados por los </w:t>
      </w:r>
      <w:r>
        <w:rPr>
          <w:lang w:val="es-ES_tradnl"/>
        </w:rPr>
        <w:t xml:space="preserve">asociados </w:t>
      </w:r>
      <w:r w:rsidRPr="00DB5136" w:rsidDel="008C5D53">
        <w:rPr>
          <w:lang w:val="es-ES_tradnl"/>
        </w:rPr>
        <w:t>gubernamentales.</w:t>
      </w:r>
    </w:p>
    <w:p w14:paraId="58FFB0FC" w14:textId="6F7C4FDA" w:rsidR="00247AE4" w:rsidRPr="00DA6943" w:rsidRDefault="00247AE4" w:rsidP="008D3DD4">
      <w:pPr>
        <w:pStyle w:val="Heading1"/>
        <w:rPr>
          <w:lang w:val="es-ES_tradnl"/>
        </w:rPr>
      </w:pPr>
      <w:r w:rsidRPr="00DA6943">
        <w:rPr>
          <w:lang w:val="es-ES_tradnl"/>
        </w:rPr>
        <w:t>La Secretaría también preguntó sobre los posibles compromisos de cofinanciamiento que podrían ofrecer los beneficiarios, señalando los ahorros potenciales que se esperan del proyecto piloto. El Gobierno de</w:t>
      </w:r>
      <w:r w:rsidR="00DA6943">
        <w:rPr>
          <w:lang w:val="es-ES_tradnl"/>
        </w:rPr>
        <w:t>l Reino Unido</w:t>
      </w:r>
      <w:r w:rsidRPr="00DA6943">
        <w:rPr>
          <w:lang w:val="es-ES_tradnl"/>
        </w:rPr>
        <w:t xml:space="preserve"> explicó que, cuando el proyecto demuestre, como se espera, que los climatizadores con bajo potencial de calentamiento atmosférico son más ecoenergéticos que los aparatos convencionales, los dos ministerios implicados considerarán la posibilidad de integrar estos criterios de gestión en sus futuras contrataciones públicas y sustituirán los aparatos de climatización restantes de los tres hospitales que no estaban cubiertos por el proyecto. Este enfoque promoverá la adopción de tecnologías más eficientes e inocuas para el medio ambiente sobrepasando el ámbito del proyecto piloto.</w:t>
      </w:r>
    </w:p>
    <w:p w14:paraId="6435A6B6" w14:textId="77777777" w:rsidR="00247AE4" w:rsidRPr="00DB5136" w:rsidRDefault="00247AE4" w:rsidP="00247AE4">
      <w:pPr>
        <w:spacing w:before="240" w:after="240"/>
        <w:rPr>
          <w:u w:val="single"/>
          <w:lang w:val="es-ES_tradnl"/>
        </w:rPr>
      </w:pPr>
      <w:r w:rsidRPr="00DB5136">
        <w:rPr>
          <w:u w:val="single"/>
          <w:lang w:val="es-ES_tradnl"/>
        </w:rPr>
        <w:t>Mejoras en la de eficiencia energética y estimación preliminar del ahorro de electricidad</w:t>
      </w:r>
    </w:p>
    <w:p w14:paraId="794974EC" w14:textId="0F75613B" w:rsidR="00247AE4" w:rsidRPr="00DB5136" w:rsidRDefault="00247AE4" w:rsidP="00247AE4">
      <w:pPr>
        <w:pStyle w:val="Heading1"/>
        <w:rPr>
          <w:lang w:val="es-ES_tradnl"/>
        </w:rPr>
      </w:pPr>
      <w:r>
        <w:rPr>
          <w:lang w:val="es-ES_tradnl"/>
        </w:rPr>
        <w:t xml:space="preserve">Respecto </w:t>
      </w:r>
      <w:r w:rsidRPr="00DB5136">
        <w:rPr>
          <w:lang w:val="es-ES_tradnl"/>
        </w:rPr>
        <w:t xml:space="preserve">al ahorro energético presentado en la propuesta, descrito en el párrafo 18 anterior, y teniendo en cuenta el ahorro total de consumo energético de </w:t>
      </w:r>
      <w:r>
        <w:rPr>
          <w:lang w:val="es-ES_tradnl"/>
        </w:rPr>
        <w:t xml:space="preserve">unos </w:t>
      </w:r>
      <w:r w:rsidRPr="00DB5136">
        <w:rPr>
          <w:lang w:val="es-ES_tradnl"/>
        </w:rPr>
        <w:t>6</w:t>
      </w:r>
      <w:r>
        <w:rPr>
          <w:lang w:val="es-ES_tradnl"/>
        </w:rPr>
        <w:t>.</w:t>
      </w:r>
      <w:r w:rsidRPr="00DB5136">
        <w:rPr>
          <w:lang w:val="es-ES_tradnl"/>
        </w:rPr>
        <w:t xml:space="preserve">000 MWh en un periodo de 10 años y </w:t>
      </w:r>
      <w:r>
        <w:rPr>
          <w:lang w:val="es-ES_tradnl"/>
        </w:rPr>
        <w:lastRenderedPageBreak/>
        <w:t xml:space="preserve">a </w:t>
      </w:r>
      <w:r w:rsidRPr="00DB5136">
        <w:rPr>
          <w:lang w:val="es-ES_tradnl"/>
        </w:rPr>
        <w:t xml:space="preserve">la tarifa eléctrica </w:t>
      </w:r>
      <w:r>
        <w:rPr>
          <w:lang w:val="es-ES_tradnl"/>
        </w:rPr>
        <w:t>nacional</w:t>
      </w:r>
      <w:r w:rsidRPr="00DB5136">
        <w:rPr>
          <w:lang w:val="es-ES_tradnl"/>
        </w:rPr>
        <w:t xml:space="preserve"> actual,</w:t>
      </w:r>
      <w:r w:rsidRPr="00DB5136">
        <w:rPr>
          <w:rStyle w:val="FootnoteReference"/>
          <w:lang w:val="es-ES_tradnl"/>
        </w:rPr>
        <w:footnoteReference w:id="14"/>
      </w:r>
      <w:r w:rsidRPr="00DB5136">
        <w:rPr>
          <w:lang w:val="es-ES_tradnl"/>
        </w:rPr>
        <w:t xml:space="preserve"> el Gobierno de</w:t>
      </w:r>
      <w:r w:rsidR="00DA6943">
        <w:rPr>
          <w:lang w:val="es-ES_tradnl"/>
        </w:rPr>
        <w:t>l Reino Unido</w:t>
      </w:r>
      <w:r w:rsidRPr="00DB5136">
        <w:rPr>
          <w:lang w:val="es-ES_tradnl"/>
        </w:rPr>
        <w:t xml:space="preserve"> estimó que el ahorro anual de electricidad será de </w:t>
      </w:r>
      <w:r>
        <w:rPr>
          <w:lang w:val="es-ES_tradnl"/>
        </w:rPr>
        <w:t xml:space="preserve">USD </w:t>
      </w:r>
      <w:r w:rsidRPr="00DB5136">
        <w:rPr>
          <w:lang w:val="es-ES_tradnl"/>
        </w:rPr>
        <w:t>62</w:t>
      </w:r>
      <w:r>
        <w:rPr>
          <w:lang w:val="es-ES_tradnl"/>
        </w:rPr>
        <w:t>.</w:t>
      </w:r>
      <w:r w:rsidRPr="00DB5136">
        <w:rPr>
          <w:lang w:val="es-ES_tradnl"/>
        </w:rPr>
        <w:t xml:space="preserve">900, lo que supone un periodo de 5 años </w:t>
      </w:r>
      <w:r>
        <w:rPr>
          <w:lang w:val="es-ES_tradnl"/>
        </w:rPr>
        <w:t xml:space="preserve">para la </w:t>
      </w:r>
      <w:r w:rsidRPr="00DB5136">
        <w:rPr>
          <w:lang w:val="es-ES_tradnl"/>
        </w:rPr>
        <w:t xml:space="preserve">amortización </w:t>
      </w:r>
      <w:r>
        <w:rPr>
          <w:lang w:val="es-ES_tradnl"/>
        </w:rPr>
        <w:t xml:space="preserve">total </w:t>
      </w:r>
      <w:r w:rsidRPr="00DB5136">
        <w:rPr>
          <w:lang w:val="es-ES_tradnl"/>
        </w:rPr>
        <w:t>de la inversión.</w:t>
      </w:r>
    </w:p>
    <w:p w14:paraId="121775A7" w14:textId="77777777" w:rsidR="00247AE4" w:rsidRPr="00DB5136" w:rsidRDefault="00247AE4" w:rsidP="00247AE4">
      <w:pPr>
        <w:pStyle w:val="Heading1"/>
        <w:numPr>
          <w:ilvl w:val="0"/>
          <w:numId w:val="0"/>
        </w:numPr>
        <w:rPr>
          <w:u w:val="single"/>
          <w:lang w:val="es-ES_tradnl"/>
        </w:rPr>
      </w:pPr>
      <w:r w:rsidRPr="00DB5136">
        <w:rPr>
          <w:u w:val="single"/>
          <w:lang w:val="es-ES_tradnl"/>
        </w:rPr>
        <w:t>Sustentabilidad, replicabilidad y evaluación de riesgos</w:t>
      </w:r>
    </w:p>
    <w:p w14:paraId="29093B25" w14:textId="6FBD70CD" w:rsidR="00247AE4" w:rsidRPr="00DB5136" w:rsidRDefault="00247AE4" w:rsidP="00247AE4">
      <w:pPr>
        <w:pStyle w:val="Heading1"/>
        <w:rPr>
          <w:color w:val="000000" w:themeColor="text1"/>
          <w:lang w:val="es-ES_tradnl"/>
        </w:rPr>
      </w:pPr>
      <w:r w:rsidRPr="00DB5136">
        <w:rPr>
          <w:color w:val="000000" w:themeColor="text1"/>
          <w:lang w:val="es-ES_tradnl"/>
        </w:rPr>
        <w:t xml:space="preserve">La Secretaría preguntó </w:t>
      </w:r>
      <w:r>
        <w:rPr>
          <w:color w:val="000000" w:themeColor="text1"/>
          <w:lang w:val="es-ES_tradnl"/>
        </w:rPr>
        <w:t xml:space="preserve">de qué modo </w:t>
      </w:r>
      <w:r w:rsidRPr="00DB5136">
        <w:rPr>
          <w:color w:val="000000" w:themeColor="text1"/>
          <w:lang w:val="es-ES_tradnl"/>
        </w:rPr>
        <w:t xml:space="preserve">el país </w:t>
      </w:r>
      <w:r w:rsidRPr="00B53722">
        <w:rPr>
          <w:color w:val="000000" w:themeColor="text1"/>
          <w:lang w:val="es-ES_tradnl"/>
        </w:rPr>
        <w:t>asegurar</w:t>
      </w:r>
      <w:r w:rsidRPr="00DB5136">
        <w:rPr>
          <w:color w:val="000000" w:themeColor="text1"/>
          <w:lang w:val="es-ES_tradnl"/>
        </w:rPr>
        <w:t xml:space="preserve">á la replicabilidad de los resultados del proyecto, </w:t>
      </w:r>
      <w:r>
        <w:rPr>
          <w:color w:val="000000" w:themeColor="text1"/>
          <w:lang w:val="es-ES_tradnl"/>
        </w:rPr>
        <w:t xml:space="preserve">sea </w:t>
      </w:r>
      <w:r w:rsidRPr="00DB5136">
        <w:rPr>
          <w:color w:val="000000" w:themeColor="text1"/>
          <w:lang w:val="es-ES_tradnl"/>
        </w:rPr>
        <w:t>dentro del mismo sector o en otros sectores. El Gobierno de</w:t>
      </w:r>
      <w:r w:rsidR="00DA6943">
        <w:rPr>
          <w:color w:val="000000" w:themeColor="text1"/>
          <w:lang w:val="es-ES_tradnl"/>
        </w:rPr>
        <w:t>l Reino Unido</w:t>
      </w:r>
      <w:r w:rsidRPr="00DB5136">
        <w:rPr>
          <w:color w:val="000000" w:themeColor="text1"/>
          <w:lang w:val="es-ES_tradnl"/>
        </w:rPr>
        <w:t xml:space="preserve"> explicó que el Gobierno de Togo tiene la intención de utilizar los resultados y las lecciones aprendidas de este proyecto para fomentar el desarrollo futuro de planes sectoriales en el ámbito de la salud, </w:t>
      </w:r>
      <w:r>
        <w:rPr>
          <w:color w:val="000000" w:themeColor="text1"/>
          <w:lang w:val="es-ES_tradnl"/>
        </w:rPr>
        <w:t xml:space="preserve">y </w:t>
      </w:r>
      <w:r w:rsidRPr="00DB5136">
        <w:rPr>
          <w:color w:val="000000" w:themeColor="text1"/>
          <w:lang w:val="es-ES_tradnl"/>
        </w:rPr>
        <w:t>para promover un enfoque similar en otros sectores comerciales, como centros comerciales, supermercados, instituciones educativas, edificios públicos, etc. La replica</w:t>
      </w:r>
      <w:r>
        <w:rPr>
          <w:color w:val="000000" w:themeColor="text1"/>
          <w:lang w:val="es-ES_tradnl"/>
        </w:rPr>
        <w:t xml:space="preserve">ción </w:t>
      </w:r>
      <w:r w:rsidRPr="00DB5136">
        <w:rPr>
          <w:color w:val="000000" w:themeColor="text1"/>
          <w:lang w:val="es-ES_tradnl"/>
        </w:rPr>
        <w:t xml:space="preserve">se promoverá mediante la expansión gradual del mercado hacia aparatos </w:t>
      </w:r>
      <w:r>
        <w:rPr>
          <w:color w:val="000000" w:themeColor="text1"/>
          <w:lang w:val="es-ES_tradnl"/>
        </w:rPr>
        <w:t>de bajo potencial de calentamiento atmosférico</w:t>
      </w:r>
      <w:r w:rsidRPr="00DB5136">
        <w:rPr>
          <w:color w:val="000000" w:themeColor="text1"/>
          <w:lang w:val="es-ES_tradnl"/>
        </w:rPr>
        <w:t xml:space="preserve"> y mediante la demostración de la factibilidad </w:t>
      </w:r>
      <w:r>
        <w:rPr>
          <w:color w:val="000000" w:themeColor="text1"/>
          <w:lang w:val="es-ES_tradnl"/>
        </w:rPr>
        <w:t xml:space="preserve">comercial y </w:t>
      </w:r>
      <w:r w:rsidRPr="00DB5136">
        <w:rPr>
          <w:color w:val="000000" w:themeColor="text1"/>
          <w:lang w:val="es-ES_tradnl"/>
        </w:rPr>
        <w:t>técnica de los sistemas</w:t>
      </w:r>
      <w:r>
        <w:rPr>
          <w:color w:val="000000" w:themeColor="text1"/>
          <w:lang w:val="es-ES_tradnl"/>
        </w:rPr>
        <w:t xml:space="preserve"> con</w:t>
      </w:r>
      <w:r w:rsidRPr="00DB5136">
        <w:rPr>
          <w:color w:val="000000" w:themeColor="text1"/>
          <w:lang w:val="es-ES_tradnl"/>
        </w:rPr>
        <w:t xml:space="preserve"> R-290, al </w:t>
      </w:r>
      <w:r>
        <w:rPr>
          <w:color w:val="000000" w:themeColor="text1"/>
          <w:lang w:val="es-ES_tradnl"/>
        </w:rPr>
        <w:t xml:space="preserve">mismo </w:t>
      </w:r>
      <w:r w:rsidRPr="00DB5136">
        <w:rPr>
          <w:color w:val="000000" w:themeColor="text1"/>
          <w:lang w:val="es-ES_tradnl"/>
        </w:rPr>
        <w:t>tiempo que se informará</w:t>
      </w:r>
      <w:r>
        <w:rPr>
          <w:color w:val="000000" w:themeColor="text1"/>
          <w:lang w:val="es-ES_tradnl"/>
        </w:rPr>
        <w:t xml:space="preserve"> también</w:t>
      </w:r>
      <w:r w:rsidRPr="00DB5136">
        <w:rPr>
          <w:color w:val="000000" w:themeColor="text1"/>
          <w:lang w:val="es-ES_tradnl"/>
        </w:rPr>
        <w:t xml:space="preserve"> sobre las políticas nacionales y se </w:t>
      </w:r>
      <w:r>
        <w:rPr>
          <w:color w:val="000000" w:themeColor="text1"/>
          <w:lang w:val="es-ES_tradnl"/>
        </w:rPr>
        <w:t>fortalecerá la capacidad</w:t>
      </w:r>
      <w:r w:rsidRPr="00DB5136">
        <w:rPr>
          <w:color w:val="000000" w:themeColor="text1"/>
          <w:lang w:val="es-ES_tradnl"/>
        </w:rPr>
        <w:t xml:space="preserve"> de los técnicos y los proveedores de servicios. En conjunto, estos elementos crearán una base sólida para la </w:t>
      </w:r>
      <w:r>
        <w:rPr>
          <w:color w:val="000000" w:themeColor="text1"/>
          <w:lang w:val="es-ES_tradnl"/>
        </w:rPr>
        <w:t xml:space="preserve">replicación </w:t>
      </w:r>
      <w:r w:rsidRPr="00DB5136">
        <w:rPr>
          <w:color w:val="000000" w:themeColor="text1"/>
          <w:lang w:val="es-ES_tradnl"/>
        </w:rPr>
        <w:t xml:space="preserve">en otros sectores, lo que permitirá una transición más amplia hacia tecnologías de refrigeración y climatización seguras, eficientes </w:t>
      </w:r>
      <w:r>
        <w:rPr>
          <w:color w:val="000000" w:themeColor="text1"/>
          <w:lang w:val="es-ES_tradnl"/>
        </w:rPr>
        <w:t xml:space="preserve">e inocuas para el </w:t>
      </w:r>
      <w:r w:rsidRPr="00DB5136">
        <w:rPr>
          <w:color w:val="000000" w:themeColor="text1"/>
          <w:lang w:val="es-ES_tradnl"/>
        </w:rPr>
        <w:t>clima.</w:t>
      </w:r>
    </w:p>
    <w:p w14:paraId="622ECC1D" w14:textId="77777777" w:rsidR="00247AE4" w:rsidRPr="00DB5136" w:rsidRDefault="00247AE4" w:rsidP="00247AE4">
      <w:pPr>
        <w:keepNext/>
        <w:spacing w:before="360" w:after="240"/>
        <w:rPr>
          <w:lang w:val="es-ES_tradnl"/>
        </w:rPr>
      </w:pPr>
      <w:r w:rsidRPr="00DB5136">
        <w:rPr>
          <w:b/>
          <w:lang w:val="es-ES_tradnl"/>
        </w:rPr>
        <w:t>RECOMENDACIÓN</w:t>
      </w:r>
    </w:p>
    <w:p w14:paraId="38594DED" w14:textId="432B446B" w:rsidR="00247AE4" w:rsidRPr="00DB5136" w:rsidRDefault="00247AE4" w:rsidP="008D3DD4">
      <w:pPr>
        <w:pStyle w:val="Heading1"/>
        <w:rPr>
          <w:lang w:val="es-ES_tradnl"/>
        </w:rPr>
      </w:pPr>
      <w:r w:rsidRPr="00DB5136">
        <w:rPr>
          <w:lang w:val="es-ES_tradnl"/>
        </w:rPr>
        <w:t xml:space="preserve">El Comité Ejecutivo podrá estimar oportuno considerar la aprobación del proyecto piloto para mantener y/o </w:t>
      </w:r>
      <w:r>
        <w:rPr>
          <w:lang w:val="es-ES_tradnl"/>
        </w:rPr>
        <w:t>aumentar</w:t>
      </w:r>
      <w:r w:rsidRPr="00DB5136">
        <w:rPr>
          <w:lang w:val="es-ES_tradnl"/>
        </w:rPr>
        <w:t xml:space="preserve"> la eficiencia energética de las tecnologías y equipos de sustitución en el marco de la reducción de los HFC (actividades </w:t>
      </w:r>
      <w:r>
        <w:rPr>
          <w:lang w:val="es-ES_tradnl"/>
        </w:rPr>
        <w:t xml:space="preserve">sin </w:t>
      </w:r>
      <w:r w:rsidRPr="00DB5136">
        <w:rPr>
          <w:lang w:val="es-ES_tradnl"/>
        </w:rPr>
        <w:t>inversión): Demostración de la tecnología de climatización a base</w:t>
      </w:r>
      <w:r>
        <w:rPr>
          <w:lang w:val="es-ES_tradnl"/>
        </w:rPr>
        <w:t xml:space="preserve"> del </w:t>
      </w:r>
      <w:r w:rsidRPr="00DB5136">
        <w:rPr>
          <w:lang w:val="es-ES_tradnl"/>
        </w:rPr>
        <w:t xml:space="preserve">R-290 y ventajas del manejo y la gestión adecuados de los refrigerantes y las prácticas de mantenimiento de refrigeración y la climatización, </w:t>
      </w:r>
      <w:r>
        <w:rPr>
          <w:lang w:val="es-ES_tradnl"/>
        </w:rPr>
        <w:t xml:space="preserve">por un monto </w:t>
      </w:r>
      <w:r w:rsidRPr="00DB5136">
        <w:rPr>
          <w:lang w:val="es-ES_tradnl"/>
        </w:rPr>
        <w:t>de USD 321.300</w:t>
      </w:r>
      <w:r>
        <w:rPr>
          <w:lang w:val="es-ES_tradnl"/>
        </w:rPr>
        <w:t>,</w:t>
      </w:r>
      <w:r w:rsidRPr="00DB5136">
        <w:rPr>
          <w:lang w:val="es-ES_tradnl"/>
        </w:rPr>
        <w:t xml:space="preserve"> más </w:t>
      </w:r>
      <w:r>
        <w:rPr>
          <w:lang w:val="es-ES_tradnl"/>
        </w:rPr>
        <w:t xml:space="preserve">los </w:t>
      </w:r>
      <w:r w:rsidRPr="00DB5136">
        <w:rPr>
          <w:lang w:val="es-ES_tradnl"/>
        </w:rPr>
        <w:t>gastos de apoyo de USD 41.769 para el Gobierno de</w:t>
      </w:r>
      <w:r w:rsidR="00DA6943">
        <w:rPr>
          <w:lang w:val="es-ES_tradnl"/>
        </w:rPr>
        <w:t>l Reino Unido de Gran Bretaña e Irlanda del Norte</w:t>
      </w:r>
      <w:r w:rsidRPr="00DB5136">
        <w:rPr>
          <w:lang w:val="es-ES_tradnl"/>
        </w:rPr>
        <w:t>, advirtiendo que:</w:t>
      </w:r>
    </w:p>
    <w:p w14:paraId="550F4B52" w14:textId="77777777" w:rsidR="00247AE4" w:rsidRPr="00F50DC2" w:rsidRDefault="00247AE4" w:rsidP="00247AE4">
      <w:pPr>
        <w:pStyle w:val="Heading2"/>
        <w:rPr>
          <w:iCs/>
          <w:lang w:val="es-ES_tradnl"/>
        </w:rPr>
      </w:pPr>
      <w:r>
        <w:rPr>
          <w:iCs/>
          <w:lang w:val="es-ES_tradnl"/>
        </w:rPr>
        <w:t>E</w:t>
      </w:r>
      <w:r w:rsidRPr="00F50DC2">
        <w:rPr>
          <w:iCs/>
          <w:lang w:val="es-ES_tradnl"/>
        </w:rPr>
        <w:t xml:space="preserve">l Gobierno de Togo se ha comprometido a cumplir </w:t>
      </w:r>
      <w:r>
        <w:rPr>
          <w:iCs/>
          <w:lang w:val="es-ES_tradnl"/>
        </w:rPr>
        <w:t xml:space="preserve">con </w:t>
      </w:r>
      <w:r w:rsidRPr="00F50DC2">
        <w:rPr>
          <w:iCs/>
          <w:lang w:val="es-ES_tradnl"/>
        </w:rPr>
        <w:t>las condiciones mencionadas en la decisión 91/65 b) iv) b)</w:t>
      </w:r>
      <w:r>
        <w:rPr>
          <w:iCs/>
          <w:lang w:val="es-ES_tradnl"/>
        </w:rPr>
        <w:t>.</w:t>
      </w:r>
      <w:r w:rsidRPr="00F50DC2">
        <w:rPr>
          <w:iCs/>
          <w:lang w:val="es-ES_tradnl"/>
        </w:rPr>
        <w:t xml:space="preserve"> a b) iv) d</w:t>
      </w:r>
      <w:r>
        <w:rPr>
          <w:iCs/>
          <w:lang w:val="es-ES_tradnl"/>
        </w:rPr>
        <w:t>.</w:t>
      </w:r>
      <w:r w:rsidRPr="00F50DC2">
        <w:rPr>
          <w:iCs/>
          <w:lang w:val="es-ES_tradnl"/>
        </w:rPr>
        <w:t>;</w:t>
      </w:r>
    </w:p>
    <w:p w14:paraId="46C97AE8" w14:textId="77777777" w:rsidR="00247AE4" w:rsidRPr="00C8238E" w:rsidRDefault="00247AE4" w:rsidP="00247AE4">
      <w:pPr>
        <w:pStyle w:val="Heading2"/>
        <w:rPr>
          <w:iCs/>
          <w:lang w:val="es-ES_tradnl"/>
        </w:rPr>
      </w:pPr>
      <w:r>
        <w:rPr>
          <w:iCs/>
          <w:lang w:val="es-ES_tradnl"/>
        </w:rPr>
        <w:t>U</w:t>
      </w:r>
      <w:r w:rsidRPr="00C8238E">
        <w:rPr>
          <w:iCs/>
          <w:lang w:val="es-ES_tradnl"/>
        </w:rPr>
        <w:t>na vez terminado el proyecto</w:t>
      </w:r>
      <w:r>
        <w:rPr>
          <w:iCs/>
          <w:lang w:val="es-ES_tradnl"/>
        </w:rPr>
        <w:t>,</w:t>
      </w:r>
      <w:r w:rsidRPr="00C8238E">
        <w:rPr>
          <w:iCs/>
          <w:lang w:val="es-ES_tradnl"/>
        </w:rPr>
        <w:t xml:space="preserve"> el Gobierno de Togo actualizar</w:t>
      </w:r>
      <w:r>
        <w:rPr>
          <w:iCs/>
          <w:lang w:val="es-ES_tradnl"/>
        </w:rPr>
        <w:t>ía</w:t>
      </w:r>
      <w:r w:rsidRPr="00C8238E">
        <w:rPr>
          <w:iCs/>
          <w:lang w:val="es-ES_tradnl"/>
        </w:rPr>
        <w:t xml:space="preserve"> sus n</w:t>
      </w:r>
      <w:r>
        <w:rPr>
          <w:iCs/>
          <w:lang w:val="es-ES_tradnl"/>
        </w:rPr>
        <w:t>ormas mínimas de eficiencia energética</w:t>
      </w:r>
      <w:r w:rsidRPr="00C8238E">
        <w:rPr>
          <w:iCs/>
          <w:lang w:val="es-ES_tradnl"/>
        </w:rPr>
        <w:t xml:space="preserve"> y adoptar</w:t>
      </w:r>
      <w:r>
        <w:rPr>
          <w:iCs/>
          <w:lang w:val="es-ES_tradnl"/>
        </w:rPr>
        <w:t>ía</w:t>
      </w:r>
      <w:r w:rsidRPr="00C8238E">
        <w:rPr>
          <w:iCs/>
          <w:lang w:val="es-ES_tradnl"/>
        </w:rPr>
        <w:t xml:space="preserve"> las que está actualizando actualmente la Comunidad Económica de los Estados de África Occidental; y</w:t>
      </w:r>
    </w:p>
    <w:p w14:paraId="7C757A2C" w14:textId="14DF2BCB" w:rsidR="00247AE4" w:rsidRPr="00DB5136" w:rsidRDefault="00247AE4" w:rsidP="0055034B">
      <w:pPr>
        <w:pStyle w:val="Heading2"/>
        <w:rPr>
          <w:lang w:val="es-ES_tradnl"/>
        </w:rPr>
      </w:pPr>
      <w:r>
        <w:rPr>
          <w:iCs/>
          <w:lang w:val="es-ES_tradnl"/>
        </w:rPr>
        <w:t>E</w:t>
      </w:r>
      <w:r w:rsidRPr="00C8238E">
        <w:rPr>
          <w:iCs/>
          <w:lang w:val="es-ES_tradnl"/>
        </w:rPr>
        <w:t>l proyecto concluir</w:t>
      </w:r>
      <w:r>
        <w:rPr>
          <w:iCs/>
          <w:lang w:val="es-ES_tradnl"/>
        </w:rPr>
        <w:t>ía</w:t>
      </w:r>
      <w:r w:rsidRPr="00C8238E">
        <w:rPr>
          <w:iCs/>
          <w:lang w:val="es-ES_tradnl"/>
        </w:rPr>
        <w:t xml:space="preserve"> de forma operativa a más tardar el 30 de junio de 2028 y que</w:t>
      </w:r>
      <w:r>
        <w:rPr>
          <w:iCs/>
          <w:lang w:val="es-ES_tradnl"/>
        </w:rPr>
        <w:t xml:space="preserve">, en un plazo de seis meses a partir de la fecha de término del mismo, </w:t>
      </w:r>
      <w:r w:rsidRPr="00C8238E">
        <w:rPr>
          <w:iCs/>
          <w:lang w:val="es-ES_tradnl"/>
        </w:rPr>
        <w:t>se presentar</w:t>
      </w:r>
      <w:r>
        <w:rPr>
          <w:iCs/>
          <w:lang w:val="es-ES_tradnl"/>
        </w:rPr>
        <w:t>ía</w:t>
      </w:r>
      <w:r w:rsidRPr="00C8238E">
        <w:rPr>
          <w:iCs/>
          <w:lang w:val="es-ES_tradnl"/>
        </w:rPr>
        <w:t xml:space="preserve"> un informe detallado al Comité Ejecutivo. </w:t>
      </w:r>
    </w:p>
    <w:p w14:paraId="78002658" w14:textId="77777777" w:rsidR="00185DE1" w:rsidRPr="00992B2A" w:rsidRDefault="00185DE1" w:rsidP="00185DE1">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5DE1" w:rsidRPr="00010CF0" w14:paraId="789C623A" w14:textId="77777777" w:rsidTr="00E372C4">
        <w:tc>
          <w:tcPr>
            <w:tcW w:w="1871" w:type="dxa"/>
          </w:tcPr>
          <w:p w14:paraId="38CBFEC5" w14:textId="77777777" w:rsidR="00185DE1" w:rsidRPr="00992B2A" w:rsidRDefault="00185DE1" w:rsidP="00E372C4">
            <w:pPr>
              <w:rPr>
                <w:lang w:val="fr-FR"/>
              </w:rPr>
            </w:pPr>
          </w:p>
        </w:tc>
        <w:tc>
          <w:tcPr>
            <w:tcW w:w="1872" w:type="dxa"/>
          </w:tcPr>
          <w:p w14:paraId="04F9AEB3" w14:textId="77777777" w:rsidR="00185DE1" w:rsidRPr="00992B2A" w:rsidRDefault="00185DE1" w:rsidP="00E372C4">
            <w:pPr>
              <w:rPr>
                <w:lang w:val="fr-FR"/>
              </w:rPr>
            </w:pPr>
          </w:p>
        </w:tc>
        <w:tc>
          <w:tcPr>
            <w:tcW w:w="1872" w:type="dxa"/>
            <w:tcBorders>
              <w:bottom w:val="single" w:sz="4" w:space="0" w:color="auto"/>
            </w:tcBorders>
          </w:tcPr>
          <w:p w14:paraId="79AFC86A" w14:textId="77777777" w:rsidR="00185DE1" w:rsidRPr="00992B2A" w:rsidRDefault="00185DE1" w:rsidP="00E372C4">
            <w:pPr>
              <w:rPr>
                <w:lang w:val="fr-FR"/>
              </w:rPr>
            </w:pPr>
          </w:p>
        </w:tc>
        <w:tc>
          <w:tcPr>
            <w:tcW w:w="1872" w:type="dxa"/>
          </w:tcPr>
          <w:p w14:paraId="67A87DF8" w14:textId="77777777" w:rsidR="00185DE1" w:rsidRPr="00992B2A" w:rsidRDefault="00185DE1" w:rsidP="00E372C4">
            <w:pPr>
              <w:rPr>
                <w:lang w:val="fr-FR"/>
              </w:rPr>
            </w:pPr>
          </w:p>
        </w:tc>
        <w:tc>
          <w:tcPr>
            <w:tcW w:w="1873" w:type="dxa"/>
          </w:tcPr>
          <w:p w14:paraId="45F58FD9" w14:textId="77777777" w:rsidR="00185DE1" w:rsidRPr="00992B2A" w:rsidRDefault="00185DE1" w:rsidP="00E372C4">
            <w:pPr>
              <w:rPr>
                <w:lang w:val="fr-FR"/>
              </w:rPr>
            </w:pPr>
          </w:p>
        </w:tc>
      </w:tr>
    </w:tbl>
    <w:p w14:paraId="22714894" w14:textId="77777777" w:rsidR="00185DE1" w:rsidRPr="00992B2A" w:rsidRDefault="00185DE1" w:rsidP="00185DE1">
      <w:pPr>
        <w:jc w:val="center"/>
        <w:rPr>
          <w:lang w:val="fr-FR"/>
        </w:rPr>
      </w:pPr>
    </w:p>
    <w:p w14:paraId="598D06F8" w14:textId="515E0935" w:rsidR="00E85409" w:rsidRPr="00240DA8" w:rsidRDefault="00E85409" w:rsidP="00247AE4">
      <w:pPr>
        <w:jc w:val="left"/>
        <w:rPr>
          <w:lang w:val="es-AR"/>
        </w:rPr>
      </w:pPr>
    </w:p>
    <w:sectPr w:rsidR="00E85409" w:rsidRPr="00240DA8" w:rsidSect="000E5D4B">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A61A" w14:textId="77777777" w:rsidR="00BD3C42" w:rsidRDefault="00BD3C42" w:rsidP="004A504B">
      <w:r>
        <w:separator/>
      </w:r>
    </w:p>
  </w:endnote>
  <w:endnote w:type="continuationSeparator" w:id="0">
    <w:p w14:paraId="32A3F037" w14:textId="77777777" w:rsidR="00BD3C42" w:rsidRDefault="00BD3C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 w:name="American Typewriter">
    <w:altName w:val="Courier New"/>
    <w:charset w:val="00"/>
    <w:family w:val="auto"/>
    <w:pitch w:val="variable"/>
    <w:sig w:usb0="A000006F" w:usb1="00000019"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262781"/>
      <w:docPartObj>
        <w:docPartGallery w:val="Page Numbers (Bottom of Page)"/>
        <w:docPartUnique/>
      </w:docPartObj>
    </w:sdtPr>
    <w:sdtEndPr>
      <w:rPr>
        <w:noProof/>
      </w:rPr>
    </w:sdtEndPr>
    <w:sdtContent>
      <w:p w14:paraId="4B439DFD" w14:textId="3BFE5370" w:rsidR="00EF1991" w:rsidRDefault="00EF1991" w:rsidP="00A519AD">
        <w:pPr>
          <w:pStyle w:val="Footer"/>
          <w:jc w:val="center"/>
        </w:pPr>
        <w:r>
          <w:fldChar w:fldCharType="begin"/>
        </w:r>
        <w:r>
          <w:instrText xml:space="preserve"> PAGE   \* MERGEFORMAT </w:instrText>
        </w:r>
        <w:r>
          <w:fldChar w:fldCharType="separate"/>
        </w:r>
        <w:r w:rsidR="001B42FA">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478126"/>
      <w:docPartObj>
        <w:docPartGallery w:val="Page Numbers (Bottom of Page)"/>
        <w:docPartUnique/>
      </w:docPartObj>
    </w:sdtPr>
    <w:sdtEndPr>
      <w:rPr>
        <w:noProof/>
      </w:rPr>
    </w:sdtEndPr>
    <w:sdtContent>
      <w:p w14:paraId="6733EEFD" w14:textId="796D0D62" w:rsidR="00EF1991" w:rsidRDefault="00EF1991" w:rsidP="00EF1991">
        <w:pPr>
          <w:pStyle w:val="Footer"/>
          <w:jc w:val="center"/>
          <w:rPr>
            <w:noProof/>
          </w:rPr>
        </w:pPr>
        <w:r>
          <w:fldChar w:fldCharType="begin"/>
        </w:r>
        <w:r>
          <w:instrText xml:space="preserve"> PAGE   \* MERGEFORMAT </w:instrText>
        </w:r>
        <w:r>
          <w:fldChar w:fldCharType="separate"/>
        </w:r>
        <w:r w:rsidR="001B42FA">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43F1" w14:textId="603A61C7" w:rsidR="006D37C6" w:rsidRPr="0031540A" w:rsidRDefault="006D37C6" w:rsidP="006D37C6">
    <w:pPr>
      <w:pBdr>
        <w:top w:val="single" w:sz="4" w:space="1" w:color="auto"/>
        <w:left w:val="single" w:sz="4" w:space="4" w:color="auto"/>
        <w:bottom w:val="single" w:sz="4" w:space="1" w:color="auto"/>
        <w:right w:val="single" w:sz="4" w:space="4" w:color="auto"/>
      </w:pBdr>
      <w:jc w:val="center"/>
      <w:rPr>
        <w:sz w:val="18"/>
        <w:szCs w:val="18"/>
        <w:lang w:val="es-AR"/>
      </w:rPr>
    </w:pPr>
    <w:r w:rsidRPr="0031540A">
      <w:rPr>
        <w:sz w:val="18"/>
        <w:szCs w:val="18"/>
        <w:lang w:val="es-AR"/>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5C8A" w14:textId="77777777" w:rsidR="00BD3C42" w:rsidRDefault="00BD3C42" w:rsidP="004A504B">
      <w:r>
        <w:separator/>
      </w:r>
    </w:p>
  </w:footnote>
  <w:footnote w:type="continuationSeparator" w:id="0">
    <w:p w14:paraId="4CCA7BA3" w14:textId="77777777" w:rsidR="00BD3C42" w:rsidRDefault="00BD3C42" w:rsidP="004A504B">
      <w:r>
        <w:continuationSeparator/>
      </w:r>
    </w:p>
  </w:footnote>
  <w:footnote w:id="1">
    <w:p w14:paraId="5921A228"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UNEP/OzL.Pro/ExCom/97/1</w:t>
      </w:r>
    </w:p>
  </w:footnote>
  <w:footnote w:id="2">
    <w:p w14:paraId="2C14D182" w14:textId="3313CCAA" w:rsidR="00DA6943" w:rsidRPr="005561B7" w:rsidRDefault="00DA6943" w:rsidP="00DA6943">
      <w:pPr>
        <w:pStyle w:val="FootnoteText"/>
      </w:pPr>
      <w:r>
        <w:rPr>
          <w:rStyle w:val="FootnoteReference"/>
        </w:rPr>
        <w:footnoteRef/>
      </w:r>
      <w:r>
        <w:t xml:space="preserve"> </w:t>
      </w:r>
      <w:r w:rsidRPr="00DA6943">
        <w:rPr>
          <w:lang w:val="es-AR"/>
        </w:rPr>
        <w:t xml:space="preserve">El Proyecto propuesto constará de la Asistencia bilateral del Gobierno del Reino Unido y será ejecutado por el Gobierno de Alemania. </w:t>
      </w:r>
    </w:p>
  </w:footnote>
  <w:footnote w:id="3">
    <w:p w14:paraId="7A56B4EA"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Según nota del 26 de agosto de 2025</w:t>
      </w:r>
      <w:r>
        <w:rPr>
          <w:lang w:val="es-ES_tradnl"/>
        </w:rPr>
        <w:t>,</w:t>
      </w:r>
      <w:r w:rsidRPr="00EC5D03">
        <w:rPr>
          <w:lang w:val="es-ES_tradnl"/>
        </w:rPr>
        <w:t xml:space="preserve"> dirigida a la Secretaría por el Ministerio de Medio Ambiente y Recursos Forestales de Togo.</w:t>
      </w:r>
    </w:p>
  </w:footnote>
  <w:footnote w:id="4">
    <w:p w14:paraId="6B6773C9"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Según nota del 3 de septiembre de 2024</w:t>
      </w:r>
      <w:r>
        <w:rPr>
          <w:lang w:val="es-ES_tradnl"/>
        </w:rPr>
        <w:t>,</w:t>
      </w:r>
      <w:r w:rsidRPr="00EC5D03">
        <w:rPr>
          <w:lang w:val="es-ES_tradnl"/>
        </w:rPr>
        <w:t xml:space="preserve"> dirigida al Gobierno de Alemania por el Ministerio de Medio Ambiente y Recursos Forestales de Togo, en la que se </w:t>
      </w:r>
      <w:r>
        <w:rPr>
          <w:lang w:val="es-ES_tradnl"/>
        </w:rPr>
        <w:t xml:space="preserve">informa </w:t>
      </w:r>
      <w:r w:rsidRPr="00EC5D03">
        <w:rPr>
          <w:lang w:val="es-ES_tradnl"/>
        </w:rPr>
        <w:t xml:space="preserve">a la Secretaría el cambio en diciembre de 2024, y con el documento UNEP/OzL.Pro/ExCom/95/78, párr. 39. </w:t>
      </w:r>
    </w:p>
  </w:footnote>
  <w:footnote w:id="5">
    <w:p w14:paraId="7AD1CCBE"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Decisión 95/73</w:t>
      </w:r>
      <w:r>
        <w:rPr>
          <w:lang w:val="es-ES_tradnl"/>
        </w:rPr>
        <w:t>.</w:t>
      </w:r>
    </w:p>
  </w:footnote>
  <w:footnote w:id="6">
    <w:p w14:paraId="5DA8966C"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La norma </w:t>
      </w:r>
      <w:r w:rsidRPr="004231A9">
        <w:rPr>
          <w:lang w:val="es-ES_tradnl"/>
        </w:rPr>
        <w:t>ECOSTAND 071-1:2017 de la CEDEAO establece</w:t>
      </w:r>
      <w:r w:rsidRPr="00EC5D03">
        <w:rPr>
          <w:lang w:val="es-ES_tradnl"/>
        </w:rPr>
        <w:t xml:space="preserve"> las normas mínimas de eficiencia energética para los aparatos de refrigeración con un volumen de </w:t>
      </w:r>
      <w:r>
        <w:rPr>
          <w:lang w:val="es-ES_tradnl"/>
        </w:rPr>
        <w:t xml:space="preserve">almacenamiento </w:t>
      </w:r>
      <w:r w:rsidRPr="00EC5D03">
        <w:rPr>
          <w:lang w:val="es-ES_tradnl"/>
        </w:rPr>
        <w:t>de hasta 1</w:t>
      </w:r>
      <w:r>
        <w:rPr>
          <w:lang w:val="es-ES_tradnl"/>
        </w:rPr>
        <w:t>.</w:t>
      </w:r>
      <w:r w:rsidRPr="00EC5D03">
        <w:rPr>
          <w:lang w:val="es-ES_tradnl"/>
        </w:rPr>
        <w:t>500 litros en las siguientes categorías: refrigeradores con uno o más compartimentos para el almacenamiento de alimentos frescos; bodega</w:t>
      </w:r>
      <w:r>
        <w:rPr>
          <w:lang w:val="es-ES_tradnl"/>
        </w:rPr>
        <w:t>s</w:t>
      </w:r>
      <w:r w:rsidRPr="00EC5D03">
        <w:rPr>
          <w:lang w:val="es-ES_tradnl"/>
        </w:rPr>
        <w:t xml:space="preserve">, aparatos para el almacenamiento de vinos y bodegas; </w:t>
      </w:r>
      <w:r>
        <w:rPr>
          <w:lang w:val="es-ES_tradnl"/>
        </w:rPr>
        <w:t xml:space="preserve">refrigeradores </w:t>
      </w:r>
      <w:r w:rsidRPr="00EC5D03">
        <w:rPr>
          <w:lang w:val="es-ES_tradnl"/>
        </w:rPr>
        <w:t>comerciales y congeladores con compartimentos de 0, 1, 2 o 3 estrellas; congeladores verticales, congeladores horizontales y aparatos de refrigeración multiuso y de otro tipo.</w:t>
      </w:r>
    </w:p>
  </w:footnote>
  <w:footnote w:id="7">
    <w:p w14:paraId="279FA1C0"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Las normas </w:t>
      </w:r>
      <w:r w:rsidRPr="004231A9">
        <w:rPr>
          <w:lang w:val="es-ES_tradnl"/>
        </w:rPr>
        <w:t>ECOSTAND 071-2:2017 de la CEDEAO</w:t>
      </w:r>
      <w:r w:rsidRPr="00EC5D03">
        <w:rPr>
          <w:lang w:val="es-ES_tradnl"/>
        </w:rPr>
        <w:t xml:space="preserve"> establecen las normas mínimas de eficiencia energética para los productos de </w:t>
      </w:r>
      <w:r>
        <w:rPr>
          <w:lang w:val="es-ES_tradnl"/>
        </w:rPr>
        <w:t xml:space="preserve">climatización </w:t>
      </w:r>
      <w:r w:rsidRPr="00EC5D03">
        <w:rPr>
          <w:lang w:val="es-ES_tradnl"/>
        </w:rPr>
        <w:t>doméstic</w:t>
      </w:r>
      <w:r>
        <w:rPr>
          <w:lang w:val="es-ES_tradnl"/>
        </w:rPr>
        <w:t>a</w:t>
      </w:r>
      <w:r w:rsidRPr="00EC5D03">
        <w:rPr>
          <w:lang w:val="es-ES_tradnl"/>
        </w:rPr>
        <w:t xml:space="preserve"> y comercial, incluid</w:t>
      </w:r>
      <w:r>
        <w:rPr>
          <w:lang w:val="es-ES_tradnl"/>
        </w:rPr>
        <w:t>o</w:t>
      </w:r>
      <w:r w:rsidRPr="00EC5D03">
        <w:rPr>
          <w:lang w:val="es-ES_tradnl"/>
        </w:rPr>
        <w:t xml:space="preserve"> l</w:t>
      </w:r>
      <w:r>
        <w:rPr>
          <w:lang w:val="es-ES_tradnl"/>
        </w:rPr>
        <w:t xml:space="preserve">os aparatos </w:t>
      </w:r>
      <w:r w:rsidRPr="00EC5D03">
        <w:rPr>
          <w:lang w:val="es-ES_tradnl"/>
        </w:rPr>
        <w:t>de aire acondicionado portátiles, unitari</w:t>
      </w:r>
      <w:r>
        <w:rPr>
          <w:lang w:val="es-ES_tradnl"/>
        </w:rPr>
        <w:t>o</w:t>
      </w:r>
      <w:r w:rsidRPr="00EC5D03">
        <w:rPr>
          <w:lang w:val="es-ES_tradnl"/>
        </w:rPr>
        <w:t xml:space="preserve">s y </w:t>
      </w:r>
      <w:r>
        <w:rPr>
          <w:lang w:val="es-ES_tradnl"/>
        </w:rPr>
        <w:t>de dos bloques</w:t>
      </w:r>
      <w:r w:rsidRPr="00EC5D03">
        <w:rPr>
          <w:lang w:val="es-ES_tradnl"/>
        </w:rPr>
        <w:t>, y los sistemas centralizados</w:t>
      </w:r>
      <w:r>
        <w:rPr>
          <w:lang w:val="es-ES_tradnl"/>
        </w:rPr>
        <w:t xml:space="preserve"> de climatización</w:t>
      </w:r>
      <w:r w:rsidRPr="00EC5D03">
        <w:rPr>
          <w:lang w:val="es-ES_tradnl"/>
        </w:rPr>
        <w:t>.</w:t>
      </w:r>
    </w:p>
  </w:footnote>
  <w:footnote w:id="8">
    <w:p w14:paraId="320D0789" w14:textId="199F59A5" w:rsidR="00247AE4" w:rsidRPr="00EC5D03" w:rsidRDefault="00247AE4" w:rsidP="00247AE4">
      <w:pPr>
        <w:pStyle w:val="FootnoteText"/>
        <w:rPr>
          <w:lang w:val="es-ES_tradnl"/>
        </w:rPr>
      </w:pPr>
      <w:r w:rsidRPr="00EC5D03">
        <w:rPr>
          <w:rStyle w:val="FootnoteReference"/>
          <w:lang w:val="es-ES_tradnl"/>
        </w:rPr>
        <w:footnoteRef/>
      </w:r>
      <w:r w:rsidR="00F3786B">
        <w:rPr>
          <w:lang w:val="es-ES_tradnl"/>
        </w:rPr>
        <w:t xml:space="preserve"> </w:t>
      </w:r>
      <w:r w:rsidRPr="00EC5D03">
        <w:rPr>
          <w:lang w:val="es-ES_tradnl"/>
        </w:rPr>
        <w:t xml:space="preserve">UNEP/OzL.Pro/ExCom/95/78, párr. 34. </w:t>
      </w:r>
    </w:p>
  </w:footnote>
  <w:footnote w:id="9">
    <w:p w14:paraId="38E6E2DE"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w:t>
      </w:r>
      <w:r>
        <w:rPr>
          <w:lang w:val="es-ES_tradnl"/>
        </w:rPr>
        <w:t>M</w:t>
      </w:r>
      <w:r w:rsidRPr="00EC5D03">
        <w:rPr>
          <w:lang w:val="es-ES_tradnl"/>
        </w:rPr>
        <w:t xml:space="preserve">edida del impacto </w:t>
      </w:r>
      <w:r>
        <w:rPr>
          <w:lang w:val="es-ES_tradnl"/>
        </w:rPr>
        <w:t>d</w:t>
      </w:r>
      <w:r w:rsidRPr="00EC5D03">
        <w:rPr>
          <w:lang w:val="es-ES_tradnl"/>
        </w:rPr>
        <w:t>el calentamiento global asociado al uso y la eliminación de equipos de refrigeración concretos, que se calcula sumando las emisiones directas de CO</w:t>
      </w:r>
      <w:r w:rsidRPr="00EC5D03">
        <w:rPr>
          <w:vertAlign w:val="subscript"/>
          <w:lang w:val="es-ES_tradnl"/>
        </w:rPr>
        <w:t>2</w:t>
      </w:r>
      <w:r>
        <w:rPr>
          <w:vertAlign w:val="subscript"/>
          <w:lang w:val="es-ES_tradnl"/>
        </w:rPr>
        <w:t xml:space="preserve"> </w:t>
      </w:r>
      <w:r w:rsidRPr="00EC5D03">
        <w:rPr>
          <w:lang w:val="es-ES_tradnl"/>
        </w:rPr>
        <w:t>eq</w:t>
      </w:r>
      <w:r>
        <w:rPr>
          <w:lang w:val="es-ES_tradnl"/>
        </w:rPr>
        <w:t>uivalente</w:t>
      </w:r>
      <w:r w:rsidRPr="00EC5D03">
        <w:rPr>
          <w:lang w:val="es-ES_tradnl"/>
        </w:rPr>
        <w:t xml:space="preserve"> con las emisiones indirectas de CO</w:t>
      </w:r>
      <w:r w:rsidRPr="00EC5D03">
        <w:rPr>
          <w:vertAlign w:val="subscript"/>
          <w:lang w:val="es-ES_tradnl"/>
        </w:rPr>
        <w:t>2</w:t>
      </w:r>
      <w:r>
        <w:rPr>
          <w:vertAlign w:val="subscript"/>
          <w:lang w:val="es-ES_tradnl"/>
        </w:rPr>
        <w:t xml:space="preserve"> </w:t>
      </w:r>
      <w:r w:rsidRPr="00EC5D03">
        <w:rPr>
          <w:lang w:val="es-ES_tradnl"/>
        </w:rPr>
        <w:t>eq</w:t>
      </w:r>
      <w:r>
        <w:rPr>
          <w:lang w:val="es-ES_tradnl"/>
        </w:rPr>
        <w:t>uivalente</w:t>
      </w:r>
      <w:r w:rsidRPr="00EC5D03">
        <w:rPr>
          <w:lang w:val="es-ES_tradnl"/>
        </w:rPr>
        <w:t>.</w:t>
      </w:r>
    </w:p>
  </w:footnote>
  <w:footnote w:id="10">
    <w:p w14:paraId="0C9A3F29"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Unidades térmicas británicas por hora</w:t>
      </w:r>
      <w:r>
        <w:rPr>
          <w:lang w:val="es-ES_tradnl"/>
        </w:rPr>
        <w:t>.</w:t>
      </w:r>
    </w:p>
  </w:footnote>
  <w:footnote w:id="11">
    <w:p w14:paraId="1475B993"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Megavatios-hora</w:t>
      </w:r>
    </w:p>
  </w:footnote>
  <w:footnote w:id="12">
    <w:p w14:paraId="035D004B"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Incluido un proyecto </w:t>
      </w:r>
      <w:r>
        <w:rPr>
          <w:lang w:val="es-ES_tradnl"/>
        </w:rPr>
        <w:t xml:space="preserve">de demostración </w:t>
      </w:r>
      <w:r w:rsidRPr="00EC5D03">
        <w:rPr>
          <w:lang w:val="es-ES_tradnl"/>
        </w:rPr>
        <w:t xml:space="preserve">para sustituir dos instalaciones a base de R-404A por alternativas de bajo </w:t>
      </w:r>
      <w:r>
        <w:rPr>
          <w:lang w:val="es-ES_tradnl"/>
        </w:rPr>
        <w:t xml:space="preserve">potencial de calentamiento atmosférico </w:t>
      </w:r>
      <w:r w:rsidRPr="00EC5D03">
        <w:rPr>
          <w:lang w:val="es-ES_tradnl"/>
        </w:rPr>
        <w:t xml:space="preserve">y presentar un informe final sobre la ejecución de este proyecto, </w:t>
      </w:r>
      <w:r>
        <w:rPr>
          <w:lang w:val="es-ES_tradnl"/>
        </w:rPr>
        <w:t xml:space="preserve">que contenga </w:t>
      </w:r>
      <w:r w:rsidRPr="00EC5D03">
        <w:rPr>
          <w:lang w:val="es-ES_tradnl"/>
        </w:rPr>
        <w:t>la reducción de los HFC y las ganancias logradas de eficiencia energética (decisión 95/73)</w:t>
      </w:r>
      <w:r>
        <w:rPr>
          <w:lang w:val="es-ES_tradnl"/>
        </w:rPr>
        <w:t>.</w:t>
      </w:r>
    </w:p>
  </w:footnote>
  <w:footnote w:id="13">
    <w:p w14:paraId="21E0E017" w14:textId="77777777" w:rsidR="00247AE4" w:rsidRPr="00EC5D03" w:rsidRDefault="00247AE4" w:rsidP="00247AE4">
      <w:pPr>
        <w:pStyle w:val="FootnoteText"/>
        <w:rPr>
          <w:lang w:val="es-ES_tradnl"/>
        </w:rPr>
      </w:pPr>
      <w:r w:rsidRPr="00EC5D03">
        <w:rPr>
          <w:rStyle w:val="FootnoteReference"/>
          <w:lang w:val="es-ES_tradnl"/>
        </w:rPr>
        <w:footnoteRef/>
      </w:r>
      <w:r w:rsidRPr="00EC5D03">
        <w:rPr>
          <w:lang w:val="es-ES_tradnl"/>
        </w:rPr>
        <w:t xml:space="preserve"> Según las estadísticas de la Organización Mundial de la Salud de 2019</w:t>
      </w:r>
      <w:r>
        <w:rPr>
          <w:lang w:val="es-ES_tradnl"/>
        </w:rPr>
        <w:t>.</w:t>
      </w:r>
    </w:p>
  </w:footnote>
  <w:footnote w:id="14">
    <w:p w14:paraId="4B019797" w14:textId="77777777" w:rsidR="00247AE4" w:rsidRPr="00EC5D03" w:rsidRDefault="00247AE4" w:rsidP="00247AE4">
      <w:pPr>
        <w:pStyle w:val="FootnoteText"/>
        <w:rPr>
          <w:color w:val="000000" w:themeColor="text1"/>
          <w:lang w:val="es-ES_tradnl"/>
        </w:rPr>
      </w:pPr>
      <w:r w:rsidRPr="00EC5D03">
        <w:rPr>
          <w:rStyle w:val="FootnoteReference"/>
          <w:lang w:val="es-ES_tradnl"/>
        </w:rPr>
        <w:footnoteRef/>
      </w:r>
      <w:r w:rsidRPr="00EC5D03">
        <w:rPr>
          <w:lang w:val="es-ES_tradnl"/>
        </w:rPr>
        <w:t xml:space="preserve"> La tarifa eléctrica en Togo va</w:t>
      </w:r>
      <w:r>
        <w:rPr>
          <w:lang w:val="es-ES_tradnl"/>
        </w:rPr>
        <w:t>ría</w:t>
      </w:r>
      <w:r w:rsidRPr="00EC5D03">
        <w:rPr>
          <w:lang w:val="es-ES_tradnl"/>
        </w:rPr>
        <w:t xml:space="preserve"> según el tipo de suministro, es decir, </w:t>
      </w:r>
      <w:r w:rsidRPr="00EC5D03">
        <w:rPr>
          <w:color w:val="000000" w:themeColor="text1"/>
          <w:lang w:val="es-ES_tradnl"/>
        </w:rPr>
        <w:t>los hospitales pequeños que utilizan suministro de baja tensión pagan 143 XOF (</w:t>
      </w:r>
      <w:r>
        <w:rPr>
          <w:color w:val="000000" w:themeColor="text1"/>
          <w:lang w:val="es-ES_tradnl"/>
        </w:rPr>
        <w:t xml:space="preserve">USD </w:t>
      </w:r>
      <w:r w:rsidRPr="00EC5D03">
        <w:rPr>
          <w:color w:val="000000" w:themeColor="text1"/>
          <w:lang w:val="es-ES_tradnl"/>
        </w:rPr>
        <w:t>0,26) por kWh, mientras que los</w:t>
      </w:r>
      <w:r>
        <w:rPr>
          <w:color w:val="000000" w:themeColor="text1"/>
          <w:lang w:val="es-ES_tradnl"/>
        </w:rPr>
        <w:t xml:space="preserve"> hospitales</w:t>
      </w:r>
      <w:r w:rsidRPr="00EC5D03">
        <w:rPr>
          <w:color w:val="000000" w:themeColor="text1"/>
          <w:lang w:val="es-ES_tradnl"/>
        </w:rPr>
        <w:t xml:space="preserve"> grandes que utilizan suministro de alto voltaje pagan 91 XOF (</w:t>
      </w:r>
      <w:r>
        <w:rPr>
          <w:color w:val="000000" w:themeColor="text1"/>
          <w:lang w:val="es-ES_tradnl"/>
        </w:rPr>
        <w:t xml:space="preserve">USD </w:t>
      </w:r>
      <w:r w:rsidRPr="00EC5D03">
        <w:rPr>
          <w:color w:val="000000" w:themeColor="text1"/>
          <w:lang w:val="es-ES_tradnl"/>
        </w:rPr>
        <w:t>0,16) por kWh.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608E" w14:textId="2ABEA220" w:rsidR="000E5D4B" w:rsidRDefault="00502BE7" w:rsidP="000E5D4B">
    <w:pPr>
      <w:rPr>
        <w:rFonts w:asciiTheme="majorBidi" w:hAnsiTheme="majorBidi" w:cstheme="majorBidi"/>
        <w:lang w:val="es-AR"/>
      </w:rPr>
    </w:pPr>
    <w:r w:rsidRPr="00240DA8">
      <w:rPr>
        <w:rFonts w:asciiTheme="majorBidi" w:hAnsiTheme="majorBidi" w:cstheme="majorBidi"/>
        <w:lang w:val="es-AR"/>
      </w:rPr>
      <w:fldChar w:fldCharType="begin"/>
    </w:r>
    <w:r w:rsidRPr="00240DA8">
      <w:rPr>
        <w:rFonts w:asciiTheme="majorBidi" w:hAnsiTheme="majorBidi" w:cstheme="majorBidi"/>
        <w:lang w:val="es-AR"/>
      </w:rPr>
      <w:instrText xml:space="preserve"> DOCPROPERTY "Document number"  \* MERGEFORMAT </w:instrText>
    </w:r>
    <w:r w:rsidRPr="00240DA8">
      <w:rPr>
        <w:rFonts w:asciiTheme="majorBidi" w:hAnsiTheme="majorBidi" w:cstheme="majorBidi"/>
        <w:lang w:val="es-AR"/>
      </w:rPr>
      <w:fldChar w:fldCharType="separate"/>
    </w:r>
    <w:r>
      <w:rPr>
        <w:rFonts w:asciiTheme="majorBidi" w:hAnsiTheme="majorBidi" w:cstheme="majorBidi"/>
        <w:lang w:val="es-AR"/>
      </w:rPr>
      <w:t>UNEP/OzL.Pro/ExCom/97/79</w:t>
    </w:r>
    <w:r w:rsidRPr="00240DA8">
      <w:rPr>
        <w:rFonts w:asciiTheme="majorBidi" w:hAnsiTheme="majorBidi" w:cstheme="majorBidi"/>
        <w:lang w:val="es-AR"/>
      </w:rPr>
      <w:fldChar w:fldCharType="end"/>
    </w:r>
  </w:p>
  <w:p w14:paraId="39CE4F98" w14:textId="77777777" w:rsidR="00502BE7" w:rsidRDefault="00502BE7" w:rsidP="000E5D4B"/>
  <w:p w14:paraId="1B754CE7" w14:textId="77777777" w:rsidR="00EF1991" w:rsidRDefault="00EF1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D2CF" w14:textId="668EA7FB" w:rsidR="00502BE7" w:rsidRDefault="00502BE7" w:rsidP="00502BE7">
    <w:pPr>
      <w:jc w:val="right"/>
      <w:rPr>
        <w:rFonts w:asciiTheme="majorBidi" w:hAnsiTheme="majorBidi" w:cstheme="majorBidi"/>
        <w:lang w:val="es-AR"/>
      </w:rPr>
    </w:pPr>
    <w:r w:rsidRPr="00240DA8">
      <w:rPr>
        <w:rFonts w:asciiTheme="majorBidi" w:hAnsiTheme="majorBidi" w:cstheme="majorBidi"/>
        <w:lang w:val="es-AR"/>
      </w:rPr>
      <w:fldChar w:fldCharType="begin"/>
    </w:r>
    <w:r w:rsidRPr="00240DA8">
      <w:rPr>
        <w:rFonts w:asciiTheme="majorBidi" w:hAnsiTheme="majorBidi" w:cstheme="majorBidi"/>
        <w:lang w:val="es-AR"/>
      </w:rPr>
      <w:instrText xml:space="preserve"> DOCPROPERTY "Document number"  \* MERGEFORMAT </w:instrText>
    </w:r>
    <w:r w:rsidRPr="00240DA8">
      <w:rPr>
        <w:rFonts w:asciiTheme="majorBidi" w:hAnsiTheme="majorBidi" w:cstheme="majorBidi"/>
        <w:lang w:val="es-AR"/>
      </w:rPr>
      <w:fldChar w:fldCharType="separate"/>
    </w:r>
    <w:r>
      <w:rPr>
        <w:rFonts w:asciiTheme="majorBidi" w:hAnsiTheme="majorBidi" w:cstheme="majorBidi"/>
        <w:lang w:val="es-AR"/>
      </w:rPr>
      <w:t>UNEP/OzL.Pro/ExCom/97/79</w:t>
    </w:r>
    <w:r w:rsidRPr="00240DA8">
      <w:rPr>
        <w:rFonts w:asciiTheme="majorBidi" w:hAnsiTheme="majorBidi" w:cstheme="majorBidi"/>
        <w:lang w:val="es-AR"/>
      </w:rPr>
      <w:fldChar w:fldCharType="end"/>
    </w:r>
  </w:p>
  <w:p w14:paraId="3FB15C8E" w14:textId="77777777" w:rsidR="00EF1991" w:rsidRPr="00354B87" w:rsidRDefault="00EF1991" w:rsidP="00A519AD">
    <w:pPr>
      <w:jc w:val="right"/>
    </w:pPr>
  </w:p>
  <w:p w14:paraId="5FAC5E18" w14:textId="77777777" w:rsidR="00EF1991" w:rsidRDefault="00EF1991" w:rsidP="00A519A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30A8" w14:textId="77777777" w:rsidR="00502BE7" w:rsidRDefault="00502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F61926"/>
    <w:multiLevelType w:val="multilevel"/>
    <w:tmpl w:val="243686F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9005447">
    <w:abstractNumId w:val="0"/>
  </w:num>
  <w:num w:numId="2" w16cid:durableId="2033799192">
    <w:abstractNumId w:val="3"/>
  </w:num>
  <w:num w:numId="3" w16cid:durableId="887062050">
    <w:abstractNumId w:val="4"/>
  </w:num>
  <w:num w:numId="4" w16cid:durableId="598416407">
    <w:abstractNumId w:val="9"/>
  </w:num>
  <w:num w:numId="5" w16cid:durableId="370303207">
    <w:abstractNumId w:val="1"/>
  </w:num>
  <w:num w:numId="6" w16cid:durableId="768936871">
    <w:abstractNumId w:val="6"/>
  </w:num>
  <w:num w:numId="7" w16cid:durableId="160119067">
    <w:abstractNumId w:val="5"/>
  </w:num>
  <w:num w:numId="8" w16cid:durableId="145129003">
    <w:abstractNumId w:val="2"/>
  </w:num>
  <w:num w:numId="9" w16cid:durableId="688993368">
    <w:abstractNumId w:val="8"/>
  </w:num>
  <w:num w:numId="10" w16cid:durableId="1799452733">
    <w:abstractNumId w:val="7"/>
  </w:num>
  <w:num w:numId="11" w16cid:durableId="1315642561">
    <w:abstractNumId w:val="6"/>
    <w:lvlOverride w:ilvl="0">
      <w:startOverride w:val="22"/>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3D84"/>
    <w:rsid w:val="0000434E"/>
    <w:rsid w:val="000059F4"/>
    <w:rsid w:val="000101B2"/>
    <w:rsid w:val="00010CF0"/>
    <w:rsid w:val="000125BA"/>
    <w:rsid w:val="00013F2F"/>
    <w:rsid w:val="00014C8C"/>
    <w:rsid w:val="0001547E"/>
    <w:rsid w:val="00015F0B"/>
    <w:rsid w:val="00015FD8"/>
    <w:rsid w:val="0001737D"/>
    <w:rsid w:val="00020270"/>
    <w:rsid w:val="00020A2B"/>
    <w:rsid w:val="00020B38"/>
    <w:rsid w:val="000211A9"/>
    <w:rsid w:val="00021238"/>
    <w:rsid w:val="00021D15"/>
    <w:rsid w:val="00024437"/>
    <w:rsid w:val="000250EE"/>
    <w:rsid w:val="0002686A"/>
    <w:rsid w:val="00026D7A"/>
    <w:rsid w:val="00026FD7"/>
    <w:rsid w:val="00027E1B"/>
    <w:rsid w:val="00027F59"/>
    <w:rsid w:val="0003098A"/>
    <w:rsid w:val="00031260"/>
    <w:rsid w:val="000326D0"/>
    <w:rsid w:val="00032886"/>
    <w:rsid w:val="000344E3"/>
    <w:rsid w:val="00036318"/>
    <w:rsid w:val="0003681A"/>
    <w:rsid w:val="000372B7"/>
    <w:rsid w:val="00042121"/>
    <w:rsid w:val="00042CDD"/>
    <w:rsid w:val="0004736E"/>
    <w:rsid w:val="00047517"/>
    <w:rsid w:val="00050F6E"/>
    <w:rsid w:val="00052325"/>
    <w:rsid w:val="0005279F"/>
    <w:rsid w:val="00052BE7"/>
    <w:rsid w:val="0005484D"/>
    <w:rsid w:val="00054C74"/>
    <w:rsid w:val="00055F72"/>
    <w:rsid w:val="000563BF"/>
    <w:rsid w:val="000576E6"/>
    <w:rsid w:val="00057FE9"/>
    <w:rsid w:val="00060074"/>
    <w:rsid w:val="00061EC2"/>
    <w:rsid w:val="00062678"/>
    <w:rsid w:val="0006299F"/>
    <w:rsid w:val="00063A17"/>
    <w:rsid w:val="00063BB7"/>
    <w:rsid w:val="00066CE8"/>
    <w:rsid w:val="0007008F"/>
    <w:rsid w:val="00070C52"/>
    <w:rsid w:val="000717FD"/>
    <w:rsid w:val="000723C2"/>
    <w:rsid w:val="00072459"/>
    <w:rsid w:val="00072A86"/>
    <w:rsid w:val="00076424"/>
    <w:rsid w:val="00077526"/>
    <w:rsid w:val="00077F3F"/>
    <w:rsid w:val="00080ED0"/>
    <w:rsid w:val="000810AF"/>
    <w:rsid w:val="00081B2B"/>
    <w:rsid w:val="00081B50"/>
    <w:rsid w:val="0008238A"/>
    <w:rsid w:val="00082E95"/>
    <w:rsid w:val="00083AFB"/>
    <w:rsid w:val="0008498C"/>
    <w:rsid w:val="00084D78"/>
    <w:rsid w:val="00084E6A"/>
    <w:rsid w:val="00085B8F"/>
    <w:rsid w:val="00086BE7"/>
    <w:rsid w:val="00087802"/>
    <w:rsid w:val="00090481"/>
    <w:rsid w:val="000908C8"/>
    <w:rsid w:val="0009168F"/>
    <w:rsid w:val="00092F92"/>
    <w:rsid w:val="000952E9"/>
    <w:rsid w:val="00095E2C"/>
    <w:rsid w:val="0009639C"/>
    <w:rsid w:val="00096DA0"/>
    <w:rsid w:val="00097822"/>
    <w:rsid w:val="000A17E5"/>
    <w:rsid w:val="000A1A92"/>
    <w:rsid w:val="000A27F5"/>
    <w:rsid w:val="000A2B27"/>
    <w:rsid w:val="000A3826"/>
    <w:rsid w:val="000A3E4A"/>
    <w:rsid w:val="000A6C26"/>
    <w:rsid w:val="000A70F5"/>
    <w:rsid w:val="000A7D02"/>
    <w:rsid w:val="000A7F5B"/>
    <w:rsid w:val="000B0988"/>
    <w:rsid w:val="000B2F66"/>
    <w:rsid w:val="000B36C8"/>
    <w:rsid w:val="000B3FF5"/>
    <w:rsid w:val="000B4CE7"/>
    <w:rsid w:val="000B655F"/>
    <w:rsid w:val="000B6F0D"/>
    <w:rsid w:val="000B74AD"/>
    <w:rsid w:val="000C2FF5"/>
    <w:rsid w:val="000C4278"/>
    <w:rsid w:val="000C4FEB"/>
    <w:rsid w:val="000C5324"/>
    <w:rsid w:val="000C550B"/>
    <w:rsid w:val="000D08C7"/>
    <w:rsid w:val="000D1361"/>
    <w:rsid w:val="000D162E"/>
    <w:rsid w:val="000D2353"/>
    <w:rsid w:val="000D26F0"/>
    <w:rsid w:val="000D3866"/>
    <w:rsid w:val="000D461E"/>
    <w:rsid w:val="000D52A4"/>
    <w:rsid w:val="000D56A5"/>
    <w:rsid w:val="000D6841"/>
    <w:rsid w:val="000D73D1"/>
    <w:rsid w:val="000E012B"/>
    <w:rsid w:val="000E07BC"/>
    <w:rsid w:val="000E2E21"/>
    <w:rsid w:val="000E3D42"/>
    <w:rsid w:val="000E5D4B"/>
    <w:rsid w:val="000E63E6"/>
    <w:rsid w:val="000F1C22"/>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5BB8"/>
    <w:rsid w:val="00107764"/>
    <w:rsid w:val="001118A3"/>
    <w:rsid w:val="001137D5"/>
    <w:rsid w:val="00113CCA"/>
    <w:rsid w:val="00114CB9"/>
    <w:rsid w:val="00117356"/>
    <w:rsid w:val="001212C0"/>
    <w:rsid w:val="00122119"/>
    <w:rsid w:val="00122F25"/>
    <w:rsid w:val="0012748E"/>
    <w:rsid w:val="0012762F"/>
    <w:rsid w:val="001316E2"/>
    <w:rsid w:val="00131D67"/>
    <w:rsid w:val="001335ED"/>
    <w:rsid w:val="00133D27"/>
    <w:rsid w:val="0013406D"/>
    <w:rsid w:val="001346E3"/>
    <w:rsid w:val="00135142"/>
    <w:rsid w:val="00135980"/>
    <w:rsid w:val="0013722E"/>
    <w:rsid w:val="0013786F"/>
    <w:rsid w:val="001403D1"/>
    <w:rsid w:val="001425C3"/>
    <w:rsid w:val="00143943"/>
    <w:rsid w:val="001442A0"/>
    <w:rsid w:val="00150171"/>
    <w:rsid w:val="00151935"/>
    <w:rsid w:val="00154726"/>
    <w:rsid w:val="001571B9"/>
    <w:rsid w:val="00161BD2"/>
    <w:rsid w:val="0016469A"/>
    <w:rsid w:val="00164719"/>
    <w:rsid w:val="00165A7B"/>
    <w:rsid w:val="00165A91"/>
    <w:rsid w:val="00166FC4"/>
    <w:rsid w:val="001677AC"/>
    <w:rsid w:val="00167D36"/>
    <w:rsid w:val="00173093"/>
    <w:rsid w:val="001741E0"/>
    <w:rsid w:val="001743A3"/>
    <w:rsid w:val="001747A0"/>
    <w:rsid w:val="001763B6"/>
    <w:rsid w:val="00180391"/>
    <w:rsid w:val="001804EA"/>
    <w:rsid w:val="0018073C"/>
    <w:rsid w:val="00182005"/>
    <w:rsid w:val="00182859"/>
    <w:rsid w:val="0018363D"/>
    <w:rsid w:val="00183EB4"/>
    <w:rsid w:val="00185266"/>
    <w:rsid w:val="00185DE1"/>
    <w:rsid w:val="00187918"/>
    <w:rsid w:val="00187DE7"/>
    <w:rsid w:val="00190A61"/>
    <w:rsid w:val="00190C93"/>
    <w:rsid w:val="00194B75"/>
    <w:rsid w:val="00196373"/>
    <w:rsid w:val="00196A23"/>
    <w:rsid w:val="001A2215"/>
    <w:rsid w:val="001A28D6"/>
    <w:rsid w:val="001A30ED"/>
    <w:rsid w:val="001A3342"/>
    <w:rsid w:val="001A3E3D"/>
    <w:rsid w:val="001A5A39"/>
    <w:rsid w:val="001A6E4F"/>
    <w:rsid w:val="001A7049"/>
    <w:rsid w:val="001A7C4A"/>
    <w:rsid w:val="001B1E40"/>
    <w:rsid w:val="001B417B"/>
    <w:rsid w:val="001B42FA"/>
    <w:rsid w:val="001B4A2C"/>
    <w:rsid w:val="001B58FB"/>
    <w:rsid w:val="001B68DD"/>
    <w:rsid w:val="001B6E4A"/>
    <w:rsid w:val="001C2013"/>
    <w:rsid w:val="001C396A"/>
    <w:rsid w:val="001C4E5E"/>
    <w:rsid w:val="001C5C2A"/>
    <w:rsid w:val="001C764E"/>
    <w:rsid w:val="001D2DC6"/>
    <w:rsid w:val="001D36D0"/>
    <w:rsid w:val="001D474A"/>
    <w:rsid w:val="001D4F6A"/>
    <w:rsid w:val="001D500E"/>
    <w:rsid w:val="001D5478"/>
    <w:rsid w:val="001E1052"/>
    <w:rsid w:val="001E21B1"/>
    <w:rsid w:val="001E2F93"/>
    <w:rsid w:val="001E3BB7"/>
    <w:rsid w:val="001E44CF"/>
    <w:rsid w:val="001E4554"/>
    <w:rsid w:val="001E512D"/>
    <w:rsid w:val="001E61E5"/>
    <w:rsid w:val="001E751E"/>
    <w:rsid w:val="001E7F77"/>
    <w:rsid w:val="001F02F5"/>
    <w:rsid w:val="001F18B7"/>
    <w:rsid w:val="001F2159"/>
    <w:rsid w:val="001F47A0"/>
    <w:rsid w:val="001F53FD"/>
    <w:rsid w:val="001F6A0D"/>
    <w:rsid w:val="001F6BDD"/>
    <w:rsid w:val="001F7033"/>
    <w:rsid w:val="001F71D5"/>
    <w:rsid w:val="00200795"/>
    <w:rsid w:val="00201B74"/>
    <w:rsid w:val="00202733"/>
    <w:rsid w:val="002038F9"/>
    <w:rsid w:val="00203961"/>
    <w:rsid w:val="002063E0"/>
    <w:rsid w:val="00206635"/>
    <w:rsid w:val="00206990"/>
    <w:rsid w:val="00210B8B"/>
    <w:rsid w:val="002113F3"/>
    <w:rsid w:val="00213AF6"/>
    <w:rsid w:val="00214863"/>
    <w:rsid w:val="002151F3"/>
    <w:rsid w:val="002156B4"/>
    <w:rsid w:val="00217E89"/>
    <w:rsid w:val="00221FB3"/>
    <w:rsid w:val="0022373B"/>
    <w:rsid w:val="00223CF2"/>
    <w:rsid w:val="00224B2C"/>
    <w:rsid w:val="00224FCD"/>
    <w:rsid w:val="00225FC5"/>
    <w:rsid w:val="00227F27"/>
    <w:rsid w:val="00230EA4"/>
    <w:rsid w:val="002329F3"/>
    <w:rsid w:val="00233F61"/>
    <w:rsid w:val="00236695"/>
    <w:rsid w:val="00236973"/>
    <w:rsid w:val="0024014D"/>
    <w:rsid w:val="00240DA8"/>
    <w:rsid w:val="00243071"/>
    <w:rsid w:val="00247AE4"/>
    <w:rsid w:val="00253161"/>
    <w:rsid w:val="00253222"/>
    <w:rsid w:val="002535EA"/>
    <w:rsid w:val="0025489A"/>
    <w:rsid w:val="00254FE5"/>
    <w:rsid w:val="0025576D"/>
    <w:rsid w:val="00256AD8"/>
    <w:rsid w:val="00260391"/>
    <w:rsid w:val="00261C13"/>
    <w:rsid w:val="00262847"/>
    <w:rsid w:val="00263F26"/>
    <w:rsid w:val="002655EF"/>
    <w:rsid w:val="00265A7C"/>
    <w:rsid w:val="00266590"/>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981"/>
    <w:rsid w:val="00290B3C"/>
    <w:rsid w:val="002939D3"/>
    <w:rsid w:val="002939F9"/>
    <w:rsid w:val="00294FE9"/>
    <w:rsid w:val="0029745D"/>
    <w:rsid w:val="002A03C3"/>
    <w:rsid w:val="002A0A39"/>
    <w:rsid w:val="002A1959"/>
    <w:rsid w:val="002A2988"/>
    <w:rsid w:val="002A2B0B"/>
    <w:rsid w:val="002A44A7"/>
    <w:rsid w:val="002A5501"/>
    <w:rsid w:val="002A5911"/>
    <w:rsid w:val="002A5F69"/>
    <w:rsid w:val="002B254E"/>
    <w:rsid w:val="002B3092"/>
    <w:rsid w:val="002B30C0"/>
    <w:rsid w:val="002B3603"/>
    <w:rsid w:val="002B44AA"/>
    <w:rsid w:val="002B69C8"/>
    <w:rsid w:val="002B72E9"/>
    <w:rsid w:val="002C0D93"/>
    <w:rsid w:val="002C27D7"/>
    <w:rsid w:val="002C2F3F"/>
    <w:rsid w:val="002C46AB"/>
    <w:rsid w:val="002C4D0F"/>
    <w:rsid w:val="002C6380"/>
    <w:rsid w:val="002C7998"/>
    <w:rsid w:val="002D06B9"/>
    <w:rsid w:val="002D2CD8"/>
    <w:rsid w:val="002D42C0"/>
    <w:rsid w:val="002D50A7"/>
    <w:rsid w:val="002D5EF9"/>
    <w:rsid w:val="002D6BD8"/>
    <w:rsid w:val="002D71B9"/>
    <w:rsid w:val="002D773A"/>
    <w:rsid w:val="002E1195"/>
    <w:rsid w:val="002E1FBE"/>
    <w:rsid w:val="002E5935"/>
    <w:rsid w:val="002F1583"/>
    <w:rsid w:val="002F1798"/>
    <w:rsid w:val="002F1E53"/>
    <w:rsid w:val="002F21F1"/>
    <w:rsid w:val="002F2CAA"/>
    <w:rsid w:val="002F3D08"/>
    <w:rsid w:val="002F43A6"/>
    <w:rsid w:val="002F5D1B"/>
    <w:rsid w:val="002F65F5"/>
    <w:rsid w:val="002F69F9"/>
    <w:rsid w:val="002F7585"/>
    <w:rsid w:val="00300011"/>
    <w:rsid w:val="0030052C"/>
    <w:rsid w:val="00300CA0"/>
    <w:rsid w:val="00301A35"/>
    <w:rsid w:val="0030435A"/>
    <w:rsid w:val="003058FF"/>
    <w:rsid w:val="00305E60"/>
    <w:rsid w:val="00305EE8"/>
    <w:rsid w:val="00312A4E"/>
    <w:rsid w:val="0031513D"/>
    <w:rsid w:val="0031540A"/>
    <w:rsid w:val="003158EE"/>
    <w:rsid w:val="00316D9B"/>
    <w:rsid w:val="00317205"/>
    <w:rsid w:val="0032020D"/>
    <w:rsid w:val="003204AF"/>
    <w:rsid w:val="00322EF6"/>
    <w:rsid w:val="00323351"/>
    <w:rsid w:val="00324A11"/>
    <w:rsid w:val="00326D5B"/>
    <w:rsid w:val="00326E6C"/>
    <w:rsid w:val="003306E1"/>
    <w:rsid w:val="00330D7F"/>
    <w:rsid w:val="0033139D"/>
    <w:rsid w:val="003320E4"/>
    <w:rsid w:val="003327D9"/>
    <w:rsid w:val="003347EA"/>
    <w:rsid w:val="0033525D"/>
    <w:rsid w:val="00336269"/>
    <w:rsid w:val="00336DC4"/>
    <w:rsid w:val="00337A37"/>
    <w:rsid w:val="0034079D"/>
    <w:rsid w:val="003414F3"/>
    <w:rsid w:val="00341D6E"/>
    <w:rsid w:val="00341E54"/>
    <w:rsid w:val="00342F10"/>
    <w:rsid w:val="00344B1A"/>
    <w:rsid w:val="00344E6E"/>
    <w:rsid w:val="003459E9"/>
    <w:rsid w:val="00346915"/>
    <w:rsid w:val="00351B43"/>
    <w:rsid w:val="00352240"/>
    <w:rsid w:val="00353075"/>
    <w:rsid w:val="00354B87"/>
    <w:rsid w:val="00354DDF"/>
    <w:rsid w:val="003554EB"/>
    <w:rsid w:val="0035613E"/>
    <w:rsid w:val="00357077"/>
    <w:rsid w:val="00360A9F"/>
    <w:rsid w:val="0036317A"/>
    <w:rsid w:val="00363B30"/>
    <w:rsid w:val="00363EE9"/>
    <w:rsid w:val="00364444"/>
    <w:rsid w:val="00364CA7"/>
    <w:rsid w:val="00365AB0"/>
    <w:rsid w:val="00367E62"/>
    <w:rsid w:val="00370FFB"/>
    <w:rsid w:val="00372771"/>
    <w:rsid w:val="00373AF9"/>
    <w:rsid w:val="00376128"/>
    <w:rsid w:val="003764AE"/>
    <w:rsid w:val="00376AC8"/>
    <w:rsid w:val="0037742E"/>
    <w:rsid w:val="00377D56"/>
    <w:rsid w:val="0038239A"/>
    <w:rsid w:val="0038245A"/>
    <w:rsid w:val="00382D34"/>
    <w:rsid w:val="003836E1"/>
    <w:rsid w:val="003839B8"/>
    <w:rsid w:val="003840E6"/>
    <w:rsid w:val="00384AF8"/>
    <w:rsid w:val="00384B98"/>
    <w:rsid w:val="00385CFC"/>
    <w:rsid w:val="00385F30"/>
    <w:rsid w:val="00387164"/>
    <w:rsid w:val="00390C20"/>
    <w:rsid w:val="0039122F"/>
    <w:rsid w:val="00391457"/>
    <w:rsid w:val="0039337A"/>
    <w:rsid w:val="003939E8"/>
    <w:rsid w:val="00395655"/>
    <w:rsid w:val="003969C6"/>
    <w:rsid w:val="00397048"/>
    <w:rsid w:val="003A00FB"/>
    <w:rsid w:val="003A0AE0"/>
    <w:rsid w:val="003A1317"/>
    <w:rsid w:val="003A13E1"/>
    <w:rsid w:val="003A1952"/>
    <w:rsid w:val="003A3189"/>
    <w:rsid w:val="003A3CA7"/>
    <w:rsid w:val="003A5C79"/>
    <w:rsid w:val="003A661C"/>
    <w:rsid w:val="003A6E9F"/>
    <w:rsid w:val="003A7165"/>
    <w:rsid w:val="003B08EB"/>
    <w:rsid w:val="003B24AC"/>
    <w:rsid w:val="003B2DB9"/>
    <w:rsid w:val="003B3077"/>
    <w:rsid w:val="003B33BD"/>
    <w:rsid w:val="003B4160"/>
    <w:rsid w:val="003B49E6"/>
    <w:rsid w:val="003B569D"/>
    <w:rsid w:val="003B5FF8"/>
    <w:rsid w:val="003B6D68"/>
    <w:rsid w:val="003C0C25"/>
    <w:rsid w:val="003C2498"/>
    <w:rsid w:val="003C3C0E"/>
    <w:rsid w:val="003C5FB7"/>
    <w:rsid w:val="003D0C7E"/>
    <w:rsid w:val="003D124D"/>
    <w:rsid w:val="003D1752"/>
    <w:rsid w:val="003D21EB"/>
    <w:rsid w:val="003D2225"/>
    <w:rsid w:val="003D29A4"/>
    <w:rsid w:val="003D42A6"/>
    <w:rsid w:val="003D4F21"/>
    <w:rsid w:val="003D4FAC"/>
    <w:rsid w:val="003D6007"/>
    <w:rsid w:val="003D6FDB"/>
    <w:rsid w:val="003E0A8F"/>
    <w:rsid w:val="003E2B3C"/>
    <w:rsid w:val="003E3084"/>
    <w:rsid w:val="003E3482"/>
    <w:rsid w:val="003E5D21"/>
    <w:rsid w:val="003E5F20"/>
    <w:rsid w:val="003E61F4"/>
    <w:rsid w:val="003E63CE"/>
    <w:rsid w:val="003E644C"/>
    <w:rsid w:val="003E7906"/>
    <w:rsid w:val="003F000F"/>
    <w:rsid w:val="003F002D"/>
    <w:rsid w:val="003F01BC"/>
    <w:rsid w:val="003F1A74"/>
    <w:rsid w:val="003F3C50"/>
    <w:rsid w:val="003F7312"/>
    <w:rsid w:val="003F7573"/>
    <w:rsid w:val="003F775B"/>
    <w:rsid w:val="00400659"/>
    <w:rsid w:val="00401518"/>
    <w:rsid w:val="0040315A"/>
    <w:rsid w:val="00406202"/>
    <w:rsid w:val="00406A6A"/>
    <w:rsid w:val="00406B22"/>
    <w:rsid w:val="00407147"/>
    <w:rsid w:val="004078FA"/>
    <w:rsid w:val="00407A59"/>
    <w:rsid w:val="00407F73"/>
    <w:rsid w:val="00412954"/>
    <w:rsid w:val="004139C7"/>
    <w:rsid w:val="004161A9"/>
    <w:rsid w:val="004162A2"/>
    <w:rsid w:val="00423F21"/>
    <w:rsid w:val="00424132"/>
    <w:rsid w:val="0042414F"/>
    <w:rsid w:val="0042471E"/>
    <w:rsid w:val="00424753"/>
    <w:rsid w:val="00424DBD"/>
    <w:rsid w:val="00425108"/>
    <w:rsid w:val="0042702A"/>
    <w:rsid w:val="00431816"/>
    <w:rsid w:val="00431E08"/>
    <w:rsid w:val="004328A7"/>
    <w:rsid w:val="00434C74"/>
    <w:rsid w:val="00435213"/>
    <w:rsid w:val="00437B4B"/>
    <w:rsid w:val="00440FDB"/>
    <w:rsid w:val="004412E7"/>
    <w:rsid w:val="004414D4"/>
    <w:rsid w:val="00442FCE"/>
    <w:rsid w:val="00443548"/>
    <w:rsid w:val="00443F09"/>
    <w:rsid w:val="00444332"/>
    <w:rsid w:val="00447636"/>
    <w:rsid w:val="004479AD"/>
    <w:rsid w:val="00447D03"/>
    <w:rsid w:val="00447E69"/>
    <w:rsid w:val="00453174"/>
    <w:rsid w:val="00454B2F"/>
    <w:rsid w:val="00454E60"/>
    <w:rsid w:val="00456EB4"/>
    <w:rsid w:val="004573C0"/>
    <w:rsid w:val="00457827"/>
    <w:rsid w:val="00457A80"/>
    <w:rsid w:val="00461F4F"/>
    <w:rsid w:val="00462965"/>
    <w:rsid w:val="00463E53"/>
    <w:rsid w:val="00470433"/>
    <w:rsid w:val="004718F3"/>
    <w:rsid w:val="00475040"/>
    <w:rsid w:val="00475BED"/>
    <w:rsid w:val="00477A6E"/>
    <w:rsid w:val="00480981"/>
    <w:rsid w:val="0048194A"/>
    <w:rsid w:val="00482158"/>
    <w:rsid w:val="00482890"/>
    <w:rsid w:val="004878D6"/>
    <w:rsid w:val="00490822"/>
    <w:rsid w:val="00490C06"/>
    <w:rsid w:val="00492BB9"/>
    <w:rsid w:val="00492CD4"/>
    <w:rsid w:val="00492FA1"/>
    <w:rsid w:val="00493D40"/>
    <w:rsid w:val="00493EE3"/>
    <w:rsid w:val="00494929"/>
    <w:rsid w:val="00495E36"/>
    <w:rsid w:val="00496758"/>
    <w:rsid w:val="004967B6"/>
    <w:rsid w:val="004974E6"/>
    <w:rsid w:val="00497708"/>
    <w:rsid w:val="004A1068"/>
    <w:rsid w:val="004A240A"/>
    <w:rsid w:val="004A504B"/>
    <w:rsid w:val="004A681F"/>
    <w:rsid w:val="004A6911"/>
    <w:rsid w:val="004A7478"/>
    <w:rsid w:val="004B01F2"/>
    <w:rsid w:val="004B2553"/>
    <w:rsid w:val="004B296B"/>
    <w:rsid w:val="004B39D7"/>
    <w:rsid w:val="004B54E0"/>
    <w:rsid w:val="004B62C4"/>
    <w:rsid w:val="004B65A6"/>
    <w:rsid w:val="004B7384"/>
    <w:rsid w:val="004C1D98"/>
    <w:rsid w:val="004C20B6"/>
    <w:rsid w:val="004C3372"/>
    <w:rsid w:val="004C4269"/>
    <w:rsid w:val="004C45BD"/>
    <w:rsid w:val="004C551B"/>
    <w:rsid w:val="004C5592"/>
    <w:rsid w:val="004C591F"/>
    <w:rsid w:val="004D051D"/>
    <w:rsid w:val="004D2425"/>
    <w:rsid w:val="004D26DA"/>
    <w:rsid w:val="004D2C5D"/>
    <w:rsid w:val="004D3681"/>
    <w:rsid w:val="004D3904"/>
    <w:rsid w:val="004D6236"/>
    <w:rsid w:val="004D64D5"/>
    <w:rsid w:val="004D6A49"/>
    <w:rsid w:val="004D6B37"/>
    <w:rsid w:val="004D7AE0"/>
    <w:rsid w:val="004D7E56"/>
    <w:rsid w:val="004D7F90"/>
    <w:rsid w:val="004E2425"/>
    <w:rsid w:val="004E267E"/>
    <w:rsid w:val="004E29BA"/>
    <w:rsid w:val="004E3051"/>
    <w:rsid w:val="004E4932"/>
    <w:rsid w:val="004E4DBB"/>
    <w:rsid w:val="004E4E41"/>
    <w:rsid w:val="004E505D"/>
    <w:rsid w:val="004E543E"/>
    <w:rsid w:val="004E73DB"/>
    <w:rsid w:val="004E7F9C"/>
    <w:rsid w:val="004F04CA"/>
    <w:rsid w:val="004F0DFE"/>
    <w:rsid w:val="004F1291"/>
    <w:rsid w:val="004F3040"/>
    <w:rsid w:val="004F316A"/>
    <w:rsid w:val="004F3493"/>
    <w:rsid w:val="004F40D3"/>
    <w:rsid w:val="004F5143"/>
    <w:rsid w:val="004F5B97"/>
    <w:rsid w:val="004F6970"/>
    <w:rsid w:val="004F6985"/>
    <w:rsid w:val="004F75C4"/>
    <w:rsid w:val="00500D93"/>
    <w:rsid w:val="00500DC3"/>
    <w:rsid w:val="005012F4"/>
    <w:rsid w:val="00501FD9"/>
    <w:rsid w:val="00502BE7"/>
    <w:rsid w:val="0050378F"/>
    <w:rsid w:val="005047B5"/>
    <w:rsid w:val="005103B8"/>
    <w:rsid w:val="00511446"/>
    <w:rsid w:val="00511B4F"/>
    <w:rsid w:val="00512B09"/>
    <w:rsid w:val="00512DF1"/>
    <w:rsid w:val="00512EE7"/>
    <w:rsid w:val="00520177"/>
    <w:rsid w:val="00520A91"/>
    <w:rsid w:val="005220ED"/>
    <w:rsid w:val="00522AF7"/>
    <w:rsid w:val="0052463C"/>
    <w:rsid w:val="00525BF5"/>
    <w:rsid w:val="00526947"/>
    <w:rsid w:val="005273ED"/>
    <w:rsid w:val="00531345"/>
    <w:rsid w:val="005324E5"/>
    <w:rsid w:val="00533796"/>
    <w:rsid w:val="005340B6"/>
    <w:rsid w:val="00534CC3"/>
    <w:rsid w:val="00534FBF"/>
    <w:rsid w:val="005354EE"/>
    <w:rsid w:val="0053633D"/>
    <w:rsid w:val="00537343"/>
    <w:rsid w:val="00537596"/>
    <w:rsid w:val="00541516"/>
    <w:rsid w:val="0055034B"/>
    <w:rsid w:val="005516F3"/>
    <w:rsid w:val="00551B26"/>
    <w:rsid w:val="0055281A"/>
    <w:rsid w:val="00554C51"/>
    <w:rsid w:val="00555D75"/>
    <w:rsid w:val="00556649"/>
    <w:rsid w:val="005574F3"/>
    <w:rsid w:val="00560DF0"/>
    <w:rsid w:val="005612EC"/>
    <w:rsid w:val="005626FA"/>
    <w:rsid w:val="00565A0C"/>
    <w:rsid w:val="00566CB5"/>
    <w:rsid w:val="0056759C"/>
    <w:rsid w:val="0057388A"/>
    <w:rsid w:val="0057586A"/>
    <w:rsid w:val="005761D0"/>
    <w:rsid w:val="005800F6"/>
    <w:rsid w:val="00581E49"/>
    <w:rsid w:val="005827C9"/>
    <w:rsid w:val="005835F8"/>
    <w:rsid w:val="00584F85"/>
    <w:rsid w:val="00585004"/>
    <w:rsid w:val="005850AF"/>
    <w:rsid w:val="0058678C"/>
    <w:rsid w:val="00586B33"/>
    <w:rsid w:val="00587D47"/>
    <w:rsid w:val="005905D5"/>
    <w:rsid w:val="00590EE5"/>
    <w:rsid w:val="00592D37"/>
    <w:rsid w:val="005944FD"/>
    <w:rsid w:val="0059513E"/>
    <w:rsid w:val="005954C3"/>
    <w:rsid w:val="00595EC0"/>
    <w:rsid w:val="005969D6"/>
    <w:rsid w:val="005A005F"/>
    <w:rsid w:val="005A1FB9"/>
    <w:rsid w:val="005A3A63"/>
    <w:rsid w:val="005A6AA4"/>
    <w:rsid w:val="005A6D9F"/>
    <w:rsid w:val="005A7B7D"/>
    <w:rsid w:val="005B0538"/>
    <w:rsid w:val="005B2BB1"/>
    <w:rsid w:val="005B408C"/>
    <w:rsid w:val="005B48FF"/>
    <w:rsid w:val="005B77C7"/>
    <w:rsid w:val="005C0A4E"/>
    <w:rsid w:val="005C1055"/>
    <w:rsid w:val="005C110F"/>
    <w:rsid w:val="005C1E32"/>
    <w:rsid w:val="005C2885"/>
    <w:rsid w:val="005C3331"/>
    <w:rsid w:val="005C3F0F"/>
    <w:rsid w:val="005C4BDB"/>
    <w:rsid w:val="005C4D2E"/>
    <w:rsid w:val="005C5371"/>
    <w:rsid w:val="005C6500"/>
    <w:rsid w:val="005C670D"/>
    <w:rsid w:val="005D003E"/>
    <w:rsid w:val="005D10B0"/>
    <w:rsid w:val="005D17E3"/>
    <w:rsid w:val="005D363F"/>
    <w:rsid w:val="005D3C3B"/>
    <w:rsid w:val="005D4F71"/>
    <w:rsid w:val="005D61BE"/>
    <w:rsid w:val="005E0A3B"/>
    <w:rsid w:val="005E0E63"/>
    <w:rsid w:val="005E109C"/>
    <w:rsid w:val="005E2FE5"/>
    <w:rsid w:val="005E38DA"/>
    <w:rsid w:val="005E3914"/>
    <w:rsid w:val="005E66C4"/>
    <w:rsid w:val="005E7F17"/>
    <w:rsid w:val="005F291C"/>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3FB3"/>
    <w:rsid w:val="00624B24"/>
    <w:rsid w:val="00625912"/>
    <w:rsid w:val="00625D83"/>
    <w:rsid w:val="006265FE"/>
    <w:rsid w:val="0062661B"/>
    <w:rsid w:val="00627A27"/>
    <w:rsid w:val="0063122C"/>
    <w:rsid w:val="00634099"/>
    <w:rsid w:val="00634284"/>
    <w:rsid w:val="006346FB"/>
    <w:rsid w:val="006352C0"/>
    <w:rsid w:val="00635E3F"/>
    <w:rsid w:val="006376A0"/>
    <w:rsid w:val="00637B9B"/>
    <w:rsid w:val="00641DC3"/>
    <w:rsid w:val="00643EE1"/>
    <w:rsid w:val="00644525"/>
    <w:rsid w:val="0064598D"/>
    <w:rsid w:val="00647B16"/>
    <w:rsid w:val="00647E40"/>
    <w:rsid w:val="00651744"/>
    <w:rsid w:val="00651984"/>
    <w:rsid w:val="00651997"/>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19A"/>
    <w:rsid w:val="0067359A"/>
    <w:rsid w:val="00673E77"/>
    <w:rsid w:val="00674B82"/>
    <w:rsid w:val="006754A5"/>
    <w:rsid w:val="00676E58"/>
    <w:rsid w:val="006772D3"/>
    <w:rsid w:val="00677BB0"/>
    <w:rsid w:val="006809BE"/>
    <w:rsid w:val="0068276B"/>
    <w:rsid w:val="006836AC"/>
    <w:rsid w:val="006845DF"/>
    <w:rsid w:val="006852C7"/>
    <w:rsid w:val="006852CE"/>
    <w:rsid w:val="00686081"/>
    <w:rsid w:val="0069214B"/>
    <w:rsid w:val="00692D14"/>
    <w:rsid w:val="00693051"/>
    <w:rsid w:val="00693E30"/>
    <w:rsid w:val="00694DA7"/>
    <w:rsid w:val="00694E25"/>
    <w:rsid w:val="00697241"/>
    <w:rsid w:val="0069732E"/>
    <w:rsid w:val="006976BA"/>
    <w:rsid w:val="006A244D"/>
    <w:rsid w:val="006A5849"/>
    <w:rsid w:val="006A5EEC"/>
    <w:rsid w:val="006A6F6C"/>
    <w:rsid w:val="006A7A3B"/>
    <w:rsid w:val="006B1306"/>
    <w:rsid w:val="006B3210"/>
    <w:rsid w:val="006B3879"/>
    <w:rsid w:val="006B3A62"/>
    <w:rsid w:val="006B512B"/>
    <w:rsid w:val="006B5889"/>
    <w:rsid w:val="006B5BB2"/>
    <w:rsid w:val="006B65C7"/>
    <w:rsid w:val="006B7FDB"/>
    <w:rsid w:val="006C1727"/>
    <w:rsid w:val="006C219D"/>
    <w:rsid w:val="006C32FD"/>
    <w:rsid w:val="006C39CE"/>
    <w:rsid w:val="006C464E"/>
    <w:rsid w:val="006C5E8D"/>
    <w:rsid w:val="006C5FA0"/>
    <w:rsid w:val="006C67D0"/>
    <w:rsid w:val="006D035A"/>
    <w:rsid w:val="006D0FCC"/>
    <w:rsid w:val="006D21CA"/>
    <w:rsid w:val="006D21F5"/>
    <w:rsid w:val="006D3089"/>
    <w:rsid w:val="006D3121"/>
    <w:rsid w:val="006D3474"/>
    <w:rsid w:val="006D37C6"/>
    <w:rsid w:val="006E126D"/>
    <w:rsid w:val="006E143F"/>
    <w:rsid w:val="006E1CA5"/>
    <w:rsid w:val="006E1FC3"/>
    <w:rsid w:val="006E2445"/>
    <w:rsid w:val="006E3A70"/>
    <w:rsid w:val="006E3B20"/>
    <w:rsid w:val="006E3F27"/>
    <w:rsid w:val="006E4A5D"/>
    <w:rsid w:val="006E50E5"/>
    <w:rsid w:val="006E5392"/>
    <w:rsid w:val="006E5735"/>
    <w:rsid w:val="006E60C9"/>
    <w:rsid w:val="006E67AA"/>
    <w:rsid w:val="006E6FE7"/>
    <w:rsid w:val="006E71D1"/>
    <w:rsid w:val="006F0D85"/>
    <w:rsid w:val="006F0F61"/>
    <w:rsid w:val="006F103F"/>
    <w:rsid w:val="006F1149"/>
    <w:rsid w:val="006F1C4B"/>
    <w:rsid w:val="006F2EDD"/>
    <w:rsid w:val="006F33A4"/>
    <w:rsid w:val="006F3B76"/>
    <w:rsid w:val="006F589B"/>
    <w:rsid w:val="006F7ECC"/>
    <w:rsid w:val="00701537"/>
    <w:rsid w:val="00703C2B"/>
    <w:rsid w:val="00704CE9"/>
    <w:rsid w:val="007057FA"/>
    <w:rsid w:val="0070616B"/>
    <w:rsid w:val="00706295"/>
    <w:rsid w:val="00706FDA"/>
    <w:rsid w:val="007077BB"/>
    <w:rsid w:val="00711A07"/>
    <w:rsid w:val="00711A37"/>
    <w:rsid w:val="00711F9A"/>
    <w:rsid w:val="007134DA"/>
    <w:rsid w:val="00713810"/>
    <w:rsid w:val="00714097"/>
    <w:rsid w:val="007145BC"/>
    <w:rsid w:val="00714A09"/>
    <w:rsid w:val="0071673A"/>
    <w:rsid w:val="00716C48"/>
    <w:rsid w:val="0072248B"/>
    <w:rsid w:val="00722503"/>
    <w:rsid w:val="00722EC3"/>
    <w:rsid w:val="0072409A"/>
    <w:rsid w:val="00724C9E"/>
    <w:rsid w:val="0072502F"/>
    <w:rsid w:val="0072509E"/>
    <w:rsid w:val="00726C9D"/>
    <w:rsid w:val="007272D5"/>
    <w:rsid w:val="007303A5"/>
    <w:rsid w:val="00730B3E"/>
    <w:rsid w:val="00731C1B"/>
    <w:rsid w:val="00731F95"/>
    <w:rsid w:val="00732B2B"/>
    <w:rsid w:val="00733CDB"/>
    <w:rsid w:val="0073420B"/>
    <w:rsid w:val="00734FE6"/>
    <w:rsid w:val="007357B6"/>
    <w:rsid w:val="007357CE"/>
    <w:rsid w:val="00736367"/>
    <w:rsid w:val="007365E5"/>
    <w:rsid w:val="00736BF6"/>
    <w:rsid w:val="00737F7B"/>
    <w:rsid w:val="007421E3"/>
    <w:rsid w:val="00742873"/>
    <w:rsid w:val="00742B04"/>
    <w:rsid w:val="00742B8C"/>
    <w:rsid w:val="00743DA0"/>
    <w:rsid w:val="00744267"/>
    <w:rsid w:val="0074760E"/>
    <w:rsid w:val="00753A30"/>
    <w:rsid w:val="00754ABA"/>
    <w:rsid w:val="0075704D"/>
    <w:rsid w:val="00760F8A"/>
    <w:rsid w:val="007614B1"/>
    <w:rsid w:val="00761D0A"/>
    <w:rsid w:val="00761F00"/>
    <w:rsid w:val="007630A0"/>
    <w:rsid w:val="00764817"/>
    <w:rsid w:val="00766BF7"/>
    <w:rsid w:val="00771A92"/>
    <w:rsid w:val="00771E90"/>
    <w:rsid w:val="00771E9F"/>
    <w:rsid w:val="00772B43"/>
    <w:rsid w:val="00772B8B"/>
    <w:rsid w:val="00773936"/>
    <w:rsid w:val="007740D0"/>
    <w:rsid w:val="007758BE"/>
    <w:rsid w:val="007758CF"/>
    <w:rsid w:val="0077764D"/>
    <w:rsid w:val="00777E69"/>
    <w:rsid w:val="00781202"/>
    <w:rsid w:val="007817D0"/>
    <w:rsid w:val="00782302"/>
    <w:rsid w:val="00782B0D"/>
    <w:rsid w:val="00782C6F"/>
    <w:rsid w:val="00782EF5"/>
    <w:rsid w:val="00783A8C"/>
    <w:rsid w:val="007843F8"/>
    <w:rsid w:val="00785E33"/>
    <w:rsid w:val="00790E3E"/>
    <w:rsid w:val="00795136"/>
    <w:rsid w:val="007964B4"/>
    <w:rsid w:val="007968F0"/>
    <w:rsid w:val="0079781A"/>
    <w:rsid w:val="007A00CB"/>
    <w:rsid w:val="007A00CC"/>
    <w:rsid w:val="007A0382"/>
    <w:rsid w:val="007A1546"/>
    <w:rsid w:val="007A228C"/>
    <w:rsid w:val="007A2FC9"/>
    <w:rsid w:val="007A368E"/>
    <w:rsid w:val="007A3AC0"/>
    <w:rsid w:val="007A43CB"/>
    <w:rsid w:val="007A5868"/>
    <w:rsid w:val="007A64E2"/>
    <w:rsid w:val="007A6D04"/>
    <w:rsid w:val="007B0168"/>
    <w:rsid w:val="007B04CE"/>
    <w:rsid w:val="007B1449"/>
    <w:rsid w:val="007B1803"/>
    <w:rsid w:val="007B1E72"/>
    <w:rsid w:val="007B6871"/>
    <w:rsid w:val="007B7A2F"/>
    <w:rsid w:val="007B7CFA"/>
    <w:rsid w:val="007B7D8D"/>
    <w:rsid w:val="007C19B1"/>
    <w:rsid w:val="007C19E8"/>
    <w:rsid w:val="007C202F"/>
    <w:rsid w:val="007C32EE"/>
    <w:rsid w:val="007C3B48"/>
    <w:rsid w:val="007C3D33"/>
    <w:rsid w:val="007C48E9"/>
    <w:rsid w:val="007C586F"/>
    <w:rsid w:val="007C5A70"/>
    <w:rsid w:val="007D22EB"/>
    <w:rsid w:val="007D294A"/>
    <w:rsid w:val="007D2B02"/>
    <w:rsid w:val="007D38A6"/>
    <w:rsid w:val="007D42A2"/>
    <w:rsid w:val="007D457A"/>
    <w:rsid w:val="007D47D2"/>
    <w:rsid w:val="007D5286"/>
    <w:rsid w:val="007D6EC0"/>
    <w:rsid w:val="007D75B9"/>
    <w:rsid w:val="007D7E1D"/>
    <w:rsid w:val="007E0298"/>
    <w:rsid w:val="007E1233"/>
    <w:rsid w:val="007E18D6"/>
    <w:rsid w:val="007E244F"/>
    <w:rsid w:val="007E26A8"/>
    <w:rsid w:val="007E2B62"/>
    <w:rsid w:val="007E311A"/>
    <w:rsid w:val="007E3224"/>
    <w:rsid w:val="007E3CAB"/>
    <w:rsid w:val="007E502D"/>
    <w:rsid w:val="007E5105"/>
    <w:rsid w:val="007F15B2"/>
    <w:rsid w:val="007F266D"/>
    <w:rsid w:val="007F279D"/>
    <w:rsid w:val="007F2C1F"/>
    <w:rsid w:val="007F2E09"/>
    <w:rsid w:val="007F4113"/>
    <w:rsid w:val="007F5826"/>
    <w:rsid w:val="007F5C21"/>
    <w:rsid w:val="007F648E"/>
    <w:rsid w:val="008010E4"/>
    <w:rsid w:val="00801176"/>
    <w:rsid w:val="008014EC"/>
    <w:rsid w:val="0080230F"/>
    <w:rsid w:val="00802587"/>
    <w:rsid w:val="0080345C"/>
    <w:rsid w:val="00804B4D"/>
    <w:rsid w:val="00805551"/>
    <w:rsid w:val="00805A99"/>
    <w:rsid w:val="0080633A"/>
    <w:rsid w:val="00807D39"/>
    <w:rsid w:val="008102E1"/>
    <w:rsid w:val="00810B39"/>
    <w:rsid w:val="00812D5A"/>
    <w:rsid w:val="008132CE"/>
    <w:rsid w:val="00813860"/>
    <w:rsid w:val="008163D1"/>
    <w:rsid w:val="00817CD5"/>
    <w:rsid w:val="00820A2B"/>
    <w:rsid w:val="0082442A"/>
    <w:rsid w:val="00824C67"/>
    <w:rsid w:val="00824CA7"/>
    <w:rsid w:val="0082522F"/>
    <w:rsid w:val="00825567"/>
    <w:rsid w:val="00826F4A"/>
    <w:rsid w:val="008271D7"/>
    <w:rsid w:val="008274CC"/>
    <w:rsid w:val="00827FCA"/>
    <w:rsid w:val="00830D3B"/>
    <w:rsid w:val="00831979"/>
    <w:rsid w:val="0083259F"/>
    <w:rsid w:val="008329C7"/>
    <w:rsid w:val="00836144"/>
    <w:rsid w:val="008369CE"/>
    <w:rsid w:val="00843B1E"/>
    <w:rsid w:val="008444C3"/>
    <w:rsid w:val="00844BD6"/>
    <w:rsid w:val="00845688"/>
    <w:rsid w:val="00846522"/>
    <w:rsid w:val="0084793F"/>
    <w:rsid w:val="00850A71"/>
    <w:rsid w:val="00851352"/>
    <w:rsid w:val="00851AA2"/>
    <w:rsid w:val="00851D21"/>
    <w:rsid w:val="0085370C"/>
    <w:rsid w:val="00854547"/>
    <w:rsid w:val="0085520D"/>
    <w:rsid w:val="00857077"/>
    <w:rsid w:val="00860B6E"/>
    <w:rsid w:val="0086191A"/>
    <w:rsid w:val="00861B6B"/>
    <w:rsid w:val="00863227"/>
    <w:rsid w:val="00863230"/>
    <w:rsid w:val="00863C3B"/>
    <w:rsid w:val="00863DAE"/>
    <w:rsid w:val="00865BD0"/>
    <w:rsid w:val="00865C5A"/>
    <w:rsid w:val="00865D12"/>
    <w:rsid w:val="00866007"/>
    <w:rsid w:val="00867669"/>
    <w:rsid w:val="008705BA"/>
    <w:rsid w:val="00871582"/>
    <w:rsid w:val="008717D8"/>
    <w:rsid w:val="0087215C"/>
    <w:rsid w:val="00875062"/>
    <w:rsid w:val="00875D25"/>
    <w:rsid w:val="008763A1"/>
    <w:rsid w:val="008772EA"/>
    <w:rsid w:val="0087741E"/>
    <w:rsid w:val="00880E35"/>
    <w:rsid w:val="00881A04"/>
    <w:rsid w:val="00882684"/>
    <w:rsid w:val="00884157"/>
    <w:rsid w:val="008851D4"/>
    <w:rsid w:val="00886F73"/>
    <w:rsid w:val="008875FE"/>
    <w:rsid w:val="00887F8E"/>
    <w:rsid w:val="00891106"/>
    <w:rsid w:val="008914FC"/>
    <w:rsid w:val="008922DB"/>
    <w:rsid w:val="00892B47"/>
    <w:rsid w:val="008941EB"/>
    <w:rsid w:val="00895DD1"/>
    <w:rsid w:val="0089622A"/>
    <w:rsid w:val="00896234"/>
    <w:rsid w:val="00897E43"/>
    <w:rsid w:val="008A1856"/>
    <w:rsid w:val="008A1B72"/>
    <w:rsid w:val="008A24AF"/>
    <w:rsid w:val="008A2B70"/>
    <w:rsid w:val="008A2C2C"/>
    <w:rsid w:val="008A602E"/>
    <w:rsid w:val="008A6956"/>
    <w:rsid w:val="008A6B4C"/>
    <w:rsid w:val="008B0B10"/>
    <w:rsid w:val="008B29DA"/>
    <w:rsid w:val="008B70DB"/>
    <w:rsid w:val="008B7C59"/>
    <w:rsid w:val="008C0A94"/>
    <w:rsid w:val="008C222B"/>
    <w:rsid w:val="008C31FD"/>
    <w:rsid w:val="008C3272"/>
    <w:rsid w:val="008C5738"/>
    <w:rsid w:val="008C667B"/>
    <w:rsid w:val="008C6767"/>
    <w:rsid w:val="008C7EAD"/>
    <w:rsid w:val="008D0A07"/>
    <w:rsid w:val="008D0CFE"/>
    <w:rsid w:val="008D3DD4"/>
    <w:rsid w:val="008D50BF"/>
    <w:rsid w:val="008D52F5"/>
    <w:rsid w:val="008D6152"/>
    <w:rsid w:val="008D6B43"/>
    <w:rsid w:val="008D6D28"/>
    <w:rsid w:val="008E0AA4"/>
    <w:rsid w:val="008E293C"/>
    <w:rsid w:val="008E3C9A"/>
    <w:rsid w:val="008E5DFC"/>
    <w:rsid w:val="008E7BA9"/>
    <w:rsid w:val="008E7D15"/>
    <w:rsid w:val="008F0072"/>
    <w:rsid w:val="008F0AD8"/>
    <w:rsid w:val="008F0F81"/>
    <w:rsid w:val="008F1C37"/>
    <w:rsid w:val="008F27BF"/>
    <w:rsid w:val="008F2DAA"/>
    <w:rsid w:val="008F2E64"/>
    <w:rsid w:val="008F2E86"/>
    <w:rsid w:val="008F31D4"/>
    <w:rsid w:val="008F328F"/>
    <w:rsid w:val="008F3C19"/>
    <w:rsid w:val="008F5AFC"/>
    <w:rsid w:val="009000A6"/>
    <w:rsid w:val="0090046F"/>
    <w:rsid w:val="009014C6"/>
    <w:rsid w:val="0090237F"/>
    <w:rsid w:val="00902A5F"/>
    <w:rsid w:val="00904EC8"/>
    <w:rsid w:val="009054A1"/>
    <w:rsid w:val="00905987"/>
    <w:rsid w:val="00911DE6"/>
    <w:rsid w:val="00911E9D"/>
    <w:rsid w:val="0091429B"/>
    <w:rsid w:val="009142EC"/>
    <w:rsid w:val="009154C3"/>
    <w:rsid w:val="00915737"/>
    <w:rsid w:val="00916B5D"/>
    <w:rsid w:val="00923540"/>
    <w:rsid w:val="009239C5"/>
    <w:rsid w:val="00925F84"/>
    <w:rsid w:val="00926767"/>
    <w:rsid w:val="00926EBB"/>
    <w:rsid w:val="00926FD8"/>
    <w:rsid w:val="00927C33"/>
    <w:rsid w:val="009313A1"/>
    <w:rsid w:val="0093268C"/>
    <w:rsid w:val="00934D4D"/>
    <w:rsid w:val="009361D5"/>
    <w:rsid w:val="0093641B"/>
    <w:rsid w:val="0093769C"/>
    <w:rsid w:val="00940311"/>
    <w:rsid w:val="00940E46"/>
    <w:rsid w:val="009428A4"/>
    <w:rsid w:val="00942BE0"/>
    <w:rsid w:val="00943DE2"/>
    <w:rsid w:val="009514B3"/>
    <w:rsid w:val="009563AB"/>
    <w:rsid w:val="00956ABF"/>
    <w:rsid w:val="00956CC2"/>
    <w:rsid w:val="00957BF1"/>
    <w:rsid w:val="00960944"/>
    <w:rsid w:val="0096305E"/>
    <w:rsid w:val="00964D63"/>
    <w:rsid w:val="009659F4"/>
    <w:rsid w:val="00965BE8"/>
    <w:rsid w:val="00970D60"/>
    <w:rsid w:val="00972234"/>
    <w:rsid w:val="0097300D"/>
    <w:rsid w:val="009732CA"/>
    <w:rsid w:val="009738DB"/>
    <w:rsid w:val="00974446"/>
    <w:rsid w:val="00977E71"/>
    <w:rsid w:val="009811A3"/>
    <w:rsid w:val="00983B8C"/>
    <w:rsid w:val="00984FDD"/>
    <w:rsid w:val="009852BC"/>
    <w:rsid w:val="009855B8"/>
    <w:rsid w:val="00985730"/>
    <w:rsid w:val="00985EF5"/>
    <w:rsid w:val="00986925"/>
    <w:rsid w:val="00986AED"/>
    <w:rsid w:val="00986CB9"/>
    <w:rsid w:val="00987299"/>
    <w:rsid w:val="0099072C"/>
    <w:rsid w:val="0099185A"/>
    <w:rsid w:val="0099390E"/>
    <w:rsid w:val="0099416C"/>
    <w:rsid w:val="009960E5"/>
    <w:rsid w:val="00996EAF"/>
    <w:rsid w:val="009A3EE4"/>
    <w:rsid w:val="009A7ADC"/>
    <w:rsid w:val="009B0D30"/>
    <w:rsid w:val="009B0DF4"/>
    <w:rsid w:val="009B1CE9"/>
    <w:rsid w:val="009B4AED"/>
    <w:rsid w:val="009B607F"/>
    <w:rsid w:val="009B799F"/>
    <w:rsid w:val="009C19B7"/>
    <w:rsid w:val="009C4B51"/>
    <w:rsid w:val="009C5ABB"/>
    <w:rsid w:val="009C5C3C"/>
    <w:rsid w:val="009C697D"/>
    <w:rsid w:val="009D1235"/>
    <w:rsid w:val="009D1460"/>
    <w:rsid w:val="009D3CF5"/>
    <w:rsid w:val="009D593A"/>
    <w:rsid w:val="009D6525"/>
    <w:rsid w:val="009D6BBC"/>
    <w:rsid w:val="009D6BEE"/>
    <w:rsid w:val="009D7188"/>
    <w:rsid w:val="009D7C51"/>
    <w:rsid w:val="009E15DB"/>
    <w:rsid w:val="009E196C"/>
    <w:rsid w:val="009E50F3"/>
    <w:rsid w:val="009E6A0A"/>
    <w:rsid w:val="009E7F06"/>
    <w:rsid w:val="009F10E6"/>
    <w:rsid w:val="009F2011"/>
    <w:rsid w:val="009F2B4B"/>
    <w:rsid w:val="009F3258"/>
    <w:rsid w:val="009F36BF"/>
    <w:rsid w:val="009F3758"/>
    <w:rsid w:val="009F4824"/>
    <w:rsid w:val="009F546F"/>
    <w:rsid w:val="00A009F1"/>
    <w:rsid w:val="00A01226"/>
    <w:rsid w:val="00A01B1B"/>
    <w:rsid w:val="00A0217B"/>
    <w:rsid w:val="00A032B5"/>
    <w:rsid w:val="00A04809"/>
    <w:rsid w:val="00A061D3"/>
    <w:rsid w:val="00A06969"/>
    <w:rsid w:val="00A10884"/>
    <w:rsid w:val="00A10DA2"/>
    <w:rsid w:val="00A111B6"/>
    <w:rsid w:val="00A1210D"/>
    <w:rsid w:val="00A13114"/>
    <w:rsid w:val="00A134A8"/>
    <w:rsid w:val="00A13754"/>
    <w:rsid w:val="00A16A9B"/>
    <w:rsid w:val="00A16C25"/>
    <w:rsid w:val="00A17499"/>
    <w:rsid w:val="00A210F6"/>
    <w:rsid w:val="00A23BC5"/>
    <w:rsid w:val="00A262D6"/>
    <w:rsid w:val="00A26579"/>
    <w:rsid w:val="00A2683A"/>
    <w:rsid w:val="00A26D27"/>
    <w:rsid w:val="00A279DF"/>
    <w:rsid w:val="00A3186A"/>
    <w:rsid w:val="00A33F83"/>
    <w:rsid w:val="00A34511"/>
    <w:rsid w:val="00A35B62"/>
    <w:rsid w:val="00A363CF"/>
    <w:rsid w:val="00A376EE"/>
    <w:rsid w:val="00A42A99"/>
    <w:rsid w:val="00A42DB2"/>
    <w:rsid w:val="00A43016"/>
    <w:rsid w:val="00A4393B"/>
    <w:rsid w:val="00A43D4A"/>
    <w:rsid w:val="00A46727"/>
    <w:rsid w:val="00A473A6"/>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5585"/>
    <w:rsid w:val="00A7691B"/>
    <w:rsid w:val="00A7734F"/>
    <w:rsid w:val="00A80F49"/>
    <w:rsid w:val="00A80F54"/>
    <w:rsid w:val="00A81561"/>
    <w:rsid w:val="00A823F6"/>
    <w:rsid w:val="00A831C3"/>
    <w:rsid w:val="00A834B0"/>
    <w:rsid w:val="00A84502"/>
    <w:rsid w:val="00A8719E"/>
    <w:rsid w:val="00A91CFB"/>
    <w:rsid w:val="00A92BD1"/>
    <w:rsid w:val="00A96286"/>
    <w:rsid w:val="00A96E62"/>
    <w:rsid w:val="00AA0A89"/>
    <w:rsid w:val="00AA31E4"/>
    <w:rsid w:val="00AA36C3"/>
    <w:rsid w:val="00AA4AC0"/>
    <w:rsid w:val="00AA5368"/>
    <w:rsid w:val="00AA6429"/>
    <w:rsid w:val="00AA6506"/>
    <w:rsid w:val="00AA7BB1"/>
    <w:rsid w:val="00AB01E0"/>
    <w:rsid w:val="00AB1768"/>
    <w:rsid w:val="00AB21DF"/>
    <w:rsid w:val="00AB29D3"/>
    <w:rsid w:val="00AB7046"/>
    <w:rsid w:val="00AC01AA"/>
    <w:rsid w:val="00AC0C73"/>
    <w:rsid w:val="00AC0F94"/>
    <w:rsid w:val="00AC1982"/>
    <w:rsid w:val="00AC2CFF"/>
    <w:rsid w:val="00AC2F48"/>
    <w:rsid w:val="00AC3BB6"/>
    <w:rsid w:val="00AC3EDD"/>
    <w:rsid w:val="00AC410F"/>
    <w:rsid w:val="00AC4AA8"/>
    <w:rsid w:val="00AC4F72"/>
    <w:rsid w:val="00AC664D"/>
    <w:rsid w:val="00AC7114"/>
    <w:rsid w:val="00AC7D5A"/>
    <w:rsid w:val="00AC7DB7"/>
    <w:rsid w:val="00AD03B7"/>
    <w:rsid w:val="00AD0CF2"/>
    <w:rsid w:val="00AD1CBE"/>
    <w:rsid w:val="00AD38A8"/>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619"/>
    <w:rsid w:val="00B07A53"/>
    <w:rsid w:val="00B11716"/>
    <w:rsid w:val="00B11E3D"/>
    <w:rsid w:val="00B1473D"/>
    <w:rsid w:val="00B14D2C"/>
    <w:rsid w:val="00B15252"/>
    <w:rsid w:val="00B15542"/>
    <w:rsid w:val="00B162BA"/>
    <w:rsid w:val="00B17E82"/>
    <w:rsid w:val="00B203E8"/>
    <w:rsid w:val="00B20C2E"/>
    <w:rsid w:val="00B21398"/>
    <w:rsid w:val="00B249A6"/>
    <w:rsid w:val="00B31B4B"/>
    <w:rsid w:val="00B323C4"/>
    <w:rsid w:val="00B3297B"/>
    <w:rsid w:val="00B35372"/>
    <w:rsid w:val="00B35E3A"/>
    <w:rsid w:val="00B37044"/>
    <w:rsid w:val="00B4575A"/>
    <w:rsid w:val="00B458A6"/>
    <w:rsid w:val="00B460C5"/>
    <w:rsid w:val="00B52CAC"/>
    <w:rsid w:val="00B575BA"/>
    <w:rsid w:val="00B57816"/>
    <w:rsid w:val="00B61C97"/>
    <w:rsid w:val="00B65CC5"/>
    <w:rsid w:val="00B66C84"/>
    <w:rsid w:val="00B714D6"/>
    <w:rsid w:val="00B71608"/>
    <w:rsid w:val="00B718F7"/>
    <w:rsid w:val="00B73679"/>
    <w:rsid w:val="00B7405B"/>
    <w:rsid w:val="00B75FBD"/>
    <w:rsid w:val="00B76429"/>
    <w:rsid w:val="00B76772"/>
    <w:rsid w:val="00B821B9"/>
    <w:rsid w:val="00B84949"/>
    <w:rsid w:val="00B85F58"/>
    <w:rsid w:val="00B86471"/>
    <w:rsid w:val="00B90254"/>
    <w:rsid w:val="00B90259"/>
    <w:rsid w:val="00B90313"/>
    <w:rsid w:val="00B9054A"/>
    <w:rsid w:val="00B93DB1"/>
    <w:rsid w:val="00B956D4"/>
    <w:rsid w:val="00B95EED"/>
    <w:rsid w:val="00B97446"/>
    <w:rsid w:val="00BA0D3B"/>
    <w:rsid w:val="00BA0ED2"/>
    <w:rsid w:val="00BA1738"/>
    <w:rsid w:val="00BA1BAD"/>
    <w:rsid w:val="00BA41C0"/>
    <w:rsid w:val="00BA5656"/>
    <w:rsid w:val="00BA62C9"/>
    <w:rsid w:val="00BA7432"/>
    <w:rsid w:val="00BB0881"/>
    <w:rsid w:val="00BB2764"/>
    <w:rsid w:val="00BB2F8B"/>
    <w:rsid w:val="00BB328D"/>
    <w:rsid w:val="00BB674E"/>
    <w:rsid w:val="00BB7325"/>
    <w:rsid w:val="00BC06D2"/>
    <w:rsid w:val="00BC1699"/>
    <w:rsid w:val="00BC1AA0"/>
    <w:rsid w:val="00BC2495"/>
    <w:rsid w:val="00BC304D"/>
    <w:rsid w:val="00BC314A"/>
    <w:rsid w:val="00BC389E"/>
    <w:rsid w:val="00BC43D6"/>
    <w:rsid w:val="00BC57E1"/>
    <w:rsid w:val="00BC7EB9"/>
    <w:rsid w:val="00BD1817"/>
    <w:rsid w:val="00BD2643"/>
    <w:rsid w:val="00BD3B89"/>
    <w:rsid w:val="00BD3C42"/>
    <w:rsid w:val="00BD412B"/>
    <w:rsid w:val="00BD4837"/>
    <w:rsid w:val="00BD5494"/>
    <w:rsid w:val="00BD56B1"/>
    <w:rsid w:val="00BD6558"/>
    <w:rsid w:val="00BD7898"/>
    <w:rsid w:val="00BD7DDF"/>
    <w:rsid w:val="00BE0214"/>
    <w:rsid w:val="00BE18B1"/>
    <w:rsid w:val="00BE19D7"/>
    <w:rsid w:val="00BE400B"/>
    <w:rsid w:val="00BE446A"/>
    <w:rsid w:val="00BE55F4"/>
    <w:rsid w:val="00BE589E"/>
    <w:rsid w:val="00BE5D30"/>
    <w:rsid w:val="00BE6024"/>
    <w:rsid w:val="00BE6285"/>
    <w:rsid w:val="00BE7D93"/>
    <w:rsid w:val="00BF2AD7"/>
    <w:rsid w:val="00BF2F76"/>
    <w:rsid w:val="00BF3022"/>
    <w:rsid w:val="00BF3214"/>
    <w:rsid w:val="00BF40AE"/>
    <w:rsid w:val="00BF4342"/>
    <w:rsid w:val="00BF4EDA"/>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598C"/>
    <w:rsid w:val="00C37CA8"/>
    <w:rsid w:val="00C40C41"/>
    <w:rsid w:val="00C410B0"/>
    <w:rsid w:val="00C45885"/>
    <w:rsid w:val="00C50A9B"/>
    <w:rsid w:val="00C50F22"/>
    <w:rsid w:val="00C51DFF"/>
    <w:rsid w:val="00C52C00"/>
    <w:rsid w:val="00C533D3"/>
    <w:rsid w:val="00C5358C"/>
    <w:rsid w:val="00C5768F"/>
    <w:rsid w:val="00C57971"/>
    <w:rsid w:val="00C57C72"/>
    <w:rsid w:val="00C60038"/>
    <w:rsid w:val="00C620E3"/>
    <w:rsid w:val="00C62D5C"/>
    <w:rsid w:val="00C65BD7"/>
    <w:rsid w:val="00C6631D"/>
    <w:rsid w:val="00C6762A"/>
    <w:rsid w:val="00C67DD8"/>
    <w:rsid w:val="00C70304"/>
    <w:rsid w:val="00C71E14"/>
    <w:rsid w:val="00C726C9"/>
    <w:rsid w:val="00C74665"/>
    <w:rsid w:val="00C75F4C"/>
    <w:rsid w:val="00C7639F"/>
    <w:rsid w:val="00C76BA4"/>
    <w:rsid w:val="00C77300"/>
    <w:rsid w:val="00C77B17"/>
    <w:rsid w:val="00C8016B"/>
    <w:rsid w:val="00C801B4"/>
    <w:rsid w:val="00C80474"/>
    <w:rsid w:val="00C8158A"/>
    <w:rsid w:val="00C83A48"/>
    <w:rsid w:val="00C84711"/>
    <w:rsid w:val="00C8550B"/>
    <w:rsid w:val="00C85865"/>
    <w:rsid w:val="00C85E85"/>
    <w:rsid w:val="00C913BC"/>
    <w:rsid w:val="00C92F07"/>
    <w:rsid w:val="00CA1559"/>
    <w:rsid w:val="00CA190F"/>
    <w:rsid w:val="00CA1CF2"/>
    <w:rsid w:val="00CA2EAE"/>
    <w:rsid w:val="00CA3424"/>
    <w:rsid w:val="00CA41E1"/>
    <w:rsid w:val="00CA460F"/>
    <w:rsid w:val="00CA48B3"/>
    <w:rsid w:val="00CA4AC1"/>
    <w:rsid w:val="00CA59FB"/>
    <w:rsid w:val="00CA6BCC"/>
    <w:rsid w:val="00CA70B1"/>
    <w:rsid w:val="00CB0316"/>
    <w:rsid w:val="00CB0B11"/>
    <w:rsid w:val="00CB1C44"/>
    <w:rsid w:val="00CB2894"/>
    <w:rsid w:val="00CB3CFE"/>
    <w:rsid w:val="00CB426A"/>
    <w:rsid w:val="00CB4C63"/>
    <w:rsid w:val="00CB5354"/>
    <w:rsid w:val="00CB6BA3"/>
    <w:rsid w:val="00CB72C9"/>
    <w:rsid w:val="00CC15D0"/>
    <w:rsid w:val="00CC1884"/>
    <w:rsid w:val="00CC25C4"/>
    <w:rsid w:val="00CC3127"/>
    <w:rsid w:val="00CC3C9E"/>
    <w:rsid w:val="00CC5907"/>
    <w:rsid w:val="00CC6A14"/>
    <w:rsid w:val="00CC7086"/>
    <w:rsid w:val="00CC70A3"/>
    <w:rsid w:val="00CD2130"/>
    <w:rsid w:val="00CD3FC1"/>
    <w:rsid w:val="00CD4442"/>
    <w:rsid w:val="00CD5244"/>
    <w:rsid w:val="00CD53C3"/>
    <w:rsid w:val="00CD574E"/>
    <w:rsid w:val="00CD5998"/>
    <w:rsid w:val="00CD63A3"/>
    <w:rsid w:val="00CD7990"/>
    <w:rsid w:val="00CE17BE"/>
    <w:rsid w:val="00CE17E1"/>
    <w:rsid w:val="00CE211F"/>
    <w:rsid w:val="00CE2437"/>
    <w:rsid w:val="00CE3D60"/>
    <w:rsid w:val="00CE4C22"/>
    <w:rsid w:val="00CE4D0F"/>
    <w:rsid w:val="00CE76E5"/>
    <w:rsid w:val="00CF02AA"/>
    <w:rsid w:val="00CF0348"/>
    <w:rsid w:val="00CF216B"/>
    <w:rsid w:val="00CF2942"/>
    <w:rsid w:val="00CF2B38"/>
    <w:rsid w:val="00CF3013"/>
    <w:rsid w:val="00CF389D"/>
    <w:rsid w:val="00CF41EC"/>
    <w:rsid w:val="00CF5D04"/>
    <w:rsid w:val="00CF6185"/>
    <w:rsid w:val="00CF652F"/>
    <w:rsid w:val="00CF6A8C"/>
    <w:rsid w:val="00D00D3A"/>
    <w:rsid w:val="00D01896"/>
    <w:rsid w:val="00D01F61"/>
    <w:rsid w:val="00D04036"/>
    <w:rsid w:val="00D046AC"/>
    <w:rsid w:val="00D04DE4"/>
    <w:rsid w:val="00D04FA1"/>
    <w:rsid w:val="00D0631B"/>
    <w:rsid w:val="00D063F1"/>
    <w:rsid w:val="00D1133A"/>
    <w:rsid w:val="00D119F5"/>
    <w:rsid w:val="00D12546"/>
    <w:rsid w:val="00D145DD"/>
    <w:rsid w:val="00D14642"/>
    <w:rsid w:val="00D14F22"/>
    <w:rsid w:val="00D1614E"/>
    <w:rsid w:val="00D16ACA"/>
    <w:rsid w:val="00D16E40"/>
    <w:rsid w:val="00D210BA"/>
    <w:rsid w:val="00D2206D"/>
    <w:rsid w:val="00D22195"/>
    <w:rsid w:val="00D2270A"/>
    <w:rsid w:val="00D23BDF"/>
    <w:rsid w:val="00D25DF3"/>
    <w:rsid w:val="00D313D7"/>
    <w:rsid w:val="00D3174C"/>
    <w:rsid w:val="00D328E4"/>
    <w:rsid w:val="00D34348"/>
    <w:rsid w:val="00D34F36"/>
    <w:rsid w:val="00D36110"/>
    <w:rsid w:val="00D41B0E"/>
    <w:rsid w:val="00D43F59"/>
    <w:rsid w:val="00D440B7"/>
    <w:rsid w:val="00D44B35"/>
    <w:rsid w:val="00D4741C"/>
    <w:rsid w:val="00D47CC3"/>
    <w:rsid w:val="00D520C7"/>
    <w:rsid w:val="00D52DCE"/>
    <w:rsid w:val="00D5323D"/>
    <w:rsid w:val="00D557E8"/>
    <w:rsid w:val="00D55AD5"/>
    <w:rsid w:val="00D57918"/>
    <w:rsid w:val="00D60849"/>
    <w:rsid w:val="00D609B2"/>
    <w:rsid w:val="00D62183"/>
    <w:rsid w:val="00D6462D"/>
    <w:rsid w:val="00D64CD2"/>
    <w:rsid w:val="00D6581D"/>
    <w:rsid w:val="00D663AF"/>
    <w:rsid w:val="00D707F2"/>
    <w:rsid w:val="00D712D7"/>
    <w:rsid w:val="00D721B5"/>
    <w:rsid w:val="00D72B2B"/>
    <w:rsid w:val="00D73118"/>
    <w:rsid w:val="00D73DC6"/>
    <w:rsid w:val="00D74C07"/>
    <w:rsid w:val="00D74C1A"/>
    <w:rsid w:val="00D74EDF"/>
    <w:rsid w:val="00D7534A"/>
    <w:rsid w:val="00D754C1"/>
    <w:rsid w:val="00D77393"/>
    <w:rsid w:val="00D77A35"/>
    <w:rsid w:val="00D8090A"/>
    <w:rsid w:val="00D811B7"/>
    <w:rsid w:val="00D81407"/>
    <w:rsid w:val="00D81B3E"/>
    <w:rsid w:val="00D8398E"/>
    <w:rsid w:val="00D83E69"/>
    <w:rsid w:val="00D87512"/>
    <w:rsid w:val="00D90111"/>
    <w:rsid w:val="00D90C70"/>
    <w:rsid w:val="00D90E49"/>
    <w:rsid w:val="00D91AEF"/>
    <w:rsid w:val="00D93D89"/>
    <w:rsid w:val="00D95288"/>
    <w:rsid w:val="00D96918"/>
    <w:rsid w:val="00D9691E"/>
    <w:rsid w:val="00D96ADE"/>
    <w:rsid w:val="00DA0CE2"/>
    <w:rsid w:val="00DA2387"/>
    <w:rsid w:val="00DA5789"/>
    <w:rsid w:val="00DA635A"/>
    <w:rsid w:val="00DA6572"/>
    <w:rsid w:val="00DA6943"/>
    <w:rsid w:val="00DB0B76"/>
    <w:rsid w:val="00DB235B"/>
    <w:rsid w:val="00DB34F9"/>
    <w:rsid w:val="00DB4534"/>
    <w:rsid w:val="00DB564F"/>
    <w:rsid w:val="00DC00BB"/>
    <w:rsid w:val="00DC0708"/>
    <w:rsid w:val="00DC19E4"/>
    <w:rsid w:val="00DC33A0"/>
    <w:rsid w:val="00DC3820"/>
    <w:rsid w:val="00DC3822"/>
    <w:rsid w:val="00DC4A6E"/>
    <w:rsid w:val="00DC5A21"/>
    <w:rsid w:val="00DC623B"/>
    <w:rsid w:val="00DC6A10"/>
    <w:rsid w:val="00DC74BA"/>
    <w:rsid w:val="00DD442B"/>
    <w:rsid w:val="00DD4E53"/>
    <w:rsid w:val="00DD52EE"/>
    <w:rsid w:val="00DD5ADE"/>
    <w:rsid w:val="00DD671D"/>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B5B"/>
    <w:rsid w:val="00E03DFD"/>
    <w:rsid w:val="00E04DB0"/>
    <w:rsid w:val="00E04E94"/>
    <w:rsid w:val="00E05087"/>
    <w:rsid w:val="00E0669E"/>
    <w:rsid w:val="00E07EDA"/>
    <w:rsid w:val="00E10A61"/>
    <w:rsid w:val="00E12096"/>
    <w:rsid w:val="00E1246A"/>
    <w:rsid w:val="00E12605"/>
    <w:rsid w:val="00E12E1F"/>
    <w:rsid w:val="00E13A00"/>
    <w:rsid w:val="00E14D94"/>
    <w:rsid w:val="00E159FC"/>
    <w:rsid w:val="00E15C77"/>
    <w:rsid w:val="00E16FA9"/>
    <w:rsid w:val="00E22C96"/>
    <w:rsid w:val="00E23A49"/>
    <w:rsid w:val="00E23E3D"/>
    <w:rsid w:val="00E250F1"/>
    <w:rsid w:val="00E2683C"/>
    <w:rsid w:val="00E2711E"/>
    <w:rsid w:val="00E2794C"/>
    <w:rsid w:val="00E27A4C"/>
    <w:rsid w:val="00E27CE4"/>
    <w:rsid w:val="00E313D6"/>
    <w:rsid w:val="00E31E9A"/>
    <w:rsid w:val="00E327C4"/>
    <w:rsid w:val="00E3308D"/>
    <w:rsid w:val="00E33143"/>
    <w:rsid w:val="00E34FFA"/>
    <w:rsid w:val="00E353BB"/>
    <w:rsid w:val="00E3550D"/>
    <w:rsid w:val="00E40EFC"/>
    <w:rsid w:val="00E41343"/>
    <w:rsid w:val="00E417D7"/>
    <w:rsid w:val="00E45F88"/>
    <w:rsid w:val="00E477EE"/>
    <w:rsid w:val="00E51774"/>
    <w:rsid w:val="00E52838"/>
    <w:rsid w:val="00E528DB"/>
    <w:rsid w:val="00E52902"/>
    <w:rsid w:val="00E53818"/>
    <w:rsid w:val="00E5594E"/>
    <w:rsid w:val="00E55BB2"/>
    <w:rsid w:val="00E55E52"/>
    <w:rsid w:val="00E614E0"/>
    <w:rsid w:val="00E62059"/>
    <w:rsid w:val="00E634D5"/>
    <w:rsid w:val="00E65C8C"/>
    <w:rsid w:val="00E65EC1"/>
    <w:rsid w:val="00E71FA8"/>
    <w:rsid w:val="00E73F7F"/>
    <w:rsid w:val="00E744A5"/>
    <w:rsid w:val="00E753E8"/>
    <w:rsid w:val="00E75B60"/>
    <w:rsid w:val="00E77BAA"/>
    <w:rsid w:val="00E80629"/>
    <w:rsid w:val="00E820C3"/>
    <w:rsid w:val="00E8263C"/>
    <w:rsid w:val="00E82BF9"/>
    <w:rsid w:val="00E82C8B"/>
    <w:rsid w:val="00E84088"/>
    <w:rsid w:val="00E85370"/>
    <w:rsid w:val="00E85409"/>
    <w:rsid w:val="00E85C39"/>
    <w:rsid w:val="00E862E8"/>
    <w:rsid w:val="00E87AA5"/>
    <w:rsid w:val="00E87C95"/>
    <w:rsid w:val="00E901F3"/>
    <w:rsid w:val="00E90E2C"/>
    <w:rsid w:val="00EA33E4"/>
    <w:rsid w:val="00EA429F"/>
    <w:rsid w:val="00EA4F9E"/>
    <w:rsid w:val="00EA51A8"/>
    <w:rsid w:val="00EA5F30"/>
    <w:rsid w:val="00EA5FC8"/>
    <w:rsid w:val="00EA63CA"/>
    <w:rsid w:val="00EA6D3B"/>
    <w:rsid w:val="00EB00AD"/>
    <w:rsid w:val="00EB0791"/>
    <w:rsid w:val="00EB0DC9"/>
    <w:rsid w:val="00EB136C"/>
    <w:rsid w:val="00EB1BF3"/>
    <w:rsid w:val="00EB29FA"/>
    <w:rsid w:val="00EB2E76"/>
    <w:rsid w:val="00EB36FD"/>
    <w:rsid w:val="00EB3803"/>
    <w:rsid w:val="00EB480E"/>
    <w:rsid w:val="00EB511A"/>
    <w:rsid w:val="00EB5EC6"/>
    <w:rsid w:val="00EB6DF2"/>
    <w:rsid w:val="00EB7611"/>
    <w:rsid w:val="00EB7D89"/>
    <w:rsid w:val="00EB7FC9"/>
    <w:rsid w:val="00EC0F28"/>
    <w:rsid w:val="00EC1007"/>
    <w:rsid w:val="00EC1723"/>
    <w:rsid w:val="00EC3EB1"/>
    <w:rsid w:val="00EC7356"/>
    <w:rsid w:val="00ED0BBF"/>
    <w:rsid w:val="00ED1E39"/>
    <w:rsid w:val="00ED27E8"/>
    <w:rsid w:val="00ED2E62"/>
    <w:rsid w:val="00ED356F"/>
    <w:rsid w:val="00ED4C9E"/>
    <w:rsid w:val="00ED7137"/>
    <w:rsid w:val="00EE027E"/>
    <w:rsid w:val="00EE117D"/>
    <w:rsid w:val="00EE1322"/>
    <w:rsid w:val="00EE2793"/>
    <w:rsid w:val="00EE6430"/>
    <w:rsid w:val="00EE7D68"/>
    <w:rsid w:val="00EF05E1"/>
    <w:rsid w:val="00EF06EA"/>
    <w:rsid w:val="00EF0FE4"/>
    <w:rsid w:val="00EF1991"/>
    <w:rsid w:val="00EF2E82"/>
    <w:rsid w:val="00EF5048"/>
    <w:rsid w:val="00F00CDB"/>
    <w:rsid w:val="00F03C57"/>
    <w:rsid w:val="00F03C97"/>
    <w:rsid w:val="00F04A35"/>
    <w:rsid w:val="00F06A0B"/>
    <w:rsid w:val="00F06DE9"/>
    <w:rsid w:val="00F073B2"/>
    <w:rsid w:val="00F07604"/>
    <w:rsid w:val="00F07F9B"/>
    <w:rsid w:val="00F10472"/>
    <w:rsid w:val="00F1161C"/>
    <w:rsid w:val="00F13398"/>
    <w:rsid w:val="00F1439C"/>
    <w:rsid w:val="00F14EC8"/>
    <w:rsid w:val="00F15B99"/>
    <w:rsid w:val="00F160B5"/>
    <w:rsid w:val="00F162DB"/>
    <w:rsid w:val="00F1733A"/>
    <w:rsid w:val="00F20A92"/>
    <w:rsid w:val="00F21088"/>
    <w:rsid w:val="00F22FF6"/>
    <w:rsid w:val="00F23327"/>
    <w:rsid w:val="00F24400"/>
    <w:rsid w:val="00F24915"/>
    <w:rsid w:val="00F25094"/>
    <w:rsid w:val="00F266D4"/>
    <w:rsid w:val="00F267EF"/>
    <w:rsid w:val="00F27678"/>
    <w:rsid w:val="00F27755"/>
    <w:rsid w:val="00F277B7"/>
    <w:rsid w:val="00F27F0B"/>
    <w:rsid w:val="00F327E7"/>
    <w:rsid w:val="00F3287E"/>
    <w:rsid w:val="00F330DD"/>
    <w:rsid w:val="00F33A24"/>
    <w:rsid w:val="00F34FAE"/>
    <w:rsid w:val="00F35746"/>
    <w:rsid w:val="00F36ACA"/>
    <w:rsid w:val="00F3786B"/>
    <w:rsid w:val="00F4024D"/>
    <w:rsid w:val="00F40364"/>
    <w:rsid w:val="00F413BE"/>
    <w:rsid w:val="00F425AF"/>
    <w:rsid w:val="00F42838"/>
    <w:rsid w:val="00F447C7"/>
    <w:rsid w:val="00F4550C"/>
    <w:rsid w:val="00F459B4"/>
    <w:rsid w:val="00F460AE"/>
    <w:rsid w:val="00F46694"/>
    <w:rsid w:val="00F476FD"/>
    <w:rsid w:val="00F51977"/>
    <w:rsid w:val="00F5211B"/>
    <w:rsid w:val="00F53B76"/>
    <w:rsid w:val="00F554A9"/>
    <w:rsid w:val="00F55A4D"/>
    <w:rsid w:val="00F5726A"/>
    <w:rsid w:val="00F62A10"/>
    <w:rsid w:val="00F63407"/>
    <w:rsid w:val="00F645B4"/>
    <w:rsid w:val="00F64C8A"/>
    <w:rsid w:val="00F65C80"/>
    <w:rsid w:val="00F66B48"/>
    <w:rsid w:val="00F676CD"/>
    <w:rsid w:val="00F70F60"/>
    <w:rsid w:val="00F71105"/>
    <w:rsid w:val="00F716FD"/>
    <w:rsid w:val="00F73660"/>
    <w:rsid w:val="00F76B1F"/>
    <w:rsid w:val="00F76B24"/>
    <w:rsid w:val="00F80355"/>
    <w:rsid w:val="00F80E18"/>
    <w:rsid w:val="00F81504"/>
    <w:rsid w:val="00F817C9"/>
    <w:rsid w:val="00F8659A"/>
    <w:rsid w:val="00F8668B"/>
    <w:rsid w:val="00F867E3"/>
    <w:rsid w:val="00F8713B"/>
    <w:rsid w:val="00F87C43"/>
    <w:rsid w:val="00F910A2"/>
    <w:rsid w:val="00F91EB9"/>
    <w:rsid w:val="00F91F26"/>
    <w:rsid w:val="00F9237D"/>
    <w:rsid w:val="00F938DB"/>
    <w:rsid w:val="00F95CC2"/>
    <w:rsid w:val="00F962B8"/>
    <w:rsid w:val="00FA035E"/>
    <w:rsid w:val="00FA07BF"/>
    <w:rsid w:val="00FA0A61"/>
    <w:rsid w:val="00FA1EA0"/>
    <w:rsid w:val="00FA1ED0"/>
    <w:rsid w:val="00FA4521"/>
    <w:rsid w:val="00FA5681"/>
    <w:rsid w:val="00FA56FD"/>
    <w:rsid w:val="00FA5722"/>
    <w:rsid w:val="00FA5D74"/>
    <w:rsid w:val="00FA6042"/>
    <w:rsid w:val="00FA7D60"/>
    <w:rsid w:val="00FB00A2"/>
    <w:rsid w:val="00FB05FD"/>
    <w:rsid w:val="00FB0C81"/>
    <w:rsid w:val="00FB1876"/>
    <w:rsid w:val="00FB18B3"/>
    <w:rsid w:val="00FB1E42"/>
    <w:rsid w:val="00FB3F02"/>
    <w:rsid w:val="00FB6B50"/>
    <w:rsid w:val="00FB768C"/>
    <w:rsid w:val="00FB7872"/>
    <w:rsid w:val="00FC088F"/>
    <w:rsid w:val="00FC2200"/>
    <w:rsid w:val="00FC2540"/>
    <w:rsid w:val="00FC2A4D"/>
    <w:rsid w:val="00FC639C"/>
    <w:rsid w:val="00FC6400"/>
    <w:rsid w:val="00FD0DD2"/>
    <w:rsid w:val="00FD152F"/>
    <w:rsid w:val="00FD1F71"/>
    <w:rsid w:val="00FD4A79"/>
    <w:rsid w:val="00FD5ECE"/>
    <w:rsid w:val="00FE0165"/>
    <w:rsid w:val="00FE0B46"/>
    <w:rsid w:val="00FE1DDA"/>
    <w:rsid w:val="00FE1FE5"/>
    <w:rsid w:val="00FE2007"/>
    <w:rsid w:val="00FE32A6"/>
    <w:rsid w:val="00FE6959"/>
    <w:rsid w:val="00FE71E5"/>
    <w:rsid w:val="00FF0204"/>
    <w:rsid w:val="00FF21A1"/>
    <w:rsid w:val="00FF22A2"/>
    <w:rsid w:val="00FF3AED"/>
    <w:rsid w:val="00FF4173"/>
    <w:rsid w:val="00FF44B9"/>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4002E8"/>
  <w15:docId w15:val="{7C0FDAB3-9D60-45CC-B194-B8091F6B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 w:type="character" w:styleId="Strong">
    <w:name w:val="Strong"/>
    <w:basedOn w:val="DefaultParagraphFont"/>
    <w:uiPriority w:val="22"/>
    <w:qFormat/>
    <w:rsid w:val="00693051"/>
    <w:rPr>
      <w:b/>
      <w:bCs/>
    </w:rPr>
  </w:style>
  <w:style w:type="paragraph" w:customStyle="1" w:styleId="Newheader4">
    <w:name w:val="New header 4"/>
    <w:basedOn w:val="Heading4"/>
    <w:next w:val="Normal"/>
    <w:qFormat/>
    <w:rsid w:val="00247AE4"/>
    <w:pPr>
      <w:spacing w:before="0" w:after="240"/>
      <w:ind w:left="2880" w:hanging="720"/>
    </w:pPr>
  </w:style>
  <w:style w:type="numbering" w:customStyle="1" w:styleId="1111111">
    <w:name w:val="1 / 1.1 / 1.1.11"/>
    <w:basedOn w:val="NoList"/>
    <w:next w:val="111111"/>
    <w:semiHidden/>
    <w:rsid w:val="00247AE4"/>
    <w:pPr>
      <w:numPr>
        <w:numId w:val="7"/>
      </w:numPr>
    </w:pPr>
  </w:style>
  <w:style w:type="numbering" w:customStyle="1" w:styleId="1ai1">
    <w:name w:val="1 / a / i1"/>
    <w:basedOn w:val="NoList"/>
    <w:next w:val="1ai"/>
    <w:semiHidden/>
    <w:rsid w:val="00247AE4"/>
    <w:pPr>
      <w:numPr>
        <w:numId w:val="8"/>
      </w:numPr>
    </w:pPr>
  </w:style>
  <w:style w:type="numbering" w:customStyle="1" w:styleId="ArticleSection1">
    <w:name w:val="Article / Section1"/>
    <w:basedOn w:val="NoList"/>
    <w:next w:val="ArticleSection"/>
    <w:semiHidden/>
    <w:rsid w:val="00247AE4"/>
    <w:pPr>
      <w:numPr>
        <w:numId w:val="9"/>
      </w:numPr>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47AE4"/>
    <w:rPr>
      <w:sz w:val="22"/>
      <w:szCs w:val="22"/>
      <w:lang w:val="en-CA"/>
    </w:rPr>
  </w:style>
  <w:style w:type="character" w:customStyle="1" w:styleId="HeaderChar">
    <w:name w:val="Header Char"/>
    <w:basedOn w:val="DefaultParagraphFont"/>
    <w:link w:val="Header"/>
    <w:rsid w:val="00247AE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47AE4"/>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47AE4"/>
    <w:rPr>
      <w:sz w:val="22"/>
      <w:szCs w:val="22"/>
      <w:lang w:val="en-CA"/>
    </w:rPr>
  </w:style>
  <w:style w:type="character" w:customStyle="1" w:styleId="normaltextrun">
    <w:name w:val="normaltextrun"/>
    <w:basedOn w:val="DefaultParagraphFont"/>
    <w:rsid w:val="00247AE4"/>
  </w:style>
  <w:style w:type="paragraph" w:styleId="NoSpacing">
    <w:name w:val="No Spacing"/>
    <w:uiPriority w:val="1"/>
    <w:qFormat/>
    <w:rsid w:val="00247AE4"/>
  </w:style>
  <w:style w:type="paragraph" w:customStyle="1" w:styleId="paragraph">
    <w:name w:val="paragraph"/>
    <w:basedOn w:val="Normal"/>
    <w:rsid w:val="00247AE4"/>
    <w:pPr>
      <w:spacing w:before="100" w:beforeAutospacing="1" w:after="100" w:afterAutospacing="1"/>
      <w:jc w:val="left"/>
    </w:pPr>
    <w:rPr>
      <w:sz w:val="24"/>
      <w:szCs w:val="24"/>
      <w:lang w:eastAsia="en-CA"/>
    </w:rPr>
  </w:style>
  <w:style w:type="character" w:customStyle="1" w:styleId="eop">
    <w:name w:val="eop"/>
    <w:basedOn w:val="DefaultParagraphFont"/>
    <w:rsid w:val="0024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ustomXml" Target="ink/ink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4T16:21:09.431"/>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1 0,'768'52'0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E52FFBC-99D7-47C1-97D7-BE304EC2D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8E4B6F7C-B621-8F49-B81E-35BE5B3ABA1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5212</Words>
  <Characters>28608</Characters>
  <Application>Microsoft Office Word</Application>
  <DocSecurity>0</DocSecurity>
  <Lines>572</Lines>
  <Paragraphs>248</Paragraphs>
  <ScaleCrop>false</ScaleCrop>
  <HeadingPairs>
    <vt:vector size="2" baseType="variant">
      <vt:variant>
        <vt:lpstr>Title</vt:lpstr>
      </vt:variant>
      <vt:variant>
        <vt:i4>1</vt:i4>
      </vt:variant>
    </vt:vector>
  </HeadingPairs>
  <TitlesOfParts>
    <vt:vector size="1" baseType="lpstr">
      <vt:lpstr>PROPUESTA DE PROYECTO: TOGO</vt:lpstr>
    </vt:vector>
  </TitlesOfParts>
  <Company>UNMFS</Company>
  <LinksUpToDate>false</LinksUpToDate>
  <CharactersWithSpaces>33572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TOGO</dc:title>
  <dc:creator>admin</dc:creator>
  <cp:keywords/>
  <cp:lastModifiedBy>Angela Xue He Yan</cp:lastModifiedBy>
  <cp:revision>11</cp:revision>
  <cp:lastPrinted>2025-10-22T19:53:00Z</cp:lastPrinted>
  <dcterms:created xsi:type="dcterms:W3CDTF">2025-11-17T20:44:00Z</dcterms:created>
  <dcterms:modified xsi:type="dcterms:W3CDTF">2025-11-19T14:31:00Z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UNEP/OzL.Pro/ExCom/97/79</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GrammarlyDocumentId">
    <vt:lpwstr>9bc920c9-f214-4b0d-ab5f-080e2685cc0e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