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18" w:type="dxa"/>
        <w:tblInd w:w="-432" w:type="dxa"/>
        <w:tblLayout w:type="fixed"/>
        <w:tblLook w:val="0000" w:firstRow="0" w:lastRow="0" w:firstColumn="0" w:lastColumn="0" w:noHBand="0" w:noVBand="0"/>
      </w:tblPr>
      <w:tblGrid>
        <w:gridCol w:w="2070"/>
        <w:gridCol w:w="4458"/>
        <w:gridCol w:w="4590"/>
      </w:tblGrid>
      <w:tr w:rsidR="00C15867" w14:paraId="058D8F08" w14:textId="77777777" w:rsidTr="00F503AC">
        <w:trPr>
          <w:trHeight w:val="720"/>
        </w:trPr>
        <w:tc>
          <w:tcPr>
            <w:tcW w:w="6528" w:type="dxa"/>
            <w:gridSpan w:val="2"/>
            <w:tcBorders>
              <w:bottom w:val="single" w:sz="18" w:space="0" w:color="auto"/>
            </w:tcBorders>
          </w:tcPr>
          <w:p w14:paraId="1FD58BD7"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5E628B79" w14:textId="77777777" w:rsidR="00C15867" w:rsidRPr="00493D40" w:rsidRDefault="00C15867" w:rsidP="009C59F7">
            <w:pPr>
              <w:jc w:val="right"/>
              <w:rPr>
                <w:sz w:val="52"/>
                <w:szCs w:val="52"/>
              </w:rPr>
            </w:pPr>
            <w:r>
              <w:rPr>
                <w:rFonts w:ascii="Univers Bold" w:hAnsi="Univers Bold"/>
                <w:b/>
                <w:sz w:val="72"/>
              </w:rPr>
              <w:t>EP</w:t>
            </w:r>
          </w:p>
        </w:tc>
      </w:tr>
      <w:tr w:rsidR="00C15867" w14:paraId="2ED428F9" w14:textId="77777777" w:rsidTr="00F503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B4D2DE" w14:textId="77777777" w:rsidR="00C15867" w:rsidRDefault="00C15867" w:rsidP="009C59F7">
            <w:pPr>
              <w:spacing w:before="120"/>
            </w:pPr>
            <w:r>
              <w:rPr>
                <w:noProof/>
                <w:lang w:val="en-CA" w:eastAsia="en-CA"/>
              </w:rPr>
              <w:drawing>
                <wp:anchor distT="0" distB="0" distL="114300" distR="114300" simplePos="0" relativeHeight="251660288" behindDoc="0" locked="0" layoutInCell="1" allowOverlap="1" wp14:anchorId="44F6AE81" wp14:editId="6AB50572">
                  <wp:simplePos x="0" y="0"/>
                  <wp:positionH relativeFrom="column">
                    <wp:posOffset>12438</wp:posOffset>
                  </wp:positionH>
                  <wp:positionV relativeFrom="paragraph">
                    <wp:posOffset>935915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17DEE52" wp14:editId="672CB31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58" w:type="dxa"/>
            <w:tcBorders>
              <w:top w:val="nil"/>
              <w:left w:val="nil"/>
              <w:bottom w:val="single" w:sz="36" w:space="0" w:color="auto"/>
              <w:right w:val="nil"/>
            </w:tcBorders>
          </w:tcPr>
          <w:p w14:paraId="123C4E59" w14:textId="77777777" w:rsidR="00017C79" w:rsidRDefault="00017C7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E0A4187" w14:textId="270F54FE"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3A809855"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260C8DF"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0607049B" w14:textId="77777777" w:rsidR="00C15867" w:rsidRDefault="00C15867" w:rsidP="009C59F7">
            <w:pPr>
              <w:spacing w:before="720"/>
              <w:ind w:left="158"/>
            </w:pPr>
          </w:p>
        </w:tc>
        <w:tc>
          <w:tcPr>
            <w:tcW w:w="4590" w:type="dxa"/>
            <w:tcBorders>
              <w:top w:val="nil"/>
              <w:left w:val="nil"/>
              <w:bottom w:val="single" w:sz="36" w:space="0" w:color="auto"/>
              <w:right w:val="nil"/>
            </w:tcBorders>
          </w:tcPr>
          <w:p w14:paraId="58960900" w14:textId="77777777" w:rsidR="00017C79" w:rsidRDefault="00017C79" w:rsidP="009C59F7"/>
          <w:p w14:paraId="56486FDF" w14:textId="2E96570B" w:rsidR="00C15867" w:rsidRPr="0033525D" w:rsidRDefault="00C15867" w:rsidP="009C59F7">
            <w:r>
              <w:t>Distr.</w:t>
            </w:r>
          </w:p>
          <w:p w14:paraId="33F89561" w14:textId="77777777" w:rsidR="00183765" w:rsidRPr="0033525D" w:rsidRDefault="00183765" w:rsidP="00183765">
            <w:r>
              <w:t>GENERAL</w:t>
            </w:r>
          </w:p>
          <w:p w14:paraId="02B212A6" w14:textId="77777777" w:rsidR="00C15867" w:rsidRPr="003F73BA" w:rsidRDefault="00C15867" w:rsidP="009C59F7"/>
          <w:p w14:paraId="04822C2C" w14:textId="53D94CBF" w:rsidR="00C15867" w:rsidRPr="003F73BA" w:rsidRDefault="007E4D6A" w:rsidP="009C59F7">
            <w:r>
              <w:fldChar w:fldCharType="begin"/>
            </w:r>
            <w:r>
              <w:instrText xml:space="preserve"> DOCPROPERTY "Document number"  \* MERGEFORMAT </w:instrText>
            </w:r>
            <w:r>
              <w:fldChar w:fldCharType="separate"/>
            </w:r>
            <w:r w:rsidR="007F04CA">
              <w:t>UNEP/</w:t>
            </w:r>
            <w:proofErr w:type="spellStart"/>
            <w:r w:rsidR="007F04CA">
              <w:t>OzL.Pro</w:t>
            </w:r>
            <w:proofErr w:type="spellEnd"/>
            <w:r w:rsidR="007F04CA">
              <w:t>/</w:t>
            </w:r>
            <w:proofErr w:type="spellStart"/>
            <w:r w:rsidR="007F04CA">
              <w:t>ExCom</w:t>
            </w:r>
            <w:proofErr w:type="spellEnd"/>
            <w:r w:rsidR="007F04CA">
              <w:t>/83/3</w:t>
            </w:r>
            <w:r>
              <w:fldChar w:fldCharType="end"/>
            </w:r>
          </w:p>
          <w:p w14:paraId="19A31C0D" w14:textId="39875F1F" w:rsidR="00A8491C" w:rsidRPr="003F73BA" w:rsidRDefault="00A8491C" w:rsidP="00A8491C">
            <w:r>
              <w:fldChar w:fldCharType="begin"/>
            </w:r>
            <w:r>
              <w:instrText xml:space="preserve"> DOCPROPERTY "Revision date" \@ "d MMMM YYYY"  \* MERGEFORMAT </w:instrText>
            </w:r>
            <w:r>
              <w:fldChar w:fldCharType="separate"/>
            </w:r>
            <w:r w:rsidR="00205278">
              <w:t xml:space="preserve">6 </w:t>
            </w:r>
            <w:r w:rsidR="007F04CA">
              <w:t xml:space="preserve">de </w:t>
            </w:r>
            <w:r w:rsidR="00205278">
              <w:t xml:space="preserve">mayo </w:t>
            </w:r>
            <w:r w:rsidR="007F04CA">
              <w:t xml:space="preserve">de </w:t>
            </w:r>
            <w:r w:rsidR="00205278">
              <w:t>2019</w:t>
            </w:r>
            <w:r>
              <w:fldChar w:fldCharType="end"/>
            </w:r>
          </w:p>
          <w:p w14:paraId="450218E8" w14:textId="77777777" w:rsidR="00C15867" w:rsidRPr="00000FED" w:rsidRDefault="00C15867" w:rsidP="009C59F7">
            <w:pPr>
              <w:rPr>
                <w:caps/>
              </w:rPr>
            </w:pPr>
          </w:p>
          <w:p w14:paraId="73764862" w14:textId="77777777" w:rsidR="007F04CA" w:rsidRDefault="00C15867" w:rsidP="009C59F7">
            <w:r>
              <w:t xml:space="preserve">ESPAÑOL </w:t>
            </w:r>
          </w:p>
          <w:p w14:paraId="7C8253C2" w14:textId="5FBD125C" w:rsidR="00C15867" w:rsidRDefault="00C15867" w:rsidP="009C59F7">
            <w:r>
              <w:t>ORIGINAL: INGLÉS</w:t>
            </w:r>
          </w:p>
        </w:tc>
      </w:tr>
    </w:tbl>
    <w:p w14:paraId="1C3496BA" w14:textId="4F7D6F4E" w:rsidR="00C84C10" w:rsidRPr="00612F2F" w:rsidRDefault="00084A9F" w:rsidP="00C84C10">
      <w:pPr>
        <w:jc w:val="left"/>
      </w:pPr>
      <w:r>
        <w:t>COMITÉ EJECUTIVO DEL FONDO MULTILATERAL</w:t>
      </w:r>
      <w:r>
        <w:br/>
        <w:t xml:space="preserve">  PARA LA APLICACIÓN DEL</w:t>
      </w:r>
      <w:r>
        <w:br/>
        <w:t xml:space="preserve">  PROTOCOLO DE MONTREAL</w:t>
      </w:r>
      <w:r>
        <w:br/>
        <w:t>Octogésima tercera Reunión</w:t>
      </w:r>
    </w:p>
    <w:p w14:paraId="28870EE0" w14:textId="212C048F" w:rsidR="00C84C10" w:rsidRPr="006C39CE" w:rsidRDefault="00084A9F" w:rsidP="00C84C10">
      <w:pPr>
        <w:jc w:val="left"/>
      </w:pPr>
      <w:r>
        <w:t>Montreal, 27-31 de mayo de 2019 </w:t>
      </w:r>
    </w:p>
    <w:p w14:paraId="60526EC8" w14:textId="77777777" w:rsidR="00FF1B8E" w:rsidRPr="00205278" w:rsidRDefault="00FF1B8E" w:rsidP="00FF1B8E">
      <w:pPr>
        <w:jc w:val="left"/>
        <w:rPr>
          <w:lang w:val="es-419"/>
        </w:rPr>
      </w:pPr>
    </w:p>
    <w:p w14:paraId="5570CC77" w14:textId="77777777" w:rsidR="004E7F9C" w:rsidRPr="00A92691" w:rsidRDefault="004E7F9C" w:rsidP="004E7F9C">
      <w:pPr>
        <w:pStyle w:val="Title1"/>
      </w:pPr>
    </w:p>
    <w:p w14:paraId="6360DAF4" w14:textId="77777777" w:rsidR="00DB62F2" w:rsidRPr="004B5029" w:rsidRDefault="00991618" w:rsidP="00C40BB9">
      <w:pPr>
        <w:pStyle w:val="0Heading0"/>
        <w:spacing w:line="360" w:lineRule="auto"/>
        <w:jc w:val="center"/>
        <w:rPr>
          <w:b/>
          <w:bCs/>
        </w:rPr>
      </w:pPr>
      <w:r>
        <w:rPr>
          <w:b/>
          <w:bCs/>
        </w:rPr>
        <w:t>SITUACIÓN DE LAS CONTRIBUCIONES Y LOS DESEMBOLSOS</w:t>
      </w:r>
    </w:p>
    <w:p w14:paraId="15BCA7CC" w14:textId="77777777" w:rsidR="00DB62F2" w:rsidRPr="004B5029" w:rsidRDefault="00DB62F2" w:rsidP="00C40BB9">
      <w:pPr>
        <w:pStyle w:val="0Heading0"/>
        <w:spacing w:line="360" w:lineRule="auto"/>
        <w:jc w:val="center"/>
        <w:rPr>
          <w:b/>
          <w:bCs/>
        </w:rPr>
      </w:pPr>
      <w:r>
        <w:rPr>
          <w:b/>
          <w:bCs/>
        </w:rPr>
        <w:t>Informe del Tesorero</w:t>
      </w:r>
    </w:p>
    <w:p w14:paraId="017DF8D5" w14:textId="77777777" w:rsidR="00DB62F2" w:rsidRPr="004B5029" w:rsidRDefault="00DB62F2" w:rsidP="00C40BB9">
      <w:pPr>
        <w:pStyle w:val="0Heading0"/>
        <w:spacing w:line="360" w:lineRule="auto"/>
        <w:jc w:val="center"/>
        <w:rPr>
          <w:bCs/>
        </w:rPr>
      </w:pPr>
    </w:p>
    <w:p w14:paraId="58BFADF0" w14:textId="6A398387" w:rsidR="00DB62F2" w:rsidRPr="004B5029" w:rsidRDefault="00DB62F2" w:rsidP="00D35272">
      <w:pPr>
        <w:pStyle w:val="0Heading0"/>
        <w:numPr>
          <w:ilvl w:val="0"/>
          <w:numId w:val="24"/>
        </w:numPr>
        <w:tabs>
          <w:tab w:val="left" w:pos="0"/>
        </w:tabs>
        <w:ind w:left="142" w:firstLine="0"/>
        <w:jc w:val="both"/>
      </w:pPr>
      <w:r>
        <w:t>El presente documento proporciona información sobre la situación del Fondo</w:t>
      </w:r>
      <w:r w:rsidRPr="004B5029">
        <w:rPr>
          <w:rStyle w:val="FootnoteReference"/>
        </w:rPr>
        <w:footnoteReference w:id="1"/>
      </w:r>
      <w:r>
        <w:t xml:space="preserve"> según lo registrado en el PNUMA al 30 de abril de 2019. El anexo I del presente documento contiene las siguientes tablas:</w:t>
      </w:r>
    </w:p>
    <w:p w14:paraId="4C80B09F" w14:textId="77777777" w:rsidR="00DB62F2" w:rsidRPr="004B5029" w:rsidRDefault="00DB62F2" w:rsidP="00A8491C">
      <w:pPr>
        <w:pStyle w:val="0Heading0"/>
        <w:tabs>
          <w:tab w:val="left" w:pos="1260"/>
        </w:tabs>
        <w:ind w:left="142"/>
        <w:jc w:val="both"/>
      </w:pPr>
    </w:p>
    <w:p w14:paraId="0004A04D" w14:textId="18475E27" w:rsidR="00DB62F2" w:rsidRPr="004B5029" w:rsidRDefault="00DB62F2" w:rsidP="00586776">
      <w:pPr>
        <w:pStyle w:val="0Heading0"/>
        <w:numPr>
          <w:ilvl w:val="0"/>
          <w:numId w:val="23"/>
        </w:numPr>
        <w:tabs>
          <w:tab w:val="clear" w:pos="1710"/>
        </w:tabs>
        <w:ind w:left="1440" w:hanging="720"/>
        <w:jc w:val="both"/>
      </w:pPr>
      <w:r>
        <w:t>Tabla 1: Situación del Fondo entre 1991 y 2019</w:t>
      </w:r>
    </w:p>
    <w:p w14:paraId="4C8669F6" w14:textId="12D085AE" w:rsidR="00DB62F2" w:rsidRPr="004B5029" w:rsidRDefault="00DB62F2" w:rsidP="00586776">
      <w:pPr>
        <w:pStyle w:val="0Heading0"/>
        <w:numPr>
          <w:ilvl w:val="0"/>
          <w:numId w:val="23"/>
        </w:numPr>
        <w:tabs>
          <w:tab w:val="clear" w:pos="1710"/>
        </w:tabs>
        <w:ind w:left="1440" w:hanging="720"/>
        <w:jc w:val="both"/>
      </w:pPr>
      <w:r>
        <w:t>Tabla 2: Resumen de la situación de las contribuciones y otros ingresos, 1991 - 2019</w:t>
      </w:r>
    </w:p>
    <w:p w14:paraId="5B9BE0DA" w14:textId="516F558A" w:rsidR="00DB62F2" w:rsidRDefault="00DB62F2" w:rsidP="00586776">
      <w:pPr>
        <w:pStyle w:val="0Heading0"/>
        <w:numPr>
          <w:ilvl w:val="0"/>
          <w:numId w:val="23"/>
        </w:numPr>
        <w:tabs>
          <w:tab w:val="clear" w:pos="1710"/>
        </w:tabs>
        <w:ind w:left="1440" w:hanging="720"/>
        <w:jc w:val="both"/>
      </w:pPr>
      <w:r>
        <w:t>Tabla 3: Resumen de la situación de las contribuciones, 1991 - 2019</w:t>
      </w:r>
    </w:p>
    <w:p w14:paraId="37316800" w14:textId="4E9A1F9E" w:rsidR="00253DE6" w:rsidRPr="004B5029" w:rsidRDefault="00253DE6" w:rsidP="00586776">
      <w:pPr>
        <w:pStyle w:val="0Heading0"/>
        <w:numPr>
          <w:ilvl w:val="0"/>
          <w:numId w:val="23"/>
        </w:numPr>
        <w:tabs>
          <w:tab w:val="clear" w:pos="1710"/>
        </w:tabs>
        <w:ind w:left="1440" w:hanging="720"/>
        <w:jc w:val="both"/>
      </w:pPr>
      <w:r>
        <w:t>Tabla 4: Estado de las contribuciones en 2018 - 2019</w:t>
      </w:r>
    </w:p>
    <w:p w14:paraId="060DF4C6" w14:textId="02BAFC95" w:rsidR="00326274" w:rsidRDefault="00326274" w:rsidP="00586776">
      <w:pPr>
        <w:pStyle w:val="0Heading0"/>
        <w:numPr>
          <w:ilvl w:val="0"/>
          <w:numId w:val="23"/>
        </w:numPr>
        <w:tabs>
          <w:tab w:val="clear" w:pos="1710"/>
        </w:tabs>
        <w:ind w:left="1440" w:hanging="720"/>
        <w:jc w:val="both"/>
      </w:pPr>
      <w:r>
        <w:t>Tabla 5: Estado de las contribuciones en 2019</w:t>
      </w:r>
    </w:p>
    <w:p w14:paraId="181071B6" w14:textId="30245542" w:rsidR="00253DE6" w:rsidRDefault="00253DE6" w:rsidP="00586776">
      <w:pPr>
        <w:pStyle w:val="0Heading0"/>
        <w:numPr>
          <w:ilvl w:val="0"/>
          <w:numId w:val="23"/>
        </w:numPr>
        <w:tabs>
          <w:tab w:val="clear" w:pos="1710"/>
        </w:tabs>
        <w:ind w:left="1440" w:hanging="720"/>
        <w:jc w:val="both"/>
      </w:pPr>
      <w:r>
        <w:t>Tabla 6: Estado de las contribuciones en 2018</w:t>
      </w:r>
    </w:p>
    <w:p w14:paraId="7CE790CD" w14:textId="548BCEA3" w:rsidR="009C7F65" w:rsidRDefault="009C7F65" w:rsidP="00586776">
      <w:pPr>
        <w:pStyle w:val="0Heading0"/>
        <w:numPr>
          <w:ilvl w:val="0"/>
          <w:numId w:val="23"/>
        </w:numPr>
        <w:tabs>
          <w:tab w:val="clear" w:pos="1710"/>
        </w:tabs>
        <w:ind w:left="1440" w:hanging="720"/>
        <w:jc w:val="both"/>
      </w:pPr>
      <w:r>
        <w:t>Tabla 7: Estado de las contribuciones en 2015 - 2017</w:t>
      </w:r>
    </w:p>
    <w:p w14:paraId="5ED89025" w14:textId="3D0D6AB0" w:rsidR="00253DE6" w:rsidRDefault="00253DE6" w:rsidP="00586776">
      <w:pPr>
        <w:pStyle w:val="0Heading0"/>
        <w:numPr>
          <w:ilvl w:val="0"/>
          <w:numId w:val="23"/>
        </w:numPr>
        <w:tabs>
          <w:tab w:val="clear" w:pos="1710"/>
        </w:tabs>
        <w:ind w:left="1440" w:hanging="720"/>
        <w:jc w:val="both"/>
      </w:pPr>
      <w:r>
        <w:t>Tabla 8: Estado de las contribuciones en 2017</w:t>
      </w:r>
    </w:p>
    <w:p w14:paraId="5D4EE2FA" w14:textId="38120E4F" w:rsidR="00DB62F2" w:rsidRPr="004B5029" w:rsidRDefault="00DB62F2" w:rsidP="00586776">
      <w:pPr>
        <w:pStyle w:val="0Heading0"/>
        <w:numPr>
          <w:ilvl w:val="0"/>
          <w:numId w:val="23"/>
        </w:numPr>
        <w:tabs>
          <w:tab w:val="clear" w:pos="1710"/>
        </w:tabs>
        <w:ind w:left="1440" w:hanging="720"/>
        <w:jc w:val="both"/>
      </w:pPr>
      <w:r>
        <w:t>Tabla 9: Estado de las contribuciones en 2016</w:t>
      </w:r>
    </w:p>
    <w:p w14:paraId="3666875C" w14:textId="31DAF673" w:rsidR="00162A7F" w:rsidRPr="004B5029" w:rsidRDefault="00162A7F" w:rsidP="00586776">
      <w:pPr>
        <w:pStyle w:val="0Heading0"/>
        <w:numPr>
          <w:ilvl w:val="0"/>
          <w:numId w:val="23"/>
        </w:numPr>
        <w:tabs>
          <w:tab w:val="clear" w:pos="1710"/>
        </w:tabs>
        <w:ind w:left="1440" w:hanging="720"/>
        <w:jc w:val="both"/>
      </w:pPr>
      <w:r>
        <w:t>Tabla 10: Estado de las contribuciones en 2015</w:t>
      </w:r>
    </w:p>
    <w:p w14:paraId="1663958A" w14:textId="10904EF7" w:rsidR="00DB62F2" w:rsidRPr="004B5029" w:rsidRDefault="00DB62F2" w:rsidP="00586776">
      <w:pPr>
        <w:pStyle w:val="0Heading0"/>
        <w:numPr>
          <w:ilvl w:val="0"/>
          <w:numId w:val="23"/>
        </w:numPr>
        <w:tabs>
          <w:tab w:val="clear" w:pos="1710"/>
        </w:tabs>
        <w:ind w:left="1440" w:hanging="720"/>
        <w:jc w:val="both"/>
      </w:pPr>
      <w:r>
        <w:t>Tabla 11: Resumen del estado de las contribuciones en 2012 - 2014</w:t>
      </w:r>
    </w:p>
    <w:p w14:paraId="056C7CB1" w14:textId="1B67EDF6" w:rsidR="00DB62F2" w:rsidRPr="004B5029" w:rsidRDefault="00DB62F2" w:rsidP="00586776">
      <w:pPr>
        <w:pStyle w:val="0Heading0"/>
        <w:numPr>
          <w:ilvl w:val="0"/>
          <w:numId w:val="23"/>
        </w:numPr>
        <w:tabs>
          <w:tab w:val="clear" w:pos="1710"/>
        </w:tabs>
        <w:ind w:left="1440" w:hanging="720"/>
        <w:jc w:val="both"/>
      </w:pPr>
      <w:r>
        <w:t>Tabla 12: Estado de las contribuciones en 2014</w:t>
      </w:r>
    </w:p>
    <w:p w14:paraId="2DF85690" w14:textId="6B59BB88" w:rsidR="00DB62F2" w:rsidRPr="004B5029" w:rsidRDefault="00DB62F2" w:rsidP="00586776">
      <w:pPr>
        <w:pStyle w:val="0Heading0"/>
        <w:numPr>
          <w:ilvl w:val="0"/>
          <w:numId w:val="23"/>
        </w:numPr>
        <w:tabs>
          <w:tab w:val="clear" w:pos="1710"/>
        </w:tabs>
        <w:ind w:left="1440" w:hanging="720"/>
        <w:jc w:val="both"/>
      </w:pPr>
      <w:r>
        <w:t>Tabla 13: Estado de las contribuciones en 2013</w:t>
      </w:r>
    </w:p>
    <w:p w14:paraId="6C553DE7" w14:textId="2CF5E8A8" w:rsidR="00DB62F2" w:rsidRPr="004B5029" w:rsidRDefault="00DB62F2" w:rsidP="00586776">
      <w:pPr>
        <w:pStyle w:val="0Heading0"/>
        <w:numPr>
          <w:ilvl w:val="0"/>
          <w:numId w:val="23"/>
        </w:numPr>
        <w:tabs>
          <w:tab w:val="clear" w:pos="1710"/>
        </w:tabs>
        <w:ind w:left="1440" w:hanging="720"/>
        <w:jc w:val="both"/>
      </w:pPr>
      <w:r>
        <w:rPr>
          <w:color w:val="000000"/>
        </w:rPr>
        <w:t xml:space="preserve">Tabla 14: </w:t>
      </w:r>
      <w:r>
        <w:t>Libro de contabilidad de pagarés, 2004 -2019</w:t>
      </w:r>
      <w:r w:rsidR="000D66A8">
        <w:rPr>
          <w:rStyle w:val="FootnoteReference"/>
        </w:rPr>
        <w:footnoteReference w:id="2"/>
      </w:r>
    </w:p>
    <w:p w14:paraId="68518B25" w14:textId="6E53A80F" w:rsidR="00DB62F2" w:rsidRDefault="00DB62F2" w:rsidP="005D4489">
      <w:pPr>
        <w:pStyle w:val="0Heading0"/>
        <w:ind w:left="1440"/>
        <w:jc w:val="both"/>
      </w:pPr>
    </w:p>
    <w:p w14:paraId="219AC9C7" w14:textId="77777777" w:rsidR="007F04CA" w:rsidRDefault="007F04CA">
      <w:pPr>
        <w:jc w:val="left"/>
        <w:rPr>
          <w:b/>
        </w:rPr>
      </w:pPr>
      <w:r>
        <w:rPr>
          <w:b/>
        </w:rPr>
        <w:br w:type="page"/>
      </w:r>
    </w:p>
    <w:p w14:paraId="01D2F17F" w14:textId="560F3CC2" w:rsidR="00991618" w:rsidRPr="004B5029" w:rsidRDefault="00991618" w:rsidP="00BF1C72">
      <w:pPr>
        <w:pStyle w:val="0Heading0"/>
        <w:tabs>
          <w:tab w:val="left" w:pos="709"/>
        </w:tabs>
        <w:jc w:val="both"/>
        <w:rPr>
          <w:b/>
        </w:rPr>
      </w:pPr>
      <w:r>
        <w:rPr>
          <w:b/>
        </w:rPr>
        <w:lastRenderedPageBreak/>
        <w:t xml:space="preserve">Situación del Fondo </w:t>
      </w:r>
    </w:p>
    <w:p w14:paraId="148750B5" w14:textId="77777777" w:rsidR="00991618" w:rsidRPr="004B5029" w:rsidRDefault="00991618" w:rsidP="00BF1C72">
      <w:pPr>
        <w:pStyle w:val="0Heading0"/>
        <w:tabs>
          <w:tab w:val="left" w:pos="709"/>
        </w:tabs>
        <w:jc w:val="both"/>
      </w:pPr>
    </w:p>
    <w:p w14:paraId="262FF2BE" w14:textId="0DB31FF0" w:rsidR="00DB62F2" w:rsidRDefault="00192D55" w:rsidP="00BF1C72">
      <w:pPr>
        <w:pStyle w:val="0Heading0"/>
        <w:numPr>
          <w:ilvl w:val="0"/>
          <w:numId w:val="24"/>
        </w:numPr>
        <w:tabs>
          <w:tab w:val="left" w:pos="709"/>
        </w:tabs>
        <w:ind w:left="0" w:firstLine="0"/>
        <w:jc w:val="both"/>
      </w:pPr>
      <w:r>
        <w:t>El saldo de fondos asciende a 149 801 094 $EUA en efectivo tras tener en cuenta todos los fondos aprobados por el Comité Ejecutivo hasta la 82ª reunión inclusive.</w:t>
      </w:r>
    </w:p>
    <w:p w14:paraId="2EF34E1C" w14:textId="57619720" w:rsidR="008F1187" w:rsidRDefault="008F1187" w:rsidP="00BF1C72">
      <w:pPr>
        <w:pStyle w:val="0Heading0"/>
        <w:tabs>
          <w:tab w:val="left" w:pos="709"/>
        </w:tabs>
        <w:jc w:val="both"/>
      </w:pPr>
    </w:p>
    <w:p w14:paraId="18803C57" w14:textId="49864360" w:rsidR="00DB62F2" w:rsidRPr="002560C6" w:rsidRDefault="00192D55" w:rsidP="00BF1C72">
      <w:pPr>
        <w:pStyle w:val="ListParagraph"/>
        <w:numPr>
          <w:ilvl w:val="0"/>
          <w:numId w:val="24"/>
        </w:numPr>
        <w:autoSpaceDE w:val="0"/>
        <w:autoSpaceDN w:val="0"/>
        <w:adjustRightInd w:val="0"/>
        <w:ind w:left="0" w:firstLine="0"/>
      </w:pPr>
      <w:r>
        <w:t>Veinticinco Partes han abonado total o parcialmente sus contribuciones de 2019, lo que representa el 48 % de pagos con respecto a todas las promesas de 2019, y el 72 % de las promesas del trienio</w:t>
      </w:r>
      <w:r w:rsidR="002560C6">
        <w:rPr>
          <w:rStyle w:val="FootnoteReference"/>
        </w:rPr>
        <w:footnoteReference w:id="3"/>
      </w:r>
      <w:r>
        <w:t xml:space="preserve">.  </w:t>
      </w:r>
    </w:p>
    <w:p w14:paraId="659C6474" w14:textId="316FA173" w:rsidR="002560C6" w:rsidRPr="00205278" w:rsidRDefault="002560C6" w:rsidP="00BF1C72">
      <w:pPr>
        <w:autoSpaceDE w:val="0"/>
        <w:autoSpaceDN w:val="0"/>
        <w:adjustRightInd w:val="0"/>
        <w:rPr>
          <w:lang w:val="es-419" w:bidi="hi-IN"/>
        </w:rPr>
      </w:pPr>
    </w:p>
    <w:p w14:paraId="0A979CDE" w14:textId="60BAAA95" w:rsidR="00DB62F2" w:rsidRDefault="0004273B" w:rsidP="00BF1C72">
      <w:pPr>
        <w:pStyle w:val="0Heading0"/>
        <w:numPr>
          <w:ilvl w:val="0"/>
          <w:numId w:val="24"/>
        </w:numPr>
        <w:tabs>
          <w:tab w:val="left" w:pos="709"/>
        </w:tabs>
        <w:ind w:left="0" w:firstLine="0"/>
        <w:jc w:val="both"/>
      </w:pPr>
      <w:r>
        <w:t>El mecanismo de tipos de cambio fijos (FERM)</w:t>
      </w:r>
      <w:r>
        <w:rPr>
          <w:rStyle w:val="FootnoteReference"/>
          <w:lang w:val="en-US" w:bidi="hi-IN"/>
        </w:rPr>
        <w:footnoteReference w:id="4"/>
      </w:r>
      <w:r>
        <w:t xml:space="preserve"> se ha actualizado y refleja una pérdida debida al FERM de 32 777 234 $EUA desde sus inicios, que es inferior a los 33 638 558 $EUA que se comunicaron en la 82ª reunión.</w:t>
      </w:r>
    </w:p>
    <w:p w14:paraId="75699A28" w14:textId="130ED7A5" w:rsidR="00A23B3F" w:rsidRPr="00205278" w:rsidRDefault="00A23B3F" w:rsidP="00BF1C72">
      <w:pPr>
        <w:autoSpaceDE w:val="0"/>
        <w:autoSpaceDN w:val="0"/>
        <w:adjustRightInd w:val="0"/>
        <w:rPr>
          <w:b/>
          <w:bCs/>
          <w:lang w:val="es-419" w:bidi="hi-IN"/>
        </w:rPr>
      </w:pPr>
    </w:p>
    <w:p w14:paraId="6F4BE27F" w14:textId="77777777" w:rsidR="00DB62F2" w:rsidRPr="004B5029" w:rsidRDefault="009332A8" w:rsidP="00BF1C72">
      <w:pPr>
        <w:autoSpaceDE w:val="0"/>
        <w:autoSpaceDN w:val="0"/>
        <w:adjustRightInd w:val="0"/>
        <w:rPr>
          <w:b/>
          <w:bCs/>
        </w:rPr>
      </w:pPr>
      <w:r>
        <w:rPr>
          <w:b/>
          <w:bCs/>
        </w:rPr>
        <w:t>Medidas sobre las contribuciones pendientes</w:t>
      </w:r>
    </w:p>
    <w:p w14:paraId="4D3D069D" w14:textId="77777777" w:rsidR="00DB62F2" w:rsidRPr="004B5029" w:rsidRDefault="00DB62F2" w:rsidP="00BF1C72">
      <w:pPr>
        <w:autoSpaceDE w:val="0"/>
        <w:autoSpaceDN w:val="0"/>
        <w:adjustRightInd w:val="0"/>
        <w:rPr>
          <w:b/>
          <w:bCs/>
          <w:lang w:val="en-US" w:bidi="hi-IN"/>
        </w:rPr>
      </w:pPr>
    </w:p>
    <w:p w14:paraId="676CFA88" w14:textId="1AE48568" w:rsidR="002560C6" w:rsidRPr="002560C6" w:rsidRDefault="0093468D" w:rsidP="00BF1C72">
      <w:pPr>
        <w:pStyle w:val="ListParagraph"/>
        <w:numPr>
          <w:ilvl w:val="0"/>
          <w:numId w:val="24"/>
        </w:numPr>
        <w:autoSpaceDE w:val="0"/>
        <w:autoSpaceDN w:val="0"/>
        <w:adjustRightInd w:val="0"/>
        <w:ind w:left="0" w:firstLine="0"/>
      </w:pPr>
      <w:r>
        <w:t>En diciembre de 2018 y febrero de 2019, el Tesorero envió facturas a todas las Partes que no operan al amparo del Artículo 5 para sus contribuciones de 2019 al Fondo, así como recordatorios a las partes con promesas pendientes</w:t>
      </w:r>
      <w:r w:rsidR="00D94537" w:rsidRPr="004B5029">
        <w:rPr>
          <w:rStyle w:val="FootnoteReference"/>
        </w:rPr>
        <w:footnoteReference w:id="5"/>
      </w:r>
      <w:r>
        <w:t xml:space="preserve">, según los casos. </w:t>
      </w:r>
    </w:p>
    <w:p w14:paraId="319F7B07" w14:textId="77777777" w:rsidR="002560C6" w:rsidRPr="00205278" w:rsidRDefault="002560C6" w:rsidP="00BF1C72">
      <w:pPr>
        <w:pStyle w:val="ListParagraph"/>
        <w:autoSpaceDE w:val="0"/>
        <w:autoSpaceDN w:val="0"/>
        <w:adjustRightInd w:val="0"/>
        <w:ind w:left="0"/>
        <w:rPr>
          <w:lang w:val="es-419" w:bidi="hi-IN"/>
        </w:rPr>
      </w:pPr>
    </w:p>
    <w:p w14:paraId="0D559283" w14:textId="0FFC567F" w:rsidR="00175A33" w:rsidRPr="00F87189" w:rsidRDefault="002560C6" w:rsidP="00BF1C72">
      <w:pPr>
        <w:pStyle w:val="ListParagraph"/>
        <w:numPr>
          <w:ilvl w:val="0"/>
          <w:numId w:val="24"/>
        </w:numPr>
        <w:autoSpaceDE w:val="0"/>
        <w:autoSpaceDN w:val="0"/>
        <w:adjustRightInd w:val="0"/>
        <w:ind w:left="0" w:firstLine="0"/>
      </w:pPr>
      <w:r>
        <w:t>Como seguimiento a la decisión 82/1(h)</w:t>
      </w:r>
      <w:r w:rsidR="0050370D">
        <w:rPr>
          <w:rStyle w:val="FootnoteReference"/>
          <w:lang w:val="en-US" w:bidi="hi-IN"/>
        </w:rPr>
        <w:footnoteReference w:id="6"/>
      </w:r>
      <w:r>
        <w:t>, el Director realizó varias consultas, incluyendo discusiones bilaterales coincidiendo con la Segunda Reunión Mundial Interregional y Reuniones Paralelas de Redes de Oficiales Nacionales del Ozono</w:t>
      </w:r>
      <w:r w:rsidR="0050370D">
        <w:rPr>
          <w:rStyle w:val="FootnoteReference"/>
          <w:lang w:val="en-US" w:bidi="hi-IN"/>
        </w:rPr>
        <w:footnoteReference w:id="7"/>
      </w:r>
      <w:r>
        <w:t xml:space="preserve"> con los representantes del Gobierno de Azerbaiyán para estudiar opciones para empezar a hacer pagos al Fondo Multilateral, y proporcionar información relativa al nivel de las contribuciones evaluadas del país al Fondo y de su obligación de pagar de acuerdo con la escala de evaluación de las Naciones Unidas. Además, se invitó a representantes de los gobiernos pertinentes de países que no operan al amparo del Artículo 5 a una consulta telefónica para continuar el debate sobre el asunto. En la 83</w:t>
      </w:r>
      <w:r>
        <w:rPr>
          <w:vertAlign w:val="superscript"/>
        </w:rPr>
        <w:t>a </w:t>
      </w:r>
      <w:r>
        <w:t>reunión se proporcionará información actualizada, de haberla.</w:t>
      </w:r>
    </w:p>
    <w:p w14:paraId="4DCB3E1C" w14:textId="77777777" w:rsidR="00F87189" w:rsidRPr="00F87189" w:rsidRDefault="00F87189" w:rsidP="00BF1C72">
      <w:pPr>
        <w:pStyle w:val="ListParagraph"/>
        <w:autoSpaceDE w:val="0"/>
        <w:autoSpaceDN w:val="0"/>
        <w:adjustRightInd w:val="0"/>
        <w:ind w:left="0"/>
        <w:rPr>
          <w:lang w:bidi="hi-IN"/>
        </w:rPr>
      </w:pPr>
    </w:p>
    <w:p w14:paraId="2679AA27" w14:textId="64A88F79" w:rsidR="00C84C10" w:rsidRDefault="00DB62F2" w:rsidP="00FE55CA">
      <w:pPr>
        <w:jc w:val="left"/>
        <w:rPr>
          <w:b/>
          <w:bCs/>
        </w:rPr>
      </w:pPr>
      <w:r>
        <w:rPr>
          <w:b/>
          <w:bCs/>
        </w:rPr>
        <w:t>Recomendaciones</w:t>
      </w:r>
    </w:p>
    <w:p w14:paraId="248150F1" w14:textId="77777777" w:rsidR="00A92691" w:rsidRPr="004B5029" w:rsidRDefault="00A92691" w:rsidP="004B5029">
      <w:pPr>
        <w:autoSpaceDE w:val="0"/>
        <w:autoSpaceDN w:val="0"/>
        <w:adjustRightInd w:val="0"/>
        <w:rPr>
          <w:b/>
          <w:bCs/>
          <w:sz w:val="20"/>
          <w:szCs w:val="20"/>
          <w:lang w:val="en-US" w:bidi="hi-IN"/>
        </w:rPr>
      </w:pPr>
    </w:p>
    <w:p w14:paraId="100AFEED" w14:textId="77777777" w:rsidR="00DB62F2" w:rsidRPr="004B5029" w:rsidRDefault="00DB62F2" w:rsidP="008C2A62">
      <w:pPr>
        <w:pStyle w:val="ListParagraph"/>
        <w:numPr>
          <w:ilvl w:val="0"/>
          <w:numId w:val="24"/>
        </w:numPr>
        <w:autoSpaceDE w:val="0"/>
        <w:autoSpaceDN w:val="0"/>
        <w:adjustRightInd w:val="0"/>
        <w:spacing w:line="360" w:lineRule="auto"/>
        <w:ind w:left="0" w:firstLine="0"/>
      </w:pPr>
      <w:r>
        <w:t>El Comité Ejecutivo puede considerar oportuno:</w:t>
      </w:r>
    </w:p>
    <w:p w14:paraId="10E2879E" w14:textId="77777777" w:rsidR="00C84C10" w:rsidRPr="00205278" w:rsidRDefault="00C84C10" w:rsidP="004B5029">
      <w:pPr>
        <w:pStyle w:val="ListParagraph"/>
        <w:autoSpaceDE w:val="0"/>
        <w:autoSpaceDN w:val="0"/>
        <w:adjustRightInd w:val="0"/>
        <w:ind w:left="0"/>
        <w:rPr>
          <w:sz w:val="20"/>
          <w:szCs w:val="20"/>
          <w:lang w:val="es-419" w:bidi="hi-IN"/>
        </w:rPr>
      </w:pPr>
    </w:p>
    <w:p w14:paraId="338EF42D" w14:textId="46C6ECAB" w:rsidR="003474BC" w:rsidRDefault="00DB62F2" w:rsidP="0089788E">
      <w:pPr>
        <w:pStyle w:val="ListParagraph"/>
        <w:numPr>
          <w:ilvl w:val="0"/>
          <w:numId w:val="27"/>
        </w:numPr>
        <w:autoSpaceDE w:val="0"/>
        <w:autoSpaceDN w:val="0"/>
        <w:adjustRightInd w:val="0"/>
        <w:ind w:left="1417" w:hanging="697"/>
      </w:pPr>
      <w:r>
        <w:t xml:space="preserve">Tomar nota del informe del Tesorera sobre la situación de las contribuciones y los desembolsos, según figura en el anexo I del presente informe; </w:t>
      </w:r>
    </w:p>
    <w:p w14:paraId="2F43A463" w14:textId="77777777" w:rsidR="00C3147F" w:rsidRPr="00205278" w:rsidRDefault="00C3147F" w:rsidP="0089788E">
      <w:pPr>
        <w:pStyle w:val="ListParagraph"/>
        <w:autoSpaceDE w:val="0"/>
        <w:autoSpaceDN w:val="0"/>
        <w:adjustRightInd w:val="0"/>
        <w:ind w:left="1417"/>
        <w:rPr>
          <w:lang w:val="es-419" w:bidi="hi-IN"/>
        </w:rPr>
      </w:pPr>
    </w:p>
    <w:p w14:paraId="16E719A5" w14:textId="16945B51" w:rsidR="00B13470" w:rsidRPr="009A754F" w:rsidRDefault="00F87189" w:rsidP="009A754F">
      <w:pPr>
        <w:pStyle w:val="ListParagraph"/>
        <w:numPr>
          <w:ilvl w:val="0"/>
          <w:numId w:val="27"/>
        </w:numPr>
        <w:autoSpaceDE w:val="0"/>
        <w:autoSpaceDN w:val="0"/>
        <w:adjustRightInd w:val="0"/>
        <w:ind w:left="1418" w:hanging="698"/>
      </w:pPr>
      <w:r>
        <w:t>Tomar nota con beneplácito de las discusiones entre los representantes del Gobierno de Azerbaiyán y la Secretaría para invitar a que el Gobierno prosiga sus debates internos con miras a iniciar las contribuciones al Fondo Multilateral;</w:t>
      </w:r>
    </w:p>
    <w:p w14:paraId="0E1326D5" w14:textId="77777777" w:rsidR="008F1187" w:rsidRPr="00205278" w:rsidRDefault="008F1187" w:rsidP="0089788E">
      <w:pPr>
        <w:pStyle w:val="ListParagraph"/>
        <w:autoSpaceDE w:val="0"/>
        <w:autoSpaceDN w:val="0"/>
        <w:adjustRightInd w:val="0"/>
        <w:ind w:left="1418"/>
        <w:rPr>
          <w:lang w:val="es-419" w:bidi="hi-IN"/>
        </w:rPr>
      </w:pPr>
    </w:p>
    <w:p w14:paraId="3ACF82A4" w14:textId="6D16BE0F" w:rsidR="00915B48" w:rsidRDefault="00DB62F2" w:rsidP="0089788E">
      <w:pPr>
        <w:pStyle w:val="ListParagraph"/>
        <w:numPr>
          <w:ilvl w:val="0"/>
          <w:numId w:val="27"/>
        </w:numPr>
        <w:autoSpaceDE w:val="0"/>
        <w:autoSpaceDN w:val="0"/>
        <w:adjustRightInd w:val="0"/>
        <w:ind w:left="1417" w:hanging="697"/>
      </w:pPr>
      <w:r>
        <w:t>Instar a todas las Partes a pagar sus contribuciones al Fondo Multilateral íntegramente y lo antes posible; y</w:t>
      </w:r>
    </w:p>
    <w:p w14:paraId="06E78F1F" w14:textId="77777777" w:rsidR="003474BC" w:rsidRPr="00205278" w:rsidRDefault="003474BC" w:rsidP="0089788E">
      <w:pPr>
        <w:pStyle w:val="ListParagraph"/>
        <w:autoSpaceDE w:val="0"/>
        <w:autoSpaceDN w:val="0"/>
        <w:adjustRightInd w:val="0"/>
        <w:ind w:left="1418"/>
        <w:rPr>
          <w:lang w:val="es-419" w:bidi="hi-IN"/>
        </w:rPr>
      </w:pPr>
    </w:p>
    <w:p w14:paraId="5B8BCA74" w14:textId="2BA7A650" w:rsidR="00F87189" w:rsidRPr="00C3147F" w:rsidRDefault="00F87189" w:rsidP="0089788E">
      <w:pPr>
        <w:pStyle w:val="ListParagraph"/>
        <w:numPr>
          <w:ilvl w:val="0"/>
          <w:numId w:val="27"/>
        </w:numPr>
        <w:ind w:left="1418" w:hanging="698"/>
      </w:pPr>
      <w:r>
        <w:lastRenderedPageBreak/>
        <w:t>Pedir al Director y al Tesorero que sigan en contacto con las Partes que tengan contribuciones pendientes de un trienio o más e informen al respecto en la 84ª reunión.</w:t>
      </w:r>
    </w:p>
    <w:p w14:paraId="45D3B428" w14:textId="77777777" w:rsidR="00C84C10" w:rsidRPr="00205278" w:rsidRDefault="00C84C10" w:rsidP="004B5029">
      <w:pPr>
        <w:autoSpaceDE w:val="0"/>
        <w:autoSpaceDN w:val="0"/>
        <w:adjustRightInd w:val="0"/>
        <w:rPr>
          <w:sz w:val="20"/>
          <w:szCs w:val="20"/>
          <w:lang w:val="es-419" w:bidi="hi-IN"/>
        </w:rPr>
      </w:pPr>
    </w:p>
    <w:p w14:paraId="444FD04B" w14:textId="1CE71BE7" w:rsidR="00A8491C" w:rsidRDefault="00A8491C" w:rsidP="00FE55D9"/>
    <w:sectPr w:rsidR="00A8491C"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193232" w14:textId="77777777" w:rsidR="007E4D6A" w:rsidRDefault="007E4D6A" w:rsidP="004A504B">
      <w:r>
        <w:separator/>
      </w:r>
    </w:p>
  </w:endnote>
  <w:endnote w:type="continuationSeparator" w:id="0">
    <w:p w14:paraId="33DDFAFA" w14:textId="77777777" w:rsidR="007E4D6A" w:rsidRDefault="007E4D6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60F67" w14:textId="22AB9CE0" w:rsidR="00DC6A10" w:rsidRPr="0033525D" w:rsidRDefault="005A68C5">
    <w:pPr>
      <w:jc w:val="center"/>
    </w:pPr>
    <w:r>
      <w:fldChar w:fldCharType="begin"/>
    </w:r>
    <w:r w:rsidR="00FF1B8E">
      <w:instrText xml:space="preserve"> PAGE </w:instrText>
    </w:r>
    <w:r>
      <w:fldChar w:fldCharType="separate"/>
    </w:r>
    <w:r w:rsidR="005C2874">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29D40" w14:textId="3B7DBD7B" w:rsidR="00DC6A10" w:rsidRPr="0033525D" w:rsidRDefault="005A68C5">
    <w:pPr>
      <w:jc w:val="center"/>
    </w:pPr>
    <w:r>
      <w:fldChar w:fldCharType="begin"/>
    </w:r>
    <w:r w:rsidR="00FF1B8E">
      <w:instrText xml:space="preserve"> PAGE </w:instrText>
    </w:r>
    <w:r>
      <w:fldChar w:fldCharType="separate"/>
    </w:r>
    <w:r w:rsidR="005C2874">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2413D" w14:textId="77777777" w:rsidR="004E7F9C" w:rsidRPr="007F04CA"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7F04CA">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F6DB8E5" w14:textId="77777777" w:rsidR="004E7F9C" w:rsidRPr="007F04CA" w:rsidRDefault="004E7F9C"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7C5B5" w14:textId="77777777" w:rsidR="007E4D6A" w:rsidRDefault="007E4D6A" w:rsidP="004A504B">
      <w:r>
        <w:separator/>
      </w:r>
    </w:p>
  </w:footnote>
  <w:footnote w:type="continuationSeparator" w:id="0">
    <w:p w14:paraId="1C20B9DC" w14:textId="77777777" w:rsidR="007E4D6A" w:rsidRDefault="007E4D6A" w:rsidP="004A504B">
      <w:r>
        <w:continuationSeparator/>
      </w:r>
    </w:p>
  </w:footnote>
  <w:footnote w:id="1">
    <w:p w14:paraId="095D2361" w14:textId="77777777" w:rsidR="00DB62F2" w:rsidRPr="004B5029" w:rsidRDefault="00DB62F2" w:rsidP="004B5029">
      <w:pPr>
        <w:pStyle w:val="FootnoteText"/>
      </w:pPr>
      <w:r>
        <w:rPr>
          <w:rStyle w:val="FootnoteReference"/>
        </w:rPr>
        <w:footnoteRef/>
      </w:r>
      <w:r>
        <w:t xml:space="preserve"> El Comité Ejecutivo pidió que la explicación de la metodología y los supuestos utilizados por el Tesorero estén disponibles en la intranet (decisión 40/2(b)(i)). Este registro de los supuestos y de la metodología publicados por primera vez en el documento del informe del Tesorero UNEP/OzL.Pro/ExCom/39/3/Rev.1 todavía está disponible para consulta de los miembros del Comité Ejecutivo en el área restringida del sitio web del Fondo Multilateral.</w:t>
      </w:r>
    </w:p>
  </w:footnote>
  <w:footnote w:id="2">
    <w:p w14:paraId="1098E0C3" w14:textId="6987477C" w:rsidR="000D66A8" w:rsidRDefault="000D66A8" w:rsidP="000D66A8">
      <w:pPr>
        <w:rPr>
          <w:sz w:val="20"/>
          <w:szCs w:val="20"/>
        </w:rPr>
      </w:pPr>
      <w:r>
        <w:rPr>
          <w:rStyle w:val="FootnoteReference"/>
        </w:rPr>
        <w:footnoteRef/>
      </w:r>
      <w:r>
        <w:t xml:space="preserve"> </w:t>
      </w:r>
      <w:r>
        <w:rPr>
          <w:sz w:val="20"/>
          <w:szCs w:val="20"/>
        </w:rPr>
        <w:t>El Comité Ejecutivo pidió al Tesorero que distribuyera a la Secretaría y a los organismos de ejecución, antes de cada reunión del Comité Ejecutivo, un libro de contabilidad que indique cuándo se transfieren, reciben y cobran los pagarés (decisión 45/59(f)(i)).</w:t>
      </w:r>
    </w:p>
    <w:p w14:paraId="05CE3EFC" w14:textId="007706F3" w:rsidR="001278D6" w:rsidRPr="00205278" w:rsidRDefault="001278D6" w:rsidP="000D66A8">
      <w:pPr>
        <w:rPr>
          <w:lang w:val="es-419"/>
        </w:rPr>
      </w:pPr>
    </w:p>
    <w:p w14:paraId="71524562" w14:textId="77777777" w:rsidR="009A754F" w:rsidRPr="00205278" w:rsidRDefault="009A754F" w:rsidP="000D66A8">
      <w:pPr>
        <w:rPr>
          <w:lang w:val="es-419"/>
        </w:rPr>
      </w:pPr>
    </w:p>
  </w:footnote>
  <w:footnote w:id="3">
    <w:p w14:paraId="709539A2" w14:textId="60D98438" w:rsidR="002560C6" w:rsidRPr="002560C6" w:rsidRDefault="002560C6">
      <w:pPr>
        <w:pStyle w:val="FootnoteText"/>
      </w:pPr>
      <w:r>
        <w:rPr>
          <w:rStyle w:val="FootnoteReference"/>
        </w:rPr>
        <w:footnoteRef/>
      </w:r>
      <w:r>
        <w:t>En respuesta a la decisión 41/2, se podrá disponer de la lista de contribuciones pendientes para ciertos países con economías en transición si se solicita.</w:t>
      </w:r>
    </w:p>
  </w:footnote>
  <w:footnote w:id="4">
    <w:p w14:paraId="742EFBA7" w14:textId="219E9A40" w:rsidR="0004273B" w:rsidRPr="0004273B" w:rsidRDefault="0004273B">
      <w:pPr>
        <w:pStyle w:val="FootnoteText"/>
      </w:pPr>
      <w:r>
        <w:rPr>
          <w:rStyle w:val="FootnoteReference"/>
        </w:rPr>
        <w:footnoteRef/>
      </w:r>
      <w:r>
        <w:t xml:space="preserve"> Un total de 13 Partes optaron por utilizar el FERM para el trienio 2018-2020, de conformidad con la decisión 81/1(b).</w:t>
      </w:r>
    </w:p>
  </w:footnote>
  <w:footnote w:id="5">
    <w:p w14:paraId="1697ABA2" w14:textId="3C4CF205" w:rsidR="00470B6F" w:rsidRPr="000D0558" w:rsidRDefault="00D94537">
      <w:pPr>
        <w:pStyle w:val="FootnoteText"/>
      </w:pPr>
      <w:r>
        <w:rPr>
          <w:rStyle w:val="FootnoteReference"/>
        </w:rPr>
        <w:footnoteRef/>
      </w:r>
      <w:r>
        <w:t xml:space="preserve"> En respuesta a la decisión XI/6, párrafo 7 (en la que se instaba a las Partes a procurar pagar sus contribuciones lo antes posible en el año civil); a la decisión XVII/41, párrafo 5 (en la que se instaba a las Partes a que paguen sus contribuciones al Fondo íntegramente y lo antes posible); y a la decisión XVI/37 (en la que se instaba a algunas Partes que nunca han pagado sus contribuciones al Fondo o lo han hecho por un importe inferior a su contribución, a hacerlo lo antes posible).</w:t>
      </w:r>
    </w:p>
  </w:footnote>
  <w:footnote w:id="6">
    <w:p w14:paraId="0608C821" w14:textId="2095A9BD" w:rsidR="0050370D" w:rsidRPr="0050370D" w:rsidRDefault="0050370D">
      <w:pPr>
        <w:pStyle w:val="FootnoteText"/>
      </w:pPr>
      <w:r>
        <w:rPr>
          <w:rStyle w:val="FootnoteReference"/>
        </w:rPr>
        <w:footnoteRef/>
      </w:r>
      <w:r>
        <w:t xml:space="preserve"> Se pidió al Director y al Tesorero que continúen con el seguimiento de los países que tenían contribuciones pendientes para un trienio o más y que informen al respecto en la 83ª reunión.</w:t>
      </w:r>
    </w:p>
  </w:footnote>
  <w:footnote w:id="7">
    <w:p w14:paraId="1146DB1C" w14:textId="4B0A459C" w:rsidR="0050370D" w:rsidRPr="0050370D" w:rsidRDefault="0050370D">
      <w:pPr>
        <w:pStyle w:val="FootnoteText"/>
      </w:pPr>
      <w:r>
        <w:rPr>
          <w:rStyle w:val="FootnoteReference"/>
        </w:rPr>
        <w:footnoteRef/>
      </w:r>
      <w:r>
        <w:t xml:space="preserve"> París, Francia, 17-20 de febrero de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381ED" w14:textId="57558B1D" w:rsidR="00DC6A10" w:rsidRDefault="007E4D6A">
    <w:r>
      <w:fldChar w:fldCharType="begin"/>
    </w:r>
    <w:r>
      <w:instrText xml:space="preserve"> DOCPROPERTY "Document number"  \* MERGEFORMAT </w:instrText>
    </w:r>
    <w:r>
      <w:fldChar w:fldCharType="separate"/>
    </w:r>
    <w:r w:rsidR="00205278">
      <w:t>UNEP/</w:t>
    </w:r>
    <w:proofErr w:type="spellStart"/>
    <w:r w:rsidR="00205278">
      <w:t>OzL.Pro</w:t>
    </w:r>
    <w:proofErr w:type="spellEnd"/>
    <w:r w:rsidR="00205278">
      <w:t>/</w:t>
    </w:r>
    <w:proofErr w:type="spellStart"/>
    <w:r w:rsidR="00205278">
      <w:t>ExCom</w:t>
    </w:r>
    <w:proofErr w:type="spellEnd"/>
    <w:r w:rsidR="00205278">
      <w:t>/83/3</w:t>
    </w:r>
    <w:r>
      <w:fldChar w:fldCharType="end"/>
    </w:r>
  </w:p>
  <w:p w14:paraId="5A3DB77A" w14:textId="5EECBD54" w:rsidR="009A754F" w:rsidRPr="004B5029" w:rsidRDefault="009A754F">
    <w:pPr>
      <w:rPr>
        <w:sz w:val="16"/>
        <w:szCs w:val="16"/>
      </w:rPr>
    </w:pPr>
  </w:p>
  <w:p w14:paraId="3CF0EA7E" w14:textId="28F688D0" w:rsidR="00DC6A10" w:rsidRDefault="00DC6A10">
    <w:pPr>
      <w:rPr>
        <w:sz w:val="14"/>
        <w:szCs w:val="14"/>
      </w:rPr>
    </w:pPr>
  </w:p>
  <w:p w14:paraId="14EB6024" w14:textId="77777777" w:rsidR="00017C79" w:rsidRPr="004B5029" w:rsidRDefault="00017C79">
    <w:pPr>
      <w:rPr>
        <w:sz w:val="14"/>
        <w:szCs w:val="1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30E1F" w14:textId="6D083C1D" w:rsidR="00DC6A10" w:rsidRPr="0033525D" w:rsidRDefault="007E4D6A">
    <w:pPr>
      <w:jc w:val="right"/>
    </w:pPr>
    <w:r>
      <w:fldChar w:fldCharType="begin"/>
    </w:r>
    <w:r>
      <w:instrText xml:space="preserve"> DOCPROPERTY "Document number"  \* MERGEFORMAT </w:instrText>
    </w:r>
    <w:r>
      <w:fldChar w:fldCharType="separate"/>
    </w:r>
    <w:r w:rsidR="00205278">
      <w:t>UNEP/</w:t>
    </w:r>
    <w:proofErr w:type="spellStart"/>
    <w:r w:rsidR="00205278">
      <w:t>OzL.Pro</w:t>
    </w:r>
    <w:proofErr w:type="spellEnd"/>
    <w:r w:rsidR="00205278">
      <w:t>/</w:t>
    </w:r>
    <w:proofErr w:type="spellStart"/>
    <w:r w:rsidR="00205278">
      <w:t>ExCom</w:t>
    </w:r>
    <w:proofErr w:type="spellEnd"/>
    <w:r w:rsidR="00205278">
      <w:t>/83/3</w:t>
    </w:r>
    <w:r>
      <w:fldChar w:fldCharType="end"/>
    </w:r>
  </w:p>
  <w:p w14:paraId="0581A0A5" w14:textId="36A5BA4C" w:rsidR="00DC6A10" w:rsidRDefault="00017C79" w:rsidP="00017C79">
    <w:pPr>
      <w:pStyle w:val="Header"/>
      <w:tabs>
        <w:tab w:val="clear" w:pos="4320"/>
        <w:tab w:val="clear" w:pos="8640"/>
        <w:tab w:val="left" w:pos="7518"/>
      </w:tabs>
    </w:pPr>
    <w:r>
      <w:tab/>
    </w:r>
  </w:p>
  <w:p w14:paraId="0EE8B84D" w14:textId="77777777" w:rsidR="00017C79" w:rsidRPr="0033525D" w:rsidRDefault="00017C79" w:rsidP="00017C79">
    <w:pPr>
      <w:pStyle w:val="Header"/>
      <w:tabs>
        <w:tab w:val="clear" w:pos="4320"/>
        <w:tab w:val="clear" w:pos="8640"/>
        <w:tab w:val="left" w:pos="751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6B29CE"/>
    <w:multiLevelType w:val="hybridMultilevel"/>
    <w:tmpl w:val="B552A82E"/>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55464B"/>
    <w:multiLevelType w:val="hybridMultilevel"/>
    <w:tmpl w:val="471C8896"/>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9C4769"/>
    <w:multiLevelType w:val="hybridMultilevel"/>
    <w:tmpl w:val="D838555C"/>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23148BC"/>
    <w:multiLevelType w:val="hybridMultilevel"/>
    <w:tmpl w:val="FB02FD60"/>
    <w:lvl w:ilvl="0" w:tplc="52782D9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5E807F6"/>
    <w:multiLevelType w:val="hybridMultilevel"/>
    <w:tmpl w:val="C7D24A66"/>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8"/>
  </w:num>
  <w:num w:numId="19">
    <w:abstractNumId w:val="21"/>
  </w:num>
  <w:num w:numId="20">
    <w:abstractNumId w:val="14"/>
  </w:num>
  <w:num w:numId="21">
    <w:abstractNumId w:val="1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0"/>
  </w:num>
  <w:num w:numId="25">
    <w:abstractNumId w:val="19"/>
  </w:num>
  <w:num w:numId="26">
    <w:abstractNumId w:val="15"/>
  </w:num>
  <w:num w:numId="27">
    <w:abstractNumId w:val="11"/>
  </w:num>
  <w:num w:numId="2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5D9"/>
    <w:rsid w:val="00000FED"/>
    <w:rsid w:val="0000319A"/>
    <w:rsid w:val="0000434E"/>
    <w:rsid w:val="000119D3"/>
    <w:rsid w:val="00012E5A"/>
    <w:rsid w:val="00017C79"/>
    <w:rsid w:val="00026B26"/>
    <w:rsid w:val="00027178"/>
    <w:rsid w:val="00031260"/>
    <w:rsid w:val="0003681A"/>
    <w:rsid w:val="0004273B"/>
    <w:rsid w:val="000553C6"/>
    <w:rsid w:val="00065D34"/>
    <w:rsid w:val="0006690E"/>
    <w:rsid w:val="00080ED0"/>
    <w:rsid w:val="00084A9F"/>
    <w:rsid w:val="00085B8F"/>
    <w:rsid w:val="00090481"/>
    <w:rsid w:val="0009071C"/>
    <w:rsid w:val="0009314D"/>
    <w:rsid w:val="000D0558"/>
    <w:rsid w:val="000D52C8"/>
    <w:rsid w:val="000D66A8"/>
    <w:rsid w:val="000E07BC"/>
    <w:rsid w:val="000E46B3"/>
    <w:rsid w:val="000E666D"/>
    <w:rsid w:val="000F1CD4"/>
    <w:rsid w:val="000F3C50"/>
    <w:rsid w:val="000F4103"/>
    <w:rsid w:val="000F70A7"/>
    <w:rsid w:val="001049B8"/>
    <w:rsid w:val="00123EA2"/>
    <w:rsid w:val="001278D6"/>
    <w:rsid w:val="00135980"/>
    <w:rsid w:val="00143D53"/>
    <w:rsid w:val="00162A7F"/>
    <w:rsid w:val="0016370E"/>
    <w:rsid w:val="00164719"/>
    <w:rsid w:val="00166FC4"/>
    <w:rsid w:val="001677AC"/>
    <w:rsid w:val="00175A33"/>
    <w:rsid w:val="00180D53"/>
    <w:rsid w:val="00181407"/>
    <w:rsid w:val="00183765"/>
    <w:rsid w:val="00190A61"/>
    <w:rsid w:val="00192BCB"/>
    <w:rsid w:val="00192D55"/>
    <w:rsid w:val="00194C25"/>
    <w:rsid w:val="001A113A"/>
    <w:rsid w:val="001A3342"/>
    <w:rsid w:val="001A3E3D"/>
    <w:rsid w:val="001A43BA"/>
    <w:rsid w:val="001B1E40"/>
    <w:rsid w:val="001B3255"/>
    <w:rsid w:val="001C764E"/>
    <w:rsid w:val="001D3816"/>
    <w:rsid w:val="001E1052"/>
    <w:rsid w:val="001E21B1"/>
    <w:rsid w:val="001E2CEB"/>
    <w:rsid w:val="001E2E4C"/>
    <w:rsid w:val="001E2F93"/>
    <w:rsid w:val="001E3984"/>
    <w:rsid w:val="001E61E5"/>
    <w:rsid w:val="001F2159"/>
    <w:rsid w:val="00201195"/>
    <w:rsid w:val="00205278"/>
    <w:rsid w:val="00205F60"/>
    <w:rsid w:val="00210345"/>
    <w:rsid w:val="00233108"/>
    <w:rsid w:val="00243A8A"/>
    <w:rsid w:val="0025136C"/>
    <w:rsid w:val="00253222"/>
    <w:rsid w:val="00253DE6"/>
    <w:rsid w:val="002560C6"/>
    <w:rsid w:val="002772A9"/>
    <w:rsid w:val="0028468A"/>
    <w:rsid w:val="00291880"/>
    <w:rsid w:val="00291DF3"/>
    <w:rsid w:val="00295F40"/>
    <w:rsid w:val="002A745D"/>
    <w:rsid w:val="002B48F9"/>
    <w:rsid w:val="002B72E9"/>
    <w:rsid w:val="002C1FA7"/>
    <w:rsid w:val="002D7198"/>
    <w:rsid w:val="002F7A0E"/>
    <w:rsid w:val="0030065C"/>
    <w:rsid w:val="003054D4"/>
    <w:rsid w:val="003058AD"/>
    <w:rsid w:val="003058EF"/>
    <w:rsid w:val="00307EFF"/>
    <w:rsid w:val="00311465"/>
    <w:rsid w:val="003177F9"/>
    <w:rsid w:val="00326274"/>
    <w:rsid w:val="003306E1"/>
    <w:rsid w:val="003315BC"/>
    <w:rsid w:val="003320E4"/>
    <w:rsid w:val="0033525D"/>
    <w:rsid w:val="003414F3"/>
    <w:rsid w:val="003474BC"/>
    <w:rsid w:val="0035613E"/>
    <w:rsid w:val="00363EE9"/>
    <w:rsid w:val="00376128"/>
    <w:rsid w:val="0037742E"/>
    <w:rsid w:val="0038245A"/>
    <w:rsid w:val="0039337A"/>
    <w:rsid w:val="003A3156"/>
    <w:rsid w:val="003A3189"/>
    <w:rsid w:val="003B3973"/>
    <w:rsid w:val="003B3AB8"/>
    <w:rsid w:val="003B569D"/>
    <w:rsid w:val="003B6E65"/>
    <w:rsid w:val="003C3C0E"/>
    <w:rsid w:val="003D2022"/>
    <w:rsid w:val="003D4FAC"/>
    <w:rsid w:val="003D628D"/>
    <w:rsid w:val="003E7906"/>
    <w:rsid w:val="003F3C50"/>
    <w:rsid w:val="00406A6A"/>
    <w:rsid w:val="00406B22"/>
    <w:rsid w:val="00412C9F"/>
    <w:rsid w:val="00424E20"/>
    <w:rsid w:val="00426C30"/>
    <w:rsid w:val="004301A8"/>
    <w:rsid w:val="0043185F"/>
    <w:rsid w:val="004328A7"/>
    <w:rsid w:val="00434C74"/>
    <w:rsid w:val="00456EB4"/>
    <w:rsid w:val="004574AC"/>
    <w:rsid w:val="00470B6F"/>
    <w:rsid w:val="004718F3"/>
    <w:rsid w:val="00471F37"/>
    <w:rsid w:val="004734C9"/>
    <w:rsid w:val="00475040"/>
    <w:rsid w:val="00493D40"/>
    <w:rsid w:val="004A504B"/>
    <w:rsid w:val="004A6911"/>
    <w:rsid w:val="004B3220"/>
    <w:rsid w:val="004B5029"/>
    <w:rsid w:val="004B54E0"/>
    <w:rsid w:val="004B7384"/>
    <w:rsid w:val="004C4269"/>
    <w:rsid w:val="004D6236"/>
    <w:rsid w:val="004D6FF4"/>
    <w:rsid w:val="004E174C"/>
    <w:rsid w:val="004E4DBB"/>
    <w:rsid w:val="004E794A"/>
    <w:rsid w:val="004E7F9C"/>
    <w:rsid w:val="004F3493"/>
    <w:rsid w:val="0050370D"/>
    <w:rsid w:val="00512B09"/>
    <w:rsid w:val="00513061"/>
    <w:rsid w:val="00513FD5"/>
    <w:rsid w:val="005240BA"/>
    <w:rsid w:val="00526118"/>
    <w:rsid w:val="00537826"/>
    <w:rsid w:val="00555D75"/>
    <w:rsid w:val="00556291"/>
    <w:rsid w:val="00560DF0"/>
    <w:rsid w:val="00586776"/>
    <w:rsid w:val="005A0D84"/>
    <w:rsid w:val="005A68C5"/>
    <w:rsid w:val="005A6DF4"/>
    <w:rsid w:val="005B0F53"/>
    <w:rsid w:val="005B48FF"/>
    <w:rsid w:val="005B57E9"/>
    <w:rsid w:val="005C2874"/>
    <w:rsid w:val="005D1538"/>
    <w:rsid w:val="005D1992"/>
    <w:rsid w:val="005D4489"/>
    <w:rsid w:val="005E050F"/>
    <w:rsid w:val="005F1E1A"/>
    <w:rsid w:val="006038F4"/>
    <w:rsid w:val="00611357"/>
    <w:rsid w:val="00612F2F"/>
    <w:rsid w:val="006141C1"/>
    <w:rsid w:val="00614559"/>
    <w:rsid w:val="006158D5"/>
    <w:rsid w:val="00625D83"/>
    <w:rsid w:val="00647986"/>
    <w:rsid w:val="00661A18"/>
    <w:rsid w:val="006623E7"/>
    <w:rsid w:val="00662808"/>
    <w:rsid w:val="00662B80"/>
    <w:rsid w:val="00683942"/>
    <w:rsid w:val="006845D1"/>
    <w:rsid w:val="006852C7"/>
    <w:rsid w:val="00694E2F"/>
    <w:rsid w:val="006A7948"/>
    <w:rsid w:val="006C1727"/>
    <w:rsid w:val="006C32FD"/>
    <w:rsid w:val="006D0831"/>
    <w:rsid w:val="006D0FCC"/>
    <w:rsid w:val="006D1F06"/>
    <w:rsid w:val="006E0D57"/>
    <w:rsid w:val="006E1D8A"/>
    <w:rsid w:val="006F38F4"/>
    <w:rsid w:val="0070466B"/>
    <w:rsid w:val="0070616B"/>
    <w:rsid w:val="00706FDA"/>
    <w:rsid w:val="00711F9A"/>
    <w:rsid w:val="00713810"/>
    <w:rsid w:val="00725796"/>
    <w:rsid w:val="007265B9"/>
    <w:rsid w:val="007303A5"/>
    <w:rsid w:val="00730B3E"/>
    <w:rsid w:val="0073260B"/>
    <w:rsid w:val="0073420B"/>
    <w:rsid w:val="0074760E"/>
    <w:rsid w:val="00751651"/>
    <w:rsid w:val="00754ABA"/>
    <w:rsid w:val="00760101"/>
    <w:rsid w:val="00760F9F"/>
    <w:rsid w:val="0076264F"/>
    <w:rsid w:val="00765456"/>
    <w:rsid w:val="007724C7"/>
    <w:rsid w:val="00784688"/>
    <w:rsid w:val="00796AAF"/>
    <w:rsid w:val="007A1546"/>
    <w:rsid w:val="007A228C"/>
    <w:rsid w:val="007A368E"/>
    <w:rsid w:val="007A5868"/>
    <w:rsid w:val="007B04CE"/>
    <w:rsid w:val="007B2449"/>
    <w:rsid w:val="007B36FF"/>
    <w:rsid w:val="007B6871"/>
    <w:rsid w:val="007B791F"/>
    <w:rsid w:val="007C3D33"/>
    <w:rsid w:val="007C4113"/>
    <w:rsid w:val="007D294A"/>
    <w:rsid w:val="007D3CB9"/>
    <w:rsid w:val="007D47D2"/>
    <w:rsid w:val="007D6EC0"/>
    <w:rsid w:val="007D7E1D"/>
    <w:rsid w:val="007E2680"/>
    <w:rsid w:val="007E4D6A"/>
    <w:rsid w:val="007E5818"/>
    <w:rsid w:val="007F04CA"/>
    <w:rsid w:val="007F071B"/>
    <w:rsid w:val="007F5D4C"/>
    <w:rsid w:val="00810A3E"/>
    <w:rsid w:val="00813B1D"/>
    <w:rsid w:val="008305DE"/>
    <w:rsid w:val="00841E33"/>
    <w:rsid w:val="008551C7"/>
    <w:rsid w:val="0086001B"/>
    <w:rsid w:val="00863230"/>
    <w:rsid w:val="0086597E"/>
    <w:rsid w:val="00867BE6"/>
    <w:rsid w:val="00871786"/>
    <w:rsid w:val="008717D8"/>
    <w:rsid w:val="0087215C"/>
    <w:rsid w:val="008801B0"/>
    <w:rsid w:val="00882A95"/>
    <w:rsid w:val="0088383F"/>
    <w:rsid w:val="008875FE"/>
    <w:rsid w:val="00887F8E"/>
    <w:rsid w:val="008923B9"/>
    <w:rsid w:val="00896234"/>
    <w:rsid w:val="00897734"/>
    <w:rsid w:val="0089788E"/>
    <w:rsid w:val="00897E43"/>
    <w:rsid w:val="008B4C63"/>
    <w:rsid w:val="008C2A62"/>
    <w:rsid w:val="008C4731"/>
    <w:rsid w:val="008C5738"/>
    <w:rsid w:val="008C736A"/>
    <w:rsid w:val="008C7EAD"/>
    <w:rsid w:val="008D4C1F"/>
    <w:rsid w:val="008D6152"/>
    <w:rsid w:val="008F0F81"/>
    <w:rsid w:val="008F1187"/>
    <w:rsid w:val="00914E6E"/>
    <w:rsid w:val="00915322"/>
    <w:rsid w:val="00915B48"/>
    <w:rsid w:val="0091618C"/>
    <w:rsid w:val="00923540"/>
    <w:rsid w:val="0092421C"/>
    <w:rsid w:val="00926767"/>
    <w:rsid w:val="009332A8"/>
    <w:rsid w:val="0093468D"/>
    <w:rsid w:val="009361D5"/>
    <w:rsid w:val="00936739"/>
    <w:rsid w:val="0094146E"/>
    <w:rsid w:val="00943014"/>
    <w:rsid w:val="0095036F"/>
    <w:rsid w:val="00960953"/>
    <w:rsid w:val="009659F4"/>
    <w:rsid w:val="00970D60"/>
    <w:rsid w:val="00991618"/>
    <w:rsid w:val="00994D4F"/>
    <w:rsid w:val="009A754F"/>
    <w:rsid w:val="009A7ADC"/>
    <w:rsid w:val="009B2CC4"/>
    <w:rsid w:val="009C19B7"/>
    <w:rsid w:val="009C51EC"/>
    <w:rsid w:val="009C7F65"/>
    <w:rsid w:val="009D7C51"/>
    <w:rsid w:val="009E554C"/>
    <w:rsid w:val="009F36BF"/>
    <w:rsid w:val="00A111B6"/>
    <w:rsid w:val="00A21E9D"/>
    <w:rsid w:val="00A23B3F"/>
    <w:rsid w:val="00A42A99"/>
    <w:rsid w:val="00A5151A"/>
    <w:rsid w:val="00A51F71"/>
    <w:rsid w:val="00A647F8"/>
    <w:rsid w:val="00A823F6"/>
    <w:rsid w:val="00A8491C"/>
    <w:rsid w:val="00A91686"/>
    <w:rsid w:val="00A924D8"/>
    <w:rsid w:val="00A92691"/>
    <w:rsid w:val="00AA0A89"/>
    <w:rsid w:val="00AA2F06"/>
    <w:rsid w:val="00AB5E7E"/>
    <w:rsid w:val="00AB7364"/>
    <w:rsid w:val="00AC01AA"/>
    <w:rsid w:val="00AC0EF6"/>
    <w:rsid w:val="00AC4F72"/>
    <w:rsid w:val="00AC7B4E"/>
    <w:rsid w:val="00AD2632"/>
    <w:rsid w:val="00AD4BF6"/>
    <w:rsid w:val="00AD643E"/>
    <w:rsid w:val="00AF467C"/>
    <w:rsid w:val="00AF4873"/>
    <w:rsid w:val="00AF55C4"/>
    <w:rsid w:val="00AF741A"/>
    <w:rsid w:val="00B00179"/>
    <w:rsid w:val="00B04161"/>
    <w:rsid w:val="00B056F9"/>
    <w:rsid w:val="00B10BA2"/>
    <w:rsid w:val="00B11E3D"/>
    <w:rsid w:val="00B13470"/>
    <w:rsid w:val="00B17E82"/>
    <w:rsid w:val="00B219C0"/>
    <w:rsid w:val="00B33DD9"/>
    <w:rsid w:val="00B43BF0"/>
    <w:rsid w:val="00B54416"/>
    <w:rsid w:val="00B575BA"/>
    <w:rsid w:val="00B759CB"/>
    <w:rsid w:val="00B76429"/>
    <w:rsid w:val="00B76776"/>
    <w:rsid w:val="00B801BB"/>
    <w:rsid w:val="00B818C0"/>
    <w:rsid w:val="00B956D4"/>
    <w:rsid w:val="00B9617C"/>
    <w:rsid w:val="00BA7432"/>
    <w:rsid w:val="00BB70F8"/>
    <w:rsid w:val="00BC1AA0"/>
    <w:rsid w:val="00BC4AB0"/>
    <w:rsid w:val="00BC7EB9"/>
    <w:rsid w:val="00BD2643"/>
    <w:rsid w:val="00BD6558"/>
    <w:rsid w:val="00BF1C72"/>
    <w:rsid w:val="00BF23F5"/>
    <w:rsid w:val="00BF3214"/>
    <w:rsid w:val="00C15867"/>
    <w:rsid w:val="00C2296D"/>
    <w:rsid w:val="00C23155"/>
    <w:rsid w:val="00C3147F"/>
    <w:rsid w:val="00C40BB9"/>
    <w:rsid w:val="00C40C41"/>
    <w:rsid w:val="00C43175"/>
    <w:rsid w:val="00C45885"/>
    <w:rsid w:val="00C50F22"/>
    <w:rsid w:val="00C57971"/>
    <w:rsid w:val="00C7533A"/>
    <w:rsid w:val="00C76BA4"/>
    <w:rsid w:val="00C76FEB"/>
    <w:rsid w:val="00C82932"/>
    <w:rsid w:val="00C82ACE"/>
    <w:rsid w:val="00C83A48"/>
    <w:rsid w:val="00C84C10"/>
    <w:rsid w:val="00C85865"/>
    <w:rsid w:val="00C85E85"/>
    <w:rsid w:val="00CA1099"/>
    <w:rsid w:val="00CA1FC1"/>
    <w:rsid w:val="00CA291C"/>
    <w:rsid w:val="00CA2EAE"/>
    <w:rsid w:val="00CA4AC1"/>
    <w:rsid w:val="00CA4B39"/>
    <w:rsid w:val="00CB0316"/>
    <w:rsid w:val="00CB0B11"/>
    <w:rsid w:val="00CB1E48"/>
    <w:rsid w:val="00CB5354"/>
    <w:rsid w:val="00CC6A14"/>
    <w:rsid w:val="00CC70A3"/>
    <w:rsid w:val="00CD1C54"/>
    <w:rsid w:val="00CD53C3"/>
    <w:rsid w:val="00CD574E"/>
    <w:rsid w:val="00CE4C22"/>
    <w:rsid w:val="00CF41EC"/>
    <w:rsid w:val="00CF51DB"/>
    <w:rsid w:val="00CF5D04"/>
    <w:rsid w:val="00D04DE4"/>
    <w:rsid w:val="00D063F1"/>
    <w:rsid w:val="00D07B47"/>
    <w:rsid w:val="00D14F22"/>
    <w:rsid w:val="00D15400"/>
    <w:rsid w:val="00D24723"/>
    <w:rsid w:val="00D35272"/>
    <w:rsid w:val="00D4718A"/>
    <w:rsid w:val="00D507B1"/>
    <w:rsid w:val="00D57918"/>
    <w:rsid w:val="00D60043"/>
    <w:rsid w:val="00D73DC6"/>
    <w:rsid w:val="00D74C1A"/>
    <w:rsid w:val="00D754C1"/>
    <w:rsid w:val="00D77A35"/>
    <w:rsid w:val="00D81B3E"/>
    <w:rsid w:val="00D90C70"/>
    <w:rsid w:val="00D90E49"/>
    <w:rsid w:val="00D94537"/>
    <w:rsid w:val="00DA2D8D"/>
    <w:rsid w:val="00DB6082"/>
    <w:rsid w:val="00DB62F2"/>
    <w:rsid w:val="00DC6A10"/>
    <w:rsid w:val="00DE3F39"/>
    <w:rsid w:val="00DE657E"/>
    <w:rsid w:val="00DF3288"/>
    <w:rsid w:val="00DF4148"/>
    <w:rsid w:val="00DF4704"/>
    <w:rsid w:val="00E024AA"/>
    <w:rsid w:val="00E034D1"/>
    <w:rsid w:val="00E1391B"/>
    <w:rsid w:val="00E16D12"/>
    <w:rsid w:val="00E250F1"/>
    <w:rsid w:val="00E3550D"/>
    <w:rsid w:val="00E35D79"/>
    <w:rsid w:val="00E614E0"/>
    <w:rsid w:val="00E72A87"/>
    <w:rsid w:val="00E73F7F"/>
    <w:rsid w:val="00E81027"/>
    <w:rsid w:val="00E81C7A"/>
    <w:rsid w:val="00E85B47"/>
    <w:rsid w:val="00E86025"/>
    <w:rsid w:val="00E94981"/>
    <w:rsid w:val="00EA2060"/>
    <w:rsid w:val="00EA22E2"/>
    <w:rsid w:val="00EA2887"/>
    <w:rsid w:val="00EA429F"/>
    <w:rsid w:val="00EA4F9E"/>
    <w:rsid w:val="00EA6CAF"/>
    <w:rsid w:val="00EA6D3B"/>
    <w:rsid w:val="00EB00AD"/>
    <w:rsid w:val="00EB136C"/>
    <w:rsid w:val="00EB480E"/>
    <w:rsid w:val="00EB5EC6"/>
    <w:rsid w:val="00EB7FC9"/>
    <w:rsid w:val="00EC4662"/>
    <w:rsid w:val="00ED0AA4"/>
    <w:rsid w:val="00ED1D9A"/>
    <w:rsid w:val="00ED7137"/>
    <w:rsid w:val="00F04EEC"/>
    <w:rsid w:val="00F12DFD"/>
    <w:rsid w:val="00F14874"/>
    <w:rsid w:val="00F15666"/>
    <w:rsid w:val="00F21088"/>
    <w:rsid w:val="00F2437E"/>
    <w:rsid w:val="00F327E7"/>
    <w:rsid w:val="00F35746"/>
    <w:rsid w:val="00F36371"/>
    <w:rsid w:val="00F3759F"/>
    <w:rsid w:val="00F41D49"/>
    <w:rsid w:val="00F44029"/>
    <w:rsid w:val="00F447C7"/>
    <w:rsid w:val="00F50037"/>
    <w:rsid w:val="00F503AC"/>
    <w:rsid w:val="00F554A9"/>
    <w:rsid w:val="00F6583D"/>
    <w:rsid w:val="00F716FD"/>
    <w:rsid w:val="00F721B6"/>
    <w:rsid w:val="00F80355"/>
    <w:rsid w:val="00F85852"/>
    <w:rsid w:val="00F87189"/>
    <w:rsid w:val="00FA2778"/>
    <w:rsid w:val="00FA31C1"/>
    <w:rsid w:val="00FB0C81"/>
    <w:rsid w:val="00FB4E27"/>
    <w:rsid w:val="00FC2200"/>
    <w:rsid w:val="00FC2540"/>
    <w:rsid w:val="00FE55CA"/>
    <w:rsid w:val="00FE55D9"/>
    <w:rsid w:val="00FF0204"/>
    <w:rsid w:val="00FF1B8E"/>
    <w:rsid w:val="00FF3AED"/>
    <w:rsid w:val="00FF5CF2"/>
    <w:rsid w:val="00FF7EEC"/>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41D7D16"/>
  <w15:docId w15:val="{C1357BE0-BB84-4447-B624-3FF97836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s-ES"/>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s-ES"/>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s-ES"/>
    </w:rPr>
  </w:style>
  <w:style w:type="paragraph" w:styleId="EndnoteText">
    <w:name w:val="endnote text"/>
    <w:basedOn w:val="Normal"/>
    <w:link w:val="EndnoteTextChar"/>
    <w:uiPriority w:val="99"/>
    <w:semiHidden/>
    <w:unhideWhenUsed/>
    <w:rsid w:val="00897734"/>
    <w:rPr>
      <w:sz w:val="20"/>
      <w:szCs w:val="20"/>
    </w:rPr>
  </w:style>
  <w:style w:type="character" w:customStyle="1" w:styleId="EndnoteTextChar">
    <w:name w:val="Endnote Text Char"/>
    <w:basedOn w:val="DefaultParagraphFont"/>
    <w:link w:val="EndnoteText"/>
    <w:uiPriority w:val="99"/>
    <w:semiHidden/>
    <w:rsid w:val="00897734"/>
    <w:rPr>
      <w:lang w:val="es-ES"/>
    </w:rPr>
  </w:style>
  <w:style w:type="character" w:styleId="EndnoteReference">
    <w:name w:val="endnote reference"/>
    <w:basedOn w:val="DefaultParagraphFont"/>
    <w:uiPriority w:val="99"/>
    <w:semiHidden/>
    <w:unhideWhenUsed/>
    <w:rsid w:val="008977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UNEP/OzL.Pro/ExCom/83/3</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92DB8FA-82CB-496E-90CF-94FB0CF5F76F}"/>
</file>

<file path=customXml/itemProps2.xml><?xml version="1.0" encoding="utf-8"?>
<ds:datastoreItem xmlns:ds="http://schemas.openxmlformats.org/officeDocument/2006/customXml" ds:itemID="{6A185ACE-DD6E-4790-8E49-D79BB2B6C7E1}"/>
</file>

<file path=customXml/itemProps3.xml><?xml version="1.0" encoding="utf-8"?>
<ds:datastoreItem xmlns:ds="http://schemas.openxmlformats.org/officeDocument/2006/customXml" ds:itemID="{D52AF031-BC94-4362-B594-595310EFFA0A}"/>
</file>

<file path=customXml/itemProps4.xml><?xml version="1.0" encoding="utf-8"?>
<ds:datastoreItem xmlns:ds="http://schemas.openxmlformats.org/officeDocument/2006/customXml" ds:itemID="{71B35AF1-AB23-400C-BB6D-65F0AF5FBD78}"/>
</file>

<file path=docProps/app.xml><?xml version="1.0" encoding="utf-8"?>
<Properties xmlns="http://schemas.openxmlformats.org/officeDocument/2006/extended-properties" xmlns:vt="http://schemas.openxmlformats.org/officeDocument/2006/docPropsVTypes">
  <Template>normal</Template>
  <TotalTime>11</TotalTime>
  <Pages>3</Pages>
  <Words>626</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Situación de las contribuciones y los desembolsos</vt:lpstr>
    </vt:vector>
  </TitlesOfParts>
  <Company>UNMFS</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dc:title>
  <dc:creator>Botheina Sayah Bendahmane</dc:creator>
  <cp:lastModifiedBy>HBE</cp:lastModifiedBy>
  <cp:revision>7</cp:revision>
  <cp:lastPrinted>2019-05-03T16:51:00Z</cp:lastPrinted>
  <dcterms:created xsi:type="dcterms:W3CDTF">2019-05-07T23:26:00Z</dcterms:created>
  <dcterms:modified xsi:type="dcterms:W3CDTF">2019-05-13T21:02:00Z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vt:lpwstr>
  </property>
  <property fmtid="{D5CDD505-2E9C-101B-9397-08002B2CF9AE}" pid="3" name="Revision date">
    <vt:lpwstr>05/06/2019</vt:lpwstr>
  </property>
  <property fmtid="{D5CDD505-2E9C-101B-9397-08002B2CF9AE}" pid="4" name="ContentTypeId">
    <vt:lpwstr>0x010100AA786487C9FB6F4EBDAE4F9BF2BADC67</vt:lpwstr>
  </property>
  <property fmtid="{D5CDD505-2E9C-101B-9397-08002B2CF9AE}" pid="5" name="DocumentType">
    <vt:lpwstr>Pre-session</vt:lpwstr>
  </property>
  <property fmtid="{D5CDD505-2E9C-101B-9397-08002B2CF9AE}" pid="6" name="Format">
    <vt:lpwstr>Word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