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C06196" w14:paraId="71D7E652" w14:textId="77777777" w:rsidTr="00E12FAB">
        <w:trPr>
          <w:trHeight w:val="720"/>
        </w:trPr>
        <w:tc>
          <w:tcPr>
            <w:tcW w:w="6494" w:type="dxa"/>
            <w:gridSpan w:val="2"/>
            <w:tcBorders>
              <w:bottom w:val="single" w:sz="18" w:space="0" w:color="auto"/>
            </w:tcBorders>
          </w:tcPr>
          <w:p w14:paraId="2C7933E2" w14:textId="77777777" w:rsidR="00C06196" w:rsidRDefault="00C06196" w:rsidP="00E12FAB">
            <w:pPr>
              <w:rPr>
                <w:rFonts w:ascii="Univers" w:hAnsi="Univers"/>
                <w:b/>
                <w:sz w:val="28"/>
                <w:szCs w:val="28"/>
                <w:lang w:val="es-MX"/>
              </w:rPr>
            </w:pPr>
            <w:r>
              <w:rPr>
                <w:rFonts w:ascii="Univers" w:hAnsi="Univers"/>
                <w:b/>
                <w:sz w:val="28"/>
                <w:szCs w:val="28"/>
                <w:lang w:val="es-MX"/>
              </w:rPr>
              <w:t>NACIONES</w:t>
            </w:r>
          </w:p>
          <w:p w14:paraId="40C82C49" w14:textId="77777777" w:rsidR="00C06196" w:rsidRDefault="00C06196" w:rsidP="00E12FAB">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A57B56C" w14:textId="77777777" w:rsidR="00C06196" w:rsidRDefault="00C06196" w:rsidP="00E12FAB">
            <w:pPr>
              <w:jc w:val="right"/>
              <w:rPr>
                <w:rFonts w:asciiTheme="minorBidi" w:hAnsiTheme="minorBidi" w:cstheme="minorBidi"/>
                <w:sz w:val="52"/>
                <w:szCs w:val="52"/>
              </w:rPr>
            </w:pPr>
            <w:r>
              <w:rPr>
                <w:rFonts w:asciiTheme="minorBidi" w:hAnsiTheme="minorBidi" w:cstheme="minorBidi"/>
                <w:b/>
                <w:sz w:val="72"/>
              </w:rPr>
              <w:t>EP</w:t>
            </w:r>
          </w:p>
        </w:tc>
      </w:tr>
      <w:tr w:rsidR="00C06196" w:rsidRPr="009D25AB" w14:paraId="37492E72" w14:textId="77777777" w:rsidTr="00E12F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2ABBBD3" w14:textId="77777777" w:rsidR="00C06196" w:rsidRDefault="00C06196" w:rsidP="00E12FAB">
            <w:pPr>
              <w:spacing w:before="120"/>
            </w:pPr>
            <w:r>
              <w:rPr>
                <w:noProof/>
                <w:lang w:eastAsia="en-CA"/>
              </w:rPr>
              <w:drawing>
                <wp:anchor distT="0" distB="0" distL="114300" distR="114300" simplePos="0" relativeHeight="251659264" behindDoc="0" locked="0" layoutInCell="1" allowOverlap="1" wp14:anchorId="0D8794FF" wp14:editId="256BBC5A">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312587A3" wp14:editId="07D141E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1512DA6" w14:textId="77777777" w:rsidR="00C06196" w:rsidRDefault="00C06196" w:rsidP="00E12F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2510249" w14:textId="77777777" w:rsidR="00C06196" w:rsidRDefault="00C06196" w:rsidP="00E12F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8D19837" w14:textId="77777777" w:rsidR="00C06196" w:rsidRDefault="00C06196" w:rsidP="00E12F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BC94CD3" w14:textId="77777777" w:rsidR="00C06196" w:rsidRDefault="00C06196" w:rsidP="00E12F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4950222" w14:textId="77777777" w:rsidR="00C06196" w:rsidRDefault="00C06196" w:rsidP="00E12FAB">
            <w:pPr>
              <w:spacing w:before="720"/>
            </w:pPr>
          </w:p>
        </w:tc>
        <w:tc>
          <w:tcPr>
            <w:tcW w:w="3586" w:type="dxa"/>
            <w:tcBorders>
              <w:top w:val="nil"/>
              <w:left w:val="nil"/>
              <w:bottom w:val="single" w:sz="36" w:space="0" w:color="auto"/>
              <w:right w:val="nil"/>
            </w:tcBorders>
          </w:tcPr>
          <w:p w14:paraId="237FB722" w14:textId="77777777" w:rsidR="00C06196" w:rsidRDefault="00C06196" w:rsidP="00E12FAB"/>
          <w:p w14:paraId="75A15297" w14:textId="77777777" w:rsidR="00C06196" w:rsidRDefault="00C06196" w:rsidP="00E12FAB">
            <w:proofErr w:type="spellStart"/>
            <w:r>
              <w:t>Distr</w:t>
            </w:r>
            <w:proofErr w:type="spellEnd"/>
            <w:r>
              <w:t>.</w:t>
            </w:r>
          </w:p>
          <w:p w14:paraId="48EA5062" w14:textId="77777777" w:rsidR="00C06196" w:rsidRDefault="00C06196" w:rsidP="00E12FAB">
            <w:r>
              <w:t>GENERAL</w:t>
            </w:r>
          </w:p>
          <w:p w14:paraId="601A9E3C" w14:textId="77777777" w:rsidR="00C06196" w:rsidRDefault="00C06196" w:rsidP="00E12FAB"/>
          <w:p w14:paraId="78354D71" w14:textId="44E358C2" w:rsidR="00C06196" w:rsidRPr="00064429" w:rsidRDefault="00C06196" w:rsidP="00E12FAB">
            <w:pPr>
              <w:rPr>
                <w:lang w:val="es-AR"/>
              </w:rPr>
            </w:pPr>
            <w:r>
              <w:fldChar w:fldCharType="begin"/>
            </w:r>
            <w:r w:rsidRPr="00064429">
              <w:rPr>
                <w:lang w:val="es-AR"/>
              </w:rPr>
              <w:instrText xml:space="preserve"> DOCPROPERTY "Document number"  \* MERGEFORMAT </w:instrText>
            </w:r>
            <w:r>
              <w:fldChar w:fldCharType="separate"/>
            </w:r>
            <w:r w:rsidR="0000069A">
              <w:rPr>
                <w:lang w:val="es-AR"/>
              </w:rPr>
              <w:t>UNEP/</w:t>
            </w:r>
            <w:proofErr w:type="spellStart"/>
            <w:r w:rsidR="0000069A">
              <w:rPr>
                <w:lang w:val="es-AR"/>
              </w:rPr>
              <w:t>OzL.Pro</w:t>
            </w:r>
            <w:proofErr w:type="spellEnd"/>
            <w:r w:rsidR="0000069A">
              <w:rPr>
                <w:lang w:val="es-AR"/>
              </w:rPr>
              <w:t>/</w:t>
            </w:r>
            <w:proofErr w:type="spellStart"/>
            <w:r w:rsidR="0000069A">
              <w:rPr>
                <w:lang w:val="es-AR"/>
              </w:rPr>
              <w:t>ExCom</w:t>
            </w:r>
            <w:proofErr w:type="spellEnd"/>
            <w:r w:rsidR="0000069A">
              <w:rPr>
                <w:lang w:val="es-AR"/>
              </w:rPr>
              <w:t>/96/58</w:t>
            </w:r>
            <w:r>
              <w:fldChar w:fldCharType="end"/>
            </w:r>
          </w:p>
          <w:p w14:paraId="2FE8EC9A" w14:textId="40D4694D" w:rsidR="00C06196" w:rsidRPr="00BA3396" w:rsidRDefault="00C06196" w:rsidP="00E12FAB">
            <w:r>
              <w:t>27 de abril</w:t>
            </w:r>
            <w:r w:rsidRPr="00BA3396">
              <w:t xml:space="preserve"> de 2025</w:t>
            </w:r>
          </w:p>
          <w:p w14:paraId="15C98FDD" w14:textId="77777777" w:rsidR="00C06196" w:rsidRPr="00BA3396" w:rsidRDefault="00C06196" w:rsidP="00E12FAB">
            <w:pPr>
              <w:rPr>
                <w:caps/>
              </w:rPr>
            </w:pPr>
          </w:p>
          <w:p w14:paraId="70A0C26F" w14:textId="77777777" w:rsidR="00C06196" w:rsidRDefault="00C06196" w:rsidP="00E12FAB">
            <w:pPr>
              <w:rPr>
                <w:lang w:val="es-MX"/>
              </w:rPr>
            </w:pPr>
            <w:r>
              <w:rPr>
                <w:lang w:val="es-MX"/>
              </w:rPr>
              <w:t xml:space="preserve">ESPAÑOL </w:t>
            </w:r>
          </w:p>
          <w:p w14:paraId="62502285" w14:textId="77777777" w:rsidR="00C06196" w:rsidRDefault="00C06196" w:rsidP="00E12FAB">
            <w:r>
              <w:t xml:space="preserve">ORIGINAL: </w:t>
            </w:r>
            <w:r>
              <w:rPr>
                <w:lang w:val="es-MX"/>
              </w:rPr>
              <w:t>INGLÉS</w:t>
            </w:r>
          </w:p>
        </w:tc>
      </w:tr>
    </w:tbl>
    <w:p w14:paraId="76041BDE" w14:textId="77777777" w:rsidR="00CA59FB" w:rsidRPr="00482BF6" w:rsidRDefault="00C15867" w:rsidP="00CA59FB">
      <w:pPr>
        <w:jc w:val="left"/>
      </w:pPr>
      <w:r>
        <w:t>COMITÉ EJECUTIVO DEL FONDO MULTILATERAL</w:t>
      </w:r>
      <w:r>
        <w:br/>
        <w:t xml:space="preserve">  PARA LA APLICACIÓN DEL</w:t>
      </w:r>
      <w:r>
        <w:br/>
        <w:t xml:space="preserve">  PROTOCOLO DE MONTREAL</w:t>
      </w:r>
      <w:r>
        <w:br/>
        <w:t>Nonagésima sexta reunión</w:t>
      </w:r>
    </w:p>
    <w:p w14:paraId="16AE173A" w14:textId="77777777" w:rsidR="00CA59FB" w:rsidRPr="00482BF6" w:rsidRDefault="00CA59FB" w:rsidP="00CA59FB">
      <w:pPr>
        <w:jc w:val="left"/>
      </w:pPr>
      <w:r>
        <w:t>Montreal, 26-30 de mayo de 2025</w:t>
      </w:r>
    </w:p>
    <w:p w14:paraId="2FBDBE0C" w14:textId="6F8E7307" w:rsidR="0079781A" w:rsidRPr="00482BF6" w:rsidRDefault="0079781A" w:rsidP="0079781A">
      <w:pPr>
        <w:jc w:val="left"/>
      </w:pPr>
      <w:r>
        <w:t>Punto 10 b) del orden del día provisional</w:t>
      </w:r>
      <w:r w:rsidRPr="00482BF6">
        <w:rPr>
          <w:rStyle w:val="FootnoteReference"/>
        </w:rPr>
        <w:footnoteReference w:id="1"/>
      </w:r>
    </w:p>
    <w:p w14:paraId="1D30B21F" w14:textId="77777777" w:rsidR="00C15867" w:rsidRPr="00482BF6" w:rsidRDefault="00C15867" w:rsidP="00CA59FB">
      <w:pPr>
        <w:jc w:val="left"/>
      </w:pPr>
    </w:p>
    <w:p w14:paraId="30F51548" w14:textId="77777777" w:rsidR="00066CE8" w:rsidRPr="00482BF6" w:rsidRDefault="00066CE8" w:rsidP="00857077">
      <w:pPr>
        <w:jc w:val="left"/>
      </w:pPr>
    </w:p>
    <w:p w14:paraId="7DDBDF7B" w14:textId="2E2C4068" w:rsidR="004E7F9C" w:rsidRPr="00482BF6" w:rsidRDefault="00A45CFA" w:rsidP="00C06196">
      <w:pPr>
        <w:pStyle w:val="Title1"/>
      </w:pPr>
      <w:r>
        <w:t xml:space="preserve">Documento de resumen de los estudios de casos de los fondos </w:t>
      </w:r>
      <w:r w:rsidR="00C06196">
        <w:t xml:space="preserve">rotatorios </w:t>
      </w:r>
      <w:r>
        <w:t xml:space="preserve">sobre la eficiencia energética (DECISIÓN </w:t>
      </w:r>
      <w:r>
        <w:rPr>
          <w:caps w:val="0"/>
        </w:rPr>
        <w:t>95/87 i))</w:t>
      </w:r>
    </w:p>
    <w:p w14:paraId="771979D3" w14:textId="77777777" w:rsidR="008C5738" w:rsidRPr="00482BF6" w:rsidRDefault="008C5738" w:rsidP="004F68FC">
      <w:pPr>
        <w:pStyle w:val="StyleHeader4Para4Left0Firstline0"/>
        <w:numPr>
          <w:ilvl w:val="0"/>
          <w:numId w:val="0"/>
        </w:numPr>
        <w:spacing w:after="0"/>
        <w:ind w:right="440"/>
        <w:rPr>
          <w:b/>
          <w:sz w:val="22"/>
        </w:rPr>
      </w:pPr>
    </w:p>
    <w:p w14:paraId="482553F2" w14:textId="147AA343" w:rsidR="000A7E6E" w:rsidRPr="00482BF6" w:rsidRDefault="000A7E6E" w:rsidP="002A129F">
      <w:pPr>
        <w:rPr>
          <w:rFonts w:asciiTheme="majorBidi" w:hAnsiTheme="majorBidi" w:cstheme="majorBidi"/>
          <w:b/>
          <w:bCs/>
          <w:sz w:val="24"/>
          <w:szCs w:val="24"/>
        </w:rPr>
      </w:pPr>
      <w:bookmarkStart w:id="0" w:name="_Hlk194214512"/>
      <w:r>
        <w:rPr>
          <w:rFonts w:asciiTheme="majorBidi" w:hAnsiTheme="majorBidi"/>
          <w:b/>
          <w:sz w:val="24"/>
        </w:rPr>
        <w:t>Introducción</w:t>
      </w:r>
    </w:p>
    <w:p w14:paraId="0E266737" w14:textId="77777777" w:rsidR="000A7E6E" w:rsidRPr="00482BF6" w:rsidRDefault="000A7E6E" w:rsidP="002A129F">
      <w:pPr>
        <w:rPr>
          <w:rFonts w:asciiTheme="majorBidi" w:hAnsiTheme="majorBidi" w:cstheme="majorBidi"/>
        </w:rPr>
      </w:pPr>
    </w:p>
    <w:p w14:paraId="0313B78D" w14:textId="5DAB915A" w:rsidR="00311E92" w:rsidRPr="00482BF6" w:rsidRDefault="00311E92" w:rsidP="00933EF1">
      <w:pPr>
        <w:pStyle w:val="Heading1"/>
      </w:pPr>
      <w:r>
        <w:t>En su 95ª reunión, el Comité Ejecutivo decidió establecer una ventana de financiación de USD</w:t>
      </w:r>
      <w:r w:rsidR="0000069A">
        <w:t> </w:t>
      </w:r>
      <w:r>
        <w:t>40</w:t>
      </w:r>
      <w:r w:rsidR="0000069A">
        <w:t> </w:t>
      </w:r>
      <w:r>
        <w:t>millones para dos proyectos de usuarios finales de eficiencia energética utilizando una modalidad de fondo rotatorio y, entre otras cosas, solicitó a la Secretaría que trabajara con los organismos de ejecución que tenían experiencia con los fondos rotatorios sobre eficiencia energética para compartir ejemplos y enseñanzas extraídas. Además, la Secretaría debía ilustrar los beneficios previstos de las contribuciones del Fondo Multilateral para los fondos existentes y nuevos y presentar un documento de resumen a la 96ª</w:t>
      </w:r>
      <w:r w:rsidR="0000069A">
        <w:t> </w:t>
      </w:r>
      <w:r>
        <w:t>reunión (decisión 95/87 i)).</w:t>
      </w:r>
    </w:p>
    <w:p w14:paraId="63052F86" w14:textId="4F178E6A" w:rsidR="000A7E6E" w:rsidRPr="00482BF6" w:rsidRDefault="00097195" w:rsidP="00D74632">
      <w:pPr>
        <w:pStyle w:val="Heading1"/>
      </w:pPr>
      <w:r>
        <w:t xml:space="preserve">En respuesta a la decisión, la Secretaría consultó a expertos financieros y en la materia con experiencia en fondos rotatorios o mecanismos equivalentes sobre eficiencia energética. Sobre la base de estas consultas, se preparó el presente documento para presentar cinco estudios de casos sobre fondos rotatorios. Los estudios de casos presentan </w:t>
      </w:r>
      <w:r w:rsidR="00D222D4">
        <w:t xml:space="preserve">la </w:t>
      </w:r>
      <w:r>
        <w:t xml:space="preserve">información </w:t>
      </w:r>
      <w:r w:rsidR="00D222D4">
        <w:t xml:space="preserve">recopilada </w:t>
      </w:r>
      <w:r>
        <w:t>de informes pertinentes aportados por los expertos y de dominio público.</w:t>
      </w:r>
    </w:p>
    <w:p w14:paraId="75184A28" w14:textId="77777777" w:rsidR="00EB6EBF" w:rsidRPr="00482BF6" w:rsidRDefault="00EB6EBF" w:rsidP="002A129F">
      <w:pPr>
        <w:rPr>
          <w:rFonts w:asciiTheme="majorBidi" w:hAnsiTheme="majorBidi" w:cstheme="majorBidi"/>
          <w:b/>
          <w:bCs/>
        </w:rPr>
      </w:pPr>
      <w:r>
        <w:br w:type="page"/>
      </w:r>
    </w:p>
    <w:p w14:paraId="6D551545" w14:textId="1BCBD0DC" w:rsidR="002A129F" w:rsidRPr="00482BF6" w:rsidRDefault="002A129F" w:rsidP="002A129F">
      <w:pPr>
        <w:rPr>
          <w:rFonts w:asciiTheme="majorBidi" w:hAnsiTheme="majorBidi" w:cstheme="majorBidi"/>
          <w:b/>
          <w:bCs/>
        </w:rPr>
      </w:pPr>
      <w:r>
        <w:rPr>
          <w:rFonts w:asciiTheme="majorBidi" w:hAnsiTheme="majorBidi"/>
          <w:b/>
        </w:rPr>
        <w:lastRenderedPageBreak/>
        <w:t>País: Armenia</w:t>
      </w:r>
    </w:p>
    <w:p w14:paraId="741DEFA6" w14:textId="77777777" w:rsidR="002A129F" w:rsidRPr="00482BF6" w:rsidRDefault="002A129F" w:rsidP="002A129F">
      <w:pPr>
        <w:rPr>
          <w:rFonts w:asciiTheme="majorBidi" w:hAnsiTheme="majorBidi" w:cstheme="majorBidi"/>
        </w:rPr>
      </w:pPr>
    </w:p>
    <w:tbl>
      <w:tblPr>
        <w:tblStyle w:val="TableGrid"/>
        <w:tblW w:w="0" w:type="auto"/>
        <w:tblLook w:val="04A0" w:firstRow="1" w:lastRow="0" w:firstColumn="1" w:lastColumn="0" w:noHBand="0" w:noVBand="1"/>
      </w:tblPr>
      <w:tblGrid>
        <w:gridCol w:w="3256"/>
        <w:gridCol w:w="2977"/>
        <w:gridCol w:w="3117"/>
      </w:tblGrid>
      <w:tr w:rsidR="00482BF6" w:rsidRPr="00482BF6" w14:paraId="1D7149AC" w14:textId="77777777" w:rsidTr="00EA78CF">
        <w:tc>
          <w:tcPr>
            <w:tcW w:w="3256" w:type="dxa"/>
          </w:tcPr>
          <w:p w14:paraId="3B7FBB26" w14:textId="77777777" w:rsidR="002A129F" w:rsidRPr="00482BF6" w:rsidRDefault="002A129F" w:rsidP="00EA78CF">
            <w:pPr>
              <w:rPr>
                <w:rFonts w:asciiTheme="majorBidi" w:hAnsiTheme="majorBidi" w:cstheme="majorBidi"/>
              </w:rPr>
            </w:pPr>
            <w:r>
              <w:rPr>
                <w:rFonts w:asciiTheme="majorBidi" w:hAnsiTheme="majorBidi"/>
              </w:rPr>
              <w:t xml:space="preserve">Organismo: Banco Mundial </w:t>
            </w:r>
          </w:p>
          <w:p w14:paraId="2E3B86C9" w14:textId="77777777" w:rsidR="002A129F" w:rsidRPr="00482BF6" w:rsidRDefault="002A129F" w:rsidP="00551BD1">
            <w:pPr>
              <w:jc w:val="left"/>
              <w:rPr>
                <w:rFonts w:asciiTheme="majorBidi" w:hAnsiTheme="majorBidi" w:cstheme="majorBidi"/>
              </w:rPr>
            </w:pPr>
            <w:r>
              <w:rPr>
                <w:rFonts w:asciiTheme="majorBidi" w:hAnsiTheme="majorBidi"/>
              </w:rPr>
              <w:t>(con financiación del FMAM)</w:t>
            </w:r>
          </w:p>
        </w:tc>
        <w:tc>
          <w:tcPr>
            <w:tcW w:w="2977" w:type="dxa"/>
          </w:tcPr>
          <w:p w14:paraId="3CAE88AA" w14:textId="77777777" w:rsidR="002A129F" w:rsidRPr="00482BF6" w:rsidRDefault="002A129F" w:rsidP="00EA78CF">
            <w:pPr>
              <w:rPr>
                <w:rFonts w:asciiTheme="majorBidi" w:hAnsiTheme="majorBidi" w:cstheme="majorBidi"/>
              </w:rPr>
            </w:pPr>
          </w:p>
        </w:tc>
        <w:tc>
          <w:tcPr>
            <w:tcW w:w="3117" w:type="dxa"/>
          </w:tcPr>
          <w:p w14:paraId="13A21DF8" w14:textId="77777777" w:rsidR="006376D4" w:rsidRPr="00482BF6" w:rsidRDefault="002A129F" w:rsidP="00983FF2">
            <w:pPr>
              <w:jc w:val="left"/>
              <w:rPr>
                <w:rFonts w:asciiTheme="majorBidi" w:hAnsiTheme="majorBidi" w:cstheme="majorBidi"/>
              </w:rPr>
            </w:pPr>
            <w:r>
              <w:rPr>
                <w:rFonts w:asciiTheme="majorBidi" w:hAnsiTheme="majorBidi"/>
              </w:rPr>
              <w:t xml:space="preserve">Período de ejecución: </w:t>
            </w:r>
          </w:p>
          <w:p w14:paraId="0EBDABB7" w14:textId="1ED599A0" w:rsidR="002A129F" w:rsidRPr="00482BF6" w:rsidRDefault="00FA2A32" w:rsidP="00983FF2">
            <w:pPr>
              <w:jc w:val="left"/>
              <w:rPr>
                <w:rFonts w:asciiTheme="majorBidi" w:hAnsiTheme="majorBidi" w:cstheme="majorBidi"/>
              </w:rPr>
            </w:pPr>
            <w:r>
              <w:rPr>
                <w:rFonts w:asciiTheme="majorBidi" w:hAnsiTheme="majorBidi"/>
              </w:rPr>
              <w:t>Tres años y tres meses</w:t>
            </w:r>
          </w:p>
        </w:tc>
      </w:tr>
      <w:tr w:rsidR="002A129F" w:rsidRPr="00482BF6" w14:paraId="3F15957C" w14:textId="77777777" w:rsidTr="00EA78CF">
        <w:tc>
          <w:tcPr>
            <w:tcW w:w="3256" w:type="dxa"/>
          </w:tcPr>
          <w:p w14:paraId="1E241C2F" w14:textId="77777777" w:rsidR="002A129F" w:rsidRPr="00482BF6" w:rsidRDefault="002A129F" w:rsidP="0090229A">
            <w:pPr>
              <w:jc w:val="left"/>
              <w:rPr>
                <w:rFonts w:asciiTheme="majorBidi" w:hAnsiTheme="majorBidi" w:cstheme="majorBidi"/>
              </w:rPr>
            </w:pPr>
            <w:r>
              <w:rPr>
                <w:rFonts w:asciiTheme="majorBidi" w:hAnsiTheme="majorBidi"/>
              </w:rPr>
              <w:t>Financiación: USD 10,66 millones (con USD 1,82 millones del FMAM)</w:t>
            </w:r>
          </w:p>
        </w:tc>
        <w:tc>
          <w:tcPr>
            <w:tcW w:w="2977" w:type="dxa"/>
          </w:tcPr>
          <w:p w14:paraId="6A5A029A" w14:textId="77777777" w:rsidR="002A129F" w:rsidRPr="00482BF6" w:rsidRDefault="002A129F" w:rsidP="0090229A">
            <w:pPr>
              <w:jc w:val="left"/>
              <w:rPr>
                <w:rFonts w:asciiTheme="majorBidi" w:hAnsiTheme="majorBidi" w:cstheme="majorBidi"/>
              </w:rPr>
            </w:pPr>
            <w:r>
              <w:rPr>
                <w:rFonts w:asciiTheme="majorBidi" w:hAnsiTheme="majorBidi"/>
              </w:rPr>
              <w:t>Destinatarios: Edificios del sector público</w:t>
            </w:r>
          </w:p>
        </w:tc>
        <w:tc>
          <w:tcPr>
            <w:tcW w:w="3117" w:type="dxa"/>
          </w:tcPr>
          <w:p w14:paraId="1A22AB62" w14:textId="77777777" w:rsidR="002A129F" w:rsidRPr="00482BF6" w:rsidRDefault="002A129F" w:rsidP="00EA78CF">
            <w:pPr>
              <w:rPr>
                <w:rFonts w:asciiTheme="majorBidi" w:hAnsiTheme="majorBidi" w:cstheme="majorBidi"/>
              </w:rPr>
            </w:pPr>
            <w:r>
              <w:rPr>
                <w:rFonts w:asciiTheme="majorBidi" w:hAnsiTheme="majorBidi"/>
              </w:rPr>
              <w:t>Situación: Terminado</w:t>
            </w:r>
          </w:p>
        </w:tc>
      </w:tr>
    </w:tbl>
    <w:p w14:paraId="3A148971" w14:textId="77777777" w:rsidR="002A129F" w:rsidRPr="00482BF6" w:rsidRDefault="002A129F" w:rsidP="002A129F">
      <w:pPr>
        <w:rPr>
          <w:rFonts w:asciiTheme="majorBidi" w:hAnsiTheme="majorBidi" w:cstheme="majorBidi"/>
        </w:rPr>
      </w:pPr>
    </w:p>
    <w:bookmarkEnd w:id="0"/>
    <w:p w14:paraId="40E99442" w14:textId="77777777" w:rsidR="002A129F" w:rsidRPr="00482BF6" w:rsidRDefault="002A129F" w:rsidP="002A129F">
      <w:pPr>
        <w:rPr>
          <w:rFonts w:asciiTheme="majorBidi" w:hAnsiTheme="majorBidi" w:cstheme="majorBidi"/>
          <w:u w:val="single"/>
        </w:rPr>
      </w:pPr>
      <w:r>
        <w:rPr>
          <w:rFonts w:asciiTheme="majorBidi" w:hAnsiTheme="majorBidi"/>
          <w:u w:val="single"/>
        </w:rPr>
        <w:t xml:space="preserve">Antecedentes y objetivo </w:t>
      </w:r>
    </w:p>
    <w:p w14:paraId="5BE98A82" w14:textId="77777777" w:rsidR="002A129F" w:rsidRPr="00482BF6" w:rsidRDefault="002A129F" w:rsidP="002A129F">
      <w:pPr>
        <w:rPr>
          <w:rFonts w:asciiTheme="majorBidi" w:hAnsiTheme="majorBidi" w:cstheme="majorBidi"/>
        </w:rPr>
      </w:pPr>
    </w:p>
    <w:p w14:paraId="29737199" w14:textId="72E7C482" w:rsidR="002A129F" w:rsidRPr="00482BF6" w:rsidRDefault="002A129F" w:rsidP="00D74632">
      <w:pPr>
        <w:pStyle w:val="Heading1"/>
      </w:pPr>
      <w:r>
        <w:t xml:space="preserve">En el marco de la Estrategia del Sector Energético y el Programa de Desarrollo Sostenible del Gobierno de Armenia se reconocieron los problemas relacionados con la brecha del suministro de energía, las amenazas para la </w:t>
      </w:r>
      <w:proofErr w:type="gramStart"/>
      <w:r>
        <w:t>seguridad energética y unas tarifas energéticas</w:t>
      </w:r>
      <w:proofErr w:type="gramEnd"/>
      <w:r>
        <w:t xml:space="preserve"> inasequibles, y se ejecutó un proyecto con el apoyo del Fondo para el Medio Ambiente Mundial (FMAM) para reducir el consumo de energía en los edificios del sector público. </w:t>
      </w:r>
    </w:p>
    <w:p w14:paraId="58FF6434" w14:textId="77777777" w:rsidR="002A129F" w:rsidRPr="00482BF6" w:rsidRDefault="002A129F" w:rsidP="002A129F">
      <w:pPr>
        <w:rPr>
          <w:rFonts w:asciiTheme="majorBidi" w:hAnsiTheme="majorBidi" w:cstheme="majorBidi"/>
          <w:u w:val="single"/>
        </w:rPr>
      </w:pPr>
      <w:r>
        <w:rPr>
          <w:rFonts w:asciiTheme="majorBidi" w:hAnsiTheme="majorBidi"/>
          <w:u w:val="single"/>
        </w:rPr>
        <w:t xml:space="preserve">Breve descripción del proyecto </w:t>
      </w:r>
    </w:p>
    <w:p w14:paraId="58B3F821" w14:textId="77777777" w:rsidR="002A129F" w:rsidRPr="00482BF6" w:rsidRDefault="002A129F" w:rsidP="002A129F">
      <w:pPr>
        <w:rPr>
          <w:rFonts w:asciiTheme="majorBidi" w:hAnsiTheme="majorBidi" w:cstheme="majorBidi"/>
        </w:rPr>
      </w:pPr>
    </w:p>
    <w:p w14:paraId="0B42F0A5" w14:textId="60099567" w:rsidR="002A129F" w:rsidRPr="00482BF6" w:rsidRDefault="002A129F" w:rsidP="00D74632">
      <w:pPr>
        <w:pStyle w:val="Heading1"/>
      </w:pPr>
      <w:r>
        <w:t>Los fondos disponibles para la eficiencia energética en instalaciones públicas ascendieron a USD</w:t>
      </w:r>
      <w:r w:rsidR="0000069A">
        <w:t> </w:t>
      </w:r>
      <w:r>
        <w:t>8,7 millones.</w:t>
      </w:r>
      <w:r w:rsidR="009168A8" w:rsidRPr="00482BF6">
        <w:rPr>
          <w:rStyle w:val="FootnoteReference"/>
        </w:rPr>
        <w:footnoteReference w:id="2"/>
      </w:r>
      <w:r>
        <w:t xml:space="preserve"> Estos fondos se utilizaron principalmente para financiar la infraestructura de construcción y realizar mejoras, entre ellas la sustitución de equipos como calderas, sistemas de calefacción y lámparas de vapor de mercurio, que se traducirían en un menor consumo de energía. El apoyo financiero del proyecto estaba disponible para instalaciones sociales y otras instalaciones públicas, como, por ejemplo, escuelas, jardines de infancia, hospitales, edificios administrativos y alumbrado público. Las instalaciones públicas se seleccionaron sobre la base de criterios de desempeño simples y específicos. Los destinatarios se beneficiaron de la mejora de la comodidad, la iluminación y las condiciones generales de sus instalaciones, de ahorros financieros (presupuestarios) y del impacto positivo </w:t>
      </w:r>
      <w:r w:rsidR="001637AD">
        <w:t>causado por</w:t>
      </w:r>
      <w:r>
        <w:t xml:space="preserve"> un menor consumo de energía y una reducción de las emisiones de CO</w:t>
      </w:r>
      <w:r>
        <w:rPr>
          <w:vertAlign w:val="subscript"/>
        </w:rPr>
        <w:t>2</w:t>
      </w:r>
      <w:r>
        <w:t xml:space="preserve">.  </w:t>
      </w:r>
    </w:p>
    <w:p w14:paraId="57C1ADA1" w14:textId="22A87E59" w:rsidR="002A129F" w:rsidRPr="00482BF6" w:rsidRDefault="002A129F" w:rsidP="00D74632">
      <w:pPr>
        <w:pStyle w:val="Heading1"/>
      </w:pPr>
      <w:r>
        <w:t xml:space="preserve">La financiación se ajustó a la modalidad de acuerdo de servicios energéticos. En el marco del acuerdo de servicios energéticos, se ofreció un paquete completo de servicios para seleccionar, financiar, adquirir, ejecutar y supervisar proyectos de eficiencia energética para los clientes. El proyecto se diseñó para elaborar, probar y difundir modelos reproducibles y sostenibles de prestación de servicios de eficiencia energética utilizando acuerdos de servicios energéticos. Se pidió a los destinatarios que pagaran lo que estaban pagando por la energía en ese momento, es decir, los costos básicos de energía; </w:t>
      </w:r>
      <w:r w:rsidR="001637AD">
        <w:t>gracias a esos pagos</w:t>
      </w:r>
      <w:r>
        <w:t xml:space="preserve">, el Fondo recuperó </w:t>
      </w:r>
      <w:r w:rsidR="001637AD">
        <w:t xml:space="preserve">el costo de </w:t>
      </w:r>
      <w:r>
        <w:t xml:space="preserve">los nuevos pagos (más reducidos) de energía, los costos de inversión y las tarifas asociadas hasta el final del período contractual. Esto hizo posible que los destinatarios mantuviesen un flujo de caja constante, a la vez que conservaban sus ahorros en costos de energía durante la vigencia del acuerdo de servicios energéticos. La contratación basada en el valor actual neto tenía la ventaja de fomentar que los licitadores fueran innovadores en sus soluciones técnicas, aumentando todo lo posible al mismo tiempo los beneficios en eficiencia energética por dólar invertido, ya que se tenía en cuenta tanto el costo de inversión como el ahorro de energía. Los fondos reembolsados se destinaron a financiar futuras inversiones en eficiencia energética. El ahorro energético promedio generado por el proyecto fue del 50,9 por ciento y el período de amortización estaba entre 2,6 y 8,8 años.  </w:t>
      </w:r>
    </w:p>
    <w:p w14:paraId="6D8A76DF" w14:textId="1D0EC4BE" w:rsidR="002A129F" w:rsidRPr="00482BF6" w:rsidRDefault="002A129F" w:rsidP="00D74632">
      <w:pPr>
        <w:pStyle w:val="Heading1"/>
      </w:pPr>
      <w:r>
        <w:t xml:space="preserve">El proyecto incluyó un componente de asistencia técnica que ayudó a eliminar los obstáculos existentes para aprovechar el potencial </w:t>
      </w:r>
      <w:r>
        <w:rPr>
          <w:rFonts w:asciiTheme="majorBidi" w:hAnsiTheme="majorBidi"/>
        </w:rPr>
        <w:t>de eficiencia energética</w:t>
      </w:r>
      <w:r>
        <w:t xml:space="preserve">. Este componente financió principalmente la creación de capacidad de diferentes agentes (por ejemplo, bancos, empresas de construcción o empresas de servicios energéticos); el apoyo al desarrollo de la cartera de proyectos y el apoyo a la elaboración de políticas sobre eficiencia energética, que era parte integrante del desempeño de los proyectos y de la política nacional de eficiencia energética; y la gestión de proyectos, incluidas la supervisión, la presentación de </w:t>
      </w:r>
      <w:r>
        <w:lastRenderedPageBreak/>
        <w:t>informes y las auditorías financieras. Durante la última misión de supervisión del proyecto, se elaboró el manual de operaciones actualizado para los próximos tres a cinco años a fin de respaldar la sostenibilidad del modelo de negocio.</w:t>
      </w:r>
    </w:p>
    <w:p w14:paraId="2277E270" w14:textId="77777777" w:rsidR="002A129F" w:rsidRPr="00482BF6" w:rsidRDefault="002A129F" w:rsidP="002A129F">
      <w:pPr>
        <w:pStyle w:val="Default"/>
        <w:jc w:val="both"/>
        <w:rPr>
          <w:color w:val="auto"/>
          <w:sz w:val="22"/>
          <w:szCs w:val="22"/>
          <w:u w:val="single"/>
        </w:rPr>
      </w:pPr>
      <w:r>
        <w:rPr>
          <w:color w:val="auto"/>
          <w:sz w:val="22"/>
          <w:u w:val="single"/>
        </w:rPr>
        <w:t>Desempeño e impacto del proyecto</w:t>
      </w:r>
    </w:p>
    <w:p w14:paraId="6C36AB97" w14:textId="77777777" w:rsidR="002A129F" w:rsidRPr="00482BF6" w:rsidRDefault="002A129F" w:rsidP="002A129F">
      <w:pPr>
        <w:pStyle w:val="Default"/>
        <w:jc w:val="both"/>
        <w:rPr>
          <w:color w:val="auto"/>
          <w:sz w:val="22"/>
          <w:szCs w:val="22"/>
        </w:rPr>
      </w:pPr>
    </w:p>
    <w:p w14:paraId="0861B5F2" w14:textId="77777777" w:rsidR="002A129F" w:rsidRPr="00482BF6" w:rsidRDefault="002A129F" w:rsidP="00D74632">
      <w:pPr>
        <w:pStyle w:val="Heading1"/>
      </w:pPr>
      <w:r>
        <w:t xml:space="preserve">Si bien el proyecto seleccionó una línea inicial de subproyectos durante la fase de evaluación, la ejecución se retrasó por factores administrativos. Una vez que se divulgaron los subproyectos iniciales, junto con una mayor sensibilización sobre </w:t>
      </w:r>
      <w:r>
        <w:rPr>
          <w:rFonts w:asciiTheme="majorBidi" w:hAnsiTheme="majorBidi"/>
        </w:rPr>
        <w:t xml:space="preserve">la eficiencia energética </w:t>
      </w:r>
      <w:r>
        <w:t xml:space="preserve">y el aumento de las tarifas energéticas, la demanda de inversiones en </w:t>
      </w:r>
      <w:r>
        <w:rPr>
          <w:rFonts w:asciiTheme="majorBidi" w:hAnsiTheme="majorBidi"/>
        </w:rPr>
        <w:t>eficiencia energética</w:t>
      </w:r>
      <w:r>
        <w:t xml:space="preserve"> creció y el proyecto finalmente pudo superar sus metas de indicadores objetivos para el desarrollo de proyectos e incluso superó su objetivo de inversión original. </w:t>
      </w:r>
    </w:p>
    <w:p w14:paraId="046E946A" w14:textId="0EA09D2E" w:rsidR="002A129F" w:rsidRPr="00482BF6" w:rsidRDefault="002A129F" w:rsidP="00D74632">
      <w:pPr>
        <w:pStyle w:val="Heading1"/>
      </w:pPr>
      <w:r>
        <w:t>Los indicadores clave vinculados al objetivo de desarrollo del proyecto en relación con el objetivo medioambiental mundial fueron el ahorro de energía (en kWh) y la reducción de las emisiones de CO</w:t>
      </w:r>
      <w:r>
        <w:rPr>
          <w:vertAlign w:val="subscript"/>
        </w:rPr>
        <w:t>2</w:t>
      </w:r>
      <w:r>
        <w:t xml:space="preserve"> (en toneladas de CO</w:t>
      </w:r>
      <w:r>
        <w:rPr>
          <w:vertAlign w:val="subscript"/>
        </w:rPr>
        <w:t>2</w:t>
      </w:r>
      <w:r>
        <w:t xml:space="preserve"> equivalente) en las instalaciones sociales y otras instalaciones públicas reacondicionadas mediante inversiones en </w:t>
      </w:r>
      <w:r>
        <w:rPr>
          <w:rFonts w:asciiTheme="majorBidi" w:hAnsiTheme="majorBidi"/>
        </w:rPr>
        <w:t>eficiencia energética</w:t>
      </w:r>
      <w:r>
        <w:t xml:space="preserve">. El proyecto supuso </w:t>
      </w:r>
      <w:r>
        <w:rPr>
          <w:sz w:val="23"/>
        </w:rPr>
        <w:t xml:space="preserve">un ahorro energético de 540,24 millones de kWh, lo que se tradujo en una reducción de emisiones de 145.739 toneladas de </w:t>
      </w:r>
      <w:r>
        <w:t>CO</w:t>
      </w:r>
      <w:r>
        <w:rPr>
          <w:vertAlign w:val="subscript"/>
        </w:rPr>
        <w:t>2</w:t>
      </w:r>
      <w:r>
        <w:t xml:space="preserve"> equivalente.</w:t>
      </w:r>
      <w:r>
        <w:rPr>
          <w:sz w:val="23"/>
        </w:rPr>
        <w:t xml:space="preserve"> </w:t>
      </w:r>
      <w:r>
        <w:t xml:space="preserve">Además, el proyecto dio lugar a la mejora del marco normativo y reglamentario </w:t>
      </w:r>
      <w:r>
        <w:rPr>
          <w:rFonts w:asciiTheme="majorBidi" w:hAnsiTheme="majorBidi"/>
        </w:rPr>
        <w:t>en materia de eficiencia energética</w:t>
      </w:r>
      <w:r>
        <w:t xml:space="preserve">; el desarrollo de un mercado y una industria </w:t>
      </w:r>
      <w:r>
        <w:rPr>
          <w:rFonts w:asciiTheme="majorBidi" w:hAnsiTheme="majorBidi"/>
        </w:rPr>
        <w:t>de eficiencia energética</w:t>
      </w:r>
      <w:r>
        <w:t xml:space="preserve">; la mejora de la capacidad de </w:t>
      </w:r>
      <w:r>
        <w:rPr>
          <w:rFonts w:asciiTheme="majorBidi" w:hAnsiTheme="majorBidi"/>
        </w:rPr>
        <w:t xml:space="preserve">eficiencia energética </w:t>
      </w:r>
      <w:r>
        <w:t xml:space="preserve">de la industria y la satisfacción de los usuarios finales; y </w:t>
      </w:r>
      <w:r w:rsidR="001637AD">
        <w:t>la evolución</w:t>
      </w:r>
      <w:r>
        <w:t xml:space="preserve"> de la entidad financiadora en la esfera de la financiación comercial de los programas relacionados con la eficiencia energética.</w:t>
      </w:r>
    </w:p>
    <w:p w14:paraId="21406886" w14:textId="77777777" w:rsidR="002A129F" w:rsidRPr="00482BF6" w:rsidRDefault="002A129F" w:rsidP="002A129F">
      <w:pPr>
        <w:rPr>
          <w:rFonts w:asciiTheme="majorBidi" w:hAnsiTheme="majorBidi" w:cstheme="majorBidi"/>
        </w:rPr>
      </w:pPr>
      <w:r>
        <w:br w:type="page"/>
      </w:r>
    </w:p>
    <w:p w14:paraId="3EF69121" w14:textId="77777777" w:rsidR="002A129F" w:rsidRPr="00482BF6" w:rsidRDefault="002A129F" w:rsidP="002A129F">
      <w:pPr>
        <w:rPr>
          <w:rFonts w:asciiTheme="majorBidi" w:hAnsiTheme="majorBidi" w:cstheme="majorBidi"/>
          <w:b/>
          <w:bCs/>
        </w:rPr>
      </w:pPr>
      <w:r>
        <w:rPr>
          <w:rFonts w:asciiTheme="majorBidi" w:hAnsiTheme="majorBidi"/>
          <w:b/>
        </w:rPr>
        <w:lastRenderedPageBreak/>
        <w:t>País: Uzbekistán</w:t>
      </w:r>
    </w:p>
    <w:p w14:paraId="142A7E86" w14:textId="77777777" w:rsidR="002A129F" w:rsidRPr="00482BF6" w:rsidRDefault="002A129F" w:rsidP="002A129F">
      <w:pPr>
        <w:rPr>
          <w:rFonts w:asciiTheme="majorBidi" w:hAnsiTheme="majorBidi" w:cstheme="majorBidi"/>
          <w:b/>
          <w:bCs/>
        </w:rPr>
      </w:pPr>
    </w:p>
    <w:tbl>
      <w:tblPr>
        <w:tblStyle w:val="TableGrid"/>
        <w:tblW w:w="0" w:type="auto"/>
        <w:tblLook w:val="04A0" w:firstRow="1" w:lastRow="0" w:firstColumn="1" w:lastColumn="0" w:noHBand="0" w:noVBand="1"/>
      </w:tblPr>
      <w:tblGrid>
        <w:gridCol w:w="2972"/>
        <w:gridCol w:w="3261"/>
        <w:gridCol w:w="3117"/>
      </w:tblGrid>
      <w:tr w:rsidR="00482BF6" w:rsidRPr="00482BF6" w14:paraId="09DE2FD3" w14:textId="77777777" w:rsidTr="00966366">
        <w:tc>
          <w:tcPr>
            <w:tcW w:w="2972" w:type="dxa"/>
          </w:tcPr>
          <w:p w14:paraId="3D44A4DC" w14:textId="77777777" w:rsidR="002A129F" w:rsidRPr="00482BF6" w:rsidRDefault="002A129F" w:rsidP="00EA78CF">
            <w:pPr>
              <w:rPr>
                <w:rFonts w:asciiTheme="majorBidi" w:hAnsiTheme="majorBidi" w:cstheme="majorBidi"/>
              </w:rPr>
            </w:pPr>
            <w:r>
              <w:rPr>
                <w:rFonts w:asciiTheme="majorBidi" w:hAnsiTheme="majorBidi"/>
              </w:rPr>
              <w:t xml:space="preserve">Organismo: Banco Mundial </w:t>
            </w:r>
          </w:p>
        </w:tc>
        <w:tc>
          <w:tcPr>
            <w:tcW w:w="3261" w:type="dxa"/>
          </w:tcPr>
          <w:p w14:paraId="0D755F05" w14:textId="77777777" w:rsidR="002A129F" w:rsidRPr="00482BF6" w:rsidRDefault="002A129F" w:rsidP="00EA78CF">
            <w:pPr>
              <w:rPr>
                <w:rFonts w:asciiTheme="majorBidi" w:hAnsiTheme="majorBidi" w:cstheme="majorBidi"/>
              </w:rPr>
            </w:pPr>
          </w:p>
        </w:tc>
        <w:tc>
          <w:tcPr>
            <w:tcW w:w="3117" w:type="dxa"/>
          </w:tcPr>
          <w:p w14:paraId="6ACB0726" w14:textId="54091D6B" w:rsidR="002A129F" w:rsidRPr="00482BF6" w:rsidRDefault="002A129F" w:rsidP="00966366">
            <w:pPr>
              <w:jc w:val="left"/>
              <w:rPr>
                <w:rFonts w:asciiTheme="majorBidi" w:hAnsiTheme="majorBidi" w:cstheme="majorBidi"/>
              </w:rPr>
            </w:pPr>
            <w:r>
              <w:rPr>
                <w:rFonts w:asciiTheme="majorBidi" w:hAnsiTheme="majorBidi"/>
              </w:rPr>
              <w:t>Período de ejecución:</w:t>
            </w:r>
            <w:r w:rsidR="001637AD">
              <w:rPr>
                <w:rFonts w:asciiTheme="majorBidi" w:hAnsiTheme="majorBidi"/>
              </w:rPr>
              <w:t xml:space="preserve"> </w:t>
            </w:r>
            <w:proofErr w:type="gramStart"/>
            <w:r>
              <w:rPr>
                <w:rFonts w:asciiTheme="majorBidi" w:hAnsiTheme="majorBidi"/>
              </w:rPr>
              <w:t>Junio</w:t>
            </w:r>
            <w:proofErr w:type="gramEnd"/>
            <w:r>
              <w:rPr>
                <w:rFonts w:asciiTheme="majorBidi" w:hAnsiTheme="majorBidi"/>
              </w:rPr>
              <w:t xml:space="preserve"> de 2022 </w:t>
            </w:r>
            <w:r w:rsidR="001D30A4">
              <w:rPr>
                <w:rFonts w:asciiTheme="majorBidi" w:hAnsiTheme="majorBidi"/>
              </w:rPr>
              <w:t>a diciembre</w:t>
            </w:r>
            <w:r>
              <w:rPr>
                <w:rFonts w:asciiTheme="majorBidi" w:hAnsiTheme="majorBidi"/>
              </w:rPr>
              <w:t xml:space="preserve"> de 2028</w:t>
            </w:r>
          </w:p>
        </w:tc>
      </w:tr>
      <w:tr w:rsidR="002A129F" w:rsidRPr="00482BF6" w14:paraId="5F482A97" w14:textId="77777777" w:rsidTr="00966366">
        <w:tc>
          <w:tcPr>
            <w:tcW w:w="2972" w:type="dxa"/>
          </w:tcPr>
          <w:p w14:paraId="2BDD5E3C" w14:textId="77777777" w:rsidR="002A129F" w:rsidRPr="00482BF6" w:rsidRDefault="002A129F" w:rsidP="00EA78CF">
            <w:pPr>
              <w:rPr>
                <w:rFonts w:asciiTheme="majorBidi" w:hAnsiTheme="majorBidi" w:cstheme="majorBidi"/>
              </w:rPr>
            </w:pPr>
            <w:r>
              <w:rPr>
                <w:rFonts w:asciiTheme="majorBidi" w:hAnsiTheme="majorBidi"/>
              </w:rPr>
              <w:t xml:space="preserve">Financiación: USD 143 millones </w:t>
            </w:r>
          </w:p>
        </w:tc>
        <w:tc>
          <w:tcPr>
            <w:tcW w:w="3261" w:type="dxa"/>
          </w:tcPr>
          <w:p w14:paraId="6675008E" w14:textId="77777777" w:rsidR="002A129F" w:rsidRPr="00482BF6" w:rsidRDefault="002A129F" w:rsidP="00EA78CF">
            <w:pPr>
              <w:rPr>
                <w:rFonts w:asciiTheme="majorBidi" w:hAnsiTheme="majorBidi" w:cstheme="majorBidi"/>
              </w:rPr>
            </w:pPr>
            <w:r>
              <w:rPr>
                <w:rFonts w:asciiTheme="majorBidi" w:hAnsiTheme="majorBidi"/>
              </w:rPr>
              <w:t>Objetivo: Edificios del sector público</w:t>
            </w:r>
          </w:p>
        </w:tc>
        <w:tc>
          <w:tcPr>
            <w:tcW w:w="3117" w:type="dxa"/>
          </w:tcPr>
          <w:p w14:paraId="31A342D8" w14:textId="77777777" w:rsidR="002A129F" w:rsidRPr="00482BF6" w:rsidRDefault="002A129F" w:rsidP="00EA78CF">
            <w:pPr>
              <w:rPr>
                <w:rFonts w:asciiTheme="majorBidi" w:hAnsiTheme="majorBidi" w:cstheme="majorBidi"/>
              </w:rPr>
            </w:pPr>
            <w:r>
              <w:rPr>
                <w:rFonts w:asciiTheme="majorBidi" w:hAnsiTheme="majorBidi"/>
              </w:rPr>
              <w:t>Situación: En curso</w:t>
            </w:r>
          </w:p>
        </w:tc>
      </w:tr>
    </w:tbl>
    <w:p w14:paraId="6E96BFB0" w14:textId="77777777" w:rsidR="002A129F" w:rsidRPr="00482BF6" w:rsidRDefault="002A129F" w:rsidP="002A129F">
      <w:pPr>
        <w:rPr>
          <w:rFonts w:asciiTheme="majorBidi" w:hAnsiTheme="majorBidi" w:cstheme="majorBidi"/>
        </w:rPr>
      </w:pPr>
    </w:p>
    <w:p w14:paraId="2844C52A" w14:textId="77777777" w:rsidR="002A129F" w:rsidRPr="00482BF6" w:rsidRDefault="002A129F" w:rsidP="002A129F">
      <w:pPr>
        <w:rPr>
          <w:rFonts w:asciiTheme="majorBidi" w:hAnsiTheme="majorBidi" w:cstheme="majorBidi"/>
          <w:u w:val="single"/>
        </w:rPr>
      </w:pPr>
      <w:bookmarkStart w:id="1" w:name="_Hlk195938460"/>
      <w:r>
        <w:rPr>
          <w:rFonts w:asciiTheme="majorBidi" w:hAnsiTheme="majorBidi"/>
          <w:u w:val="single"/>
        </w:rPr>
        <w:t>Antecedentes y objetivo</w:t>
      </w:r>
    </w:p>
    <w:bookmarkEnd w:id="1"/>
    <w:p w14:paraId="714CAA68" w14:textId="77777777" w:rsidR="002A129F" w:rsidRPr="00482BF6" w:rsidRDefault="002A129F" w:rsidP="002A129F">
      <w:pPr>
        <w:rPr>
          <w:rFonts w:asciiTheme="majorBidi" w:hAnsiTheme="majorBidi" w:cstheme="majorBidi"/>
        </w:rPr>
      </w:pPr>
    </w:p>
    <w:p w14:paraId="253242EE" w14:textId="77777777" w:rsidR="002A129F" w:rsidRPr="00482BF6" w:rsidRDefault="002A129F" w:rsidP="00D74632">
      <w:pPr>
        <w:pStyle w:val="Heading1"/>
      </w:pPr>
      <w:r>
        <w:t xml:space="preserve">El objetivo de desarrollo a largo plazo de Uzbekistán es convertirse en un país industrializado de ingreso mediano alto para 2030. El enfoque del Gobierno de Uzbekistán para lograr este objetivo es continuar la transición hacia una economía más orientada al mercado. Este es el contexto de las importantes reformas que el Gobierno está llevando a cabo en el sector energético.   </w:t>
      </w:r>
    </w:p>
    <w:p w14:paraId="3B103233" w14:textId="1907F333" w:rsidR="002A129F" w:rsidRPr="00482BF6" w:rsidRDefault="002A129F" w:rsidP="00D74632">
      <w:pPr>
        <w:pStyle w:val="Heading1"/>
      </w:pPr>
      <w:r>
        <w:t>El sector de la construcción es responsable de la mayor parte del consumo total de energía final, que se destina principalmente a la calefacción de espacios. Esto constituye alrededor del 50 por ciento del consumo total de energía del país. Alrededor del 85 por ciento de los 53 millones de m</w:t>
      </w:r>
      <w:r>
        <w:rPr>
          <w:vertAlign w:val="superscript"/>
        </w:rPr>
        <w:t>2</w:t>
      </w:r>
      <w:r>
        <w:t xml:space="preserve"> de edificios públicos corresponden a los sectores de la salud y la educación. Diversos estudios realizados por el PNUD y el Banco Mundial revelaron que la aplicación de medidas estándar de eficiencia energética, incluidas las medidas relativas a la envoltura de los edificios, los sistemas de calefacción y refrigeración, el calentamiento de agua, las bombas/ventiladores y la iluminación, podría generar ahorros normativos de energía eficaces en función de los costos en escuelas y hospitales de entre el 35 y el 45 por ciento.   </w:t>
      </w:r>
    </w:p>
    <w:p w14:paraId="1D60C127" w14:textId="7DAE85B5" w:rsidR="002A129F" w:rsidRPr="00482BF6" w:rsidRDefault="002A129F" w:rsidP="00D74632">
      <w:pPr>
        <w:pStyle w:val="Heading1"/>
      </w:pPr>
      <w:r>
        <w:t xml:space="preserve">El proyecto propuesto se preparó con los objetivos principales de elaborar, aprobar y hacer cumplir reglamentos para promover y facilitar las aplicaciones de energía limpia en el sector de la construcción, mediante el desarrollo y la aplicación de enfoques de financiación de energía limpia que no solo dependieran de la financiación pública, sino que también movilizaran la financiación del sector privado, incluidos los mecanismos de financiación rotatorios. El proyecto propuesto también se preparó para fortalecer las instituciones gubernamentales y mejorar la coordinación entre ellas, supervisar la implementación general </w:t>
      </w:r>
      <w:r w:rsidR="00404A90">
        <w:t xml:space="preserve">de </w:t>
      </w:r>
      <w:r>
        <w:t xml:space="preserve">programas y realizar un seguimiento del progreso hacia los objetivos de políticas, proporcionar capacitación y aumentar la experiencia de las partes interesadas en inversiones en energía limpia en el sector de la construcción.   </w:t>
      </w:r>
    </w:p>
    <w:p w14:paraId="322BFA44" w14:textId="77777777" w:rsidR="002A129F" w:rsidRPr="00482BF6" w:rsidRDefault="002A129F" w:rsidP="002A129F">
      <w:pPr>
        <w:rPr>
          <w:rFonts w:asciiTheme="majorBidi" w:hAnsiTheme="majorBidi" w:cstheme="majorBidi"/>
          <w:u w:val="single"/>
        </w:rPr>
      </w:pPr>
      <w:r>
        <w:rPr>
          <w:rFonts w:asciiTheme="majorBidi" w:hAnsiTheme="majorBidi"/>
          <w:u w:val="single"/>
        </w:rPr>
        <w:t xml:space="preserve">Breve descripción del proyecto </w:t>
      </w:r>
    </w:p>
    <w:p w14:paraId="5C2CD9FE" w14:textId="77777777" w:rsidR="002A129F" w:rsidRPr="00482BF6" w:rsidRDefault="002A129F" w:rsidP="002A129F">
      <w:pPr>
        <w:rPr>
          <w:rFonts w:asciiTheme="majorBidi" w:hAnsiTheme="majorBidi" w:cstheme="majorBidi"/>
        </w:rPr>
      </w:pPr>
    </w:p>
    <w:p w14:paraId="3FB3D691" w14:textId="1272DD72" w:rsidR="002A129F" w:rsidRPr="00482BF6" w:rsidRDefault="002A129F" w:rsidP="00D74632">
      <w:pPr>
        <w:pStyle w:val="Heading1"/>
      </w:pPr>
      <w:r>
        <w:t>Los planes de financiación rotatoria han demostrado su eficacia para promover iniciativas de eficiencia energética.</w:t>
      </w:r>
      <w:r w:rsidR="001637AD">
        <w:t xml:space="preserve"> </w:t>
      </w:r>
      <w:r>
        <w:t>Se propone que las inversiones en el marco del proyecto se centren en edificios públicos, dado el alto impacto social y de eficiencia energética de dichos edificios. El proyecto propuesto se ejecutará mediante acuerdos de servicios energéticos; en el marco de esos acuerdos, la empresa de gestión de proyectos, contratada por el Ministerio de Energía/el Fondo,</w:t>
      </w:r>
      <w:r w:rsidRPr="00482BF6">
        <w:rPr>
          <w:rStyle w:val="FootnoteReference"/>
          <w:rFonts w:asciiTheme="majorBidi" w:hAnsiTheme="majorBidi" w:cstheme="majorBidi"/>
        </w:rPr>
        <w:footnoteReference w:id="3"/>
      </w:r>
      <w:r>
        <w:t xml:space="preserve"> proporcionará un conjunto completo de servicios para lograr mejoras de energía limpia en la instalación beneficiaria, y el beneficiario pagará por dichos servicios durante el período de amortización de las inversiones utilizando principalmente las cantidades economizadas en los costos de energía. El Banco Mundial prestará fondos al Gobierno por conducto del Ministerio de Finanzas, que canalizará los fondos hacia el Fondo en virtud de un acuerdo subsidiario. El Fondo ejecutará el proyecto a través de la Empresa de Gestión de Proyectos en virtud de un contrato de gestión de proyectos. Los reembolsos del proyecto se reinvertirán en nuevos proyectos de eficiencia energética. El período de amortización variará en función de las características específicas del proyecto y se estima que estará entre </w:t>
      </w:r>
      <w:r w:rsidR="009237A7">
        <w:t>8</w:t>
      </w:r>
      <w:r>
        <w:t xml:space="preserve"> y 13 años. Se espera que la eficacia de estos programas fomente la participación del sector privado en las inversiones en eficiencia energética y energía limpia. Además, está </w:t>
      </w:r>
      <w:r>
        <w:lastRenderedPageBreak/>
        <w:t>previsto que este proyecto aproveche los resultados de otros proyectos ejecutados por diferentes organismos.</w:t>
      </w:r>
    </w:p>
    <w:p w14:paraId="09C87B6D" w14:textId="77777777" w:rsidR="002A129F" w:rsidRPr="00482BF6" w:rsidRDefault="002A129F" w:rsidP="00D74632">
      <w:pPr>
        <w:pStyle w:val="Heading1"/>
      </w:pPr>
      <w:r>
        <w:t>Asimismo, el proyecto incluye asistencia técnica y creación de capacidad para mejorar el entorno propicio para las inversiones en energía limpia en el sector de la construcción, apoyar el desarrollo del mercado y proporcionar apoyo a la ejecución de proyectos.</w:t>
      </w:r>
    </w:p>
    <w:p w14:paraId="7B67D07F" w14:textId="02EC3A96" w:rsidR="002A129F" w:rsidRPr="00482BF6" w:rsidRDefault="002A129F" w:rsidP="00D74632">
      <w:pPr>
        <w:pStyle w:val="Heading1"/>
      </w:pPr>
      <w:r>
        <w:t>Los ministerios sectoriales (por ejemplo, el Ministerio de Salud y el Ministerio de Educación Pública) serán responsables de proponer los establecimientos que participarán en el proyecto. También participarán en la evaluación de los documentos de licitación (por medio del comité de adquisiciones) y proporcionarán orientación estratégica y operacional a través del comité de dirección del proyecto. Según el acuerdo de servicios energéticos, los servicios sociales dependientes de los ministerios competentes serán responsables de los reembolsos al Fondo.</w:t>
      </w:r>
    </w:p>
    <w:p w14:paraId="6F21BD62" w14:textId="77777777" w:rsidR="002A129F" w:rsidRPr="00482BF6" w:rsidRDefault="002A129F" w:rsidP="002A129F">
      <w:pPr>
        <w:rPr>
          <w:rFonts w:asciiTheme="majorBidi" w:hAnsiTheme="majorBidi" w:cstheme="majorBidi"/>
          <w:u w:val="single"/>
        </w:rPr>
      </w:pPr>
      <w:r>
        <w:rPr>
          <w:rFonts w:asciiTheme="majorBidi" w:hAnsiTheme="majorBidi"/>
          <w:u w:val="single"/>
        </w:rPr>
        <w:t>Indicadores de desempeño</w:t>
      </w:r>
    </w:p>
    <w:p w14:paraId="7C6B4A57" w14:textId="77777777" w:rsidR="002A129F" w:rsidRPr="00482BF6" w:rsidRDefault="002A129F" w:rsidP="002A129F">
      <w:pPr>
        <w:rPr>
          <w:rFonts w:asciiTheme="majorBidi" w:hAnsiTheme="majorBidi" w:cstheme="majorBidi"/>
        </w:rPr>
      </w:pPr>
    </w:p>
    <w:p w14:paraId="3B0FE19E" w14:textId="42213203" w:rsidR="002A129F" w:rsidRPr="00482BF6" w:rsidRDefault="002A129F" w:rsidP="00D74632">
      <w:pPr>
        <w:pStyle w:val="Heading1"/>
      </w:pPr>
      <w:r>
        <w:t>Los principales indicadores de desempeño del proyecto son: ahorros energéticos proyectados a lo largo de la vida útil como consecuencia de las inversiones en eficiencia energética en edificios públicos (</w:t>
      </w:r>
      <w:proofErr w:type="spellStart"/>
      <w:r>
        <w:t>megajulios</w:t>
      </w:r>
      <w:proofErr w:type="spellEnd"/>
      <w:r>
        <w:t>); capacidad de generación de energía renovable construida en el marco del proyecto (megavatios); y legislación secundaria de energía limpia (para auditorías energéticas, desempeño energético de los edificios y contratos de servicios energéticos) aprobada en el marco del proyecto.</w:t>
      </w:r>
    </w:p>
    <w:p w14:paraId="6B4F4788" w14:textId="77777777" w:rsidR="002A129F" w:rsidRPr="00482BF6" w:rsidRDefault="002A129F" w:rsidP="002A129F">
      <w:pPr>
        <w:rPr>
          <w:rFonts w:asciiTheme="majorBidi" w:hAnsiTheme="majorBidi" w:cstheme="majorBidi"/>
        </w:rPr>
      </w:pPr>
    </w:p>
    <w:p w14:paraId="5B782424" w14:textId="77777777" w:rsidR="002A129F" w:rsidRPr="00482BF6" w:rsidRDefault="002A129F" w:rsidP="002A129F">
      <w:pPr>
        <w:rPr>
          <w:rFonts w:asciiTheme="majorBidi" w:hAnsiTheme="majorBidi" w:cstheme="majorBidi"/>
        </w:rPr>
      </w:pPr>
      <w:r>
        <w:br w:type="page"/>
      </w:r>
    </w:p>
    <w:p w14:paraId="0773C175" w14:textId="77777777" w:rsidR="002A129F" w:rsidRPr="00482BF6" w:rsidRDefault="002A129F" w:rsidP="002A129F">
      <w:pPr>
        <w:rPr>
          <w:rFonts w:asciiTheme="majorBidi" w:hAnsiTheme="majorBidi" w:cstheme="majorBidi"/>
          <w:b/>
          <w:bCs/>
        </w:rPr>
      </w:pPr>
      <w:r>
        <w:rPr>
          <w:rFonts w:asciiTheme="majorBidi" w:hAnsiTheme="majorBidi"/>
          <w:b/>
        </w:rPr>
        <w:lastRenderedPageBreak/>
        <w:t>País: Tailandia</w:t>
      </w:r>
    </w:p>
    <w:p w14:paraId="7ED16783" w14:textId="77777777" w:rsidR="002A129F" w:rsidRPr="00482BF6" w:rsidRDefault="002A129F" w:rsidP="002A129F">
      <w:pPr>
        <w:rPr>
          <w:rFonts w:asciiTheme="majorBidi" w:hAnsiTheme="majorBidi" w:cstheme="majorBidi"/>
        </w:rPr>
      </w:pPr>
    </w:p>
    <w:tbl>
      <w:tblPr>
        <w:tblStyle w:val="TableGrid"/>
        <w:tblW w:w="0" w:type="auto"/>
        <w:tblLook w:val="04A0" w:firstRow="1" w:lastRow="0" w:firstColumn="1" w:lastColumn="0" w:noHBand="0" w:noVBand="1"/>
      </w:tblPr>
      <w:tblGrid>
        <w:gridCol w:w="3116"/>
        <w:gridCol w:w="3117"/>
        <w:gridCol w:w="3117"/>
      </w:tblGrid>
      <w:tr w:rsidR="00482BF6" w:rsidRPr="00482BF6" w14:paraId="0ECE2634" w14:textId="77777777" w:rsidTr="00CD7FA0">
        <w:tc>
          <w:tcPr>
            <w:tcW w:w="3116" w:type="dxa"/>
          </w:tcPr>
          <w:p w14:paraId="427D0DC4" w14:textId="333CB042" w:rsidR="002A129F" w:rsidRPr="00482BF6" w:rsidRDefault="002A129F" w:rsidP="00ED636A">
            <w:pPr>
              <w:jc w:val="left"/>
              <w:rPr>
                <w:rFonts w:asciiTheme="majorBidi" w:hAnsiTheme="majorBidi" w:cstheme="majorBidi"/>
              </w:rPr>
            </w:pPr>
            <w:r>
              <w:rPr>
                <w:rFonts w:asciiTheme="majorBidi" w:hAnsiTheme="majorBidi"/>
              </w:rPr>
              <w:t>Organismo: Gobierno de Tailandia</w:t>
            </w:r>
          </w:p>
        </w:tc>
        <w:tc>
          <w:tcPr>
            <w:tcW w:w="3117" w:type="dxa"/>
          </w:tcPr>
          <w:p w14:paraId="5285F7BC" w14:textId="77777777" w:rsidR="002A129F" w:rsidRPr="00482BF6" w:rsidRDefault="002A129F" w:rsidP="00EA78CF">
            <w:pPr>
              <w:rPr>
                <w:rFonts w:asciiTheme="majorBidi" w:hAnsiTheme="majorBidi" w:cstheme="majorBidi"/>
              </w:rPr>
            </w:pPr>
          </w:p>
        </w:tc>
        <w:tc>
          <w:tcPr>
            <w:tcW w:w="3117" w:type="dxa"/>
          </w:tcPr>
          <w:p w14:paraId="33570341" w14:textId="77777777" w:rsidR="00CD7FA0" w:rsidRPr="00482BF6" w:rsidRDefault="002A129F" w:rsidP="008B5734">
            <w:pPr>
              <w:jc w:val="left"/>
              <w:rPr>
                <w:rFonts w:asciiTheme="majorBidi" w:hAnsiTheme="majorBidi" w:cstheme="majorBidi"/>
              </w:rPr>
            </w:pPr>
            <w:r>
              <w:rPr>
                <w:rFonts w:asciiTheme="majorBidi" w:hAnsiTheme="majorBidi"/>
              </w:rPr>
              <w:t xml:space="preserve">Período de ejecución: </w:t>
            </w:r>
          </w:p>
          <w:p w14:paraId="787DD7D6" w14:textId="4F66BC6A" w:rsidR="002A129F" w:rsidRPr="00482BF6" w:rsidRDefault="00B13626" w:rsidP="008B5734">
            <w:pPr>
              <w:jc w:val="left"/>
              <w:rPr>
                <w:rFonts w:asciiTheme="majorBidi" w:hAnsiTheme="majorBidi" w:cstheme="majorBidi"/>
              </w:rPr>
            </w:pPr>
            <w:r>
              <w:rPr>
                <w:rFonts w:asciiTheme="majorBidi" w:hAnsiTheme="majorBidi"/>
              </w:rPr>
              <w:t>2003 a 2011</w:t>
            </w:r>
          </w:p>
        </w:tc>
      </w:tr>
      <w:tr w:rsidR="002A129F" w:rsidRPr="00482BF6" w14:paraId="0C669AD6" w14:textId="77777777" w:rsidTr="00CD7FA0">
        <w:tc>
          <w:tcPr>
            <w:tcW w:w="3116" w:type="dxa"/>
          </w:tcPr>
          <w:p w14:paraId="159C5D4E" w14:textId="5C500EE4" w:rsidR="002A129F" w:rsidRPr="00482BF6" w:rsidRDefault="002A129F" w:rsidP="00ED636A">
            <w:pPr>
              <w:jc w:val="left"/>
              <w:rPr>
                <w:rFonts w:asciiTheme="majorBidi" w:hAnsiTheme="majorBidi" w:cstheme="majorBidi"/>
              </w:rPr>
            </w:pPr>
            <w:r>
              <w:rPr>
                <w:rFonts w:asciiTheme="majorBidi" w:hAnsiTheme="majorBidi"/>
              </w:rPr>
              <w:t>Financiación: USD 235 millones</w:t>
            </w:r>
            <w:r w:rsidR="001637AD">
              <w:rPr>
                <w:rFonts w:asciiTheme="majorBidi" w:hAnsiTheme="majorBidi"/>
              </w:rPr>
              <w:t xml:space="preserve"> </w:t>
            </w:r>
          </w:p>
          <w:p w14:paraId="2AB42698" w14:textId="77777777" w:rsidR="002A129F" w:rsidRPr="00482BF6" w:rsidRDefault="002A129F" w:rsidP="00EA78CF">
            <w:pPr>
              <w:rPr>
                <w:rFonts w:asciiTheme="majorBidi" w:hAnsiTheme="majorBidi" w:cstheme="majorBidi"/>
              </w:rPr>
            </w:pPr>
            <w:r>
              <w:rPr>
                <w:rFonts w:asciiTheme="majorBidi" w:hAnsiTheme="majorBidi"/>
              </w:rPr>
              <w:t>(en 5 fases)</w:t>
            </w:r>
          </w:p>
        </w:tc>
        <w:tc>
          <w:tcPr>
            <w:tcW w:w="3117" w:type="dxa"/>
          </w:tcPr>
          <w:p w14:paraId="5C3963F8" w14:textId="77777777" w:rsidR="002A129F" w:rsidRPr="00482BF6" w:rsidRDefault="002A129F" w:rsidP="00EA78CF">
            <w:pPr>
              <w:rPr>
                <w:rFonts w:asciiTheme="majorBidi" w:hAnsiTheme="majorBidi" w:cstheme="majorBidi"/>
              </w:rPr>
            </w:pPr>
            <w:r>
              <w:rPr>
                <w:rFonts w:asciiTheme="majorBidi" w:hAnsiTheme="majorBidi"/>
              </w:rPr>
              <w:t>Objetivo: Múltiples destinatarios</w:t>
            </w:r>
          </w:p>
        </w:tc>
        <w:tc>
          <w:tcPr>
            <w:tcW w:w="3117" w:type="dxa"/>
          </w:tcPr>
          <w:p w14:paraId="20BCF743" w14:textId="77777777" w:rsidR="002A129F" w:rsidRPr="00482BF6" w:rsidRDefault="002A129F" w:rsidP="00EA78CF">
            <w:pPr>
              <w:rPr>
                <w:rFonts w:asciiTheme="majorBidi" w:hAnsiTheme="majorBidi" w:cstheme="majorBidi"/>
              </w:rPr>
            </w:pPr>
            <w:r>
              <w:rPr>
                <w:rFonts w:asciiTheme="majorBidi" w:hAnsiTheme="majorBidi"/>
              </w:rPr>
              <w:t>Situación: Terminado</w:t>
            </w:r>
          </w:p>
        </w:tc>
      </w:tr>
    </w:tbl>
    <w:p w14:paraId="574EC0E2" w14:textId="77777777" w:rsidR="002A129F" w:rsidRPr="00482BF6" w:rsidRDefault="002A129F" w:rsidP="002A129F">
      <w:pPr>
        <w:rPr>
          <w:rFonts w:asciiTheme="majorBidi" w:hAnsiTheme="majorBidi" w:cstheme="majorBidi"/>
        </w:rPr>
      </w:pPr>
    </w:p>
    <w:p w14:paraId="034A8056" w14:textId="77777777" w:rsidR="002A129F" w:rsidRPr="00482BF6" w:rsidRDefault="002A129F" w:rsidP="002A129F">
      <w:pPr>
        <w:rPr>
          <w:rFonts w:asciiTheme="majorBidi" w:hAnsiTheme="majorBidi" w:cstheme="majorBidi"/>
          <w:u w:val="single"/>
        </w:rPr>
      </w:pPr>
      <w:r>
        <w:rPr>
          <w:rFonts w:asciiTheme="majorBidi" w:hAnsiTheme="majorBidi"/>
          <w:u w:val="single"/>
        </w:rPr>
        <w:t xml:space="preserve">Antecedentes y objetivo </w:t>
      </w:r>
    </w:p>
    <w:p w14:paraId="5C2A1BBD" w14:textId="77777777" w:rsidR="002A129F" w:rsidRPr="00482BF6" w:rsidRDefault="002A129F" w:rsidP="002A129F"/>
    <w:p w14:paraId="5676F9DA" w14:textId="77777777" w:rsidR="002A129F" w:rsidRPr="00482BF6" w:rsidRDefault="002A129F" w:rsidP="00D74632">
      <w:pPr>
        <w:pStyle w:val="Heading1"/>
      </w:pPr>
      <w:r>
        <w:t>El Fondo Rotatorio de Eficiencia Energética de Tailandia comenzó a funcionar en 2003 como parte del marco del Programa de Conservación de Energía y se estableció para eliminar los principales obstáculos del sector financiero tailandés y así estimular la concesión de préstamos destinados a medidas de eficiencia energética. Para poner en marcha el Fondo Rotatorio de Eficiencia Energética, el capital inicial del Fondo fue proporcionado por el Gobierno de Tailandia. Originalmente, el Fondo Rotatorio de Eficiencia Energética de Tailandia se puso en marcha por un período experimental de tres años, de 2003 a 2005, como colaboración entre el Gobierno y seis bancos participantes. La fase piloto inicial se ha reproducido en fases adicionales a través de líneas de crédito asignadas por períodos de diez años.</w:t>
      </w:r>
    </w:p>
    <w:p w14:paraId="3ED2E314" w14:textId="2ED8819F" w:rsidR="002A129F" w:rsidRPr="00482BF6" w:rsidRDefault="002A129F" w:rsidP="00D74632">
      <w:pPr>
        <w:pStyle w:val="Heading1"/>
      </w:pPr>
      <w:r>
        <w:t xml:space="preserve">El principio rector del Fondo Rotatorio de Eficiencia Energética era estimular y aprovechar los préstamos comerciales proporcionando capital inicial. La participación del Gobierno se mantuvo lo más reducida posible y se simplificaron los procedimientos para involucrar aún más a la comunidad bancaria. Para este proyecto, se llevó a cabo un estudio de evaluación del mercado de eficiencia energética en cooperación con bancos comerciales, que sirvió de base para la planificación y el diseño del Fondo Rotatorio de Eficiencia Energética. El estudio sugería que se creara un fondo inicial de entre </w:t>
      </w:r>
      <w:r w:rsidR="0098668E">
        <w:t xml:space="preserve">THB </w:t>
      </w:r>
      <w:r>
        <w:t>1.000 y 2.000 millones (USD 30</w:t>
      </w:r>
      <w:r w:rsidR="001D30A4">
        <w:t xml:space="preserve"> a </w:t>
      </w:r>
      <w:r>
        <w:t xml:space="preserve">60 millones). El diseño del Fondo Rotatorio de Eficiencia Energética también se vio influido por la Corporación de Finanzas Industriales de Tailandia, que se especializa en la prestación de servicios bancarios a clientes industriales. La Corporación de Finanzas Industriales de Tailandia sugirió que el Departamento de Desarrollo de Energías Alternativas y Eficiencia elaborara un programa de préstamos simplificado para operar en el marco de la Ley del Programa de Conservación de Energía con el fin de promover la </w:t>
      </w:r>
      <w:r>
        <w:rPr>
          <w:rFonts w:asciiTheme="majorBidi" w:hAnsiTheme="majorBidi"/>
        </w:rPr>
        <w:t>eficiencia energética</w:t>
      </w:r>
      <w:r>
        <w:t xml:space="preserve"> en el sector industrial.</w:t>
      </w:r>
    </w:p>
    <w:p w14:paraId="2959CE55" w14:textId="77777777" w:rsidR="002A129F" w:rsidRPr="00482BF6" w:rsidRDefault="002A129F" w:rsidP="002A129F">
      <w:pPr>
        <w:rPr>
          <w:rFonts w:asciiTheme="majorBidi" w:hAnsiTheme="majorBidi" w:cstheme="majorBidi"/>
          <w:u w:val="single"/>
        </w:rPr>
      </w:pPr>
      <w:r>
        <w:rPr>
          <w:rFonts w:asciiTheme="majorBidi" w:hAnsiTheme="majorBidi"/>
          <w:u w:val="single"/>
        </w:rPr>
        <w:t>Breve descripción del proyecto</w:t>
      </w:r>
    </w:p>
    <w:p w14:paraId="754D50D7" w14:textId="77777777" w:rsidR="002A129F" w:rsidRPr="00482BF6" w:rsidRDefault="002A129F" w:rsidP="002A129F"/>
    <w:p w14:paraId="322350A0" w14:textId="7F260B38" w:rsidR="002A129F" w:rsidRPr="00482BF6" w:rsidRDefault="002A129F" w:rsidP="00AE314D">
      <w:pPr>
        <w:pStyle w:val="Heading1"/>
        <w:spacing w:after="360"/>
      </w:pPr>
      <w:r>
        <w:t xml:space="preserve">El flujo general del Fondo Rotatorio de Eficiencia Energética consistía en que el Departamento de Desarrollo de Energías Alternativas y Eficiencia asignaba un presupuesto a los bancos participantes, que dichos bancos utilizaban para conceder préstamos a clientes destinados a la ejecución de proyectos </w:t>
      </w:r>
      <w:r>
        <w:rPr>
          <w:rFonts w:asciiTheme="majorBidi" w:hAnsiTheme="majorBidi"/>
        </w:rPr>
        <w:t xml:space="preserve">de eficiencia energética </w:t>
      </w:r>
      <w:r>
        <w:t xml:space="preserve">y energías renovables. Una vez vencidos los préstamos, los intereses devengados por estas inversiones volvían al banco participante y se utilizaban para reembolsar al Departamento de Desarrollo de Energías Alternativas y Eficiencia su asignación presupuestaria original. El Fondo Rotatorio de Eficiencia Energética concedió líneas de crédito de entre USD 2,5 y 10 millones a cada banco participante para financiar proyectos </w:t>
      </w:r>
      <w:r>
        <w:rPr>
          <w:rFonts w:asciiTheme="majorBidi" w:hAnsiTheme="majorBidi"/>
        </w:rPr>
        <w:t>de eficiencia energética</w:t>
      </w:r>
      <w:r>
        <w:t>.</w:t>
      </w:r>
      <w:r w:rsidR="001637AD">
        <w:t xml:space="preserve"> </w:t>
      </w:r>
      <w:r>
        <w:t>Se determinaron criterios específicos de admisibilidad para préstamos y partidas que se considerarían no admisibles a través del fondo rotatorio y se utilizaron para los préstamos otorgados por los bancos. Para la evaluación financiera, los bancos participantes analizaban a los solicitantes y basaban sus decisiones sobre préstamos en sus criterios de préstamo habituales, aplicando evaluaciones de préstamos basadas en activos. Por lo tanto, las solicitudes de préstamos eran evaluadas por el banco participante en función de la capacidad de reembolso y las garantías ofrecidas. Los bancos se encargaban de la supervisión de los préstamos concedidos, ya que eran la parte que otorgaba directamente los préstamos al cliente. Por lo general, la supervisión rutinaria se realizaba cada dos o tres meses con el prestatario. Durante el período de ejecución, se financiaron 294 préstamos en total a través de este mecanismo. Las condiciones del préstamo especificaban siete años para el reembolso del préstamo, mientras que los bancos participantes tenían un plazo de reembolso más corto.</w:t>
      </w:r>
    </w:p>
    <w:p w14:paraId="0E694F82" w14:textId="77777777" w:rsidR="002A129F" w:rsidRPr="00482BF6" w:rsidRDefault="002A129F" w:rsidP="002A129F">
      <w:pPr>
        <w:rPr>
          <w:rFonts w:asciiTheme="majorBidi" w:hAnsiTheme="majorBidi" w:cstheme="majorBidi"/>
          <w:u w:val="single"/>
        </w:rPr>
      </w:pPr>
      <w:r>
        <w:rPr>
          <w:rFonts w:asciiTheme="majorBidi" w:hAnsiTheme="majorBidi"/>
          <w:u w:val="single"/>
        </w:rPr>
        <w:lastRenderedPageBreak/>
        <w:t xml:space="preserve">Indicadores de desempeño e impacto </w:t>
      </w:r>
    </w:p>
    <w:p w14:paraId="791BF76E" w14:textId="77777777" w:rsidR="002A129F" w:rsidRPr="00482BF6" w:rsidRDefault="002A129F" w:rsidP="002A129F"/>
    <w:p w14:paraId="40F0228F" w14:textId="669073E0" w:rsidR="002A129F" w:rsidRPr="00482BF6" w:rsidRDefault="002A129F" w:rsidP="00D74632">
      <w:pPr>
        <w:pStyle w:val="Heading1"/>
      </w:pPr>
      <w:r>
        <w:t>En febrero de 2012, las mejoras en eficiencia energética logradas a través del proyecto ascendían a 1.170,66 millones de kWh/año, lo que se traducía en 0,98 millones de toneladas de CO</w:t>
      </w:r>
      <w:r>
        <w:rPr>
          <w:vertAlign w:val="subscript"/>
        </w:rPr>
        <w:t>2</w:t>
      </w:r>
      <w:r>
        <w:t xml:space="preserve"> equivalente Además de lograr mejoras en la eficiencia energética, las principales características y logros del proyecto del Fondo Rotatorio de Eficiencia Energética fueron estimular el apetito de inversión de los bancos comerciales de Tailandia para que se dedicaran a financiar proyectos </w:t>
      </w:r>
      <w:r>
        <w:rPr>
          <w:rFonts w:asciiTheme="majorBidi" w:hAnsiTheme="majorBidi"/>
        </w:rPr>
        <w:t>de eficiencia energética</w:t>
      </w:r>
      <w:r>
        <w:t>, y crear redes de financiadores privados y empresas de servicios energéticos. Los factores que contribuyeron al éxito del Fondo Rotatorio de Eficiencia Energética fueron: simplificar al máximo los procedimientos de acceso a los fondos; hacer que las condiciones y los tipos de interés fueran atractivos para las posibles aplicaciones; promover el Fondo Rotatorio de Eficiencia Energética entre los bancos tailandeses, que empezaron a interesarse más como resultado del proyecto y sus beneficios visibles; y la comunicación entre las principales partes interesadas, incluidos los financiadores privados, los expertos técnicos y las empresas de servicios energéticos.</w:t>
      </w:r>
    </w:p>
    <w:p w14:paraId="576A9B7E" w14:textId="77777777" w:rsidR="002A129F" w:rsidRPr="00482BF6" w:rsidRDefault="002A129F" w:rsidP="002A129F"/>
    <w:p w14:paraId="2FDC1EEB" w14:textId="77777777" w:rsidR="002A129F" w:rsidRPr="00482BF6" w:rsidRDefault="002A129F" w:rsidP="002A129F">
      <w:pPr>
        <w:rPr>
          <w:rFonts w:asciiTheme="majorBidi" w:hAnsiTheme="majorBidi" w:cstheme="majorBidi"/>
          <w:u w:val="single"/>
        </w:rPr>
      </w:pPr>
      <w:r>
        <w:br w:type="page"/>
      </w:r>
    </w:p>
    <w:p w14:paraId="161BE384" w14:textId="77777777" w:rsidR="002A129F" w:rsidRPr="00482BF6" w:rsidRDefault="002A129F" w:rsidP="00AF4C0B">
      <w:pPr>
        <w:keepNext/>
        <w:keepLines/>
        <w:rPr>
          <w:rFonts w:asciiTheme="majorBidi" w:hAnsiTheme="majorBidi" w:cstheme="majorBidi"/>
          <w:b/>
          <w:bCs/>
        </w:rPr>
      </w:pPr>
      <w:r>
        <w:rPr>
          <w:rFonts w:asciiTheme="majorBidi" w:hAnsiTheme="majorBidi"/>
          <w:b/>
        </w:rPr>
        <w:lastRenderedPageBreak/>
        <w:t>País: Líbano</w:t>
      </w:r>
    </w:p>
    <w:p w14:paraId="46F3FF9E" w14:textId="77777777" w:rsidR="002A129F" w:rsidRPr="00482BF6" w:rsidRDefault="002A129F" w:rsidP="002A129F">
      <w:pPr>
        <w:keepNext/>
        <w:keepLines/>
        <w:rPr>
          <w:rFonts w:asciiTheme="majorBidi" w:hAnsiTheme="majorBidi" w:cstheme="majorBidi"/>
        </w:rPr>
      </w:pPr>
    </w:p>
    <w:tbl>
      <w:tblPr>
        <w:tblStyle w:val="TableGrid"/>
        <w:tblW w:w="0" w:type="auto"/>
        <w:tblLook w:val="04A0" w:firstRow="1" w:lastRow="0" w:firstColumn="1" w:lastColumn="0" w:noHBand="0" w:noVBand="1"/>
      </w:tblPr>
      <w:tblGrid>
        <w:gridCol w:w="2972"/>
        <w:gridCol w:w="3261"/>
        <w:gridCol w:w="3117"/>
      </w:tblGrid>
      <w:tr w:rsidR="00482BF6" w:rsidRPr="00482BF6" w14:paraId="175B8D73" w14:textId="77777777" w:rsidTr="00B13626">
        <w:tc>
          <w:tcPr>
            <w:tcW w:w="2972" w:type="dxa"/>
          </w:tcPr>
          <w:p w14:paraId="19A220E0" w14:textId="77777777" w:rsidR="002A129F" w:rsidRPr="00482BF6" w:rsidRDefault="002A129F" w:rsidP="00546FAD">
            <w:pPr>
              <w:keepNext/>
              <w:keepLines/>
              <w:jc w:val="left"/>
              <w:rPr>
                <w:rFonts w:asciiTheme="majorBidi" w:hAnsiTheme="majorBidi" w:cstheme="majorBidi"/>
              </w:rPr>
            </w:pPr>
            <w:r>
              <w:rPr>
                <w:rFonts w:asciiTheme="majorBidi" w:hAnsiTheme="majorBidi"/>
              </w:rPr>
              <w:t>Organismo: Banco Central del Líbano</w:t>
            </w:r>
          </w:p>
        </w:tc>
        <w:tc>
          <w:tcPr>
            <w:tcW w:w="3261" w:type="dxa"/>
          </w:tcPr>
          <w:p w14:paraId="7BD3E7FF" w14:textId="77777777" w:rsidR="002A129F" w:rsidRPr="00482BF6" w:rsidRDefault="002A129F" w:rsidP="00EA78CF">
            <w:pPr>
              <w:keepNext/>
              <w:keepLines/>
              <w:rPr>
                <w:rFonts w:asciiTheme="majorBidi" w:hAnsiTheme="majorBidi" w:cstheme="majorBidi"/>
              </w:rPr>
            </w:pPr>
          </w:p>
        </w:tc>
        <w:tc>
          <w:tcPr>
            <w:tcW w:w="3117" w:type="dxa"/>
            <w:shd w:val="clear" w:color="auto" w:fill="auto"/>
          </w:tcPr>
          <w:p w14:paraId="1A870EA8" w14:textId="3C4FDF8B" w:rsidR="006376D4" w:rsidRPr="00482BF6" w:rsidRDefault="002A129F" w:rsidP="008618B5">
            <w:pPr>
              <w:keepNext/>
              <w:keepLines/>
              <w:jc w:val="left"/>
              <w:rPr>
                <w:rFonts w:asciiTheme="majorBidi" w:hAnsiTheme="majorBidi" w:cstheme="majorBidi"/>
              </w:rPr>
            </w:pPr>
            <w:r>
              <w:rPr>
                <w:rFonts w:asciiTheme="majorBidi" w:hAnsiTheme="majorBidi"/>
              </w:rPr>
              <w:t>Período de ejecución:</w:t>
            </w:r>
            <w:r w:rsidR="001637AD">
              <w:rPr>
                <w:rFonts w:asciiTheme="majorBidi" w:hAnsiTheme="majorBidi"/>
              </w:rPr>
              <w:t xml:space="preserve"> </w:t>
            </w:r>
          </w:p>
          <w:p w14:paraId="0B780B70" w14:textId="038F8271" w:rsidR="002A129F" w:rsidRPr="00482BF6" w:rsidRDefault="00F43D19" w:rsidP="008618B5">
            <w:pPr>
              <w:keepNext/>
              <w:keepLines/>
              <w:jc w:val="left"/>
              <w:rPr>
                <w:rFonts w:asciiTheme="majorBidi" w:hAnsiTheme="majorBidi" w:cstheme="majorBidi"/>
              </w:rPr>
            </w:pPr>
            <w:r>
              <w:rPr>
                <w:rFonts w:asciiTheme="majorBidi" w:hAnsiTheme="majorBidi"/>
              </w:rPr>
              <w:t>2010 a 2019</w:t>
            </w:r>
          </w:p>
        </w:tc>
      </w:tr>
      <w:tr w:rsidR="002A129F" w:rsidRPr="00482BF6" w14:paraId="3C1F0806" w14:textId="77777777" w:rsidTr="00EA78CF">
        <w:tc>
          <w:tcPr>
            <w:tcW w:w="2972" w:type="dxa"/>
          </w:tcPr>
          <w:p w14:paraId="2E4E2C60" w14:textId="024DF3C6" w:rsidR="002A129F" w:rsidRPr="00482BF6" w:rsidRDefault="002A129F" w:rsidP="00546FAD">
            <w:pPr>
              <w:keepNext/>
              <w:keepLines/>
              <w:jc w:val="left"/>
              <w:rPr>
                <w:rFonts w:asciiTheme="majorBidi" w:hAnsiTheme="majorBidi" w:cstheme="majorBidi"/>
              </w:rPr>
            </w:pPr>
            <w:r>
              <w:rPr>
                <w:rFonts w:asciiTheme="majorBidi" w:hAnsiTheme="majorBidi"/>
              </w:rPr>
              <w:t>Financiación: USD 126 millones (financiados por el BEI y la AFD)</w:t>
            </w:r>
          </w:p>
        </w:tc>
        <w:tc>
          <w:tcPr>
            <w:tcW w:w="3261" w:type="dxa"/>
          </w:tcPr>
          <w:p w14:paraId="0809302D" w14:textId="77777777" w:rsidR="002A129F" w:rsidRPr="00482BF6" w:rsidRDefault="002A129F" w:rsidP="00EA78CF">
            <w:pPr>
              <w:keepNext/>
              <w:keepLines/>
              <w:rPr>
                <w:rFonts w:asciiTheme="majorBidi" w:hAnsiTheme="majorBidi" w:cstheme="majorBidi"/>
              </w:rPr>
            </w:pPr>
            <w:r>
              <w:rPr>
                <w:rFonts w:asciiTheme="majorBidi" w:hAnsiTheme="majorBidi"/>
              </w:rPr>
              <w:t>Objetivo: Múltiple</w:t>
            </w:r>
          </w:p>
        </w:tc>
        <w:tc>
          <w:tcPr>
            <w:tcW w:w="3117" w:type="dxa"/>
          </w:tcPr>
          <w:p w14:paraId="6389E4E5" w14:textId="2EC59829" w:rsidR="002A129F" w:rsidRPr="00482BF6" w:rsidRDefault="002A129F" w:rsidP="00EA78CF">
            <w:pPr>
              <w:keepNext/>
              <w:keepLines/>
              <w:rPr>
                <w:rFonts w:asciiTheme="majorBidi" w:hAnsiTheme="majorBidi" w:cstheme="majorBidi"/>
              </w:rPr>
            </w:pPr>
            <w:r>
              <w:rPr>
                <w:rFonts w:asciiTheme="majorBidi" w:hAnsiTheme="majorBidi"/>
              </w:rPr>
              <w:t>Situación: No disponible</w:t>
            </w:r>
          </w:p>
        </w:tc>
      </w:tr>
    </w:tbl>
    <w:p w14:paraId="0D839810" w14:textId="77777777" w:rsidR="002A129F" w:rsidRPr="00482BF6" w:rsidRDefault="002A129F" w:rsidP="002A129F">
      <w:pPr>
        <w:keepNext/>
        <w:keepLines/>
        <w:rPr>
          <w:rFonts w:asciiTheme="majorBidi" w:hAnsiTheme="majorBidi" w:cstheme="majorBidi"/>
          <w:b/>
          <w:bCs/>
        </w:rPr>
      </w:pPr>
    </w:p>
    <w:p w14:paraId="0C6D550A" w14:textId="77777777" w:rsidR="002A129F" w:rsidRPr="00482BF6" w:rsidRDefault="002A129F" w:rsidP="002A129F">
      <w:pPr>
        <w:keepNext/>
        <w:keepLines/>
        <w:rPr>
          <w:rFonts w:asciiTheme="majorBidi" w:hAnsiTheme="majorBidi" w:cstheme="majorBidi"/>
          <w:u w:val="single"/>
        </w:rPr>
      </w:pPr>
      <w:r>
        <w:rPr>
          <w:rFonts w:asciiTheme="majorBidi" w:hAnsiTheme="majorBidi"/>
          <w:u w:val="single"/>
        </w:rPr>
        <w:t>Antecedentes</w:t>
      </w:r>
    </w:p>
    <w:p w14:paraId="59640F16" w14:textId="77777777" w:rsidR="002A129F" w:rsidRPr="00482BF6" w:rsidRDefault="002A129F" w:rsidP="002A129F">
      <w:pPr>
        <w:keepNext/>
        <w:keepLines/>
        <w:rPr>
          <w:rFonts w:asciiTheme="majorBidi" w:hAnsiTheme="majorBidi" w:cstheme="majorBidi"/>
          <w:b/>
          <w:bCs/>
        </w:rPr>
      </w:pPr>
    </w:p>
    <w:p w14:paraId="6EA3B082" w14:textId="1069B4F9" w:rsidR="002A129F" w:rsidRPr="00482BF6" w:rsidRDefault="002A129F" w:rsidP="00D74632">
      <w:pPr>
        <w:pStyle w:val="Heading1"/>
      </w:pPr>
      <w:r>
        <w:t>La Acción Nacional de Eficiencia Energética y Energía Renovable se creó para aumentar la participación de la energía renovable en la producción de electricidad, reducir las emisiones de gases de efecto invernadero, promover inversiones en eficiencia energética y apoyar mecanismos de financiación sostenible para el sector privado del Líbano.</w:t>
      </w:r>
      <w:r w:rsidR="001637AD">
        <w:t xml:space="preserve"> </w:t>
      </w:r>
      <w:r>
        <w:t>El proyecto propuesto es un mecanismo de financiación nacional iniciado por el Banco Central del Líbano en 2010 para apoyar proyectos de energía renovable y eficiencia energética. Proporciona préstamos a largo plazo y bajo interés a particulares, pequeñas y medianas empresas y otras empresas, así como subsidios, para fomentar las inversiones ecológicas sostenibles.</w:t>
      </w:r>
      <w:r w:rsidRPr="00482BF6">
        <w:rPr>
          <w:vertAlign w:val="superscript"/>
        </w:rPr>
        <w:footnoteReference w:id="4"/>
      </w:r>
      <w:r>
        <w:t xml:space="preserve"> Este mecanismo contó con el apoyo financiero del Banco Europeo de Inversiones (BEI), cuya subvención fue de </w:t>
      </w:r>
      <w:r w:rsidR="0098668E">
        <w:t xml:space="preserve">EUR </w:t>
      </w:r>
      <w:r>
        <w:t>12 millones (USD 13,65 millones), y de la Agencia Francesa de Desarrollo (AFD), cuya contribución fue de EUR 90 millones (USD 102,4 millones) en líneas de crédito para apoyar la Acción Nacional de Eficiencia Energética y Energía Renovable.</w:t>
      </w:r>
    </w:p>
    <w:p w14:paraId="4AF282B6" w14:textId="77777777" w:rsidR="002A129F" w:rsidRPr="00482BF6" w:rsidRDefault="002A129F" w:rsidP="002A129F">
      <w:pPr>
        <w:keepNext/>
        <w:keepLines/>
        <w:rPr>
          <w:rFonts w:asciiTheme="majorBidi" w:hAnsiTheme="majorBidi" w:cstheme="majorBidi"/>
          <w:u w:val="single"/>
        </w:rPr>
      </w:pPr>
      <w:r>
        <w:rPr>
          <w:rFonts w:asciiTheme="majorBidi" w:hAnsiTheme="majorBidi"/>
          <w:u w:val="single"/>
        </w:rPr>
        <w:t>Proceso de financiación y creación de capacidad</w:t>
      </w:r>
    </w:p>
    <w:p w14:paraId="548D5F93" w14:textId="77777777" w:rsidR="002A129F" w:rsidRPr="00482BF6" w:rsidRDefault="002A129F" w:rsidP="002A129F">
      <w:pPr>
        <w:keepNext/>
        <w:keepLines/>
        <w:rPr>
          <w:rFonts w:asciiTheme="majorBidi" w:hAnsiTheme="majorBidi" w:cstheme="majorBidi"/>
        </w:rPr>
      </w:pPr>
    </w:p>
    <w:p w14:paraId="4E9873FA" w14:textId="454D16DF" w:rsidR="002A129F" w:rsidRPr="00482BF6" w:rsidRDefault="002A129F" w:rsidP="00D74632">
      <w:pPr>
        <w:pStyle w:val="Heading1"/>
      </w:pPr>
      <w:r>
        <w:t>La puesta en marcha de este mecanismo financiero se llevó a cabo a través del</w:t>
      </w:r>
      <w:r>
        <w:rPr>
          <w:b/>
        </w:rPr>
        <w:t xml:space="preserve"> </w:t>
      </w:r>
      <w:r>
        <w:t xml:space="preserve">Banco Central del Líbano, que concedió préstamos a largo plazo a los bancos comerciales, a 15 años y al 1 por ciento de interés. El Banco Central del Líbano también ofreció a los bancos comerciales la opción de liberar parte de la reserva legal para añadir fondos sostenibles adicionales con el objetivo de financiar tecnología de eficiencia energética y de bajas emisiones de gases de efecto invernadero (por ejemplo, fuentes de energía renovables para la generación de energía). Todo ello bajo la supervisión y auditoría continuas de los bancos comerciales por el Banco Central del Líbano. </w:t>
      </w:r>
    </w:p>
    <w:p w14:paraId="0381E499" w14:textId="77777777" w:rsidR="002A129F" w:rsidRPr="00482BF6" w:rsidRDefault="002A129F" w:rsidP="00D74632">
      <w:pPr>
        <w:pStyle w:val="Heading1"/>
      </w:pPr>
      <w:r>
        <w:t>Los bancos comerciales pueden emplear el préstamo del Banco Central del Líbano en forma de préstamos en condiciones favorables a usuarios finales que se beneficien de devoluciones a largo plazo de hasta 10 años a un tipo de interés preferencial; esto hace que sea atractivo para los prestatarios invertir en tecnología de eficiencia energética y bajas emisiones de gases de efecto invernadero. Los préstamos concedidos a los bancos comerciales por el Banco Central del Líbano se reembolsaron en un período de 14 años.</w:t>
      </w:r>
    </w:p>
    <w:p w14:paraId="01C3C2CF" w14:textId="24C64976" w:rsidR="002A129F" w:rsidRPr="00482BF6" w:rsidRDefault="002A129F" w:rsidP="00D74632">
      <w:pPr>
        <w:pStyle w:val="Heading1"/>
      </w:pPr>
      <w:r>
        <w:t>El Ministerio de Energía y Agua establece las políticas energéticas y apoya su aplicación; el Ministerio de Hacienda tiene la responsabilidad de supervisar los reglamentos financieros. Además, el Centro Libanés para la Conservación de la Energía llevó a cabo evaluaciones técnicas y estudios de viabilidad de inversiones en energías renovables y eficiencia energética. El PNUD ofreció apoyo técnico, creación de capacidad y campañas de sensibilización al Banco Central del Líbano y al sector financiero.</w:t>
      </w:r>
    </w:p>
    <w:p w14:paraId="733B7958" w14:textId="77777777" w:rsidR="002A129F" w:rsidRPr="00482BF6" w:rsidRDefault="002A129F" w:rsidP="002A129F">
      <w:pPr>
        <w:rPr>
          <w:rFonts w:asciiTheme="majorBidi" w:hAnsiTheme="majorBidi" w:cstheme="majorBidi"/>
          <w:u w:val="single"/>
        </w:rPr>
      </w:pPr>
      <w:r>
        <w:rPr>
          <w:rFonts w:asciiTheme="majorBidi" w:hAnsiTheme="majorBidi"/>
          <w:u w:val="single"/>
        </w:rPr>
        <w:t>Indicadores de desempeño</w:t>
      </w:r>
    </w:p>
    <w:p w14:paraId="4BAB1942" w14:textId="77777777" w:rsidR="002A129F" w:rsidRPr="00482BF6" w:rsidRDefault="002A129F" w:rsidP="002A129F">
      <w:pPr>
        <w:keepNext/>
        <w:keepLines/>
        <w:rPr>
          <w:rFonts w:asciiTheme="majorBidi" w:hAnsiTheme="majorBidi" w:cstheme="majorBidi"/>
        </w:rPr>
      </w:pPr>
    </w:p>
    <w:p w14:paraId="7DF4CF37" w14:textId="7BE2ACE1" w:rsidR="002A129F" w:rsidRPr="00482BF6" w:rsidRDefault="002A129F" w:rsidP="00D74632">
      <w:pPr>
        <w:pStyle w:val="Heading1"/>
      </w:pPr>
      <w:r>
        <w:t xml:space="preserve">A fecha de junio de 2020, el mecanismo de financiación de la Acción Nacional de Eficiencia Energética y Energía Renovable había aprobado más de 1.000 proyectos, por una financiación total de más de USD 600 millones. El ahorro energético estimado de estos proyectos ascendió en conjunto a USD 73 </w:t>
      </w:r>
      <w:r>
        <w:lastRenderedPageBreak/>
        <w:t>millones y supuso una reducción del consumo de energía en aproximadamente 260 millones de kWh y de las emisiones de CO₂ en 281.245 toneladas.</w:t>
      </w:r>
      <w:r w:rsidRPr="00482BF6">
        <w:rPr>
          <w:vertAlign w:val="superscript"/>
        </w:rPr>
        <w:footnoteReference w:id="5"/>
      </w:r>
      <w:r>
        <w:t xml:space="preserve">  </w:t>
      </w:r>
    </w:p>
    <w:p w14:paraId="2C6D855F" w14:textId="77777777" w:rsidR="002A129F" w:rsidRPr="00482BF6" w:rsidRDefault="002A129F" w:rsidP="00D74632">
      <w:pPr>
        <w:pStyle w:val="Heading1"/>
      </w:pPr>
      <w:r>
        <w:t>Los principales factores de éxito relacionados con este proyecto son: las colaboraciones sólidas entre el Gobierno, el sector privado, el PNUD, el Centro Libanés para la Conservación de la Energía, los bancos comerciales y los donantes internacionales; la cofinanciación por parte de los beneficiarios de hasta el 30 por ciento (dependiendo de los bancos) de los costos de inversión, lo que aumentó su compromiso y el valor agregado de las inversiones totales; los incentivos financieros bien estructurados del Banco Central del Líbano, que permitieron alentar la participación de los bancos comerciales y de los usuarios finales; la validación técnica por parte del Centro Libanés para la Conservación de la Energía con el fin de garantizar la viabilidad del proyecto; el apoyo continuo de las instituciones de desarrollo (por ejemplo, la Unión Europea, el PNUD, el BEI y la AFD), incluido el apoyo a la creación de capacidad técnica y operacional del personal bancario; y la supervisión por el Banco Central del Líbano del desempeño de los bancos comerciales en este programa.</w:t>
      </w:r>
    </w:p>
    <w:p w14:paraId="6F0AF465" w14:textId="0774A166" w:rsidR="002A129F" w:rsidRPr="00482BF6" w:rsidRDefault="002A129F" w:rsidP="00D74632">
      <w:pPr>
        <w:pStyle w:val="Heading1"/>
      </w:pPr>
      <w:r>
        <w:t>El proyecto se enfrentó a desafíos relacionados principalmente con la inestabilidad macroeconómica y política en el Líbano y las dificultades financieras en curso dentro del sector bancario del Líbano, que han persistido desde 2019.</w:t>
      </w:r>
      <w:r w:rsidR="001637AD">
        <w:t xml:space="preserve"> </w:t>
      </w:r>
      <w:r>
        <w:t>Para hacer frente a estos desafíos, es necesario contar con instrumentos apropiados de mitigación de riesgos estructurados en la financiación de proyectos.</w:t>
      </w:r>
    </w:p>
    <w:p w14:paraId="6FF82184" w14:textId="77777777" w:rsidR="002A129F" w:rsidRPr="00482BF6" w:rsidRDefault="002A129F" w:rsidP="002A129F">
      <w:pPr>
        <w:keepNext/>
        <w:keepLines/>
        <w:rPr>
          <w:rFonts w:asciiTheme="majorBidi" w:hAnsiTheme="majorBidi" w:cstheme="majorBidi"/>
          <w:u w:val="single"/>
        </w:rPr>
      </w:pPr>
    </w:p>
    <w:p w14:paraId="1D2ABD24" w14:textId="77777777" w:rsidR="002A129F" w:rsidRPr="00482BF6" w:rsidRDefault="002A129F" w:rsidP="002A129F">
      <w:pPr>
        <w:rPr>
          <w:rFonts w:asciiTheme="majorBidi" w:hAnsiTheme="majorBidi" w:cstheme="majorBidi"/>
        </w:rPr>
      </w:pPr>
      <w:r>
        <w:br w:type="page"/>
      </w:r>
    </w:p>
    <w:p w14:paraId="0BA6CF0B" w14:textId="77777777" w:rsidR="002A129F" w:rsidRPr="00482BF6" w:rsidRDefault="002A129F" w:rsidP="00EA2D11">
      <w:pPr>
        <w:keepNext/>
        <w:keepLines/>
        <w:jc w:val="left"/>
        <w:rPr>
          <w:rFonts w:asciiTheme="majorBidi" w:hAnsiTheme="majorBidi" w:cstheme="majorBidi"/>
          <w:b/>
          <w:bCs/>
        </w:rPr>
      </w:pPr>
      <w:r>
        <w:rPr>
          <w:rFonts w:asciiTheme="majorBidi" w:hAnsiTheme="majorBidi"/>
          <w:b/>
        </w:rPr>
        <w:lastRenderedPageBreak/>
        <w:t>País: Ucrania (garantía de crédito)</w:t>
      </w:r>
    </w:p>
    <w:p w14:paraId="19619EFB" w14:textId="77777777" w:rsidR="002A129F" w:rsidRPr="00482BF6" w:rsidRDefault="002A129F" w:rsidP="002A129F">
      <w:pPr>
        <w:keepNext/>
        <w:keepLines/>
        <w:rPr>
          <w:rFonts w:asciiTheme="majorBidi" w:hAnsiTheme="majorBidi" w:cstheme="majorBidi"/>
        </w:rPr>
      </w:pPr>
    </w:p>
    <w:tbl>
      <w:tblPr>
        <w:tblStyle w:val="TableGrid"/>
        <w:tblW w:w="0" w:type="auto"/>
        <w:tblLook w:val="04A0" w:firstRow="1" w:lastRow="0" w:firstColumn="1" w:lastColumn="0" w:noHBand="0" w:noVBand="1"/>
      </w:tblPr>
      <w:tblGrid>
        <w:gridCol w:w="2972"/>
        <w:gridCol w:w="3261"/>
        <w:gridCol w:w="3117"/>
      </w:tblGrid>
      <w:tr w:rsidR="00482BF6" w:rsidRPr="00482BF6" w14:paraId="214C78A1" w14:textId="77777777" w:rsidTr="00EA78CF">
        <w:tc>
          <w:tcPr>
            <w:tcW w:w="2972" w:type="dxa"/>
          </w:tcPr>
          <w:p w14:paraId="511CCFAF" w14:textId="2986ED7E" w:rsidR="002A129F" w:rsidRPr="00482BF6" w:rsidRDefault="002A129F" w:rsidP="00333CCE">
            <w:pPr>
              <w:keepNext/>
              <w:keepLines/>
              <w:jc w:val="left"/>
              <w:rPr>
                <w:rFonts w:asciiTheme="majorBidi" w:hAnsiTheme="majorBidi" w:cstheme="majorBidi"/>
                <w:sz w:val="21"/>
                <w:szCs w:val="21"/>
              </w:rPr>
            </w:pPr>
            <w:r>
              <w:rPr>
                <w:rFonts w:asciiTheme="majorBidi" w:hAnsiTheme="majorBidi"/>
                <w:sz w:val="21"/>
              </w:rPr>
              <w:t xml:space="preserve">Organismo: </w:t>
            </w:r>
            <w:r w:rsidR="006E3ADF">
              <w:rPr>
                <w:rFonts w:asciiTheme="majorBidi" w:hAnsiTheme="majorBidi"/>
                <w:sz w:val="21"/>
              </w:rPr>
              <w:t>ONUDI</w:t>
            </w:r>
            <w:r>
              <w:rPr>
                <w:rFonts w:asciiTheme="majorBidi" w:hAnsiTheme="majorBidi"/>
                <w:sz w:val="21"/>
              </w:rPr>
              <w:t xml:space="preserve"> con financiación del FMAM</w:t>
            </w:r>
          </w:p>
        </w:tc>
        <w:tc>
          <w:tcPr>
            <w:tcW w:w="3261" w:type="dxa"/>
          </w:tcPr>
          <w:p w14:paraId="595857DF" w14:textId="77777777" w:rsidR="002A129F" w:rsidRPr="00482BF6" w:rsidRDefault="002A129F" w:rsidP="00EA78CF">
            <w:pPr>
              <w:keepNext/>
              <w:keepLines/>
              <w:rPr>
                <w:rFonts w:asciiTheme="majorBidi" w:hAnsiTheme="majorBidi" w:cstheme="majorBidi"/>
                <w:sz w:val="21"/>
                <w:szCs w:val="21"/>
              </w:rPr>
            </w:pPr>
          </w:p>
        </w:tc>
        <w:tc>
          <w:tcPr>
            <w:tcW w:w="3117" w:type="dxa"/>
          </w:tcPr>
          <w:p w14:paraId="2D2FE40C" w14:textId="302EA790" w:rsidR="002A129F" w:rsidRPr="00482BF6" w:rsidRDefault="002A129F" w:rsidP="000A217A">
            <w:pPr>
              <w:keepNext/>
              <w:keepLines/>
              <w:jc w:val="left"/>
              <w:rPr>
                <w:rFonts w:asciiTheme="majorBidi" w:hAnsiTheme="majorBidi" w:cstheme="majorBidi"/>
                <w:sz w:val="21"/>
                <w:szCs w:val="21"/>
              </w:rPr>
            </w:pPr>
            <w:r>
              <w:rPr>
                <w:rFonts w:asciiTheme="majorBidi" w:hAnsiTheme="majorBidi"/>
                <w:sz w:val="21"/>
              </w:rPr>
              <w:t>Período de ejecución:</w:t>
            </w:r>
            <w:r w:rsidR="001637AD">
              <w:rPr>
                <w:rFonts w:asciiTheme="majorBidi" w:hAnsiTheme="majorBidi"/>
                <w:sz w:val="21"/>
              </w:rPr>
              <w:t xml:space="preserve"> </w:t>
            </w:r>
            <w:proofErr w:type="gramStart"/>
            <w:r>
              <w:rPr>
                <w:rFonts w:asciiTheme="majorBidi" w:hAnsiTheme="majorBidi"/>
                <w:sz w:val="21"/>
              </w:rPr>
              <w:t>Octubre</w:t>
            </w:r>
            <w:proofErr w:type="gramEnd"/>
            <w:r>
              <w:rPr>
                <w:rFonts w:asciiTheme="majorBidi" w:hAnsiTheme="majorBidi"/>
                <w:sz w:val="21"/>
              </w:rPr>
              <w:t xml:space="preserve"> de 2013 a diciembre de 2025</w:t>
            </w:r>
          </w:p>
        </w:tc>
      </w:tr>
      <w:tr w:rsidR="002A129F" w:rsidRPr="00482BF6" w14:paraId="319CEC96" w14:textId="77777777" w:rsidTr="00EA78CF">
        <w:tc>
          <w:tcPr>
            <w:tcW w:w="2972" w:type="dxa"/>
          </w:tcPr>
          <w:p w14:paraId="0DBC6AEB" w14:textId="77777777" w:rsidR="002A129F" w:rsidRPr="00482BF6" w:rsidRDefault="002A129F" w:rsidP="00333CCE">
            <w:pPr>
              <w:keepNext/>
              <w:keepLines/>
              <w:jc w:val="left"/>
              <w:rPr>
                <w:rFonts w:asciiTheme="majorBidi" w:hAnsiTheme="majorBidi" w:cstheme="majorBidi"/>
                <w:sz w:val="21"/>
                <w:szCs w:val="21"/>
              </w:rPr>
            </w:pPr>
            <w:r>
              <w:rPr>
                <w:rFonts w:asciiTheme="majorBidi" w:hAnsiTheme="majorBidi"/>
                <w:sz w:val="21"/>
              </w:rPr>
              <w:t xml:space="preserve">Financiación: USD 5,55 millones (financiación del FMAM) </w:t>
            </w:r>
          </w:p>
        </w:tc>
        <w:tc>
          <w:tcPr>
            <w:tcW w:w="3261" w:type="dxa"/>
          </w:tcPr>
          <w:p w14:paraId="105E7637" w14:textId="77777777" w:rsidR="002A129F" w:rsidRPr="00482BF6" w:rsidRDefault="002A129F" w:rsidP="00EA78CF">
            <w:pPr>
              <w:keepNext/>
              <w:keepLines/>
              <w:rPr>
                <w:rFonts w:asciiTheme="majorBidi" w:hAnsiTheme="majorBidi" w:cstheme="majorBidi"/>
                <w:sz w:val="21"/>
                <w:szCs w:val="21"/>
              </w:rPr>
            </w:pPr>
            <w:r>
              <w:rPr>
                <w:rFonts w:asciiTheme="majorBidi" w:hAnsiTheme="majorBidi"/>
                <w:sz w:val="21"/>
              </w:rPr>
              <w:t>Objetivo: Empresas industriales</w:t>
            </w:r>
          </w:p>
        </w:tc>
        <w:tc>
          <w:tcPr>
            <w:tcW w:w="3117" w:type="dxa"/>
          </w:tcPr>
          <w:p w14:paraId="12E9E257" w14:textId="77777777" w:rsidR="002A129F" w:rsidRPr="00482BF6" w:rsidRDefault="002A129F" w:rsidP="00EA78CF">
            <w:pPr>
              <w:keepNext/>
              <w:keepLines/>
              <w:rPr>
                <w:rFonts w:asciiTheme="majorBidi" w:hAnsiTheme="majorBidi" w:cstheme="majorBidi"/>
                <w:sz w:val="21"/>
                <w:szCs w:val="21"/>
              </w:rPr>
            </w:pPr>
            <w:r>
              <w:rPr>
                <w:rFonts w:asciiTheme="majorBidi" w:hAnsiTheme="majorBidi"/>
                <w:sz w:val="21"/>
              </w:rPr>
              <w:t>Situación: En curso</w:t>
            </w:r>
          </w:p>
        </w:tc>
      </w:tr>
    </w:tbl>
    <w:p w14:paraId="6C2D0D2F" w14:textId="77777777" w:rsidR="002A129F" w:rsidRPr="00482BF6" w:rsidRDefault="002A129F" w:rsidP="002A129F">
      <w:pPr>
        <w:keepNext/>
        <w:keepLines/>
        <w:rPr>
          <w:rFonts w:asciiTheme="majorBidi" w:hAnsiTheme="majorBidi" w:cstheme="majorBidi"/>
        </w:rPr>
      </w:pPr>
    </w:p>
    <w:p w14:paraId="175FA3FC" w14:textId="77777777" w:rsidR="002A129F" w:rsidRPr="00482BF6" w:rsidRDefault="002A129F" w:rsidP="002A129F">
      <w:pPr>
        <w:keepNext/>
        <w:keepLines/>
        <w:rPr>
          <w:rFonts w:asciiTheme="majorBidi" w:hAnsiTheme="majorBidi" w:cstheme="majorBidi"/>
          <w:u w:val="single"/>
        </w:rPr>
      </w:pPr>
      <w:r>
        <w:rPr>
          <w:rFonts w:asciiTheme="majorBidi" w:hAnsiTheme="majorBidi"/>
          <w:u w:val="single"/>
        </w:rPr>
        <w:t>Antecedentes</w:t>
      </w:r>
    </w:p>
    <w:p w14:paraId="4B22C134" w14:textId="77777777" w:rsidR="002A129F" w:rsidRPr="00482BF6" w:rsidRDefault="002A129F" w:rsidP="002A129F">
      <w:pPr>
        <w:rPr>
          <w:rFonts w:asciiTheme="majorBidi" w:hAnsiTheme="majorBidi" w:cstheme="majorBidi"/>
        </w:rPr>
      </w:pPr>
    </w:p>
    <w:p w14:paraId="0F5ACCBF" w14:textId="70CD2BC6" w:rsidR="002A129F" w:rsidRPr="00482BF6" w:rsidRDefault="002A129F" w:rsidP="00D74632">
      <w:pPr>
        <w:pStyle w:val="Heading1"/>
      </w:pPr>
      <w:r>
        <w:t>El objetivo principal de este proyecto era mejorar la gestión de la energía en la industria ucraniana mediante la promoción de la aplicación generalizada de sistemas de gestión de la energía que cumplieran la norma internacional de sistemas de gestión de la energía ISO 5000. El apoyo financiero del FMAM para este proyecto fue de USD 5,55 millones, con cofinanciación de USD 34 millones. Este proyecto fue ejecutado por la ONUDI con el Organismo Estatal de Eficiencia Energética y Ahorro de Energía y el Ministerio de Economía, Desarrollo y Comercio como socio ejecutor.</w:t>
      </w:r>
    </w:p>
    <w:p w14:paraId="691185A0" w14:textId="6AECD684" w:rsidR="002A129F" w:rsidRPr="00482BF6" w:rsidRDefault="002A129F" w:rsidP="00D74632">
      <w:pPr>
        <w:pStyle w:val="Heading1"/>
      </w:pPr>
      <w:r>
        <w:t>El proyecto incluyó tres componentes, a saber: apoyo normativo e institucional para la introducción de una norma de sistemas nacionales de gestión de la energía correspondiente a la norma ISO 50001; el desarrollo de la capacidad nacional de planificación, ejecución y certificación de sistemas de gestión de energía y el perfeccionamiento de los sistemas energéticos; y la difusión e implantación de tecnología para promover la aplicación de sistemas de gestión de la energía en determinados sectores industriales. El componente de difusión de tecnología utilizó un fondo rotatorio para apoyar la asistencia técnica para el desarrollo de proyectos de sistemas de gestión de la energía, eficiencia energética y perfeccionamiento de los sistemas energéticos con el fin de promover y apoyar el aumento de las inversiones de las empresas industriales.</w:t>
      </w:r>
    </w:p>
    <w:p w14:paraId="189A609C" w14:textId="77777777" w:rsidR="002A129F" w:rsidRPr="00482BF6" w:rsidRDefault="002A129F" w:rsidP="002A129F">
      <w:pPr>
        <w:rPr>
          <w:rFonts w:asciiTheme="majorBidi" w:hAnsiTheme="majorBidi" w:cstheme="majorBidi"/>
          <w:u w:val="single"/>
        </w:rPr>
      </w:pPr>
      <w:r>
        <w:rPr>
          <w:rFonts w:asciiTheme="majorBidi" w:hAnsiTheme="majorBidi"/>
          <w:u w:val="single"/>
        </w:rPr>
        <w:t>Proceso de financiación y creación de capacidad</w:t>
      </w:r>
    </w:p>
    <w:p w14:paraId="75790E5F" w14:textId="77777777" w:rsidR="002A129F" w:rsidRPr="00482BF6" w:rsidRDefault="002A129F" w:rsidP="002A129F">
      <w:pPr>
        <w:rPr>
          <w:rFonts w:asciiTheme="majorBidi" w:hAnsiTheme="majorBidi" w:cstheme="majorBidi"/>
        </w:rPr>
      </w:pPr>
    </w:p>
    <w:p w14:paraId="40293A36" w14:textId="7C3CD7BE" w:rsidR="002A129F" w:rsidRPr="00482BF6" w:rsidRDefault="002A129F" w:rsidP="00D74632">
      <w:pPr>
        <w:pStyle w:val="Heading1"/>
      </w:pPr>
      <w:r>
        <w:t>Un análisis detallado de las opciones de financiación hizo que se formulara la recomendación de establecer un fondo de garantía de préstamos de depósitos de cartera</w:t>
      </w:r>
      <w:r w:rsidRPr="00482BF6">
        <w:rPr>
          <w:rStyle w:val="FootnoteReference"/>
          <w:rFonts w:asciiTheme="majorBidi" w:hAnsiTheme="majorBidi" w:cstheme="majorBidi"/>
        </w:rPr>
        <w:footnoteReference w:id="6"/>
      </w:r>
      <w:r>
        <w:t xml:space="preserve"> para promover el apoyo del fondo rotatorio. Este fondo de garantía de préstamos de depósitos de cartera puede proporcionar las </w:t>
      </w:r>
      <w:r w:rsidR="00AE314D">
        <w:t>fianzas</w:t>
      </w:r>
      <w:r>
        <w:t xml:space="preserve"> que las empresas no pueden proporcionar si quieren cumplir la "cobertura de riesgos" requerida por los bancos; y también puede reducir el coste de la financiación a través de una garantía, especialmente en forma de depósito, que permita reducir el coste del capital/financiación y, en consecuencia, logra</w:t>
      </w:r>
      <w:r w:rsidR="00AE314D">
        <w:t>r</w:t>
      </w:r>
      <w:r>
        <w:t xml:space="preserve"> una disminución de los tipos de interés de los préstamos concedidos. El acuerdo de facilidad de crédito que regula el fondo de garantía contiene información específica sobre las condiciones del préstamo, incluidas las condiciones relacionadas con la garantía. A través de este mecanismo rotatorio, una vez reembolsado el préstamo otorgado al beneficiario, se libera el valor de garantía equivalente para un nuevo prestatario.</w:t>
      </w:r>
    </w:p>
    <w:p w14:paraId="25EF5750" w14:textId="20EB8A41" w:rsidR="002A129F" w:rsidRPr="00482BF6" w:rsidRDefault="002A129F" w:rsidP="00D74632">
      <w:pPr>
        <w:pStyle w:val="Heading1"/>
      </w:pPr>
      <w:r>
        <w:t xml:space="preserve">Entre las empresas destinatarias se encuentran empresas industriales que han recibido la capacitación del proyecto y el apoyo para la creación de capacidades en materia de sistemas de gestión de la energía/perfeccionamiento de los sistemas energéticos, otras empresas industriales que cumplen los criterios definidos y pequeñas y medianas empresas y grandes empresas. Los préstamos en el marco de este proyecto se han utilizado para la implantación de sistemas de gestión de la energía (de conformidad con la norma ISO 50001:2018), incluyendo la certificación de terceros, proyectos de optimización de sistemas energéticos (ventiladores, bombas, aire comprimido y vapor, entre otros) y otras medidas de eficiencia energética industrial (si ya existe un sistema de gestión de la energía).  </w:t>
      </w:r>
    </w:p>
    <w:p w14:paraId="69F55EDE" w14:textId="12BD4CD2" w:rsidR="002A129F" w:rsidRPr="00482BF6" w:rsidRDefault="002A129F" w:rsidP="00D74632">
      <w:pPr>
        <w:pStyle w:val="Heading1"/>
      </w:pPr>
      <w:r>
        <w:lastRenderedPageBreak/>
        <w:t>Los tipos de interés de estos préstamos con garantía</w:t>
      </w:r>
      <w:r w:rsidR="00AE314D">
        <w:t>s</w:t>
      </w:r>
      <w:r>
        <w:t xml:space="preserve">, que tienen una validez de unos 18 meses, se traducen en una reducción del tipo de interés desde el 25 por ciento hasta entre el 16,5 y el 18 por ciento.   </w:t>
      </w:r>
    </w:p>
    <w:p w14:paraId="511E7604" w14:textId="77777777" w:rsidR="002A129F" w:rsidRPr="00482BF6" w:rsidRDefault="002A129F" w:rsidP="002A129F">
      <w:pPr>
        <w:rPr>
          <w:rFonts w:asciiTheme="majorBidi" w:hAnsiTheme="majorBidi" w:cstheme="majorBidi"/>
          <w:u w:val="single"/>
        </w:rPr>
      </w:pPr>
      <w:r>
        <w:rPr>
          <w:rFonts w:asciiTheme="majorBidi" w:hAnsiTheme="majorBidi"/>
          <w:u w:val="single"/>
        </w:rPr>
        <w:t>Indicadores de desempeño</w:t>
      </w:r>
    </w:p>
    <w:p w14:paraId="18A2599D" w14:textId="77777777" w:rsidR="002A129F" w:rsidRPr="00482BF6" w:rsidRDefault="002A129F" w:rsidP="002A129F">
      <w:pPr>
        <w:rPr>
          <w:rFonts w:asciiTheme="majorBidi" w:hAnsiTheme="majorBidi" w:cstheme="majorBidi"/>
        </w:rPr>
      </w:pPr>
    </w:p>
    <w:p w14:paraId="27639581" w14:textId="504857D1" w:rsidR="00BB2764" w:rsidRPr="00482BF6" w:rsidRDefault="002A129F" w:rsidP="009A6A40">
      <w:pPr>
        <w:pStyle w:val="Heading1"/>
        <w:spacing w:after="160"/>
      </w:pPr>
      <w:r>
        <w:t>Se estima que el proyecto representa un ahorro directo de 3.305 GWh en 10 años; esto se traduce en un ahorro de 580.000 toneladas de CO</w:t>
      </w:r>
      <w:r>
        <w:rPr>
          <w:vertAlign w:val="subscript"/>
        </w:rPr>
        <w:t>2</w:t>
      </w:r>
      <w:r>
        <w:t xml:space="preserve"> equivalente en un periodo de 10 años.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82BF6" w14:paraId="6520E934" w14:textId="77777777" w:rsidTr="00E72590">
        <w:tc>
          <w:tcPr>
            <w:tcW w:w="1871" w:type="dxa"/>
          </w:tcPr>
          <w:p w14:paraId="0D59FB06" w14:textId="77777777" w:rsidR="00E85409" w:rsidRPr="00482BF6" w:rsidRDefault="00E85409" w:rsidP="00FB077C"/>
        </w:tc>
        <w:tc>
          <w:tcPr>
            <w:tcW w:w="1872" w:type="dxa"/>
          </w:tcPr>
          <w:p w14:paraId="4FFFD3E5" w14:textId="77777777" w:rsidR="00E85409" w:rsidRPr="00482BF6" w:rsidRDefault="00E85409" w:rsidP="00FB077C"/>
        </w:tc>
        <w:tc>
          <w:tcPr>
            <w:tcW w:w="1872" w:type="dxa"/>
            <w:tcBorders>
              <w:bottom w:val="single" w:sz="4" w:space="0" w:color="auto"/>
            </w:tcBorders>
          </w:tcPr>
          <w:p w14:paraId="2470D34E" w14:textId="77777777" w:rsidR="00E85409" w:rsidRPr="00482BF6" w:rsidRDefault="00E85409" w:rsidP="00FB077C"/>
        </w:tc>
        <w:tc>
          <w:tcPr>
            <w:tcW w:w="1872" w:type="dxa"/>
          </w:tcPr>
          <w:p w14:paraId="17672C62" w14:textId="77777777" w:rsidR="00E85409" w:rsidRPr="00482BF6" w:rsidRDefault="00E85409" w:rsidP="00FB077C"/>
        </w:tc>
        <w:tc>
          <w:tcPr>
            <w:tcW w:w="1873" w:type="dxa"/>
          </w:tcPr>
          <w:p w14:paraId="6C1E654B" w14:textId="77777777" w:rsidR="00E85409" w:rsidRPr="00482BF6" w:rsidRDefault="00E85409" w:rsidP="00FB077C"/>
        </w:tc>
      </w:tr>
    </w:tbl>
    <w:p w14:paraId="3A9F4C94" w14:textId="77777777" w:rsidR="00E85409" w:rsidRPr="00482BF6" w:rsidRDefault="00E85409" w:rsidP="000F3829">
      <w:pPr>
        <w:rPr>
          <w:sz w:val="2"/>
          <w:szCs w:val="2"/>
        </w:rPr>
      </w:pPr>
    </w:p>
    <w:sectPr w:rsidR="00E85409" w:rsidRPr="00482BF6"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621FE" w14:textId="77777777" w:rsidR="00530E95" w:rsidRDefault="00530E95" w:rsidP="004A504B">
      <w:r>
        <w:separator/>
      </w:r>
    </w:p>
  </w:endnote>
  <w:endnote w:type="continuationSeparator" w:id="0">
    <w:p w14:paraId="4C01E054" w14:textId="77777777" w:rsidR="00530E95" w:rsidRDefault="00530E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8C4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3F23"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5AE1" w14:textId="13094B62" w:rsidR="004E7F9C" w:rsidRPr="0000069A" w:rsidRDefault="004E7F9C" w:rsidP="0000069A">
    <w:pPr>
      <w:pBdr>
        <w:top w:val="single" w:sz="4" w:space="1" w:color="auto"/>
        <w:left w:val="single" w:sz="4" w:space="4" w:color="auto"/>
        <w:bottom w:val="single" w:sz="4" w:space="1" w:color="auto"/>
        <w:right w:val="single" w:sz="4" w:space="4" w:color="auto"/>
      </w:pBdr>
      <w:ind w:right="-180"/>
      <w:jc w:val="center"/>
      <w:rPr>
        <w:sz w:val="18"/>
        <w:szCs w:val="18"/>
      </w:rPr>
    </w:pPr>
    <w:r w:rsidRPr="0000069A">
      <w:rPr>
        <w:sz w:val="18"/>
        <w:szCs w:val="18"/>
      </w:rPr>
      <w:t>Los documentos previos al período de sesiones del Comité Ejecutivo del Fondo Multilateral para la Aplicación del Protocolo de Montreal</w:t>
    </w:r>
    <w:r w:rsidR="0000069A">
      <w:rPr>
        <w:sz w:val="18"/>
        <w:szCs w:val="18"/>
      </w:rPr>
      <w:t xml:space="preserve"> </w:t>
    </w:r>
    <w:r w:rsidRPr="0000069A">
      <w:rPr>
        <w:sz w:val="18"/>
        <w:szCs w:val="18"/>
      </w:rPr>
      <w:t xml:space="preserve">no van en perjuicio de cualquier decisión que el Comité Ejecutivo pudiera adoptar después de la emisión de </w:t>
    </w:r>
    <w:proofErr w:type="gramStart"/>
    <w:r w:rsidRPr="0000069A">
      <w:rPr>
        <w:sz w:val="18"/>
        <w:szCs w:val="18"/>
      </w:rPr>
      <w:t>los mismos</w:t>
    </w:r>
    <w:proofErr w:type="gramEnd"/>
    <w:r w:rsidRPr="0000069A">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7508F" w14:textId="77777777" w:rsidR="00530E95" w:rsidRDefault="00530E95" w:rsidP="004A504B">
      <w:r>
        <w:separator/>
      </w:r>
    </w:p>
  </w:footnote>
  <w:footnote w:type="continuationSeparator" w:id="0">
    <w:p w14:paraId="3048440C" w14:textId="77777777" w:rsidR="00530E95" w:rsidRDefault="00530E95" w:rsidP="004A504B">
      <w:r>
        <w:continuationSeparator/>
      </w:r>
    </w:p>
  </w:footnote>
  <w:footnote w:id="1">
    <w:p w14:paraId="30E9C6C7" w14:textId="77777777" w:rsidR="0079781A" w:rsidRPr="00482BF6"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2">
    <w:p w14:paraId="46BD6BDC" w14:textId="79EC9F92" w:rsidR="009168A8" w:rsidRPr="00482BF6" w:rsidRDefault="009168A8">
      <w:pPr>
        <w:pStyle w:val="FootnoteText"/>
      </w:pPr>
      <w:r>
        <w:rPr>
          <w:rStyle w:val="FootnoteReference"/>
        </w:rPr>
        <w:footnoteRef/>
      </w:r>
      <w:r>
        <w:t xml:space="preserve"> Además, se destinaron USD 1,76 millones a asistencia técnica relacionada con el proyecto.</w:t>
      </w:r>
    </w:p>
  </w:footnote>
  <w:footnote w:id="3">
    <w:p w14:paraId="13D179FA" w14:textId="6F4B1C11" w:rsidR="002A129F" w:rsidRPr="00482BF6" w:rsidRDefault="002A129F" w:rsidP="002A129F">
      <w:pPr>
        <w:pStyle w:val="FootnoteText"/>
        <w:rPr>
          <w:rFonts w:asciiTheme="majorBidi" w:hAnsiTheme="majorBidi" w:cstheme="majorBidi"/>
        </w:rPr>
      </w:pPr>
      <w:r>
        <w:rPr>
          <w:rStyle w:val="FootnoteReference"/>
        </w:rPr>
        <w:footnoteRef/>
      </w:r>
      <w:r>
        <w:t xml:space="preserve"> </w:t>
      </w:r>
      <w:r>
        <w:rPr>
          <w:rFonts w:asciiTheme="majorBidi" w:hAnsiTheme="majorBidi"/>
        </w:rPr>
        <w:t>El fondo depende del Ministerio de Energía y se utilizará para recibir fondos y transferirlos con fines de inversión en proyectos.</w:t>
      </w:r>
      <w:r w:rsidR="001637AD">
        <w:rPr>
          <w:rFonts w:asciiTheme="majorBidi" w:hAnsiTheme="majorBidi"/>
        </w:rPr>
        <w:t xml:space="preserve"> </w:t>
      </w:r>
      <w:r>
        <w:rPr>
          <w:rFonts w:asciiTheme="majorBidi" w:hAnsiTheme="majorBidi"/>
        </w:rPr>
        <w:t>El fondo también recibirá el reembolso del beneficiario.</w:t>
      </w:r>
    </w:p>
  </w:footnote>
  <w:footnote w:id="4">
    <w:p w14:paraId="6D2C2354" w14:textId="211A2664" w:rsidR="002A129F" w:rsidRPr="00482BF6" w:rsidRDefault="002A129F" w:rsidP="00EA2D11">
      <w:pPr>
        <w:rPr>
          <w:rFonts w:asciiTheme="majorBidi" w:hAnsiTheme="majorBidi" w:cstheme="majorBidi"/>
          <w:sz w:val="20"/>
          <w:szCs w:val="20"/>
        </w:rPr>
      </w:pPr>
      <w:r>
        <w:rPr>
          <w:rStyle w:val="FootnoteReference"/>
          <w:rFonts w:asciiTheme="majorBidi" w:hAnsiTheme="majorBidi" w:cstheme="majorBidi"/>
          <w:sz w:val="20"/>
          <w:szCs w:val="20"/>
        </w:rPr>
        <w:footnoteRef/>
      </w:r>
      <w:r>
        <w:rPr>
          <w:rFonts w:asciiTheme="majorBidi" w:hAnsiTheme="majorBidi"/>
          <w:sz w:val="20"/>
        </w:rPr>
        <w:t xml:space="preserve"> </w:t>
      </w:r>
      <w:hyperlink r:id="rId1" w:history="1">
        <w:r>
          <w:rPr>
            <w:rStyle w:val="Hyperlink"/>
            <w:rFonts w:asciiTheme="majorBidi" w:hAnsiTheme="majorBidi"/>
            <w:color w:val="auto"/>
            <w:sz w:val="20"/>
          </w:rPr>
          <w:t>https://tony-kaldany.squarespace.com/s/lebanon_neerea_web.pdf</w:t>
        </w:r>
      </w:hyperlink>
      <w:r w:rsidR="001D30A4">
        <w:t>.</w:t>
      </w:r>
    </w:p>
  </w:footnote>
  <w:footnote w:id="5">
    <w:p w14:paraId="27D4F902" w14:textId="5F79E795" w:rsidR="002A129F" w:rsidRPr="00482BF6" w:rsidRDefault="002A129F" w:rsidP="00EA2D11">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hyperlink r:id="rId2" w:history="1">
        <w:r>
          <w:rPr>
            <w:rStyle w:val="Hyperlink"/>
            <w:rFonts w:asciiTheme="majorBidi" w:hAnsiTheme="majorBidi"/>
            <w:color w:val="auto"/>
          </w:rPr>
          <w:t>https://lcec.org.lb/our-work/partners/NEEREA?utm_source</w:t>
        </w:r>
      </w:hyperlink>
      <w:r>
        <w:t>.</w:t>
      </w:r>
    </w:p>
  </w:footnote>
  <w:footnote w:id="6">
    <w:p w14:paraId="30619965" w14:textId="2073BA43" w:rsidR="002A129F" w:rsidRPr="00482BF6" w:rsidRDefault="002A129F" w:rsidP="002A129F">
      <w:pPr>
        <w:pStyle w:val="FootnoteText"/>
        <w:rPr>
          <w:rFonts w:asciiTheme="majorBidi" w:hAnsiTheme="majorBidi" w:cstheme="majorBidi"/>
        </w:rPr>
      </w:pPr>
      <w:r>
        <w:rPr>
          <w:rStyle w:val="FootnoteReference"/>
        </w:rPr>
        <w:footnoteRef/>
      </w:r>
      <w:r>
        <w:t xml:space="preserve"> </w:t>
      </w:r>
      <w:r>
        <w:rPr>
          <w:rFonts w:asciiTheme="majorBidi" w:hAnsiTheme="majorBidi"/>
        </w:rPr>
        <w:t xml:space="preserve">Es un tipo de mecanismo que cubre la mayoría de los riesgos de otorgar préstamos en el sector en cuestión. Este mecanismo es particularmente aplicable en países con sistemas financieros vulnerables y cuando la percepción de los riesgos financieros en el sector seleccionado se encuentra </w:t>
      </w:r>
      <w:r w:rsidR="00AE314D">
        <w:rPr>
          <w:rFonts w:asciiTheme="majorBidi" w:hAnsiTheme="majorBidi"/>
        </w:rPr>
        <w:t xml:space="preserve">aún </w:t>
      </w:r>
      <w:r>
        <w:rPr>
          <w:rFonts w:asciiTheme="majorBidi" w:hAnsiTheme="majorBidi"/>
        </w:rPr>
        <w:t>en etapa de desarrollo.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906A5" w14:textId="05FCC7A9" w:rsidR="00DC6A10" w:rsidRPr="0033525D" w:rsidRDefault="00D219AE">
    <w:r>
      <w:fldChar w:fldCharType="begin"/>
    </w:r>
    <w:r>
      <w:instrText xml:space="preserve"> DOCPROPERTY "Document number"  \* MERGEFORMAT </w:instrText>
    </w:r>
    <w:r>
      <w:fldChar w:fldCharType="separate"/>
    </w:r>
    <w:r w:rsidR="0000069A">
      <w:t>UNEP/</w:t>
    </w:r>
    <w:proofErr w:type="spellStart"/>
    <w:r w:rsidR="0000069A">
      <w:t>OzL.Pro</w:t>
    </w:r>
    <w:proofErr w:type="spellEnd"/>
    <w:r w:rsidR="0000069A">
      <w:t>/</w:t>
    </w:r>
    <w:proofErr w:type="spellStart"/>
    <w:r w:rsidR="0000069A">
      <w:t>ExCom</w:t>
    </w:r>
    <w:proofErr w:type="spellEnd"/>
    <w:r w:rsidR="0000069A">
      <w:t>/96/58</w:t>
    </w:r>
    <w:r>
      <w:fldChar w:fldCharType="end"/>
    </w:r>
  </w:p>
  <w:p w14:paraId="0C108B63" w14:textId="77777777" w:rsidR="00DC6A10" w:rsidRPr="0033525D" w:rsidRDefault="00DC6A10"/>
  <w:p w14:paraId="71C005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D15F" w14:textId="152C10A2" w:rsidR="00DC6A10" w:rsidRPr="0033525D" w:rsidRDefault="00D219AE">
    <w:pPr>
      <w:jc w:val="right"/>
    </w:pPr>
    <w:r>
      <w:fldChar w:fldCharType="begin"/>
    </w:r>
    <w:r>
      <w:instrText xml:space="preserve"> DOCPROPERTY "Document number"  \* MERGEFORMAT </w:instrText>
    </w:r>
    <w:r>
      <w:fldChar w:fldCharType="separate"/>
    </w:r>
    <w:r w:rsidR="0000069A">
      <w:t>UNEP/</w:t>
    </w:r>
    <w:proofErr w:type="spellStart"/>
    <w:r w:rsidR="0000069A">
      <w:t>OzL.Pro</w:t>
    </w:r>
    <w:proofErr w:type="spellEnd"/>
    <w:r w:rsidR="0000069A">
      <w:t>/</w:t>
    </w:r>
    <w:proofErr w:type="spellStart"/>
    <w:r w:rsidR="0000069A">
      <w:t>ExCom</w:t>
    </w:r>
    <w:proofErr w:type="spellEnd"/>
    <w:r w:rsidR="0000069A">
      <w:t>/96/58</w:t>
    </w:r>
    <w:r>
      <w:fldChar w:fldCharType="end"/>
    </w:r>
  </w:p>
  <w:p w14:paraId="48DA1509" w14:textId="77777777" w:rsidR="00DC6A10" w:rsidRPr="0033525D" w:rsidRDefault="00DC6A10"/>
  <w:p w14:paraId="7165C6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4789567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A129F"/>
    <w:rsid w:val="0000069A"/>
    <w:rsid w:val="00000FED"/>
    <w:rsid w:val="0000434E"/>
    <w:rsid w:val="00012C01"/>
    <w:rsid w:val="000211A9"/>
    <w:rsid w:val="00021238"/>
    <w:rsid w:val="00022071"/>
    <w:rsid w:val="00022B68"/>
    <w:rsid w:val="00031260"/>
    <w:rsid w:val="0003681A"/>
    <w:rsid w:val="000372B7"/>
    <w:rsid w:val="000407F4"/>
    <w:rsid w:val="00041195"/>
    <w:rsid w:val="00045A11"/>
    <w:rsid w:val="00046470"/>
    <w:rsid w:val="0005020D"/>
    <w:rsid w:val="00050F6E"/>
    <w:rsid w:val="00056470"/>
    <w:rsid w:val="00061EC2"/>
    <w:rsid w:val="00066CE8"/>
    <w:rsid w:val="000732A8"/>
    <w:rsid w:val="00075580"/>
    <w:rsid w:val="00080ED0"/>
    <w:rsid w:val="00085B8F"/>
    <w:rsid w:val="00090481"/>
    <w:rsid w:val="00097195"/>
    <w:rsid w:val="000A217A"/>
    <w:rsid w:val="000A3826"/>
    <w:rsid w:val="000A6C26"/>
    <w:rsid w:val="000A7E6E"/>
    <w:rsid w:val="000B2CEF"/>
    <w:rsid w:val="000B36C8"/>
    <w:rsid w:val="000B3A2D"/>
    <w:rsid w:val="000C4E2F"/>
    <w:rsid w:val="000D52A4"/>
    <w:rsid w:val="000E07BC"/>
    <w:rsid w:val="000E1357"/>
    <w:rsid w:val="000E2E21"/>
    <w:rsid w:val="000F0F31"/>
    <w:rsid w:val="000F1CD4"/>
    <w:rsid w:val="000F270E"/>
    <w:rsid w:val="000F3829"/>
    <w:rsid w:val="000F4103"/>
    <w:rsid w:val="000F70A7"/>
    <w:rsid w:val="000F762F"/>
    <w:rsid w:val="00104C93"/>
    <w:rsid w:val="00107EE7"/>
    <w:rsid w:val="00113CCA"/>
    <w:rsid w:val="00122F25"/>
    <w:rsid w:val="00135980"/>
    <w:rsid w:val="0013786F"/>
    <w:rsid w:val="00140215"/>
    <w:rsid w:val="001410E6"/>
    <w:rsid w:val="00145013"/>
    <w:rsid w:val="00147335"/>
    <w:rsid w:val="001637AD"/>
    <w:rsid w:val="00164719"/>
    <w:rsid w:val="00166FC4"/>
    <w:rsid w:val="001677AC"/>
    <w:rsid w:val="00176B46"/>
    <w:rsid w:val="001804EA"/>
    <w:rsid w:val="00186719"/>
    <w:rsid w:val="00186F24"/>
    <w:rsid w:val="00190A61"/>
    <w:rsid w:val="00191E46"/>
    <w:rsid w:val="00197179"/>
    <w:rsid w:val="001A2215"/>
    <w:rsid w:val="001A3342"/>
    <w:rsid w:val="001A3E3D"/>
    <w:rsid w:val="001A7049"/>
    <w:rsid w:val="001B1E40"/>
    <w:rsid w:val="001B7427"/>
    <w:rsid w:val="001C764E"/>
    <w:rsid w:val="001D30A4"/>
    <w:rsid w:val="001E0513"/>
    <w:rsid w:val="001E1052"/>
    <w:rsid w:val="001E21B1"/>
    <w:rsid w:val="001E2F93"/>
    <w:rsid w:val="001E4554"/>
    <w:rsid w:val="001E594C"/>
    <w:rsid w:val="001E61E5"/>
    <w:rsid w:val="001F2159"/>
    <w:rsid w:val="001F53FD"/>
    <w:rsid w:val="00206ADB"/>
    <w:rsid w:val="00210B8B"/>
    <w:rsid w:val="00211A08"/>
    <w:rsid w:val="00214863"/>
    <w:rsid w:val="002156B4"/>
    <w:rsid w:val="00224FCD"/>
    <w:rsid w:val="00227B16"/>
    <w:rsid w:val="002372E5"/>
    <w:rsid w:val="00253222"/>
    <w:rsid w:val="00256035"/>
    <w:rsid w:val="00261C13"/>
    <w:rsid w:val="00262847"/>
    <w:rsid w:val="002750A0"/>
    <w:rsid w:val="002803E1"/>
    <w:rsid w:val="002805D0"/>
    <w:rsid w:val="00281BB2"/>
    <w:rsid w:val="002A03C3"/>
    <w:rsid w:val="002A129F"/>
    <w:rsid w:val="002B254E"/>
    <w:rsid w:val="002B4CE8"/>
    <w:rsid w:val="002B5AA6"/>
    <w:rsid w:val="002B6D70"/>
    <w:rsid w:val="002B72E9"/>
    <w:rsid w:val="002C4B34"/>
    <w:rsid w:val="002C7998"/>
    <w:rsid w:val="002D18DC"/>
    <w:rsid w:val="002E1B53"/>
    <w:rsid w:val="002F1936"/>
    <w:rsid w:val="002F1E53"/>
    <w:rsid w:val="002F2CAA"/>
    <w:rsid w:val="0030052C"/>
    <w:rsid w:val="00311E25"/>
    <w:rsid w:val="00311E92"/>
    <w:rsid w:val="00316F52"/>
    <w:rsid w:val="00322728"/>
    <w:rsid w:val="003306E1"/>
    <w:rsid w:val="003320E4"/>
    <w:rsid w:val="0033355E"/>
    <w:rsid w:val="00333CCE"/>
    <w:rsid w:val="0033525D"/>
    <w:rsid w:val="003362A2"/>
    <w:rsid w:val="003414F3"/>
    <w:rsid w:val="00341DA5"/>
    <w:rsid w:val="003424F0"/>
    <w:rsid w:val="00351B84"/>
    <w:rsid w:val="0035613E"/>
    <w:rsid w:val="00357245"/>
    <w:rsid w:val="00363EB8"/>
    <w:rsid w:val="00363EE9"/>
    <w:rsid w:val="00371252"/>
    <w:rsid w:val="00376128"/>
    <w:rsid w:val="0037742E"/>
    <w:rsid w:val="00377D56"/>
    <w:rsid w:val="0038245A"/>
    <w:rsid w:val="003840E6"/>
    <w:rsid w:val="00385CFC"/>
    <w:rsid w:val="0039337A"/>
    <w:rsid w:val="0039764E"/>
    <w:rsid w:val="003A1646"/>
    <w:rsid w:val="003A3189"/>
    <w:rsid w:val="003A3CA7"/>
    <w:rsid w:val="003A40E3"/>
    <w:rsid w:val="003B19E6"/>
    <w:rsid w:val="003B33BD"/>
    <w:rsid w:val="003B569D"/>
    <w:rsid w:val="003C3C0E"/>
    <w:rsid w:val="003C65CD"/>
    <w:rsid w:val="003D42A6"/>
    <w:rsid w:val="003D4F21"/>
    <w:rsid w:val="003D4FAC"/>
    <w:rsid w:val="003E0EA3"/>
    <w:rsid w:val="003E1885"/>
    <w:rsid w:val="003E6BC6"/>
    <w:rsid w:val="003E7906"/>
    <w:rsid w:val="003F000F"/>
    <w:rsid w:val="003F34C7"/>
    <w:rsid w:val="003F3C50"/>
    <w:rsid w:val="00404A90"/>
    <w:rsid w:val="00406202"/>
    <w:rsid w:val="00406A6A"/>
    <w:rsid w:val="00406B22"/>
    <w:rsid w:val="00407147"/>
    <w:rsid w:val="004078FA"/>
    <w:rsid w:val="00412BBB"/>
    <w:rsid w:val="00431E08"/>
    <w:rsid w:val="004328A7"/>
    <w:rsid w:val="00434C74"/>
    <w:rsid w:val="004368A2"/>
    <w:rsid w:val="00456EB4"/>
    <w:rsid w:val="00457827"/>
    <w:rsid w:val="004718F3"/>
    <w:rsid w:val="00471FCD"/>
    <w:rsid w:val="00472EEF"/>
    <w:rsid w:val="00475040"/>
    <w:rsid w:val="00482BF6"/>
    <w:rsid w:val="00490C06"/>
    <w:rsid w:val="00493D40"/>
    <w:rsid w:val="00493EE3"/>
    <w:rsid w:val="004967B6"/>
    <w:rsid w:val="004A504B"/>
    <w:rsid w:val="004A6911"/>
    <w:rsid w:val="004B3652"/>
    <w:rsid w:val="004B54E0"/>
    <w:rsid w:val="004B7384"/>
    <w:rsid w:val="004C24AE"/>
    <w:rsid w:val="004C4269"/>
    <w:rsid w:val="004D1EBB"/>
    <w:rsid w:val="004D3C67"/>
    <w:rsid w:val="004D6236"/>
    <w:rsid w:val="004D7F90"/>
    <w:rsid w:val="004E4DBB"/>
    <w:rsid w:val="004E4E41"/>
    <w:rsid w:val="004E54F0"/>
    <w:rsid w:val="004E73DB"/>
    <w:rsid w:val="004E7F9C"/>
    <w:rsid w:val="004F3493"/>
    <w:rsid w:val="004F5143"/>
    <w:rsid w:val="004F68FC"/>
    <w:rsid w:val="00512B09"/>
    <w:rsid w:val="00515AE8"/>
    <w:rsid w:val="005220ED"/>
    <w:rsid w:val="00530E95"/>
    <w:rsid w:val="00531BD1"/>
    <w:rsid w:val="00533796"/>
    <w:rsid w:val="00534308"/>
    <w:rsid w:val="00537343"/>
    <w:rsid w:val="00546FAD"/>
    <w:rsid w:val="0055025B"/>
    <w:rsid w:val="005516F3"/>
    <w:rsid w:val="00551BD1"/>
    <w:rsid w:val="00554BAE"/>
    <w:rsid w:val="00555D75"/>
    <w:rsid w:val="00560DF0"/>
    <w:rsid w:val="0056759C"/>
    <w:rsid w:val="00575589"/>
    <w:rsid w:val="0059513E"/>
    <w:rsid w:val="005A6AA4"/>
    <w:rsid w:val="005A6D9F"/>
    <w:rsid w:val="005B48FF"/>
    <w:rsid w:val="005C1E32"/>
    <w:rsid w:val="005C670D"/>
    <w:rsid w:val="005C6EE1"/>
    <w:rsid w:val="005D1334"/>
    <w:rsid w:val="005D363F"/>
    <w:rsid w:val="005F3358"/>
    <w:rsid w:val="00604C15"/>
    <w:rsid w:val="00605FFE"/>
    <w:rsid w:val="006158D5"/>
    <w:rsid w:val="00621295"/>
    <w:rsid w:val="00622736"/>
    <w:rsid w:val="00625D83"/>
    <w:rsid w:val="006376D4"/>
    <w:rsid w:val="00644E5D"/>
    <w:rsid w:val="00651984"/>
    <w:rsid w:val="00652468"/>
    <w:rsid w:val="006623E7"/>
    <w:rsid w:val="00662B80"/>
    <w:rsid w:val="00662C5D"/>
    <w:rsid w:val="0066768F"/>
    <w:rsid w:val="00670F6C"/>
    <w:rsid w:val="00674A3D"/>
    <w:rsid w:val="00676E58"/>
    <w:rsid w:val="00677A2B"/>
    <w:rsid w:val="006852C7"/>
    <w:rsid w:val="006852CE"/>
    <w:rsid w:val="0068745A"/>
    <w:rsid w:val="00692D14"/>
    <w:rsid w:val="006975C4"/>
    <w:rsid w:val="006A2D63"/>
    <w:rsid w:val="006A7A3B"/>
    <w:rsid w:val="006B65C7"/>
    <w:rsid w:val="006C1727"/>
    <w:rsid w:val="006C32FD"/>
    <w:rsid w:val="006C39CE"/>
    <w:rsid w:val="006D0FCC"/>
    <w:rsid w:val="006D21F5"/>
    <w:rsid w:val="006D3089"/>
    <w:rsid w:val="006E126D"/>
    <w:rsid w:val="006E1FC3"/>
    <w:rsid w:val="006E3ADF"/>
    <w:rsid w:val="006E3CAD"/>
    <w:rsid w:val="006E5724"/>
    <w:rsid w:val="00704CE9"/>
    <w:rsid w:val="0070616B"/>
    <w:rsid w:val="00706295"/>
    <w:rsid w:val="00706FDA"/>
    <w:rsid w:val="00711F9A"/>
    <w:rsid w:val="00713810"/>
    <w:rsid w:val="00714B0D"/>
    <w:rsid w:val="007303A5"/>
    <w:rsid w:val="00730B3E"/>
    <w:rsid w:val="0073420B"/>
    <w:rsid w:val="00736367"/>
    <w:rsid w:val="0074760E"/>
    <w:rsid w:val="007548C4"/>
    <w:rsid w:val="00754ABA"/>
    <w:rsid w:val="007624A2"/>
    <w:rsid w:val="00775CC5"/>
    <w:rsid w:val="00781E69"/>
    <w:rsid w:val="00782B0D"/>
    <w:rsid w:val="00783C8B"/>
    <w:rsid w:val="0079781A"/>
    <w:rsid w:val="007A1546"/>
    <w:rsid w:val="007A228C"/>
    <w:rsid w:val="007A368E"/>
    <w:rsid w:val="007A5868"/>
    <w:rsid w:val="007B04CE"/>
    <w:rsid w:val="007B2497"/>
    <w:rsid w:val="007B6871"/>
    <w:rsid w:val="007B6B15"/>
    <w:rsid w:val="007B7A2F"/>
    <w:rsid w:val="007C2B69"/>
    <w:rsid w:val="007C32EE"/>
    <w:rsid w:val="007C3D33"/>
    <w:rsid w:val="007C70BB"/>
    <w:rsid w:val="007D294A"/>
    <w:rsid w:val="007D47D2"/>
    <w:rsid w:val="007D6EC0"/>
    <w:rsid w:val="007D7E1D"/>
    <w:rsid w:val="007E2E01"/>
    <w:rsid w:val="007E503C"/>
    <w:rsid w:val="0080345C"/>
    <w:rsid w:val="00803477"/>
    <w:rsid w:val="008141B0"/>
    <w:rsid w:val="008223BC"/>
    <w:rsid w:val="0082522F"/>
    <w:rsid w:val="00826932"/>
    <w:rsid w:val="00831979"/>
    <w:rsid w:val="008363A4"/>
    <w:rsid w:val="0084473F"/>
    <w:rsid w:val="00851352"/>
    <w:rsid w:val="00857077"/>
    <w:rsid w:val="008618B5"/>
    <w:rsid w:val="00863230"/>
    <w:rsid w:val="00865BD0"/>
    <w:rsid w:val="008717D8"/>
    <w:rsid w:val="0087215C"/>
    <w:rsid w:val="008741D8"/>
    <w:rsid w:val="00875D25"/>
    <w:rsid w:val="00876A9F"/>
    <w:rsid w:val="00880E35"/>
    <w:rsid w:val="008875FE"/>
    <w:rsid w:val="00887F8E"/>
    <w:rsid w:val="00896234"/>
    <w:rsid w:val="00897E43"/>
    <w:rsid w:val="008B5734"/>
    <w:rsid w:val="008B574E"/>
    <w:rsid w:val="008B745D"/>
    <w:rsid w:val="008C222B"/>
    <w:rsid w:val="008C5738"/>
    <w:rsid w:val="008C7EAD"/>
    <w:rsid w:val="008D0CFE"/>
    <w:rsid w:val="008D6152"/>
    <w:rsid w:val="008E114F"/>
    <w:rsid w:val="008E7BA9"/>
    <w:rsid w:val="008F0F81"/>
    <w:rsid w:val="008F27BF"/>
    <w:rsid w:val="008F2E64"/>
    <w:rsid w:val="0090229A"/>
    <w:rsid w:val="009142EC"/>
    <w:rsid w:val="009145E4"/>
    <w:rsid w:val="009154C3"/>
    <w:rsid w:val="009168A8"/>
    <w:rsid w:val="00923540"/>
    <w:rsid w:val="009237A7"/>
    <w:rsid w:val="00926767"/>
    <w:rsid w:val="00933EF1"/>
    <w:rsid w:val="009361D5"/>
    <w:rsid w:val="009428A4"/>
    <w:rsid w:val="0095342F"/>
    <w:rsid w:val="009659F4"/>
    <w:rsid w:val="00966366"/>
    <w:rsid w:val="00970D60"/>
    <w:rsid w:val="009751F8"/>
    <w:rsid w:val="00983FF2"/>
    <w:rsid w:val="0098668E"/>
    <w:rsid w:val="009874D0"/>
    <w:rsid w:val="0099390E"/>
    <w:rsid w:val="0099572A"/>
    <w:rsid w:val="009960E5"/>
    <w:rsid w:val="00996D64"/>
    <w:rsid w:val="009A6809"/>
    <w:rsid w:val="009A6A40"/>
    <w:rsid w:val="009A7ADC"/>
    <w:rsid w:val="009B0D30"/>
    <w:rsid w:val="009C19B7"/>
    <w:rsid w:val="009C3FE0"/>
    <w:rsid w:val="009C5ABB"/>
    <w:rsid w:val="009D5A0B"/>
    <w:rsid w:val="009D7165"/>
    <w:rsid w:val="009D7C51"/>
    <w:rsid w:val="009E196C"/>
    <w:rsid w:val="009E2EB0"/>
    <w:rsid w:val="009E6A0A"/>
    <w:rsid w:val="009F36BF"/>
    <w:rsid w:val="009F415F"/>
    <w:rsid w:val="00A111B6"/>
    <w:rsid w:val="00A13370"/>
    <w:rsid w:val="00A14D71"/>
    <w:rsid w:val="00A228D1"/>
    <w:rsid w:val="00A26D27"/>
    <w:rsid w:val="00A3643C"/>
    <w:rsid w:val="00A376EE"/>
    <w:rsid w:val="00A40FDD"/>
    <w:rsid w:val="00A42A99"/>
    <w:rsid w:val="00A45CFA"/>
    <w:rsid w:val="00A5151A"/>
    <w:rsid w:val="00A53DE1"/>
    <w:rsid w:val="00A57E0A"/>
    <w:rsid w:val="00A77919"/>
    <w:rsid w:val="00A823F6"/>
    <w:rsid w:val="00A8719E"/>
    <w:rsid w:val="00A8788C"/>
    <w:rsid w:val="00A9293D"/>
    <w:rsid w:val="00AA0A89"/>
    <w:rsid w:val="00AA5368"/>
    <w:rsid w:val="00AA6429"/>
    <w:rsid w:val="00AB49DD"/>
    <w:rsid w:val="00AC01AA"/>
    <w:rsid w:val="00AC0B7D"/>
    <w:rsid w:val="00AC3EE9"/>
    <w:rsid w:val="00AC4F72"/>
    <w:rsid w:val="00AC5041"/>
    <w:rsid w:val="00AC7AED"/>
    <w:rsid w:val="00AE314D"/>
    <w:rsid w:val="00AE482E"/>
    <w:rsid w:val="00AF1B39"/>
    <w:rsid w:val="00AF424B"/>
    <w:rsid w:val="00AF4C0B"/>
    <w:rsid w:val="00AF741A"/>
    <w:rsid w:val="00B01ADB"/>
    <w:rsid w:val="00B04161"/>
    <w:rsid w:val="00B056F9"/>
    <w:rsid w:val="00B0572E"/>
    <w:rsid w:val="00B069E3"/>
    <w:rsid w:val="00B11E3D"/>
    <w:rsid w:val="00B13626"/>
    <w:rsid w:val="00B13903"/>
    <w:rsid w:val="00B14D2C"/>
    <w:rsid w:val="00B17E82"/>
    <w:rsid w:val="00B347BE"/>
    <w:rsid w:val="00B423B7"/>
    <w:rsid w:val="00B43212"/>
    <w:rsid w:val="00B4575A"/>
    <w:rsid w:val="00B45A79"/>
    <w:rsid w:val="00B51D38"/>
    <w:rsid w:val="00B56917"/>
    <w:rsid w:val="00B575BA"/>
    <w:rsid w:val="00B6008C"/>
    <w:rsid w:val="00B61749"/>
    <w:rsid w:val="00B71608"/>
    <w:rsid w:val="00B750D4"/>
    <w:rsid w:val="00B76429"/>
    <w:rsid w:val="00B768C3"/>
    <w:rsid w:val="00B86471"/>
    <w:rsid w:val="00B91F71"/>
    <w:rsid w:val="00B956D4"/>
    <w:rsid w:val="00B97446"/>
    <w:rsid w:val="00BA28F0"/>
    <w:rsid w:val="00BA7432"/>
    <w:rsid w:val="00BB2764"/>
    <w:rsid w:val="00BC1AA0"/>
    <w:rsid w:val="00BC2495"/>
    <w:rsid w:val="00BC314A"/>
    <w:rsid w:val="00BC7EB9"/>
    <w:rsid w:val="00BD2643"/>
    <w:rsid w:val="00BD56B1"/>
    <w:rsid w:val="00BD6558"/>
    <w:rsid w:val="00BF2AD7"/>
    <w:rsid w:val="00BF2F76"/>
    <w:rsid w:val="00BF2FCE"/>
    <w:rsid w:val="00BF3022"/>
    <w:rsid w:val="00BF3214"/>
    <w:rsid w:val="00BF5024"/>
    <w:rsid w:val="00BF5573"/>
    <w:rsid w:val="00C06196"/>
    <w:rsid w:val="00C15867"/>
    <w:rsid w:val="00C22398"/>
    <w:rsid w:val="00C2296D"/>
    <w:rsid w:val="00C23155"/>
    <w:rsid w:val="00C251D2"/>
    <w:rsid w:val="00C30568"/>
    <w:rsid w:val="00C334D8"/>
    <w:rsid w:val="00C40C41"/>
    <w:rsid w:val="00C45885"/>
    <w:rsid w:val="00C50F22"/>
    <w:rsid w:val="00C57971"/>
    <w:rsid w:val="00C65BD7"/>
    <w:rsid w:val="00C66244"/>
    <w:rsid w:val="00C75A5A"/>
    <w:rsid w:val="00C76BA4"/>
    <w:rsid w:val="00C83A48"/>
    <w:rsid w:val="00C85865"/>
    <w:rsid w:val="00C85E85"/>
    <w:rsid w:val="00C926C8"/>
    <w:rsid w:val="00C94DCD"/>
    <w:rsid w:val="00CA2EAE"/>
    <w:rsid w:val="00CA4AC1"/>
    <w:rsid w:val="00CA59FB"/>
    <w:rsid w:val="00CA7E05"/>
    <w:rsid w:val="00CB0316"/>
    <w:rsid w:val="00CB0B11"/>
    <w:rsid w:val="00CB1DBA"/>
    <w:rsid w:val="00CB426A"/>
    <w:rsid w:val="00CB5354"/>
    <w:rsid w:val="00CC3C9E"/>
    <w:rsid w:val="00CC6A14"/>
    <w:rsid w:val="00CC70A3"/>
    <w:rsid w:val="00CD3AFF"/>
    <w:rsid w:val="00CD4442"/>
    <w:rsid w:val="00CD53C3"/>
    <w:rsid w:val="00CD574E"/>
    <w:rsid w:val="00CD7FA0"/>
    <w:rsid w:val="00CE47B7"/>
    <w:rsid w:val="00CE4C22"/>
    <w:rsid w:val="00CE76E5"/>
    <w:rsid w:val="00CF41EC"/>
    <w:rsid w:val="00CF5D04"/>
    <w:rsid w:val="00D04DE4"/>
    <w:rsid w:val="00D04E03"/>
    <w:rsid w:val="00D063F1"/>
    <w:rsid w:val="00D11735"/>
    <w:rsid w:val="00D14F22"/>
    <w:rsid w:val="00D219AE"/>
    <w:rsid w:val="00D222D4"/>
    <w:rsid w:val="00D25301"/>
    <w:rsid w:val="00D453AF"/>
    <w:rsid w:val="00D4741C"/>
    <w:rsid w:val="00D57918"/>
    <w:rsid w:val="00D73DC6"/>
    <w:rsid w:val="00D74632"/>
    <w:rsid w:val="00D74C1A"/>
    <w:rsid w:val="00D754C1"/>
    <w:rsid w:val="00D77393"/>
    <w:rsid w:val="00D77A35"/>
    <w:rsid w:val="00D81B3E"/>
    <w:rsid w:val="00D85A89"/>
    <w:rsid w:val="00D90C70"/>
    <w:rsid w:val="00D90D7A"/>
    <w:rsid w:val="00D90E49"/>
    <w:rsid w:val="00D9695E"/>
    <w:rsid w:val="00D96ADE"/>
    <w:rsid w:val="00DA0CE2"/>
    <w:rsid w:val="00DA2387"/>
    <w:rsid w:val="00DC6A10"/>
    <w:rsid w:val="00DE657E"/>
    <w:rsid w:val="00DF4704"/>
    <w:rsid w:val="00E024AA"/>
    <w:rsid w:val="00E14467"/>
    <w:rsid w:val="00E15C77"/>
    <w:rsid w:val="00E1693E"/>
    <w:rsid w:val="00E250F1"/>
    <w:rsid w:val="00E3550D"/>
    <w:rsid w:val="00E52838"/>
    <w:rsid w:val="00E56FD1"/>
    <w:rsid w:val="00E614E0"/>
    <w:rsid w:val="00E72590"/>
    <w:rsid w:val="00E73F7F"/>
    <w:rsid w:val="00E753E8"/>
    <w:rsid w:val="00E76F90"/>
    <w:rsid w:val="00E82E69"/>
    <w:rsid w:val="00E85409"/>
    <w:rsid w:val="00E92525"/>
    <w:rsid w:val="00E9339B"/>
    <w:rsid w:val="00EA2D11"/>
    <w:rsid w:val="00EA429F"/>
    <w:rsid w:val="00EA4F9E"/>
    <w:rsid w:val="00EA63CA"/>
    <w:rsid w:val="00EA6D3B"/>
    <w:rsid w:val="00EB00AD"/>
    <w:rsid w:val="00EB136C"/>
    <w:rsid w:val="00EB2FDF"/>
    <w:rsid w:val="00EB480E"/>
    <w:rsid w:val="00EB5EC6"/>
    <w:rsid w:val="00EB6EBF"/>
    <w:rsid w:val="00EB7FC9"/>
    <w:rsid w:val="00EC5612"/>
    <w:rsid w:val="00ED27E8"/>
    <w:rsid w:val="00ED636A"/>
    <w:rsid w:val="00ED7137"/>
    <w:rsid w:val="00EE2FA2"/>
    <w:rsid w:val="00EF06EA"/>
    <w:rsid w:val="00EF62C1"/>
    <w:rsid w:val="00F07604"/>
    <w:rsid w:val="00F10452"/>
    <w:rsid w:val="00F21088"/>
    <w:rsid w:val="00F326BF"/>
    <w:rsid w:val="00F327E7"/>
    <w:rsid w:val="00F352B9"/>
    <w:rsid w:val="00F35746"/>
    <w:rsid w:val="00F42081"/>
    <w:rsid w:val="00F43D19"/>
    <w:rsid w:val="00F447C7"/>
    <w:rsid w:val="00F459B4"/>
    <w:rsid w:val="00F5211B"/>
    <w:rsid w:val="00F55388"/>
    <w:rsid w:val="00F554A9"/>
    <w:rsid w:val="00F55D74"/>
    <w:rsid w:val="00F716FD"/>
    <w:rsid w:val="00F73752"/>
    <w:rsid w:val="00F80355"/>
    <w:rsid w:val="00F87C43"/>
    <w:rsid w:val="00F937A4"/>
    <w:rsid w:val="00F93C4E"/>
    <w:rsid w:val="00FA0075"/>
    <w:rsid w:val="00FA1E0C"/>
    <w:rsid w:val="00FA2A32"/>
    <w:rsid w:val="00FA44EB"/>
    <w:rsid w:val="00FA5722"/>
    <w:rsid w:val="00FB0C81"/>
    <w:rsid w:val="00FC1CC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45A37"/>
  <w15:docId w15:val="{C07CDBC6-D63A-450A-B1EB-661827C1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Default">
    <w:name w:val="Default"/>
    <w:rsid w:val="002A129F"/>
    <w:pPr>
      <w:autoSpaceDE w:val="0"/>
      <w:autoSpaceDN w:val="0"/>
      <w:adjustRightInd w:val="0"/>
    </w:pPr>
    <w:rPr>
      <w:rFonts w:eastAsiaTheme="minorEastAsia"/>
      <w:color w:val="000000"/>
      <w:sz w:val="24"/>
      <w:szCs w:val="24"/>
      <w:lang w:eastAsia="zh-CN"/>
      <w14:ligatures w14:val="standardContextual"/>
    </w:rPr>
  </w:style>
  <w:style w:type="character" w:styleId="Hyperlink">
    <w:name w:val="Hyperlink"/>
    <w:basedOn w:val="DefaultParagraphFont"/>
    <w:uiPriority w:val="99"/>
    <w:unhideWhenUsed/>
    <w:rsid w:val="002A129F"/>
    <w:rPr>
      <w:color w:val="0000FF" w:themeColor="hyperlink"/>
      <w:u w:val="single"/>
    </w:rPr>
  </w:style>
  <w:style w:type="paragraph" w:styleId="Revision">
    <w:name w:val="Revision"/>
    <w:hidden/>
    <w:uiPriority w:val="99"/>
    <w:semiHidden/>
    <w:rsid w:val="00A8788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lcec.org.lb/our-work/partners/NEEREA?utm_source=chatgpt.com" TargetMode="External"/><Relationship Id="rId1" Type="http://schemas.openxmlformats.org/officeDocument/2006/relationships/hyperlink" Target="https://tony-kaldany.squarespace.com/s/lebanon_neerea_web.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terms/"/>
    <ds:schemaRef ds:uri="http://www.w3.org/XML/1998/namespace"/>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eb6c2e4c-3f1c-4103-a37b-37c984dbe58f"/>
    <ds:schemaRef ds:uri="b93c647f-d63b-431a-95c8-8e00048cff23"/>
    <ds:schemaRef ds:uri="http://purl.org/dc/elements/1.1/"/>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TotalTime>
  <Pages>11</Pages>
  <Words>4000</Words>
  <Characters>22801</Characters>
  <Application>Microsoft Office Word</Application>
  <DocSecurity>0</DocSecurity>
  <Lines>190</Lines>
  <Paragraphs>53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Documento de resumen de los estudios de casos de los fondos rotatorios sobre la eficiencia energética (decisión 95/87 i))</vt:lpstr>
      <vt:lpstr>Summary paper on the case studies in revolving funds on energy efficiency (decision 95/87(i))</vt:lpstr>
    </vt:vector>
  </TitlesOfParts>
  <Company>UNMFS</Company>
  <LinksUpToDate>false</LinksUpToDate>
  <CharactersWithSpaces>26748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de resumen de los estudios de casos de los fondos rotatorios sobre la eficiencia energética (decisión 95/87 i))</dc:title>
  <dc:creator>Martine Chery</dc:creator>
  <cp:lastModifiedBy>Martine Chery</cp:lastModifiedBy>
  <cp:revision>2</cp:revision>
  <cp:lastPrinted>2001-05-26T16:40:00Z</cp:lastPrinted>
  <dcterms:created xsi:type="dcterms:W3CDTF">2025-04-30T19:15:00Z</dcterms:created>
  <dcterms:modified xsi:type="dcterms:W3CDTF">2025-04-30T19:15:00Z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UNEP/OzL.Pro/ExCom/96/58</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