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502"/>
        <w:gridCol w:w="4088"/>
        <w:gridCol w:w="7"/>
        <w:gridCol w:w="3645"/>
      </w:tblGrid>
      <w:tr w:rsidR="0005567E" w:rsidRPr="0005567E" w14:paraId="2AB06209" w14:textId="77777777" w:rsidTr="00F478D8">
        <w:trPr>
          <w:trHeight w:val="720"/>
        </w:trPr>
        <w:tc>
          <w:tcPr>
            <w:tcW w:w="6597" w:type="dxa"/>
            <w:gridSpan w:val="3"/>
            <w:tcBorders>
              <w:bottom w:val="single" w:sz="18" w:space="0" w:color="auto"/>
            </w:tcBorders>
          </w:tcPr>
          <w:p w14:paraId="23592BE1" w14:textId="77777777" w:rsidR="0005567E" w:rsidRPr="0005567E" w:rsidRDefault="0005567E" w:rsidP="000556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5567E">
              <w:rPr>
                <w:rFonts w:ascii="Univers" w:hAnsi="Univers"/>
                <w:b/>
                <w:sz w:val="28"/>
                <w:szCs w:val="28"/>
                <w:lang w:val="fr-FR"/>
              </w:rPr>
              <w:t>NATIONS</w:t>
            </w:r>
          </w:p>
          <w:p w14:paraId="044D4599" w14:textId="2EF51C20" w:rsidR="0005567E" w:rsidRPr="0005567E" w:rsidRDefault="0005567E" w:rsidP="0005567E">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5567E">
              <w:rPr>
                <w:rFonts w:ascii="Univers" w:hAnsi="Univers"/>
                <w:b/>
                <w:sz w:val="28"/>
                <w:szCs w:val="28"/>
                <w:lang w:val="fr-FR"/>
              </w:rPr>
              <w:t>UNIES</w:t>
            </w:r>
          </w:p>
        </w:tc>
        <w:tc>
          <w:tcPr>
            <w:tcW w:w="3645" w:type="dxa"/>
            <w:tcBorders>
              <w:bottom w:val="single" w:sz="18" w:space="0" w:color="auto"/>
            </w:tcBorders>
          </w:tcPr>
          <w:p w14:paraId="2373C099" w14:textId="77777777" w:rsidR="0005567E" w:rsidRPr="0005567E" w:rsidRDefault="0005567E" w:rsidP="00F03059">
            <w:pPr>
              <w:shd w:val="clear" w:color="auto" w:fill="FFFFFF" w:themeFill="background1"/>
              <w:jc w:val="right"/>
              <w:rPr>
                <w:sz w:val="52"/>
                <w:szCs w:val="52"/>
                <w:lang w:val="fr-FR"/>
              </w:rPr>
            </w:pPr>
            <w:r w:rsidRPr="0005567E">
              <w:rPr>
                <w:rFonts w:ascii="Univers Bold" w:hAnsi="Univers Bold"/>
                <w:b/>
                <w:sz w:val="72"/>
                <w:lang w:val="fr-FR"/>
              </w:rPr>
              <w:t>EP</w:t>
            </w:r>
          </w:p>
        </w:tc>
      </w:tr>
      <w:tr w:rsidR="0005567E" w:rsidRPr="0005567E" w14:paraId="2048D0FF" w14:textId="77777777" w:rsidTr="00F478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502" w:type="dxa"/>
            <w:tcBorders>
              <w:top w:val="nil"/>
              <w:left w:val="nil"/>
              <w:bottom w:val="single" w:sz="36" w:space="0" w:color="auto"/>
              <w:right w:val="nil"/>
            </w:tcBorders>
          </w:tcPr>
          <w:p w14:paraId="4BADAC70" w14:textId="77777777" w:rsidR="0005567E" w:rsidRPr="0005567E" w:rsidRDefault="0005567E" w:rsidP="00F03059">
            <w:pPr>
              <w:shd w:val="clear" w:color="auto" w:fill="FFFFFF" w:themeFill="background1"/>
              <w:spacing w:before="120"/>
              <w:ind w:left="-9"/>
              <w:rPr>
                <w:lang w:val="fr-FR"/>
              </w:rPr>
            </w:pPr>
            <w:r w:rsidRPr="0005567E">
              <w:rPr>
                <w:noProof/>
                <w:lang w:val="fr-FR"/>
              </w:rPr>
              <mc:AlternateContent>
                <mc:Choice Requires="wpg">
                  <w:drawing>
                    <wp:inline distT="0" distB="0" distL="0" distR="0" wp14:anchorId="59BEF166" wp14:editId="0D3FC07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34B27A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088" w:type="dxa"/>
            <w:tcBorders>
              <w:top w:val="nil"/>
              <w:left w:val="nil"/>
              <w:bottom w:val="single" w:sz="36" w:space="0" w:color="auto"/>
              <w:right w:val="nil"/>
            </w:tcBorders>
          </w:tcPr>
          <w:p w14:paraId="44549E66" w14:textId="77777777" w:rsidR="0005567E" w:rsidRPr="0005567E" w:rsidRDefault="0005567E" w:rsidP="000556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C4CA34" w14:textId="59EF1710" w:rsidR="0005567E" w:rsidRPr="0005567E" w:rsidRDefault="0005567E" w:rsidP="000556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5567E">
              <w:rPr>
                <w:rFonts w:ascii="Univers" w:hAnsi="Univers"/>
                <w:b/>
                <w:sz w:val="32"/>
                <w:lang w:val="fr-FR"/>
              </w:rPr>
              <w:t>Programme des</w:t>
            </w:r>
          </w:p>
          <w:p w14:paraId="1D8E08C1" w14:textId="77777777" w:rsidR="0005567E" w:rsidRPr="0005567E" w:rsidRDefault="0005567E" w:rsidP="0005567E">
            <w:pPr>
              <w:rPr>
                <w:rFonts w:ascii="Univers" w:hAnsi="Univers"/>
                <w:b/>
                <w:sz w:val="32"/>
                <w:lang w:val="fr-FR"/>
              </w:rPr>
            </w:pPr>
            <w:r w:rsidRPr="0005567E">
              <w:rPr>
                <w:rFonts w:ascii="Univers" w:hAnsi="Univers"/>
                <w:b/>
                <w:sz w:val="32"/>
                <w:lang w:val="fr-FR"/>
              </w:rPr>
              <w:t>Nations Unies pour</w:t>
            </w:r>
          </w:p>
          <w:p w14:paraId="58EB84BD" w14:textId="4B32B96E" w:rsidR="0005567E" w:rsidRPr="0005567E" w:rsidRDefault="0005567E" w:rsidP="0005567E">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05567E">
              <w:rPr>
                <w:rFonts w:ascii="Univers" w:hAnsi="Univers"/>
                <w:b/>
                <w:sz w:val="32"/>
                <w:lang w:val="fr-FR"/>
              </w:rPr>
              <w:t>l</w:t>
            </w:r>
            <w:r w:rsidR="003D53B4">
              <w:rPr>
                <w:rFonts w:ascii="Univers" w:hAnsi="Univers"/>
                <w:b/>
                <w:sz w:val="32"/>
                <w:lang w:val="fr-FR"/>
              </w:rPr>
              <w:t>’</w:t>
            </w:r>
            <w:r w:rsidRPr="0005567E">
              <w:rPr>
                <w:rFonts w:ascii="Univers" w:hAnsi="Univers"/>
                <w:b/>
                <w:sz w:val="32"/>
                <w:lang w:val="fr-FR"/>
              </w:rPr>
              <w:t>environnement</w:t>
            </w:r>
          </w:p>
        </w:tc>
        <w:tc>
          <w:tcPr>
            <w:tcW w:w="3652" w:type="dxa"/>
            <w:gridSpan w:val="2"/>
            <w:tcBorders>
              <w:top w:val="nil"/>
              <w:left w:val="nil"/>
              <w:bottom w:val="single" w:sz="36" w:space="0" w:color="auto"/>
              <w:right w:val="nil"/>
            </w:tcBorders>
          </w:tcPr>
          <w:p w14:paraId="5E5039AC" w14:textId="77777777" w:rsidR="0005567E" w:rsidRPr="0005567E" w:rsidRDefault="0005567E" w:rsidP="000A3231">
            <w:pPr>
              <w:shd w:val="clear" w:color="auto" w:fill="FFFFFF" w:themeFill="background1"/>
              <w:spacing w:before="240"/>
              <w:rPr>
                <w:lang w:val="fr-FR"/>
              </w:rPr>
            </w:pPr>
            <w:r w:rsidRPr="0005567E">
              <w:rPr>
                <w:lang w:val="fr-FR"/>
              </w:rPr>
              <w:t>Distr.</w:t>
            </w:r>
          </w:p>
          <w:p w14:paraId="46C174B8" w14:textId="52CB03A1" w:rsidR="0005567E" w:rsidRPr="0005567E" w:rsidRDefault="0005567E" w:rsidP="00F03059">
            <w:pPr>
              <w:shd w:val="clear" w:color="auto" w:fill="FFFFFF" w:themeFill="background1"/>
              <w:rPr>
                <w:lang w:val="fr-FR"/>
              </w:rPr>
            </w:pPr>
            <w:r w:rsidRPr="0005567E">
              <w:rPr>
                <w:lang w:val="fr-FR"/>
              </w:rPr>
              <w:t>GÉNÉRALE</w:t>
            </w:r>
          </w:p>
          <w:p w14:paraId="64CB223A" w14:textId="77777777" w:rsidR="0005567E" w:rsidRPr="0005567E" w:rsidRDefault="0005567E" w:rsidP="00F03059">
            <w:pPr>
              <w:shd w:val="clear" w:color="auto" w:fill="FFFFFF" w:themeFill="background1"/>
              <w:rPr>
                <w:lang w:val="fr-FR"/>
              </w:rPr>
            </w:pPr>
          </w:p>
          <w:p w14:paraId="5FED032E" w14:textId="77777777" w:rsidR="0005567E" w:rsidRPr="00F478D8" w:rsidRDefault="0005567E" w:rsidP="00F03059">
            <w:pPr>
              <w:shd w:val="clear" w:color="auto" w:fill="FFFFFF" w:themeFill="background1"/>
              <w:rPr>
                <w:lang w:val="fr-CA"/>
              </w:rPr>
            </w:pPr>
            <w:r w:rsidRPr="0005567E">
              <w:rPr>
                <w:lang w:val="fr-FR"/>
              </w:rPr>
              <w:fldChar w:fldCharType="begin"/>
            </w:r>
            <w:r w:rsidRPr="00F478D8">
              <w:rPr>
                <w:lang w:val="fr-CA"/>
              </w:rPr>
              <w:instrText xml:space="preserve"> DOCPROPERTY "Document number"  \* MERGEFORMAT </w:instrText>
            </w:r>
            <w:r w:rsidRPr="0005567E">
              <w:rPr>
                <w:lang w:val="fr-FR"/>
              </w:rPr>
              <w:fldChar w:fldCharType="separate"/>
            </w:r>
            <w:r w:rsidRPr="00F478D8">
              <w:rPr>
                <w:lang w:val="fr-CA"/>
              </w:rPr>
              <w:t>UNEP/OzL.Pro/ExCom/98/57</w:t>
            </w:r>
            <w:r w:rsidRPr="0005567E">
              <w:rPr>
                <w:lang w:val="fr-FR"/>
              </w:rPr>
              <w:fldChar w:fldCharType="end"/>
            </w:r>
          </w:p>
          <w:p w14:paraId="229FDC12" w14:textId="3E5CE11F" w:rsidR="0005567E" w:rsidRPr="000A3231" w:rsidRDefault="0005567E" w:rsidP="00F03059">
            <w:pPr>
              <w:shd w:val="clear" w:color="auto" w:fill="FFFFFF" w:themeFill="background1"/>
            </w:pPr>
            <w:r w:rsidRPr="0005567E">
              <w:rPr>
                <w:lang w:val="fr-FR"/>
              </w:rPr>
              <w:fldChar w:fldCharType="begin"/>
            </w:r>
            <w:r w:rsidRPr="000A3231">
              <w:instrText xml:space="preserve"> DOCPROPERTY "Revision date" \@ "d MMMM YYYY"  \* MERGEFORMAT </w:instrText>
            </w:r>
            <w:r w:rsidRPr="0005567E">
              <w:rPr>
                <w:lang w:val="fr-FR"/>
              </w:rPr>
              <w:fldChar w:fldCharType="separate"/>
            </w:r>
            <w:r w:rsidRPr="000A3231">
              <w:t>31 mai 2026</w:t>
            </w:r>
            <w:r w:rsidRPr="0005567E">
              <w:rPr>
                <w:lang w:val="fr-FR"/>
              </w:rPr>
              <w:fldChar w:fldCharType="end"/>
            </w:r>
          </w:p>
          <w:p w14:paraId="69CA68A4" w14:textId="77777777" w:rsidR="0005567E" w:rsidRPr="000A3231" w:rsidRDefault="0005567E" w:rsidP="00F03059">
            <w:pPr>
              <w:shd w:val="clear" w:color="auto" w:fill="FFFFFF" w:themeFill="background1"/>
              <w:rPr>
                <w:caps/>
              </w:rPr>
            </w:pPr>
          </w:p>
          <w:p w14:paraId="2D847159" w14:textId="77777777" w:rsidR="0005567E" w:rsidRPr="0005567E" w:rsidRDefault="0005567E" w:rsidP="0005567E">
            <w:pPr>
              <w:rPr>
                <w:caps/>
                <w:lang w:val="fr-FR"/>
              </w:rPr>
            </w:pPr>
            <w:r w:rsidRPr="0005567E">
              <w:rPr>
                <w:caps/>
                <w:lang w:val="fr-FR"/>
              </w:rPr>
              <w:t>FRANÇAIS</w:t>
            </w:r>
          </w:p>
          <w:p w14:paraId="151D4E12" w14:textId="49B830BB" w:rsidR="0005567E" w:rsidRPr="0005567E" w:rsidRDefault="0005567E" w:rsidP="0005567E">
            <w:pPr>
              <w:shd w:val="clear" w:color="auto" w:fill="FFFFFF" w:themeFill="background1"/>
              <w:rPr>
                <w:lang w:val="fr-FR"/>
              </w:rPr>
            </w:pPr>
            <w:r w:rsidRPr="0005567E">
              <w:rPr>
                <w:lang w:val="fr-FR"/>
              </w:rPr>
              <w:t>ORIGINAL</w:t>
            </w:r>
            <w:r w:rsidR="000A3231">
              <w:rPr>
                <w:lang w:val="fr-FR"/>
              </w:rPr>
              <w:t xml:space="preserve"> </w:t>
            </w:r>
            <w:r w:rsidRPr="0005567E">
              <w:rPr>
                <w:lang w:val="fr-FR"/>
              </w:rPr>
              <w:t>: ANGLAIS</w:t>
            </w:r>
          </w:p>
        </w:tc>
      </w:tr>
    </w:tbl>
    <w:p w14:paraId="63DE5015" w14:textId="2E46E729" w:rsidR="0005567E" w:rsidRPr="0005567E" w:rsidRDefault="0005567E" w:rsidP="0005567E">
      <w:pPr>
        <w:jc w:val="left"/>
        <w:rPr>
          <w:lang w:val="fr-FR"/>
        </w:rPr>
      </w:pPr>
      <w:r w:rsidRPr="0005567E">
        <w:rPr>
          <w:lang w:val="fr-FR"/>
        </w:rPr>
        <w:t xml:space="preserve">COMITÉ EXÉCUTIF </w:t>
      </w:r>
      <w:r w:rsidRPr="0005567E">
        <w:rPr>
          <w:lang w:val="fr-FR"/>
        </w:rPr>
        <w:br/>
      </w:r>
      <w:r w:rsidR="003D53B4">
        <w:rPr>
          <w:lang w:val="fr-FR"/>
        </w:rPr>
        <w:t> </w:t>
      </w:r>
      <w:r w:rsidRPr="0005567E">
        <w:rPr>
          <w:lang w:val="fr-FR"/>
        </w:rPr>
        <w:t xml:space="preserve">DU FONDS MULTILATÉRAL AUX FINS </w:t>
      </w:r>
      <w:r w:rsidRPr="0005567E">
        <w:rPr>
          <w:lang w:val="fr-FR"/>
        </w:rPr>
        <w:br/>
      </w:r>
      <w:r w:rsidR="003D53B4">
        <w:rPr>
          <w:lang w:val="fr-FR"/>
        </w:rPr>
        <w:t> </w:t>
      </w:r>
      <w:r w:rsidRPr="0005567E">
        <w:rPr>
          <w:lang w:val="fr-FR"/>
        </w:rPr>
        <w:t>D</w:t>
      </w:r>
      <w:r w:rsidR="003D53B4">
        <w:rPr>
          <w:lang w:val="fr-FR"/>
        </w:rPr>
        <w:t>’</w:t>
      </w:r>
      <w:r w:rsidRPr="0005567E">
        <w:rPr>
          <w:lang w:val="fr-FR"/>
        </w:rPr>
        <w:t>APPLICATION DU PROTOCOLE DE MONTRÉAL</w:t>
      </w:r>
      <w:r w:rsidRPr="0005567E">
        <w:rPr>
          <w:lang w:val="fr-FR"/>
        </w:rPr>
        <w:br/>
        <w:t>Quatre-vingt-dix-huitième réunion</w:t>
      </w:r>
    </w:p>
    <w:p w14:paraId="6022A3A4" w14:textId="62B311F0" w:rsidR="00720EE7" w:rsidRPr="0005567E" w:rsidRDefault="0005567E" w:rsidP="0005567E">
      <w:pPr>
        <w:shd w:val="clear" w:color="auto" w:fill="FFFFFF" w:themeFill="background1"/>
        <w:jc w:val="left"/>
        <w:rPr>
          <w:lang w:val="fr-FR"/>
        </w:rPr>
      </w:pPr>
      <w:r w:rsidRPr="0005567E">
        <w:rPr>
          <w:lang w:val="fr-FR"/>
        </w:rPr>
        <w:t>Montréal, 22-26 juin 2026</w:t>
      </w:r>
    </w:p>
    <w:p w14:paraId="30BFCACB" w14:textId="52008524" w:rsidR="00720EE7" w:rsidRPr="0005567E" w:rsidRDefault="0005567E" w:rsidP="00650CEA">
      <w:pPr>
        <w:shd w:val="clear" w:color="auto" w:fill="FFFFFF" w:themeFill="background1"/>
        <w:spacing w:after="360"/>
        <w:jc w:val="left"/>
        <w:rPr>
          <w:lang w:val="fr-FR"/>
        </w:rPr>
      </w:pPr>
      <w:r w:rsidRPr="0005567E">
        <w:rPr>
          <w:lang w:val="fr-FR"/>
        </w:rPr>
        <w:t xml:space="preserve">Point </w:t>
      </w:r>
      <w:r w:rsidR="009B4B3A" w:rsidRPr="0005567E">
        <w:rPr>
          <w:lang w:val="fr-FR"/>
        </w:rPr>
        <w:t>10</w:t>
      </w:r>
      <w:r w:rsidR="00720EE7" w:rsidRPr="0005567E">
        <w:rPr>
          <w:lang w:val="fr-FR"/>
        </w:rPr>
        <w:t xml:space="preserve"> </w:t>
      </w:r>
      <w:r w:rsidRPr="0005567E">
        <w:rPr>
          <w:lang w:val="fr-FR"/>
        </w:rPr>
        <w:t>de l</w:t>
      </w:r>
      <w:r w:rsidR="003D53B4">
        <w:rPr>
          <w:lang w:val="fr-FR"/>
        </w:rPr>
        <w:t>’</w:t>
      </w:r>
      <w:r w:rsidRPr="0005567E">
        <w:rPr>
          <w:lang w:val="fr-FR"/>
        </w:rPr>
        <w:t>ordre du jour provisoire</w:t>
      </w:r>
      <w:r w:rsidR="00720EE7" w:rsidRPr="0005567E">
        <w:rPr>
          <w:rStyle w:val="FootnoteReference"/>
          <w:lang w:val="fr-FR"/>
        </w:rPr>
        <w:footnoteReference w:id="1"/>
      </w:r>
    </w:p>
    <w:p w14:paraId="4FD1421F" w14:textId="77777777" w:rsidR="00F217D5" w:rsidRDefault="00F217D5" w:rsidP="00F217D5">
      <w:pPr>
        <w:shd w:val="clear" w:color="auto" w:fill="FFFFFF" w:themeFill="background1"/>
        <w:spacing w:before="240"/>
        <w:jc w:val="center"/>
        <w:rPr>
          <w:rFonts w:eastAsia="Times New Roman"/>
          <w:b/>
          <w:bCs/>
          <w:lang w:val="fr-FR"/>
        </w:rPr>
      </w:pPr>
    </w:p>
    <w:p w14:paraId="646BCF0A" w14:textId="2907D4BB" w:rsidR="00C840A0" w:rsidRPr="000A3231" w:rsidRDefault="00F217D5" w:rsidP="00C840A0">
      <w:pPr>
        <w:shd w:val="clear" w:color="auto" w:fill="FFFFFF" w:themeFill="background1"/>
        <w:jc w:val="center"/>
        <w:rPr>
          <w:b/>
          <w:bCs/>
          <w:lang w:val="fr-CA"/>
        </w:rPr>
      </w:pPr>
      <w:r w:rsidRPr="00F217D5">
        <w:rPr>
          <w:rFonts w:eastAsia="Times New Roman"/>
          <w:b/>
          <w:bCs/>
          <w:lang w:val="fr-FR"/>
        </w:rPr>
        <w:t>DOCUMENT SUR LES DIFFICULT</w:t>
      </w:r>
      <w:r>
        <w:rPr>
          <w:rFonts w:eastAsia="Times New Roman"/>
          <w:b/>
          <w:bCs/>
          <w:lang w:val="fr-FR"/>
        </w:rPr>
        <w:t>É</w:t>
      </w:r>
      <w:r w:rsidRPr="00F217D5">
        <w:rPr>
          <w:rFonts w:eastAsia="Times New Roman"/>
          <w:b/>
          <w:bCs/>
          <w:lang w:val="fr-FR"/>
        </w:rPr>
        <w:t>S DE MISE EN ŒUVRE DES PROJETS DE RECONVERSION DANS LE SECTEUR DE LA R</w:t>
      </w:r>
      <w:r>
        <w:rPr>
          <w:rFonts w:eastAsia="Times New Roman"/>
          <w:b/>
          <w:bCs/>
          <w:lang w:val="fr-FR"/>
        </w:rPr>
        <w:t>É</w:t>
      </w:r>
      <w:r w:rsidRPr="00F217D5">
        <w:rPr>
          <w:rFonts w:eastAsia="Times New Roman"/>
          <w:b/>
          <w:bCs/>
          <w:lang w:val="fr-FR"/>
        </w:rPr>
        <w:t>FRIG</w:t>
      </w:r>
      <w:r>
        <w:rPr>
          <w:rFonts w:eastAsia="Times New Roman"/>
          <w:b/>
          <w:bCs/>
          <w:lang w:val="fr-FR"/>
        </w:rPr>
        <w:t>É</w:t>
      </w:r>
      <w:r w:rsidRPr="00F217D5">
        <w:rPr>
          <w:rFonts w:eastAsia="Times New Roman"/>
          <w:b/>
          <w:bCs/>
          <w:lang w:val="fr-FR"/>
        </w:rPr>
        <w:t xml:space="preserve">RATION, DE LA CLIMATISATION ET DES POMPES </w:t>
      </w:r>
      <w:r>
        <w:rPr>
          <w:rFonts w:eastAsia="Times New Roman"/>
          <w:b/>
          <w:bCs/>
          <w:lang w:val="fr-FR"/>
        </w:rPr>
        <w:t>À</w:t>
      </w:r>
      <w:r w:rsidRPr="00F217D5">
        <w:rPr>
          <w:rFonts w:eastAsia="Times New Roman"/>
          <w:b/>
          <w:bCs/>
          <w:lang w:val="fr-FR"/>
        </w:rPr>
        <w:t xml:space="preserve"> CHALEUR EN RAISON DE PROBL</w:t>
      </w:r>
      <w:r>
        <w:rPr>
          <w:rFonts w:eastAsia="Times New Roman"/>
          <w:b/>
          <w:bCs/>
          <w:lang w:val="fr-FR"/>
        </w:rPr>
        <w:t>È</w:t>
      </w:r>
      <w:r w:rsidRPr="00F217D5">
        <w:rPr>
          <w:rFonts w:eastAsia="Times New Roman"/>
          <w:b/>
          <w:bCs/>
          <w:lang w:val="fr-FR"/>
        </w:rPr>
        <w:t>MES DE CHA</w:t>
      </w:r>
      <w:r>
        <w:rPr>
          <w:rFonts w:eastAsia="Times New Roman"/>
          <w:b/>
          <w:bCs/>
          <w:lang w:val="fr-FR"/>
        </w:rPr>
        <w:t>Î</w:t>
      </w:r>
      <w:r w:rsidRPr="00F217D5">
        <w:rPr>
          <w:rFonts w:eastAsia="Times New Roman"/>
          <w:b/>
          <w:bCs/>
          <w:lang w:val="fr-FR"/>
        </w:rPr>
        <w:t>NE D</w:t>
      </w:r>
      <w:r w:rsidR="003D53B4">
        <w:rPr>
          <w:rFonts w:eastAsia="Times New Roman"/>
          <w:b/>
          <w:bCs/>
          <w:lang w:val="fr-FR"/>
        </w:rPr>
        <w:t>’</w:t>
      </w:r>
      <w:r w:rsidRPr="00F217D5">
        <w:rPr>
          <w:rFonts w:eastAsia="Times New Roman"/>
          <w:b/>
          <w:bCs/>
          <w:lang w:val="fr-FR"/>
        </w:rPr>
        <w:t>APPROVISIONNEMENT ET SUR LES MOYENS POSSIBLES DE SURMONTER CES DIFFICULT</w:t>
      </w:r>
      <w:r>
        <w:rPr>
          <w:rFonts w:eastAsia="Times New Roman"/>
          <w:b/>
          <w:bCs/>
          <w:lang w:val="fr-FR"/>
        </w:rPr>
        <w:t>É</w:t>
      </w:r>
      <w:r w:rsidRPr="00F217D5">
        <w:rPr>
          <w:rFonts w:eastAsia="Times New Roman"/>
          <w:b/>
          <w:bCs/>
          <w:lang w:val="fr-FR"/>
        </w:rPr>
        <w:t>S</w:t>
      </w:r>
      <w:r w:rsidR="00C840A0">
        <w:rPr>
          <w:rFonts w:eastAsia="Times New Roman"/>
          <w:b/>
          <w:bCs/>
          <w:lang w:val="fr-FR"/>
        </w:rPr>
        <w:t xml:space="preserve"> </w:t>
      </w:r>
    </w:p>
    <w:p w14:paraId="5902C1BB" w14:textId="325F3928" w:rsidR="00F217D5" w:rsidRDefault="00C840A0" w:rsidP="00C840A0">
      <w:pPr>
        <w:shd w:val="clear" w:color="auto" w:fill="FFFFFF" w:themeFill="background1"/>
        <w:jc w:val="center"/>
        <w:rPr>
          <w:rFonts w:eastAsia="Times New Roman"/>
          <w:b/>
          <w:bCs/>
          <w:lang w:val="fr-FR"/>
        </w:rPr>
      </w:pPr>
      <w:r w:rsidRPr="00650CEA">
        <w:rPr>
          <w:b/>
          <w:bCs/>
        </w:rPr>
        <w:t>(D</w:t>
      </w:r>
      <w:r>
        <w:rPr>
          <w:b/>
          <w:bCs/>
        </w:rPr>
        <w:t>É</w:t>
      </w:r>
      <w:r w:rsidRPr="00650CEA">
        <w:rPr>
          <w:b/>
          <w:bCs/>
        </w:rPr>
        <w:t>CISION 96/59)</w:t>
      </w:r>
    </w:p>
    <w:p w14:paraId="37728868" w14:textId="77777777" w:rsidR="00F217D5" w:rsidRPr="00F217D5" w:rsidRDefault="00F217D5" w:rsidP="00F217D5">
      <w:pPr>
        <w:shd w:val="clear" w:color="auto" w:fill="FFFFFF" w:themeFill="background1"/>
        <w:spacing w:before="240"/>
        <w:jc w:val="center"/>
        <w:rPr>
          <w:rFonts w:eastAsia="Times New Roman"/>
          <w:b/>
          <w:bCs/>
          <w:lang w:val="fr-FR"/>
        </w:rPr>
      </w:pPr>
    </w:p>
    <w:p w14:paraId="599AA5B8" w14:textId="1CFFA83A" w:rsidR="009B4B3A" w:rsidRPr="00C840A0" w:rsidRDefault="00C840A0" w:rsidP="00C840A0">
      <w:pPr>
        <w:shd w:val="clear" w:color="auto" w:fill="FFFFFF" w:themeFill="background1"/>
        <w:spacing w:after="240"/>
        <w:rPr>
          <w:b/>
          <w:bCs/>
        </w:rPr>
      </w:pPr>
      <w:r w:rsidRPr="00C840A0">
        <w:rPr>
          <w:b/>
          <w:bCs/>
          <w:lang w:val="fr-FR"/>
        </w:rPr>
        <w:t>Contexte</w:t>
      </w:r>
    </w:p>
    <w:p w14:paraId="1CD4687A" w14:textId="60C5295F" w:rsidR="009B4B3A" w:rsidRPr="000A3231" w:rsidRDefault="00C840A0" w:rsidP="003075C2">
      <w:pPr>
        <w:pStyle w:val="Heading1"/>
        <w:shd w:val="clear" w:color="auto" w:fill="FFFFFF" w:themeFill="background1"/>
        <w:jc w:val="left"/>
        <w:rPr>
          <w:lang w:val="fr-CA" w:eastAsia="en-US"/>
        </w:rPr>
      </w:pPr>
      <w:r w:rsidRPr="00C840A0">
        <w:rPr>
          <w:lang w:val="fr-FR" w:eastAsia="en-US"/>
        </w:rPr>
        <w:t>La transition vers des frigorigènes à faible potentiel de réchauffement de la planète (faible PRP) dans le secteur de la réfrigération</w:t>
      </w:r>
      <w:r w:rsidR="003075C2">
        <w:rPr>
          <w:lang w:val="fr-FR" w:eastAsia="en-US"/>
        </w:rPr>
        <w:t>,</w:t>
      </w:r>
      <w:r w:rsidR="009B4B3A" w:rsidRPr="000A3231">
        <w:rPr>
          <w:lang w:val="fr-CA" w:eastAsia="en-US"/>
        </w:rPr>
        <w:t xml:space="preserve"> </w:t>
      </w:r>
      <w:r w:rsidRPr="00C840A0">
        <w:rPr>
          <w:lang w:val="fr-FR" w:eastAsia="en-US"/>
        </w:rPr>
        <w:t xml:space="preserve">de la climatisation et des pompes à chaleur (RACHP) </w:t>
      </w:r>
      <w:r w:rsidR="00AB0302">
        <w:rPr>
          <w:lang w:val="fr-FR" w:eastAsia="en-US"/>
        </w:rPr>
        <w:t>est une composante essentielle des</w:t>
      </w:r>
      <w:r w:rsidRPr="00C840A0">
        <w:rPr>
          <w:lang w:val="fr-FR" w:eastAsia="en-US"/>
        </w:rPr>
        <w:t xml:space="preserve"> efforts déployés par les pays en vue de la réduction progressive des hydrofluorocarbures (HFC) </w:t>
      </w:r>
      <w:r w:rsidR="00CF7807">
        <w:rPr>
          <w:lang w:val="fr-FR" w:eastAsia="en-US"/>
        </w:rPr>
        <w:t>au titre</w:t>
      </w:r>
      <w:r w:rsidRPr="00C840A0">
        <w:rPr>
          <w:lang w:val="fr-FR" w:eastAsia="en-US"/>
        </w:rPr>
        <w:t xml:space="preserve"> de l</w:t>
      </w:r>
      <w:r w:rsidR="003D53B4">
        <w:rPr>
          <w:lang w:val="fr-FR" w:eastAsia="en-US"/>
        </w:rPr>
        <w:t>’</w:t>
      </w:r>
      <w:r w:rsidR="00AB0302">
        <w:rPr>
          <w:lang w:val="fr-FR" w:eastAsia="en-US"/>
        </w:rPr>
        <w:t>A</w:t>
      </w:r>
      <w:r w:rsidRPr="00C840A0">
        <w:rPr>
          <w:lang w:val="fr-FR" w:eastAsia="en-US"/>
        </w:rPr>
        <w:t>mendement de Kigali au Protocole de Montréal.</w:t>
      </w:r>
      <w:r w:rsidR="009B4B3A" w:rsidRPr="000A3231">
        <w:rPr>
          <w:lang w:val="fr-CA" w:eastAsia="en-US"/>
        </w:rPr>
        <w:t xml:space="preserve"> </w:t>
      </w:r>
      <w:r w:rsidRPr="00C840A0">
        <w:rPr>
          <w:lang w:val="fr-FR" w:eastAsia="en-US"/>
        </w:rPr>
        <w:t xml:space="preserve">Les problèmes </w:t>
      </w:r>
      <w:r w:rsidR="00AB0302">
        <w:rPr>
          <w:lang w:val="fr-FR" w:eastAsia="en-US"/>
        </w:rPr>
        <w:t>des</w:t>
      </w:r>
      <w:r w:rsidRPr="00C840A0">
        <w:rPr>
          <w:lang w:val="fr-FR" w:eastAsia="en-US"/>
        </w:rPr>
        <w:t xml:space="preserve"> chaînes d</w:t>
      </w:r>
      <w:r w:rsidR="003D53B4">
        <w:rPr>
          <w:lang w:val="fr-FR" w:eastAsia="en-US"/>
        </w:rPr>
        <w:t>’</w:t>
      </w:r>
      <w:r w:rsidRPr="00C840A0">
        <w:rPr>
          <w:lang w:val="fr-FR" w:eastAsia="en-US"/>
        </w:rPr>
        <w:t xml:space="preserve">approvisionnement sont </w:t>
      </w:r>
      <w:r w:rsidR="00CF7807">
        <w:rPr>
          <w:lang w:val="fr-FR" w:eastAsia="en-US"/>
        </w:rPr>
        <w:t>étroitement liés</w:t>
      </w:r>
      <w:r w:rsidRPr="00C840A0">
        <w:rPr>
          <w:lang w:val="fr-FR" w:eastAsia="en-US"/>
        </w:rPr>
        <w:t xml:space="preserve"> à la mise en œuvre de projets de conversion dans le secteur de la fabrication </w:t>
      </w:r>
      <w:r w:rsidR="00AB0302">
        <w:rPr>
          <w:lang w:val="fr-FR" w:eastAsia="en-US"/>
        </w:rPr>
        <w:t>soutenus</w:t>
      </w:r>
      <w:r w:rsidRPr="00C840A0">
        <w:rPr>
          <w:lang w:val="fr-FR" w:eastAsia="en-US"/>
        </w:rPr>
        <w:t xml:space="preserve"> par le Fonds multilatéral.</w:t>
      </w:r>
    </w:p>
    <w:p w14:paraId="509BC377" w14:textId="19BCDDA3" w:rsidR="009D43E7" w:rsidRPr="000A3231" w:rsidRDefault="009D43E7" w:rsidP="009D43E7">
      <w:pPr>
        <w:pStyle w:val="Heading1"/>
        <w:shd w:val="clear" w:color="auto" w:fill="FFFFFF" w:themeFill="background1"/>
        <w:rPr>
          <w:lang w:val="fr-CA"/>
        </w:rPr>
      </w:pPr>
      <w:r w:rsidRPr="009D43E7">
        <w:rPr>
          <w:lang w:val="fr-FR"/>
        </w:rPr>
        <w:t>Lors de sa 96</w:t>
      </w:r>
      <w:r w:rsidRPr="009D43E7">
        <w:rPr>
          <w:vertAlign w:val="superscript"/>
          <w:lang w:val="fr-FR"/>
        </w:rPr>
        <w:t>e</w:t>
      </w:r>
      <w:r w:rsidRPr="009D43E7">
        <w:rPr>
          <w:lang w:val="fr-FR"/>
        </w:rPr>
        <w:t xml:space="preserve"> réunion, le Comité exécutif a examiné les difficultés rencontrées par les pays pour </w:t>
      </w:r>
      <w:r w:rsidR="008B0A22">
        <w:rPr>
          <w:lang w:val="fr-FR"/>
        </w:rPr>
        <w:t>implémenter</w:t>
      </w:r>
      <w:r w:rsidRPr="009D43E7">
        <w:rPr>
          <w:lang w:val="fr-FR"/>
        </w:rPr>
        <w:t xml:space="preserve"> les plans de mise en œuvre de l</w:t>
      </w:r>
      <w:r w:rsidR="003D53B4">
        <w:rPr>
          <w:lang w:val="fr-FR"/>
        </w:rPr>
        <w:t>’</w:t>
      </w:r>
      <w:r w:rsidRPr="009D43E7">
        <w:rPr>
          <w:lang w:val="fr-FR"/>
        </w:rPr>
        <w:t>Amendement de Kigali relatifs aux HFC</w:t>
      </w:r>
      <w:r w:rsidR="008B0A22">
        <w:rPr>
          <w:lang w:val="fr-FR"/>
        </w:rPr>
        <w:t xml:space="preserve"> (KIP)</w:t>
      </w:r>
      <w:r w:rsidRPr="009D43E7">
        <w:rPr>
          <w:lang w:val="fr-FR"/>
        </w:rPr>
        <w:t xml:space="preserve">, </w:t>
      </w:r>
      <w:r w:rsidR="008B0A22">
        <w:rPr>
          <w:lang w:val="fr-FR"/>
        </w:rPr>
        <w:t>tout particulière</w:t>
      </w:r>
      <w:r w:rsidRPr="009D43E7">
        <w:rPr>
          <w:lang w:val="fr-FR"/>
        </w:rPr>
        <w:t>ment ce</w:t>
      </w:r>
      <w:r w:rsidR="00AB0302">
        <w:rPr>
          <w:lang w:val="fr-FR"/>
        </w:rPr>
        <w:t>lles</w:t>
      </w:r>
      <w:r w:rsidRPr="009D43E7">
        <w:rPr>
          <w:lang w:val="fr-FR"/>
        </w:rPr>
        <w:t xml:space="preserve"> liées à la chaîne d</w:t>
      </w:r>
      <w:r w:rsidR="003D53B4">
        <w:rPr>
          <w:lang w:val="fr-FR"/>
        </w:rPr>
        <w:t>’</w:t>
      </w:r>
      <w:r w:rsidRPr="009D43E7">
        <w:rPr>
          <w:lang w:val="fr-FR"/>
        </w:rPr>
        <w:t xml:space="preserve">approvisionnement en </w:t>
      </w:r>
      <w:r w:rsidR="00AB0302">
        <w:rPr>
          <w:lang w:val="fr-FR"/>
        </w:rPr>
        <w:t xml:space="preserve">produits </w:t>
      </w:r>
      <w:r w:rsidRPr="009D43E7">
        <w:rPr>
          <w:lang w:val="fr-FR"/>
        </w:rPr>
        <w:t>de remplacement et composants d</w:t>
      </w:r>
      <w:r w:rsidR="003D53B4">
        <w:rPr>
          <w:lang w:val="fr-FR"/>
        </w:rPr>
        <w:t>’</w:t>
      </w:r>
      <w:r w:rsidRPr="009D43E7">
        <w:rPr>
          <w:lang w:val="fr-FR"/>
        </w:rPr>
        <w:t>équipement</w:t>
      </w:r>
      <w:r w:rsidR="009F43B4">
        <w:rPr>
          <w:lang w:val="fr-FR"/>
        </w:rPr>
        <w:t>s</w:t>
      </w:r>
      <w:r w:rsidRPr="009D43E7">
        <w:rPr>
          <w:lang w:val="fr-FR"/>
        </w:rPr>
        <w:t xml:space="preserve"> </w:t>
      </w:r>
      <w:r w:rsidR="008B0A22">
        <w:rPr>
          <w:lang w:val="fr-FR"/>
        </w:rPr>
        <w:t>du secteur de la</w:t>
      </w:r>
      <w:r w:rsidRPr="009D43E7">
        <w:rPr>
          <w:lang w:val="fr-FR"/>
        </w:rPr>
        <w:t xml:space="preserve"> réfrigération, de </w:t>
      </w:r>
      <w:r w:rsidR="008B0A22">
        <w:rPr>
          <w:lang w:val="fr-FR"/>
        </w:rPr>
        <w:t xml:space="preserve">la </w:t>
      </w:r>
      <w:r w:rsidRPr="009D43E7">
        <w:rPr>
          <w:lang w:val="fr-FR"/>
        </w:rPr>
        <w:t>climatisation et de</w:t>
      </w:r>
      <w:r w:rsidR="008B0A22">
        <w:rPr>
          <w:lang w:val="fr-FR"/>
        </w:rPr>
        <w:t>s</w:t>
      </w:r>
      <w:r w:rsidRPr="009D43E7">
        <w:rPr>
          <w:lang w:val="fr-FR"/>
        </w:rPr>
        <w:t xml:space="preserve"> pompes à chaleur.</w:t>
      </w:r>
      <w:r w:rsidRPr="000A3231">
        <w:rPr>
          <w:lang w:val="fr-CA"/>
        </w:rPr>
        <w:t xml:space="preserve"> </w:t>
      </w:r>
      <w:r w:rsidRPr="009D43E7">
        <w:rPr>
          <w:lang w:val="fr-FR"/>
        </w:rPr>
        <w:t>Ces défis ont été résumés dans le document UNEP/OzL.Pro/ExCom/96/2</w:t>
      </w:r>
      <w:r w:rsidRPr="009D43E7">
        <w:rPr>
          <w:rStyle w:val="FootnoteReference"/>
          <w:lang w:val="fr-FR"/>
        </w:rPr>
        <w:footnoteReference w:id="2"/>
      </w:r>
      <w:r w:rsidRPr="009D43E7">
        <w:rPr>
          <w:lang w:val="fr-FR"/>
        </w:rPr>
        <w:t xml:space="preserve"> </w:t>
      </w:r>
      <w:r w:rsidR="008B0A22">
        <w:rPr>
          <w:lang w:val="fr-FR"/>
        </w:rPr>
        <w:t>portant sur</w:t>
      </w:r>
      <w:r w:rsidRPr="009D43E7">
        <w:rPr>
          <w:lang w:val="fr-FR"/>
        </w:rPr>
        <w:t xml:space="preserve"> les activités du </w:t>
      </w:r>
      <w:r w:rsidR="008B0A22">
        <w:rPr>
          <w:lang w:val="fr-FR"/>
        </w:rPr>
        <w:t>secrétariat</w:t>
      </w:r>
      <w:r w:rsidRPr="009D43E7">
        <w:rPr>
          <w:lang w:val="fr-FR"/>
        </w:rPr>
        <w:t>.</w:t>
      </w:r>
      <w:r w:rsidRPr="000A3231">
        <w:rPr>
          <w:lang w:val="fr-CA"/>
        </w:rPr>
        <w:t xml:space="preserve"> </w:t>
      </w:r>
      <w:r w:rsidRPr="009D43E7">
        <w:rPr>
          <w:lang w:val="fr-FR"/>
        </w:rPr>
        <w:t>Au cours de cette même réunion, les membres ont souligné la nécessité d</w:t>
      </w:r>
      <w:r w:rsidR="003D53B4">
        <w:rPr>
          <w:lang w:val="fr-FR"/>
        </w:rPr>
        <w:t>’</w:t>
      </w:r>
      <w:r w:rsidRPr="009D43E7">
        <w:rPr>
          <w:lang w:val="fr-FR"/>
        </w:rPr>
        <w:t xml:space="preserve">examiner dans leur ensemble les problèmes </w:t>
      </w:r>
      <w:r w:rsidRPr="009D43E7">
        <w:rPr>
          <w:lang w:val="fr-FR"/>
        </w:rPr>
        <w:lastRenderedPageBreak/>
        <w:t>liés à la chaîne d</w:t>
      </w:r>
      <w:r w:rsidR="003D53B4">
        <w:rPr>
          <w:lang w:val="fr-FR"/>
        </w:rPr>
        <w:t>’</w:t>
      </w:r>
      <w:r w:rsidRPr="009D43E7">
        <w:rPr>
          <w:lang w:val="fr-FR"/>
        </w:rPr>
        <w:t>approvisionnement, de les étudier de manière approfondie et de concentrer les efforts sur l</w:t>
      </w:r>
      <w:r w:rsidR="003D53B4">
        <w:rPr>
          <w:lang w:val="fr-FR"/>
        </w:rPr>
        <w:t>’</w:t>
      </w:r>
      <w:r w:rsidRPr="009D43E7">
        <w:rPr>
          <w:lang w:val="fr-FR"/>
        </w:rPr>
        <w:t>identification des défis et des solutions.</w:t>
      </w:r>
      <w:r w:rsidRPr="000A3231">
        <w:rPr>
          <w:lang w:val="fr-CA"/>
        </w:rPr>
        <w:t xml:space="preserve"> </w:t>
      </w:r>
    </w:p>
    <w:p w14:paraId="51184021" w14:textId="57B265D2" w:rsidR="009D43E7" w:rsidRPr="000A3231" w:rsidRDefault="009D43E7" w:rsidP="009D43E7">
      <w:pPr>
        <w:pStyle w:val="Heading1"/>
        <w:shd w:val="clear" w:color="auto" w:fill="FFFFFF" w:themeFill="background1"/>
        <w:rPr>
          <w:lang w:val="fr-CA"/>
        </w:rPr>
      </w:pPr>
      <w:r w:rsidRPr="009D43E7">
        <w:rPr>
          <w:lang w:val="fr-FR"/>
        </w:rPr>
        <w:t>À l</w:t>
      </w:r>
      <w:r w:rsidR="003D53B4">
        <w:rPr>
          <w:lang w:val="fr-FR"/>
        </w:rPr>
        <w:t>’</w:t>
      </w:r>
      <w:r w:rsidRPr="009D43E7">
        <w:rPr>
          <w:lang w:val="fr-FR"/>
        </w:rPr>
        <w:t xml:space="preserve">issue des discussions, le Comité exécutif a prié le </w:t>
      </w:r>
      <w:r w:rsidR="008B0A22">
        <w:rPr>
          <w:lang w:val="fr-FR"/>
        </w:rPr>
        <w:t>secrétariat</w:t>
      </w:r>
      <w:r w:rsidRPr="009D43E7">
        <w:rPr>
          <w:lang w:val="fr-FR"/>
        </w:rPr>
        <w:t xml:space="preserve"> de préparer, en consultation avec </w:t>
      </w:r>
      <w:r w:rsidR="00C928C3">
        <w:rPr>
          <w:lang w:val="fr-FR"/>
        </w:rPr>
        <w:t xml:space="preserve">les </w:t>
      </w:r>
      <w:r w:rsidRPr="009D43E7">
        <w:rPr>
          <w:lang w:val="fr-FR"/>
        </w:rPr>
        <w:t>agences bilatérales et d</w:t>
      </w:r>
      <w:r w:rsidR="003D53B4">
        <w:rPr>
          <w:lang w:val="fr-FR"/>
        </w:rPr>
        <w:t>’</w:t>
      </w:r>
      <w:r w:rsidRPr="009D43E7">
        <w:rPr>
          <w:lang w:val="fr-FR"/>
        </w:rPr>
        <w:t xml:space="preserve">exécution, un document </w:t>
      </w:r>
      <w:r w:rsidR="008B0A22">
        <w:rPr>
          <w:lang w:val="fr-FR"/>
        </w:rPr>
        <w:t>aux fins de soumission à sa 98</w:t>
      </w:r>
      <w:r w:rsidR="008B0A22" w:rsidRPr="008B0A22">
        <w:rPr>
          <w:vertAlign w:val="superscript"/>
          <w:lang w:val="fr-FR"/>
        </w:rPr>
        <w:t>e</w:t>
      </w:r>
      <w:r w:rsidR="008B0A22">
        <w:rPr>
          <w:lang w:val="fr-FR"/>
        </w:rPr>
        <w:t xml:space="preserve"> réunion portant </w:t>
      </w:r>
      <w:r w:rsidRPr="009D43E7">
        <w:rPr>
          <w:lang w:val="fr-FR"/>
        </w:rPr>
        <w:t>sur l</w:t>
      </w:r>
      <w:r w:rsidR="00C928C3">
        <w:rPr>
          <w:lang w:val="fr-FR"/>
        </w:rPr>
        <w:t xml:space="preserve">a disponibilité, </w:t>
      </w:r>
      <w:r w:rsidRPr="009D43E7">
        <w:rPr>
          <w:lang w:val="fr-FR"/>
        </w:rPr>
        <w:t>les prix, les spécifications techniques et autres obstacles s</w:t>
      </w:r>
      <w:r w:rsidR="003D53B4">
        <w:rPr>
          <w:lang w:val="fr-FR"/>
        </w:rPr>
        <w:t>’</w:t>
      </w:r>
      <w:r w:rsidRPr="009D43E7">
        <w:rPr>
          <w:lang w:val="fr-FR"/>
        </w:rPr>
        <w:t>il y a lieu</w:t>
      </w:r>
      <w:r w:rsidR="003D53B4">
        <w:rPr>
          <w:lang w:val="fr-FR"/>
        </w:rPr>
        <w:t> </w:t>
      </w:r>
      <w:r w:rsidRPr="009D43E7">
        <w:rPr>
          <w:lang w:val="fr-FR"/>
        </w:rPr>
        <w:t>rencontrés par les pays visés à l</w:t>
      </w:r>
      <w:r w:rsidR="003D53B4">
        <w:rPr>
          <w:lang w:val="fr-FR"/>
        </w:rPr>
        <w:t>’</w:t>
      </w:r>
      <w:r w:rsidRPr="009D43E7">
        <w:rPr>
          <w:lang w:val="fr-FR"/>
        </w:rPr>
        <w:t xml:space="preserve">article 5 dans la mise en œuvre de projets de conversion dans le secteur </w:t>
      </w:r>
      <w:r w:rsidR="008B0A22">
        <w:rPr>
          <w:lang w:val="fr-FR"/>
        </w:rPr>
        <w:t>de la</w:t>
      </w:r>
      <w:r w:rsidRPr="009D43E7">
        <w:rPr>
          <w:lang w:val="fr-FR"/>
        </w:rPr>
        <w:t xml:space="preserve"> réfrigération, de </w:t>
      </w:r>
      <w:r w:rsidR="008B0A22">
        <w:rPr>
          <w:lang w:val="fr-FR"/>
        </w:rPr>
        <w:t xml:space="preserve">la </w:t>
      </w:r>
      <w:r w:rsidRPr="009D43E7">
        <w:rPr>
          <w:lang w:val="fr-FR"/>
        </w:rPr>
        <w:t>climatisation et de</w:t>
      </w:r>
      <w:r w:rsidR="008B0A22">
        <w:rPr>
          <w:lang w:val="fr-FR"/>
        </w:rPr>
        <w:t>s</w:t>
      </w:r>
      <w:r w:rsidRPr="009D43E7">
        <w:rPr>
          <w:lang w:val="fr-FR"/>
        </w:rPr>
        <w:t xml:space="preserve"> pompes à chaleur, en raison de</w:t>
      </w:r>
      <w:r w:rsidR="00C928C3">
        <w:rPr>
          <w:lang w:val="fr-FR"/>
        </w:rPr>
        <w:t>s</w:t>
      </w:r>
      <w:r w:rsidRPr="009D43E7">
        <w:rPr>
          <w:lang w:val="fr-FR"/>
        </w:rPr>
        <w:t xml:space="preserve"> problèmes </w:t>
      </w:r>
      <w:r w:rsidR="00C928C3">
        <w:rPr>
          <w:lang w:val="fr-FR"/>
        </w:rPr>
        <w:t>de</w:t>
      </w:r>
      <w:r w:rsidR="004F50FA">
        <w:rPr>
          <w:lang w:val="fr-FR"/>
        </w:rPr>
        <w:t xml:space="preserve"> </w:t>
      </w:r>
      <w:r w:rsidRPr="009D43E7">
        <w:rPr>
          <w:lang w:val="fr-FR"/>
        </w:rPr>
        <w:t>chaîne d</w:t>
      </w:r>
      <w:r w:rsidR="003D53B4">
        <w:rPr>
          <w:lang w:val="fr-FR"/>
        </w:rPr>
        <w:t>’</w:t>
      </w:r>
      <w:r w:rsidRPr="009D43E7">
        <w:rPr>
          <w:lang w:val="fr-FR"/>
        </w:rPr>
        <w:t xml:space="preserve">approvisionnement </w:t>
      </w:r>
      <w:r w:rsidR="00C928C3">
        <w:rPr>
          <w:lang w:val="fr-FR"/>
        </w:rPr>
        <w:t xml:space="preserve">concernant les </w:t>
      </w:r>
      <w:r w:rsidRPr="009D43E7">
        <w:rPr>
          <w:lang w:val="fr-FR"/>
        </w:rPr>
        <w:t xml:space="preserve">frigorigènes de remplacement, </w:t>
      </w:r>
      <w:r w:rsidR="00C928C3">
        <w:rPr>
          <w:lang w:val="fr-FR"/>
        </w:rPr>
        <w:t xml:space="preserve">les </w:t>
      </w:r>
      <w:r w:rsidRPr="009D43E7">
        <w:rPr>
          <w:lang w:val="fr-FR"/>
        </w:rPr>
        <w:t xml:space="preserve">pièces et </w:t>
      </w:r>
      <w:r w:rsidR="00C928C3">
        <w:rPr>
          <w:lang w:val="fr-FR"/>
        </w:rPr>
        <w:t>les</w:t>
      </w:r>
      <w:r w:rsidRPr="009D43E7">
        <w:rPr>
          <w:lang w:val="fr-FR"/>
        </w:rPr>
        <w:t xml:space="preserve"> composants, et </w:t>
      </w:r>
      <w:r w:rsidR="00C928C3">
        <w:rPr>
          <w:lang w:val="fr-FR"/>
        </w:rPr>
        <w:t xml:space="preserve">les </w:t>
      </w:r>
      <w:r w:rsidRPr="009D43E7">
        <w:rPr>
          <w:lang w:val="fr-FR"/>
        </w:rPr>
        <w:t xml:space="preserve">équipements, ainsi que sur les moyens possibles de </w:t>
      </w:r>
      <w:r w:rsidR="00C928C3">
        <w:rPr>
          <w:lang w:val="fr-FR"/>
        </w:rPr>
        <w:t>surmonter</w:t>
      </w:r>
      <w:r w:rsidRPr="009D43E7">
        <w:rPr>
          <w:lang w:val="fr-FR"/>
        </w:rPr>
        <w:t xml:space="preserve"> ces </w:t>
      </w:r>
      <w:r w:rsidR="00F95DC7" w:rsidRPr="009D43E7">
        <w:rPr>
          <w:lang w:val="fr-FR"/>
        </w:rPr>
        <w:t>difficultés</w:t>
      </w:r>
      <w:r w:rsidRPr="009D43E7">
        <w:rPr>
          <w:lang w:val="fr-FR"/>
        </w:rPr>
        <w:t>.</w:t>
      </w:r>
    </w:p>
    <w:p w14:paraId="1132960E" w14:textId="71F90EF7" w:rsidR="00DB4BCB" w:rsidRPr="000A3231" w:rsidRDefault="00DB4BCB" w:rsidP="00DB4BCB">
      <w:pPr>
        <w:pStyle w:val="Heading1"/>
        <w:shd w:val="clear" w:color="auto" w:fill="FFFFFF" w:themeFill="background1"/>
        <w:rPr>
          <w:lang w:val="fr-CA"/>
        </w:rPr>
      </w:pPr>
      <w:r w:rsidRPr="00DB4BCB">
        <w:rPr>
          <w:lang w:val="fr-FR"/>
        </w:rPr>
        <w:t>Ce document a été élaboré en concertation avec les agences bilatérales et d</w:t>
      </w:r>
      <w:r w:rsidR="003D53B4">
        <w:rPr>
          <w:lang w:val="fr-FR"/>
        </w:rPr>
        <w:t>’</w:t>
      </w:r>
      <w:r w:rsidRPr="00DB4BCB">
        <w:rPr>
          <w:lang w:val="fr-FR"/>
        </w:rPr>
        <w:t>exécution, en s</w:t>
      </w:r>
      <w:r w:rsidR="003D53B4">
        <w:rPr>
          <w:lang w:val="fr-FR"/>
        </w:rPr>
        <w:t>’</w:t>
      </w:r>
      <w:r w:rsidRPr="00DB4BCB">
        <w:rPr>
          <w:lang w:val="fr-FR"/>
        </w:rPr>
        <w:t>appuyant sur les débats menés lors de deux réunions de coordination inter-agences (</w:t>
      </w:r>
      <w:r w:rsidR="008B0A22">
        <w:rPr>
          <w:lang w:val="fr-FR"/>
        </w:rPr>
        <w:t>IAMC</w:t>
      </w:r>
      <w:r w:rsidRPr="00DB4BCB">
        <w:rPr>
          <w:lang w:val="fr-FR"/>
        </w:rPr>
        <w:t>).</w:t>
      </w:r>
      <w:r w:rsidRPr="000A3231">
        <w:rPr>
          <w:lang w:val="fr-CA"/>
        </w:rPr>
        <w:t xml:space="preserve"> </w:t>
      </w:r>
      <w:r w:rsidRPr="00DB4BCB">
        <w:rPr>
          <w:lang w:val="fr-FR"/>
        </w:rPr>
        <w:t xml:space="preserve">Le </w:t>
      </w:r>
      <w:r w:rsidR="008B0A22">
        <w:rPr>
          <w:lang w:val="fr-FR"/>
        </w:rPr>
        <w:t>secrétariat</w:t>
      </w:r>
      <w:r w:rsidRPr="00DB4BCB">
        <w:rPr>
          <w:lang w:val="fr-FR"/>
        </w:rPr>
        <w:t xml:space="preserve"> a également engagé plusieurs séries de discussion</w:t>
      </w:r>
      <w:r w:rsidR="004F50FA">
        <w:rPr>
          <w:lang w:val="fr-FR"/>
        </w:rPr>
        <w:t>s</w:t>
      </w:r>
      <w:r w:rsidRPr="00DB4BCB">
        <w:rPr>
          <w:lang w:val="fr-FR"/>
        </w:rPr>
        <w:t>, en présentiel et en ligne, avec des représentants de l</w:t>
      </w:r>
      <w:r w:rsidR="003D53B4">
        <w:rPr>
          <w:lang w:val="fr-FR"/>
        </w:rPr>
        <w:t>’</w:t>
      </w:r>
      <w:r w:rsidRPr="00DB4BCB">
        <w:rPr>
          <w:lang w:val="fr-FR"/>
        </w:rPr>
        <w:t>industrie, issus de pays visés à</w:t>
      </w:r>
      <w:r w:rsidR="003D53B4">
        <w:rPr>
          <w:lang w:val="fr-FR"/>
        </w:rPr>
        <w:t> </w:t>
      </w:r>
      <w:r w:rsidRPr="00DB4BCB">
        <w:rPr>
          <w:lang w:val="fr-FR"/>
        </w:rPr>
        <w:t>l</w:t>
      </w:r>
      <w:r w:rsidR="003D53B4">
        <w:rPr>
          <w:lang w:val="fr-FR"/>
        </w:rPr>
        <w:t>’</w:t>
      </w:r>
      <w:r w:rsidRPr="00DB4BCB">
        <w:rPr>
          <w:lang w:val="fr-FR"/>
        </w:rPr>
        <w:t xml:space="preserve">article 5 </w:t>
      </w:r>
      <w:r w:rsidR="00C928C3">
        <w:rPr>
          <w:lang w:val="fr-FR"/>
        </w:rPr>
        <w:t>et</w:t>
      </w:r>
      <w:r w:rsidRPr="00DB4BCB">
        <w:rPr>
          <w:lang w:val="fr-FR"/>
        </w:rPr>
        <w:t xml:space="preserve"> de pays non visés par cet article, notamment des fournisseurs de technologies, des fabricants de composants et des associations industrielles.</w:t>
      </w:r>
    </w:p>
    <w:p w14:paraId="4B3F58B4" w14:textId="7A215731" w:rsidR="009B4B3A" w:rsidRPr="00B42ED2" w:rsidRDefault="00DB4BCB" w:rsidP="00B42ED2">
      <w:pPr>
        <w:shd w:val="clear" w:color="auto" w:fill="FFFFFF" w:themeFill="background1"/>
        <w:autoSpaceDE w:val="0"/>
        <w:autoSpaceDN w:val="0"/>
        <w:adjustRightInd w:val="0"/>
        <w:spacing w:before="120" w:after="240"/>
        <w:rPr>
          <w:b/>
          <w:bCs/>
        </w:rPr>
      </w:pPr>
      <w:r w:rsidRPr="00B42ED2">
        <w:rPr>
          <w:b/>
          <w:bCs/>
          <w:lang w:val="fr-FR"/>
        </w:rPr>
        <w:t>Portée du</w:t>
      </w:r>
      <w:r w:rsidR="003D53B4">
        <w:rPr>
          <w:b/>
          <w:bCs/>
          <w:lang w:val="fr-FR"/>
        </w:rPr>
        <w:t> </w:t>
      </w:r>
      <w:r w:rsidRPr="00B42ED2">
        <w:rPr>
          <w:b/>
          <w:bCs/>
          <w:lang w:val="fr-FR"/>
        </w:rPr>
        <w:t>document</w:t>
      </w:r>
    </w:p>
    <w:p w14:paraId="586651FD" w14:textId="61C3B548" w:rsidR="00B42ED2" w:rsidRPr="000A3231" w:rsidRDefault="00B42ED2" w:rsidP="00B42ED2">
      <w:pPr>
        <w:pStyle w:val="Heading1"/>
        <w:shd w:val="clear" w:color="auto" w:fill="FFFFFF" w:themeFill="background1"/>
        <w:spacing w:before="120"/>
        <w:rPr>
          <w:lang w:val="fr-CA"/>
        </w:rPr>
      </w:pPr>
      <w:r w:rsidRPr="00B42ED2">
        <w:rPr>
          <w:lang w:val="fr-FR"/>
        </w:rPr>
        <w:t>Le présent document se limite aux défis liés à la chaîne d</w:t>
      </w:r>
      <w:r w:rsidR="003D53B4">
        <w:rPr>
          <w:lang w:val="fr-FR"/>
        </w:rPr>
        <w:t>’</w:t>
      </w:r>
      <w:r w:rsidRPr="00B42ED2">
        <w:rPr>
          <w:lang w:val="fr-FR"/>
        </w:rPr>
        <w:t>approvisionnement des projets de conversion en cours dans les secteurs de la fabrication des systèmes de réfrigération et de climatisation (RAC), mis en œuvre au cours des trois dernières années dans le cadre des</w:t>
      </w:r>
      <w:r w:rsidR="003D53B4">
        <w:rPr>
          <w:lang w:val="fr-FR"/>
        </w:rPr>
        <w:t> </w:t>
      </w:r>
      <w:r w:rsidRPr="00B42ED2">
        <w:rPr>
          <w:lang w:val="fr-FR"/>
        </w:rPr>
        <w:t>KIP.</w:t>
      </w:r>
      <w:r w:rsidRPr="000A3231">
        <w:rPr>
          <w:lang w:val="fr-CA"/>
        </w:rPr>
        <w:t xml:space="preserve"> </w:t>
      </w:r>
      <w:r w:rsidRPr="00B42ED2">
        <w:rPr>
          <w:lang w:val="fr-FR"/>
        </w:rPr>
        <w:t>Les retours d</w:t>
      </w:r>
      <w:r w:rsidR="003D53B4">
        <w:rPr>
          <w:lang w:val="fr-FR"/>
        </w:rPr>
        <w:t>’</w:t>
      </w:r>
      <w:r w:rsidRPr="00B42ED2">
        <w:rPr>
          <w:lang w:val="fr-FR"/>
        </w:rPr>
        <w:t xml:space="preserve">information </w:t>
      </w:r>
      <w:r w:rsidR="00C928C3" w:rsidRPr="00B42ED2">
        <w:rPr>
          <w:lang w:val="fr-FR"/>
        </w:rPr>
        <w:t>ont été recueillis</w:t>
      </w:r>
      <w:r w:rsidR="00C928C3">
        <w:rPr>
          <w:lang w:val="fr-FR"/>
        </w:rPr>
        <w:t xml:space="preserve"> </w:t>
      </w:r>
      <w:r w:rsidR="00C928C3" w:rsidRPr="00B42ED2">
        <w:rPr>
          <w:lang w:val="fr-FR"/>
        </w:rPr>
        <w:t xml:space="preserve">par </w:t>
      </w:r>
      <w:r w:rsidR="00C928C3">
        <w:rPr>
          <w:lang w:val="fr-FR"/>
        </w:rPr>
        <w:t>les</w:t>
      </w:r>
      <w:r w:rsidR="00C928C3" w:rsidRPr="00B42ED2">
        <w:rPr>
          <w:lang w:val="fr-FR"/>
        </w:rPr>
        <w:t xml:space="preserve"> agences d</w:t>
      </w:r>
      <w:r w:rsidR="003D53B4">
        <w:rPr>
          <w:lang w:val="fr-FR"/>
        </w:rPr>
        <w:t>’</w:t>
      </w:r>
      <w:r w:rsidR="00C928C3">
        <w:rPr>
          <w:lang w:val="fr-FR"/>
        </w:rPr>
        <w:t>exécution</w:t>
      </w:r>
      <w:r w:rsidR="00C928C3" w:rsidRPr="00B42ED2">
        <w:rPr>
          <w:lang w:val="fr-FR"/>
        </w:rPr>
        <w:t xml:space="preserve"> concernées</w:t>
      </w:r>
      <w:r w:rsidR="00C928C3">
        <w:rPr>
          <w:lang w:val="fr-FR"/>
        </w:rPr>
        <w:t xml:space="preserve"> portant sur</w:t>
      </w:r>
      <w:r w:rsidRPr="00B42ED2">
        <w:rPr>
          <w:lang w:val="fr-FR"/>
        </w:rPr>
        <w:t xml:space="preserve"> 22 projets, </w:t>
      </w:r>
      <w:r w:rsidR="00C928C3">
        <w:rPr>
          <w:lang w:val="fr-FR"/>
        </w:rPr>
        <w:t>y compris</w:t>
      </w:r>
      <w:r w:rsidRPr="00B42ED2">
        <w:rPr>
          <w:lang w:val="fr-FR"/>
        </w:rPr>
        <w:t xml:space="preserve"> trois</w:t>
      </w:r>
      <w:r w:rsidR="00C928C3">
        <w:rPr>
          <w:lang w:val="fr-FR"/>
        </w:rPr>
        <w:t xml:space="preserve"> projets</w:t>
      </w:r>
      <w:r w:rsidRPr="00B42ED2">
        <w:rPr>
          <w:lang w:val="fr-FR"/>
        </w:rPr>
        <w:t xml:space="preserve"> ciblant des petites et moyennes entreprises (</w:t>
      </w:r>
      <w:r w:rsidRPr="00C928C3">
        <w:rPr>
          <w:lang w:val="fr-FR"/>
        </w:rPr>
        <w:t>PME), dans 13 pays</w:t>
      </w:r>
      <w:r w:rsidR="00C928C3" w:rsidRPr="00C928C3">
        <w:rPr>
          <w:lang w:val="fr-FR"/>
        </w:rPr>
        <w:t> :</w:t>
      </w:r>
      <w:r w:rsidRPr="000A3231">
        <w:rPr>
          <w:lang w:val="fr-CA"/>
        </w:rPr>
        <w:t xml:space="preserve"> </w:t>
      </w:r>
      <w:r w:rsidR="00C928C3" w:rsidRPr="000A3231">
        <w:rPr>
          <w:lang w:val="fr-CA"/>
        </w:rPr>
        <w:t>l</w:t>
      </w:r>
      <w:r w:rsidR="003D53B4" w:rsidRPr="000A3231">
        <w:rPr>
          <w:lang w:val="fr-CA"/>
        </w:rPr>
        <w:t>’</w:t>
      </w:r>
      <w:r w:rsidRPr="00B42ED2">
        <w:rPr>
          <w:lang w:val="fr-FR"/>
        </w:rPr>
        <w:t xml:space="preserve">Argentine, </w:t>
      </w:r>
      <w:r w:rsidR="00C928C3">
        <w:rPr>
          <w:lang w:val="fr-FR"/>
        </w:rPr>
        <w:t xml:space="preserve">la </w:t>
      </w:r>
      <w:r w:rsidRPr="00B42ED2">
        <w:rPr>
          <w:lang w:val="fr-FR"/>
        </w:rPr>
        <w:t xml:space="preserve">Colombie, </w:t>
      </w:r>
      <w:r w:rsidR="00C928C3">
        <w:rPr>
          <w:lang w:val="fr-FR"/>
        </w:rPr>
        <w:t xml:space="preserve">le </w:t>
      </w:r>
      <w:r w:rsidRPr="00B42ED2">
        <w:rPr>
          <w:lang w:val="fr-FR"/>
        </w:rPr>
        <w:t xml:space="preserve">Costa Rica, </w:t>
      </w:r>
      <w:r w:rsidR="00C928C3">
        <w:rPr>
          <w:lang w:val="fr-FR"/>
        </w:rPr>
        <w:t>l</w:t>
      </w:r>
      <w:r w:rsidR="003D53B4">
        <w:rPr>
          <w:lang w:val="fr-FR"/>
        </w:rPr>
        <w:t>’</w:t>
      </w:r>
      <w:r w:rsidRPr="00B42ED2">
        <w:rPr>
          <w:lang w:val="fr-FR"/>
        </w:rPr>
        <w:t xml:space="preserve">Égypte, </w:t>
      </w:r>
      <w:r w:rsidR="00C928C3">
        <w:rPr>
          <w:lang w:val="fr-FR"/>
        </w:rPr>
        <w:t>l</w:t>
      </w:r>
      <w:r w:rsidR="003D53B4">
        <w:rPr>
          <w:lang w:val="fr-FR"/>
        </w:rPr>
        <w:t>’</w:t>
      </w:r>
      <w:r w:rsidRPr="00B42ED2">
        <w:rPr>
          <w:lang w:val="fr-FR"/>
        </w:rPr>
        <w:t xml:space="preserve">Inde, </w:t>
      </w:r>
      <w:r w:rsidR="00C928C3">
        <w:rPr>
          <w:lang w:val="fr-FR"/>
        </w:rPr>
        <w:t>l</w:t>
      </w:r>
      <w:r w:rsidR="003D53B4">
        <w:rPr>
          <w:lang w:val="fr-FR"/>
        </w:rPr>
        <w:t>’</w:t>
      </w:r>
      <w:r w:rsidRPr="00B42ED2">
        <w:rPr>
          <w:lang w:val="fr-FR"/>
        </w:rPr>
        <w:t xml:space="preserve">Indonésie, </w:t>
      </w:r>
      <w:r w:rsidR="00C928C3">
        <w:rPr>
          <w:lang w:val="fr-FR"/>
        </w:rPr>
        <w:t xml:space="preserve">la </w:t>
      </w:r>
      <w:r w:rsidRPr="00B42ED2">
        <w:rPr>
          <w:lang w:val="fr-FR"/>
        </w:rPr>
        <w:t xml:space="preserve">Jordanie, </w:t>
      </w:r>
      <w:r w:rsidR="00C928C3">
        <w:rPr>
          <w:lang w:val="fr-FR"/>
        </w:rPr>
        <w:t xml:space="preserve">le </w:t>
      </w:r>
      <w:r w:rsidRPr="00B42ED2">
        <w:rPr>
          <w:lang w:val="fr-FR"/>
        </w:rPr>
        <w:t xml:space="preserve">Liban, </w:t>
      </w:r>
      <w:r w:rsidR="00C928C3">
        <w:rPr>
          <w:lang w:val="fr-FR"/>
        </w:rPr>
        <w:t xml:space="preserve">la </w:t>
      </w:r>
      <w:r w:rsidRPr="00B42ED2">
        <w:rPr>
          <w:lang w:val="fr-FR"/>
        </w:rPr>
        <w:t xml:space="preserve">Malaisie, </w:t>
      </w:r>
      <w:r w:rsidR="00C928C3">
        <w:rPr>
          <w:lang w:val="fr-FR"/>
        </w:rPr>
        <w:t xml:space="preserve">le </w:t>
      </w:r>
      <w:r w:rsidRPr="00B42ED2">
        <w:rPr>
          <w:lang w:val="fr-FR"/>
        </w:rPr>
        <w:t xml:space="preserve">Maroc, </w:t>
      </w:r>
      <w:r w:rsidR="00C928C3">
        <w:rPr>
          <w:lang w:val="fr-FR"/>
        </w:rPr>
        <w:t xml:space="preserve">le </w:t>
      </w:r>
      <w:r w:rsidRPr="00B42ED2">
        <w:rPr>
          <w:lang w:val="fr-FR"/>
        </w:rPr>
        <w:t>Nigéria,</w:t>
      </w:r>
      <w:r w:rsidR="00C928C3">
        <w:rPr>
          <w:lang w:val="fr-FR"/>
        </w:rPr>
        <w:t xml:space="preserve"> le </w:t>
      </w:r>
      <w:r w:rsidRPr="00B42ED2">
        <w:rPr>
          <w:lang w:val="fr-FR"/>
        </w:rPr>
        <w:t xml:space="preserve">Sri Lanka et </w:t>
      </w:r>
      <w:r w:rsidR="00C928C3">
        <w:rPr>
          <w:lang w:val="fr-FR"/>
        </w:rPr>
        <w:t xml:space="preserve">la </w:t>
      </w:r>
      <w:r w:rsidRPr="00B42ED2">
        <w:rPr>
          <w:lang w:val="fr-FR"/>
        </w:rPr>
        <w:t>Tunisie.</w:t>
      </w:r>
      <w:r w:rsidRPr="000A3231">
        <w:rPr>
          <w:lang w:val="fr-CA"/>
        </w:rPr>
        <w:t xml:space="preserve"> </w:t>
      </w:r>
      <w:r w:rsidRPr="00B42ED2">
        <w:rPr>
          <w:lang w:val="fr-FR"/>
        </w:rPr>
        <w:t xml:space="preserve">Le tableau 1 ci-dessous présente la répartition de ces projets par sous-secteur et par région </w:t>
      </w:r>
      <w:r w:rsidR="00C928C3">
        <w:rPr>
          <w:lang w:val="fr-FR"/>
        </w:rPr>
        <w:t>au sujet</w:t>
      </w:r>
      <w:r w:rsidRPr="00B42ED2">
        <w:rPr>
          <w:lang w:val="fr-FR"/>
        </w:rPr>
        <w:t xml:space="preserve"> desquels des informations et des commentaires ont été recueillis.</w:t>
      </w:r>
    </w:p>
    <w:p w14:paraId="64457493" w14:textId="25E847BC" w:rsidR="009B4B3A" w:rsidRPr="000A3231" w:rsidRDefault="00B42ED2" w:rsidP="00650CEA">
      <w:pPr>
        <w:pStyle w:val="Heading2"/>
        <w:numPr>
          <w:ilvl w:val="0"/>
          <w:numId w:val="0"/>
        </w:numPr>
        <w:shd w:val="clear" w:color="auto" w:fill="FFFFFF" w:themeFill="background1"/>
        <w:spacing w:after="0"/>
        <w:rPr>
          <w:b/>
          <w:bCs/>
          <w:lang w:val="fr-CA"/>
        </w:rPr>
      </w:pPr>
      <w:r w:rsidRPr="00B42ED2">
        <w:rPr>
          <w:b/>
          <w:bCs/>
          <w:lang w:val="fr-FR"/>
        </w:rPr>
        <w:t>Tableau 1. Répartition des projets de conversion par région et sous-secteur</w:t>
      </w:r>
    </w:p>
    <w:tbl>
      <w:tblPr>
        <w:tblStyle w:val="Rastertabel6kleurrijk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470"/>
        <w:gridCol w:w="1418"/>
        <w:gridCol w:w="1417"/>
        <w:gridCol w:w="1418"/>
        <w:gridCol w:w="1275"/>
        <w:gridCol w:w="810"/>
      </w:tblGrid>
      <w:tr w:rsidR="009B4B3A" w:rsidRPr="00650CEA" w14:paraId="1CED3446" w14:textId="77777777" w:rsidTr="004F5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579622B0" w14:textId="2334B0D6" w:rsidR="009B4B3A" w:rsidRPr="00B42ED2" w:rsidRDefault="00B42ED2" w:rsidP="00AD5D2B">
            <w:pPr>
              <w:shd w:val="clear" w:color="auto" w:fill="FFFFFF" w:themeFill="background1"/>
              <w:jc w:val="center"/>
              <w:rPr>
                <w:color w:val="000000"/>
                <w:sz w:val="20"/>
                <w:szCs w:val="20"/>
              </w:rPr>
            </w:pPr>
            <w:r w:rsidRPr="00B42ED2">
              <w:rPr>
                <w:rFonts w:asciiTheme="majorBidi" w:eastAsia="Times New Roman" w:hAnsiTheme="majorBidi" w:cstheme="majorBidi"/>
                <w:color w:val="000000"/>
                <w:sz w:val="20"/>
                <w:szCs w:val="20"/>
                <w:lang w:val="fr-FR" w:eastAsia="en-CA"/>
              </w:rPr>
              <w:t>Région</w:t>
            </w:r>
          </w:p>
        </w:tc>
        <w:tc>
          <w:tcPr>
            <w:tcW w:w="1470" w:type="dxa"/>
            <w:tcBorders>
              <w:bottom w:val="none" w:sz="0" w:space="0" w:color="auto"/>
            </w:tcBorders>
            <w:vAlign w:val="center"/>
          </w:tcPr>
          <w:p w14:paraId="35BD9A5F" w14:textId="4113DE9D" w:rsidR="009B4B3A" w:rsidRPr="00B42ED2"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Climatis</w:t>
            </w:r>
            <w:r w:rsidR="004F50FA">
              <w:rPr>
                <w:rFonts w:asciiTheme="majorBidi" w:eastAsia="Times New Roman" w:hAnsiTheme="majorBidi" w:cstheme="majorBidi"/>
                <w:color w:val="000000"/>
                <w:sz w:val="20"/>
                <w:szCs w:val="20"/>
                <w:lang w:val="fr-FR" w:eastAsia="en-CA"/>
              </w:rPr>
              <w:t>ation</w:t>
            </w:r>
            <w:r w:rsidRPr="00B42ED2">
              <w:rPr>
                <w:rFonts w:asciiTheme="majorBidi" w:eastAsia="Times New Roman" w:hAnsiTheme="majorBidi" w:cstheme="majorBidi"/>
                <w:color w:val="000000"/>
                <w:sz w:val="20"/>
                <w:szCs w:val="20"/>
                <w:lang w:val="fr-FR" w:eastAsia="en-CA"/>
              </w:rPr>
              <w:t xml:space="preserve"> résidentiel</w:t>
            </w:r>
            <w:r w:rsidR="004F50FA">
              <w:rPr>
                <w:rFonts w:asciiTheme="majorBidi" w:eastAsia="Times New Roman" w:hAnsiTheme="majorBidi" w:cstheme="majorBidi"/>
                <w:color w:val="000000"/>
                <w:sz w:val="20"/>
                <w:szCs w:val="20"/>
                <w:lang w:val="fr-FR" w:eastAsia="en-CA"/>
              </w:rPr>
              <w:t>le</w:t>
            </w:r>
          </w:p>
        </w:tc>
        <w:tc>
          <w:tcPr>
            <w:tcW w:w="1418" w:type="dxa"/>
            <w:tcBorders>
              <w:bottom w:val="none" w:sz="0" w:space="0" w:color="auto"/>
            </w:tcBorders>
            <w:vAlign w:val="center"/>
          </w:tcPr>
          <w:p w14:paraId="45D7FF96" w14:textId="4297B762" w:rsidR="009B4B3A" w:rsidRPr="00650CEA"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42ED2">
              <w:rPr>
                <w:rFonts w:asciiTheme="majorBidi" w:eastAsia="Times New Roman" w:hAnsiTheme="majorBidi" w:cstheme="majorBidi"/>
                <w:color w:val="000000"/>
                <w:sz w:val="20"/>
                <w:szCs w:val="20"/>
                <w:lang w:val="fr-FR" w:eastAsia="en-CA"/>
              </w:rPr>
              <w:t>Climatisation commercial</w:t>
            </w:r>
            <w:r w:rsidR="004F50FA">
              <w:rPr>
                <w:rFonts w:asciiTheme="majorBidi" w:eastAsia="Times New Roman" w:hAnsiTheme="majorBidi" w:cstheme="majorBidi"/>
                <w:color w:val="000000"/>
                <w:sz w:val="20"/>
                <w:szCs w:val="20"/>
                <w:lang w:val="fr-FR" w:eastAsia="en-CA"/>
              </w:rPr>
              <w:t>e</w:t>
            </w:r>
            <w:r w:rsidR="003D53B4">
              <w:rPr>
                <w:rFonts w:asciiTheme="majorBidi" w:eastAsia="Times New Roman" w:hAnsiTheme="majorBidi" w:cstheme="majorBidi"/>
                <w:color w:val="000000"/>
                <w:sz w:val="20"/>
                <w:szCs w:val="20"/>
                <w:lang w:val="fr-FR" w:eastAsia="en-CA"/>
              </w:rPr>
              <w:t> </w:t>
            </w:r>
          </w:p>
        </w:tc>
        <w:tc>
          <w:tcPr>
            <w:tcW w:w="1417" w:type="dxa"/>
            <w:tcBorders>
              <w:bottom w:val="none" w:sz="0" w:space="0" w:color="auto"/>
            </w:tcBorders>
            <w:vAlign w:val="center"/>
          </w:tcPr>
          <w:p w14:paraId="0A74E580" w14:textId="11B5897F" w:rsidR="009B4B3A" w:rsidRPr="00B42ED2"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commerciale</w:t>
            </w:r>
          </w:p>
        </w:tc>
        <w:tc>
          <w:tcPr>
            <w:tcW w:w="1418" w:type="dxa"/>
            <w:tcBorders>
              <w:bottom w:val="none" w:sz="0" w:space="0" w:color="auto"/>
            </w:tcBorders>
            <w:vAlign w:val="center"/>
          </w:tcPr>
          <w:p w14:paraId="41952855" w14:textId="6DA4D27D" w:rsidR="009B4B3A" w:rsidRPr="00B42ED2"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domestique</w:t>
            </w:r>
          </w:p>
        </w:tc>
        <w:tc>
          <w:tcPr>
            <w:tcW w:w="1275" w:type="dxa"/>
            <w:tcBorders>
              <w:bottom w:val="none" w:sz="0" w:space="0" w:color="auto"/>
            </w:tcBorders>
            <w:vAlign w:val="center"/>
          </w:tcPr>
          <w:p w14:paraId="12390DA3" w14:textId="2EDADC75" w:rsidR="009B4B3A" w:rsidRPr="00B42ED2"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Fabrication par PME</w:t>
            </w:r>
          </w:p>
        </w:tc>
        <w:tc>
          <w:tcPr>
            <w:tcW w:w="810" w:type="dxa"/>
            <w:tcBorders>
              <w:bottom w:val="none" w:sz="0" w:space="0" w:color="auto"/>
            </w:tcBorders>
            <w:vAlign w:val="center"/>
          </w:tcPr>
          <w:p w14:paraId="31CCE801" w14:textId="7643820E" w:rsidR="009B4B3A" w:rsidRPr="00B42ED2" w:rsidRDefault="00B42ED2" w:rsidP="00AD5D2B">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Total</w:t>
            </w:r>
          </w:p>
        </w:tc>
      </w:tr>
      <w:tr w:rsidR="009B4B3A" w:rsidRPr="00650CEA" w14:paraId="69C126C6" w14:textId="77777777" w:rsidTr="004F5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2FB26F6" w14:textId="5E8CC0E3" w:rsidR="009B4B3A" w:rsidRPr="00B42ED2" w:rsidRDefault="00B42ED2" w:rsidP="00AD5D2B">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Afrique</w:t>
            </w:r>
          </w:p>
        </w:tc>
        <w:tc>
          <w:tcPr>
            <w:tcW w:w="1470" w:type="dxa"/>
            <w:shd w:val="clear" w:color="auto" w:fill="auto"/>
          </w:tcPr>
          <w:p w14:paraId="08129ACA"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4CC8EEAE"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shd w:val="clear" w:color="auto" w:fill="auto"/>
          </w:tcPr>
          <w:p w14:paraId="537964FF"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7324780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75" w:type="dxa"/>
            <w:shd w:val="clear" w:color="auto" w:fill="auto"/>
          </w:tcPr>
          <w:p w14:paraId="591DAC3D"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6265783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9B4B3A" w:rsidRPr="00650CEA" w14:paraId="5B7FBB44" w14:textId="77777777" w:rsidTr="004F50FA">
        <w:tc>
          <w:tcPr>
            <w:cnfStyle w:val="001000000000" w:firstRow="0" w:lastRow="0" w:firstColumn="1" w:lastColumn="0" w:oddVBand="0" w:evenVBand="0" w:oddHBand="0" w:evenHBand="0" w:firstRowFirstColumn="0" w:firstRowLastColumn="0" w:lastRowFirstColumn="0" w:lastRowLastColumn="0"/>
            <w:tcW w:w="1615" w:type="dxa"/>
          </w:tcPr>
          <w:p w14:paraId="31F96980" w14:textId="55E5CD0D" w:rsidR="009B4B3A" w:rsidRPr="00B42ED2" w:rsidRDefault="00B42ED2" w:rsidP="00AD5D2B">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et Pacifique</w:t>
            </w:r>
          </w:p>
        </w:tc>
        <w:tc>
          <w:tcPr>
            <w:tcW w:w="1470" w:type="dxa"/>
          </w:tcPr>
          <w:p w14:paraId="485118BC"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8" w:type="dxa"/>
          </w:tcPr>
          <w:p w14:paraId="6A2EB7D7"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tcPr>
          <w:p w14:paraId="1D4FA141"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418" w:type="dxa"/>
          </w:tcPr>
          <w:p w14:paraId="12E9EE8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3370F941"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810" w:type="dxa"/>
          </w:tcPr>
          <w:p w14:paraId="1016F348"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9B4B3A" w:rsidRPr="00650CEA" w14:paraId="62DC89FB" w14:textId="77777777" w:rsidTr="004F5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E3FFCB0" w14:textId="2F970B38" w:rsidR="009B4B3A" w:rsidRPr="00B42ED2" w:rsidRDefault="00B42ED2" w:rsidP="00AD5D2B">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 xml:space="preserve">Amérique latine et Caraïbes </w:t>
            </w:r>
          </w:p>
        </w:tc>
        <w:tc>
          <w:tcPr>
            <w:tcW w:w="1470" w:type="dxa"/>
            <w:shd w:val="clear" w:color="auto" w:fill="auto"/>
          </w:tcPr>
          <w:p w14:paraId="07CDD5BD"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7E8D796A"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shd w:val="clear" w:color="auto" w:fill="auto"/>
          </w:tcPr>
          <w:p w14:paraId="1477DBD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55394BD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75" w:type="dxa"/>
            <w:shd w:val="clear" w:color="auto" w:fill="auto"/>
          </w:tcPr>
          <w:p w14:paraId="121EC881"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41FEB11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9B4B3A" w:rsidRPr="00650CEA" w14:paraId="3AC113E9" w14:textId="77777777" w:rsidTr="004F50FA">
        <w:tc>
          <w:tcPr>
            <w:cnfStyle w:val="001000000000" w:firstRow="0" w:lastRow="0" w:firstColumn="1" w:lastColumn="0" w:oddVBand="0" w:evenVBand="0" w:oddHBand="0" w:evenHBand="0" w:firstRowFirstColumn="0" w:firstRowLastColumn="0" w:lastRowFirstColumn="0" w:lastRowLastColumn="0"/>
            <w:tcW w:w="1615" w:type="dxa"/>
          </w:tcPr>
          <w:p w14:paraId="41A65F17" w14:textId="657D1D19" w:rsidR="009B4B3A" w:rsidRPr="00B42ED2" w:rsidRDefault="00B42ED2" w:rsidP="00AD5D2B">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de l</w:t>
            </w:r>
            <w:r w:rsidR="003D53B4">
              <w:rPr>
                <w:rFonts w:asciiTheme="majorBidi" w:eastAsia="Times New Roman" w:hAnsiTheme="majorBidi" w:cstheme="majorBidi"/>
                <w:color w:val="000000"/>
                <w:sz w:val="20"/>
                <w:szCs w:val="20"/>
                <w:lang w:val="fr-FR" w:eastAsia="en-CA"/>
              </w:rPr>
              <w:t>’</w:t>
            </w:r>
            <w:r w:rsidRPr="00B42ED2">
              <w:rPr>
                <w:rFonts w:asciiTheme="majorBidi" w:eastAsia="Times New Roman" w:hAnsiTheme="majorBidi" w:cstheme="majorBidi"/>
                <w:color w:val="000000"/>
                <w:sz w:val="20"/>
                <w:szCs w:val="20"/>
                <w:lang w:val="fr-FR" w:eastAsia="en-CA"/>
              </w:rPr>
              <w:t>Ouest</w:t>
            </w:r>
          </w:p>
        </w:tc>
        <w:tc>
          <w:tcPr>
            <w:tcW w:w="1470" w:type="dxa"/>
          </w:tcPr>
          <w:p w14:paraId="269AC754"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1ADDB06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tcPr>
          <w:p w14:paraId="45C5B69D"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4CFB7249"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655C3EC6"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tcPr>
          <w:p w14:paraId="1EE10D1F"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9B4B3A" w:rsidRPr="00650CEA" w14:paraId="1F4A43F2" w14:textId="77777777" w:rsidTr="004F5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C25AD96" w14:textId="3CD03402" w:rsidR="009B4B3A" w:rsidRPr="00B42ED2" w:rsidRDefault="00B42ED2" w:rsidP="00AD5D2B">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Total</w:t>
            </w:r>
          </w:p>
        </w:tc>
        <w:tc>
          <w:tcPr>
            <w:tcW w:w="1470" w:type="dxa"/>
            <w:shd w:val="clear" w:color="auto" w:fill="auto"/>
          </w:tcPr>
          <w:p w14:paraId="6C810218"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418" w:type="dxa"/>
            <w:shd w:val="clear" w:color="auto" w:fill="auto"/>
          </w:tcPr>
          <w:p w14:paraId="2C3A522C"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417" w:type="dxa"/>
            <w:shd w:val="clear" w:color="auto" w:fill="auto"/>
          </w:tcPr>
          <w:p w14:paraId="546F3AC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418" w:type="dxa"/>
            <w:shd w:val="clear" w:color="auto" w:fill="auto"/>
          </w:tcPr>
          <w:p w14:paraId="4A2EA12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275" w:type="dxa"/>
            <w:shd w:val="clear" w:color="auto" w:fill="auto"/>
          </w:tcPr>
          <w:p w14:paraId="79E8821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810" w:type="dxa"/>
            <w:shd w:val="clear" w:color="auto" w:fill="auto"/>
          </w:tcPr>
          <w:p w14:paraId="67D2DBE1"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7F1D6264" w14:textId="77777777" w:rsidR="009B4B3A" w:rsidRPr="00650CEA" w:rsidRDefault="009B4B3A" w:rsidP="00650CEA">
      <w:pPr>
        <w:shd w:val="clear" w:color="auto" w:fill="FFFFFF" w:themeFill="background1"/>
        <w:rPr>
          <w:lang w:val="en-US"/>
        </w:rPr>
      </w:pPr>
    </w:p>
    <w:p w14:paraId="6C9E3F42" w14:textId="4815E258" w:rsidR="00B42ED2" w:rsidRPr="000A3231" w:rsidRDefault="00B42ED2" w:rsidP="00B42ED2">
      <w:pPr>
        <w:pStyle w:val="Heading1"/>
        <w:shd w:val="clear" w:color="auto" w:fill="FFFFFF" w:themeFill="background1"/>
        <w:rPr>
          <w:rStyle w:val="cf01"/>
          <w:rFonts w:asciiTheme="majorBidi" w:hAnsiTheme="majorBidi" w:cstheme="majorBidi"/>
          <w:sz w:val="22"/>
          <w:szCs w:val="22"/>
          <w:lang w:val="fr-CA"/>
        </w:rPr>
      </w:pPr>
      <w:r w:rsidRPr="00B42ED2">
        <w:rPr>
          <w:rStyle w:val="cf01"/>
          <w:rFonts w:asciiTheme="majorBidi" w:hAnsiTheme="majorBidi" w:cstheme="majorBidi"/>
          <w:sz w:val="22"/>
          <w:szCs w:val="22"/>
          <w:lang w:val="fr-FR"/>
        </w:rPr>
        <w:t>Il est ressorti des discussions avec les agences bilatérales et d</w:t>
      </w:r>
      <w:r w:rsidR="003D53B4">
        <w:rPr>
          <w:rStyle w:val="cf01"/>
          <w:rFonts w:asciiTheme="majorBidi" w:hAnsiTheme="majorBidi" w:cstheme="majorBidi"/>
          <w:sz w:val="22"/>
          <w:szCs w:val="22"/>
          <w:lang w:val="fr-FR"/>
        </w:rPr>
        <w:t>’</w:t>
      </w:r>
      <w:r w:rsidR="00C928C3">
        <w:rPr>
          <w:rStyle w:val="cf01"/>
          <w:rFonts w:asciiTheme="majorBidi" w:hAnsiTheme="majorBidi" w:cstheme="majorBidi"/>
          <w:sz w:val="22"/>
          <w:szCs w:val="22"/>
          <w:lang w:val="fr-FR"/>
        </w:rPr>
        <w:t>exécution</w:t>
      </w:r>
      <w:r w:rsidRPr="00B42ED2">
        <w:rPr>
          <w:rStyle w:val="cf01"/>
          <w:rFonts w:asciiTheme="majorBidi" w:hAnsiTheme="majorBidi" w:cstheme="majorBidi"/>
          <w:sz w:val="22"/>
          <w:szCs w:val="22"/>
          <w:lang w:val="fr-FR"/>
        </w:rPr>
        <w:t xml:space="preserve"> que les difficultés liées à la chaîne d</w:t>
      </w:r>
      <w:r w:rsidR="003D53B4">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approvisionnement s</w:t>
      </w:r>
      <w:r w:rsidR="003D53B4">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étendent également aux équipements et services finaux des systèmes de réfrigération, de climatisation et de pompes à chaleur.</w:t>
      </w:r>
      <w:r w:rsidRPr="000A3231">
        <w:rPr>
          <w:rStyle w:val="cf01"/>
          <w:rFonts w:asciiTheme="majorBidi" w:hAnsiTheme="majorBidi" w:cstheme="majorBidi"/>
          <w:sz w:val="22"/>
          <w:szCs w:val="22"/>
          <w:lang w:val="fr-CA"/>
        </w:rPr>
        <w:t xml:space="preserve"> </w:t>
      </w:r>
      <w:r w:rsidRPr="00B42ED2">
        <w:rPr>
          <w:rStyle w:val="cf01"/>
          <w:rFonts w:asciiTheme="majorBidi" w:hAnsiTheme="majorBidi" w:cstheme="majorBidi"/>
          <w:sz w:val="22"/>
          <w:szCs w:val="22"/>
          <w:lang w:val="fr-FR"/>
        </w:rPr>
        <w:t xml:space="preserve">Toutefois, conformément au mandat spécifique défini dans la décision 96/59, le </w:t>
      </w:r>
      <w:r w:rsidR="008B0A22">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a axé le présent document exclusivement sur les projets de conversion en cours, tout en mettant en relief la dimension plus large des produits et services dans la section « Observations du </w:t>
      </w:r>
      <w:r w:rsidR="008B0A22">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 du document, en vue de futurs </w:t>
      </w:r>
      <w:r w:rsidR="004F50FA">
        <w:rPr>
          <w:rStyle w:val="cf01"/>
          <w:rFonts w:asciiTheme="majorBidi" w:hAnsiTheme="majorBidi" w:cstheme="majorBidi"/>
          <w:sz w:val="22"/>
          <w:szCs w:val="22"/>
          <w:lang w:val="fr-FR"/>
        </w:rPr>
        <w:t xml:space="preserve">travaux </w:t>
      </w:r>
      <w:r w:rsidRPr="00B42ED2">
        <w:rPr>
          <w:rStyle w:val="cf01"/>
          <w:rFonts w:asciiTheme="majorBidi" w:hAnsiTheme="majorBidi" w:cstheme="majorBidi"/>
          <w:sz w:val="22"/>
          <w:szCs w:val="22"/>
          <w:lang w:val="fr-FR"/>
        </w:rPr>
        <w:t>possibles.</w:t>
      </w:r>
    </w:p>
    <w:p w14:paraId="107AA203" w14:textId="513A7E35" w:rsidR="00B42ED2" w:rsidRPr="000A3231" w:rsidRDefault="00B42ED2" w:rsidP="00B42ED2">
      <w:pPr>
        <w:pStyle w:val="Heading1"/>
        <w:shd w:val="clear" w:color="auto" w:fill="FFFFFF" w:themeFill="background1"/>
        <w:rPr>
          <w:lang w:val="fr-CA"/>
        </w:rPr>
      </w:pPr>
      <w:r w:rsidRPr="00B42ED2">
        <w:rPr>
          <w:lang w:val="fr-FR"/>
        </w:rPr>
        <w:t xml:space="preserve">Afin de faciliter une analyse structurée, le </w:t>
      </w:r>
      <w:r w:rsidR="008B0A22">
        <w:rPr>
          <w:lang w:val="fr-FR"/>
        </w:rPr>
        <w:t>secrétariat</w:t>
      </w:r>
      <w:r w:rsidRPr="00B42ED2">
        <w:rPr>
          <w:lang w:val="fr-FR"/>
        </w:rPr>
        <w:t xml:space="preserve"> a conçu un questionnaire </w:t>
      </w:r>
      <w:r w:rsidR="004F50FA">
        <w:rPr>
          <w:lang w:val="fr-FR"/>
        </w:rPr>
        <w:t>destiné à</w:t>
      </w:r>
      <w:r w:rsidRPr="00B42ED2">
        <w:rPr>
          <w:lang w:val="fr-FR"/>
        </w:rPr>
        <w:t xml:space="preserve"> recueillir des retours d</w:t>
      </w:r>
      <w:r w:rsidR="003D53B4">
        <w:rPr>
          <w:lang w:val="fr-FR"/>
        </w:rPr>
        <w:t>’</w:t>
      </w:r>
      <w:r w:rsidRPr="00B42ED2">
        <w:rPr>
          <w:lang w:val="fr-FR"/>
        </w:rPr>
        <w:t>information de la part des agences bilatérales et d</w:t>
      </w:r>
      <w:r w:rsidR="003D53B4">
        <w:rPr>
          <w:lang w:val="fr-FR"/>
        </w:rPr>
        <w:t>’</w:t>
      </w:r>
      <w:r w:rsidRPr="00B42ED2">
        <w:rPr>
          <w:lang w:val="fr-FR"/>
        </w:rPr>
        <w:t>exécution sur trois principaux éléments examinés : la disponibilité, le</w:t>
      </w:r>
      <w:r w:rsidR="00BB103F">
        <w:rPr>
          <w:lang w:val="fr-FR"/>
        </w:rPr>
        <w:t>s</w:t>
      </w:r>
      <w:r w:rsidRPr="00B42ED2">
        <w:rPr>
          <w:lang w:val="fr-FR"/>
        </w:rPr>
        <w:t xml:space="preserve"> prix, les aspects techniques et questions</w:t>
      </w:r>
      <w:r w:rsidR="00BB103F">
        <w:rPr>
          <w:lang w:val="fr-FR"/>
        </w:rPr>
        <w:t xml:space="preserve"> diverses</w:t>
      </w:r>
      <w:r w:rsidRPr="00B42ED2">
        <w:rPr>
          <w:lang w:val="fr-FR"/>
        </w:rPr>
        <w:t>.</w:t>
      </w:r>
      <w:r w:rsidRPr="000A3231">
        <w:rPr>
          <w:lang w:val="fr-CA"/>
        </w:rPr>
        <w:t xml:space="preserve"> </w:t>
      </w:r>
      <w:r w:rsidRPr="00B42ED2">
        <w:rPr>
          <w:lang w:val="fr-FR"/>
        </w:rPr>
        <w:t xml:space="preserve">Le questionnaire était structuré de manière à </w:t>
      </w:r>
      <w:r w:rsidR="00BB103F">
        <w:rPr>
          <w:lang w:val="fr-FR"/>
        </w:rPr>
        <w:t xml:space="preserve">rassembler </w:t>
      </w:r>
      <w:r w:rsidRPr="00B42ED2">
        <w:rPr>
          <w:lang w:val="fr-FR"/>
        </w:rPr>
        <w:t>des informations pour chaque sous-secteur de la réfrigération, de la climatisation et des pompes à chaleur, avec une section dédiée aux PME et aux retours d</w:t>
      </w:r>
      <w:r w:rsidR="003D53B4">
        <w:rPr>
          <w:lang w:val="fr-FR"/>
        </w:rPr>
        <w:t>’</w:t>
      </w:r>
      <w:r w:rsidRPr="00B42ED2">
        <w:rPr>
          <w:lang w:val="fr-FR"/>
        </w:rPr>
        <w:t>information provenant des Unités nationales de l</w:t>
      </w:r>
      <w:r w:rsidR="003D53B4">
        <w:rPr>
          <w:lang w:val="fr-FR"/>
        </w:rPr>
        <w:t>’</w:t>
      </w:r>
      <w:r w:rsidRPr="00B42ED2">
        <w:rPr>
          <w:lang w:val="fr-FR"/>
        </w:rPr>
        <w:t>ozone (UNO), recueillis par l</w:t>
      </w:r>
      <w:r w:rsidR="003D53B4">
        <w:rPr>
          <w:lang w:val="fr-FR"/>
        </w:rPr>
        <w:t>’</w:t>
      </w:r>
      <w:r w:rsidRPr="00B42ED2">
        <w:rPr>
          <w:lang w:val="fr-FR"/>
        </w:rPr>
        <w:t>intermédiaire des agences.</w:t>
      </w:r>
      <w:r w:rsidRPr="000A3231">
        <w:rPr>
          <w:lang w:val="fr-CA"/>
        </w:rPr>
        <w:t xml:space="preserve"> </w:t>
      </w:r>
      <w:r w:rsidRPr="00B42ED2">
        <w:rPr>
          <w:lang w:val="fr-FR"/>
        </w:rPr>
        <w:t>Le questionnaire utilisé figure à l</w:t>
      </w:r>
      <w:r w:rsidR="003D53B4">
        <w:rPr>
          <w:lang w:val="fr-FR"/>
        </w:rPr>
        <w:t>’</w:t>
      </w:r>
      <w:r w:rsidRPr="00B42ED2">
        <w:rPr>
          <w:lang w:val="fr-FR"/>
        </w:rPr>
        <w:t>annexe I du présent document.</w:t>
      </w:r>
    </w:p>
    <w:p w14:paraId="7404698F" w14:textId="3D56E22A" w:rsidR="009B4B3A" w:rsidRPr="000A3231" w:rsidRDefault="00B42ED2" w:rsidP="00B42ED2">
      <w:pPr>
        <w:pStyle w:val="Heading1"/>
        <w:keepNext/>
        <w:widowControl w:val="0"/>
        <w:numPr>
          <w:ilvl w:val="0"/>
          <w:numId w:val="0"/>
        </w:numPr>
        <w:shd w:val="clear" w:color="auto" w:fill="FFFFFF" w:themeFill="background1"/>
        <w:rPr>
          <w:rFonts w:eastAsia="Arial"/>
          <w:b/>
          <w:bCs/>
          <w:lang w:val="fr-CA"/>
        </w:rPr>
      </w:pPr>
      <w:r w:rsidRPr="00B42ED2">
        <w:rPr>
          <w:rFonts w:eastAsia="Arial"/>
          <w:b/>
          <w:bCs/>
          <w:lang w:val="fr-FR"/>
        </w:rPr>
        <w:lastRenderedPageBreak/>
        <w:t>Principales conclusions des projets de conversion</w:t>
      </w:r>
    </w:p>
    <w:p w14:paraId="134A83B9" w14:textId="63839CC9" w:rsidR="00B42ED2" w:rsidRPr="000A3231" w:rsidRDefault="00B42ED2" w:rsidP="00B42ED2">
      <w:pPr>
        <w:pStyle w:val="Heading1"/>
        <w:numPr>
          <w:ilvl w:val="0"/>
          <w:numId w:val="40"/>
        </w:numPr>
        <w:shd w:val="clear" w:color="auto" w:fill="FFFFFF" w:themeFill="background1"/>
        <w:tabs>
          <w:tab w:val="num" w:pos="360"/>
        </w:tabs>
        <w:ind w:left="714" w:hanging="5"/>
        <w:rPr>
          <w:u w:val="single"/>
          <w:lang w:val="fr-CA"/>
        </w:rPr>
      </w:pPr>
      <w:r w:rsidRPr="00B42ED2">
        <w:rPr>
          <w:u w:val="single"/>
          <w:lang w:val="fr-FR"/>
        </w:rPr>
        <w:t>Disponibilité des frigorigènes et des composants</w:t>
      </w:r>
    </w:p>
    <w:p w14:paraId="3DC9AC36" w14:textId="09F5FA08" w:rsidR="00B42ED2" w:rsidRPr="000A3231" w:rsidRDefault="00B42ED2" w:rsidP="00B42ED2">
      <w:pPr>
        <w:pStyle w:val="Heading1"/>
        <w:keepLines/>
        <w:widowControl w:val="0"/>
        <w:shd w:val="clear" w:color="auto" w:fill="FFFFFF" w:themeFill="background1"/>
        <w:spacing w:line="240" w:lineRule="atLeast"/>
        <w:rPr>
          <w:lang w:val="fr-CA"/>
        </w:rPr>
      </w:pPr>
      <w:r w:rsidRPr="00B42ED2">
        <w:rPr>
          <w:lang w:val="fr-FR"/>
        </w:rPr>
        <w:t>Dans tous les sous-secteurs de la réfrigération, de la climatisation et des pompes à chaleur, les difficultés à garantir un accès fiable et rapide aux frigorigènes de remplacement et à leurs composants compatibles constituent l</w:t>
      </w:r>
      <w:r w:rsidR="003D53B4">
        <w:rPr>
          <w:lang w:val="fr-FR"/>
        </w:rPr>
        <w:t>’</w:t>
      </w:r>
      <w:r w:rsidRPr="00B42ED2">
        <w:rPr>
          <w:lang w:val="fr-FR"/>
        </w:rPr>
        <w:t>un des obstacles les plus importants à la mise en œuvre des projets de conversion.</w:t>
      </w:r>
    </w:p>
    <w:p w14:paraId="349D107E" w14:textId="4C08931E" w:rsidR="009B4B3A" w:rsidRPr="00B42ED2" w:rsidRDefault="00B42ED2" w:rsidP="00B42ED2">
      <w:pPr>
        <w:pStyle w:val="Heading1"/>
        <w:keepNext/>
        <w:numPr>
          <w:ilvl w:val="0"/>
          <w:numId w:val="0"/>
        </w:numPr>
        <w:shd w:val="clear" w:color="auto" w:fill="FFFFFF" w:themeFill="background1"/>
        <w:rPr>
          <w:i/>
          <w:iCs/>
        </w:rPr>
      </w:pPr>
      <w:r w:rsidRPr="00B42ED2">
        <w:rPr>
          <w:i/>
          <w:iCs/>
          <w:lang w:val="fr-FR"/>
        </w:rPr>
        <w:t>Réfrigération domestique</w:t>
      </w:r>
    </w:p>
    <w:p w14:paraId="44F44307" w14:textId="22024BB4" w:rsidR="00B42ED2" w:rsidRPr="000A3231" w:rsidRDefault="00B42ED2" w:rsidP="00B42ED2">
      <w:pPr>
        <w:pStyle w:val="Heading1"/>
        <w:shd w:val="clear" w:color="auto" w:fill="FFFFFF" w:themeFill="background1"/>
        <w:rPr>
          <w:lang w:val="fr-CA"/>
        </w:rPr>
      </w:pPr>
      <w:r w:rsidRPr="00B42ED2">
        <w:rPr>
          <w:lang w:val="fr-FR"/>
        </w:rPr>
        <w:t>Dans la plupart des cas, les projets de conversion dans le sous-secteur de la fabrication de systèmes de réfrigération domestique n</w:t>
      </w:r>
      <w:r w:rsidR="003D53B4">
        <w:rPr>
          <w:lang w:val="fr-FR"/>
        </w:rPr>
        <w:t>’</w:t>
      </w:r>
      <w:r w:rsidRPr="00B42ED2">
        <w:rPr>
          <w:lang w:val="fr-FR"/>
        </w:rPr>
        <w:t>ont pas encore atteint le stade de la mise en œuvre, ce qui limite une évaluation pratique complète des contraintes de disponibilité dans des conditions de projet réelles.</w:t>
      </w:r>
      <w:r w:rsidRPr="000A3231">
        <w:rPr>
          <w:lang w:val="fr-CA"/>
        </w:rPr>
        <w:t xml:space="preserve"> </w:t>
      </w:r>
      <w:r w:rsidRPr="00B42ED2">
        <w:rPr>
          <w:lang w:val="fr-FR"/>
        </w:rPr>
        <w:t>Toutefois, on considère comme très faible la probabilité de rencontrer des problèmes de disponibilité, compte tenu de la maturité de cette technologie depuis de nombreuses années et dans de nombreux pays, y compris les pays visés à l</w:t>
      </w:r>
      <w:r w:rsidR="003D53B4">
        <w:rPr>
          <w:lang w:val="fr-FR"/>
        </w:rPr>
        <w:t>’</w:t>
      </w:r>
      <w:r w:rsidRPr="00B42ED2">
        <w:rPr>
          <w:lang w:val="fr-FR"/>
        </w:rPr>
        <w:t>article 5.</w:t>
      </w:r>
      <w:r w:rsidRPr="000A3231">
        <w:rPr>
          <w:lang w:val="fr-CA"/>
        </w:rPr>
        <w:t xml:space="preserve"> </w:t>
      </w:r>
      <w:r w:rsidRPr="00B42ED2">
        <w:rPr>
          <w:lang w:val="fr-FR"/>
        </w:rPr>
        <w:t>À mesure que les projets progressent vers leur mise en œuvre, les problèmes d</w:t>
      </w:r>
      <w:r w:rsidR="003D53B4">
        <w:rPr>
          <w:lang w:val="fr-FR"/>
        </w:rPr>
        <w:t>’</w:t>
      </w:r>
      <w:r w:rsidRPr="00B42ED2">
        <w:rPr>
          <w:lang w:val="fr-FR"/>
        </w:rPr>
        <w:t xml:space="preserve">approvisionnement qui </w:t>
      </w:r>
      <w:r w:rsidR="00BB103F">
        <w:rPr>
          <w:lang w:val="fr-FR"/>
        </w:rPr>
        <w:t xml:space="preserve">risquent de </w:t>
      </w:r>
      <w:r w:rsidRPr="00B42ED2">
        <w:rPr>
          <w:lang w:val="fr-FR"/>
        </w:rPr>
        <w:t xml:space="preserve">surgir </w:t>
      </w:r>
      <w:r w:rsidR="00BB103F">
        <w:rPr>
          <w:lang w:val="fr-FR"/>
        </w:rPr>
        <w:t>porteront probablement sur</w:t>
      </w:r>
      <w:r w:rsidRPr="00B42ED2">
        <w:rPr>
          <w:lang w:val="fr-FR"/>
        </w:rPr>
        <w:t xml:space="preserve"> la garantie d</w:t>
      </w:r>
      <w:r w:rsidR="003D53B4">
        <w:rPr>
          <w:lang w:val="fr-FR"/>
        </w:rPr>
        <w:t>’</w:t>
      </w:r>
      <w:r w:rsidRPr="00B42ED2">
        <w:rPr>
          <w:lang w:val="fr-FR"/>
        </w:rPr>
        <w:t>un approvisionnement durable en frigorigènes à base d</w:t>
      </w:r>
      <w:r w:rsidR="003D53B4">
        <w:rPr>
          <w:lang w:val="fr-FR"/>
        </w:rPr>
        <w:t>’</w:t>
      </w:r>
      <w:r w:rsidRPr="00B42ED2">
        <w:rPr>
          <w:lang w:val="fr-FR"/>
        </w:rPr>
        <w:t>hydrocarbures (HC) et en compresseurs compatibles, ce qui pourrait concerner certains pays visés à l</w:t>
      </w:r>
      <w:r w:rsidR="003D53B4">
        <w:rPr>
          <w:lang w:val="fr-FR"/>
        </w:rPr>
        <w:t>’</w:t>
      </w:r>
      <w:r w:rsidRPr="00B42ED2">
        <w:rPr>
          <w:lang w:val="fr-FR"/>
        </w:rPr>
        <w:t>article 5, mais pas tous.</w:t>
      </w:r>
      <w:r w:rsidRPr="000A3231">
        <w:rPr>
          <w:lang w:val="fr-CA"/>
        </w:rPr>
        <w:t xml:space="preserve"> </w:t>
      </w:r>
      <w:r w:rsidRPr="00B42ED2">
        <w:rPr>
          <w:lang w:val="fr-FR"/>
        </w:rPr>
        <w:t xml:space="preserve">Le suivi des problèmes de disponibilité sera donc essentiel à mesure que ces projets </w:t>
      </w:r>
      <w:r w:rsidR="004F50FA">
        <w:rPr>
          <w:lang w:val="fr-FR"/>
        </w:rPr>
        <w:t>avanc</w:t>
      </w:r>
      <w:r w:rsidRPr="00B42ED2">
        <w:rPr>
          <w:lang w:val="fr-FR"/>
        </w:rPr>
        <w:t>ent.</w:t>
      </w:r>
    </w:p>
    <w:p w14:paraId="5DA62DB1" w14:textId="18F4DC5D" w:rsidR="009B4B3A" w:rsidRPr="00020159" w:rsidRDefault="00020159" w:rsidP="00020159">
      <w:pPr>
        <w:pStyle w:val="Heading1"/>
        <w:keepLines/>
        <w:widowControl w:val="0"/>
        <w:numPr>
          <w:ilvl w:val="0"/>
          <w:numId w:val="0"/>
        </w:numPr>
        <w:shd w:val="clear" w:color="auto" w:fill="FFFFFF" w:themeFill="background1"/>
        <w:rPr>
          <w:i/>
          <w:iCs/>
        </w:rPr>
      </w:pPr>
      <w:r w:rsidRPr="00020159">
        <w:rPr>
          <w:i/>
          <w:iCs/>
          <w:lang w:val="fr-FR"/>
        </w:rPr>
        <w:t>Réfrigération commerciale</w:t>
      </w:r>
    </w:p>
    <w:p w14:paraId="6FBCBB01" w14:textId="5B7925FE" w:rsidR="00020159" w:rsidRPr="000A3231" w:rsidRDefault="00020159" w:rsidP="00020159">
      <w:pPr>
        <w:pStyle w:val="Heading1"/>
        <w:keepLines/>
        <w:widowControl w:val="0"/>
        <w:shd w:val="clear" w:color="auto" w:fill="FFFFFF" w:themeFill="background1"/>
        <w:rPr>
          <w:lang w:val="fr-CA"/>
        </w:rPr>
      </w:pPr>
      <w:r w:rsidRPr="00020159">
        <w:rPr>
          <w:lang w:val="fr-FR"/>
        </w:rPr>
        <w:t>Les projets de conversion des systèmes de réfrigération commerciale sont confrontés à des contraintes de disponibilité considérables, notamment du fai</w:t>
      </w:r>
      <w:r w:rsidR="00BB103F">
        <w:rPr>
          <w:lang w:val="fr-FR"/>
        </w:rPr>
        <w:t>t</w:t>
      </w:r>
      <w:r w:rsidRPr="00020159">
        <w:rPr>
          <w:lang w:val="fr-FR"/>
        </w:rPr>
        <w:t xml:space="preserve"> de la diversité des types de systèmes et des </w:t>
      </w:r>
      <w:r w:rsidR="00BB103F">
        <w:rPr>
          <w:lang w:val="fr-FR"/>
        </w:rPr>
        <w:t>volume</w:t>
      </w:r>
      <w:r w:rsidRPr="00020159">
        <w:rPr>
          <w:lang w:val="fr-FR"/>
        </w:rPr>
        <w:t>s de charge impliquées.</w:t>
      </w:r>
      <w:r w:rsidRPr="000A3231">
        <w:rPr>
          <w:lang w:val="fr-CA"/>
        </w:rPr>
        <w:t xml:space="preserve"> </w:t>
      </w:r>
      <w:r w:rsidRPr="00020159">
        <w:rPr>
          <w:lang w:val="fr-FR"/>
        </w:rPr>
        <w:t>L</w:t>
      </w:r>
      <w:r w:rsidR="003D53B4">
        <w:rPr>
          <w:lang w:val="fr-FR"/>
        </w:rPr>
        <w:t>’</w:t>
      </w:r>
      <w:r w:rsidRPr="00020159">
        <w:rPr>
          <w:lang w:val="fr-FR"/>
        </w:rPr>
        <w:t xml:space="preserve">un des défis fondamentaux réside dans la forte dépendance </w:t>
      </w:r>
      <w:r w:rsidR="00BB103F">
        <w:rPr>
          <w:lang w:val="fr-FR"/>
        </w:rPr>
        <w:t>à l</w:t>
      </w:r>
      <w:r w:rsidR="003D53B4">
        <w:rPr>
          <w:lang w:val="fr-FR"/>
        </w:rPr>
        <w:t>’</w:t>
      </w:r>
      <w:r w:rsidR="00BB103F">
        <w:rPr>
          <w:lang w:val="fr-FR"/>
        </w:rPr>
        <w:t>égard</w:t>
      </w:r>
      <w:r w:rsidRPr="00020159">
        <w:rPr>
          <w:lang w:val="fr-FR"/>
        </w:rPr>
        <w:t xml:space="preserve"> </w:t>
      </w:r>
      <w:r w:rsidR="00BB103F">
        <w:rPr>
          <w:lang w:val="fr-FR"/>
        </w:rPr>
        <w:t xml:space="preserve">des </w:t>
      </w:r>
      <w:r w:rsidRPr="00020159">
        <w:rPr>
          <w:lang w:val="fr-FR"/>
        </w:rPr>
        <w:t xml:space="preserve">importations de frigorigènes de remplacement et de composants clés tels que les compresseurs et les régulateurs, </w:t>
      </w:r>
      <w:r w:rsidR="00BB103F">
        <w:rPr>
          <w:lang w:val="fr-FR"/>
        </w:rPr>
        <w:t xml:space="preserve">situation </w:t>
      </w:r>
      <w:r w:rsidRPr="00020159">
        <w:rPr>
          <w:lang w:val="fr-FR"/>
        </w:rPr>
        <w:t>aggravée par la disponibilité locale limitée de composants certifiés pour les systèmes à grande échelle nécessitant des solutions à base de dioxyde de carbone (CO₂) ou d</w:t>
      </w:r>
      <w:r w:rsidR="003D53B4">
        <w:rPr>
          <w:lang w:val="fr-FR"/>
        </w:rPr>
        <w:t>’</w:t>
      </w:r>
      <w:r w:rsidRPr="00020159">
        <w:rPr>
          <w:lang w:val="fr-FR"/>
        </w:rPr>
        <w:t>hydrocarbures.</w:t>
      </w:r>
      <w:r w:rsidRPr="000A3231">
        <w:rPr>
          <w:lang w:val="fr-CA"/>
        </w:rPr>
        <w:t xml:space="preserve"> </w:t>
      </w:r>
      <w:r w:rsidRPr="00020159">
        <w:rPr>
          <w:lang w:val="fr-FR"/>
        </w:rPr>
        <w:t>Les insuffisances d</w:t>
      </w:r>
      <w:r w:rsidR="003D53B4">
        <w:rPr>
          <w:lang w:val="fr-FR"/>
        </w:rPr>
        <w:t>’</w:t>
      </w:r>
      <w:r w:rsidRPr="00020159">
        <w:rPr>
          <w:lang w:val="fr-FR"/>
        </w:rPr>
        <w:t xml:space="preserve">approvisionnement sont encore </w:t>
      </w:r>
      <w:r w:rsidR="00BB103F">
        <w:rPr>
          <w:lang w:val="fr-FR"/>
        </w:rPr>
        <w:t>amplifiées</w:t>
      </w:r>
      <w:r w:rsidRPr="00020159">
        <w:rPr>
          <w:lang w:val="fr-FR"/>
        </w:rPr>
        <w:t xml:space="preserve"> par les retards à l</w:t>
      </w:r>
      <w:r w:rsidR="003D53B4">
        <w:rPr>
          <w:lang w:val="fr-FR"/>
        </w:rPr>
        <w:t>’</w:t>
      </w:r>
      <w:r w:rsidRPr="00020159">
        <w:rPr>
          <w:lang w:val="fr-FR"/>
        </w:rPr>
        <w:t>importation, les contraintes d</w:t>
      </w:r>
      <w:r w:rsidR="003D53B4">
        <w:rPr>
          <w:lang w:val="fr-FR"/>
        </w:rPr>
        <w:t>’</w:t>
      </w:r>
      <w:r w:rsidRPr="00020159">
        <w:rPr>
          <w:lang w:val="fr-FR"/>
        </w:rPr>
        <w:t>expédition et les problèmes de dédouanement qui affectent directement les calendriers des projets et les délais de livraison.</w:t>
      </w:r>
    </w:p>
    <w:p w14:paraId="07EB8332" w14:textId="5EDC5343" w:rsidR="00020159" w:rsidRPr="000A3231" w:rsidRDefault="00020159" w:rsidP="00020159">
      <w:pPr>
        <w:pStyle w:val="Heading1"/>
        <w:keepLines/>
        <w:widowControl w:val="0"/>
        <w:shd w:val="clear" w:color="auto" w:fill="FFFFFF" w:themeFill="background1"/>
        <w:rPr>
          <w:lang w:val="fr-CA"/>
        </w:rPr>
      </w:pPr>
      <w:r w:rsidRPr="00020159">
        <w:rPr>
          <w:lang w:val="fr-FR"/>
        </w:rPr>
        <w:t xml:space="preserve">Au-delà des </w:t>
      </w:r>
      <w:r w:rsidR="005434CB">
        <w:rPr>
          <w:lang w:val="fr-FR"/>
        </w:rPr>
        <w:t>limitations</w:t>
      </w:r>
      <w:r w:rsidRPr="00020159">
        <w:rPr>
          <w:lang w:val="fr-FR"/>
        </w:rPr>
        <w:t xml:space="preserve"> immédiates liées à la chaîne d</w:t>
      </w:r>
      <w:r w:rsidR="003D53B4">
        <w:rPr>
          <w:lang w:val="fr-FR"/>
        </w:rPr>
        <w:t>’</w:t>
      </w:r>
      <w:r w:rsidRPr="00020159">
        <w:rPr>
          <w:lang w:val="fr-FR"/>
        </w:rPr>
        <w:t>approvisionnement, le secteur est également confronté à des faiblesses structurelles qui compromettent les efforts de conversion à long terme.</w:t>
      </w:r>
      <w:r w:rsidRPr="000A3231">
        <w:rPr>
          <w:lang w:val="fr-CA"/>
        </w:rPr>
        <w:t xml:space="preserve"> </w:t>
      </w:r>
      <w:r w:rsidRPr="00020159">
        <w:rPr>
          <w:lang w:val="fr-FR"/>
        </w:rPr>
        <w:t>Le manque d</w:t>
      </w:r>
      <w:r w:rsidR="003D53B4">
        <w:rPr>
          <w:lang w:val="fr-FR"/>
        </w:rPr>
        <w:t>’</w:t>
      </w:r>
      <w:r w:rsidRPr="00020159">
        <w:rPr>
          <w:lang w:val="fr-FR"/>
        </w:rPr>
        <w:t>infrastructures locales de régénération des frigorigènes limite la capacité de récupér</w:t>
      </w:r>
      <w:r w:rsidR="005434CB">
        <w:rPr>
          <w:lang w:val="fr-FR"/>
        </w:rPr>
        <w:t xml:space="preserve">ation </w:t>
      </w:r>
      <w:r w:rsidRPr="00020159">
        <w:rPr>
          <w:lang w:val="fr-FR"/>
        </w:rPr>
        <w:t>et de réutilis</w:t>
      </w:r>
      <w:r w:rsidR="005434CB">
        <w:rPr>
          <w:lang w:val="fr-FR"/>
        </w:rPr>
        <w:t>ation</w:t>
      </w:r>
      <w:r w:rsidRPr="00020159">
        <w:rPr>
          <w:lang w:val="fr-FR"/>
        </w:rPr>
        <w:t xml:space="preserve"> lors des opérations de conversion, ce qui alourdit les coûts et la logistique des projets.</w:t>
      </w:r>
      <w:r w:rsidRPr="000A3231">
        <w:rPr>
          <w:lang w:val="fr-CA"/>
        </w:rPr>
        <w:t xml:space="preserve"> </w:t>
      </w:r>
      <w:r w:rsidRPr="00020159">
        <w:rPr>
          <w:lang w:val="fr-FR"/>
        </w:rPr>
        <w:t>L</w:t>
      </w:r>
      <w:r w:rsidR="003D53B4">
        <w:rPr>
          <w:lang w:val="fr-FR"/>
        </w:rPr>
        <w:t>’</w:t>
      </w:r>
      <w:r w:rsidRPr="00020159">
        <w:rPr>
          <w:lang w:val="fr-FR"/>
        </w:rPr>
        <w:t>insuffisance de mécanismes réglementaires pour empêcher la circulation de frigorigènes contrefaits ou non conformes, notamment les lacunes importantes en matière d</w:t>
      </w:r>
      <w:r w:rsidR="003D53B4">
        <w:rPr>
          <w:lang w:val="fr-FR"/>
        </w:rPr>
        <w:t>’</w:t>
      </w:r>
      <w:r w:rsidRPr="00020159">
        <w:rPr>
          <w:lang w:val="fr-FR"/>
        </w:rPr>
        <w:t>enregistrement des fournisseurs, de systèmes de suivi et des capacités de contrôle, représente un autre sujet d</w:t>
      </w:r>
      <w:r w:rsidR="003D53B4">
        <w:rPr>
          <w:lang w:val="fr-FR"/>
        </w:rPr>
        <w:t>’</w:t>
      </w:r>
      <w:r w:rsidRPr="00020159">
        <w:rPr>
          <w:lang w:val="fr-FR"/>
        </w:rPr>
        <w:t>inquiétude.</w:t>
      </w:r>
    </w:p>
    <w:p w14:paraId="0A317026" w14:textId="561B3FBE" w:rsidR="009B4B3A" w:rsidRPr="00020159" w:rsidRDefault="00020159" w:rsidP="00020159">
      <w:pPr>
        <w:pStyle w:val="Heading1"/>
        <w:keepLines/>
        <w:widowControl w:val="0"/>
        <w:numPr>
          <w:ilvl w:val="0"/>
          <w:numId w:val="0"/>
        </w:numPr>
        <w:shd w:val="clear" w:color="auto" w:fill="FFFFFF" w:themeFill="background1"/>
        <w:rPr>
          <w:i/>
          <w:iCs/>
        </w:rPr>
      </w:pPr>
      <w:r w:rsidRPr="00020159">
        <w:rPr>
          <w:i/>
          <w:iCs/>
          <w:lang w:val="fr-FR"/>
        </w:rPr>
        <w:t>Climatis</w:t>
      </w:r>
      <w:r w:rsidR="004F50FA">
        <w:rPr>
          <w:i/>
          <w:iCs/>
          <w:lang w:val="fr-FR"/>
        </w:rPr>
        <w:t>ation</w:t>
      </w:r>
      <w:r w:rsidRPr="00020159">
        <w:rPr>
          <w:i/>
          <w:iCs/>
          <w:lang w:val="fr-FR"/>
        </w:rPr>
        <w:t xml:space="preserve"> résidentiel</w:t>
      </w:r>
      <w:r w:rsidR="004F50FA">
        <w:rPr>
          <w:i/>
          <w:iCs/>
          <w:lang w:val="fr-FR"/>
        </w:rPr>
        <w:t>le</w:t>
      </w:r>
    </w:p>
    <w:p w14:paraId="2DB0EADF" w14:textId="7C37C3EB" w:rsidR="00020159" w:rsidRPr="000A3231" w:rsidRDefault="00020159" w:rsidP="00020159">
      <w:pPr>
        <w:pStyle w:val="Heading1"/>
        <w:keepLines/>
        <w:widowControl w:val="0"/>
        <w:shd w:val="clear" w:color="auto" w:fill="FFFFFF" w:themeFill="background1"/>
        <w:rPr>
          <w:lang w:val="fr-CA"/>
        </w:rPr>
      </w:pPr>
      <w:r w:rsidRPr="00020159">
        <w:rPr>
          <w:lang w:val="fr-FR"/>
        </w:rPr>
        <w:t>Le sous-secteur de la climatisation résidentielle a connu une légère amélioration de la disponibilité du HFC-32, principal frigorigène de remplacement utilisé dans cette catégorie, en dépit de la persistance de certaines contraintes.</w:t>
      </w:r>
      <w:r w:rsidRPr="000A3231">
        <w:rPr>
          <w:lang w:val="fr-CA"/>
        </w:rPr>
        <w:t xml:space="preserve"> </w:t>
      </w:r>
      <w:r w:rsidRPr="00020159">
        <w:rPr>
          <w:lang w:val="fr-FR"/>
        </w:rPr>
        <w:t>Bien que la disponibilité du HFC-32 soit en général suffisante, elle reste largement dépendante des importations et d</w:t>
      </w:r>
      <w:r w:rsidR="003D53B4">
        <w:rPr>
          <w:lang w:val="fr-FR"/>
        </w:rPr>
        <w:t>’</w:t>
      </w:r>
      <w:r w:rsidRPr="00020159">
        <w:rPr>
          <w:lang w:val="fr-FR"/>
        </w:rPr>
        <w:t xml:space="preserve">un nombre limité de fournisseurs, </w:t>
      </w:r>
      <w:r w:rsidR="005434CB">
        <w:rPr>
          <w:lang w:val="fr-FR"/>
        </w:rPr>
        <w:t>rendant</w:t>
      </w:r>
      <w:r w:rsidRPr="00020159">
        <w:rPr>
          <w:lang w:val="fr-FR"/>
        </w:rPr>
        <w:t xml:space="preserve"> le secteur vulnérable aux perturbations en matière d</w:t>
      </w:r>
      <w:r w:rsidR="003D53B4">
        <w:rPr>
          <w:lang w:val="fr-FR"/>
        </w:rPr>
        <w:t>’</w:t>
      </w:r>
      <w:r w:rsidRPr="00020159">
        <w:rPr>
          <w:lang w:val="fr-FR"/>
        </w:rPr>
        <w:t>approvisionnement.</w:t>
      </w:r>
      <w:r w:rsidRPr="000A3231">
        <w:rPr>
          <w:lang w:val="fr-CA"/>
        </w:rPr>
        <w:t xml:space="preserve"> </w:t>
      </w:r>
      <w:r w:rsidRPr="00020159">
        <w:rPr>
          <w:lang w:val="fr-FR"/>
        </w:rPr>
        <w:t>Cette dépendance a été encore aggravée par une pénurie historique touchant les compresseurs à base de HFC-32 de grande capacité, nécessaires à certains fabricants locaux, ce qui a rallongé les délais de conversion et ralenti le rythme de la transition.</w:t>
      </w:r>
    </w:p>
    <w:p w14:paraId="2DD1EA7C" w14:textId="5F9C25E4" w:rsidR="00020159" w:rsidRPr="000A3231" w:rsidRDefault="00020159" w:rsidP="00020159">
      <w:pPr>
        <w:pStyle w:val="Heading1"/>
        <w:keepLines/>
        <w:widowControl w:val="0"/>
        <w:shd w:val="clear" w:color="auto" w:fill="FFFFFF" w:themeFill="background1"/>
        <w:rPr>
          <w:lang w:val="fr-CA"/>
        </w:rPr>
      </w:pPr>
      <w:r w:rsidRPr="00020159">
        <w:rPr>
          <w:lang w:val="fr-FR"/>
        </w:rPr>
        <w:lastRenderedPageBreak/>
        <w:t xml:space="preserve">Un défi structurel majeur a été la demande individuelle trop limitée des fabricants pour mettre en mouvement des </w:t>
      </w:r>
      <w:r w:rsidR="005434CB">
        <w:rPr>
          <w:lang w:val="fr-FR"/>
        </w:rPr>
        <w:t>séries</w:t>
      </w:r>
      <w:r w:rsidRPr="00020159">
        <w:rPr>
          <w:lang w:val="fr-FR"/>
        </w:rPr>
        <w:t xml:space="preserve"> de production </w:t>
      </w:r>
      <w:r w:rsidR="005434CB">
        <w:rPr>
          <w:lang w:val="fr-FR"/>
        </w:rPr>
        <w:t>à l</w:t>
      </w:r>
      <w:r w:rsidR="003D53B4">
        <w:rPr>
          <w:lang w:val="fr-FR"/>
        </w:rPr>
        <w:t>’</w:t>
      </w:r>
      <w:r w:rsidR="005434CB">
        <w:rPr>
          <w:lang w:val="fr-FR"/>
        </w:rPr>
        <w:t>échelle locale ou régionale</w:t>
      </w:r>
      <w:r w:rsidRPr="00020159">
        <w:rPr>
          <w:lang w:val="fr-FR"/>
        </w:rPr>
        <w:t xml:space="preserve">, </w:t>
      </w:r>
      <w:r w:rsidR="005434CB">
        <w:rPr>
          <w:lang w:val="fr-FR"/>
        </w:rPr>
        <w:t xml:space="preserve">insuffisance </w:t>
      </w:r>
      <w:r w:rsidRPr="00020159">
        <w:rPr>
          <w:lang w:val="fr-FR"/>
        </w:rPr>
        <w:t>qui n</w:t>
      </w:r>
      <w:r w:rsidR="003D53B4">
        <w:rPr>
          <w:lang w:val="fr-FR"/>
        </w:rPr>
        <w:t>’</w:t>
      </w:r>
      <w:r w:rsidRPr="00020159">
        <w:rPr>
          <w:lang w:val="fr-FR"/>
        </w:rPr>
        <w:t>a pu être comblé</w:t>
      </w:r>
      <w:r w:rsidR="005434CB">
        <w:rPr>
          <w:lang w:val="fr-FR"/>
        </w:rPr>
        <w:t>e</w:t>
      </w:r>
      <w:r w:rsidRPr="00020159">
        <w:rPr>
          <w:lang w:val="fr-FR"/>
        </w:rPr>
        <w:t xml:space="preserve"> qu</w:t>
      </w:r>
      <w:r w:rsidR="003D53B4">
        <w:rPr>
          <w:lang w:val="fr-FR"/>
        </w:rPr>
        <w:t>’</w:t>
      </w:r>
      <w:r w:rsidR="005434CB">
        <w:rPr>
          <w:lang w:val="fr-FR"/>
        </w:rPr>
        <w:t>une fois le</w:t>
      </w:r>
      <w:r w:rsidRPr="00020159">
        <w:rPr>
          <w:lang w:val="fr-FR"/>
        </w:rPr>
        <w:t xml:space="preserve"> regroupement de la demande au niveau sectoriel a</w:t>
      </w:r>
      <w:r w:rsidR="005434CB">
        <w:rPr>
          <w:lang w:val="fr-FR"/>
        </w:rPr>
        <w:t>yant</w:t>
      </w:r>
      <w:r w:rsidRPr="00020159">
        <w:rPr>
          <w:lang w:val="fr-FR"/>
        </w:rPr>
        <w:t xml:space="preserve"> atteint une masse critique.</w:t>
      </w:r>
      <w:r w:rsidRPr="000A3231">
        <w:rPr>
          <w:lang w:val="fr-CA"/>
        </w:rPr>
        <w:t xml:space="preserve"> </w:t>
      </w:r>
      <w:r w:rsidRPr="00020159">
        <w:rPr>
          <w:lang w:val="fr-FR"/>
        </w:rPr>
        <w:t>Au-delà du HFC-32, des contraintes d</w:t>
      </w:r>
      <w:r w:rsidR="003D53B4">
        <w:rPr>
          <w:lang w:val="fr-FR"/>
        </w:rPr>
        <w:t>’</w:t>
      </w:r>
      <w:r w:rsidRPr="00020159">
        <w:rPr>
          <w:lang w:val="fr-FR"/>
        </w:rPr>
        <w:t>approvisionnement persistent pour</w:t>
      </w:r>
      <w:r w:rsidR="004F50FA">
        <w:rPr>
          <w:lang w:val="fr-FR"/>
        </w:rPr>
        <w:t xml:space="preserve"> les</w:t>
      </w:r>
      <w:r w:rsidRPr="00020159">
        <w:rPr>
          <w:lang w:val="fr-FR"/>
        </w:rPr>
        <w:t xml:space="preserve"> frigorigènes à base de HC tels que le R</w:t>
      </w:r>
      <w:r>
        <w:rPr>
          <w:lang w:val="fr-FR"/>
        </w:rPr>
        <w:t>-</w:t>
      </w:r>
      <w:r w:rsidRPr="00020159">
        <w:rPr>
          <w:lang w:val="fr-FR"/>
        </w:rPr>
        <w:t xml:space="preserve">290 utilisé dans les équipements résidentiels de faible capacité, indiquant que des </w:t>
      </w:r>
      <w:r w:rsidR="005434CB">
        <w:rPr>
          <w:lang w:val="fr-FR"/>
        </w:rPr>
        <w:t>insuffisances</w:t>
      </w:r>
      <w:r w:rsidRPr="00020159">
        <w:rPr>
          <w:lang w:val="fr-FR"/>
        </w:rPr>
        <w:t xml:space="preserve"> d</w:t>
      </w:r>
      <w:r w:rsidR="003D53B4">
        <w:rPr>
          <w:lang w:val="fr-FR"/>
        </w:rPr>
        <w:t>’</w:t>
      </w:r>
      <w:r w:rsidRPr="00020159">
        <w:rPr>
          <w:lang w:val="fr-FR"/>
        </w:rPr>
        <w:t>approvisionnement subsistent pour un large éventail de frigorigènes et nécessiteront une attention constante à mesure que les projets de conversion progressent.</w:t>
      </w:r>
      <w:r w:rsidRPr="000A3231">
        <w:rPr>
          <w:lang w:val="fr-CA"/>
        </w:rPr>
        <w:t xml:space="preserve"> </w:t>
      </w:r>
      <w:r w:rsidRPr="00020159">
        <w:rPr>
          <w:lang w:val="fr-FR"/>
        </w:rPr>
        <w:t>Cet aspect s</w:t>
      </w:r>
      <w:r w:rsidR="003D53B4">
        <w:rPr>
          <w:lang w:val="fr-FR"/>
        </w:rPr>
        <w:t>’</w:t>
      </w:r>
      <w:r w:rsidRPr="00020159">
        <w:rPr>
          <w:lang w:val="fr-FR"/>
        </w:rPr>
        <w:t>applique tout particulièrement à la majorité des pays visés à l</w:t>
      </w:r>
      <w:r w:rsidR="003D53B4">
        <w:rPr>
          <w:lang w:val="fr-FR"/>
        </w:rPr>
        <w:t>’</w:t>
      </w:r>
      <w:r w:rsidRPr="00020159">
        <w:rPr>
          <w:lang w:val="fr-FR"/>
        </w:rPr>
        <w:t>article 5 qui n</w:t>
      </w:r>
      <w:r w:rsidR="003D53B4">
        <w:rPr>
          <w:lang w:val="fr-FR"/>
        </w:rPr>
        <w:t>’</w:t>
      </w:r>
      <w:r w:rsidRPr="00020159">
        <w:rPr>
          <w:lang w:val="fr-FR"/>
        </w:rPr>
        <w:t>ont pas la capacité de produire des hydrocarbures de qualité réfrigérante.</w:t>
      </w:r>
    </w:p>
    <w:p w14:paraId="23806CA8" w14:textId="1C74F97D" w:rsidR="0002191D" w:rsidRPr="00020159" w:rsidRDefault="00020159" w:rsidP="00020159">
      <w:pPr>
        <w:pStyle w:val="Heading1"/>
        <w:keepLines/>
        <w:widowControl w:val="0"/>
        <w:numPr>
          <w:ilvl w:val="0"/>
          <w:numId w:val="0"/>
        </w:numPr>
        <w:shd w:val="clear" w:color="auto" w:fill="FFFFFF" w:themeFill="background1"/>
        <w:spacing w:before="120"/>
        <w:rPr>
          <w:i/>
          <w:iCs/>
        </w:rPr>
      </w:pPr>
      <w:r w:rsidRPr="00020159">
        <w:rPr>
          <w:i/>
          <w:iCs/>
          <w:lang w:val="fr-FR"/>
        </w:rPr>
        <w:t>Climatisation commercial</w:t>
      </w:r>
      <w:r w:rsidR="004F50FA">
        <w:rPr>
          <w:i/>
          <w:iCs/>
          <w:lang w:val="fr-FR"/>
        </w:rPr>
        <w:t>e</w:t>
      </w:r>
    </w:p>
    <w:p w14:paraId="2BC7BFC9" w14:textId="30BAAD65" w:rsidR="000C59E2" w:rsidRPr="000A3231" w:rsidRDefault="00020159" w:rsidP="000C59E2">
      <w:pPr>
        <w:pStyle w:val="Heading1"/>
        <w:shd w:val="clear" w:color="auto" w:fill="FFFFFF" w:themeFill="background1"/>
        <w:rPr>
          <w:lang w:val="fr-CA"/>
        </w:rPr>
      </w:pPr>
      <w:r w:rsidRPr="00020159">
        <w:rPr>
          <w:lang w:val="fr-FR"/>
        </w:rPr>
        <w:t>Les projets de conversion des usines de climatisation commerciale continuent de rencontrer des problèmes d</w:t>
      </w:r>
      <w:r w:rsidR="003D53B4">
        <w:rPr>
          <w:lang w:val="fr-FR"/>
        </w:rPr>
        <w:t>’</w:t>
      </w:r>
      <w:r w:rsidRPr="00020159">
        <w:rPr>
          <w:lang w:val="fr-FR"/>
        </w:rPr>
        <w:t>approvisionnement liés aux composants et aux frigorigènes</w:t>
      </w:r>
      <w:r w:rsidR="000A3D8D">
        <w:rPr>
          <w:lang w:val="fr-FR"/>
        </w:rPr>
        <w:t xml:space="preserve"> clés</w:t>
      </w:r>
      <w:r w:rsidRPr="00020159">
        <w:rPr>
          <w:lang w:val="fr-FR"/>
        </w:rPr>
        <w:t>.</w:t>
      </w:r>
      <w:r w:rsidRPr="000A3231">
        <w:rPr>
          <w:lang w:val="fr-CA"/>
        </w:rPr>
        <w:t xml:space="preserve"> </w:t>
      </w:r>
      <w:r w:rsidR="000C59E2" w:rsidRPr="000C59E2">
        <w:rPr>
          <w:lang w:val="fr-FR"/>
        </w:rPr>
        <w:t xml:space="preserve">Une difficulté persistante réside dans la dépendance continue </w:t>
      </w:r>
      <w:r w:rsidR="000A3D8D">
        <w:rPr>
          <w:lang w:val="fr-FR"/>
        </w:rPr>
        <w:t>à l</w:t>
      </w:r>
      <w:r w:rsidR="003D53B4">
        <w:rPr>
          <w:lang w:val="fr-FR"/>
        </w:rPr>
        <w:t>’</w:t>
      </w:r>
      <w:r w:rsidR="000A3D8D">
        <w:rPr>
          <w:lang w:val="fr-FR"/>
        </w:rPr>
        <w:t xml:space="preserve">égard des </w:t>
      </w:r>
      <w:r w:rsidR="000C59E2" w:rsidRPr="000C59E2">
        <w:rPr>
          <w:lang w:val="fr-FR"/>
        </w:rPr>
        <w:t>importations de compresseurs, de composants en cuivre, de</w:t>
      </w:r>
      <w:r w:rsidR="003D53B4">
        <w:rPr>
          <w:lang w:val="fr-FR"/>
        </w:rPr>
        <w:t> </w:t>
      </w:r>
      <w:r w:rsidR="000C59E2" w:rsidRPr="000C59E2">
        <w:rPr>
          <w:lang w:val="fr-FR"/>
        </w:rPr>
        <w:t>composants électroniques pour onduleurs et de frigorigènes, alors que la capacité de production locale pour ces articles est limitée.</w:t>
      </w:r>
      <w:r w:rsidR="000C59E2" w:rsidRPr="000A3231">
        <w:rPr>
          <w:lang w:val="fr-CA"/>
        </w:rPr>
        <w:t xml:space="preserve"> </w:t>
      </w:r>
      <w:r w:rsidR="000C59E2" w:rsidRPr="000C59E2">
        <w:rPr>
          <w:lang w:val="fr-FR"/>
        </w:rPr>
        <w:t>Bien que la disponibilité du HFC-32 se soit améliorée, elle demeure instable en raison des retards d</w:t>
      </w:r>
      <w:r w:rsidR="003D53B4">
        <w:rPr>
          <w:lang w:val="fr-FR"/>
        </w:rPr>
        <w:t>’</w:t>
      </w:r>
      <w:r w:rsidR="000A3D8D">
        <w:rPr>
          <w:lang w:val="fr-FR"/>
        </w:rPr>
        <w:t>expédition</w:t>
      </w:r>
      <w:r w:rsidR="000C59E2" w:rsidRPr="000C59E2">
        <w:rPr>
          <w:lang w:val="fr-FR"/>
        </w:rPr>
        <w:t xml:space="preserve"> et des infrastructures de stockage limitées adaptées aux frigorigènes A2L</w:t>
      </w:r>
      <w:r w:rsidR="000C59E2" w:rsidRPr="000C59E2">
        <w:rPr>
          <w:rStyle w:val="FootnoteReference"/>
          <w:lang w:val="fr-FR"/>
        </w:rPr>
        <w:footnoteReference w:id="3"/>
      </w:r>
      <w:r w:rsidR="000C59E2" w:rsidRPr="000C59E2">
        <w:rPr>
          <w:lang w:val="fr-FR"/>
        </w:rPr>
        <w:t>. En outre, les difficultés liées à la distribution et au conditionnement continuent d</w:t>
      </w:r>
      <w:r w:rsidR="003D53B4">
        <w:rPr>
          <w:lang w:val="fr-FR"/>
        </w:rPr>
        <w:t>’</w:t>
      </w:r>
      <w:r w:rsidR="000C59E2" w:rsidRPr="000C59E2">
        <w:rPr>
          <w:lang w:val="fr-FR"/>
        </w:rPr>
        <w:t>affecter la fiabilité des chaînes d</w:t>
      </w:r>
      <w:r w:rsidR="003D53B4">
        <w:rPr>
          <w:lang w:val="fr-FR"/>
        </w:rPr>
        <w:t>’</w:t>
      </w:r>
      <w:r w:rsidR="000C59E2" w:rsidRPr="000C59E2">
        <w:rPr>
          <w:lang w:val="fr-FR"/>
        </w:rPr>
        <w:t>approvisionnement en composants et la stabilité générale du marché.</w:t>
      </w:r>
    </w:p>
    <w:p w14:paraId="0BA3FA6A" w14:textId="049203DA" w:rsidR="000C59E2" w:rsidRPr="000A3231" w:rsidRDefault="000C59E2" w:rsidP="000C59E2">
      <w:pPr>
        <w:pStyle w:val="Heading1"/>
        <w:shd w:val="clear" w:color="auto" w:fill="FFFFFF" w:themeFill="background1"/>
        <w:rPr>
          <w:lang w:val="fr-CA"/>
        </w:rPr>
      </w:pPr>
      <w:r w:rsidRPr="000C59E2">
        <w:rPr>
          <w:lang w:val="fr-FR"/>
        </w:rPr>
        <w:t>Un problème structurel plus large concerne l</w:t>
      </w:r>
      <w:r w:rsidR="003D53B4">
        <w:rPr>
          <w:lang w:val="fr-FR"/>
        </w:rPr>
        <w:t>’</w:t>
      </w:r>
      <w:r w:rsidRPr="000C59E2">
        <w:rPr>
          <w:lang w:val="fr-FR"/>
        </w:rPr>
        <w:t>accès inégal aux technologies de remplacement dans l</w:t>
      </w:r>
      <w:r w:rsidR="003D53B4">
        <w:rPr>
          <w:lang w:val="fr-FR"/>
        </w:rPr>
        <w:t>’</w:t>
      </w:r>
      <w:r w:rsidRPr="000C59E2">
        <w:rPr>
          <w:lang w:val="fr-FR"/>
        </w:rPr>
        <w:t>ensemble du secteur.</w:t>
      </w:r>
      <w:r w:rsidRPr="000A3231">
        <w:rPr>
          <w:lang w:val="fr-CA"/>
        </w:rPr>
        <w:t xml:space="preserve"> </w:t>
      </w:r>
      <w:r w:rsidRPr="000C59E2">
        <w:rPr>
          <w:lang w:val="fr-FR"/>
        </w:rPr>
        <w:t>Les fabricants qui ne participent pas aux programmes de conversion du Fonds multilatéral sont confrontés à de bien plus grandes difficultés pour s</w:t>
      </w:r>
      <w:r w:rsidR="003D53B4">
        <w:rPr>
          <w:lang w:val="fr-FR"/>
        </w:rPr>
        <w:t>’</w:t>
      </w:r>
      <w:r w:rsidRPr="000C59E2">
        <w:rPr>
          <w:lang w:val="fr-FR"/>
        </w:rPr>
        <w:t>approvisionner en composants et en frigorigènes nécessaires à la transition, ce qui crée une dynamique à deux vitesses susceptible d</w:t>
      </w:r>
      <w:r w:rsidR="003D53B4">
        <w:rPr>
          <w:lang w:val="fr-FR"/>
        </w:rPr>
        <w:t>’</w:t>
      </w:r>
      <w:r w:rsidRPr="000C59E2">
        <w:rPr>
          <w:lang w:val="fr-FR"/>
        </w:rPr>
        <w:t>entraîner une évolution inégale à l</w:t>
      </w:r>
      <w:r w:rsidR="003D53B4">
        <w:rPr>
          <w:lang w:val="fr-FR"/>
        </w:rPr>
        <w:t>’</w:t>
      </w:r>
      <w:r w:rsidRPr="000C59E2">
        <w:rPr>
          <w:lang w:val="fr-FR"/>
        </w:rPr>
        <w:t>échelle du secteur.</w:t>
      </w:r>
      <w:r w:rsidRPr="000A3231">
        <w:rPr>
          <w:lang w:val="fr-CA"/>
        </w:rPr>
        <w:t xml:space="preserve"> </w:t>
      </w:r>
      <w:r w:rsidRPr="000C59E2">
        <w:rPr>
          <w:lang w:val="fr-FR"/>
        </w:rPr>
        <w:t>Si cette disparité n</w:t>
      </w:r>
      <w:r w:rsidR="003D53B4">
        <w:rPr>
          <w:lang w:val="fr-FR"/>
        </w:rPr>
        <w:t>’</w:t>
      </w:r>
      <w:r w:rsidRPr="000C59E2">
        <w:rPr>
          <w:lang w:val="fr-FR"/>
        </w:rPr>
        <w:t xml:space="preserve">est pas prise en main, elle pourrait compromettre la transformation à long terme du marché, ou </w:t>
      </w:r>
      <w:r w:rsidR="000A3D8D">
        <w:rPr>
          <w:lang w:val="fr-FR"/>
        </w:rPr>
        <w:t>la progression rapide souhaitée pour ce</w:t>
      </w:r>
      <w:r w:rsidR="004F50FA">
        <w:rPr>
          <w:lang w:val="fr-FR"/>
        </w:rPr>
        <w:t>lle-ci</w:t>
      </w:r>
      <w:r w:rsidR="000A3D8D">
        <w:rPr>
          <w:lang w:val="fr-FR"/>
        </w:rPr>
        <w:t>,</w:t>
      </w:r>
      <w:r w:rsidRPr="000C59E2">
        <w:rPr>
          <w:lang w:val="fr-FR"/>
        </w:rPr>
        <w:t xml:space="preserve"> nécessaire pour parvenir à une adoption durable et généralisée des technologies à faible PRP.</w:t>
      </w:r>
    </w:p>
    <w:p w14:paraId="62BC38C7" w14:textId="39CE19C7" w:rsidR="000C59E2" w:rsidRPr="000A3231" w:rsidRDefault="000C59E2" w:rsidP="000C59E2">
      <w:pPr>
        <w:pStyle w:val="Heading1"/>
        <w:shd w:val="clear" w:color="auto" w:fill="FFFFFF" w:themeFill="background1"/>
        <w:rPr>
          <w:lang w:val="fr-CA"/>
        </w:rPr>
      </w:pPr>
      <w:r w:rsidRPr="000C59E2">
        <w:rPr>
          <w:lang w:val="fr-FR"/>
        </w:rPr>
        <w:t>La faible disponibilité des HFO a été largement constatée constituant une préoccupation intersectorielle.</w:t>
      </w:r>
      <w:r w:rsidRPr="000A3231">
        <w:rPr>
          <w:lang w:val="fr-CA"/>
        </w:rPr>
        <w:t xml:space="preserve"> </w:t>
      </w:r>
      <w:r w:rsidRPr="000C59E2">
        <w:rPr>
          <w:lang w:val="fr-FR"/>
        </w:rPr>
        <w:t>L</w:t>
      </w:r>
      <w:r w:rsidR="003D53B4">
        <w:rPr>
          <w:lang w:val="fr-FR"/>
        </w:rPr>
        <w:t>’</w:t>
      </w:r>
      <w:r w:rsidRPr="000C59E2">
        <w:rPr>
          <w:lang w:val="fr-FR"/>
        </w:rPr>
        <w:t>offre mondiale de HFO continue de s</w:t>
      </w:r>
      <w:r w:rsidR="003D53B4">
        <w:rPr>
          <w:lang w:val="fr-FR"/>
        </w:rPr>
        <w:t>’</w:t>
      </w:r>
      <w:r w:rsidRPr="000C59E2">
        <w:rPr>
          <w:lang w:val="fr-FR"/>
        </w:rPr>
        <w:t>améliorer et de se diversifier, notamment sur les marchés des pays non visés à l</w:t>
      </w:r>
      <w:r w:rsidR="003D53B4">
        <w:rPr>
          <w:lang w:val="fr-FR"/>
        </w:rPr>
        <w:t>’</w:t>
      </w:r>
      <w:r w:rsidRPr="000C59E2">
        <w:rPr>
          <w:lang w:val="fr-FR"/>
        </w:rPr>
        <w:t>article 5 où l</w:t>
      </w:r>
      <w:r w:rsidR="003D53B4">
        <w:rPr>
          <w:lang w:val="fr-FR"/>
        </w:rPr>
        <w:t>’</w:t>
      </w:r>
      <w:r w:rsidRPr="000C59E2">
        <w:rPr>
          <w:lang w:val="fr-FR"/>
        </w:rPr>
        <w:t>augmentation progressive des capacités, les accords de fabrication régionaux et une plus grande clarté réglementaire ont apporté un certain soutien. Toutefois les progrès restent lents, en particulier dans les pays visés à l</w:t>
      </w:r>
      <w:r w:rsidR="003D53B4">
        <w:rPr>
          <w:lang w:val="fr-FR"/>
        </w:rPr>
        <w:t>’</w:t>
      </w:r>
      <w:r w:rsidRPr="000C59E2">
        <w:rPr>
          <w:lang w:val="fr-FR"/>
        </w:rPr>
        <w:t>article 5.</w:t>
      </w:r>
      <w:r w:rsidRPr="000A3231">
        <w:rPr>
          <w:lang w:val="fr-CA"/>
        </w:rPr>
        <w:t xml:space="preserve"> </w:t>
      </w:r>
      <w:r w:rsidRPr="000C59E2">
        <w:rPr>
          <w:lang w:val="fr-FR"/>
        </w:rPr>
        <w:t xml:space="preserve">La production des HFO </w:t>
      </w:r>
      <w:r w:rsidR="004F50FA">
        <w:rPr>
          <w:lang w:val="fr-FR"/>
        </w:rPr>
        <w:t xml:space="preserve">demeure </w:t>
      </w:r>
      <w:r w:rsidRPr="000C59E2">
        <w:rPr>
          <w:lang w:val="fr-FR"/>
        </w:rPr>
        <w:t>fortement concentrée, à savoir dans seulement deux pays.</w:t>
      </w:r>
      <w:r w:rsidRPr="000A3231">
        <w:rPr>
          <w:lang w:val="fr-CA"/>
        </w:rPr>
        <w:t xml:space="preserve"> </w:t>
      </w:r>
    </w:p>
    <w:p w14:paraId="4C7AF682" w14:textId="585173B2" w:rsidR="00B97153" w:rsidRPr="000A3231" w:rsidRDefault="000C59E2" w:rsidP="00B97153">
      <w:pPr>
        <w:pStyle w:val="Heading1"/>
        <w:shd w:val="clear" w:color="auto" w:fill="FFFFFF" w:themeFill="background1"/>
        <w:rPr>
          <w:lang w:val="fr-CA"/>
        </w:rPr>
      </w:pPr>
      <w:r w:rsidRPr="000C59E2">
        <w:rPr>
          <w:lang w:val="fr-FR"/>
        </w:rPr>
        <w:t>La demande de HFO dans les pays visés à l</w:t>
      </w:r>
      <w:r w:rsidR="003D53B4">
        <w:rPr>
          <w:lang w:val="fr-FR"/>
        </w:rPr>
        <w:t>’</w:t>
      </w:r>
      <w:r w:rsidRPr="000C59E2">
        <w:rPr>
          <w:lang w:val="fr-FR"/>
        </w:rPr>
        <w:t>article 5 devrait se concrétiser progressivement à mesure que la mise en œuvre des KIP progresse.</w:t>
      </w:r>
      <w:r w:rsidRPr="000A3231">
        <w:rPr>
          <w:lang w:val="fr-CA"/>
        </w:rPr>
        <w:t xml:space="preserve"> </w:t>
      </w:r>
      <w:r w:rsidRPr="000C59E2">
        <w:rPr>
          <w:lang w:val="fr-FR"/>
        </w:rPr>
        <w:t>Il importe toutefois d</w:t>
      </w:r>
      <w:r w:rsidR="003D53B4">
        <w:rPr>
          <w:lang w:val="fr-FR"/>
        </w:rPr>
        <w:t>’</w:t>
      </w:r>
      <w:r w:rsidRPr="000C59E2">
        <w:rPr>
          <w:lang w:val="fr-FR"/>
        </w:rPr>
        <w:t>établir une distinction fondamentale entre la disponibilité de la production mondiale et l</w:t>
      </w:r>
      <w:r w:rsidR="003D53B4">
        <w:rPr>
          <w:lang w:val="fr-FR"/>
        </w:rPr>
        <w:t>’</w:t>
      </w:r>
      <w:r w:rsidRPr="000C59E2">
        <w:rPr>
          <w:lang w:val="fr-FR"/>
        </w:rPr>
        <w:t>accès effectif au marché au niveau national, car les deux n</w:t>
      </w:r>
      <w:r w:rsidR="003D53B4">
        <w:rPr>
          <w:lang w:val="fr-FR"/>
        </w:rPr>
        <w:t>’</w:t>
      </w:r>
      <w:r w:rsidRPr="000C59E2">
        <w:rPr>
          <w:lang w:val="fr-FR"/>
        </w:rPr>
        <w:t>évoluent pas nécessairement de concert.</w:t>
      </w:r>
      <w:r w:rsidRPr="000A3231">
        <w:rPr>
          <w:lang w:val="fr-CA"/>
        </w:rPr>
        <w:t xml:space="preserve"> </w:t>
      </w:r>
      <w:r w:rsidR="00B97153" w:rsidRPr="00B97153">
        <w:rPr>
          <w:lang w:val="fr-FR"/>
        </w:rPr>
        <w:t>Pour traduire la croissance de l</w:t>
      </w:r>
      <w:r w:rsidR="003D53B4">
        <w:rPr>
          <w:lang w:val="fr-FR"/>
        </w:rPr>
        <w:t>’</w:t>
      </w:r>
      <w:r w:rsidR="00B97153" w:rsidRPr="00B97153">
        <w:rPr>
          <w:lang w:val="fr-FR"/>
        </w:rPr>
        <w:t>offre mondiale en un accès fiable au niveau national, il sera nécessaire d</w:t>
      </w:r>
      <w:r w:rsidR="003D53B4">
        <w:rPr>
          <w:lang w:val="fr-FR"/>
        </w:rPr>
        <w:t>’</w:t>
      </w:r>
      <w:r w:rsidR="00B97153" w:rsidRPr="00B97153">
        <w:rPr>
          <w:lang w:val="fr-FR"/>
        </w:rPr>
        <w:t xml:space="preserve">investir durablement </w:t>
      </w:r>
      <w:r w:rsidR="000A3D8D">
        <w:rPr>
          <w:lang w:val="fr-FR"/>
        </w:rPr>
        <w:t xml:space="preserve">au niveau local </w:t>
      </w:r>
      <w:r w:rsidR="00B97153" w:rsidRPr="00B97153">
        <w:rPr>
          <w:lang w:val="fr-FR"/>
        </w:rPr>
        <w:t>dans les réseaux de distribution,</w:t>
      </w:r>
      <w:r w:rsidR="003D53B4">
        <w:rPr>
          <w:lang w:val="fr-FR"/>
        </w:rPr>
        <w:t> </w:t>
      </w:r>
      <w:r w:rsidR="00B97153" w:rsidRPr="00B97153">
        <w:rPr>
          <w:lang w:val="fr-FR"/>
        </w:rPr>
        <w:t>les prestataires de services et les capacités de reconditionnement.</w:t>
      </w:r>
      <w:r w:rsidR="00B97153" w:rsidRPr="000A3231">
        <w:rPr>
          <w:lang w:val="fr-CA"/>
        </w:rPr>
        <w:t xml:space="preserve"> </w:t>
      </w:r>
      <w:r w:rsidR="00B97153" w:rsidRPr="00B97153">
        <w:rPr>
          <w:lang w:val="fr-FR"/>
        </w:rPr>
        <w:t>Ce dernier point s</w:t>
      </w:r>
      <w:r w:rsidR="003D53B4">
        <w:rPr>
          <w:lang w:val="fr-FR"/>
        </w:rPr>
        <w:t>’</w:t>
      </w:r>
      <w:r w:rsidR="00B97153" w:rsidRPr="00B97153">
        <w:rPr>
          <w:lang w:val="fr-FR"/>
        </w:rPr>
        <w:t>est révélé un obstacle majeur à la garantie d</w:t>
      </w:r>
      <w:r w:rsidR="003D53B4">
        <w:rPr>
          <w:lang w:val="fr-FR"/>
        </w:rPr>
        <w:t>’</w:t>
      </w:r>
      <w:r w:rsidR="00B97153" w:rsidRPr="00B97153">
        <w:rPr>
          <w:lang w:val="fr-FR"/>
        </w:rPr>
        <w:t>un approvisionnement stable en HFO.</w:t>
      </w:r>
      <w:r w:rsidR="00B97153" w:rsidRPr="000A3231">
        <w:rPr>
          <w:lang w:val="fr-CA"/>
        </w:rPr>
        <w:t xml:space="preserve"> </w:t>
      </w:r>
      <w:r w:rsidR="00B97153" w:rsidRPr="00B97153">
        <w:rPr>
          <w:lang w:val="fr-FR"/>
        </w:rPr>
        <w:t>Les grandes économies visées à l</w:t>
      </w:r>
      <w:r w:rsidR="003D53B4">
        <w:rPr>
          <w:lang w:val="fr-FR"/>
        </w:rPr>
        <w:t>’</w:t>
      </w:r>
      <w:r w:rsidR="00B97153" w:rsidRPr="00B97153">
        <w:rPr>
          <w:lang w:val="fr-FR"/>
        </w:rPr>
        <w:t>article 5 peuvent jouer un rôle important en tant que pôles régionaux d</w:t>
      </w:r>
      <w:r w:rsidR="003D53B4">
        <w:rPr>
          <w:lang w:val="fr-FR"/>
        </w:rPr>
        <w:t>’</w:t>
      </w:r>
      <w:r w:rsidR="00B97153" w:rsidRPr="00B97153">
        <w:rPr>
          <w:lang w:val="fr-FR"/>
        </w:rPr>
        <w:t>approvisionnement et de connaissances, tandis qu</w:t>
      </w:r>
      <w:r w:rsidR="003D53B4">
        <w:rPr>
          <w:lang w:val="fr-FR"/>
        </w:rPr>
        <w:t>’</w:t>
      </w:r>
      <w:r w:rsidR="00B97153" w:rsidRPr="00B97153">
        <w:rPr>
          <w:lang w:val="fr-FR"/>
        </w:rPr>
        <w:t xml:space="preserve">un soutien ciblé aux plus petits marchés sera essentiel pour garantir une transition </w:t>
      </w:r>
      <w:r w:rsidR="00B97153" w:rsidRPr="00B97153">
        <w:rPr>
          <w:lang w:val="fr-FR"/>
        </w:rPr>
        <w:lastRenderedPageBreak/>
        <w:t>équitable.</w:t>
      </w:r>
      <w:r w:rsidR="00B97153" w:rsidRPr="000A3231">
        <w:rPr>
          <w:lang w:val="fr-CA"/>
        </w:rPr>
        <w:t xml:space="preserve"> </w:t>
      </w:r>
      <w:r w:rsidR="00B97153" w:rsidRPr="00B97153">
        <w:rPr>
          <w:lang w:val="fr-FR"/>
        </w:rPr>
        <w:t>Ces obstacles et ces difficultés ont un impact sur le prix des HFO, qui est déjà élevé par rapport à d</w:t>
      </w:r>
      <w:r w:rsidR="003D53B4">
        <w:rPr>
          <w:lang w:val="fr-FR"/>
        </w:rPr>
        <w:t>’</w:t>
      </w:r>
      <w:r w:rsidR="00B97153" w:rsidRPr="00B97153">
        <w:rPr>
          <w:lang w:val="fr-FR"/>
        </w:rPr>
        <w:t>autres solutions de remplacement</w:t>
      </w:r>
      <w:r w:rsidR="00B97153" w:rsidRPr="00B97153">
        <w:rPr>
          <w:rStyle w:val="FootnoteReference"/>
        </w:rPr>
        <w:footnoteReference w:id="4"/>
      </w:r>
      <w:r w:rsidR="002B68B3">
        <w:rPr>
          <w:lang w:val="fr-FR"/>
        </w:rPr>
        <w:t>.</w:t>
      </w:r>
    </w:p>
    <w:p w14:paraId="744BFB73" w14:textId="6DE141AE" w:rsidR="00B97153" w:rsidRPr="000A3231" w:rsidRDefault="00B97153" w:rsidP="00B97153">
      <w:pPr>
        <w:pStyle w:val="Heading1"/>
        <w:numPr>
          <w:ilvl w:val="0"/>
          <w:numId w:val="40"/>
        </w:numPr>
        <w:shd w:val="clear" w:color="auto" w:fill="FFFFFF" w:themeFill="background1"/>
        <w:tabs>
          <w:tab w:val="num" w:pos="360"/>
        </w:tabs>
        <w:ind w:left="714" w:hanging="5"/>
        <w:rPr>
          <w:u w:val="single"/>
          <w:lang w:val="fr-CA"/>
        </w:rPr>
      </w:pPr>
      <w:r w:rsidRPr="00B97153">
        <w:rPr>
          <w:u w:val="single"/>
          <w:lang w:val="fr-FR"/>
        </w:rPr>
        <w:t>Prix des frigorigènes et des composants</w:t>
      </w:r>
    </w:p>
    <w:p w14:paraId="762D7986" w14:textId="6102BDA2" w:rsidR="00B97153" w:rsidRPr="000A3231" w:rsidRDefault="00B97153" w:rsidP="00417389">
      <w:pPr>
        <w:pStyle w:val="Heading1"/>
        <w:shd w:val="clear" w:color="auto" w:fill="FFFFFF" w:themeFill="background1"/>
        <w:rPr>
          <w:lang w:val="fr-CA"/>
        </w:rPr>
      </w:pPr>
      <w:r w:rsidRPr="00B97153">
        <w:rPr>
          <w:lang w:val="fr-FR"/>
        </w:rPr>
        <w:t>Le coût de la transition vers les technologies à faible PRP représente un obstacle financier important pour les fabricants dans tous les sous-secteurs de la réfrigération, de la climatisation et des pompes à chaleur.</w:t>
      </w:r>
      <w:r w:rsidRPr="000A3231">
        <w:rPr>
          <w:lang w:val="fr-CA"/>
        </w:rPr>
        <w:t xml:space="preserve"> </w:t>
      </w:r>
      <w:r w:rsidR="00417389" w:rsidRPr="00417389">
        <w:rPr>
          <w:lang w:val="fr-FR"/>
        </w:rPr>
        <w:t>Les pressions sur les prix</w:t>
      </w:r>
      <w:r w:rsidR="00417389">
        <w:rPr>
          <w:lang w:val="fr-FR"/>
        </w:rPr>
        <w:t xml:space="preserve"> </w:t>
      </w:r>
      <w:r w:rsidR="00417389" w:rsidRPr="00417389">
        <w:rPr>
          <w:lang w:val="fr-FR"/>
        </w:rPr>
        <w:t>affectent à la fois l</w:t>
      </w:r>
      <w:r w:rsidR="003D53B4">
        <w:rPr>
          <w:lang w:val="fr-FR"/>
        </w:rPr>
        <w:t>’</w:t>
      </w:r>
      <w:r w:rsidR="00417389" w:rsidRPr="00417389">
        <w:rPr>
          <w:lang w:val="fr-FR"/>
        </w:rPr>
        <w:t>investissement initial nécessaire à l</w:t>
      </w:r>
      <w:r w:rsidR="003D53B4">
        <w:rPr>
          <w:lang w:val="fr-FR"/>
        </w:rPr>
        <w:t>’</w:t>
      </w:r>
      <w:r w:rsidR="00417389" w:rsidRPr="00417389">
        <w:rPr>
          <w:lang w:val="fr-FR"/>
        </w:rPr>
        <w:t>adaptation des installations de fabrication et les coûts récurrents d</w:t>
      </w:r>
      <w:r w:rsidR="003D53B4">
        <w:rPr>
          <w:lang w:val="fr-FR"/>
        </w:rPr>
        <w:t>’</w:t>
      </w:r>
      <w:r w:rsidR="00417389" w:rsidRPr="00417389">
        <w:rPr>
          <w:lang w:val="fr-FR"/>
        </w:rPr>
        <w:t>approvisionnement en frigorigènes de remplacement et en composants compatibles.</w:t>
      </w:r>
    </w:p>
    <w:p w14:paraId="7DBCE7FE" w14:textId="32BFA808" w:rsidR="009B4B3A" w:rsidRPr="00417389" w:rsidRDefault="00417389" w:rsidP="00417389">
      <w:pPr>
        <w:pStyle w:val="Heading2"/>
        <w:numPr>
          <w:ilvl w:val="0"/>
          <w:numId w:val="0"/>
        </w:numPr>
        <w:shd w:val="clear" w:color="auto" w:fill="FFFFFF" w:themeFill="background1"/>
        <w:rPr>
          <w:i/>
          <w:iCs/>
        </w:rPr>
      </w:pPr>
      <w:r w:rsidRPr="00417389">
        <w:rPr>
          <w:i/>
          <w:iCs/>
          <w:lang w:val="fr-FR"/>
        </w:rPr>
        <w:t>Réfrigération domestique</w:t>
      </w:r>
    </w:p>
    <w:p w14:paraId="1607A81B" w14:textId="44FCBDAF" w:rsidR="003A4EA0" w:rsidRPr="000A3231" w:rsidRDefault="00417389" w:rsidP="003A4EA0">
      <w:pPr>
        <w:pStyle w:val="Heading1"/>
        <w:shd w:val="clear" w:color="auto" w:fill="FFFFFF" w:themeFill="background1"/>
        <w:rPr>
          <w:lang w:val="fr-CA"/>
        </w:rPr>
      </w:pPr>
      <w:r w:rsidRPr="00417389">
        <w:rPr>
          <w:lang w:val="fr-FR"/>
        </w:rPr>
        <w:t>Étant donné que la plupart des projets de conversion des équipements de réfrigération domestique n</w:t>
      </w:r>
      <w:r w:rsidR="003D53B4">
        <w:rPr>
          <w:lang w:val="fr-FR"/>
        </w:rPr>
        <w:t>’</w:t>
      </w:r>
      <w:r w:rsidRPr="00417389">
        <w:rPr>
          <w:lang w:val="fr-FR"/>
        </w:rPr>
        <w:t>ont pas encore été mis en œuvre, les informations détaillées sur les impacts sur les prix dans des conditions réelles de projet ne sont pas encore disponibles.</w:t>
      </w:r>
      <w:r w:rsidRPr="000A3231">
        <w:rPr>
          <w:lang w:val="fr-CA"/>
        </w:rPr>
        <w:t xml:space="preserve"> </w:t>
      </w:r>
      <w:r w:rsidRPr="00417389">
        <w:rPr>
          <w:lang w:val="fr-FR"/>
        </w:rPr>
        <w:t>S</w:t>
      </w:r>
      <w:r w:rsidR="003D53B4">
        <w:rPr>
          <w:lang w:val="fr-FR"/>
        </w:rPr>
        <w:t>’</w:t>
      </w:r>
      <w:r w:rsidRPr="00417389">
        <w:rPr>
          <w:lang w:val="fr-FR"/>
        </w:rPr>
        <w:t>appuyant sur l</w:t>
      </w:r>
      <w:r w:rsidR="003D53B4">
        <w:rPr>
          <w:lang w:val="fr-FR"/>
        </w:rPr>
        <w:t>’</w:t>
      </w:r>
      <w:r w:rsidRPr="00417389">
        <w:rPr>
          <w:lang w:val="fr-FR"/>
        </w:rPr>
        <w:t>expérience acquise dans d</w:t>
      </w:r>
      <w:r w:rsidR="003D53B4">
        <w:rPr>
          <w:lang w:val="fr-FR"/>
        </w:rPr>
        <w:t>’</w:t>
      </w:r>
      <w:r w:rsidRPr="00417389">
        <w:rPr>
          <w:lang w:val="fr-FR"/>
        </w:rPr>
        <w:t xml:space="preserve">autres sous-secteurs utilisant des frigorigènes HC tels que le R-600a, les difficultés prévisibles en matière de prix pourraient inclure des coûts de composants plus élevés pour les compresseurs compatibles </w:t>
      </w:r>
      <w:r w:rsidR="000A3D8D">
        <w:rPr>
          <w:lang w:val="fr-FR"/>
        </w:rPr>
        <w:t xml:space="preserve">avec les </w:t>
      </w:r>
      <w:r w:rsidRPr="00417389">
        <w:rPr>
          <w:lang w:val="fr-FR"/>
        </w:rPr>
        <w:t>HC et la nécessité de mises à niveau des équipements liés à la sécurité.</w:t>
      </w:r>
      <w:r w:rsidRPr="000A3231">
        <w:rPr>
          <w:lang w:val="fr-CA"/>
        </w:rPr>
        <w:t xml:space="preserve"> </w:t>
      </w:r>
      <w:r w:rsidR="003A4EA0" w:rsidRPr="003A4EA0">
        <w:rPr>
          <w:lang w:val="fr-FR"/>
        </w:rPr>
        <w:t>Cependant, les informations recueillies grâce au financement de nombreux projets indiquent que l</w:t>
      </w:r>
      <w:r w:rsidR="003D53B4">
        <w:rPr>
          <w:lang w:val="fr-FR"/>
        </w:rPr>
        <w:t>’</w:t>
      </w:r>
      <w:r w:rsidR="003A4EA0" w:rsidRPr="003A4EA0">
        <w:rPr>
          <w:lang w:val="fr-FR"/>
        </w:rPr>
        <w:t>écart de coût entre les compresseurs à</w:t>
      </w:r>
      <w:r w:rsidR="003D53B4">
        <w:rPr>
          <w:lang w:val="fr-FR"/>
        </w:rPr>
        <w:t xml:space="preserve"> base d’</w:t>
      </w:r>
      <w:r w:rsidR="003A4EA0" w:rsidRPr="003A4EA0">
        <w:rPr>
          <w:lang w:val="fr-FR"/>
        </w:rPr>
        <w:t>hydrocarbures et ceux à base de HFC a été largement éliminé à l</w:t>
      </w:r>
      <w:r w:rsidR="003D53B4">
        <w:rPr>
          <w:lang w:val="fr-FR"/>
        </w:rPr>
        <w:t>’</w:t>
      </w:r>
      <w:r w:rsidR="003A4EA0" w:rsidRPr="003A4EA0">
        <w:rPr>
          <w:lang w:val="fr-FR"/>
        </w:rPr>
        <w:t>échelle mondiale, même si le volume d</w:t>
      </w:r>
      <w:r w:rsidR="003D53B4">
        <w:rPr>
          <w:lang w:val="fr-FR"/>
        </w:rPr>
        <w:t>’</w:t>
      </w:r>
      <w:r w:rsidR="003A4EA0" w:rsidRPr="003A4EA0">
        <w:rPr>
          <w:lang w:val="fr-FR"/>
        </w:rPr>
        <w:t>activité peut encore influer sur la structure des coûts, tout particulièrement lors des premières phases d</w:t>
      </w:r>
      <w:r w:rsidR="003D53B4">
        <w:rPr>
          <w:lang w:val="fr-FR"/>
        </w:rPr>
        <w:t>’</w:t>
      </w:r>
      <w:r w:rsidR="003A4EA0" w:rsidRPr="003A4EA0">
        <w:rPr>
          <w:lang w:val="fr-FR"/>
        </w:rPr>
        <w:t>une transformation du marché.</w:t>
      </w:r>
      <w:r w:rsidR="003A4EA0" w:rsidRPr="000A3231">
        <w:rPr>
          <w:lang w:val="fr-CA"/>
        </w:rPr>
        <w:t xml:space="preserve"> </w:t>
      </w:r>
      <w:r w:rsidR="003A4EA0" w:rsidRPr="003A4EA0">
        <w:rPr>
          <w:lang w:val="fr-FR"/>
        </w:rPr>
        <w:t>Les données relatives aux coûts devront être collectées systématiquement au fur et à mesure de l</w:t>
      </w:r>
      <w:r w:rsidR="003D53B4">
        <w:rPr>
          <w:lang w:val="fr-FR"/>
        </w:rPr>
        <w:t>’</w:t>
      </w:r>
      <w:r w:rsidR="003A4EA0" w:rsidRPr="003A4EA0">
        <w:rPr>
          <w:lang w:val="fr-FR"/>
        </w:rPr>
        <w:t>avancement des projets.</w:t>
      </w:r>
    </w:p>
    <w:p w14:paraId="19BA4B24" w14:textId="22AAE758" w:rsidR="009B4B3A" w:rsidRPr="003A4EA0" w:rsidRDefault="003A4EA0" w:rsidP="003A4EA0">
      <w:pPr>
        <w:pStyle w:val="Heading2"/>
        <w:keepNext/>
        <w:numPr>
          <w:ilvl w:val="0"/>
          <w:numId w:val="0"/>
        </w:numPr>
        <w:shd w:val="clear" w:color="auto" w:fill="FFFFFF" w:themeFill="background1"/>
        <w:rPr>
          <w:i/>
          <w:iCs/>
        </w:rPr>
      </w:pPr>
      <w:r w:rsidRPr="003A4EA0">
        <w:rPr>
          <w:i/>
          <w:iCs/>
          <w:lang w:val="fr-FR"/>
        </w:rPr>
        <w:t>Réfrigération commerciale</w:t>
      </w:r>
    </w:p>
    <w:p w14:paraId="7A83792B" w14:textId="5A21DEEE" w:rsidR="003A4EA0" w:rsidRPr="000A3231" w:rsidRDefault="003A4EA0" w:rsidP="003A4EA0">
      <w:pPr>
        <w:pStyle w:val="Heading1"/>
        <w:shd w:val="clear" w:color="auto" w:fill="FFFFFF" w:themeFill="background1"/>
        <w:rPr>
          <w:lang w:val="fr-CA"/>
        </w:rPr>
      </w:pPr>
      <w:r w:rsidRPr="003A4EA0">
        <w:rPr>
          <w:lang w:val="fr-FR"/>
        </w:rPr>
        <w:t xml:space="preserve">Les projets de conversion des équipements de réfrigération commerciale représentent certains des coûts les plus élevés </w:t>
      </w:r>
      <w:r w:rsidR="004F50FA">
        <w:rPr>
          <w:lang w:val="fr-FR"/>
        </w:rPr>
        <w:t xml:space="preserve">de l’ensemble du </w:t>
      </w:r>
      <w:r w:rsidRPr="003A4EA0">
        <w:rPr>
          <w:lang w:val="fr-FR"/>
        </w:rPr>
        <w:t>secteur de la réfrigération, de la climatisation et des pompes à chaleur, en raison de la complexité des systèmes et des exigences de sécurité liées aux frigorigènes inflammables et à haute pression.</w:t>
      </w:r>
      <w:r w:rsidRPr="000A3231">
        <w:rPr>
          <w:lang w:val="fr-CA"/>
        </w:rPr>
        <w:t xml:space="preserve"> </w:t>
      </w:r>
      <w:r w:rsidRPr="003A4EA0">
        <w:rPr>
          <w:lang w:val="fr-FR"/>
        </w:rPr>
        <w:t>Des investissements importants sont nécessaires pour adapter les usines de fabrication aux normes de sécurité applicables, notamment en ce qui concerne les systèmes de stockage, les machines de charge de frigorigène, les systèmes de ventilation, les équipements de détection des fuites et les infrastructures d</w:t>
      </w:r>
      <w:r w:rsidR="003D53B4">
        <w:rPr>
          <w:lang w:val="fr-FR"/>
        </w:rPr>
        <w:t>’</w:t>
      </w:r>
      <w:r w:rsidRPr="003A4EA0">
        <w:rPr>
          <w:lang w:val="fr-FR"/>
        </w:rPr>
        <w:t>intervention d</w:t>
      </w:r>
      <w:r w:rsidR="003D53B4">
        <w:rPr>
          <w:lang w:val="fr-FR"/>
        </w:rPr>
        <w:t>’</w:t>
      </w:r>
      <w:r w:rsidRPr="003A4EA0">
        <w:rPr>
          <w:lang w:val="fr-FR"/>
        </w:rPr>
        <w:t>urgence.</w:t>
      </w:r>
      <w:r w:rsidRPr="000A3231">
        <w:rPr>
          <w:lang w:val="fr-CA"/>
        </w:rPr>
        <w:t xml:space="preserve"> </w:t>
      </w:r>
      <w:r w:rsidRPr="003A4EA0">
        <w:rPr>
          <w:lang w:val="fr-FR"/>
        </w:rPr>
        <w:t>Ces coûts initiaux sont amplifiés par des prix de composants nettement plus élevés, notamment pour les compresseurs conçus pour les systèmes à base de R-290 et de CO₂, où des augmentations de coûts de 30 à 35 pour cent</w:t>
      </w:r>
      <w:r w:rsidRPr="003A4EA0">
        <w:rPr>
          <w:rStyle w:val="FootnoteReference"/>
          <w:lang w:val="fr-FR"/>
        </w:rPr>
        <w:footnoteReference w:id="5"/>
      </w:r>
      <w:r w:rsidRPr="003A4EA0">
        <w:rPr>
          <w:lang w:val="fr-FR"/>
        </w:rPr>
        <w:t xml:space="preserve"> ont été constatés par rapport aux solutions conventionnelles, ainsi que par des dépenses supplémentaires liées aux équipements certifiés ATEX</w:t>
      </w:r>
      <w:r w:rsidRPr="003A4EA0">
        <w:rPr>
          <w:rStyle w:val="FootnoteReference"/>
          <w:lang w:val="fr-FR"/>
        </w:rPr>
        <w:footnoteReference w:id="6"/>
      </w:r>
      <w:r w:rsidRPr="003A4EA0">
        <w:rPr>
          <w:lang w:val="fr-FR"/>
        </w:rPr>
        <w:t>, ou équivalents, et aux systèmes d</w:t>
      </w:r>
      <w:r w:rsidR="003D53B4">
        <w:rPr>
          <w:lang w:val="fr-FR"/>
        </w:rPr>
        <w:t>’</w:t>
      </w:r>
      <w:r w:rsidRPr="003A4EA0">
        <w:rPr>
          <w:lang w:val="fr-FR"/>
        </w:rPr>
        <w:t>alimentation de secours requis pour les applications à base de CO₂.</w:t>
      </w:r>
    </w:p>
    <w:p w14:paraId="5E398613" w14:textId="3509EC91" w:rsidR="003A4EA0" w:rsidRPr="000A3231" w:rsidRDefault="003A4EA0" w:rsidP="003A4EA0">
      <w:pPr>
        <w:pStyle w:val="Heading1"/>
        <w:shd w:val="clear" w:color="auto" w:fill="FFFFFF" w:themeFill="background1"/>
        <w:rPr>
          <w:lang w:val="fr-CA"/>
        </w:rPr>
      </w:pPr>
      <w:r w:rsidRPr="003A4EA0">
        <w:rPr>
          <w:lang w:val="fr-FR"/>
        </w:rPr>
        <w:t>Au-delà des coûts d</w:t>
      </w:r>
      <w:r w:rsidR="003D53B4">
        <w:rPr>
          <w:lang w:val="fr-FR"/>
        </w:rPr>
        <w:t>’</w:t>
      </w:r>
      <w:r w:rsidRPr="003A4EA0">
        <w:rPr>
          <w:lang w:val="fr-FR"/>
        </w:rPr>
        <w:t>investissement, les fabricants sont confrontés à des pressions financières constantes qui affectent leur compétitivité et leur viabilité à long terme.</w:t>
      </w:r>
      <w:r w:rsidRPr="000A3231">
        <w:rPr>
          <w:lang w:val="fr-CA"/>
        </w:rPr>
        <w:t xml:space="preserve"> </w:t>
      </w:r>
      <w:r w:rsidRPr="003A4EA0">
        <w:rPr>
          <w:lang w:val="fr-FR"/>
        </w:rPr>
        <w:t>L</w:t>
      </w:r>
      <w:r w:rsidR="003D53B4">
        <w:rPr>
          <w:lang w:val="fr-FR"/>
        </w:rPr>
        <w:t>’</w:t>
      </w:r>
      <w:r w:rsidRPr="003A4EA0">
        <w:rPr>
          <w:lang w:val="fr-FR"/>
        </w:rPr>
        <w:t>exposition à la volatilité des prix des matières premières et aux fluctuations des taux de change exerce une pression particulière sur les producteurs dépendants des importations, tandis que le respect des réglementations en matière de contrôle de la qualité accroît encore les coûts de production et risque de réduire la compétitivité des prix face aux grands fabricants multinationaux.</w:t>
      </w:r>
      <w:r w:rsidRPr="000A3231">
        <w:rPr>
          <w:lang w:val="fr-CA"/>
        </w:rPr>
        <w:t xml:space="preserve"> </w:t>
      </w:r>
      <w:r w:rsidRPr="003A4EA0">
        <w:rPr>
          <w:lang w:val="fr-FR"/>
        </w:rPr>
        <w:t>Simultanément, la nécessité d</w:t>
      </w:r>
      <w:r w:rsidR="003D53B4">
        <w:rPr>
          <w:lang w:val="fr-FR"/>
        </w:rPr>
        <w:t>’</w:t>
      </w:r>
      <w:r w:rsidRPr="003A4EA0">
        <w:rPr>
          <w:lang w:val="fr-FR"/>
        </w:rPr>
        <w:t xml:space="preserve">adopter des technologies de pointe, souvent plus coûteuses, pour respecter des critères de performance énergétique strictes, telles que celles fixées par </w:t>
      </w:r>
      <w:r w:rsidRPr="003A4EA0">
        <w:rPr>
          <w:lang w:val="fr-FR"/>
        </w:rPr>
        <w:lastRenderedPageBreak/>
        <w:t>les normes minimales de performance énergétique (NMPE) et les réglementations de contrôle de la qualité, rend le coût global de la conversion particulièrement difficile à assumer pour les fabricants locaux opérant sur des marchés sensibles aux prix.</w:t>
      </w:r>
    </w:p>
    <w:p w14:paraId="59AA8D99" w14:textId="0BCBDE6D" w:rsidR="009B4B3A" w:rsidRPr="003A4EA0" w:rsidRDefault="003A4EA0" w:rsidP="003A4EA0">
      <w:pPr>
        <w:pStyle w:val="Heading2"/>
        <w:numPr>
          <w:ilvl w:val="0"/>
          <w:numId w:val="0"/>
        </w:numPr>
        <w:shd w:val="clear" w:color="auto" w:fill="FFFFFF" w:themeFill="background1"/>
        <w:rPr>
          <w:i/>
          <w:iCs/>
        </w:rPr>
      </w:pPr>
      <w:r w:rsidRPr="003A4EA0">
        <w:rPr>
          <w:i/>
          <w:iCs/>
          <w:lang w:val="fr-FR"/>
        </w:rPr>
        <w:t>Climatis</w:t>
      </w:r>
      <w:r w:rsidR="0097550B">
        <w:rPr>
          <w:i/>
          <w:iCs/>
          <w:lang w:val="fr-FR"/>
        </w:rPr>
        <w:t xml:space="preserve">ation </w:t>
      </w:r>
      <w:r w:rsidRPr="003A4EA0">
        <w:rPr>
          <w:i/>
          <w:iCs/>
          <w:lang w:val="fr-FR"/>
        </w:rPr>
        <w:t>résidentiel</w:t>
      </w:r>
      <w:r w:rsidR="0097550B">
        <w:rPr>
          <w:i/>
          <w:iCs/>
          <w:lang w:val="fr-FR"/>
        </w:rPr>
        <w:t>le</w:t>
      </w:r>
    </w:p>
    <w:p w14:paraId="56BC3410" w14:textId="0AC95C80" w:rsidR="003A4EA0" w:rsidRPr="000A3231" w:rsidRDefault="003A4EA0" w:rsidP="003A4EA0">
      <w:pPr>
        <w:pStyle w:val="Heading1"/>
        <w:shd w:val="clear" w:color="auto" w:fill="FFFFFF" w:themeFill="background1"/>
        <w:rPr>
          <w:lang w:val="fr-CA"/>
        </w:rPr>
      </w:pPr>
      <w:r w:rsidRPr="003A4EA0">
        <w:rPr>
          <w:lang w:val="fr-FR"/>
        </w:rPr>
        <w:t>Les pressions sur les prix dans le sous-secteur de la climatisation résidentielle sont principalement liées à la dynamique du marché international, reflétant l</w:t>
      </w:r>
      <w:r w:rsidR="003D53B4">
        <w:rPr>
          <w:lang w:val="fr-FR"/>
        </w:rPr>
        <w:t>’</w:t>
      </w:r>
      <w:r w:rsidRPr="003A4EA0">
        <w:rPr>
          <w:lang w:val="fr-FR"/>
        </w:rPr>
        <w:t>ampleur du secteur à l</w:t>
      </w:r>
      <w:r w:rsidR="003D53B4">
        <w:rPr>
          <w:lang w:val="fr-FR"/>
        </w:rPr>
        <w:t>’</w:t>
      </w:r>
      <w:r w:rsidRPr="003A4EA0">
        <w:rPr>
          <w:lang w:val="fr-FR"/>
        </w:rPr>
        <w:t>échelle mondiale et la demande rapidement croissante dans les pays visés à l</w:t>
      </w:r>
      <w:r w:rsidR="003D53B4">
        <w:rPr>
          <w:lang w:val="fr-FR"/>
        </w:rPr>
        <w:t>’</w:t>
      </w:r>
      <w:r w:rsidRPr="003A4EA0">
        <w:rPr>
          <w:lang w:val="fr-FR"/>
        </w:rPr>
        <w:t>article 5, ainsi que la base de coûts plus élevés des technologies de remplacement.</w:t>
      </w:r>
      <w:r w:rsidRPr="000A3231">
        <w:rPr>
          <w:lang w:val="fr-CA"/>
        </w:rPr>
        <w:t xml:space="preserve"> </w:t>
      </w:r>
      <w:r w:rsidRPr="003A4EA0">
        <w:rPr>
          <w:lang w:val="fr-FR"/>
        </w:rPr>
        <w:t>Les prix des frigorigènes et de</w:t>
      </w:r>
      <w:r w:rsidR="003D53B4">
        <w:rPr>
          <w:lang w:val="fr-FR"/>
        </w:rPr>
        <w:t xml:space="preserve">s </w:t>
      </w:r>
      <w:r w:rsidRPr="003A4EA0">
        <w:rPr>
          <w:lang w:val="fr-FR"/>
        </w:rPr>
        <w:t>composants sont étroitement liés aux marchés internationaux des matières premières et soumis à la volatilité engendrée par la dynamique mondiale de l</w:t>
      </w:r>
      <w:r w:rsidR="003D53B4">
        <w:rPr>
          <w:lang w:val="fr-FR"/>
        </w:rPr>
        <w:t>’</w:t>
      </w:r>
      <w:r w:rsidRPr="003A4EA0">
        <w:rPr>
          <w:lang w:val="fr-FR"/>
        </w:rPr>
        <w:t>offre et de la demande. Les systèmes à base de HFC-32 et leurs composants compatibles sont quant à eux plus chers que les systèmes conventionnels à base de HCFC-22 et R-410A.</w:t>
      </w:r>
      <w:r w:rsidRPr="000A3231">
        <w:rPr>
          <w:lang w:val="fr-CA"/>
        </w:rPr>
        <w:t xml:space="preserve"> </w:t>
      </w:r>
      <w:r w:rsidRPr="003A4EA0">
        <w:rPr>
          <w:lang w:val="fr-FR"/>
        </w:rPr>
        <w:t>Ces difficultés sont encore aggravées par la hausse des coûts d</w:t>
      </w:r>
      <w:r w:rsidR="003D53B4">
        <w:rPr>
          <w:lang w:val="fr-FR"/>
        </w:rPr>
        <w:t>’</w:t>
      </w:r>
      <w:r w:rsidRPr="003A4EA0">
        <w:rPr>
          <w:lang w:val="fr-FR"/>
        </w:rPr>
        <w:t>équipement et de livraison due aux contraintes logistiques mondiales et aux économies d</w:t>
      </w:r>
      <w:r w:rsidR="003D53B4">
        <w:rPr>
          <w:lang w:val="fr-FR"/>
        </w:rPr>
        <w:t>’</w:t>
      </w:r>
      <w:r w:rsidRPr="003A4EA0">
        <w:rPr>
          <w:lang w:val="fr-FR"/>
        </w:rPr>
        <w:t>échelle, ce qui crée des pressions budgétaires supplémentaires pour les fabricants opérant avec des enveloppes budgétaires de projet fixes.</w:t>
      </w:r>
    </w:p>
    <w:p w14:paraId="4B76F798" w14:textId="3BE8A13A" w:rsidR="009B4B3A" w:rsidRPr="003A4EA0" w:rsidRDefault="003A4EA0" w:rsidP="003A4EA0">
      <w:pPr>
        <w:pStyle w:val="Heading2"/>
        <w:numPr>
          <w:ilvl w:val="0"/>
          <w:numId w:val="0"/>
        </w:numPr>
        <w:shd w:val="clear" w:color="auto" w:fill="FFFFFF" w:themeFill="background1"/>
        <w:rPr>
          <w:i/>
          <w:iCs/>
        </w:rPr>
      </w:pPr>
      <w:r w:rsidRPr="003A4EA0">
        <w:rPr>
          <w:i/>
          <w:iCs/>
          <w:lang w:val="fr-FR"/>
        </w:rPr>
        <w:t>Climatisation commercial</w:t>
      </w:r>
      <w:r w:rsidR="004F50FA">
        <w:rPr>
          <w:i/>
          <w:iCs/>
          <w:lang w:val="fr-FR"/>
        </w:rPr>
        <w:t>e</w:t>
      </w:r>
    </w:p>
    <w:p w14:paraId="01E389C6" w14:textId="55B53856" w:rsidR="003A4EA0" w:rsidRPr="000A3231" w:rsidRDefault="003A4EA0" w:rsidP="00780F01">
      <w:pPr>
        <w:pStyle w:val="Heading1"/>
        <w:shd w:val="clear" w:color="auto" w:fill="FFFFFF" w:themeFill="background1"/>
        <w:rPr>
          <w:lang w:val="fr-CA"/>
        </w:rPr>
      </w:pPr>
      <w:r w:rsidRPr="003A4EA0">
        <w:rPr>
          <w:lang w:val="fr-FR"/>
        </w:rPr>
        <w:t>Le sous-secteur de la climatisation commerciale connaît des pressions sur les coûts dues à la fois aux matières premières et à l</w:t>
      </w:r>
      <w:r w:rsidR="003D53B4">
        <w:rPr>
          <w:lang w:val="fr-FR"/>
        </w:rPr>
        <w:t>’</w:t>
      </w:r>
      <w:r w:rsidRPr="003A4EA0">
        <w:rPr>
          <w:lang w:val="fr-FR"/>
        </w:rPr>
        <w:t>intensité capitalistique de la conversion.</w:t>
      </w:r>
      <w:r w:rsidRPr="000A3231">
        <w:rPr>
          <w:lang w:val="fr-CA"/>
        </w:rPr>
        <w:t xml:space="preserve"> </w:t>
      </w:r>
      <w:r w:rsidRPr="003A4EA0">
        <w:rPr>
          <w:lang w:val="fr-FR"/>
        </w:rPr>
        <w:t>La hausse des prix des matières premières essentielles, notamment pour les composants des échangeurs de chaleur et des circuits de frigorigène, s</w:t>
      </w:r>
      <w:r w:rsidR="003D53B4">
        <w:rPr>
          <w:lang w:val="fr-FR"/>
        </w:rPr>
        <w:t>’</w:t>
      </w:r>
      <w:r w:rsidRPr="003A4EA0">
        <w:rPr>
          <w:lang w:val="fr-FR"/>
        </w:rPr>
        <w:t>ajoute aux investissement</w:t>
      </w:r>
      <w:r w:rsidR="00267896">
        <w:rPr>
          <w:lang w:val="fr-FR"/>
        </w:rPr>
        <w:t>s</w:t>
      </w:r>
      <w:r w:rsidRPr="003A4EA0">
        <w:rPr>
          <w:lang w:val="fr-FR"/>
        </w:rPr>
        <w:t xml:space="preserve"> élevés nécessaires à la production d</w:t>
      </w:r>
      <w:r w:rsidR="003D53B4">
        <w:rPr>
          <w:lang w:val="fr-FR"/>
        </w:rPr>
        <w:t>’</w:t>
      </w:r>
      <w:r w:rsidRPr="003A4EA0">
        <w:rPr>
          <w:lang w:val="fr-FR"/>
        </w:rPr>
        <w:t>équipements de pointe et à haut rendement énergétique compatibles avec des frigorigènes à faible PRP.</w:t>
      </w:r>
      <w:r w:rsidRPr="000A3231">
        <w:rPr>
          <w:lang w:val="fr-CA"/>
        </w:rPr>
        <w:t xml:space="preserve"> </w:t>
      </w:r>
      <w:r w:rsidR="00780F01" w:rsidRPr="00780F01">
        <w:rPr>
          <w:lang w:val="fr-FR"/>
        </w:rPr>
        <w:t>Ces pressions sont particulièrement fortes pour les petites et moyennes entreprises de fabrication, représentant la majorité des entreprises manufacturières des pays visés à l</w:t>
      </w:r>
      <w:r w:rsidR="003D53B4">
        <w:rPr>
          <w:lang w:val="fr-FR"/>
        </w:rPr>
        <w:t>’</w:t>
      </w:r>
      <w:r w:rsidR="00780F01" w:rsidRPr="00780F01">
        <w:rPr>
          <w:lang w:val="fr-FR"/>
        </w:rPr>
        <w:t>article 5, et qui sont confrontées à la contrainte supplémentaire d</w:t>
      </w:r>
      <w:r w:rsidR="003D53B4">
        <w:rPr>
          <w:lang w:val="fr-FR"/>
        </w:rPr>
        <w:t>’</w:t>
      </w:r>
      <w:r w:rsidR="00780F01" w:rsidRPr="00780F01">
        <w:rPr>
          <w:lang w:val="fr-FR"/>
        </w:rPr>
        <w:t>un accès limité au financement externe, aux facilités de crédit ou aux mécanismes de partage des risques, ce qui les expose de manière disproportionnée aux exigences financières de la transition technologique.</w:t>
      </w:r>
    </w:p>
    <w:p w14:paraId="6E5424BE" w14:textId="6B07DB04" w:rsidR="00780F01" w:rsidRPr="00780F01" w:rsidRDefault="00780F01" w:rsidP="00780F01">
      <w:pPr>
        <w:pStyle w:val="Heading1"/>
        <w:widowControl w:val="0"/>
        <w:numPr>
          <w:ilvl w:val="0"/>
          <w:numId w:val="40"/>
        </w:numPr>
        <w:shd w:val="clear" w:color="auto" w:fill="FFFFFF" w:themeFill="background1"/>
        <w:tabs>
          <w:tab w:val="num" w:pos="360"/>
        </w:tabs>
        <w:spacing w:before="120"/>
        <w:ind w:left="714" w:hanging="5"/>
        <w:rPr>
          <w:u w:val="single"/>
        </w:rPr>
      </w:pPr>
      <w:r w:rsidRPr="00780F01">
        <w:rPr>
          <w:u w:val="single"/>
          <w:lang w:val="fr-FR"/>
        </w:rPr>
        <w:t>Spécifications</w:t>
      </w:r>
      <w:r w:rsidR="003D53B4">
        <w:rPr>
          <w:u w:val="single"/>
          <w:lang w:val="fr-FR"/>
        </w:rPr>
        <w:t> </w:t>
      </w:r>
      <w:r w:rsidRPr="00780F01">
        <w:rPr>
          <w:u w:val="single"/>
          <w:lang w:val="fr-FR"/>
        </w:rPr>
        <w:t>techniques et autres questions</w:t>
      </w:r>
    </w:p>
    <w:p w14:paraId="3F1DA401" w14:textId="3AEA374F" w:rsidR="00780F01" w:rsidRPr="000A3231" w:rsidRDefault="00780F01" w:rsidP="00DD0B62">
      <w:pPr>
        <w:pStyle w:val="Heading1"/>
        <w:widowControl w:val="0"/>
        <w:shd w:val="clear" w:color="auto" w:fill="FFFFFF" w:themeFill="background1"/>
        <w:spacing w:before="120"/>
        <w:rPr>
          <w:lang w:val="fr-CA"/>
        </w:rPr>
      </w:pPr>
      <w:r w:rsidRPr="00780F01">
        <w:rPr>
          <w:lang w:val="fr-FR"/>
        </w:rPr>
        <w:t>Au-delà de la disponibilité et d</w:t>
      </w:r>
      <w:r w:rsidR="003D53B4">
        <w:rPr>
          <w:lang w:val="fr-FR"/>
        </w:rPr>
        <w:t>es</w:t>
      </w:r>
      <w:r w:rsidRPr="00780F01">
        <w:rPr>
          <w:lang w:val="fr-FR"/>
        </w:rPr>
        <w:t xml:space="preserve"> prix, les projets de conversion </w:t>
      </w:r>
      <w:r w:rsidR="003D53B4">
        <w:rPr>
          <w:lang w:val="fr-FR"/>
        </w:rPr>
        <w:t>du secteur de la réfrigération, de la climatisation et des pompes à chaleur</w:t>
      </w:r>
      <w:r w:rsidRPr="00780F01">
        <w:rPr>
          <w:lang w:val="fr-FR"/>
        </w:rPr>
        <w:t xml:space="preserve"> sont confrontés à toute une série de défis techniques, réglementaires et liés à la capacité.</w:t>
      </w:r>
      <w:r w:rsidRPr="000A3231">
        <w:rPr>
          <w:lang w:val="fr-CA"/>
        </w:rPr>
        <w:t xml:space="preserve"> </w:t>
      </w:r>
      <w:r w:rsidR="00DD0B62" w:rsidRPr="00DD0B62">
        <w:rPr>
          <w:lang w:val="fr-FR"/>
        </w:rPr>
        <w:t>Ces problèmes englobent les insuffisances en matière de normes, de compétences de la main-d</w:t>
      </w:r>
      <w:r w:rsidR="003D53B4">
        <w:rPr>
          <w:lang w:val="fr-FR"/>
        </w:rPr>
        <w:t>’</w:t>
      </w:r>
      <w:r w:rsidR="00DD0B62" w:rsidRPr="00DD0B62">
        <w:rPr>
          <w:lang w:val="fr-FR"/>
        </w:rPr>
        <w:t>œuvre, d</w:t>
      </w:r>
      <w:r w:rsidR="003D53B4">
        <w:rPr>
          <w:lang w:val="fr-FR"/>
        </w:rPr>
        <w:t>’</w:t>
      </w:r>
      <w:r w:rsidR="00DD0B62" w:rsidRPr="00DD0B62">
        <w:rPr>
          <w:lang w:val="fr-FR"/>
        </w:rPr>
        <w:t>acceptation par le marché et de la conformité en matière de sécurité, autant d</w:t>
      </w:r>
      <w:r w:rsidR="003D53B4">
        <w:rPr>
          <w:lang w:val="fr-FR"/>
        </w:rPr>
        <w:t>’</w:t>
      </w:r>
      <w:r w:rsidR="00DD0B62" w:rsidRPr="00DD0B62">
        <w:rPr>
          <w:lang w:val="fr-FR"/>
        </w:rPr>
        <w:t>éléments qui influent sur le rythme et la qualité des transitions technologiques.</w:t>
      </w:r>
    </w:p>
    <w:p w14:paraId="33EA1AA9" w14:textId="7BE8DCC7" w:rsidR="009B4B3A" w:rsidRPr="00DD0B62" w:rsidRDefault="00DD0B62" w:rsidP="00DD0B62">
      <w:pPr>
        <w:pStyle w:val="Heading2"/>
        <w:numPr>
          <w:ilvl w:val="0"/>
          <w:numId w:val="0"/>
        </w:numPr>
        <w:shd w:val="clear" w:color="auto" w:fill="FFFFFF" w:themeFill="background1"/>
        <w:rPr>
          <w:i/>
          <w:iCs/>
        </w:rPr>
      </w:pPr>
      <w:r w:rsidRPr="00DD0B62">
        <w:rPr>
          <w:i/>
          <w:iCs/>
          <w:lang w:val="fr-FR"/>
        </w:rPr>
        <w:t>Réfrigération domestique</w:t>
      </w:r>
    </w:p>
    <w:p w14:paraId="7FA9373D" w14:textId="01A0B956" w:rsidR="00DD0B62" w:rsidRPr="000A3231" w:rsidRDefault="00DD0B62" w:rsidP="00DD0B62">
      <w:pPr>
        <w:pStyle w:val="Heading1"/>
        <w:shd w:val="clear" w:color="auto" w:fill="FFFFFF" w:themeFill="background1"/>
        <w:rPr>
          <w:lang w:val="fr-CA"/>
        </w:rPr>
      </w:pPr>
      <w:r w:rsidRPr="00DD0B62">
        <w:rPr>
          <w:lang w:val="fr-FR"/>
        </w:rPr>
        <w:t>Les projets de conversion des systèmes de réfrigération domestique n</w:t>
      </w:r>
      <w:r w:rsidR="003D53B4">
        <w:rPr>
          <w:lang w:val="fr-FR"/>
        </w:rPr>
        <w:t>’</w:t>
      </w:r>
      <w:r w:rsidRPr="00DD0B62">
        <w:rPr>
          <w:lang w:val="fr-FR"/>
        </w:rPr>
        <w:t>étant pas encore entrés en phase de mise en œuvre, des difficultés techniques sont anticipées mais doivent être encore confirmées par l</w:t>
      </w:r>
      <w:r w:rsidR="003D53B4">
        <w:rPr>
          <w:lang w:val="fr-FR"/>
        </w:rPr>
        <w:t>’</w:t>
      </w:r>
      <w:r w:rsidRPr="00DD0B62">
        <w:rPr>
          <w:lang w:val="fr-FR"/>
        </w:rPr>
        <w:t>expérience pratique.</w:t>
      </w:r>
      <w:r w:rsidRPr="000A3231">
        <w:rPr>
          <w:lang w:val="fr-CA"/>
        </w:rPr>
        <w:t xml:space="preserve"> </w:t>
      </w:r>
      <w:r w:rsidRPr="00DD0B62">
        <w:rPr>
          <w:lang w:val="fr-FR"/>
        </w:rPr>
        <w:t>S</w:t>
      </w:r>
      <w:r w:rsidR="003D53B4">
        <w:rPr>
          <w:lang w:val="fr-FR"/>
        </w:rPr>
        <w:t>’</w:t>
      </w:r>
      <w:r w:rsidRPr="00DD0B62">
        <w:rPr>
          <w:lang w:val="fr-FR"/>
        </w:rPr>
        <w:t xml:space="preserve">appuyant sur les caractéristiques </w:t>
      </w:r>
      <w:r w:rsidR="003D53B4">
        <w:rPr>
          <w:lang w:val="fr-FR"/>
        </w:rPr>
        <w:t xml:space="preserve">des </w:t>
      </w:r>
      <w:r w:rsidRPr="00DD0B62">
        <w:rPr>
          <w:lang w:val="fr-FR"/>
        </w:rPr>
        <w:t>frigorigènes à base de HC généralement utilisés dans ce sous-secteur, les principaux enjeux techniques concerneront probablement la gestion de la sécurité des frigorigènes inflammables, l</w:t>
      </w:r>
      <w:r w:rsidR="003D53B4">
        <w:rPr>
          <w:lang w:val="fr-FR"/>
        </w:rPr>
        <w:t>’</w:t>
      </w:r>
      <w:r w:rsidRPr="00DD0B62">
        <w:rPr>
          <w:lang w:val="fr-FR"/>
        </w:rPr>
        <w:t xml:space="preserve">adaptation des lignes de </w:t>
      </w:r>
      <w:r w:rsidR="003D53B4">
        <w:rPr>
          <w:lang w:val="fr-FR"/>
        </w:rPr>
        <w:t xml:space="preserve">fabrication </w:t>
      </w:r>
      <w:r w:rsidR="0097550B">
        <w:rPr>
          <w:lang w:val="fr-FR"/>
        </w:rPr>
        <w:t xml:space="preserve">et </w:t>
      </w:r>
      <w:r w:rsidRPr="00DD0B62">
        <w:rPr>
          <w:lang w:val="fr-FR"/>
        </w:rPr>
        <w:t>des protocoles de tests de sécurité, ainsi que la certification des équipements de fabrication convertis.</w:t>
      </w:r>
      <w:r w:rsidRPr="000A3231">
        <w:rPr>
          <w:lang w:val="fr-CA"/>
        </w:rPr>
        <w:t xml:space="preserve"> </w:t>
      </w:r>
      <w:r w:rsidRPr="00DD0B62">
        <w:rPr>
          <w:lang w:val="fr-FR"/>
        </w:rPr>
        <w:t>Des informations techniques détaillées seront disponibles à mesure que les projets avancent.</w:t>
      </w:r>
    </w:p>
    <w:p w14:paraId="1DD9B28B" w14:textId="47E4C079" w:rsidR="009B4B3A" w:rsidRPr="00F94167" w:rsidRDefault="00F94167" w:rsidP="00F94167">
      <w:pPr>
        <w:pStyle w:val="Heading2"/>
        <w:keepNext/>
        <w:widowControl w:val="0"/>
        <w:numPr>
          <w:ilvl w:val="0"/>
          <w:numId w:val="0"/>
        </w:numPr>
        <w:shd w:val="clear" w:color="auto" w:fill="FFFFFF" w:themeFill="background1"/>
        <w:rPr>
          <w:i/>
          <w:iCs/>
        </w:rPr>
      </w:pPr>
      <w:r w:rsidRPr="00F94167">
        <w:rPr>
          <w:i/>
          <w:iCs/>
          <w:lang w:val="fr-FR"/>
        </w:rPr>
        <w:t>Réfrigération commerciale</w:t>
      </w:r>
    </w:p>
    <w:p w14:paraId="25F8567B" w14:textId="2FA96A48" w:rsidR="00F94167" w:rsidRPr="000A3231" w:rsidRDefault="00F94167" w:rsidP="00F94167">
      <w:pPr>
        <w:pStyle w:val="Heading1"/>
        <w:keepNext/>
        <w:widowControl w:val="0"/>
        <w:shd w:val="clear" w:color="auto" w:fill="FFFFFF" w:themeFill="background1"/>
        <w:rPr>
          <w:lang w:val="fr-CA"/>
        </w:rPr>
      </w:pPr>
      <w:r w:rsidRPr="00F94167">
        <w:rPr>
          <w:lang w:val="fr-FR"/>
        </w:rPr>
        <w:t>Les systèmes de réfrigération commerciale représentent l</w:t>
      </w:r>
      <w:r w:rsidR="003D53B4">
        <w:rPr>
          <w:lang w:val="fr-FR"/>
        </w:rPr>
        <w:t>’</w:t>
      </w:r>
      <w:r w:rsidRPr="00F94167">
        <w:rPr>
          <w:lang w:val="fr-FR"/>
        </w:rPr>
        <w:t>un des défis techniques les plus complexes du secteur de la réfrigération, de la climatisation et des pompes à chaleur, compte tenu de la diversité des frigorigènes utilisés, notamment les hydrocarbures, le CO₂ et l</w:t>
      </w:r>
      <w:r w:rsidR="003D53B4">
        <w:rPr>
          <w:lang w:val="fr-FR"/>
        </w:rPr>
        <w:t>’</w:t>
      </w:r>
      <w:r w:rsidRPr="00F94167">
        <w:rPr>
          <w:lang w:val="fr-FR"/>
        </w:rPr>
        <w:t>ammoniac.</w:t>
      </w:r>
      <w:r w:rsidRPr="000A3231">
        <w:rPr>
          <w:lang w:val="fr-CA"/>
        </w:rPr>
        <w:t xml:space="preserve"> </w:t>
      </w:r>
      <w:r w:rsidRPr="00F94167">
        <w:rPr>
          <w:lang w:val="fr-FR"/>
        </w:rPr>
        <w:t>Une contrainte fondamentale réside dans les capacités de conception et d</w:t>
      </w:r>
      <w:r w:rsidR="003D53B4">
        <w:rPr>
          <w:lang w:val="fr-FR"/>
        </w:rPr>
        <w:t>’</w:t>
      </w:r>
      <w:r w:rsidRPr="00F94167">
        <w:rPr>
          <w:lang w:val="fr-FR"/>
        </w:rPr>
        <w:t xml:space="preserve">ingénierie limitées au sein des fabricants locaux pour le </w:t>
      </w:r>
      <w:r w:rsidRPr="00F94167">
        <w:rPr>
          <w:lang w:val="fr-FR"/>
        </w:rPr>
        <w:lastRenderedPageBreak/>
        <w:t>développement de systèmes de réfrigération à faible PRP, en particulier les configurations en cascade de CO₂ à plusieurs étages et les applications à forte charge des hydrocarbures.</w:t>
      </w:r>
      <w:r w:rsidRPr="000A3231">
        <w:rPr>
          <w:lang w:val="fr-CA"/>
        </w:rPr>
        <w:t xml:space="preserve"> </w:t>
      </w:r>
      <w:r w:rsidRPr="00F94167">
        <w:rPr>
          <w:lang w:val="fr-FR"/>
        </w:rPr>
        <w:t>S</w:t>
      </w:r>
      <w:r w:rsidR="003D53B4">
        <w:rPr>
          <w:lang w:val="fr-FR"/>
        </w:rPr>
        <w:t>’</w:t>
      </w:r>
      <w:r w:rsidRPr="00F94167">
        <w:rPr>
          <w:lang w:val="fr-FR"/>
        </w:rPr>
        <w:t>ajoutant à cet aspect, la manipulation des frigorigènes inflammables exige une main-d</w:t>
      </w:r>
      <w:r w:rsidR="003D53B4">
        <w:rPr>
          <w:lang w:val="fr-FR"/>
        </w:rPr>
        <w:t>’</w:t>
      </w:r>
      <w:r w:rsidRPr="00F94167">
        <w:rPr>
          <w:lang w:val="fr-FR"/>
        </w:rPr>
        <w:t>œuvre qualifiée et des infrastructures de sécurité modernisées, deux éléments qui demeurent insuffisants dans de nombreux pays visés à l</w:t>
      </w:r>
      <w:r w:rsidR="003D53B4">
        <w:rPr>
          <w:lang w:val="fr-FR"/>
        </w:rPr>
        <w:t>’</w:t>
      </w:r>
      <w:r w:rsidRPr="00F94167">
        <w:rPr>
          <w:lang w:val="fr-FR"/>
        </w:rPr>
        <w:t>article 5. Par ailleurs, l</w:t>
      </w:r>
      <w:r w:rsidR="003D53B4">
        <w:rPr>
          <w:lang w:val="fr-FR"/>
        </w:rPr>
        <w:t>’</w:t>
      </w:r>
      <w:r w:rsidRPr="00F94167">
        <w:rPr>
          <w:lang w:val="fr-FR"/>
        </w:rPr>
        <w:t>absence ou l</w:t>
      </w:r>
      <w:r w:rsidR="003D53B4">
        <w:rPr>
          <w:lang w:val="fr-FR"/>
        </w:rPr>
        <w:t>’</w:t>
      </w:r>
      <w:r w:rsidRPr="00F94167">
        <w:rPr>
          <w:lang w:val="fr-FR"/>
        </w:rPr>
        <w:t>obsolescence des normes et méthodes d</w:t>
      </w:r>
      <w:r w:rsidR="003D53B4">
        <w:rPr>
          <w:lang w:val="fr-FR"/>
        </w:rPr>
        <w:t>’</w:t>
      </w:r>
      <w:r w:rsidRPr="00F94167">
        <w:rPr>
          <w:lang w:val="fr-FR"/>
        </w:rPr>
        <w:t>essai nationales, notamment celles concernant les essais relatifs aux NMPE des systèmes de réfrigération commerciaux lorsqu</w:t>
      </w:r>
      <w:r w:rsidR="003D53B4">
        <w:rPr>
          <w:lang w:val="fr-FR"/>
        </w:rPr>
        <w:t>’</w:t>
      </w:r>
      <w:r w:rsidRPr="00F94167">
        <w:rPr>
          <w:lang w:val="fr-FR"/>
        </w:rPr>
        <w:t>elles sont disponibles, engendre</w:t>
      </w:r>
      <w:r w:rsidR="003D53B4">
        <w:rPr>
          <w:lang w:val="fr-FR"/>
        </w:rPr>
        <w:t>nt</w:t>
      </w:r>
      <w:r w:rsidRPr="00F94167">
        <w:rPr>
          <w:lang w:val="fr-FR"/>
        </w:rPr>
        <w:t xml:space="preserve"> une incertitude réglementaire supplémentaire susceptible de ralentir la conversion des produits ou leur introduction sur le marché local.</w:t>
      </w:r>
    </w:p>
    <w:p w14:paraId="24C10B4C" w14:textId="2F628C0F" w:rsidR="00F94167" w:rsidRPr="000A3231" w:rsidRDefault="00F94167" w:rsidP="00F94167">
      <w:pPr>
        <w:pStyle w:val="Heading1"/>
        <w:shd w:val="clear" w:color="auto" w:fill="FFFFFF" w:themeFill="background1"/>
        <w:rPr>
          <w:lang w:val="fr-CA"/>
        </w:rPr>
      </w:pPr>
      <w:r w:rsidRPr="00F94167">
        <w:rPr>
          <w:lang w:val="fr-FR"/>
        </w:rPr>
        <w:t>Les difficultés d</w:t>
      </w:r>
      <w:r w:rsidR="003D53B4">
        <w:rPr>
          <w:lang w:val="fr-FR"/>
        </w:rPr>
        <w:t>’</w:t>
      </w:r>
      <w:r w:rsidRPr="00F94167">
        <w:rPr>
          <w:lang w:val="fr-FR"/>
        </w:rPr>
        <w:t xml:space="preserve">adoption par le marché </w:t>
      </w:r>
      <w:r w:rsidR="004F50FA">
        <w:rPr>
          <w:lang w:val="fr-FR"/>
        </w:rPr>
        <w:t>intensifient la</w:t>
      </w:r>
      <w:r w:rsidRPr="00F94167">
        <w:rPr>
          <w:lang w:val="fr-FR"/>
        </w:rPr>
        <w:t xml:space="preserve"> complexité </w:t>
      </w:r>
      <w:r w:rsidR="004F50FA">
        <w:rPr>
          <w:lang w:val="fr-FR"/>
        </w:rPr>
        <w:t xml:space="preserve">de </w:t>
      </w:r>
      <w:r w:rsidRPr="00F94167">
        <w:rPr>
          <w:lang w:val="fr-FR"/>
        </w:rPr>
        <w:t>la transition.</w:t>
      </w:r>
      <w:r w:rsidRPr="000A3231">
        <w:rPr>
          <w:lang w:val="fr-CA"/>
        </w:rPr>
        <w:t xml:space="preserve"> </w:t>
      </w:r>
      <w:r w:rsidRPr="00F94167">
        <w:rPr>
          <w:lang w:val="fr-FR"/>
        </w:rPr>
        <w:t>Les hésitations à l</w:t>
      </w:r>
      <w:r w:rsidR="003D53B4">
        <w:rPr>
          <w:lang w:val="fr-FR"/>
        </w:rPr>
        <w:t>’</w:t>
      </w:r>
      <w:r w:rsidRPr="00F94167">
        <w:rPr>
          <w:lang w:val="fr-FR"/>
        </w:rPr>
        <w:t>égard des systèmes à base d</w:t>
      </w:r>
      <w:r w:rsidR="003D53B4">
        <w:rPr>
          <w:lang w:val="fr-FR"/>
        </w:rPr>
        <w:t>’</w:t>
      </w:r>
      <w:r w:rsidRPr="00F94167">
        <w:rPr>
          <w:lang w:val="fr-FR"/>
        </w:rPr>
        <w:t>hydrocarbures persistent, tout particulièrement du fait des charges de frigorigène importantes, tandis que les systèmes au CO₂, bien que plus largement acceptés dans certaines applications commerciales, exigent un niveau d</w:t>
      </w:r>
      <w:r w:rsidR="003D53B4">
        <w:rPr>
          <w:lang w:val="fr-FR"/>
        </w:rPr>
        <w:t>’</w:t>
      </w:r>
      <w:r w:rsidRPr="00F94167">
        <w:rPr>
          <w:lang w:val="fr-FR"/>
        </w:rPr>
        <w:t>expertise technique plus élevé que de nombreux fabricants locaux ne possèdent pas encore.</w:t>
      </w:r>
      <w:r w:rsidRPr="000A3231">
        <w:rPr>
          <w:lang w:val="fr-CA"/>
        </w:rPr>
        <w:t xml:space="preserve"> </w:t>
      </w:r>
      <w:r w:rsidRPr="00F94167">
        <w:rPr>
          <w:lang w:val="fr-FR"/>
        </w:rPr>
        <w:t>Les craintes en matière de fiabilité demeurent également importantes, avec des pannes fréquentes de compresseurs dans des conditions de fonctionnement à haute température, en particulier dans les climats chauds, ce qui constitue un défi permanent pour la performance constante des systèmes à faible PRP sur le terrain ou un manque de capacité à concevoir correctement des systèmes à base de CO₂ dans de telles conditions de fonctionnement.</w:t>
      </w:r>
    </w:p>
    <w:p w14:paraId="4733CF2C" w14:textId="32633243" w:rsidR="009B4B3A" w:rsidRPr="00F94167" w:rsidRDefault="00F94167" w:rsidP="00F94167">
      <w:pPr>
        <w:pStyle w:val="Heading2"/>
        <w:numPr>
          <w:ilvl w:val="0"/>
          <w:numId w:val="0"/>
        </w:numPr>
        <w:shd w:val="clear" w:color="auto" w:fill="FFFFFF" w:themeFill="background1"/>
        <w:rPr>
          <w:i/>
          <w:iCs/>
        </w:rPr>
      </w:pPr>
      <w:r w:rsidRPr="00F94167">
        <w:rPr>
          <w:i/>
          <w:iCs/>
          <w:lang w:val="fr-FR"/>
        </w:rPr>
        <w:t>Climatis</w:t>
      </w:r>
      <w:r w:rsidR="0097550B">
        <w:rPr>
          <w:i/>
          <w:iCs/>
          <w:lang w:val="fr-FR"/>
        </w:rPr>
        <w:t xml:space="preserve">ation </w:t>
      </w:r>
      <w:r w:rsidRPr="00F94167">
        <w:rPr>
          <w:i/>
          <w:iCs/>
          <w:lang w:val="fr-FR"/>
        </w:rPr>
        <w:t>résidentiel</w:t>
      </w:r>
      <w:r w:rsidR="0097550B">
        <w:rPr>
          <w:i/>
          <w:iCs/>
          <w:lang w:val="fr-FR"/>
        </w:rPr>
        <w:t>le</w:t>
      </w:r>
    </w:p>
    <w:p w14:paraId="4BCD4077" w14:textId="194C5300" w:rsidR="00F94167" w:rsidRPr="000A3231" w:rsidRDefault="00F94167" w:rsidP="00F94167">
      <w:pPr>
        <w:pStyle w:val="Heading1"/>
        <w:shd w:val="clear" w:color="auto" w:fill="FFFFFF" w:themeFill="background1"/>
        <w:rPr>
          <w:lang w:val="fr-CA"/>
        </w:rPr>
      </w:pPr>
      <w:r w:rsidRPr="00F94167">
        <w:rPr>
          <w:lang w:val="fr-FR"/>
        </w:rPr>
        <w:t>Les obstacles techniques et réglementaires à la conversion des systèmes de climatisation résidentiels concernent principalement les normes de sécurité, les processus de certification et la confiance du marché.</w:t>
      </w:r>
      <w:r w:rsidRPr="000A3231">
        <w:rPr>
          <w:lang w:val="fr-CA"/>
        </w:rPr>
        <w:t xml:space="preserve"> </w:t>
      </w:r>
      <w:r w:rsidRPr="00F94167">
        <w:rPr>
          <w:lang w:val="fr-FR"/>
        </w:rPr>
        <w:t>Les risques d</w:t>
      </w:r>
      <w:r w:rsidR="003D53B4">
        <w:rPr>
          <w:lang w:val="fr-FR"/>
        </w:rPr>
        <w:t>’</w:t>
      </w:r>
      <w:r w:rsidRPr="00F94167">
        <w:rPr>
          <w:lang w:val="fr-FR"/>
        </w:rPr>
        <w:t>inflammabilité associés aux frigorigènes A2L et A3 continuent de peser sur leur acceptation par le marché, notamment auprès des installateurs, des détaillants et des consommateurs qui demeurent prudents.</w:t>
      </w:r>
      <w:r w:rsidRPr="000A3231">
        <w:rPr>
          <w:lang w:val="fr-CA"/>
        </w:rPr>
        <w:t xml:space="preserve"> </w:t>
      </w:r>
      <w:r w:rsidRPr="00F94167">
        <w:rPr>
          <w:lang w:val="fr-FR"/>
        </w:rPr>
        <w:t xml:space="preserve">Ce manque de confiance est encore aggravé par les coûts élevés de certification et de vérification des lignes de </w:t>
      </w:r>
      <w:r w:rsidR="007A21C6">
        <w:rPr>
          <w:lang w:val="fr-FR"/>
        </w:rPr>
        <w:t>fabrication</w:t>
      </w:r>
      <w:r w:rsidRPr="00F94167">
        <w:rPr>
          <w:lang w:val="fr-FR"/>
        </w:rPr>
        <w:t xml:space="preserve"> converties, dus au nombre limité de prestataires de services agréés dans de nombreux pays visés à l</w:t>
      </w:r>
      <w:r w:rsidR="003D53B4">
        <w:rPr>
          <w:lang w:val="fr-FR"/>
        </w:rPr>
        <w:t>’</w:t>
      </w:r>
      <w:r w:rsidRPr="00F94167">
        <w:rPr>
          <w:lang w:val="fr-FR"/>
        </w:rPr>
        <w:t>article 5. Par ailleurs, la conformité aux exigences de sécurité relatives aux frigorigènes A2L et A3, notamment les limites de charge, les caractéristiques des composants et la formation des installateurs, constitue un obstacle technique supplémentaire et souvent complexe pour les fabricants entreprenant cette conversion.</w:t>
      </w:r>
    </w:p>
    <w:p w14:paraId="6B9A2ECC" w14:textId="13AD5019" w:rsidR="009B4B3A" w:rsidRPr="00F94167" w:rsidRDefault="00F94167" w:rsidP="00F94167">
      <w:pPr>
        <w:pStyle w:val="Heading2"/>
        <w:numPr>
          <w:ilvl w:val="0"/>
          <w:numId w:val="0"/>
        </w:numPr>
        <w:shd w:val="clear" w:color="auto" w:fill="FFFFFF" w:themeFill="background1"/>
        <w:rPr>
          <w:i/>
          <w:iCs/>
        </w:rPr>
      </w:pPr>
      <w:r w:rsidRPr="00F94167">
        <w:rPr>
          <w:i/>
          <w:iCs/>
          <w:lang w:val="fr-FR"/>
        </w:rPr>
        <w:t>Climatisation commercial</w:t>
      </w:r>
      <w:r w:rsidR="004F50FA">
        <w:rPr>
          <w:i/>
          <w:iCs/>
          <w:lang w:val="fr-FR"/>
        </w:rPr>
        <w:t>e</w:t>
      </w:r>
    </w:p>
    <w:p w14:paraId="5A112F63" w14:textId="1CF7DC20" w:rsidR="00D216A7" w:rsidRPr="000A3231" w:rsidRDefault="00D216A7" w:rsidP="00D216A7">
      <w:pPr>
        <w:pStyle w:val="Heading1"/>
        <w:shd w:val="clear" w:color="auto" w:fill="FFFFFF" w:themeFill="background1"/>
        <w:rPr>
          <w:lang w:val="fr-CA"/>
        </w:rPr>
      </w:pPr>
      <w:r w:rsidRPr="00D216A7">
        <w:rPr>
          <w:lang w:val="fr-FR"/>
        </w:rPr>
        <w:t>La conversion des systèmes de climatisation commerciaux est confrontée à des défis techniques complexes qui portent sur la capacité de la main-d</w:t>
      </w:r>
      <w:r w:rsidR="003D53B4">
        <w:rPr>
          <w:lang w:val="fr-FR"/>
        </w:rPr>
        <w:t>’</w:t>
      </w:r>
      <w:r w:rsidRPr="00D216A7">
        <w:rPr>
          <w:lang w:val="fr-FR"/>
        </w:rPr>
        <w:t xml:space="preserve">œuvre, </w:t>
      </w:r>
      <w:r w:rsidRPr="007A21C6">
        <w:rPr>
          <w:lang w:val="fr-FR"/>
        </w:rPr>
        <w:t>l</w:t>
      </w:r>
      <w:r w:rsidR="003D53B4" w:rsidRPr="007A21C6">
        <w:rPr>
          <w:lang w:val="fr-FR"/>
        </w:rPr>
        <w:t>’</w:t>
      </w:r>
      <w:r w:rsidRPr="007A21C6">
        <w:rPr>
          <w:lang w:val="fr-FR"/>
        </w:rPr>
        <w:t>état de préparation des règlementations</w:t>
      </w:r>
      <w:r w:rsidRPr="00D216A7">
        <w:rPr>
          <w:lang w:val="fr-FR"/>
        </w:rPr>
        <w:t xml:space="preserve"> et à la connaissance du marché.</w:t>
      </w:r>
      <w:r w:rsidRPr="000A3231">
        <w:rPr>
          <w:lang w:val="fr-CA"/>
        </w:rPr>
        <w:t xml:space="preserve"> </w:t>
      </w:r>
      <w:r w:rsidRPr="00D216A7">
        <w:rPr>
          <w:lang w:val="fr-FR"/>
        </w:rPr>
        <w:t>L</w:t>
      </w:r>
      <w:r w:rsidR="003D53B4">
        <w:rPr>
          <w:lang w:val="fr-FR"/>
        </w:rPr>
        <w:t>’</w:t>
      </w:r>
      <w:r w:rsidRPr="00D216A7">
        <w:rPr>
          <w:lang w:val="fr-FR"/>
        </w:rPr>
        <w:t xml:space="preserve">une des principales préoccupations réside dans les capacités locales limitées à concevoir et à fabriquer des équipements configurés pour des frigorigènes à faible PRP, </w:t>
      </w:r>
      <w:r w:rsidR="004F50FA">
        <w:rPr>
          <w:lang w:val="fr-FR"/>
        </w:rPr>
        <w:t>notamment</w:t>
      </w:r>
      <w:r w:rsidRPr="00D216A7">
        <w:rPr>
          <w:lang w:val="fr-FR"/>
        </w:rPr>
        <w:t xml:space="preserve"> pour les systèmes commerciaux de grande capacité où la complexité technique est</w:t>
      </w:r>
      <w:r w:rsidR="004F50FA">
        <w:rPr>
          <w:lang w:val="fr-FR"/>
        </w:rPr>
        <w:t xml:space="preserve"> particulièrement</w:t>
      </w:r>
      <w:r w:rsidRPr="00D216A7">
        <w:rPr>
          <w:lang w:val="fr-FR"/>
        </w:rPr>
        <w:t xml:space="preserve"> élevée.</w:t>
      </w:r>
      <w:r w:rsidRPr="000A3231">
        <w:rPr>
          <w:lang w:val="fr-CA"/>
        </w:rPr>
        <w:t xml:space="preserve"> </w:t>
      </w:r>
      <w:r w:rsidRPr="00D216A7">
        <w:rPr>
          <w:lang w:val="fr-FR"/>
        </w:rPr>
        <w:t>Cette situation est aggravée par une pénurie importante de techniciens formés et certifiés pour l</w:t>
      </w:r>
      <w:r w:rsidR="003D53B4">
        <w:rPr>
          <w:lang w:val="fr-FR"/>
        </w:rPr>
        <w:t>’</w:t>
      </w:r>
      <w:r w:rsidRPr="00D216A7">
        <w:rPr>
          <w:lang w:val="fr-FR"/>
        </w:rPr>
        <w:t>installation, l</w:t>
      </w:r>
      <w:r w:rsidR="003D53B4">
        <w:rPr>
          <w:lang w:val="fr-FR"/>
        </w:rPr>
        <w:t>’</w:t>
      </w:r>
      <w:r w:rsidRPr="00D216A7">
        <w:rPr>
          <w:lang w:val="fr-FR"/>
        </w:rPr>
        <w:t>entretien et la maintenance des systèmes utilisant des frigorigènes A2L et A3, ce qui compromet la capacité du secteur à assurer sur le terrain le soutien et la durabilité des équipements convertis.</w:t>
      </w:r>
    </w:p>
    <w:p w14:paraId="0A8DAE44" w14:textId="784F169A" w:rsidR="00D216A7" w:rsidRPr="000A3231" w:rsidRDefault="00D216A7" w:rsidP="00D216A7">
      <w:pPr>
        <w:pStyle w:val="Heading1"/>
        <w:widowControl w:val="0"/>
        <w:shd w:val="clear" w:color="auto" w:fill="FFFFFF" w:themeFill="background1"/>
        <w:rPr>
          <w:lang w:val="fr-CA"/>
        </w:rPr>
      </w:pPr>
      <w:r w:rsidRPr="00D216A7">
        <w:rPr>
          <w:lang w:val="fr-FR"/>
        </w:rPr>
        <w:t>Les défis réglementaires et le manque de confiance des marchés compliquent davantage la transition.</w:t>
      </w:r>
      <w:r w:rsidRPr="000A3231">
        <w:rPr>
          <w:lang w:val="fr-CA"/>
        </w:rPr>
        <w:t xml:space="preserve"> </w:t>
      </w:r>
      <w:r w:rsidRPr="00D216A7">
        <w:rPr>
          <w:lang w:val="fr-FR"/>
        </w:rPr>
        <w:t>Dans de nombreux pays, les réglementations nationales en matière de sécurité et les normes techniques relatives aux frigorigènes A2L, tels que le HFC-32, restent incomplètes ou encore en cours d</w:t>
      </w:r>
      <w:r w:rsidR="003D53B4">
        <w:rPr>
          <w:lang w:val="fr-FR"/>
        </w:rPr>
        <w:t>’</w:t>
      </w:r>
      <w:r w:rsidRPr="00D216A7">
        <w:rPr>
          <w:lang w:val="fr-FR"/>
        </w:rPr>
        <w:t>élaboration, ce qui crée une incertitude pour les fabricants et les installateurs essayant de s</w:t>
      </w:r>
      <w:r w:rsidR="003D53B4">
        <w:rPr>
          <w:lang w:val="fr-FR"/>
        </w:rPr>
        <w:t>’</w:t>
      </w:r>
      <w:r w:rsidRPr="00D216A7">
        <w:rPr>
          <w:lang w:val="fr-FR"/>
        </w:rPr>
        <w:t>y conformer.</w:t>
      </w:r>
      <w:r w:rsidRPr="000A3231">
        <w:rPr>
          <w:lang w:val="fr-CA"/>
        </w:rPr>
        <w:t xml:space="preserve"> </w:t>
      </w:r>
      <w:r w:rsidRPr="00D216A7">
        <w:rPr>
          <w:lang w:val="fr-FR"/>
        </w:rPr>
        <w:t>Les critères de sécurité liés au transport, à l</w:t>
      </w:r>
      <w:r w:rsidR="003D53B4">
        <w:rPr>
          <w:lang w:val="fr-FR"/>
        </w:rPr>
        <w:t>’</w:t>
      </w:r>
      <w:r w:rsidRPr="00D216A7">
        <w:rPr>
          <w:lang w:val="fr-FR"/>
        </w:rPr>
        <w:t>installation et à l</w:t>
      </w:r>
      <w:r w:rsidR="003D53B4">
        <w:rPr>
          <w:lang w:val="fr-FR"/>
        </w:rPr>
        <w:t>’</w:t>
      </w:r>
      <w:r w:rsidRPr="00D216A7">
        <w:rPr>
          <w:lang w:val="fr-FR"/>
        </w:rPr>
        <w:t>entretien des frigorigènes légèrement inflammables continuent d</w:t>
      </w:r>
      <w:r w:rsidR="003D53B4">
        <w:rPr>
          <w:lang w:val="fr-FR"/>
        </w:rPr>
        <w:t>’</w:t>
      </w:r>
      <w:r w:rsidRPr="00D216A7">
        <w:rPr>
          <w:lang w:val="fr-FR"/>
        </w:rPr>
        <w:t>influe</w:t>
      </w:r>
      <w:r w:rsidR="007A21C6">
        <w:rPr>
          <w:lang w:val="fr-FR"/>
        </w:rPr>
        <w:t>r sur</w:t>
      </w:r>
      <w:r w:rsidRPr="00D216A7">
        <w:rPr>
          <w:lang w:val="fr-FR"/>
        </w:rPr>
        <w:t xml:space="preserve"> la confiance du marché et les décisions d</w:t>
      </w:r>
      <w:r w:rsidR="003D53B4">
        <w:rPr>
          <w:lang w:val="fr-FR"/>
        </w:rPr>
        <w:t>’</w:t>
      </w:r>
      <w:r w:rsidRPr="00D216A7">
        <w:rPr>
          <w:lang w:val="fr-FR"/>
        </w:rPr>
        <w:t>achat, tandis que la prise de conscience limitée de la part des techniciens, des détaillants et des consommateurs concernant les nouvelles technologies des frigorigènes et les bonnes pratiques de manipulation demeure un frein persistant à leur adoption par le marché.</w:t>
      </w:r>
    </w:p>
    <w:p w14:paraId="09F69F13" w14:textId="27D298A0" w:rsidR="009B4B3A" w:rsidRPr="000A3231" w:rsidRDefault="00463C37" w:rsidP="00463C37">
      <w:pPr>
        <w:pStyle w:val="Heading1"/>
        <w:widowControl w:val="0"/>
        <w:numPr>
          <w:ilvl w:val="0"/>
          <w:numId w:val="0"/>
        </w:numPr>
        <w:shd w:val="clear" w:color="auto" w:fill="FFFFFF" w:themeFill="background1"/>
        <w:rPr>
          <w:rFonts w:eastAsia="Arial"/>
          <w:b/>
          <w:bCs/>
          <w:lang w:val="fr-CA"/>
        </w:rPr>
      </w:pPr>
      <w:r w:rsidRPr="00463C37">
        <w:rPr>
          <w:rFonts w:eastAsia="Arial"/>
          <w:b/>
          <w:bCs/>
          <w:lang w:val="fr-FR"/>
        </w:rPr>
        <w:lastRenderedPageBreak/>
        <w:t>Questions relatives aux petites et moyennes entreprises</w:t>
      </w:r>
    </w:p>
    <w:p w14:paraId="6DAC7E83" w14:textId="0DF2BFBC" w:rsidR="00463C37" w:rsidRPr="000A3231" w:rsidRDefault="00463C37" w:rsidP="00463C37">
      <w:pPr>
        <w:pStyle w:val="Heading1"/>
        <w:widowControl w:val="0"/>
        <w:shd w:val="clear" w:color="auto" w:fill="FFFFFF" w:themeFill="background1"/>
        <w:rPr>
          <w:lang w:val="fr-CA"/>
        </w:rPr>
      </w:pPr>
      <w:r w:rsidRPr="00463C37">
        <w:rPr>
          <w:lang w:val="fr-FR"/>
        </w:rPr>
        <w:t xml:space="preserve">Les </w:t>
      </w:r>
      <w:r w:rsidR="007A21C6">
        <w:rPr>
          <w:lang w:val="fr-FR"/>
        </w:rPr>
        <w:t xml:space="preserve">petits et moyens fabricants </w:t>
      </w:r>
      <w:r w:rsidR="00165195">
        <w:rPr>
          <w:lang w:val="fr-FR"/>
        </w:rPr>
        <w:t>s</w:t>
      </w:r>
      <w:r w:rsidRPr="00463C37">
        <w:rPr>
          <w:lang w:val="fr-FR"/>
        </w:rPr>
        <w:t xml:space="preserve">ont confrontés à des problèmes de disponibilité particulièrement graves en raison de leur </w:t>
      </w:r>
      <w:r w:rsidR="00165195">
        <w:rPr>
          <w:lang w:val="fr-FR"/>
        </w:rPr>
        <w:t>capacité</w:t>
      </w:r>
      <w:r w:rsidRPr="00463C37">
        <w:rPr>
          <w:lang w:val="fr-FR"/>
        </w:rPr>
        <w:t xml:space="preserve"> </w:t>
      </w:r>
      <w:r w:rsidR="00165195">
        <w:rPr>
          <w:lang w:val="fr-FR"/>
        </w:rPr>
        <w:t>commerciale</w:t>
      </w:r>
      <w:r w:rsidRPr="00463C37">
        <w:rPr>
          <w:lang w:val="fr-FR"/>
        </w:rPr>
        <w:t xml:space="preserve"> limité</w:t>
      </w:r>
      <w:r w:rsidR="00165195">
        <w:rPr>
          <w:lang w:val="fr-FR"/>
        </w:rPr>
        <w:t>e</w:t>
      </w:r>
      <w:r w:rsidRPr="00463C37">
        <w:rPr>
          <w:lang w:val="fr-FR"/>
        </w:rPr>
        <w:t>, de leurs petits volumes de commandes et de leur intégration moindre aux chaînes d</w:t>
      </w:r>
      <w:r w:rsidR="003D53B4">
        <w:rPr>
          <w:lang w:val="fr-FR"/>
        </w:rPr>
        <w:t>’</w:t>
      </w:r>
      <w:r w:rsidRPr="00463C37">
        <w:rPr>
          <w:lang w:val="fr-FR"/>
        </w:rPr>
        <w:t>approvisionnement internationales.</w:t>
      </w:r>
      <w:r w:rsidRPr="000A3231">
        <w:rPr>
          <w:lang w:val="fr-CA"/>
        </w:rPr>
        <w:t xml:space="preserve"> </w:t>
      </w:r>
      <w:r w:rsidRPr="00463C37">
        <w:rPr>
          <w:lang w:val="fr-FR"/>
        </w:rPr>
        <w:t>L</w:t>
      </w:r>
      <w:r w:rsidR="003D53B4">
        <w:rPr>
          <w:lang w:val="fr-FR"/>
        </w:rPr>
        <w:t>’</w:t>
      </w:r>
      <w:r w:rsidRPr="00463C37">
        <w:rPr>
          <w:lang w:val="fr-FR"/>
        </w:rPr>
        <w:t>accès aux composants de frigorigène de remplacement est limité du fait de la forte concentration des marchés d</w:t>
      </w:r>
      <w:r w:rsidR="003D53B4">
        <w:rPr>
          <w:lang w:val="fr-FR"/>
        </w:rPr>
        <w:t>’</w:t>
      </w:r>
      <w:r w:rsidRPr="00463C37">
        <w:rPr>
          <w:lang w:val="fr-FR"/>
        </w:rPr>
        <w:t>importation, où quelques distributeurs dominent l</w:t>
      </w:r>
      <w:r w:rsidR="003D53B4">
        <w:rPr>
          <w:lang w:val="fr-FR"/>
        </w:rPr>
        <w:t>’</w:t>
      </w:r>
      <w:r w:rsidRPr="00463C37">
        <w:rPr>
          <w:lang w:val="fr-FR"/>
        </w:rPr>
        <w:t>offre locale, rendant particulièrement difficile pour les PME ayant des capacités d</w:t>
      </w:r>
      <w:r w:rsidR="003D53B4">
        <w:rPr>
          <w:lang w:val="fr-FR"/>
        </w:rPr>
        <w:t>’</w:t>
      </w:r>
      <w:r w:rsidRPr="00463C37">
        <w:rPr>
          <w:lang w:val="fr-FR"/>
        </w:rPr>
        <w:t>approvisionnement limitées d</w:t>
      </w:r>
      <w:r w:rsidR="003D53B4">
        <w:rPr>
          <w:lang w:val="fr-FR"/>
        </w:rPr>
        <w:t>’</w:t>
      </w:r>
      <w:r w:rsidRPr="00463C37">
        <w:rPr>
          <w:lang w:val="fr-FR"/>
        </w:rPr>
        <w:t>identifier des sources fiables.</w:t>
      </w:r>
      <w:r w:rsidRPr="000A3231">
        <w:rPr>
          <w:lang w:val="fr-CA"/>
        </w:rPr>
        <w:t xml:space="preserve"> </w:t>
      </w:r>
      <w:r w:rsidRPr="00463C37">
        <w:rPr>
          <w:lang w:val="fr-FR"/>
        </w:rPr>
        <w:t>Ces difficultés sont encore aggravées par les exigences de commande minimale, les coûts d</w:t>
      </w:r>
      <w:r w:rsidR="003D53B4">
        <w:rPr>
          <w:lang w:val="fr-FR"/>
        </w:rPr>
        <w:t>’</w:t>
      </w:r>
      <w:r w:rsidRPr="00463C37">
        <w:rPr>
          <w:lang w:val="fr-FR"/>
        </w:rPr>
        <w:t xml:space="preserve">importation élevés et la disponibilité en baisse des composants pour les grands systèmes nécessitant des technologies spécifiques, </w:t>
      </w:r>
      <w:r w:rsidR="00165195">
        <w:rPr>
          <w:lang w:val="fr-FR"/>
        </w:rPr>
        <w:t xml:space="preserve">telles que </w:t>
      </w:r>
      <w:r w:rsidRPr="00463C37">
        <w:rPr>
          <w:lang w:val="fr-FR"/>
        </w:rPr>
        <w:t>des solutions à base de CO₂ ou d</w:t>
      </w:r>
      <w:r w:rsidR="003D53B4">
        <w:rPr>
          <w:lang w:val="fr-FR"/>
        </w:rPr>
        <w:t>’</w:t>
      </w:r>
      <w:r w:rsidRPr="00463C37">
        <w:rPr>
          <w:lang w:val="fr-FR"/>
        </w:rPr>
        <w:t>ammoniac. Par ailleurs, la disponibilité limitée d</w:t>
      </w:r>
      <w:r w:rsidR="003D53B4">
        <w:rPr>
          <w:lang w:val="fr-FR"/>
        </w:rPr>
        <w:t>’</w:t>
      </w:r>
      <w:r w:rsidRPr="00463C37">
        <w:rPr>
          <w:lang w:val="fr-FR"/>
        </w:rPr>
        <w:t>outils et d</w:t>
      </w:r>
      <w:r w:rsidR="003D53B4">
        <w:rPr>
          <w:lang w:val="fr-FR"/>
        </w:rPr>
        <w:t>’</w:t>
      </w:r>
      <w:r w:rsidRPr="00463C37">
        <w:rPr>
          <w:lang w:val="fr-FR"/>
        </w:rPr>
        <w:t>équipements spécialisés pour les procédés de fabrication à base d</w:t>
      </w:r>
      <w:r w:rsidR="003D53B4">
        <w:rPr>
          <w:lang w:val="fr-FR"/>
        </w:rPr>
        <w:t>’</w:t>
      </w:r>
      <w:r w:rsidRPr="00463C37">
        <w:rPr>
          <w:lang w:val="fr-FR"/>
        </w:rPr>
        <w:t>hydrocarbures constitue une contrainte supplémentaire à leur capacité opérationnelle.</w:t>
      </w:r>
    </w:p>
    <w:p w14:paraId="4A45206C" w14:textId="7D0F384B" w:rsidR="00D11C2B" w:rsidRPr="000A3231" w:rsidRDefault="00463C37" w:rsidP="00D11C2B">
      <w:pPr>
        <w:pStyle w:val="Heading1"/>
        <w:shd w:val="clear" w:color="auto" w:fill="FFFFFF" w:themeFill="background1"/>
        <w:rPr>
          <w:lang w:val="fr-CA"/>
        </w:rPr>
      </w:pPr>
      <w:r w:rsidRPr="00463C37">
        <w:rPr>
          <w:lang w:val="fr-FR"/>
        </w:rPr>
        <w:t xml:space="preserve">Les PME </w:t>
      </w:r>
      <w:r w:rsidR="00165195">
        <w:rPr>
          <w:lang w:val="fr-FR"/>
        </w:rPr>
        <w:t>se heurtent également</w:t>
      </w:r>
      <w:r w:rsidRPr="00463C37">
        <w:rPr>
          <w:lang w:val="fr-FR"/>
        </w:rPr>
        <w:t xml:space="preserve"> à des problèmes</w:t>
      </w:r>
      <w:r w:rsidR="00165195">
        <w:rPr>
          <w:lang w:val="fr-FR"/>
        </w:rPr>
        <w:t xml:space="preserve"> </w:t>
      </w:r>
      <w:r w:rsidRPr="00463C37">
        <w:rPr>
          <w:lang w:val="fr-FR"/>
        </w:rPr>
        <w:t>de prix accrus témoignant à la fois de leurs désavantages structurels et des exigences spécifiques liées à la transition vers des technologies à faible PRP.</w:t>
      </w:r>
      <w:r w:rsidRPr="000A3231">
        <w:rPr>
          <w:lang w:val="fr-CA"/>
        </w:rPr>
        <w:t xml:space="preserve"> </w:t>
      </w:r>
      <w:r w:rsidR="00D11C2B" w:rsidRPr="00D11C2B">
        <w:rPr>
          <w:lang w:val="fr-FR"/>
        </w:rPr>
        <w:t>Les coûts élevés des composants clés, notamment des compresseurs conçus pour les frigorigènes A3, A2L et CO₂, sont exacerbés du fait des investissements importants requis pour la mise à niveau des infrastructures de sécurité, les équipements de fabrication spécialisés et les composants certifiés ATEX.</w:t>
      </w:r>
      <w:r w:rsidR="00D11C2B" w:rsidRPr="000A3231">
        <w:rPr>
          <w:lang w:val="fr-CA"/>
        </w:rPr>
        <w:t xml:space="preserve"> </w:t>
      </w:r>
      <w:r w:rsidR="00D11C2B" w:rsidRPr="00D11C2B">
        <w:rPr>
          <w:lang w:val="fr-FR"/>
        </w:rPr>
        <w:t xml:space="preserve">Ces difficultés sont aggravées par la taille réduite du marché, les risques de taux de change et les structures fiscales nationales qui </w:t>
      </w:r>
      <w:r w:rsidR="004F50FA">
        <w:rPr>
          <w:lang w:val="fr-FR"/>
        </w:rPr>
        <w:t>nuisent à</w:t>
      </w:r>
      <w:r w:rsidR="00D11C2B" w:rsidRPr="00D11C2B">
        <w:rPr>
          <w:lang w:val="fr-FR"/>
        </w:rPr>
        <w:t xml:space="preserve"> la compétitivité des équipements fabriqués localement, tandis que les économies d</w:t>
      </w:r>
      <w:r w:rsidR="003D53B4">
        <w:rPr>
          <w:lang w:val="fr-FR"/>
        </w:rPr>
        <w:t>’</w:t>
      </w:r>
      <w:r w:rsidR="00D11C2B" w:rsidRPr="00D11C2B">
        <w:rPr>
          <w:lang w:val="fr-FR"/>
        </w:rPr>
        <w:t>échelle limitées et la très forte concurrence des fabricants multinationaux érodent les marges bénéficiaires et laissent les PME avec des ressources insuffisantes pour la recherche, le développement et l</w:t>
      </w:r>
      <w:r w:rsidR="003D53B4">
        <w:rPr>
          <w:lang w:val="fr-FR"/>
        </w:rPr>
        <w:t>’</w:t>
      </w:r>
      <w:r w:rsidR="00D11C2B" w:rsidRPr="00D11C2B">
        <w:rPr>
          <w:lang w:val="fr-FR"/>
        </w:rPr>
        <w:t>investissement dans les compétences.</w:t>
      </w:r>
    </w:p>
    <w:p w14:paraId="24D93108" w14:textId="51BBF9B3" w:rsidR="00D11C2B" w:rsidRPr="000A3231" w:rsidRDefault="00165195" w:rsidP="00D11C2B">
      <w:pPr>
        <w:pStyle w:val="Heading1"/>
        <w:shd w:val="clear" w:color="auto" w:fill="FFFFFF" w:themeFill="background1"/>
        <w:rPr>
          <w:lang w:val="fr-CA"/>
        </w:rPr>
      </w:pPr>
      <w:r>
        <w:rPr>
          <w:lang w:val="fr-FR"/>
        </w:rPr>
        <w:t>Les PME font face à des insuffisances au niveau des</w:t>
      </w:r>
      <w:r w:rsidR="00D11C2B" w:rsidRPr="00D11C2B">
        <w:rPr>
          <w:lang w:val="fr-FR"/>
        </w:rPr>
        <w:t xml:space="preserve"> techniques et de</w:t>
      </w:r>
      <w:r>
        <w:rPr>
          <w:lang w:val="fr-FR"/>
        </w:rPr>
        <w:t>s</w:t>
      </w:r>
      <w:r w:rsidR="00D11C2B" w:rsidRPr="00D11C2B">
        <w:rPr>
          <w:lang w:val="fr-FR"/>
        </w:rPr>
        <w:t xml:space="preserve"> capacités</w:t>
      </w:r>
      <w:r>
        <w:rPr>
          <w:lang w:val="fr-FR"/>
        </w:rPr>
        <w:t>. En raison de</w:t>
      </w:r>
      <w:r w:rsidR="00D11C2B" w:rsidRPr="00D11C2B">
        <w:rPr>
          <w:lang w:val="fr-FR"/>
        </w:rPr>
        <w:t xml:space="preserve"> leur accès limité à la formation, à l</w:t>
      </w:r>
      <w:r w:rsidR="003D53B4">
        <w:rPr>
          <w:lang w:val="fr-FR"/>
        </w:rPr>
        <w:t>’</w:t>
      </w:r>
      <w:r w:rsidR="00D11C2B" w:rsidRPr="00D11C2B">
        <w:rPr>
          <w:lang w:val="fr-FR"/>
        </w:rPr>
        <w:t xml:space="preserve">assistance technique et au soutien réglementaire, ces entreprises </w:t>
      </w:r>
      <w:r>
        <w:rPr>
          <w:lang w:val="fr-FR"/>
        </w:rPr>
        <w:t>se heurtent à</w:t>
      </w:r>
      <w:r w:rsidR="00D11C2B" w:rsidRPr="00D11C2B">
        <w:rPr>
          <w:lang w:val="fr-FR"/>
        </w:rPr>
        <w:t xml:space="preserve"> d</w:t>
      </w:r>
      <w:r w:rsidR="003D53B4">
        <w:rPr>
          <w:lang w:val="fr-FR"/>
        </w:rPr>
        <w:t>’</w:t>
      </w:r>
      <w:r w:rsidR="00D11C2B" w:rsidRPr="00D11C2B">
        <w:rPr>
          <w:lang w:val="fr-FR"/>
        </w:rPr>
        <w:t xml:space="preserve">importantes lacunes en matière de capacités techniques pour la refonte des systèmes, la sélection des composants, les procédures de sécurité et la gestion </w:t>
      </w:r>
      <w:r w:rsidR="00A44635">
        <w:rPr>
          <w:lang w:val="fr-FR"/>
        </w:rPr>
        <w:t>des charges de</w:t>
      </w:r>
      <w:r>
        <w:rPr>
          <w:lang w:val="fr-FR"/>
        </w:rPr>
        <w:t xml:space="preserve"> </w:t>
      </w:r>
      <w:r w:rsidR="00D11C2B" w:rsidRPr="00D11C2B">
        <w:rPr>
          <w:lang w:val="fr-FR"/>
        </w:rPr>
        <w:t>frigorigènes</w:t>
      </w:r>
      <w:r w:rsidR="00A44635">
        <w:rPr>
          <w:lang w:val="fr-FR"/>
        </w:rPr>
        <w:t xml:space="preserve">, </w:t>
      </w:r>
      <w:r>
        <w:rPr>
          <w:lang w:val="fr-FR"/>
        </w:rPr>
        <w:t xml:space="preserve">problèmes </w:t>
      </w:r>
      <w:r w:rsidR="00D11C2B" w:rsidRPr="00D11C2B">
        <w:rPr>
          <w:lang w:val="fr-FR"/>
        </w:rPr>
        <w:t>aggravés par un accès limité à l</w:t>
      </w:r>
      <w:r w:rsidR="003D53B4">
        <w:rPr>
          <w:lang w:val="fr-FR"/>
        </w:rPr>
        <w:t>’</w:t>
      </w:r>
      <w:r w:rsidR="00D11C2B" w:rsidRPr="00D11C2B">
        <w:rPr>
          <w:lang w:val="fr-FR"/>
        </w:rPr>
        <w:t>expertise et aux ressources humaines qualifiées, notamment dans les pays ne disposant pas de programmes de formation professionnelle bien établis dans le domaine des technologies de réfrigération, de climatisation et de pompes à chaleur.</w:t>
      </w:r>
      <w:r w:rsidR="00D11C2B" w:rsidRPr="000A3231">
        <w:rPr>
          <w:lang w:val="fr-CA"/>
        </w:rPr>
        <w:t xml:space="preserve"> </w:t>
      </w:r>
      <w:r w:rsidR="00D11C2B" w:rsidRPr="00D11C2B">
        <w:rPr>
          <w:lang w:val="fr-FR"/>
        </w:rPr>
        <w:t>Ces difficultés sont encore accentuées par les contraintes de conformité liées à la transition vers les NMPE, les complexités en matière de logistique et de sécurité relatives à la manipulation des frigorigènes inflammables, et le manque généralisé de sensibilisation des PME exploitantes aux réglementations applicables, aux normes techniques et aux mécanismes de soutien disponibles pour la conversion technologique.</w:t>
      </w:r>
    </w:p>
    <w:p w14:paraId="0624E314" w14:textId="513BE36D" w:rsidR="00D11C2B" w:rsidRPr="000A3231" w:rsidRDefault="00D11C2B" w:rsidP="00D11C2B">
      <w:pPr>
        <w:pStyle w:val="Heading1"/>
        <w:shd w:val="clear" w:color="auto" w:fill="FFFFFF" w:themeFill="background1"/>
        <w:rPr>
          <w:lang w:val="fr-CA"/>
        </w:rPr>
      </w:pPr>
      <w:r w:rsidRPr="00D11C2B">
        <w:rPr>
          <w:lang w:val="fr-FR"/>
        </w:rPr>
        <w:t>Un résumé des principales conclusions des différents sous-secteurs est présenté dans un document récapitulatif joint en annexe II au présent document.</w:t>
      </w:r>
    </w:p>
    <w:p w14:paraId="20B46559" w14:textId="1ADB3093" w:rsidR="009B4B3A" w:rsidRPr="000A3231" w:rsidRDefault="00D11C2B" w:rsidP="00D11C2B">
      <w:pPr>
        <w:pStyle w:val="Heading1"/>
        <w:numPr>
          <w:ilvl w:val="0"/>
          <w:numId w:val="0"/>
        </w:numPr>
        <w:shd w:val="clear" w:color="auto" w:fill="FFFFFF" w:themeFill="background1"/>
        <w:rPr>
          <w:rFonts w:eastAsia="Arial"/>
          <w:b/>
          <w:bCs/>
          <w:lang w:val="fr-CA"/>
        </w:rPr>
      </w:pPr>
      <w:r w:rsidRPr="00D11C2B">
        <w:rPr>
          <w:rFonts w:eastAsia="Arial"/>
          <w:b/>
          <w:bCs/>
          <w:lang w:val="fr-FR"/>
        </w:rPr>
        <w:t>Solutions possibles pour prendre en main les défis identifiés</w:t>
      </w:r>
    </w:p>
    <w:p w14:paraId="5F51B784" w14:textId="7660EAE2" w:rsidR="00D11C2B" w:rsidRPr="000A3231" w:rsidRDefault="00D11C2B" w:rsidP="00D11C2B">
      <w:pPr>
        <w:pStyle w:val="Heading1"/>
        <w:shd w:val="clear" w:color="auto" w:fill="FFFFFF" w:themeFill="background1"/>
        <w:rPr>
          <w:lang w:val="fr-CA"/>
        </w:rPr>
      </w:pPr>
      <w:r w:rsidRPr="00D11C2B">
        <w:rPr>
          <w:lang w:val="fr-FR"/>
        </w:rPr>
        <w:t>Les défis identifiés dans ce document couvrent de multiples dimensions - notamment la sécurité d</w:t>
      </w:r>
      <w:r w:rsidR="003D53B4">
        <w:rPr>
          <w:lang w:val="fr-FR"/>
        </w:rPr>
        <w:t>’</w:t>
      </w:r>
      <w:r w:rsidRPr="00D11C2B">
        <w:rPr>
          <w:lang w:val="fr-FR"/>
        </w:rPr>
        <w:t>approvisionnement, la compétitivité des coûts, les capacités techniques et la préparation réglementaire - qui nécessitent des réponses coordonnées aux niveaux national, régional et international.</w:t>
      </w:r>
      <w:r w:rsidRPr="000A3231">
        <w:rPr>
          <w:lang w:val="fr-CA"/>
        </w:rPr>
        <w:t xml:space="preserve"> </w:t>
      </w:r>
      <w:r w:rsidRPr="00D11C2B">
        <w:rPr>
          <w:lang w:val="fr-FR"/>
        </w:rPr>
        <w:t xml:space="preserve">Les mesures suivantes ont été suggérées dans le cadre des questionnaires reçus et des discussions </w:t>
      </w:r>
      <w:r w:rsidR="0097550B">
        <w:rPr>
          <w:lang w:val="fr-FR"/>
        </w:rPr>
        <w:t>ayant</w:t>
      </w:r>
      <w:r w:rsidRPr="00D11C2B">
        <w:rPr>
          <w:lang w:val="fr-FR"/>
        </w:rPr>
        <w:t xml:space="preserve"> eu lieu.</w:t>
      </w:r>
    </w:p>
    <w:p w14:paraId="3F557D4F" w14:textId="4BEF9DB1" w:rsidR="009E2300" w:rsidRPr="000A3231" w:rsidRDefault="009E2300" w:rsidP="009E2300">
      <w:pPr>
        <w:pStyle w:val="Heading1"/>
        <w:shd w:val="clear" w:color="auto" w:fill="FFFFFF" w:themeFill="background1"/>
        <w:rPr>
          <w:lang w:val="fr-CA"/>
        </w:rPr>
      </w:pPr>
      <w:r w:rsidRPr="009E2300">
        <w:rPr>
          <w:lang w:val="fr-FR"/>
        </w:rPr>
        <w:t>Pour répondre aux problèmes de disponibilité, les agences d</w:t>
      </w:r>
      <w:r w:rsidR="003D53B4">
        <w:rPr>
          <w:lang w:val="fr-FR"/>
        </w:rPr>
        <w:t>’</w:t>
      </w:r>
      <w:r w:rsidRPr="009E2300">
        <w:rPr>
          <w:lang w:val="fr-FR"/>
        </w:rPr>
        <w:t>exécution et les UNO pourraient faciliter la mise en place de mécanismes de regroupement de la demande afin de rassembler les volumes d</w:t>
      </w:r>
      <w:r w:rsidR="003D53B4">
        <w:rPr>
          <w:lang w:val="fr-FR"/>
        </w:rPr>
        <w:t>’</w:t>
      </w:r>
      <w:r w:rsidRPr="009E2300">
        <w:rPr>
          <w:lang w:val="fr-FR"/>
        </w:rPr>
        <w:t>achat de différents fabricants, réduisant ainsi la dépendance à l</w:t>
      </w:r>
      <w:r w:rsidR="003D53B4">
        <w:rPr>
          <w:lang w:val="fr-FR"/>
        </w:rPr>
        <w:t>’</w:t>
      </w:r>
      <w:r w:rsidRPr="009E2300">
        <w:rPr>
          <w:lang w:val="fr-FR"/>
        </w:rPr>
        <w:t>égard des circuits d</w:t>
      </w:r>
      <w:r w:rsidR="003D53B4">
        <w:rPr>
          <w:lang w:val="fr-FR"/>
        </w:rPr>
        <w:t>’</w:t>
      </w:r>
      <w:r w:rsidRPr="009E2300">
        <w:rPr>
          <w:lang w:val="fr-FR"/>
        </w:rPr>
        <w:t>importation individuels et permettant l</w:t>
      </w:r>
      <w:r w:rsidR="003D53B4">
        <w:rPr>
          <w:lang w:val="fr-FR"/>
        </w:rPr>
        <w:t>’</w:t>
      </w:r>
      <w:r w:rsidRPr="009E2300">
        <w:rPr>
          <w:lang w:val="fr-FR"/>
        </w:rPr>
        <w:t>accès à des conditions d</w:t>
      </w:r>
      <w:r w:rsidR="003D53B4">
        <w:rPr>
          <w:lang w:val="fr-FR"/>
        </w:rPr>
        <w:t>’</w:t>
      </w:r>
      <w:r w:rsidRPr="009E2300">
        <w:rPr>
          <w:lang w:val="fr-FR"/>
        </w:rPr>
        <w:t>approvisionnement plus avantageuses.</w:t>
      </w:r>
      <w:r w:rsidRPr="000A3231">
        <w:rPr>
          <w:lang w:val="fr-CA"/>
        </w:rPr>
        <w:t xml:space="preserve"> </w:t>
      </w:r>
      <w:r w:rsidRPr="009E2300">
        <w:rPr>
          <w:lang w:val="fr-FR"/>
        </w:rPr>
        <w:t>Il serait bon de compléter ce point en soutenant le développement de centres de distribution régionaux pour les frigorigènes de remplacement et les composants compatibles afin de réduire les délais de livraison et d</w:t>
      </w:r>
      <w:r w:rsidR="003D53B4">
        <w:rPr>
          <w:lang w:val="fr-FR"/>
        </w:rPr>
        <w:t>’</w:t>
      </w:r>
      <w:r w:rsidRPr="009E2300">
        <w:rPr>
          <w:lang w:val="fr-FR"/>
        </w:rPr>
        <w:t xml:space="preserve">améliorer la fiabilité </w:t>
      </w:r>
      <w:r w:rsidRPr="009E2300">
        <w:rPr>
          <w:lang w:val="fr-FR"/>
        </w:rPr>
        <w:lastRenderedPageBreak/>
        <w:t>de l</w:t>
      </w:r>
      <w:r w:rsidR="003D53B4">
        <w:rPr>
          <w:lang w:val="fr-FR"/>
        </w:rPr>
        <w:t>’</w:t>
      </w:r>
      <w:r w:rsidRPr="009E2300">
        <w:rPr>
          <w:lang w:val="fr-FR"/>
        </w:rPr>
        <w:t>approvisionnement, ainsi qu</w:t>
      </w:r>
      <w:r w:rsidR="003D53B4">
        <w:rPr>
          <w:lang w:val="fr-FR"/>
        </w:rPr>
        <w:t>’</w:t>
      </w:r>
      <w:r w:rsidRPr="009E2300">
        <w:rPr>
          <w:lang w:val="fr-FR"/>
        </w:rPr>
        <w:t>en déployant des efforts visant à renforcer les infrastructures locales et régionales de régénération et de récupération des frigorigènes afin de favoriser leur utilisation circulaire lors des opérations de conversion et d</w:t>
      </w:r>
      <w:r w:rsidR="003D53B4">
        <w:rPr>
          <w:lang w:val="fr-FR"/>
        </w:rPr>
        <w:t>’</w:t>
      </w:r>
      <w:r w:rsidRPr="009E2300">
        <w:rPr>
          <w:lang w:val="fr-FR"/>
        </w:rPr>
        <w:t>entretien.</w:t>
      </w:r>
      <w:r w:rsidRPr="000A3231">
        <w:rPr>
          <w:lang w:val="fr-CA"/>
        </w:rPr>
        <w:t xml:space="preserve"> </w:t>
      </w:r>
      <w:r w:rsidRPr="009E2300">
        <w:rPr>
          <w:lang w:val="fr-FR"/>
        </w:rPr>
        <w:t>La résilience de la chaîne d</w:t>
      </w:r>
      <w:r w:rsidR="003D53B4">
        <w:rPr>
          <w:lang w:val="fr-FR"/>
        </w:rPr>
        <w:t>’</w:t>
      </w:r>
      <w:r w:rsidRPr="009E2300">
        <w:rPr>
          <w:lang w:val="fr-FR"/>
        </w:rPr>
        <w:t xml:space="preserve">approvisionnement devrait être </w:t>
      </w:r>
      <w:r w:rsidR="00A44635">
        <w:rPr>
          <w:lang w:val="fr-FR"/>
        </w:rPr>
        <w:t>intensifié</w:t>
      </w:r>
      <w:r w:rsidRPr="009E2300">
        <w:rPr>
          <w:lang w:val="fr-FR"/>
        </w:rPr>
        <w:t>e en encourageant la diversification à l</w:t>
      </w:r>
      <w:r w:rsidR="003D53B4">
        <w:rPr>
          <w:lang w:val="fr-FR"/>
        </w:rPr>
        <w:t>’</w:t>
      </w:r>
      <w:r w:rsidRPr="009E2300">
        <w:rPr>
          <w:lang w:val="fr-FR"/>
        </w:rPr>
        <w:t>aide d</w:t>
      </w:r>
      <w:r w:rsidR="003D53B4">
        <w:rPr>
          <w:lang w:val="fr-FR"/>
        </w:rPr>
        <w:t>’</w:t>
      </w:r>
      <w:r w:rsidRPr="009E2300">
        <w:rPr>
          <w:lang w:val="fr-FR"/>
        </w:rPr>
        <w:t>une collaboration proactive avec plusieurs fournisseurs qualifiés et en soutenant les mécanismes d</w:t>
      </w:r>
      <w:r w:rsidR="003D53B4">
        <w:rPr>
          <w:lang w:val="fr-FR"/>
        </w:rPr>
        <w:t>’</w:t>
      </w:r>
      <w:r w:rsidRPr="009E2300">
        <w:rPr>
          <w:lang w:val="fr-FR"/>
        </w:rPr>
        <w:t>enregistrement et de suivi des fournisseurs afin de lutter contre le risque de frigorigènes contrefaits. Il convient également de promouvoir les plateformes de partage d</w:t>
      </w:r>
      <w:r w:rsidR="003D53B4">
        <w:rPr>
          <w:lang w:val="fr-FR"/>
        </w:rPr>
        <w:t>’</w:t>
      </w:r>
      <w:r w:rsidRPr="009E2300">
        <w:rPr>
          <w:lang w:val="fr-FR"/>
        </w:rPr>
        <w:t>informations entre les pays visés à l</w:t>
      </w:r>
      <w:r w:rsidR="003D53B4">
        <w:rPr>
          <w:lang w:val="fr-FR"/>
        </w:rPr>
        <w:t>’</w:t>
      </w:r>
      <w:r w:rsidRPr="009E2300">
        <w:rPr>
          <w:lang w:val="fr-FR"/>
        </w:rPr>
        <w:t>article 5 et les agences d</w:t>
      </w:r>
      <w:r w:rsidR="003D53B4">
        <w:rPr>
          <w:lang w:val="fr-FR"/>
        </w:rPr>
        <w:t>’</w:t>
      </w:r>
      <w:r w:rsidRPr="009E2300">
        <w:rPr>
          <w:lang w:val="fr-FR"/>
        </w:rPr>
        <w:t>exécution afin d</w:t>
      </w:r>
      <w:r w:rsidR="003D53B4">
        <w:rPr>
          <w:lang w:val="fr-FR"/>
        </w:rPr>
        <w:t>’</w:t>
      </w:r>
      <w:r w:rsidRPr="009E2300">
        <w:rPr>
          <w:lang w:val="fr-FR"/>
        </w:rPr>
        <w:t>améliorer les prévisions et l</w:t>
      </w:r>
      <w:r w:rsidR="003D53B4">
        <w:rPr>
          <w:lang w:val="fr-FR"/>
        </w:rPr>
        <w:t>’</w:t>
      </w:r>
      <w:r w:rsidRPr="009E2300">
        <w:rPr>
          <w:lang w:val="fr-FR"/>
        </w:rPr>
        <w:t>identification précoce des contraintes d</w:t>
      </w:r>
      <w:r w:rsidR="003D53B4">
        <w:rPr>
          <w:lang w:val="fr-FR"/>
        </w:rPr>
        <w:t>’</w:t>
      </w:r>
      <w:r w:rsidRPr="009E2300">
        <w:rPr>
          <w:lang w:val="fr-FR"/>
        </w:rPr>
        <w:t>approvisionnement.</w:t>
      </w:r>
      <w:r w:rsidRPr="000A3231">
        <w:rPr>
          <w:lang w:val="fr-CA"/>
        </w:rPr>
        <w:t xml:space="preserve"> </w:t>
      </w:r>
      <w:r w:rsidRPr="009E2300">
        <w:rPr>
          <w:lang w:val="fr-FR"/>
        </w:rPr>
        <w:t>Ces mesures permett</w:t>
      </w:r>
      <w:r w:rsidR="004F50FA">
        <w:rPr>
          <w:lang w:val="fr-FR"/>
        </w:rPr>
        <w:t>r</w:t>
      </w:r>
      <w:r w:rsidRPr="009E2300">
        <w:rPr>
          <w:lang w:val="fr-FR"/>
        </w:rPr>
        <w:t>aient d</w:t>
      </w:r>
      <w:r w:rsidR="003D53B4">
        <w:rPr>
          <w:lang w:val="fr-FR"/>
        </w:rPr>
        <w:t>’</w:t>
      </w:r>
      <w:r w:rsidRPr="009E2300">
        <w:rPr>
          <w:lang w:val="fr-FR"/>
        </w:rPr>
        <w:t xml:space="preserve">assurer des efforts synchronisés et des activités de réduction progressive harmonisées, </w:t>
      </w:r>
      <w:r w:rsidR="00A44635">
        <w:rPr>
          <w:lang w:val="fr-FR"/>
        </w:rPr>
        <w:t>tout particulièrement</w:t>
      </w:r>
      <w:r w:rsidRPr="009E2300">
        <w:rPr>
          <w:lang w:val="fr-FR"/>
        </w:rPr>
        <w:t xml:space="preserve"> pour les PME, allégeant ainsi la charge pesant sur l</w:t>
      </w:r>
      <w:r w:rsidR="003D53B4">
        <w:rPr>
          <w:lang w:val="fr-FR"/>
        </w:rPr>
        <w:t>’</w:t>
      </w:r>
      <w:r w:rsidRPr="009E2300">
        <w:rPr>
          <w:lang w:val="fr-FR"/>
        </w:rPr>
        <w:t>industrie.</w:t>
      </w:r>
    </w:p>
    <w:p w14:paraId="1466D5CB" w14:textId="4281604C" w:rsidR="009E2300" w:rsidRPr="000A3231" w:rsidRDefault="009E2300" w:rsidP="009E2300">
      <w:pPr>
        <w:pStyle w:val="Heading1"/>
        <w:shd w:val="clear" w:color="auto" w:fill="FFFFFF" w:themeFill="background1"/>
        <w:rPr>
          <w:lang w:val="fr-CA"/>
        </w:rPr>
      </w:pPr>
      <w:r w:rsidRPr="009E2300">
        <w:rPr>
          <w:lang w:val="fr-FR"/>
        </w:rPr>
        <w:t>Quant aux questions de prix, on s</w:t>
      </w:r>
      <w:r w:rsidR="003D53B4">
        <w:rPr>
          <w:lang w:val="fr-FR"/>
        </w:rPr>
        <w:t>’</w:t>
      </w:r>
      <w:r w:rsidRPr="009E2300">
        <w:rPr>
          <w:lang w:val="fr-FR"/>
        </w:rPr>
        <w:t>attachera à</w:t>
      </w:r>
      <w:r w:rsidR="003D53B4">
        <w:rPr>
          <w:lang w:val="fr-FR"/>
        </w:rPr>
        <w:t> </w:t>
      </w:r>
      <w:r w:rsidRPr="009E2300">
        <w:rPr>
          <w:lang w:val="fr-FR"/>
        </w:rPr>
        <w:t>explorer les possibilités de cofinancement à l</w:t>
      </w:r>
      <w:r w:rsidR="003D53B4">
        <w:rPr>
          <w:lang w:val="fr-FR"/>
        </w:rPr>
        <w:t>’</w:t>
      </w:r>
      <w:r w:rsidRPr="009E2300">
        <w:rPr>
          <w:lang w:val="fr-FR"/>
        </w:rPr>
        <w:t>aide d</w:t>
      </w:r>
      <w:r w:rsidR="003D53B4">
        <w:rPr>
          <w:lang w:val="fr-FR"/>
        </w:rPr>
        <w:t>’</w:t>
      </w:r>
      <w:r w:rsidRPr="009E2300">
        <w:rPr>
          <w:lang w:val="fr-FR"/>
        </w:rPr>
        <w:t>instruments financiers multilatéraux et bilatéraux afin de soutenir les dépenses d</w:t>
      </w:r>
      <w:r w:rsidR="003D53B4">
        <w:rPr>
          <w:lang w:val="fr-FR"/>
        </w:rPr>
        <w:t>’</w:t>
      </w:r>
      <w:r w:rsidRPr="009E2300">
        <w:rPr>
          <w:lang w:val="fr-FR"/>
        </w:rPr>
        <w:t xml:space="preserve">investissements élevées nécessaires à la modernisation des infrastructures de sécurité et à la conversion des sites de fabrication, avec des mécanismes de financement qui prennent en compte et compensent les surcoûts liés à la certification ATEX, </w:t>
      </w:r>
      <w:r w:rsidR="00A44635">
        <w:rPr>
          <w:lang w:val="fr-FR"/>
        </w:rPr>
        <w:t>à l</w:t>
      </w:r>
      <w:r w:rsidR="003D53B4">
        <w:rPr>
          <w:lang w:val="fr-FR"/>
        </w:rPr>
        <w:t>’</w:t>
      </w:r>
      <w:r w:rsidRPr="009E2300">
        <w:rPr>
          <w:lang w:val="fr-FR"/>
        </w:rPr>
        <w:t>alimentation de secours pour système</w:t>
      </w:r>
      <w:r w:rsidR="004F50FA">
        <w:rPr>
          <w:lang w:val="fr-FR"/>
        </w:rPr>
        <w:t>s</w:t>
      </w:r>
      <w:r w:rsidRPr="009E2300">
        <w:rPr>
          <w:lang w:val="fr-FR"/>
        </w:rPr>
        <w:t xml:space="preserve"> à base de CO₂ et aux équipements de sécurité avancés.</w:t>
      </w:r>
      <w:r w:rsidRPr="000A3231">
        <w:rPr>
          <w:lang w:val="fr-CA"/>
        </w:rPr>
        <w:t xml:space="preserve"> </w:t>
      </w:r>
      <w:r w:rsidRPr="009E2300">
        <w:rPr>
          <w:lang w:val="fr-FR"/>
        </w:rPr>
        <w:t>L</w:t>
      </w:r>
      <w:r w:rsidR="003D53B4">
        <w:rPr>
          <w:lang w:val="fr-FR"/>
        </w:rPr>
        <w:t>’</w:t>
      </w:r>
      <w:r w:rsidRPr="009E2300">
        <w:rPr>
          <w:lang w:val="fr-FR"/>
        </w:rPr>
        <w:t>accès à un financement abordable pour les PME devrait être soutenu par des volets d</w:t>
      </w:r>
      <w:r w:rsidR="003D53B4">
        <w:rPr>
          <w:lang w:val="fr-FR"/>
        </w:rPr>
        <w:t>’</w:t>
      </w:r>
      <w:r w:rsidRPr="009E2300">
        <w:rPr>
          <w:lang w:val="fr-FR"/>
        </w:rPr>
        <w:t>assistance technique ou par une coopération avec les institutions de financement du développement, tandis que les économies d</w:t>
      </w:r>
      <w:r w:rsidR="003D53B4">
        <w:rPr>
          <w:lang w:val="fr-FR"/>
        </w:rPr>
        <w:t>’</w:t>
      </w:r>
      <w:r w:rsidRPr="009E2300">
        <w:rPr>
          <w:lang w:val="fr-FR"/>
        </w:rPr>
        <w:t>échelle devraient être encouragées en soutenant des projets de conversion sectoriels ou multinationaux permettant l</w:t>
      </w:r>
      <w:r w:rsidR="003D53B4">
        <w:rPr>
          <w:lang w:val="fr-FR"/>
        </w:rPr>
        <w:t>’</w:t>
      </w:r>
      <w:r w:rsidRPr="009E2300">
        <w:rPr>
          <w:lang w:val="fr-FR"/>
        </w:rPr>
        <w:t>achat groupé de composants et la réduction des coûts unitaires.</w:t>
      </w:r>
      <w:r w:rsidRPr="000A3231">
        <w:rPr>
          <w:lang w:val="fr-CA"/>
        </w:rPr>
        <w:t xml:space="preserve"> </w:t>
      </w:r>
      <w:r w:rsidRPr="009E2300">
        <w:rPr>
          <w:lang w:val="fr-FR"/>
        </w:rPr>
        <w:t>Les tendances des prix des matières premières et les risques de change doivent également être surveillés conformément aux cadres de gestion des risques du projet, accompagnés si nécessaire de dispositions relatives aux ajustements budgétaires.</w:t>
      </w:r>
    </w:p>
    <w:p w14:paraId="4EBF457C" w14:textId="3E6FF27F" w:rsidR="00A44635" w:rsidRDefault="009E2300" w:rsidP="00E727A6">
      <w:pPr>
        <w:pStyle w:val="Heading1"/>
        <w:shd w:val="clear" w:color="auto" w:fill="FFFFFF" w:themeFill="background1"/>
        <w:rPr>
          <w:lang w:val="fr-FR"/>
        </w:rPr>
      </w:pPr>
      <w:r w:rsidRPr="00A44635">
        <w:rPr>
          <w:lang w:val="fr-FR"/>
        </w:rPr>
        <w:t>Pour répondre aux exigences techniques et autres défis, les efforts devraient se concentrer sur le soutien au développement, à l</w:t>
      </w:r>
      <w:r w:rsidR="003D53B4" w:rsidRPr="00A44635">
        <w:rPr>
          <w:lang w:val="fr-FR"/>
        </w:rPr>
        <w:t>’</w:t>
      </w:r>
      <w:r w:rsidRPr="00A44635">
        <w:rPr>
          <w:lang w:val="fr-FR"/>
        </w:rPr>
        <w:t>harmonisation et à l</w:t>
      </w:r>
      <w:r w:rsidR="003D53B4" w:rsidRPr="00A44635">
        <w:rPr>
          <w:lang w:val="fr-FR"/>
        </w:rPr>
        <w:t>’</w:t>
      </w:r>
      <w:r w:rsidRPr="00A44635">
        <w:rPr>
          <w:lang w:val="fr-FR"/>
        </w:rPr>
        <w:t>application des normes de sécurité nationales et, le cas échéant, régionales pour les applications de frigorigènes A2L, A3 et CO₂, en s</w:t>
      </w:r>
      <w:r w:rsidR="003D53B4" w:rsidRPr="00A44635">
        <w:rPr>
          <w:lang w:val="fr-FR"/>
        </w:rPr>
        <w:t>’</w:t>
      </w:r>
      <w:r w:rsidRPr="00A44635">
        <w:rPr>
          <w:lang w:val="fr-FR"/>
        </w:rPr>
        <w:t>appuyant sur les normes internationales pertinentes, parallèlement à des investissements dans des programmes de formation dédiés et axés sur le marché, destinés aux techniciens, ingénieurs et responsables de la sécurité, sur la manipulation, l</w:t>
      </w:r>
      <w:r w:rsidR="003D53B4" w:rsidRPr="00A44635">
        <w:rPr>
          <w:lang w:val="fr-FR"/>
        </w:rPr>
        <w:t>’</w:t>
      </w:r>
      <w:r w:rsidRPr="00A44635">
        <w:rPr>
          <w:lang w:val="fr-FR"/>
        </w:rPr>
        <w:t>installation et l</w:t>
      </w:r>
      <w:r w:rsidR="003D53B4" w:rsidRPr="00A44635">
        <w:rPr>
          <w:lang w:val="fr-FR"/>
        </w:rPr>
        <w:t>’</w:t>
      </w:r>
      <w:r w:rsidRPr="00A44635">
        <w:rPr>
          <w:lang w:val="fr-FR"/>
        </w:rPr>
        <w:t>entretien en toute sécurité des équipements à faible PRP.</w:t>
      </w:r>
      <w:r w:rsidRPr="000A3231">
        <w:rPr>
          <w:lang w:val="fr-CA"/>
        </w:rPr>
        <w:t xml:space="preserve"> </w:t>
      </w:r>
      <w:r w:rsidRPr="00A44635">
        <w:rPr>
          <w:lang w:val="fr-FR"/>
        </w:rPr>
        <w:t>Il importe de soutenir la mise en place ou le renforcement d</w:t>
      </w:r>
      <w:r w:rsidR="003D53B4" w:rsidRPr="00A44635">
        <w:rPr>
          <w:lang w:val="fr-FR"/>
        </w:rPr>
        <w:t>’</w:t>
      </w:r>
      <w:r w:rsidRPr="00A44635">
        <w:rPr>
          <w:lang w:val="fr-FR"/>
        </w:rPr>
        <w:t>installations d</w:t>
      </w:r>
      <w:r w:rsidR="003D53B4" w:rsidRPr="00A44635">
        <w:rPr>
          <w:lang w:val="fr-FR"/>
        </w:rPr>
        <w:t>’</w:t>
      </w:r>
      <w:r w:rsidRPr="00A44635">
        <w:rPr>
          <w:lang w:val="fr-FR"/>
        </w:rPr>
        <w:t>essais et de certification accréditées pour les chaînes de fabrication converties afin de permettre une vérification de conformité rentable et rapide. Il faudra également effectuer des évaluations de l</w:t>
      </w:r>
      <w:r w:rsidR="003D53B4" w:rsidRPr="00A44635">
        <w:rPr>
          <w:lang w:val="fr-FR"/>
        </w:rPr>
        <w:t>’</w:t>
      </w:r>
      <w:r w:rsidRPr="00A44635">
        <w:rPr>
          <w:lang w:val="fr-FR"/>
        </w:rPr>
        <w:t>acceptation par le marché et mener des campagnes de sensibilisation ciblant les installateurs, les détaillants et les consommateurs en vue de renforcer la confiance dans les technologies de remplacement à faible PRP.</w:t>
      </w:r>
      <w:r w:rsidRPr="000A3231">
        <w:rPr>
          <w:lang w:val="fr-CA"/>
        </w:rPr>
        <w:t xml:space="preserve"> </w:t>
      </w:r>
      <w:r w:rsidRPr="00A44635">
        <w:rPr>
          <w:lang w:val="fr-FR"/>
        </w:rPr>
        <w:t>Les fabricants devront être encouragés à prendre en compte les exigences d</w:t>
      </w:r>
      <w:r w:rsidR="003D53B4" w:rsidRPr="00A44635">
        <w:rPr>
          <w:lang w:val="fr-FR"/>
        </w:rPr>
        <w:t>’</w:t>
      </w:r>
      <w:r w:rsidRPr="00A44635">
        <w:rPr>
          <w:lang w:val="fr-FR"/>
        </w:rPr>
        <w:t xml:space="preserve">efficacité énergétique dès le début, notamment </w:t>
      </w:r>
      <w:r w:rsidR="004F50FA">
        <w:rPr>
          <w:lang w:val="fr-FR"/>
        </w:rPr>
        <w:t xml:space="preserve">en préparant </w:t>
      </w:r>
      <w:r w:rsidRPr="00A44635">
        <w:rPr>
          <w:lang w:val="fr-FR"/>
        </w:rPr>
        <w:t>la transition vers les obligations des NMPE, et de renforcer les capacités réglementaires des pays visés à l</w:t>
      </w:r>
      <w:r w:rsidR="003D53B4" w:rsidRPr="00A44635">
        <w:rPr>
          <w:lang w:val="fr-FR"/>
        </w:rPr>
        <w:t>’</w:t>
      </w:r>
      <w:r w:rsidRPr="00A44635">
        <w:rPr>
          <w:lang w:val="fr-FR"/>
        </w:rPr>
        <w:t>article 5 afin d</w:t>
      </w:r>
      <w:r w:rsidR="003D53B4" w:rsidRPr="00A44635">
        <w:rPr>
          <w:lang w:val="fr-FR"/>
        </w:rPr>
        <w:t>’</w:t>
      </w:r>
      <w:r w:rsidRPr="00A44635">
        <w:rPr>
          <w:lang w:val="fr-FR"/>
        </w:rPr>
        <w:t>élaborer, d</w:t>
      </w:r>
      <w:r w:rsidR="003D53B4" w:rsidRPr="00A44635">
        <w:rPr>
          <w:lang w:val="fr-FR"/>
        </w:rPr>
        <w:t>’</w:t>
      </w:r>
      <w:r w:rsidRPr="00A44635">
        <w:rPr>
          <w:lang w:val="fr-FR"/>
        </w:rPr>
        <w:t>appliquer et de mettre à jour systématiquement les normes techniques et les réglementations environnementales relatives à la gestion des frigorigènes à faible PRP.</w:t>
      </w:r>
    </w:p>
    <w:p w14:paraId="16052767" w14:textId="041FCBFA" w:rsidR="009B4B3A" w:rsidRPr="00650CEA" w:rsidRDefault="00A44635" w:rsidP="009E2300">
      <w:pPr>
        <w:pStyle w:val="Heading1"/>
        <w:keepNext/>
        <w:widowControl w:val="0"/>
        <w:numPr>
          <w:ilvl w:val="0"/>
          <w:numId w:val="0"/>
        </w:numPr>
        <w:shd w:val="clear" w:color="auto" w:fill="FFFFFF" w:themeFill="background1"/>
        <w:rPr>
          <w:rFonts w:eastAsia="Arial"/>
          <w:b/>
          <w:bCs/>
        </w:rPr>
      </w:pPr>
      <w:r>
        <w:rPr>
          <w:rFonts w:eastAsia="Arial"/>
          <w:b/>
          <w:bCs/>
          <w:lang w:val="fr-FR"/>
        </w:rPr>
        <w:t>O</w:t>
      </w:r>
      <w:r w:rsidR="009E2300" w:rsidRPr="009E2300">
        <w:rPr>
          <w:rFonts w:eastAsia="Arial"/>
          <w:b/>
          <w:bCs/>
          <w:lang w:val="fr-FR"/>
        </w:rPr>
        <w:t xml:space="preserve">bservations du </w:t>
      </w:r>
      <w:r w:rsidR="008B0A22">
        <w:rPr>
          <w:rFonts w:eastAsia="Arial"/>
          <w:b/>
          <w:bCs/>
          <w:lang w:val="fr-FR"/>
        </w:rPr>
        <w:t>secrétariat</w:t>
      </w:r>
      <w:r w:rsidR="009B4B3A" w:rsidRPr="009E2300">
        <w:rPr>
          <w:rFonts w:eastAsia="Arial"/>
          <w:b/>
          <w:bCs/>
        </w:rPr>
        <w:t xml:space="preserve"> </w:t>
      </w:r>
    </w:p>
    <w:p w14:paraId="51AAAE6F" w14:textId="7B354E03" w:rsidR="009E2300" w:rsidRPr="000A3231" w:rsidRDefault="009E2300" w:rsidP="009E2300">
      <w:pPr>
        <w:pStyle w:val="Heading1"/>
        <w:keepNext/>
        <w:widowControl w:val="0"/>
        <w:shd w:val="clear" w:color="auto" w:fill="FFFFFF" w:themeFill="background1"/>
        <w:rPr>
          <w:lang w:val="fr-CA"/>
        </w:rPr>
      </w:pPr>
      <w:r w:rsidRPr="009E2300">
        <w:rPr>
          <w:lang w:val="fr-FR"/>
        </w:rPr>
        <w:t xml:space="preserve">Le </w:t>
      </w:r>
      <w:r w:rsidR="008B0A22">
        <w:rPr>
          <w:lang w:val="fr-FR"/>
        </w:rPr>
        <w:t>secrétariat</w:t>
      </w:r>
      <w:r w:rsidRPr="009E2300">
        <w:rPr>
          <w:lang w:val="fr-FR"/>
        </w:rPr>
        <w:t xml:space="preserve"> a également noté que le temps est un facteur essentiel pour surmonter les difficultés liées aux chaînes d</w:t>
      </w:r>
      <w:r w:rsidR="003D53B4">
        <w:rPr>
          <w:lang w:val="fr-FR"/>
        </w:rPr>
        <w:t>’</w:t>
      </w:r>
      <w:r w:rsidRPr="009E2300">
        <w:rPr>
          <w:lang w:val="fr-FR"/>
        </w:rPr>
        <w:t>approvisionnement, car la maturité du marché et les économies d</w:t>
      </w:r>
      <w:r w:rsidR="003D53B4">
        <w:rPr>
          <w:lang w:val="fr-FR"/>
        </w:rPr>
        <w:t>’</w:t>
      </w:r>
      <w:r w:rsidRPr="009E2300">
        <w:rPr>
          <w:lang w:val="fr-FR"/>
        </w:rPr>
        <w:t>échelle ne peuvent avoir lieu que grâce au développement d</w:t>
      </w:r>
      <w:r w:rsidR="003D53B4">
        <w:rPr>
          <w:lang w:val="fr-FR"/>
        </w:rPr>
        <w:t>’</w:t>
      </w:r>
      <w:r w:rsidRPr="009E2300">
        <w:rPr>
          <w:lang w:val="fr-FR"/>
        </w:rPr>
        <w:t>une infrastructure d</w:t>
      </w:r>
      <w:r w:rsidR="003D53B4">
        <w:rPr>
          <w:lang w:val="fr-FR"/>
        </w:rPr>
        <w:t>’</w:t>
      </w:r>
      <w:r w:rsidRPr="009E2300">
        <w:rPr>
          <w:lang w:val="fr-FR"/>
        </w:rPr>
        <w:t>approvisionnement plus large, équitable et non monopolistique.</w:t>
      </w:r>
      <w:r w:rsidRPr="000A3231">
        <w:rPr>
          <w:lang w:val="fr-CA"/>
        </w:rPr>
        <w:t xml:space="preserve"> </w:t>
      </w:r>
      <w:r w:rsidRPr="009E2300">
        <w:rPr>
          <w:lang w:val="fr-FR"/>
        </w:rPr>
        <w:t>Ce point doit s</w:t>
      </w:r>
      <w:r w:rsidR="003D53B4">
        <w:rPr>
          <w:lang w:val="fr-FR"/>
        </w:rPr>
        <w:t>’</w:t>
      </w:r>
      <w:r w:rsidRPr="009E2300">
        <w:rPr>
          <w:lang w:val="fr-FR"/>
        </w:rPr>
        <w:t>accompagner de l</w:t>
      </w:r>
      <w:r w:rsidR="003D53B4">
        <w:rPr>
          <w:lang w:val="fr-FR"/>
        </w:rPr>
        <w:t>’</w:t>
      </w:r>
      <w:r w:rsidRPr="009E2300">
        <w:rPr>
          <w:lang w:val="fr-FR"/>
        </w:rPr>
        <w:t>acceptation par le marché, de la compétitivité des produits et de la confiance des consommateurs dans les équipements de réfrigération, de climatisation et de pompes à chaleur.</w:t>
      </w:r>
      <w:r w:rsidRPr="000A3231">
        <w:rPr>
          <w:lang w:val="fr-CA"/>
        </w:rPr>
        <w:t xml:space="preserve"> </w:t>
      </w:r>
      <w:r w:rsidRPr="009E2300">
        <w:rPr>
          <w:lang w:val="fr-FR"/>
        </w:rPr>
        <w:t>Le temps nécessaire pour parvenir à ces conditions varie selon les pays visés à l</w:t>
      </w:r>
      <w:r w:rsidR="003D53B4">
        <w:rPr>
          <w:lang w:val="fr-FR"/>
        </w:rPr>
        <w:t>’</w:t>
      </w:r>
      <w:r w:rsidRPr="009E2300">
        <w:rPr>
          <w:lang w:val="fr-FR"/>
        </w:rPr>
        <w:t>article 5 et peut être considérablement plus long dans les pays dont le marché est limité, à moins qu</w:t>
      </w:r>
      <w:r w:rsidR="003D53B4">
        <w:rPr>
          <w:lang w:val="fr-FR"/>
        </w:rPr>
        <w:t>’</w:t>
      </w:r>
      <w:r w:rsidRPr="009E2300">
        <w:rPr>
          <w:lang w:val="fr-FR"/>
        </w:rPr>
        <w:t>on ne parvienne à une accélération de l</w:t>
      </w:r>
      <w:r w:rsidR="003D53B4">
        <w:rPr>
          <w:lang w:val="fr-FR"/>
        </w:rPr>
        <w:t>’</w:t>
      </w:r>
      <w:r w:rsidRPr="009E2300">
        <w:rPr>
          <w:lang w:val="fr-FR"/>
        </w:rPr>
        <w:t>adoption des technologies à faible PRP au niveau régional.</w:t>
      </w:r>
    </w:p>
    <w:p w14:paraId="49133A88" w14:textId="7F1FE34C" w:rsidR="00F54B4C" w:rsidRPr="000A3231" w:rsidRDefault="009E2300" w:rsidP="00F54B4C">
      <w:pPr>
        <w:pStyle w:val="Heading1"/>
        <w:keepNext/>
        <w:widowControl w:val="0"/>
        <w:shd w:val="clear" w:color="auto" w:fill="FFFFFF" w:themeFill="background1"/>
        <w:rPr>
          <w:lang w:val="fr-CA"/>
        </w:rPr>
      </w:pPr>
      <w:r w:rsidRPr="009E2300">
        <w:rPr>
          <w:lang w:val="fr-FR"/>
        </w:rPr>
        <w:t>Les difficultés liées à la chaîne d</w:t>
      </w:r>
      <w:r w:rsidR="003D53B4">
        <w:rPr>
          <w:lang w:val="fr-FR"/>
        </w:rPr>
        <w:t>’</w:t>
      </w:r>
      <w:r w:rsidRPr="009E2300">
        <w:rPr>
          <w:lang w:val="fr-FR"/>
        </w:rPr>
        <w:t xml:space="preserve">approvisionnement décrites dans </w:t>
      </w:r>
      <w:r w:rsidR="00A44635">
        <w:rPr>
          <w:lang w:val="fr-FR"/>
        </w:rPr>
        <w:t>l</w:t>
      </w:r>
      <w:r w:rsidRPr="009E2300">
        <w:rPr>
          <w:lang w:val="fr-FR"/>
        </w:rPr>
        <w:t xml:space="preserve">e </w:t>
      </w:r>
      <w:r w:rsidR="00A44635">
        <w:rPr>
          <w:lang w:val="fr-FR"/>
        </w:rPr>
        <w:t xml:space="preserve">présent </w:t>
      </w:r>
      <w:r w:rsidRPr="009E2300">
        <w:rPr>
          <w:lang w:val="fr-FR"/>
        </w:rPr>
        <w:t>document ne se limitent pas à des projets ou des pays individuels ; elles témoignent des obstacles systémiques à l</w:t>
      </w:r>
      <w:r w:rsidR="003D53B4">
        <w:rPr>
          <w:lang w:val="fr-FR"/>
        </w:rPr>
        <w:t>’</w:t>
      </w:r>
      <w:r w:rsidRPr="009E2300">
        <w:rPr>
          <w:lang w:val="fr-FR"/>
        </w:rPr>
        <w:t xml:space="preserve">adoption à grande </w:t>
      </w:r>
      <w:r w:rsidRPr="009E2300">
        <w:rPr>
          <w:lang w:val="fr-FR"/>
        </w:rPr>
        <w:lastRenderedPageBreak/>
        <w:t>échelle des technologies à base de frigorigènes à faible PRP dans le secteur de la réfrigération, de la climatisation et des pompes à chaleur dans les pays visés à l</w:t>
      </w:r>
      <w:r w:rsidR="003D53B4">
        <w:rPr>
          <w:lang w:val="fr-FR"/>
        </w:rPr>
        <w:t>’</w:t>
      </w:r>
      <w:r w:rsidRPr="009E2300">
        <w:rPr>
          <w:lang w:val="fr-FR"/>
        </w:rPr>
        <w:t>article 5.</w:t>
      </w:r>
      <w:r w:rsidRPr="000A3231">
        <w:rPr>
          <w:lang w:val="fr-CA"/>
        </w:rPr>
        <w:t xml:space="preserve"> </w:t>
      </w:r>
      <w:r w:rsidR="00F54B4C" w:rsidRPr="00F54B4C">
        <w:rPr>
          <w:lang w:val="fr-FR"/>
        </w:rPr>
        <w:t>Les problèmes de disponibilité, les coûts élevés et le manque de capacités techniques sont étroitement liés et se renforcent mutuellement.</w:t>
      </w:r>
      <w:r w:rsidR="00F54B4C" w:rsidRPr="000A3231">
        <w:rPr>
          <w:lang w:val="fr-CA"/>
        </w:rPr>
        <w:t xml:space="preserve"> </w:t>
      </w:r>
      <w:r w:rsidR="00F54B4C" w:rsidRPr="00F54B4C">
        <w:rPr>
          <w:lang w:val="fr-FR"/>
        </w:rPr>
        <w:t>Une prise en main efficace impliquera une action coordonnée entre les agences d</w:t>
      </w:r>
      <w:r w:rsidR="003D53B4">
        <w:rPr>
          <w:lang w:val="fr-FR"/>
        </w:rPr>
        <w:t>’</w:t>
      </w:r>
      <w:r w:rsidR="00F54B4C" w:rsidRPr="00F54B4C">
        <w:rPr>
          <w:lang w:val="fr-FR"/>
        </w:rPr>
        <w:t>exécution, les gouvernements, les parties prenantes de l</w:t>
      </w:r>
      <w:r w:rsidR="003D53B4">
        <w:rPr>
          <w:lang w:val="fr-FR"/>
        </w:rPr>
        <w:t>’</w:t>
      </w:r>
      <w:r w:rsidR="00F54B4C" w:rsidRPr="00F54B4C">
        <w:rPr>
          <w:lang w:val="fr-FR"/>
        </w:rPr>
        <w:t>industrie et le Fonds multilatéral.</w:t>
      </w:r>
    </w:p>
    <w:p w14:paraId="593539D5" w14:textId="48B9EC11" w:rsidR="00F54B4C" w:rsidRPr="000A3231" w:rsidRDefault="00F54B4C" w:rsidP="00F54B4C">
      <w:pPr>
        <w:pStyle w:val="Heading1"/>
        <w:keepNext/>
        <w:shd w:val="clear" w:color="auto" w:fill="FFFFFF" w:themeFill="background1"/>
        <w:rPr>
          <w:lang w:val="fr-CA"/>
        </w:rPr>
      </w:pPr>
      <w:r w:rsidRPr="00F54B4C">
        <w:rPr>
          <w:lang w:val="fr-FR"/>
        </w:rPr>
        <w:t>La gravité des défis varie considérablement selon les sous-secteurs.</w:t>
      </w:r>
      <w:r w:rsidRPr="000A3231">
        <w:rPr>
          <w:lang w:val="fr-CA"/>
        </w:rPr>
        <w:t xml:space="preserve"> </w:t>
      </w:r>
      <w:r w:rsidRPr="00F54B4C">
        <w:rPr>
          <w:lang w:val="fr-FR"/>
        </w:rPr>
        <w:t>La réfrigération commerciale et la fabrication au sein des PME sont confrontées</w:t>
      </w:r>
      <w:r w:rsidR="00A44635">
        <w:rPr>
          <w:lang w:val="fr-FR"/>
        </w:rPr>
        <w:t xml:space="preserve"> à</w:t>
      </w:r>
      <w:r w:rsidRPr="00F54B4C">
        <w:rPr>
          <w:lang w:val="fr-FR"/>
        </w:rPr>
        <w:t xml:space="preserve"> un ensemble</w:t>
      </w:r>
      <w:r w:rsidR="003D53B4">
        <w:rPr>
          <w:lang w:val="fr-FR"/>
        </w:rPr>
        <w:t> </w:t>
      </w:r>
      <w:r w:rsidRPr="00F54B4C">
        <w:rPr>
          <w:lang w:val="fr-FR"/>
        </w:rPr>
        <w:t>d</w:t>
      </w:r>
      <w:r w:rsidR="003D53B4">
        <w:rPr>
          <w:lang w:val="fr-FR"/>
        </w:rPr>
        <w:t>’</w:t>
      </w:r>
      <w:r w:rsidRPr="00F54B4C">
        <w:rPr>
          <w:lang w:val="fr-FR"/>
        </w:rPr>
        <w:t xml:space="preserve">obstacles particulièrement complexes, du fait de la diversité des frigorigènes utilisés, des exigences techniques liées à la conception des systèmes et des </w:t>
      </w:r>
      <w:r w:rsidR="009B6FCD">
        <w:rPr>
          <w:lang w:val="fr-FR"/>
        </w:rPr>
        <w:t xml:space="preserve">faibles </w:t>
      </w:r>
      <w:r w:rsidRPr="00F54B4C">
        <w:rPr>
          <w:lang w:val="fr-FR"/>
        </w:rPr>
        <w:t>ressources financières et humaines</w:t>
      </w:r>
      <w:r w:rsidR="009B6FCD">
        <w:rPr>
          <w:lang w:val="fr-FR"/>
        </w:rPr>
        <w:t xml:space="preserve"> </w:t>
      </w:r>
      <w:r w:rsidRPr="00F54B4C">
        <w:rPr>
          <w:lang w:val="fr-FR"/>
        </w:rPr>
        <w:t>disponibles.</w:t>
      </w:r>
      <w:r w:rsidRPr="000A3231">
        <w:rPr>
          <w:lang w:val="fr-CA"/>
        </w:rPr>
        <w:t xml:space="preserve"> </w:t>
      </w:r>
      <w:r w:rsidRPr="00F54B4C">
        <w:rPr>
          <w:lang w:val="fr-FR"/>
        </w:rPr>
        <w:t>Les sous-secteurs de la climatisation résidentielle et commerciale bénéficient d</w:t>
      </w:r>
      <w:r w:rsidR="003D53B4">
        <w:rPr>
          <w:lang w:val="fr-FR"/>
        </w:rPr>
        <w:t>’</w:t>
      </w:r>
      <w:r w:rsidRPr="00F54B4C">
        <w:rPr>
          <w:lang w:val="fr-FR"/>
        </w:rPr>
        <w:t>une meilleure connaissance du marché en lien avec le HFC-32, mais continuent de se heurter à des obstacles liés à la réglementation, à la certification et à la sensibilisation.</w:t>
      </w:r>
      <w:r w:rsidRPr="000A3231">
        <w:rPr>
          <w:lang w:val="fr-CA"/>
        </w:rPr>
        <w:t xml:space="preserve"> </w:t>
      </w:r>
      <w:r w:rsidRPr="00F54B4C">
        <w:rPr>
          <w:lang w:val="fr-FR"/>
        </w:rPr>
        <w:t>Les projets de réfrigération domestique, bien que se trouvant encore dans une première phase de conversion et destinés aux fabricants d</w:t>
      </w:r>
      <w:r w:rsidR="003D53B4">
        <w:rPr>
          <w:lang w:val="fr-FR"/>
        </w:rPr>
        <w:t>’</w:t>
      </w:r>
      <w:r w:rsidRPr="00F54B4C">
        <w:rPr>
          <w:lang w:val="fr-FR"/>
        </w:rPr>
        <w:t>équipement d</w:t>
      </w:r>
      <w:r w:rsidR="003D53B4">
        <w:rPr>
          <w:lang w:val="fr-FR"/>
        </w:rPr>
        <w:t>’</w:t>
      </w:r>
      <w:r w:rsidRPr="00F54B4C">
        <w:rPr>
          <w:lang w:val="fr-FR"/>
        </w:rPr>
        <w:t>origine (OEM) disposant d</w:t>
      </w:r>
      <w:r w:rsidR="003D53B4">
        <w:rPr>
          <w:lang w:val="fr-FR"/>
        </w:rPr>
        <w:t>’</w:t>
      </w:r>
      <w:r w:rsidRPr="00F54B4C">
        <w:rPr>
          <w:lang w:val="fr-FR"/>
        </w:rPr>
        <w:t>une faible capacité de production, rencontreront probablement des difficultés de disponibilité et de coût</w:t>
      </w:r>
      <w:r w:rsidR="009B6FCD">
        <w:rPr>
          <w:lang w:val="fr-FR"/>
        </w:rPr>
        <w:t>s</w:t>
      </w:r>
      <w:r w:rsidRPr="00F54B4C">
        <w:rPr>
          <w:lang w:val="fr-FR"/>
        </w:rPr>
        <w:t xml:space="preserve"> à mesure que leur mise en œuvre progresse.</w:t>
      </w:r>
    </w:p>
    <w:p w14:paraId="3309FFE0" w14:textId="70FB736F" w:rsidR="00126CFB" w:rsidRPr="000A3231" w:rsidRDefault="00126CFB" w:rsidP="00126CFB">
      <w:pPr>
        <w:pStyle w:val="Heading1"/>
        <w:keepLines/>
        <w:widowControl w:val="0"/>
        <w:shd w:val="clear" w:color="auto" w:fill="FFFFFF" w:themeFill="background1"/>
        <w:rPr>
          <w:lang w:val="fr-CA"/>
        </w:rPr>
      </w:pPr>
      <w:r w:rsidRPr="00126CFB">
        <w:rPr>
          <w:lang w:val="fr-FR"/>
        </w:rPr>
        <w:t xml:space="preserve">Le </w:t>
      </w:r>
      <w:r w:rsidR="008B0A22">
        <w:rPr>
          <w:lang w:val="fr-FR"/>
        </w:rPr>
        <w:t>secrétariat</w:t>
      </w:r>
      <w:r w:rsidRPr="00126CFB">
        <w:rPr>
          <w:lang w:val="fr-FR"/>
        </w:rPr>
        <w:t xml:space="preserve"> note qu</w:t>
      </w:r>
      <w:r w:rsidR="003D53B4">
        <w:rPr>
          <w:lang w:val="fr-FR"/>
        </w:rPr>
        <w:t>’</w:t>
      </w:r>
      <w:r w:rsidRPr="00126CFB">
        <w:rPr>
          <w:lang w:val="fr-FR"/>
        </w:rPr>
        <w:t>un environnement proactif et favorable, comprenant des cadres normatifs solides, une main-d</w:t>
      </w:r>
      <w:r w:rsidR="003D53B4">
        <w:rPr>
          <w:lang w:val="fr-FR"/>
        </w:rPr>
        <w:t>’</w:t>
      </w:r>
      <w:r w:rsidRPr="00126CFB">
        <w:rPr>
          <w:lang w:val="fr-FR"/>
        </w:rPr>
        <w:t>œuvre qualifiée et des chaînes d</w:t>
      </w:r>
      <w:r w:rsidR="003D53B4">
        <w:rPr>
          <w:lang w:val="fr-FR"/>
        </w:rPr>
        <w:t>’</w:t>
      </w:r>
      <w:r w:rsidRPr="00126CFB">
        <w:rPr>
          <w:lang w:val="fr-FR"/>
        </w:rPr>
        <w:t>approvisionnement diversifiées, est fondamental pour assurer la réussite des projets de conversion.</w:t>
      </w:r>
      <w:r w:rsidRPr="000A3231">
        <w:rPr>
          <w:lang w:val="fr-CA"/>
        </w:rPr>
        <w:t xml:space="preserve"> </w:t>
      </w:r>
      <w:r w:rsidRPr="00126CFB">
        <w:rPr>
          <w:lang w:val="fr-FR"/>
        </w:rPr>
        <w:t>Un soutien du Fonds multilatéral qui tiendra compte non seulement des surcoûts d</w:t>
      </w:r>
      <w:r w:rsidR="003D53B4">
        <w:rPr>
          <w:lang w:val="fr-FR"/>
        </w:rPr>
        <w:t>’</w:t>
      </w:r>
      <w:r w:rsidRPr="00126CFB">
        <w:rPr>
          <w:lang w:val="fr-FR"/>
        </w:rPr>
        <w:t>investissement, mais aussi des facteurs favorisant la conversion au niveau de la chaîne d</w:t>
      </w:r>
      <w:r w:rsidR="003D53B4">
        <w:rPr>
          <w:lang w:val="fr-FR"/>
        </w:rPr>
        <w:t>’</w:t>
      </w:r>
      <w:r w:rsidRPr="00126CFB">
        <w:rPr>
          <w:lang w:val="fr-FR"/>
        </w:rPr>
        <w:t>approvisionnement en amont et des capacités, sera essentiel pour mener à bien des transitions technologiques durables à grande échelle.</w:t>
      </w:r>
    </w:p>
    <w:p w14:paraId="6973513B" w14:textId="59441D61" w:rsidR="00126CFB" w:rsidRPr="000A3231" w:rsidRDefault="00126CFB" w:rsidP="00126CFB">
      <w:pPr>
        <w:pStyle w:val="Heading1"/>
        <w:keepLines/>
        <w:widowControl w:val="0"/>
        <w:shd w:val="clear" w:color="auto" w:fill="FFFFFF" w:themeFill="background1"/>
        <w:rPr>
          <w:lang w:val="fr-CA"/>
        </w:rPr>
      </w:pPr>
      <w:r w:rsidRPr="00126CFB">
        <w:rPr>
          <w:lang w:val="fr-FR"/>
        </w:rPr>
        <w:t>L</w:t>
      </w:r>
      <w:r w:rsidR="003D53B4">
        <w:rPr>
          <w:lang w:val="fr-FR"/>
        </w:rPr>
        <w:t>’</w:t>
      </w:r>
      <w:r w:rsidRPr="00126CFB">
        <w:rPr>
          <w:lang w:val="fr-FR"/>
        </w:rPr>
        <w:t>analyse présentée dans ce document ne comprend pas de données de prix spécifiques pour les frigorigènes ou les composants des systèmes, qu</w:t>
      </w:r>
      <w:r w:rsidR="003D53B4">
        <w:rPr>
          <w:lang w:val="fr-FR"/>
        </w:rPr>
        <w:t>’</w:t>
      </w:r>
      <w:r w:rsidRPr="00126CFB">
        <w:rPr>
          <w:lang w:val="fr-FR"/>
        </w:rPr>
        <w:t>il s</w:t>
      </w:r>
      <w:r w:rsidR="003D53B4">
        <w:rPr>
          <w:lang w:val="fr-FR"/>
        </w:rPr>
        <w:t>’</w:t>
      </w:r>
      <w:r w:rsidRPr="00126CFB">
        <w:rPr>
          <w:lang w:val="fr-FR"/>
        </w:rPr>
        <w:t>agisse d</w:t>
      </w:r>
      <w:r w:rsidR="003D53B4">
        <w:rPr>
          <w:lang w:val="fr-FR"/>
        </w:rPr>
        <w:t>’</w:t>
      </w:r>
      <w:r w:rsidRPr="00126CFB">
        <w:rPr>
          <w:lang w:val="fr-FR"/>
        </w:rPr>
        <w:t>options conventionnelles ou de remplacement, et n</w:t>
      </w:r>
      <w:r w:rsidR="003D53B4">
        <w:rPr>
          <w:lang w:val="fr-FR"/>
        </w:rPr>
        <w:t>’</w:t>
      </w:r>
      <w:r w:rsidRPr="00126CFB">
        <w:rPr>
          <w:lang w:val="fr-FR"/>
        </w:rPr>
        <w:t>aborde pas non plus la répartition des parts de marché régionales, en raison de la disponibilité limitée des données et de l</w:t>
      </w:r>
      <w:r w:rsidR="003D53B4">
        <w:rPr>
          <w:lang w:val="fr-FR"/>
        </w:rPr>
        <w:t>’</w:t>
      </w:r>
      <w:r w:rsidRPr="00126CFB">
        <w:rPr>
          <w:lang w:val="fr-FR"/>
        </w:rPr>
        <w:t>évolution rapide du marché des frigorigènes de remplacement au cours de ces dernières années.</w:t>
      </w:r>
      <w:r w:rsidRPr="000A3231">
        <w:rPr>
          <w:lang w:val="fr-CA"/>
        </w:rPr>
        <w:t xml:space="preserve"> </w:t>
      </w:r>
      <w:r w:rsidRPr="00126CFB">
        <w:rPr>
          <w:lang w:val="fr-FR"/>
        </w:rPr>
        <w:t>Les contraintes économiques découlant de l</w:t>
      </w:r>
      <w:r w:rsidR="003D53B4">
        <w:rPr>
          <w:lang w:val="fr-FR"/>
        </w:rPr>
        <w:t>’</w:t>
      </w:r>
      <w:r w:rsidRPr="00126CFB">
        <w:rPr>
          <w:lang w:val="fr-FR"/>
        </w:rPr>
        <w:t>instabilité mondiale ou régionale et des restrictions liées au commerce n</w:t>
      </w:r>
      <w:r w:rsidR="003D53B4">
        <w:rPr>
          <w:lang w:val="fr-FR"/>
        </w:rPr>
        <w:t>’</w:t>
      </w:r>
      <w:r w:rsidRPr="00126CFB">
        <w:rPr>
          <w:lang w:val="fr-FR"/>
        </w:rPr>
        <w:t>entraient pas non plus dans le champ d</w:t>
      </w:r>
      <w:r w:rsidR="003D53B4">
        <w:rPr>
          <w:lang w:val="fr-FR"/>
        </w:rPr>
        <w:t>’</w:t>
      </w:r>
      <w:r w:rsidRPr="00126CFB">
        <w:rPr>
          <w:lang w:val="fr-FR"/>
        </w:rPr>
        <w:t>application de la présente analyse.</w:t>
      </w:r>
      <w:r w:rsidRPr="000A3231">
        <w:rPr>
          <w:lang w:val="fr-CA"/>
        </w:rPr>
        <w:t xml:space="preserve"> </w:t>
      </w:r>
      <w:r w:rsidRPr="00126CFB">
        <w:rPr>
          <w:lang w:val="fr-FR"/>
        </w:rPr>
        <w:t>Un suivi régulier des difficultés liées à la chaîne d</w:t>
      </w:r>
      <w:r w:rsidR="003D53B4">
        <w:rPr>
          <w:lang w:val="fr-FR"/>
        </w:rPr>
        <w:t>’</w:t>
      </w:r>
      <w:r w:rsidRPr="00126CFB">
        <w:rPr>
          <w:lang w:val="fr-FR"/>
        </w:rPr>
        <w:t xml:space="preserve">approvisionnement, à mesure que progressent les projets de préparation des investissements et de conversion, permettrait au Comité exécutif de mieux </w:t>
      </w:r>
      <w:r w:rsidR="009B6FCD">
        <w:rPr>
          <w:lang w:val="fr-FR"/>
        </w:rPr>
        <w:t>faire la distinction entre</w:t>
      </w:r>
      <w:r w:rsidRPr="00126CFB">
        <w:rPr>
          <w:lang w:val="fr-FR"/>
        </w:rPr>
        <w:t xml:space="preserve"> les difficultés susceptibles de se résoudre par le biais de la dynamique du marché </w:t>
      </w:r>
      <w:r w:rsidR="009B6FCD">
        <w:rPr>
          <w:lang w:val="fr-FR"/>
        </w:rPr>
        <w:t>et</w:t>
      </w:r>
      <w:r w:rsidRPr="00126CFB">
        <w:rPr>
          <w:lang w:val="fr-FR"/>
        </w:rPr>
        <w:t xml:space="preserve"> celles qui persistent en tant qu</w:t>
      </w:r>
      <w:r w:rsidR="003D53B4">
        <w:rPr>
          <w:lang w:val="fr-FR"/>
        </w:rPr>
        <w:t>’</w:t>
      </w:r>
      <w:r w:rsidRPr="00126CFB">
        <w:rPr>
          <w:lang w:val="fr-FR"/>
        </w:rPr>
        <w:t>obstacles structurels nécessitant un soutien plus poussé.</w:t>
      </w:r>
    </w:p>
    <w:p w14:paraId="45444B8D" w14:textId="46D301D3" w:rsidR="009B4B3A" w:rsidRPr="00126CFB" w:rsidRDefault="00126CFB" w:rsidP="00126CFB">
      <w:pPr>
        <w:keepNext/>
        <w:widowControl w:val="0"/>
        <w:shd w:val="clear" w:color="auto" w:fill="FFFFFF" w:themeFill="background1"/>
        <w:spacing w:before="240" w:after="240"/>
        <w:jc w:val="left"/>
        <w:rPr>
          <w:b/>
          <w:bCs/>
        </w:rPr>
      </w:pPr>
      <w:r w:rsidRPr="00126CFB">
        <w:rPr>
          <w:b/>
          <w:bCs/>
          <w:lang w:val="fr-FR"/>
        </w:rPr>
        <w:t>Recommandation</w:t>
      </w:r>
    </w:p>
    <w:p w14:paraId="4542F0DC" w14:textId="4F420B44" w:rsidR="00126CFB" w:rsidRPr="000A3231" w:rsidRDefault="00126CFB" w:rsidP="00126CFB">
      <w:pPr>
        <w:pStyle w:val="Heading1"/>
        <w:keepLines/>
        <w:widowControl w:val="0"/>
        <w:shd w:val="clear" w:color="auto" w:fill="FFFFFF" w:themeFill="background1"/>
        <w:rPr>
          <w:lang w:val="fr-CA"/>
        </w:rPr>
      </w:pPr>
      <w:r w:rsidRPr="00126CFB">
        <w:rPr>
          <w:lang w:val="fr-FR"/>
        </w:rPr>
        <w:t>Le Comité exécutif pourrait envisager :</w:t>
      </w:r>
    </w:p>
    <w:p w14:paraId="3E6BB2BC" w14:textId="56D528F7" w:rsidR="00126CFB" w:rsidRPr="000A3231" w:rsidRDefault="00126CFB" w:rsidP="002B68B3">
      <w:pPr>
        <w:pStyle w:val="Heading2"/>
        <w:rPr>
          <w:lang w:val="fr-CA"/>
        </w:rPr>
      </w:pPr>
      <w:r w:rsidRPr="00126CFB">
        <w:rPr>
          <w:lang w:val="fr-FR"/>
        </w:rPr>
        <w:t>De prendre note des difficultés rencontrées dans la mise en œuvre de projets de conversion dans le secteur de la réfrigération, de la climatisation et des pompes à chaleur résultant des problèmes liés à la chaîne d</w:t>
      </w:r>
      <w:r w:rsidR="003D53B4">
        <w:rPr>
          <w:lang w:val="fr-FR"/>
        </w:rPr>
        <w:t>’</w:t>
      </w:r>
      <w:r w:rsidRPr="00126CFB">
        <w:rPr>
          <w:lang w:val="fr-FR"/>
        </w:rPr>
        <w:t xml:space="preserve">approvisionnement, ainsi que des </w:t>
      </w:r>
      <w:r w:rsidR="009B6FCD">
        <w:rPr>
          <w:lang w:val="fr-FR"/>
        </w:rPr>
        <w:t xml:space="preserve">moyens possibles pour surmonter </w:t>
      </w:r>
      <w:r w:rsidRPr="00126CFB">
        <w:rPr>
          <w:lang w:val="fr-FR"/>
        </w:rPr>
        <w:t xml:space="preserve">ces défis, figurant dans le document </w:t>
      </w:r>
      <w:r w:rsidRPr="00126CFB">
        <w:rPr>
          <w:lang w:val="fr-FR"/>
        </w:rPr>
        <w:fldChar w:fldCharType="begin"/>
      </w:r>
      <w:r w:rsidRPr="00126CFB">
        <w:rPr>
          <w:lang w:val="fr-FR"/>
        </w:rPr>
        <w:instrText xml:space="preserve"> DOCPROPERTY "Document number"  \* MERGEFORMAT </w:instrText>
      </w:r>
      <w:r w:rsidRPr="00126CFB">
        <w:rPr>
          <w:lang w:val="fr-FR"/>
        </w:rPr>
        <w:fldChar w:fldCharType="separate"/>
      </w:r>
      <w:r w:rsidRPr="00126CFB">
        <w:rPr>
          <w:lang w:val="fr-FR"/>
        </w:rPr>
        <w:t>UNEP/OzL.Pro/ExCom/98/57</w:t>
      </w:r>
      <w:r w:rsidRPr="00126CFB">
        <w:rPr>
          <w:lang w:val="fr-FR"/>
        </w:rPr>
        <w:fldChar w:fldCharType="end"/>
      </w:r>
      <w:r w:rsidRPr="00126CFB">
        <w:rPr>
          <w:lang w:val="fr-FR"/>
        </w:rPr>
        <w:t> ;</w:t>
      </w:r>
    </w:p>
    <w:p w14:paraId="38E7D7C4" w14:textId="4A57B5DA" w:rsidR="00126CFB" w:rsidRPr="000A3231" w:rsidRDefault="0029295E" w:rsidP="0029295E">
      <w:pPr>
        <w:pStyle w:val="Heading2"/>
        <w:shd w:val="clear" w:color="auto" w:fill="FFFFFF" w:themeFill="background1"/>
        <w:rPr>
          <w:lang w:val="fr-CA"/>
        </w:rPr>
      </w:pPr>
      <w:r w:rsidRPr="0029295E">
        <w:rPr>
          <w:lang w:val="fr-FR"/>
        </w:rPr>
        <w:t>D</w:t>
      </w:r>
      <w:r w:rsidR="004F50FA">
        <w:rPr>
          <w:lang w:val="fr-FR"/>
        </w:rPr>
        <w:t>e d</w:t>
      </w:r>
      <w:r w:rsidRPr="0029295E">
        <w:rPr>
          <w:lang w:val="fr-FR"/>
        </w:rPr>
        <w:t>emander aux agences bilatérales et d</w:t>
      </w:r>
      <w:r w:rsidR="003D53B4">
        <w:rPr>
          <w:lang w:val="fr-FR"/>
        </w:rPr>
        <w:t>’</w:t>
      </w:r>
      <w:r w:rsidRPr="0029295E">
        <w:rPr>
          <w:lang w:val="fr-FR"/>
        </w:rPr>
        <w:t>exécution de prendre en compte les difficultés liées à la chaîne d</w:t>
      </w:r>
      <w:r w:rsidR="003D53B4">
        <w:rPr>
          <w:lang w:val="fr-FR"/>
        </w:rPr>
        <w:t>’</w:t>
      </w:r>
      <w:r w:rsidRPr="0029295E">
        <w:rPr>
          <w:lang w:val="fr-FR"/>
        </w:rPr>
        <w:t xml:space="preserve">approvisionnement et les </w:t>
      </w:r>
      <w:r w:rsidR="009B6FCD">
        <w:rPr>
          <w:lang w:val="fr-FR"/>
        </w:rPr>
        <w:t>moyens</w:t>
      </w:r>
      <w:r w:rsidRPr="0029295E">
        <w:rPr>
          <w:lang w:val="fr-FR"/>
        </w:rPr>
        <w:t xml:space="preserve"> possibles pour </w:t>
      </w:r>
      <w:r w:rsidR="009B6FCD">
        <w:rPr>
          <w:lang w:val="fr-FR"/>
        </w:rPr>
        <w:t>y remédier</w:t>
      </w:r>
      <w:r w:rsidRPr="0029295E">
        <w:rPr>
          <w:lang w:val="fr-FR"/>
        </w:rPr>
        <w:t>, lors de la conception et de la mise en œuvre des projets de conversion, notamment dans les rapports sur l</w:t>
      </w:r>
      <w:r w:rsidR="003D53B4">
        <w:rPr>
          <w:lang w:val="fr-FR"/>
        </w:rPr>
        <w:t>’</w:t>
      </w:r>
      <w:r w:rsidRPr="0029295E">
        <w:rPr>
          <w:lang w:val="fr-FR"/>
        </w:rPr>
        <w:t xml:space="preserve">avancement des projets et </w:t>
      </w:r>
      <w:r w:rsidR="009B6FCD">
        <w:rPr>
          <w:lang w:val="fr-FR"/>
        </w:rPr>
        <w:t xml:space="preserve">lors de leur </w:t>
      </w:r>
      <w:r w:rsidRPr="0029295E">
        <w:rPr>
          <w:lang w:val="fr-FR"/>
        </w:rPr>
        <w:t xml:space="preserve">achèvement ; </w:t>
      </w:r>
    </w:p>
    <w:p w14:paraId="2275AA67" w14:textId="32D5C3D3" w:rsidR="0029295E" w:rsidRPr="000A3231" w:rsidRDefault="0029295E" w:rsidP="0029295E">
      <w:pPr>
        <w:pStyle w:val="Heading2"/>
        <w:shd w:val="clear" w:color="auto" w:fill="FFFFFF" w:themeFill="background1"/>
        <w:rPr>
          <w:lang w:val="fr-CA"/>
        </w:rPr>
      </w:pPr>
      <w:r w:rsidRPr="0029295E">
        <w:rPr>
          <w:lang w:val="fr-FR"/>
        </w:rPr>
        <w:t>De</w:t>
      </w:r>
      <w:r w:rsidR="004F50FA">
        <w:rPr>
          <w:lang w:val="fr-FR"/>
        </w:rPr>
        <w:t xml:space="preserve"> de</w:t>
      </w:r>
      <w:r w:rsidRPr="0029295E">
        <w:rPr>
          <w:lang w:val="fr-FR"/>
        </w:rPr>
        <w:t xml:space="preserve">mander au </w:t>
      </w:r>
      <w:r w:rsidR="008B0A22">
        <w:rPr>
          <w:lang w:val="fr-FR"/>
        </w:rPr>
        <w:t>secrétariat</w:t>
      </w:r>
      <w:r w:rsidRPr="0029295E">
        <w:rPr>
          <w:lang w:val="fr-FR"/>
        </w:rPr>
        <w:t xml:space="preserve"> d</w:t>
      </w:r>
      <w:r w:rsidR="003D53B4">
        <w:rPr>
          <w:lang w:val="fr-FR"/>
        </w:rPr>
        <w:t>’</w:t>
      </w:r>
      <w:r w:rsidRPr="0029295E">
        <w:rPr>
          <w:lang w:val="fr-FR"/>
        </w:rPr>
        <w:t>inclure, le cas échéant, dans les documents de réunion relatifs aux propositions de projets soumises à l</w:t>
      </w:r>
      <w:r w:rsidR="003D53B4">
        <w:rPr>
          <w:lang w:val="fr-FR"/>
        </w:rPr>
        <w:t>’</w:t>
      </w:r>
      <w:r w:rsidRPr="0029295E">
        <w:rPr>
          <w:lang w:val="fr-FR"/>
        </w:rPr>
        <w:t>examen du Comité exécutif, une section consacrée aux difficultés liées à la chaîne d</w:t>
      </w:r>
      <w:r w:rsidR="003D53B4">
        <w:rPr>
          <w:lang w:val="fr-FR"/>
        </w:rPr>
        <w:t>’</w:t>
      </w:r>
      <w:r w:rsidRPr="0029295E">
        <w:rPr>
          <w:lang w:val="fr-FR"/>
        </w:rPr>
        <w:t>approvisionnement.</w:t>
      </w:r>
      <w:r w:rsidRPr="000A3231">
        <w:rPr>
          <w:lang w:val="fr-CA"/>
        </w:rPr>
        <w:t xml:space="preserve"> </w:t>
      </w:r>
    </w:p>
    <w:p w14:paraId="007D6218" w14:textId="77777777" w:rsidR="009B4B3A" w:rsidRPr="000A3231" w:rsidRDefault="009B4B3A" w:rsidP="00650CEA">
      <w:pPr>
        <w:pStyle w:val="ListParagraph"/>
        <w:shd w:val="clear" w:color="auto" w:fill="FFFFFF" w:themeFill="background1"/>
        <w:ind w:left="1440"/>
        <w:rPr>
          <w:lang w:val="fr-CA"/>
        </w:rPr>
        <w:sectPr w:rsidR="009B4B3A" w:rsidRPr="000A3231" w:rsidSect="009B4B3A">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pgNumType w:start="1"/>
          <w:cols w:space="720"/>
          <w:titlePg/>
          <w:docGrid w:linePitch="299"/>
        </w:sectPr>
      </w:pPr>
    </w:p>
    <w:p w14:paraId="6528E7B1" w14:textId="77777777" w:rsidR="009B4B3A" w:rsidRPr="000A3231" w:rsidRDefault="009B4B3A" w:rsidP="00650CEA">
      <w:pPr>
        <w:pStyle w:val="ListParagraph"/>
        <w:shd w:val="clear" w:color="auto" w:fill="FFFFFF" w:themeFill="background1"/>
        <w:ind w:left="1440"/>
        <w:rPr>
          <w:lang w:val="fr-CA"/>
        </w:rPr>
      </w:pPr>
    </w:p>
    <w:p w14:paraId="6D4D5B40" w14:textId="1CCC9F41" w:rsidR="009B4B3A" w:rsidRPr="000A3231" w:rsidRDefault="0029295E" w:rsidP="0029295E">
      <w:pPr>
        <w:pStyle w:val="Heading1"/>
        <w:numPr>
          <w:ilvl w:val="0"/>
          <w:numId w:val="0"/>
        </w:numPr>
        <w:shd w:val="clear" w:color="auto" w:fill="FFFFFF" w:themeFill="background1"/>
        <w:jc w:val="center"/>
        <w:rPr>
          <w:rFonts w:asciiTheme="majorBidi" w:hAnsiTheme="majorBidi" w:cstheme="majorBidi"/>
          <w:b/>
          <w:bCs/>
          <w:lang w:val="fr-CA"/>
        </w:rPr>
      </w:pPr>
      <w:r w:rsidRPr="0029295E">
        <w:rPr>
          <w:rFonts w:asciiTheme="majorBidi" w:hAnsiTheme="majorBidi" w:cstheme="majorBidi"/>
          <w:b/>
          <w:bCs/>
          <w:lang w:val="fr-FR"/>
        </w:rPr>
        <w:t>Annexe I</w:t>
      </w:r>
    </w:p>
    <w:p w14:paraId="4BB28569" w14:textId="17F903B4" w:rsidR="009B4B3A" w:rsidRPr="000A3231" w:rsidRDefault="00267896" w:rsidP="0029295E">
      <w:pPr>
        <w:pStyle w:val="Heading1"/>
        <w:numPr>
          <w:ilvl w:val="0"/>
          <w:numId w:val="0"/>
        </w:numPr>
        <w:shd w:val="clear" w:color="auto" w:fill="FFFFFF" w:themeFill="background1"/>
        <w:spacing w:after="360"/>
        <w:jc w:val="center"/>
        <w:rPr>
          <w:rFonts w:asciiTheme="majorBidi" w:hAnsiTheme="majorBidi" w:cstheme="majorBidi"/>
          <w:b/>
          <w:bCs/>
          <w:lang w:val="fr-CA"/>
        </w:rPr>
      </w:pPr>
      <w:r>
        <w:rPr>
          <w:rFonts w:asciiTheme="majorBidi" w:hAnsiTheme="majorBidi" w:cstheme="majorBidi"/>
          <w:b/>
          <w:bCs/>
          <w:lang w:val="fr-FR"/>
        </w:rPr>
        <w:t>APERÇU</w:t>
      </w:r>
      <w:r w:rsidR="0029295E" w:rsidRPr="0029295E">
        <w:rPr>
          <w:rFonts w:asciiTheme="majorBidi" w:hAnsiTheme="majorBidi" w:cstheme="majorBidi"/>
          <w:b/>
          <w:bCs/>
          <w:lang w:val="fr-FR"/>
        </w:rPr>
        <w:t xml:space="preserve"> DU QUESTIONNAIRE VISANT À RECUEILLIR DES COMMENTAIRES SUR LES PROBLÈMES LIÉS À LA CHAÎNE D</w:t>
      </w:r>
      <w:r w:rsidR="003D53B4">
        <w:rPr>
          <w:rFonts w:asciiTheme="majorBidi" w:hAnsiTheme="majorBidi" w:cstheme="majorBidi"/>
          <w:b/>
          <w:bCs/>
          <w:lang w:val="fr-FR"/>
        </w:rPr>
        <w:t>’</w:t>
      </w:r>
      <w:r w:rsidR="0029295E" w:rsidRPr="0029295E">
        <w:rPr>
          <w:rFonts w:asciiTheme="majorBidi" w:hAnsiTheme="majorBidi" w:cstheme="majorBidi"/>
          <w:b/>
          <w:bCs/>
          <w:lang w:val="fr-FR"/>
        </w:rPr>
        <w:t>APPROVISIONNEMENT POUR LA RÉFRIGÉRATION, LA CLIMATISATION ET LES POMPES À CHALEUR DANS LE CADRE DES PROJETS DE CONVERSION EN COURS EN VERTU DES KIP</w:t>
      </w:r>
    </w:p>
    <w:p w14:paraId="1AB4DAFF" w14:textId="2AB0BB20" w:rsidR="009B4B3A" w:rsidRPr="000A3231" w:rsidRDefault="0029295E" w:rsidP="00650CEA">
      <w:pPr>
        <w:shd w:val="clear" w:color="auto" w:fill="FFFFFF" w:themeFill="background1"/>
        <w:rPr>
          <w:rFonts w:asciiTheme="majorBidi" w:hAnsiTheme="majorBidi" w:cstheme="majorBidi"/>
          <w:b/>
          <w:bCs/>
          <w:lang w:val="fr-CA"/>
        </w:rPr>
      </w:pPr>
      <w:r w:rsidRPr="0029295E">
        <w:rPr>
          <w:rFonts w:asciiTheme="majorBidi" w:hAnsiTheme="majorBidi" w:cstheme="majorBidi"/>
          <w:b/>
          <w:bCs/>
          <w:lang w:val="fr-FR"/>
        </w:rPr>
        <w:t>Tableau 1 : Aperçu du questionnaire conçu pour recueillir les expériences des agences d</w:t>
      </w:r>
      <w:r w:rsidR="003D53B4">
        <w:rPr>
          <w:rFonts w:asciiTheme="majorBidi" w:hAnsiTheme="majorBidi" w:cstheme="majorBidi"/>
          <w:b/>
          <w:bCs/>
          <w:lang w:val="fr-FR"/>
        </w:rPr>
        <w:t>’</w:t>
      </w:r>
      <w:r w:rsidRPr="0029295E">
        <w:rPr>
          <w:rFonts w:asciiTheme="majorBidi" w:hAnsiTheme="majorBidi" w:cstheme="majorBidi"/>
          <w:b/>
          <w:bCs/>
          <w:lang w:val="fr-FR"/>
        </w:rPr>
        <w:t>exécution dans le cadre de la mise en œuvre des conversions concernant la disponibilité, les prix et les aspects techniques des frigorigènes</w:t>
      </w:r>
      <w:r w:rsidR="00267896">
        <w:rPr>
          <w:rFonts w:asciiTheme="majorBidi" w:hAnsiTheme="majorBidi" w:cstheme="majorBidi"/>
          <w:b/>
          <w:bCs/>
          <w:lang w:val="fr-FR"/>
        </w:rPr>
        <w:t xml:space="preserve"> </w:t>
      </w:r>
      <w:r w:rsidR="00267896" w:rsidRPr="0029295E">
        <w:rPr>
          <w:rFonts w:asciiTheme="majorBidi" w:hAnsiTheme="majorBidi" w:cstheme="majorBidi"/>
          <w:b/>
          <w:bCs/>
          <w:lang w:val="fr-FR"/>
        </w:rPr>
        <w:t>de remplacement</w:t>
      </w:r>
      <w:r w:rsidRPr="0029295E">
        <w:rPr>
          <w:rFonts w:asciiTheme="majorBidi" w:hAnsiTheme="majorBidi" w:cstheme="majorBidi"/>
          <w:b/>
          <w:bCs/>
          <w:lang w:val="fr-FR"/>
        </w:rPr>
        <w:t xml:space="preserve"> et des équipements/composants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487"/>
        <w:gridCol w:w="2205"/>
        <w:gridCol w:w="2393"/>
        <w:gridCol w:w="2355"/>
      </w:tblGrid>
      <w:tr w:rsidR="009B4B3A" w:rsidRPr="00650CEA" w14:paraId="522C7E14" w14:textId="77777777" w:rsidTr="00B42ED2">
        <w:trPr>
          <w:trHeight w:val="191"/>
        </w:trPr>
        <w:tc>
          <w:tcPr>
            <w:tcW w:w="1350" w:type="pct"/>
          </w:tcPr>
          <w:p w14:paraId="274237EA" w14:textId="6EC065EB" w:rsidR="009B4B3A" w:rsidRPr="0029295E" w:rsidRDefault="0029295E" w:rsidP="00AD5D2B">
            <w:pPr>
              <w:shd w:val="clear" w:color="auto" w:fill="FFFFFF" w:themeFill="background1"/>
              <w:jc w:val="center"/>
              <w:rPr>
                <w:rFonts w:asciiTheme="majorBidi" w:eastAsia="Times New Roman" w:hAnsiTheme="majorBidi" w:cstheme="majorBidi"/>
                <w:b/>
                <w:bCs/>
                <w:sz w:val="20"/>
                <w:szCs w:val="20"/>
                <w:lang w:eastAsia="en-CA"/>
              </w:rPr>
            </w:pPr>
            <w:r w:rsidRPr="0029295E">
              <w:rPr>
                <w:rFonts w:eastAsia="Times New Roman"/>
                <w:b/>
                <w:bCs/>
                <w:sz w:val="20"/>
                <w:szCs w:val="20"/>
                <w:lang w:val="fr-FR" w:eastAsia="en-CA"/>
              </w:rPr>
              <w:t>Domaine couvert</w:t>
            </w:r>
          </w:p>
        </w:tc>
        <w:tc>
          <w:tcPr>
            <w:tcW w:w="3650" w:type="pct"/>
            <w:gridSpan w:val="3"/>
          </w:tcPr>
          <w:p w14:paraId="3267C63A" w14:textId="2B9E0116" w:rsidR="009B4B3A" w:rsidRPr="00650CEA" w:rsidRDefault="0029295E" w:rsidP="00AD5D2B">
            <w:pPr>
              <w:shd w:val="clear" w:color="auto" w:fill="FFFFFF" w:themeFill="background1"/>
              <w:jc w:val="center"/>
              <w:rPr>
                <w:rFonts w:asciiTheme="majorBidi" w:eastAsia="Times New Roman" w:hAnsiTheme="majorBidi" w:cstheme="majorBidi"/>
                <w:b/>
                <w:bCs/>
                <w:sz w:val="20"/>
                <w:szCs w:val="20"/>
                <w:lang w:eastAsia="en-CA"/>
              </w:rPr>
            </w:pPr>
            <w:r w:rsidRPr="0029295E">
              <w:rPr>
                <w:rFonts w:asciiTheme="majorBidi" w:eastAsia="Times New Roman" w:hAnsiTheme="majorBidi" w:cstheme="majorBidi"/>
                <w:b/>
                <w:bCs/>
                <w:sz w:val="20"/>
                <w:szCs w:val="20"/>
                <w:lang w:val="fr-FR" w:eastAsia="en-CA"/>
              </w:rPr>
              <w:t>Exemples de problèmes</w:t>
            </w:r>
            <w:r w:rsidR="003D53B4">
              <w:rPr>
                <w:rFonts w:asciiTheme="majorBidi" w:eastAsia="Times New Roman" w:hAnsiTheme="majorBidi" w:cstheme="majorBidi"/>
                <w:b/>
                <w:bCs/>
                <w:sz w:val="20"/>
                <w:szCs w:val="20"/>
                <w:lang w:val="fr-FR" w:eastAsia="en-CA"/>
              </w:rPr>
              <w:t> </w:t>
            </w:r>
          </w:p>
        </w:tc>
      </w:tr>
      <w:tr w:rsidR="009B4B3A" w:rsidRPr="00041141" w14:paraId="7E0CF1A7" w14:textId="77777777" w:rsidTr="00B42ED2">
        <w:trPr>
          <w:trHeight w:val="465"/>
        </w:trPr>
        <w:tc>
          <w:tcPr>
            <w:tcW w:w="1350" w:type="pct"/>
            <w:vMerge w:val="restart"/>
          </w:tcPr>
          <w:p w14:paraId="0FEDAB65" w14:textId="03F0A58B" w:rsidR="009B4B3A" w:rsidRPr="000A3231" w:rsidRDefault="0029295E" w:rsidP="00650CEA">
            <w:pPr>
              <w:shd w:val="clear" w:color="auto" w:fill="FFFFFF" w:themeFill="background1"/>
              <w:jc w:val="left"/>
              <w:rPr>
                <w:rFonts w:asciiTheme="majorBidi" w:eastAsia="Times New Roman" w:hAnsiTheme="majorBidi" w:cstheme="majorBidi"/>
                <w:sz w:val="20"/>
                <w:szCs w:val="20"/>
                <w:lang w:val="fr-CA" w:eastAsia="en-CA"/>
              </w:rPr>
            </w:pPr>
            <w:r w:rsidRPr="0029295E">
              <w:rPr>
                <w:rFonts w:eastAsia="Times New Roman"/>
                <w:sz w:val="20"/>
                <w:szCs w:val="20"/>
                <w:lang w:val="fr-FR" w:eastAsia="en-CA"/>
              </w:rPr>
              <w:t>Chaîne d</w:t>
            </w:r>
            <w:r w:rsidR="003D53B4">
              <w:rPr>
                <w:rFonts w:eastAsia="Times New Roman"/>
                <w:sz w:val="20"/>
                <w:szCs w:val="20"/>
                <w:lang w:val="fr-FR" w:eastAsia="en-CA"/>
              </w:rPr>
              <w:t>’</w:t>
            </w:r>
            <w:r w:rsidRPr="0029295E">
              <w:rPr>
                <w:rFonts w:eastAsia="Times New Roman"/>
                <w:sz w:val="20"/>
                <w:szCs w:val="20"/>
                <w:lang w:val="fr-FR" w:eastAsia="en-CA"/>
              </w:rPr>
              <w:t>approvisionnement en frigorigènes de remplacement, pièces et composants, et équipements/composants (chaîne</w:t>
            </w:r>
            <w:r w:rsidR="00267896">
              <w:rPr>
                <w:rFonts w:eastAsia="Times New Roman"/>
                <w:sz w:val="20"/>
                <w:szCs w:val="20"/>
                <w:lang w:val="fr-FR" w:eastAsia="en-CA"/>
              </w:rPr>
              <w:t>s</w:t>
            </w:r>
            <w:r w:rsidRPr="0029295E">
              <w:rPr>
                <w:rFonts w:eastAsia="Times New Roman"/>
                <w:sz w:val="20"/>
                <w:szCs w:val="20"/>
                <w:lang w:val="fr-FR" w:eastAsia="en-CA"/>
              </w:rPr>
              <w:t xml:space="preserve"> de fabrication et produits finis</w:t>
            </w:r>
            <w:r w:rsidRPr="0029295E">
              <w:rPr>
                <w:rFonts w:asciiTheme="majorBidi" w:eastAsia="Times New Roman" w:hAnsiTheme="majorBidi" w:cstheme="majorBidi"/>
                <w:color w:val="000000"/>
                <w:sz w:val="20"/>
                <w:szCs w:val="20"/>
                <w:lang w:val="fr-FR" w:eastAsia="en-CA"/>
              </w:rPr>
              <w:t>)</w:t>
            </w:r>
          </w:p>
          <w:p w14:paraId="2BD50B46" w14:textId="77777777" w:rsidR="009B4B3A" w:rsidRPr="000A3231" w:rsidRDefault="009B4B3A" w:rsidP="00650CEA">
            <w:pPr>
              <w:pStyle w:val="ListParagraph"/>
              <w:shd w:val="clear" w:color="auto" w:fill="FFFFFF" w:themeFill="background1"/>
              <w:jc w:val="left"/>
              <w:rPr>
                <w:rFonts w:asciiTheme="majorBidi" w:hAnsiTheme="majorBidi" w:cstheme="majorBidi"/>
                <w:b/>
                <w:bCs/>
                <w:sz w:val="20"/>
                <w:szCs w:val="20"/>
                <w:lang w:val="fr-CA" w:eastAsia="en-CA"/>
              </w:rPr>
            </w:pPr>
          </w:p>
        </w:tc>
        <w:tc>
          <w:tcPr>
            <w:tcW w:w="1201" w:type="pct"/>
          </w:tcPr>
          <w:p w14:paraId="271E3E25" w14:textId="4EA1528F" w:rsidR="009B4B3A" w:rsidRPr="0029295E" w:rsidRDefault="0029295E" w:rsidP="00AD5D2B">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disponibilité</w:t>
            </w:r>
          </w:p>
        </w:tc>
        <w:tc>
          <w:tcPr>
            <w:tcW w:w="1300" w:type="pct"/>
          </w:tcPr>
          <w:p w14:paraId="4E42D061" w14:textId="0F84D944" w:rsidR="009B4B3A" w:rsidRPr="00650CEA" w:rsidRDefault="0029295E" w:rsidP="00AD5D2B">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prix</w:t>
            </w:r>
            <w:r w:rsidR="009B4B3A" w:rsidRPr="0029295E">
              <w:rPr>
                <w:rFonts w:asciiTheme="majorBidi" w:eastAsia="Times New Roman" w:hAnsiTheme="majorBidi" w:cstheme="majorBidi"/>
                <w:b/>
                <w:bCs/>
                <w:sz w:val="20"/>
                <w:szCs w:val="20"/>
                <w:lang w:eastAsia="en-CA"/>
              </w:rPr>
              <w:t xml:space="preserve"> </w:t>
            </w:r>
          </w:p>
        </w:tc>
        <w:tc>
          <w:tcPr>
            <w:tcW w:w="1150" w:type="pct"/>
          </w:tcPr>
          <w:p w14:paraId="74410941" w14:textId="796E0165" w:rsidR="009B4B3A" w:rsidRPr="000A3231" w:rsidRDefault="0029295E" w:rsidP="00AD5D2B">
            <w:pPr>
              <w:shd w:val="clear" w:color="auto" w:fill="FFFFFF" w:themeFill="background1"/>
              <w:jc w:val="left"/>
              <w:rPr>
                <w:rFonts w:asciiTheme="majorBidi" w:eastAsia="Times New Roman" w:hAnsiTheme="majorBidi" w:cstheme="majorBidi"/>
                <w:sz w:val="20"/>
                <w:szCs w:val="20"/>
                <w:lang w:val="fr-CA" w:eastAsia="en-CA"/>
              </w:rPr>
            </w:pPr>
            <w:r w:rsidRPr="0029295E">
              <w:rPr>
                <w:rFonts w:asciiTheme="majorBidi" w:eastAsia="Times New Roman" w:hAnsiTheme="majorBidi" w:cstheme="majorBidi"/>
                <w:b/>
                <w:bCs/>
                <w:sz w:val="20"/>
                <w:szCs w:val="20"/>
                <w:lang w:val="fr-FR" w:eastAsia="en-CA"/>
              </w:rPr>
              <w:t>Spécifications</w:t>
            </w:r>
            <w:r w:rsidR="003D53B4">
              <w:rPr>
                <w:rFonts w:asciiTheme="majorBidi" w:eastAsia="Times New Roman" w:hAnsiTheme="majorBidi" w:cstheme="majorBidi"/>
                <w:b/>
                <w:bCs/>
                <w:sz w:val="20"/>
                <w:szCs w:val="20"/>
                <w:lang w:val="fr-FR" w:eastAsia="en-CA"/>
              </w:rPr>
              <w:t> </w:t>
            </w:r>
            <w:r w:rsidRPr="0029295E">
              <w:rPr>
                <w:rFonts w:asciiTheme="majorBidi" w:eastAsia="Times New Roman" w:hAnsiTheme="majorBidi" w:cstheme="majorBidi"/>
                <w:b/>
                <w:bCs/>
                <w:sz w:val="20"/>
                <w:szCs w:val="20"/>
                <w:lang w:val="fr-FR" w:eastAsia="en-CA"/>
              </w:rPr>
              <w:t>techniques et autres obstacles</w:t>
            </w:r>
          </w:p>
        </w:tc>
      </w:tr>
      <w:tr w:rsidR="009B4B3A" w:rsidRPr="00041141" w14:paraId="65A0F1AC" w14:textId="77777777" w:rsidTr="00B42ED2">
        <w:trPr>
          <w:trHeight w:val="427"/>
        </w:trPr>
        <w:tc>
          <w:tcPr>
            <w:tcW w:w="1350" w:type="pct"/>
            <w:vMerge/>
          </w:tcPr>
          <w:p w14:paraId="519F9B5D" w14:textId="77777777" w:rsidR="009B4B3A" w:rsidRPr="000A3231"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fr-CA"/>
              </w:rPr>
            </w:pPr>
          </w:p>
        </w:tc>
        <w:tc>
          <w:tcPr>
            <w:tcW w:w="1201" w:type="pct"/>
          </w:tcPr>
          <w:p w14:paraId="731816D3" w14:textId="36FAE85B"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Disponibilité sur le marché local</w:t>
            </w:r>
          </w:p>
        </w:tc>
        <w:tc>
          <w:tcPr>
            <w:tcW w:w="1300" w:type="pct"/>
          </w:tcPr>
          <w:p w14:paraId="7E3086E6" w14:textId="6C28219D"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Prix ​​pour les OEM</w:t>
            </w:r>
            <w:r w:rsidR="003D53B4">
              <w:rPr>
                <w:rFonts w:asciiTheme="majorBidi" w:eastAsia="Times New Roman" w:hAnsiTheme="majorBidi" w:cstheme="majorBidi"/>
                <w:color w:val="000000"/>
                <w:sz w:val="20"/>
                <w:szCs w:val="20"/>
                <w:lang w:val="fr-FR" w:eastAsia="en-CA"/>
              </w:rPr>
              <w:t> </w:t>
            </w:r>
            <w:r w:rsidRPr="0029295E">
              <w:rPr>
                <w:rFonts w:asciiTheme="majorBidi" w:eastAsia="Times New Roman" w:hAnsiTheme="majorBidi" w:cstheme="majorBidi"/>
                <w:color w:val="000000"/>
                <w:sz w:val="20"/>
                <w:szCs w:val="20"/>
                <w:lang w:val="fr-FR" w:eastAsia="en-CA"/>
              </w:rPr>
              <w:t>comparé au prix du marché international</w:t>
            </w:r>
          </w:p>
        </w:tc>
        <w:tc>
          <w:tcPr>
            <w:tcW w:w="1150" w:type="pct"/>
          </w:tcPr>
          <w:p w14:paraId="26B41546" w14:textId="118E2075"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Adaptation aux conditions d</w:t>
            </w:r>
            <w:r w:rsidR="003D53B4">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exploitation locales</w:t>
            </w:r>
          </w:p>
        </w:tc>
      </w:tr>
      <w:tr w:rsidR="009B4B3A" w:rsidRPr="00041141" w14:paraId="0A73791F" w14:textId="77777777" w:rsidTr="00B42ED2">
        <w:trPr>
          <w:trHeight w:val="530"/>
        </w:trPr>
        <w:tc>
          <w:tcPr>
            <w:tcW w:w="1350" w:type="pct"/>
            <w:vMerge/>
          </w:tcPr>
          <w:p w14:paraId="6A644C1E" w14:textId="77777777" w:rsidR="009B4B3A" w:rsidRPr="000A3231"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fr-CA"/>
              </w:rPr>
            </w:pPr>
          </w:p>
        </w:tc>
        <w:tc>
          <w:tcPr>
            <w:tcW w:w="1201" w:type="pct"/>
          </w:tcPr>
          <w:p w14:paraId="24C905AC" w14:textId="0689107B"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Possibilité de commander à l</w:t>
            </w:r>
            <w:r w:rsidR="003D53B4">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étranger</w:t>
            </w:r>
          </w:p>
        </w:tc>
        <w:tc>
          <w:tcPr>
            <w:tcW w:w="1300" w:type="pct"/>
          </w:tcPr>
          <w:p w14:paraId="4EEB6B1B" w14:textId="624EB9C2"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Prix ​​excessifs dus aux marges des fournisseurs locaux/régionaux</w:t>
            </w:r>
          </w:p>
        </w:tc>
        <w:tc>
          <w:tcPr>
            <w:tcW w:w="1150" w:type="pct"/>
          </w:tcPr>
          <w:p w14:paraId="3878B98F" w14:textId="597C824E"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Conformité aux exigences locales en matière de NMPE et d</w:t>
            </w:r>
            <w:r w:rsidR="003D53B4">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étiquetage énergétique</w:t>
            </w:r>
          </w:p>
        </w:tc>
      </w:tr>
      <w:tr w:rsidR="009B4B3A" w:rsidRPr="00041141" w14:paraId="19A405C0" w14:textId="77777777" w:rsidTr="00B42ED2">
        <w:trPr>
          <w:trHeight w:val="300"/>
        </w:trPr>
        <w:tc>
          <w:tcPr>
            <w:tcW w:w="1350" w:type="pct"/>
            <w:vMerge/>
          </w:tcPr>
          <w:p w14:paraId="0AFA4965" w14:textId="77777777" w:rsidR="009B4B3A" w:rsidRPr="000A3231"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val="fr-CA" w:eastAsia="en-CA"/>
              </w:rPr>
            </w:pPr>
          </w:p>
        </w:tc>
        <w:tc>
          <w:tcPr>
            <w:tcW w:w="1201" w:type="pct"/>
          </w:tcPr>
          <w:p w14:paraId="3EDE64D5" w14:textId="4D46767F" w:rsidR="009B4B3A" w:rsidRPr="0029295E" w:rsidRDefault="0029295E" w:rsidP="00AD5D2B">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Délais de livraison</w:t>
            </w:r>
          </w:p>
        </w:tc>
        <w:tc>
          <w:tcPr>
            <w:tcW w:w="1300" w:type="pct"/>
          </w:tcPr>
          <w:p w14:paraId="74CF219B" w14:textId="74FE6911"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Coûts supplémentaires dus au volume d</w:t>
            </w:r>
            <w:r w:rsidR="003D53B4">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activité ou aux frais d</w:t>
            </w:r>
            <w:r w:rsidR="003D53B4">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expédition</w:t>
            </w:r>
          </w:p>
        </w:tc>
        <w:tc>
          <w:tcPr>
            <w:tcW w:w="1150" w:type="pct"/>
          </w:tcPr>
          <w:p w14:paraId="49493C88" w14:textId="133AF3D5" w:rsidR="009B4B3A" w:rsidRPr="000A3231" w:rsidRDefault="0029295E" w:rsidP="00AD5D2B">
            <w:pPr>
              <w:shd w:val="clear" w:color="auto" w:fill="FFFFFF" w:themeFill="background1"/>
              <w:jc w:val="left"/>
              <w:rPr>
                <w:rFonts w:asciiTheme="majorBidi" w:eastAsia="Times New Roman" w:hAnsiTheme="majorBidi" w:cstheme="majorBidi"/>
                <w:color w:val="000000"/>
                <w:sz w:val="20"/>
                <w:szCs w:val="20"/>
                <w:lang w:val="fr-CA" w:eastAsia="en-CA"/>
              </w:rPr>
            </w:pPr>
            <w:r w:rsidRPr="0029295E">
              <w:rPr>
                <w:rFonts w:asciiTheme="majorBidi" w:eastAsia="Times New Roman" w:hAnsiTheme="majorBidi" w:cstheme="majorBidi"/>
                <w:color w:val="000000"/>
                <w:sz w:val="20"/>
                <w:szCs w:val="20"/>
                <w:lang w:val="fr-FR" w:eastAsia="en-CA"/>
              </w:rPr>
              <w:t>Problèmes liés aux normes ou codes locaux</w:t>
            </w:r>
          </w:p>
        </w:tc>
      </w:tr>
    </w:tbl>
    <w:p w14:paraId="447D5025" w14:textId="77777777" w:rsidR="009B4B3A" w:rsidRPr="000A3231" w:rsidRDefault="009B4B3A" w:rsidP="00650CEA">
      <w:pPr>
        <w:shd w:val="clear" w:color="auto" w:fill="FFFFFF" w:themeFill="background1"/>
        <w:rPr>
          <w:rFonts w:asciiTheme="majorBidi" w:hAnsiTheme="majorBidi" w:cstheme="majorBidi"/>
          <w:lang w:val="fr-CA"/>
        </w:rPr>
      </w:pPr>
    </w:p>
    <w:p w14:paraId="16787A87" w14:textId="50DE8712" w:rsidR="009B4B3A" w:rsidRPr="000A3231" w:rsidRDefault="002C6028" w:rsidP="00650CEA">
      <w:pPr>
        <w:shd w:val="clear" w:color="auto" w:fill="FFFFFF" w:themeFill="background1"/>
        <w:rPr>
          <w:rFonts w:asciiTheme="majorBidi" w:hAnsiTheme="majorBidi" w:cstheme="majorBidi"/>
          <w:b/>
          <w:bCs/>
          <w:lang w:val="fr-CA"/>
        </w:rPr>
      </w:pPr>
      <w:r w:rsidRPr="002C6028">
        <w:rPr>
          <w:rFonts w:asciiTheme="majorBidi" w:hAnsiTheme="majorBidi" w:cstheme="majorBidi"/>
          <w:b/>
          <w:bCs/>
          <w:lang w:val="fr-FR"/>
        </w:rPr>
        <w:t xml:space="preserve">Tableau 2 : </w:t>
      </w:r>
      <w:r w:rsidR="00267896">
        <w:rPr>
          <w:rFonts w:asciiTheme="majorBidi" w:hAnsiTheme="majorBidi" w:cstheme="majorBidi"/>
          <w:b/>
          <w:bCs/>
          <w:lang w:val="fr-FR"/>
        </w:rPr>
        <w:t>Aperçu</w:t>
      </w:r>
      <w:r w:rsidRPr="002C6028">
        <w:rPr>
          <w:rFonts w:asciiTheme="majorBidi" w:hAnsiTheme="majorBidi" w:cstheme="majorBidi"/>
          <w:b/>
          <w:bCs/>
          <w:lang w:val="fr-FR"/>
        </w:rPr>
        <w:t xml:space="preserve"> du questionnaire conçu pour recueillir les commentaires des UNO par l</w:t>
      </w:r>
      <w:r w:rsidR="003D53B4">
        <w:rPr>
          <w:rFonts w:asciiTheme="majorBidi" w:hAnsiTheme="majorBidi" w:cstheme="majorBidi"/>
          <w:b/>
          <w:bCs/>
          <w:lang w:val="fr-FR"/>
        </w:rPr>
        <w:t>’</w:t>
      </w:r>
      <w:r w:rsidRPr="002C6028">
        <w:rPr>
          <w:rFonts w:asciiTheme="majorBidi" w:hAnsiTheme="majorBidi" w:cstheme="majorBidi"/>
          <w:b/>
          <w:bCs/>
          <w:lang w:val="fr-FR"/>
        </w:rPr>
        <w:t>intermédiaire des agences d</w:t>
      </w:r>
      <w:r w:rsidR="003D53B4">
        <w:rPr>
          <w:rFonts w:asciiTheme="majorBidi" w:hAnsiTheme="majorBidi" w:cstheme="majorBidi"/>
          <w:b/>
          <w:bCs/>
          <w:lang w:val="fr-FR"/>
        </w:rPr>
        <w:t>’</w:t>
      </w:r>
      <w:r w:rsidRPr="002C6028">
        <w:rPr>
          <w:rFonts w:asciiTheme="majorBidi" w:hAnsiTheme="majorBidi" w:cstheme="majorBidi"/>
          <w:b/>
          <w:bCs/>
          <w:lang w:val="fr-FR"/>
        </w:rPr>
        <w:t>exécution concernant les obstacles à la chaîne d</w:t>
      </w:r>
      <w:r w:rsidR="003D53B4">
        <w:rPr>
          <w:rFonts w:asciiTheme="majorBidi" w:hAnsiTheme="majorBidi" w:cstheme="majorBidi"/>
          <w:b/>
          <w:bCs/>
          <w:lang w:val="fr-FR"/>
        </w:rPr>
        <w:t>’</w:t>
      </w:r>
      <w:r w:rsidRPr="002C6028">
        <w:rPr>
          <w:rFonts w:asciiTheme="majorBidi" w:hAnsiTheme="majorBidi" w:cstheme="majorBidi"/>
          <w:b/>
          <w:bCs/>
          <w:lang w:val="fr-FR"/>
        </w:rPr>
        <w:t>approvisionnement locale</w:t>
      </w:r>
    </w:p>
    <w:tbl>
      <w:tblPr>
        <w:tblStyle w:val="TableGrid"/>
        <w:tblW w:w="0" w:type="auto"/>
        <w:tblLook w:val="04A0" w:firstRow="1" w:lastRow="0" w:firstColumn="1" w:lastColumn="0" w:noHBand="0" w:noVBand="1"/>
      </w:tblPr>
      <w:tblGrid>
        <w:gridCol w:w="2830"/>
        <w:gridCol w:w="6610"/>
      </w:tblGrid>
      <w:tr w:rsidR="009B4B3A" w:rsidRPr="00650CEA" w14:paraId="535DB433" w14:textId="77777777" w:rsidTr="00B42ED2">
        <w:trPr>
          <w:trHeight w:val="225"/>
        </w:trPr>
        <w:tc>
          <w:tcPr>
            <w:tcW w:w="2830" w:type="dxa"/>
          </w:tcPr>
          <w:p w14:paraId="270153C7" w14:textId="152C409B" w:rsidR="009B4B3A" w:rsidRPr="002C6028" w:rsidRDefault="002C6028" w:rsidP="00AD5D2B">
            <w:pPr>
              <w:shd w:val="clear" w:color="auto" w:fill="FFFFFF" w:themeFill="background1"/>
              <w:jc w:val="center"/>
              <w:rPr>
                <w:rFonts w:asciiTheme="majorBidi" w:hAnsiTheme="majorBidi" w:cstheme="majorBidi"/>
                <w:b/>
                <w:bCs/>
                <w:sz w:val="20"/>
                <w:szCs w:val="20"/>
              </w:rPr>
            </w:pPr>
            <w:r w:rsidRPr="002C6028">
              <w:rPr>
                <w:rFonts w:asciiTheme="majorBidi" w:eastAsia="Times New Roman" w:hAnsiTheme="majorBidi" w:cstheme="majorBidi"/>
                <w:b/>
                <w:bCs/>
                <w:sz w:val="20"/>
                <w:szCs w:val="20"/>
                <w:lang w:val="fr-FR" w:eastAsia="en-CA"/>
              </w:rPr>
              <w:t>Domaine couvert</w:t>
            </w:r>
          </w:p>
        </w:tc>
        <w:tc>
          <w:tcPr>
            <w:tcW w:w="6610" w:type="dxa"/>
          </w:tcPr>
          <w:p w14:paraId="78F7BEC0" w14:textId="5B71FB01" w:rsidR="009B4B3A" w:rsidRPr="002C6028" w:rsidRDefault="002C6028" w:rsidP="00AD5D2B">
            <w:pPr>
              <w:shd w:val="clear" w:color="auto" w:fill="FFFFFF" w:themeFill="background1"/>
              <w:jc w:val="center"/>
              <w:rPr>
                <w:rFonts w:asciiTheme="majorBidi" w:hAnsiTheme="majorBidi" w:cstheme="majorBidi"/>
                <w:b/>
                <w:bCs/>
                <w:sz w:val="20"/>
                <w:szCs w:val="20"/>
              </w:rPr>
            </w:pPr>
            <w:r w:rsidRPr="002C6028">
              <w:rPr>
                <w:rFonts w:asciiTheme="majorBidi" w:hAnsiTheme="majorBidi" w:cstheme="majorBidi"/>
                <w:b/>
                <w:bCs/>
                <w:sz w:val="20"/>
                <w:szCs w:val="20"/>
                <w:lang w:val="fr-FR"/>
              </w:rPr>
              <w:t>Exemples de problèmes</w:t>
            </w:r>
          </w:p>
        </w:tc>
      </w:tr>
      <w:tr w:rsidR="009B4B3A" w:rsidRPr="00041141" w14:paraId="0F825AE0" w14:textId="77777777" w:rsidTr="00B42ED2">
        <w:tc>
          <w:tcPr>
            <w:tcW w:w="2830" w:type="dxa"/>
            <w:vMerge w:val="restart"/>
            <w:vAlign w:val="center"/>
          </w:tcPr>
          <w:p w14:paraId="4CD6EA75" w14:textId="15CE41BA" w:rsidR="009B4B3A" w:rsidRPr="000A3231" w:rsidRDefault="002C6028" w:rsidP="00AD5D2B">
            <w:pPr>
              <w:shd w:val="clear" w:color="auto" w:fill="FFFFFF" w:themeFill="background1"/>
              <w:jc w:val="left"/>
              <w:rPr>
                <w:rFonts w:asciiTheme="majorBidi" w:hAnsiTheme="majorBidi" w:cstheme="majorBidi"/>
                <w:sz w:val="20"/>
                <w:szCs w:val="20"/>
                <w:lang w:val="fr-CA"/>
              </w:rPr>
            </w:pPr>
            <w:r w:rsidRPr="002C6028">
              <w:rPr>
                <w:rFonts w:asciiTheme="majorBidi" w:eastAsia="Times New Roman" w:hAnsiTheme="majorBidi" w:cstheme="majorBidi"/>
                <w:sz w:val="20"/>
                <w:szCs w:val="20"/>
                <w:lang w:val="fr-FR" w:eastAsia="en-CA"/>
              </w:rPr>
              <w:t>Fabricants locaux inclus dans les projets de conversion</w:t>
            </w:r>
          </w:p>
        </w:tc>
        <w:tc>
          <w:tcPr>
            <w:tcW w:w="6610" w:type="dxa"/>
            <w:vAlign w:val="center"/>
          </w:tcPr>
          <w:p w14:paraId="6BED73DA" w14:textId="70A3AFC1"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liés à l</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9B4B3A" w:rsidRPr="00041141" w14:paraId="01D731D2" w14:textId="77777777" w:rsidTr="00B42ED2">
        <w:tc>
          <w:tcPr>
            <w:tcW w:w="2830" w:type="dxa"/>
            <w:vMerge/>
            <w:vAlign w:val="center"/>
          </w:tcPr>
          <w:p w14:paraId="16E4ED6A"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6774AB29" w14:textId="7FB2CF21"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Questions en relation avec les coûts</w:t>
            </w:r>
          </w:p>
        </w:tc>
      </w:tr>
      <w:tr w:rsidR="009B4B3A" w:rsidRPr="00041141" w14:paraId="3473BD9E" w14:textId="77777777" w:rsidTr="00B42ED2">
        <w:tc>
          <w:tcPr>
            <w:tcW w:w="2830" w:type="dxa"/>
            <w:vMerge/>
            <w:vAlign w:val="center"/>
          </w:tcPr>
          <w:p w14:paraId="379EE44F"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65A98C2E" w14:textId="07A96B14"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d</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9B4B3A" w:rsidRPr="00041141" w14:paraId="32E70740" w14:textId="77777777" w:rsidTr="00B42ED2">
        <w:tc>
          <w:tcPr>
            <w:tcW w:w="2830" w:type="dxa"/>
            <w:vMerge/>
            <w:vAlign w:val="center"/>
          </w:tcPr>
          <w:p w14:paraId="573E285E"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069F936A" w14:textId="63845FD6"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 xml:space="preserve">Problèmes liés au coût du produit fini </w:t>
            </w:r>
            <w:r w:rsidR="0097550B">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sidR="0097550B">
              <w:rPr>
                <w:rFonts w:asciiTheme="majorBidi" w:eastAsia="Times New Roman" w:hAnsiTheme="majorBidi" w:cstheme="majorBidi"/>
                <w:color w:val="000000"/>
                <w:sz w:val="20"/>
                <w:szCs w:val="20"/>
                <w:lang w:val="fr-FR" w:eastAsia="en-CA"/>
              </w:rPr>
              <w:t xml:space="preserve"> antérieure</w:t>
            </w:r>
          </w:p>
        </w:tc>
      </w:tr>
      <w:tr w:rsidR="009B4B3A" w:rsidRPr="00041141" w14:paraId="61DFF84D" w14:textId="77777777" w:rsidTr="00B42ED2">
        <w:tc>
          <w:tcPr>
            <w:tcW w:w="2830" w:type="dxa"/>
            <w:vMerge w:val="restart"/>
            <w:vAlign w:val="center"/>
          </w:tcPr>
          <w:p w14:paraId="640DEF80" w14:textId="1045FED1" w:rsidR="009B4B3A" w:rsidRPr="000A3231" w:rsidRDefault="002C6028" w:rsidP="00AD5D2B">
            <w:pPr>
              <w:shd w:val="clear" w:color="auto" w:fill="FFFFFF" w:themeFill="background1"/>
              <w:jc w:val="left"/>
              <w:rPr>
                <w:rFonts w:asciiTheme="majorBidi" w:eastAsia="Times New Roman" w:hAnsiTheme="majorBidi" w:cstheme="majorBidi"/>
                <w:sz w:val="20"/>
                <w:szCs w:val="20"/>
                <w:lang w:val="fr-CA" w:eastAsia="en-CA"/>
              </w:rPr>
            </w:pPr>
            <w:r w:rsidRPr="002C6028">
              <w:rPr>
                <w:rFonts w:asciiTheme="majorBidi" w:eastAsia="Times New Roman" w:hAnsiTheme="majorBidi" w:cstheme="majorBidi"/>
                <w:sz w:val="20"/>
                <w:szCs w:val="20"/>
                <w:lang w:val="fr-FR" w:eastAsia="en-CA"/>
              </w:rPr>
              <w:t>Autres fabricants locaux non inclus dans les projets de conversion</w:t>
            </w:r>
          </w:p>
        </w:tc>
        <w:tc>
          <w:tcPr>
            <w:tcW w:w="6610" w:type="dxa"/>
            <w:vAlign w:val="center"/>
          </w:tcPr>
          <w:p w14:paraId="05A9E5C2" w14:textId="2A7FA795"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liés à l</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9B4B3A" w:rsidRPr="00041141" w14:paraId="6EF55203" w14:textId="77777777" w:rsidTr="00B42ED2">
        <w:tc>
          <w:tcPr>
            <w:tcW w:w="2830" w:type="dxa"/>
            <w:vMerge/>
            <w:vAlign w:val="center"/>
          </w:tcPr>
          <w:p w14:paraId="68457DFC"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4CFF087C" w14:textId="4CCF84F6"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Questions en relation avec les coûts</w:t>
            </w:r>
          </w:p>
        </w:tc>
      </w:tr>
      <w:tr w:rsidR="009B4B3A" w:rsidRPr="00041141" w14:paraId="1794C8BA" w14:textId="77777777" w:rsidTr="00B42ED2">
        <w:tc>
          <w:tcPr>
            <w:tcW w:w="2830" w:type="dxa"/>
            <w:vMerge/>
            <w:vAlign w:val="center"/>
          </w:tcPr>
          <w:p w14:paraId="54583C8B"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58177949" w14:textId="61AE7BFC"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d</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9B4B3A" w:rsidRPr="00041141" w14:paraId="26AC01BF" w14:textId="77777777" w:rsidTr="00B42ED2">
        <w:tc>
          <w:tcPr>
            <w:tcW w:w="2830" w:type="dxa"/>
            <w:vMerge/>
            <w:vAlign w:val="center"/>
          </w:tcPr>
          <w:p w14:paraId="41E54DEE"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14EB6C72" w14:textId="5E38AA7B" w:rsidR="009B4B3A" w:rsidRPr="000A3231" w:rsidRDefault="0097550B"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 xml:space="preserve">Problèmes liés au coût du produit fini </w:t>
            </w:r>
            <w:r>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Pr>
                <w:rFonts w:asciiTheme="majorBidi" w:eastAsia="Times New Roman" w:hAnsiTheme="majorBidi" w:cstheme="majorBidi"/>
                <w:color w:val="000000"/>
                <w:sz w:val="20"/>
                <w:szCs w:val="20"/>
                <w:lang w:val="fr-FR" w:eastAsia="en-CA"/>
              </w:rPr>
              <w:t xml:space="preserve"> antérieure</w:t>
            </w:r>
          </w:p>
        </w:tc>
      </w:tr>
      <w:tr w:rsidR="009B4B3A" w:rsidRPr="00041141" w14:paraId="28C24B8A" w14:textId="77777777" w:rsidTr="00B42ED2">
        <w:tc>
          <w:tcPr>
            <w:tcW w:w="2830" w:type="dxa"/>
            <w:vMerge w:val="restart"/>
            <w:vAlign w:val="center"/>
          </w:tcPr>
          <w:p w14:paraId="2FCBB5EF" w14:textId="258488CE" w:rsidR="009B4B3A" w:rsidRPr="000A3231" w:rsidRDefault="002C6028" w:rsidP="00AD5D2B">
            <w:pPr>
              <w:shd w:val="clear" w:color="auto" w:fill="FFFFFF" w:themeFill="background1"/>
              <w:jc w:val="left"/>
              <w:rPr>
                <w:rFonts w:asciiTheme="majorBidi" w:eastAsia="Times New Roman" w:hAnsiTheme="majorBidi" w:cstheme="majorBidi"/>
                <w:sz w:val="20"/>
                <w:szCs w:val="20"/>
                <w:lang w:val="fr-CA" w:eastAsia="en-CA"/>
              </w:rPr>
            </w:pPr>
            <w:r w:rsidRPr="002C6028">
              <w:rPr>
                <w:rFonts w:asciiTheme="majorBidi" w:eastAsia="Times New Roman" w:hAnsiTheme="majorBidi" w:cstheme="majorBidi"/>
                <w:sz w:val="20"/>
                <w:szCs w:val="20"/>
                <w:lang w:val="fr-FR" w:eastAsia="en-CA"/>
              </w:rPr>
              <w:t>Fournisseurs</w:t>
            </w:r>
            <w:r w:rsidR="003D53B4">
              <w:rPr>
                <w:rFonts w:asciiTheme="majorBidi" w:eastAsia="Times New Roman" w:hAnsiTheme="majorBidi" w:cstheme="majorBidi"/>
                <w:sz w:val="20"/>
                <w:szCs w:val="20"/>
                <w:lang w:val="fr-FR" w:eastAsia="en-CA"/>
              </w:rPr>
              <w:t> </w:t>
            </w:r>
            <w:r w:rsidRPr="002C6028">
              <w:rPr>
                <w:rFonts w:asciiTheme="majorBidi" w:eastAsia="Times New Roman" w:hAnsiTheme="majorBidi" w:cstheme="majorBidi"/>
                <w:sz w:val="20"/>
                <w:szCs w:val="20"/>
                <w:lang w:val="fr-FR" w:eastAsia="en-CA"/>
              </w:rPr>
              <w:t>de frigorigènes et de composants</w:t>
            </w:r>
          </w:p>
        </w:tc>
        <w:tc>
          <w:tcPr>
            <w:tcW w:w="6610" w:type="dxa"/>
            <w:vAlign w:val="center"/>
          </w:tcPr>
          <w:p w14:paraId="350F587C" w14:textId="2262E460"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liés au volume de la demande</w:t>
            </w:r>
          </w:p>
        </w:tc>
      </w:tr>
      <w:tr w:rsidR="009B4B3A" w:rsidRPr="00041141" w14:paraId="3FA53C06" w14:textId="77777777" w:rsidTr="00B42ED2">
        <w:tc>
          <w:tcPr>
            <w:tcW w:w="2830" w:type="dxa"/>
            <w:vMerge/>
            <w:vAlign w:val="center"/>
          </w:tcPr>
          <w:p w14:paraId="40D8B357"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5464F203" w14:textId="397DBAA4"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d</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conditionnement</w:t>
            </w:r>
          </w:p>
        </w:tc>
      </w:tr>
      <w:tr w:rsidR="009B4B3A" w:rsidRPr="00041141" w14:paraId="75C08C09" w14:textId="77777777" w:rsidTr="00B42ED2">
        <w:tc>
          <w:tcPr>
            <w:tcW w:w="2830" w:type="dxa"/>
            <w:vMerge/>
            <w:vAlign w:val="center"/>
          </w:tcPr>
          <w:p w14:paraId="40FC9157" w14:textId="77777777" w:rsidR="009B4B3A" w:rsidRPr="000A3231" w:rsidRDefault="009B4B3A" w:rsidP="00650CEA">
            <w:pPr>
              <w:shd w:val="clear" w:color="auto" w:fill="FFFFFF" w:themeFill="background1"/>
              <w:jc w:val="left"/>
              <w:rPr>
                <w:rFonts w:asciiTheme="majorBidi" w:eastAsia="Times New Roman" w:hAnsiTheme="majorBidi" w:cstheme="majorBidi"/>
                <w:sz w:val="20"/>
                <w:szCs w:val="20"/>
                <w:lang w:val="fr-CA" w:eastAsia="en-CA"/>
              </w:rPr>
            </w:pPr>
          </w:p>
        </w:tc>
        <w:tc>
          <w:tcPr>
            <w:tcW w:w="6610" w:type="dxa"/>
            <w:vAlign w:val="center"/>
          </w:tcPr>
          <w:p w14:paraId="3460844F" w14:textId="3BBA6800" w:rsidR="009B4B3A" w:rsidRPr="000A3231" w:rsidRDefault="009B6FCD"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w:t>
            </w:r>
            <w:r w:rsidR="002C6028" w:rsidRPr="002C6028">
              <w:rPr>
                <w:rFonts w:asciiTheme="majorBidi" w:eastAsia="Times New Roman" w:hAnsiTheme="majorBidi" w:cstheme="majorBidi"/>
                <w:color w:val="000000"/>
                <w:sz w:val="20"/>
                <w:szCs w:val="20"/>
                <w:lang w:val="fr-FR" w:eastAsia="en-CA"/>
              </w:rPr>
              <w:t xml:space="preserve"> liés au réseau de distribution</w:t>
            </w:r>
          </w:p>
        </w:tc>
      </w:tr>
      <w:tr w:rsidR="009B4B3A" w:rsidRPr="00041141" w14:paraId="02C2AFF1" w14:textId="77777777" w:rsidTr="00B42ED2">
        <w:tc>
          <w:tcPr>
            <w:tcW w:w="2830" w:type="dxa"/>
            <w:vMerge w:val="restart"/>
            <w:vAlign w:val="center"/>
          </w:tcPr>
          <w:p w14:paraId="76C91E17" w14:textId="73BCCA1C" w:rsidR="009B4B3A" w:rsidRPr="002C6028" w:rsidRDefault="002C6028" w:rsidP="00AD5D2B">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PME</w:t>
            </w:r>
          </w:p>
        </w:tc>
        <w:tc>
          <w:tcPr>
            <w:tcW w:w="6610" w:type="dxa"/>
            <w:vAlign w:val="center"/>
          </w:tcPr>
          <w:p w14:paraId="1C945D0E" w14:textId="715CF87D"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Disponibilité sur le marché local</w:t>
            </w:r>
          </w:p>
        </w:tc>
      </w:tr>
      <w:tr w:rsidR="009B4B3A" w:rsidRPr="00041141" w14:paraId="777105C8" w14:textId="77777777" w:rsidTr="00B42ED2">
        <w:tc>
          <w:tcPr>
            <w:tcW w:w="2830" w:type="dxa"/>
            <w:vMerge/>
            <w:vAlign w:val="center"/>
          </w:tcPr>
          <w:p w14:paraId="01E45977" w14:textId="77777777" w:rsidR="009B4B3A" w:rsidRPr="000A3231" w:rsidRDefault="009B4B3A" w:rsidP="00650CEA">
            <w:pPr>
              <w:shd w:val="clear" w:color="auto" w:fill="FFFFFF" w:themeFill="background1"/>
              <w:jc w:val="left"/>
              <w:rPr>
                <w:rFonts w:asciiTheme="majorBidi" w:eastAsia="Times New Roman" w:hAnsiTheme="majorBidi" w:cstheme="majorBidi"/>
                <w:b/>
                <w:bCs/>
                <w:sz w:val="20"/>
                <w:szCs w:val="20"/>
                <w:lang w:val="fr-CA" w:eastAsia="en-CA"/>
              </w:rPr>
            </w:pPr>
          </w:p>
        </w:tc>
        <w:tc>
          <w:tcPr>
            <w:tcW w:w="6610" w:type="dxa"/>
            <w:vAlign w:val="center"/>
          </w:tcPr>
          <w:p w14:paraId="3048E474" w14:textId="55C3BF8A"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Coût des frigorigènes ou des composants</w:t>
            </w:r>
          </w:p>
        </w:tc>
      </w:tr>
      <w:tr w:rsidR="009B4B3A" w:rsidRPr="00041141" w14:paraId="32530F0F" w14:textId="77777777" w:rsidTr="00B42ED2">
        <w:tc>
          <w:tcPr>
            <w:tcW w:w="2830" w:type="dxa"/>
            <w:vMerge/>
            <w:vAlign w:val="center"/>
          </w:tcPr>
          <w:p w14:paraId="45F7C570" w14:textId="77777777" w:rsidR="009B4B3A" w:rsidRPr="000A3231" w:rsidRDefault="009B4B3A" w:rsidP="00650CEA">
            <w:pPr>
              <w:shd w:val="clear" w:color="auto" w:fill="FFFFFF" w:themeFill="background1"/>
              <w:jc w:val="left"/>
              <w:rPr>
                <w:rFonts w:asciiTheme="majorBidi" w:eastAsia="Times New Roman" w:hAnsiTheme="majorBidi" w:cstheme="majorBidi"/>
                <w:b/>
                <w:bCs/>
                <w:sz w:val="20"/>
                <w:szCs w:val="20"/>
                <w:lang w:val="fr-CA" w:eastAsia="en-CA"/>
              </w:rPr>
            </w:pPr>
          </w:p>
        </w:tc>
        <w:tc>
          <w:tcPr>
            <w:tcW w:w="6610" w:type="dxa"/>
            <w:vAlign w:val="center"/>
          </w:tcPr>
          <w:p w14:paraId="4D5E3639" w14:textId="4FF817C5"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Capacités techniques en matière de reconception et de sélection des composants appropriés</w:t>
            </w:r>
          </w:p>
        </w:tc>
      </w:tr>
      <w:tr w:rsidR="009B4B3A" w:rsidRPr="00041141" w14:paraId="7BF5FA31" w14:textId="77777777" w:rsidTr="00B42ED2">
        <w:tc>
          <w:tcPr>
            <w:tcW w:w="2830" w:type="dxa"/>
            <w:vMerge/>
            <w:vAlign w:val="center"/>
          </w:tcPr>
          <w:p w14:paraId="377590EF" w14:textId="77777777" w:rsidR="009B4B3A" w:rsidRPr="000A3231" w:rsidRDefault="009B4B3A" w:rsidP="00650CEA">
            <w:pPr>
              <w:shd w:val="clear" w:color="auto" w:fill="FFFFFF" w:themeFill="background1"/>
              <w:jc w:val="left"/>
              <w:rPr>
                <w:rFonts w:asciiTheme="majorBidi" w:eastAsia="Times New Roman" w:hAnsiTheme="majorBidi" w:cstheme="majorBidi"/>
                <w:b/>
                <w:bCs/>
                <w:sz w:val="20"/>
                <w:szCs w:val="20"/>
                <w:lang w:val="fr-CA" w:eastAsia="en-CA"/>
              </w:rPr>
            </w:pPr>
          </w:p>
        </w:tc>
        <w:tc>
          <w:tcPr>
            <w:tcW w:w="6610" w:type="dxa"/>
            <w:vAlign w:val="center"/>
          </w:tcPr>
          <w:p w14:paraId="3445FC8A" w14:textId="6031D003"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liés à la sécurité et à la logistique</w:t>
            </w:r>
          </w:p>
        </w:tc>
      </w:tr>
      <w:tr w:rsidR="009B4B3A" w:rsidRPr="00041141" w14:paraId="354B2174" w14:textId="77777777" w:rsidTr="00B42ED2">
        <w:tc>
          <w:tcPr>
            <w:tcW w:w="2830" w:type="dxa"/>
            <w:vMerge w:val="restart"/>
            <w:vAlign w:val="center"/>
          </w:tcPr>
          <w:p w14:paraId="268C359E" w14:textId="66D3DE4D" w:rsidR="009B4B3A" w:rsidRPr="000A3231" w:rsidRDefault="002C6028" w:rsidP="00AD5D2B">
            <w:pPr>
              <w:shd w:val="clear" w:color="auto" w:fill="FFFFFF" w:themeFill="background1"/>
              <w:jc w:val="left"/>
              <w:rPr>
                <w:rFonts w:asciiTheme="majorBidi" w:eastAsia="Times New Roman" w:hAnsiTheme="majorBidi" w:cstheme="majorBidi"/>
                <w:sz w:val="20"/>
                <w:szCs w:val="20"/>
                <w:lang w:val="fr-CA" w:eastAsia="en-CA"/>
              </w:rPr>
            </w:pPr>
            <w:r w:rsidRPr="002C6028">
              <w:rPr>
                <w:rFonts w:asciiTheme="majorBidi" w:eastAsia="Times New Roman" w:hAnsiTheme="majorBidi" w:cstheme="majorBidi"/>
                <w:sz w:val="20"/>
                <w:szCs w:val="20"/>
                <w:lang w:val="fr-FR" w:eastAsia="en-CA"/>
              </w:rPr>
              <w:t>Questions relatives aux réglementations ou aux normes</w:t>
            </w:r>
          </w:p>
        </w:tc>
        <w:tc>
          <w:tcPr>
            <w:tcW w:w="6610" w:type="dxa"/>
            <w:vAlign w:val="center"/>
          </w:tcPr>
          <w:p w14:paraId="6BF1C623" w14:textId="5FBC0B66"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Absence ou obsolescence des normes locales relatives aux frigorigènes ou aux produits finis de réfrigération, de climatisation et de pompes à chaleur</w:t>
            </w:r>
          </w:p>
        </w:tc>
      </w:tr>
      <w:tr w:rsidR="009B4B3A" w:rsidRPr="00041141" w14:paraId="095E98F4" w14:textId="77777777" w:rsidTr="00B42ED2">
        <w:tc>
          <w:tcPr>
            <w:tcW w:w="2830" w:type="dxa"/>
            <w:vMerge/>
            <w:vAlign w:val="center"/>
          </w:tcPr>
          <w:p w14:paraId="1E4F38FB" w14:textId="77777777" w:rsidR="009B4B3A" w:rsidRPr="000A3231" w:rsidRDefault="009B4B3A" w:rsidP="00650CEA">
            <w:pPr>
              <w:shd w:val="clear" w:color="auto" w:fill="FFFFFF" w:themeFill="background1"/>
              <w:rPr>
                <w:rFonts w:asciiTheme="majorBidi" w:eastAsia="Times New Roman" w:hAnsiTheme="majorBidi" w:cstheme="majorBidi"/>
                <w:b/>
                <w:bCs/>
                <w:sz w:val="20"/>
                <w:szCs w:val="20"/>
                <w:lang w:val="fr-CA" w:eastAsia="en-CA"/>
              </w:rPr>
            </w:pPr>
          </w:p>
        </w:tc>
        <w:tc>
          <w:tcPr>
            <w:tcW w:w="6610" w:type="dxa"/>
            <w:vAlign w:val="center"/>
          </w:tcPr>
          <w:p w14:paraId="6049C6DB" w14:textId="57C0C2A2"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Les nouveaux composants ne respectent pas les exigences locales des NMPE</w:t>
            </w:r>
          </w:p>
        </w:tc>
      </w:tr>
      <w:tr w:rsidR="009B4B3A" w:rsidRPr="00041141" w14:paraId="10260961" w14:textId="77777777" w:rsidTr="00B42ED2">
        <w:tc>
          <w:tcPr>
            <w:tcW w:w="2830" w:type="dxa"/>
            <w:vMerge/>
            <w:vAlign w:val="center"/>
          </w:tcPr>
          <w:p w14:paraId="0D1E7082" w14:textId="77777777" w:rsidR="009B4B3A" w:rsidRPr="000A3231" w:rsidRDefault="009B4B3A" w:rsidP="00650CEA">
            <w:pPr>
              <w:shd w:val="clear" w:color="auto" w:fill="FFFFFF" w:themeFill="background1"/>
              <w:rPr>
                <w:rFonts w:asciiTheme="majorBidi" w:eastAsia="Times New Roman" w:hAnsiTheme="majorBidi" w:cstheme="majorBidi"/>
                <w:b/>
                <w:bCs/>
                <w:sz w:val="20"/>
                <w:szCs w:val="20"/>
                <w:lang w:val="fr-CA" w:eastAsia="en-CA"/>
              </w:rPr>
            </w:pPr>
          </w:p>
        </w:tc>
        <w:tc>
          <w:tcPr>
            <w:tcW w:w="6610" w:type="dxa"/>
            <w:vAlign w:val="center"/>
          </w:tcPr>
          <w:p w14:paraId="63CED09D" w14:textId="720C9AE5"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Conflit avec les codes du bâtiment</w:t>
            </w:r>
          </w:p>
        </w:tc>
      </w:tr>
      <w:tr w:rsidR="009B4B3A" w:rsidRPr="00041141" w14:paraId="0A346249" w14:textId="77777777" w:rsidTr="00B42ED2">
        <w:tc>
          <w:tcPr>
            <w:tcW w:w="2830" w:type="dxa"/>
            <w:vMerge/>
            <w:vAlign w:val="center"/>
          </w:tcPr>
          <w:p w14:paraId="1E4288C2" w14:textId="77777777" w:rsidR="009B4B3A" w:rsidRPr="000A3231" w:rsidRDefault="009B4B3A" w:rsidP="00650CEA">
            <w:pPr>
              <w:shd w:val="clear" w:color="auto" w:fill="FFFFFF" w:themeFill="background1"/>
              <w:rPr>
                <w:rFonts w:asciiTheme="majorBidi" w:eastAsia="Times New Roman" w:hAnsiTheme="majorBidi" w:cstheme="majorBidi"/>
                <w:b/>
                <w:bCs/>
                <w:sz w:val="20"/>
                <w:szCs w:val="20"/>
                <w:lang w:val="fr-CA" w:eastAsia="en-CA"/>
              </w:rPr>
            </w:pPr>
          </w:p>
        </w:tc>
        <w:tc>
          <w:tcPr>
            <w:tcW w:w="6610" w:type="dxa"/>
            <w:vAlign w:val="center"/>
          </w:tcPr>
          <w:p w14:paraId="79854EFE" w14:textId="402651FA" w:rsidR="009B4B3A" w:rsidRPr="000A3231" w:rsidRDefault="002C6028" w:rsidP="00AD5D2B">
            <w:pPr>
              <w:shd w:val="clear" w:color="auto" w:fill="FFFFFF" w:themeFill="background1"/>
              <w:rPr>
                <w:rFonts w:asciiTheme="majorBidi" w:hAnsiTheme="majorBidi" w:cstheme="majorBidi"/>
                <w:color w:val="000000"/>
                <w:sz w:val="20"/>
                <w:szCs w:val="20"/>
                <w:lang w:val="fr-CA"/>
              </w:rPr>
            </w:pPr>
            <w:r w:rsidRPr="002C6028">
              <w:rPr>
                <w:rFonts w:asciiTheme="majorBidi" w:eastAsia="Times New Roman" w:hAnsiTheme="majorBidi" w:cstheme="majorBidi"/>
                <w:color w:val="000000"/>
                <w:sz w:val="20"/>
                <w:szCs w:val="20"/>
                <w:lang w:val="fr-FR" w:eastAsia="en-CA"/>
              </w:rPr>
              <w:t>Problèmes de sécurité pendant le transport, le fonctionnement et l</w:t>
            </w:r>
            <w:r w:rsidR="003D53B4">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entretien</w:t>
            </w:r>
          </w:p>
        </w:tc>
      </w:tr>
    </w:tbl>
    <w:p w14:paraId="16AB2F50" w14:textId="77777777" w:rsidR="009B4B3A" w:rsidRPr="000A3231" w:rsidRDefault="009B4B3A" w:rsidP="00650CEA">
      <w:pPr>
        <w:shd w:val="clear" w:color="auto" w:fill="FFFFFF" w:themeFill="background1"/>
        <w:rPr>
          <w:lang w:val="fr-CA"/>
        </w:rPr>
        <w:sectPr w:rsidR="009B4B3A" w:rsidRPr="000A3231" w:rsidSect="009B4B3A">
          <w:headerReference w:type="first" r:id="rId21"/>
          <w:footerReference w:type="first" r:id="rId22"/>
          <w:pgSz w:w="12240" w:h="15840" w:code="1"/>
          <w:pgMar w:top="720" w:right="1350" w:bottom="864" w:left="1440" w:header="720" w:footer="475" w:gutter="0"/>
          <w:pgNumType w:start="1"/>
          <w:cols w:space="720"/>
          <w:titlePg/>
          <w:docGrid w:linePitch="299"/>
        </w:sectPr>
      </w:pPr>
    </w:p>
    <w:p w14:paraId="4042CAA8" w14:textId="452BB2B4" w:rsidR="009B4B3A" w:rsidRPr="000A3231" w:rsidRDefault="002C6028" w:rsidP="002C6028">
      <w:pPr>
        <w:pStyle w:val="Heading1"/>
        <w:numPr>
          <w:ilvl w:val="0"/>
          <w:numId w:val="0"/>
        </w:numPr>
        <w:shd w:val="clear" w:color="auto" w:fill="FFFFFF" w:themeFill="background1"/>
        <w:jc w:val="center"/>
        <w:rPr>
          <w:rFonts w:asciiTheme="majorBidi" w:hAnsiTheme="majorBidi" w:cstheme="majorBidi"/>
          <w:b/>
          <w:bCs/>
          <w:lang w:val="fr-CA"/>
        </w:rPr>
      </w:pPr>
      <w:r w:rsidRPr="002C6028">
        <w:rPr>
          <w:rFonts w:asciiTheme="majorBidi" w:hAnsiTheme="majorBidi" w:cstheme="majorBidi"/>
          <w:b/>
          <w:bCs/>
          <w:lang w:val="fr-FR"/>
        </w:rPr>
        <w:lastRenderedPageBreak/>
        <w:t>Annexe II</w:t>
      </w:r>
    </w:p>
    <w:p w14:paraId="16D5A0AC" w14:textId="3C60B3D9" w:rsidR="009D5F21" w:rsidRPr="000A3231" w:rsidRDefault="002C6028" w:rsidP="002C6028">
      <w:pPr>
        <w:keepNext/>
        <w:shd w:val="clear" w:color="auto" w:fill="FFFFFF" w:themeFill="background1"/>
        <w:spacing w:after="360"/>
        <w:jc w:val="center"/>
        <w:rPr>
          <w:rFonts w:eastAsia="Times New Roman"/>
          <w:b/>
          <w:bCs/>
          <w:caps/>
          <w:lang w:val="fr-CA" w:eastAsia="en-US"/>
        </w:rPr>
      </w:pPr>
      <w:r w:rsidRPr="002C6028">
        <w:rPr>
          <w:rFonts w:eastAsia="Times New Roman"/>
          <w:b/>
          <w:bCs/>
          <w:caps/>
          <w:lang w:val="fr-FR" w:eastAsia="en-US"/>
        </w:rPr>
        <w:t>RÉSUMÉ DES CONCLUSIONS RELATIVES AUX DIFFICULTÉS RENCONTRÉS PAR LES PAYS VISÉS À L</w:t>
      </w:r>
      <w:r w:rsidR="003D53B4">
        <w:rPr>
          <w:rFonts w:eastAsia="Times New Roman"/>
          <w:b/>
          <w:bCs/>
          <w:caps/>
          <w:lang w:val="fr-FR" w:eastAsia="en-US"/>
        </w:rPr>
        <w:t>’</w:t>
      </w:r>
      <w:r w:rsidRPr="002C6028">
        <w:rPr>
          <w:rFonts w:eastAsia="Times New Roman"/>
          <w:b/>
          <w:bCs/>
          <w:caps/>
          <w:lang w:val="fr-FR" w:eastAsia="en-US"/>
        </w:rPr>
        <w:t>ARTICLE 5 DANS LA MISE EN ŒUVRE DE PROJETS DE CONVERSION EN RAISON DE PROBLÈMES LIÉS À LA CHAÎNE D</w:t>
      </w:r>
      <w:r w:rsidR="003D53B4">
        <w:rPr>
          <w:rFonts w:eastAsia="Times New Roman"/>
          <w:b/>
          <w:bCs/>
          <w:caps/>
          <w:lang w:val="fr-FR" w:eastAsia="en-US"/>
        </w:rPr>
        <w:t>’</w:t>
      </w:r>
      <w:r w:rsidRPr="002C6028">
        <w:rPr>
          <w:rFonts w:eastAsia="Times New Roman"/>
          <w:b/>
          <w:bCs/>
          <w:caps/>
          <w:lang w:val="fr-FR" w:eastAsia="en-US"/>
        </w:rPr>
        <w:t>APPROVISIONNEMENT</w:t>
      </w:r>
    </w:p>
    <w:bookmarkStart w:id="0" w:name="Slide_Number_1"/>
    <w:bookmarkEnd w:id="0"/>
    <w:p w14:paraId="5E15268D" w14:textId="77C82EB8" w:rsidR="002C6028" w:rsidRPr="000A3231" w:rsidRDefault="00267896" w:rsidP="009A5AF2">
      <w:pPr>
        <w:shd w:val="clear" w:color="auto" w:fill="FFFFFF" w:themeFill="background1"/>
        <w:ind w:left="57"/>
        <w:rPr>
          <w:i/>
          <w:iCs/>
          <w:sz w:val="20"/>
          <w:szCs w:val="20"/>
          <w:lang w:val="fr-CA"/>
        </w:rPr>
      </w:pPr>
      <w:r w:rsidRPr="00650CEA">
        <w:rPr>
          <w:noProof/>
          <w:lang w:val="nl-NL" w:eastAsia="nl-NL"/>
        </w:rPr>
        <mc:AlternateContent>
          <mc:Choice Requires="wps">
            <w:drawing>
              <wp:anchor distT="0" distB="0" distL="114300" distR="114300" simplePos="0" relativeHeight="251656192" behindDoc="0" locked="0" layoutInCell="1" allowOverlap="1" wp14:anchorId="0625C4E9" wp14:editId="2BCAEDF0">
                <wp:simplePos x="0" y="0"/>
                <wp:positionH relativeFrom="column">
                  <wp:posOffset>1149985</wp:posOffset>
                </wp:positionH>
                <wp:positionV relativeFrom="paragraph">
                  <wp:posOffset>24765</wp:posOffset>
                </wp:positionV>
                <wp:extent cx="109220" cy="109220"/>
                <wp:effectExtent l="0" t="0" r="24130" b="24130"/>
                <wp:wrapNone/>
                <wp:docPr id="6"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4A23EE8B" id="Shape 4" o:spid="_x0000_s1026" style="position:absolute;margin-left:90.55pt;margin-top:1.95pt;width:8.6pt;height:8.6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" fillcolor="#c47a14" strokecolor="#c47a14" strokeweight="1pt"/>
            </w:pict>
          </mc:Fallback>
        </mc:AlternateContent>
      </w:r>
      <w:r w:rsidRPr="00650CEA">
        <w:rPr>
          <w:noProof/>
          <w:lang w:val="nl-NL" w:eastAsia="nl-NL"/>
        </w:rPr>
        <mc:AlternateContent>
          <mc:Choice Requires="wps">
            <w:drawing>
              <wp:anchor distT="0" distB="0" distL="114300" distR="114300" simplePos="0" relativeHeight="251660288" behindDoc="0" locked="0" layoutInCell="1" allowOverlap="1" wp14:anchorId="33B7BCD9" wp14:editId="2316D845">
                <wp:simplePos x="0" y="0"/>
                <wp:positionH relativeFrom="column">
                  <wp:posOffset>1169035</wp:posOffset>
                </wp:positionH>
                <wp:positionV relativeFrom="paragraph">
                  <wp:posOffset>24765</wp:posOffset>
                </wp:positionV>
                <wp:extent cx="109220" cy="109220"/>
                <wp:effectExtent l="0" t="0" r="24130" b="24130"/>
                <wp:wrapNone/>
                <wp:docPr id="2"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12D70053" id="Shape 4" o:spid="_x0000_s1026" style="position:absolute;margin-left:92.05pt;margin-top:1.95pt;width:8.6pt;height:8.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" fillcolor="#c47a14" strokecolor="#c47a14" strokeweight="1pt"/>
            </w:pict>
          </mc:Fallback>
        </mc:AlternateContent>
      </w:r>
      <w:r w:rsidR="008C5116" w:rsidRPr="00650CEA">
        <w:rPr>
          <w:noProof/>
          <w:lang w:val="nl-NL" w:eastAsia="nl-NL"/>
        </w:rPr>
        <mc:AlternateContent>
          <mc:Choice Requires="wps">
            <w:drawing>
              <wp:anchor distT="0" distB="0" distL="114300" distR="114300" simplePos="0" relativeHeight="251657216" behindDoc="0" locked="0" layoutInCell="1" allowOverlap="1" wp14:anchorId="42B077D4" wp14:editId="0A9D4793">
                <wp:simplePos x="0" y="0"/>
                <wp:positionH relativeFrom="column">
                  <wp:posOffset>1623695</wp:posOffset>
                </wp:positionH>
                <wp:positionV relativeFrom="paragraph">
                  <wp:posOffset>16510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3EA66427" id="Shape 6" o:spid="_x0000_s1026" style="position:absolute;margin-left:127.85pt;margin-top:1.3pt;width:8.6pt;height: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" fillcolor="#1a5fa8" strokecolor="#1a5fa8" strokeweight="1pt"/>
            </w:pict>
          </mc:Fallback>
        </mc:AlternateContent>
      </w:r>
      <w:r w:rsidR="008C5116" w:rsidRPr="00650CEA">
        <w:rPr>
          <w:noProof/>
          <w:lang w:val="nl-NL" w:eastAsia="nl-NL"/>
        </w:rPr>
        <mc:AlternateContent>
          <mc:Choice Requires="wps">
            <w:drawing>
              <wp:anchor distT="0" distB="0" distL="114300" distR="114300" simplePos="0" relativeHeight="251659264" behindDoc="0" locked="0" layoutInCell="1" allowOverlap="1" wp14:anchorId="6C74DD71" wp14:editId="7C51EC50">
                <wp:simplePos x="0" y="0"/>
                <wp:positionH relativeFrom="column">
                  <wp:posOffset>1624330</wp:posOffset>
                </wp:positionH>
                <wp:positionV relativeFrom="paragraph">
                  <wp:posOffset>31115</wp:posOffset>
                </wp:positionV>
                <wp:extent cx="109220" cy="109220"/>
                <wp:effectExtent l="0" t="0" r="24130" b="24130"/>
                <wp:wrapNone/>
                <wp:docPr id="1"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188B917E" id="Shape 6" o:spid="_x0000_s1026" style="position:absolute;margin-left:127.9pt;margin-top:2.45pt;width:8.6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" fillcolor="#1a5fa8" strokecolor="#1a5fa8" strokeweight="1pt"/>
            </w:pict>
          </mc:Fallback>
        </mc:AlternateContent>
      </w:r>
      <w:r w:rsidR="009D5F21" w:rsidRPr="00650CEA">
        <w:rPr>
          <w:noProof/>
          <w:lang w:val="nl-NL" w:eastAsia="nl-NL"/>
        </w:rPr>
        <mc:AlternateContent>
          <mc:Choice Requires="wps">
            <w:drawing>
              <wp:anchor distT="0" distB="0" distL="114300" distR="114300" simplePos="0" relativeHeight="251655168" behindDoc="0" locked="0" layoutInCell="1" allowOverlap="1" wp14:anchorId="7B63E101" wp14:editId="255E3FF0">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0AE39EE2" id="Shape 2" o:spid="_x0000_s1026" style="position:absolute;margin-left:2.15pt;margin-top:2.7pt;width:8.65pt;height:8.6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003D53B4" w:rsidRPr="000A3231">
        <w:rPr>
          <w:lang w:val="fr-CA"/>
        </w:rPr>
        <w:t>  </w:t>
      </w:r>
      <w:r w:rsidR="002C6028" w:rsidRPr="00650CEA">
        <w:rPr>
          <w:noProof/>
          <w:lang w:val="nl-NL" w:eastAsia="nl-NL"/>
        </w:rPr>
        <mc:AlternateContent>
          <mc:Choice Requires="wps">
            <w:drawing>
              <wp:anchor distT="0" distB="0" distL="114300" distR="114300" simplePos="0" relativeHeight="251658240" behindDoc="0" locked="0" layoutInCell="1" allowOverlap="1" wp14:anchorId="3A038CE9" wp14:editId="24CB7F51">
                <wp:simplePos x="0" y="0"/>
                <wp:positionH relativeFrom="column">
                  <wp:posOffset>27305</wp:posOffset>
                </wp:positionH>
                <wp:positionV relativeFrom="paragraph">
                  <wp:posOffset>34290</wp:posOffset>
                </wp:positionV>
                <wp:extent cx="109728" cy="109728"/>
                <wp:effectExtent l="0" t="0" r="24130" b="24130"/>
                <wp:wrapNone/>
                <wp:docPr id="3"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20530CA9" id="Shape 2" o:spid="_x0000_s1026" style="position:absolute;margin-left:2.15pt;margin-top:2.7pt;width:8.65pt;height:8.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008C5116" w:rsidRPr="000A3231">
        <w:rPr>
          <w:lang w:val="fr-CA"/>
        </w:rPr>
        <w:t xml:space="preserve"> </w:t>
      </w:r>
      <w:r w:rsidR="0097550B" w:rsidRPr="000A3231">
        <w:rPr>
          <w:lang w:val="fr-CA"/>
        </w:rPr>
        <w:t> </w:t>
      </w:r>
      <w:r w:rsidR="008C5116" w:rsidRPr="000A3231">
        <w:rPr>
          <w:i/>
          <w:sz w:val="20"/>
          <w:szCs w:val="20"/>
          <w:lang w:val="fr-CA"/>
        </w:rPr>
        <w:t>Disponibilité</w:t>
      </w:r>
      <w:r w:rsidR="003D53B4" w:rsidRPr="000A3231">
        <w:rPr>
          <w:sz w:val="20"/>
          <w:szCs w:val="20"/>
          <w:lang w:val="fr-CA"/>
        </w:rPr>
        <w:t> </w:t>
      </w:r>
      <w:r w:rsidR="003D53B4">
        <w:rPr>
          <w:i/>
          <w:iCs/>
          <w:sz w:val="20"/>
          <w:szCs w:val="20"/>
          <w:lang w:val="fr-FR"/>
        </w:rPr>
        <w:t>  </w:t>
      </w:r>
      <w:r w:rsidR="008C5116">
        <w:rPr>
          <w:i/>
          <w:iCs/>
          <w:sz w:val="20"/>
          <w:szCs w:val="20"/>
          <w:lang w:val="fr-FR"/>
        </w:rPr>
        <w:tab/>
        <w:t>Prix</w:t>
      </w:r>
      <w:r w:rsidR="0097550B">
        <w:rPr>
          <w:i/>
          <w:iCs/>
          <w:sz w:val="20"/>
          <w:szCs w:val="20"/>
          <w:lang w:val="fr-FR"/>
        </w:rPr>
        <w:t> </w:t>
      </w:r>
      <w:r w:rsidR="008C5116">
        <w:rPr>
          <w:i/>
          <w:iCs/>
          <w:sz w:val="20"/>
          <w:szCs w:val="20"/>
          <w:lang w:val="fr-FR"/>
        </w:rPr>
        <w:t xml:space="preserve"> </w:t>
      </w:r>
      <w:r w:rsidR="008C5116">
        <w:rPr>
          <w:i/>
          <w:iCs/>
          <w:sz w:val="20"/>
          <w:szCs w:val="20"/>
          <w:lang w:val="fr-FR"/>
        </w:rPr>
        <w:tab/>
        <w:t>Questions</w:t>
      </w:r>
      <w:r w:rsidR="008C5116" w:rsidRPr="009A5AF2">
        <w:rPr>
          <w:i/>
          <w:iCs/>
          <w:sz w:val="20"/>
          <w:szCs w:val="20"/>
          <w:lang w:val="fr-FR"/>
        </w:rPr>
        <w:t xml:space="preserve"> techniques et autres</w:t>
      </w:r>
    </w:p>
    <w:tbl>
      <w:tblPr>
        <w:tblStyle w:val="TableGrid"/>
        <w:tblW w:w="0" w:type="auto"/>
        <w:tblLook w:val="04A0" w:firstRow="1" w:lastRow="0" w:firstColumn="1" w:lastColumn="0" w:noHBand="0" w:noVBand="1"/>
      </w:tblPr>
      <w:tblGrid>
        <w:gridCol w:w="2605"/>
        <w:gridCol w:w="4517"/>
        <w:gridCol w:w="3562"/>
        <w:gridCol w:w="3562"/>
      </w:tblGrid>
      <w:tr w:rsidR="009D5F21" w:rsidRPr="00E943A4" w14:paraId="7ABB855D" w14:textId="77777777" w:rsidTr="00D03E3D">
        <w:trPr>
          <w:tblHeader/>
        </w:trPr>
        <w:tc>
          <w:tcPr>
            <w:tcW w:w="2605" w:type="dxa"/>
            <w:tcBorders>
              <w:top w:val="single" w:sz="4" w:space="0" w:color="auto"/>
              <w:left w:val="single" w:sz="4" w:space="0" w:color="auto"/>
              <w:bottom w:val="single" w:sz="4" w:space="0" w:color="auto"/>
              <w:right w:val="single" w:sz="4" w:space="0" w:color="auto"/>
            </w:tcBorders>
          </w:tcPr>
          <w:p w14:paraId="3497518C" w14:textId="77777777" w:rsidR="009D5F21" w:rsidRPr="000A3231" w:rsidRDefault="009D5F21" w:rsidP="009E2300">
            <w:pPr>
              <w:shd w:val="clear" w:color="auto" w:fill="FFFFFF" w:themeFill="background1"/>
              <w:rPr>
                <w:rFonts w:asciiTheme="majorBidi" w:hAnsiTheme="majorBidi" w:cstheme="majorBidi"/>
                <w:sz w:val="20"/>
                <w:szCs w:val="20"/>
                <w:lang w:val="fr-CA"/>
              </w:rPr>
            </w:pPr>
          </w:p>
        </w:tc>
        <w:tc>
          <w:tcPr>
            <w:tcW w:w="4517" w:type="dxa"/>
            <w:tcBorders>
              <w:top w:val="single" w:sz="4" w:space="0" w:color="auto"/>
              <w:left w:val="single" w:sz="4" w:space="0" w:color="auto"/>
              <w:bottom w:val="single" w:sz="4" w:space="0" w:color="auto"/>
              <w:right w:val="single" w:sz="4" w:space="0" w:color="auto"/>
            </w:tcBorders>
            <w:hideMark/>
          </w:tcPr>
          <w:p w14:paraId="2C203363" w14:textId="7746AC72" w:rsidR="009D5F21" w:rsidRPr="009A5AF2" w:rsidRDefault="009A5AF2" w:rsidP="00AD5D2B">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Disponibilité</w:t>
            </w:r>
          </w:p>
        </w:tc>
        <w:tc>
          <w:tcPr>
            <w:tcW w:w="3562" w:type="dxa"/>
            <w:tcBorders>
              <w:top w:val="single" w:sz="4" w:space="0" w:color="auto"/>
              <w:left w:val="single" w:sz="4" w:space="0" w:color="auto"/>
              <w:bottom w:val="single" w:sz="4" w:space="0" w:color="auto"/>
              <w:right w:val="single" w:sz="4" w:space="0" w:color="auto"/>
            </w:tcBorders>
            <w:hideMark/>
          </w:tcPr>
          <w:p w14:paraId="6A603A66" w14:textId="1092AFA3" w:rsidR="009D5F21" w:rsidRPr="009A5AF2" w:rsidRDefault="009A5AF2" w:rsidP="00AD5D2B">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Prix</w:t>
            </w:r>
          </w:p>
        </w:tc>
        <w:tc>
          <w:tcPr>
            <w:tcW w:w="3562" w:type="dxa"/>
            <w:tcBorders>
              <w:top w:val="single" w:sz="4" w:space="0" w:color="auto"/>
              <w:left w:val="single" w:sz="4" w:space="0" w:color="auto"/>
              <w:bottom w:val="single" w:sz="4" w:space="0" w:color="auto"/>
              <w:right w:val="single" w:sz="4" w:space="0" w:color="auto"/>
            </w:tcBorders>
            <w:hideMark/>
          </w:tcPr>
          <w:p w14:paraId="08AD484E" w14:textId="5CD03BCB" w:rsidR="009D5F21" w:rsidRPr="009A5AF2" w:rsidRDefault="009A5AF2" w:rsidP="00AD5D2B">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Questions techniques et autres</w:t>
            </w:r>
          </w:p>
        </w:tc>
      </w:tr>
      <w:tr w:rsidR="009D5F21" w:rsidRPr="00041141" w14:paraId="5376B9C3" w14:textId="77777777" w:rsidTr="00D03E3D">
        <w:trPr>
          <w:trHeight w:val="1916"/>
        </w:trPr>
        <w:tc>
          <w:tcPr>
            <w:tcW w:w="2605" w:type="dxa"/>
            <w:tcBorders>
              <w:top w:val="single" w:sz="4" w:space="0" w:color="auto"/>
              <w:left w:val="single" w:sz="4" w:space="0" w:color="auto"/>
              <w:bottom w:val="single" w:sz="4" w:space="0" w:color="auto"/>
              <w:right w:val="single" w:sz="4" w:space="0" w:color="auto"/>
            </w:tcBorders>
          </w:tcPr>
          <w:p w14:paraId="06F8475C" w14:textId="0A933D37" w:rsidR="009D5F21" w:rsidRPr="009A5AF2" w:rsidRDefault="009A5AF2" w:rsidP="009E2300">
            <w:pPr>
              <w:shd w:val="clear" w:color="auto" w:fill="FFFFFF" w:themeFill="background1"/>
              <w:rPr>
                <w:rFonts w:asciiTheme="majorBidi" w:hAnsiTheme="majorBidi" w:cstheme="majorBidi"/>
                <w:sz w:val="20"/>
                <w:szCs w:val="20"/>
              </w:rPr>
            </w:pPr>
            <w:r w:rsidRPr="009A5AF2">
              <w:rPr>
                <w:rFonts w:asciiTheme="majorBidi" w:hAnsiTheme="majorBidi" w:cstheme="majorBidi"/>
                <w:b/>
                <w:bCs/>
                <w:sz w:val="20"/>
                <w:szCs w:val="20"/>
                <w:lang w:val="fr-FR"/>
              </w:rPr>
              <w:t>Réfrigération commerciale</w:t>
            </w:r>
          </w:p>
          <w:p w14:paraId="7DD65096" w14:textId="77777777" w:rsidR="009D5F21" w:rsidRPr="00E943A4" w:rsidRDefault="009D5F21" w:rsidP="009E2300">
            <w:pPr>
              <w:shd w:val="clear" w:color="auto" w:fill="FFFFFF" w:themeFill="background1"/>
              <w:rPr>
                <w:rFonts w:asciiTheme="majorBidi" w:hAnsiTheme="majorBidi" w:cstheme="majorBidi"/>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4F6994D1" w14:textId="36A108F2" w:rsidR="009A5AF2" w:rsidRPr="000A3231" w:rsidRDefault="009A5AF2" w:rsidP="009A5AF2">
            <w:pPr>
              <w:numPr>
                <w:ilvl w:val="0"/>
                <w:numId w:val="29"/>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Forte dépendance à l</w:t>
            </w:r>
            <w:r w:rsidR="003D53B4">
              <w:rPr>
                <w:rFonts w:asciiTheme="majorBidi" w:hAnsiTheme="majorBidi" w:cstheme="majorBidi"/>
                <w:sz w:val="20"/>
                <w:szCs w:val="20"/>
                <w:lang w:val="fr-FR"/>
              </w:rPr>
              <w:t>’</w:t>
            </w:r>
            <w:r w:rsidRPr="009A5AF2">
              <w:rPr>
                <w:rFonts w:asciiTheme="majorBidi" w:hAnsiTheme="majorBidi" w:cstheme="majorBidi"/>
                <w:sz w:val="20"/>
                <w:szCs w:val="20"/>
                <w:lang w:val="fr-FR"/>
              </w:rPr>
              <w:t>égard des importations de</w:t>
            </w:r>
            <w:r w:rsidR="003D53B4">
              <w:rPr>
                <w:rFonts w:asciiTheme="majorBidi" w:hAnsiTheme="majorBidi" w:cstheme="majorBidi"/>
                <w:sz w:val="20"/>
                <w:szCs w:val="20"/>
                <w:lang w:val="fr-FR"/>
              </w:rPr>
              <w:t> </w:t>
            </w:r>
            <w:r w:rsidRPr="009A5AF2">
              <w:rPr>
                <w:rFonts w:asciiTheme="majorBidi" w:hAnsiTheme="majorBidi" w:cstheme="majorBidi"/>
                <w:sz w:val="20"/>
                <w:szCs w:val="20"/>
                <w:lang w:val="fr-FR"/>
              </w:rPr>
              <w:t>frigorigènes, des compresseurs et d</w:t>
            </w:r>
            <w:r w:rsidR="003D53B4">
              <w:rPr>
                <w:rFonts w:asciiTheme="majorBidi" w:hAnsiTheme="majorBidi" w:cstheme="majorBidi"/>
                <w:sz w:val="20"/>
                <w:szCs w:val="20"/>
                <w:lang w:val="fr-FR"/>
              </w:rPr>
              <w:t>’</w:t>
            </w:r>
            <w:r w:rsidRPr="009A5AF2">
              <w:rPr>
                <w:rFonts w:asciiTheme="majorBidi" w:hAnsiTheme="majorBidi" w:cstheme="majorBidi"/>
                <w:sz w:val="20"/>
                <w:szCs w:val="20"/>
                <w:lang w:val="fr-FR"/>
              </w:rPr>
              <w:t>autres composants</w:t>
            </w:r>
          </w:p>
          <w:p w14:paraId="6D5CA913" w14:textId="405E6DBE" w:rsidR="009A5AF2" w:rsidRPr="000A3231" w:rsidRDefault="009A5AF2" w:rsidP="009A5AF2">
            <w:pPr>
              <w:numPr>
                <w:ilvl w:val="0"/>
                <w:numId w:val="29"/>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 xml:space="preserve">Composants certifiés en nombre limité pour les systèmes </w:t>
            </w:r>
            <w:r w:rsidR="0097550B">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CO₂ et HC à grande échelle</w:t>
            </w:r>
          </w:p>
          <w:p w14:paraId="369EF0AD" w14:textId="7ECD3A7D" w:rsidR="009A5AF2" w:rsidRPr="000A3231" w:rsidRDefault="009A5AF2" w:rsidP="0097550B">
            <w:pPr>
              <w:numPr>
                <w:ilvl w:val="0"/>
                <w:numId w:val="29"/>
              </w:numPr>
              <w:shd w:val="clear" w:color="auto" w:fill="FFFFFF" w:themeFill="background1"/>
              <w:jc w:val="left"/>
              <w:rPr>
                <w:rFonts w:asciiTheme="majorBidi" w:hAnsiTheme="majorBidi" w:cstheme="majorBidi"/>
                <w:sz w:val="20"/>
                <w:szCs w:val="20"/>
                <w:lang w:val="fr-CA"/>
              </w:rPr>
            </w:pPr>
            <w:r w:rsidRPr="009A5AF2">
              <w:rPr>
                <w:rFonts w:asciiTheme="majorBidi" w:hAnsiTheme="majorBidi" w:cstheme="majorBidi"/>
                <w:sz w:val="20"/>
                <w:szCs w:val="20"/>
                <w:lang w:val="fr-FR"/>
              </w:rPr>
              <w:t>Retards d</w:t>
            </w:r>
            <w:r w:rsidR="003D53B4">
              <w:rPr>
                <w:rFonts w:asciiTheme="majorBidi" w:hAnsiTheme="majorBidi" w:cstheme="majorBidi"/>
                <w:sz w:val="20"/>
                <w:szCs w:val="20"/>
                <w:lang w:val="fr-FR"/>
              </w:rPr>
              <w:t>’</w:t>
            </w:r>
            <w:r w:rsidRPr="009A5AF2">
              <w:rPr>
                <w:rFonts w:asciiTheme="majorBidi" w:hAnsiTheme="majorBidi" w:cstheme="majorBidi"/>
                <w:sz w:val="20"/>
                <w:szCs w:val="20"/>
                <w:lang w:val="fr-FR"/>
              </w:rPr>
              <w:t>importation, problèmes d</w:t>
            </w:r>
            <w:r w:rsidR="003D53B4">
              <w:rPr>
                <w:rFonts w:asciiTheme="majorBidi" w:hAnsiTheme="majorBidi" w:cstheme="majorBidi"/>
                <w:sz w:val="20"/>
                <w:szCs w:val="20"/>
                <w:lang w:val="fr-FR"/>
              </w:rPr>
              <w:t>’</w:t>
            </w:r>
            <w:r w:rsidRPr="009A5AF2">
              <w:rPr>
                <w:rFonts w:asciiTheme="majorBidi" w:hAnsiTheme="majorBidi" w:cstheme="majorBidi"/>
                <w:sz w:val="20"/>
                <w:szCs w:val="20"/>
                <w:lang w:val="fr-FR"/>
              </w:rPr>
              <w:t>expédition et de dédouanement</w:t>
            </w:r>
          </w:p>
          <w:p w14:paraId="7060F634" w14:textId="75626235" w:rsidR="009D5F21" w:rsidRPr="000A3231" w:rsidRDefault="009A5AF2" w:rsidP="00AD5D2B">
            <w:pPr>
              <w:numPr>
                <w:ilvl w:val="0"/>
                <w:numId w:val="29"/>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Contrôles réglementaires insuffisants contre les frigorigènes non conformes</w:t>
            </w:r>
          </w:p>
        </w:tc>
        <w:tc>
          <w:tcPr>
            <w:tcW w:w="3562" w:type="dxa"/>
            <w:tcBorders>
              <w:top w:val="single" w:sz="4" w:space="0" w:color="auto"/>
              <w:left w:val="single" w:sz="4" w:space="0" w:color="auto"/>
              <w:bottom w:val="single" w:sz="4" w:space="0" w:color="auto"/>
              <w:right w:val="single" w:sz="4" w:space="0" w:color="auto"/>
            </w:tcBorders>
            <w:hideMark/>
          </w:tcPr>
          <w:p w14:paraId="11E16A4C" w14:textId="5A5E94AC" w:rsidR="009A5AF2" w:rsidRPr="000A3231" w:rsidRDefault="009A5AF2" w:rsidP="009A5AF2">
            <w:pPr>
              <w:numPr>
                <w:ilvl w:val="0"/>
                <w:numId w:val="30"/>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Investissements importants pour les améliorations de sécurité (ventilation, détection des fuites)</w:t>
            </w:r>
          </w:p>
          <w:p w14:paraId="62AE46FF" w14:textId="53CE5607" w:rsidR="009A5AF2" w:rsidRPr="000A3231" w:rsidRDefault="009A5AF2" w:rsidP="009A5AF2">
            <w:pPr>
              <w:numPr>
                <w:ilvl w:val="0"/>
                <w:numId w:val="30"/>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Coûts des compresseurs de 30 à 35 %</w:t>
            </w:r>
            <w:r w:rsidR="0097550B" w:rsidRPr="009A5AF2">
              <w:rPr>
                <w:rFonts w:asciiTheme="majorBidi" w:hAnsiTheme="majorBidi" w:cstheme="majorBidi"/>
                <w:sz w:val="20"/>
                <w:szCs w:val="20"/>
                <w:lang w:val="fr-FR"/>
              </w:rPr>
              <w:t xml:space="preserve"> supérieurs</w:t>
            </w:r>
            <w:r w:rsidRPr="009A5AF2">
              <w:rPr>
                <w:rFonts w:asciiTheme="majorBidi" w:hAnsiTheme="majorBidi" w:cstheme="majorBidi"/>
                <w:sz w:val="20"/>
                <w:szCs w:val="20"/>
                <w:lang w:val="fr-FR"/>
              </w:rPr>
              <w:t xml:space="preserve"> pour les systèmes </w:t>
            </w:r>
            <w:r w:rsidR="0097550B">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HC et CO₂</w:t>
            </w:r>
          </w:p>
          <w:p w14:paraId="5E056942" w14:textId="048C8FAB" w:rsidR="009A5AF2" w:rsidRPr="000A3231" w:rsidRDefault="009A5AF2" w:rsidP="009A5AF2">
            <w:pPr>
              <w:numPr>
                <w:ilvl w:val="0"/>
                <w:numId w:val="30"/>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Coûts supplémentaires pour les équipements certifiés ATEX et l</w:t>
            </w:r>
            <w:r w:rsidR="003D53B4">
              <w:rPr>
                <w:rFonts w:asciiTheme="majorBidi" w:hAnsiTheme="majorBidi" w:cstheme="majorBidi"/>
                <w:sz w:val="20"/>
                <w:szCs w:val="20"/>
                <w:lang w:val="fr-FR"/>
              </w:rPr>
              <w:t>’</w:t>
            </w:r>
            <w:r w:rsidRPr="009A5AF2">
              <w:rPr>
                <w:rFonts w:asciiTheme="majorBidi" w:hAnsiTheme="majorBidi" w:cstheme="majorBidi"/>
                <w:sz w:val="20"/>
                <w:szCs w:val="20"/>
                <w:lang w:val="fr-FR"/>
              </w:rPr>
              <w:t>alimentation de secours pour systèmes CO₂</w:t>
            </w:r>
          </w:p>
          <w:p w14:paraId="217E2F74" w14:textId="48A616C0" w:rsidR="009D5F21" w:rsidRPr="000A3231" w:rsidRDefault="009A5AF2" w:rsidP="00AD5D2B">
            <w:pPr>
              <w:numPr>
                <w:ilvl w:val="0"/>
                <w:numId w:val="30"/>
              </w:numPr>
              <w:shd w:val="clear" w:color="auto" w:fill="FFFFFF" w:themeFill="background1"/>
              <w:rPr>
                <w:rFonts w:asciiTheme="majorBidi" w:hAnsiTheme="majorBidi" w:cstheme="majorBidi"/>
                <w:sz w:val="20"/>
                <w:szCs w:val="20"/>
                <w:lang w:val="fr-CA"/>
              </w:rPr>
            </w:pPr>
            <w:r w:rsidRPr="009A5AF2">
              <w:rPr>
                <w:rFonts w:asciiTheme="majorBidi" w:hAnsiTheme="majorBidi" w:cstheme="majorBidi"/>
                <w:sz w:val="20"/>
                <w:szCs w:val="20"/>
                <w:lang w:val="fr-FR"/>
              </w:rPr>
              <w:t>Volatilité des prix des matières premières et exposition aux fluctuations des taux de change</w:t>
            </w:r>
          </w:p>
        </w:tc>
        <w:tc>
          <w:tcPr>
            <w:tcW w:w="3562" w:type="dxa"/>
            <w:tcBorders>
              <w:top w:val="single" w:sz="4" w:space="0" w:color="auto"/>
              <w:left w:val="single" w:sz="4" w:space="0" w:color="auto"/>
              <w:bottom w:val="single" w:sz="4" w:space="0" w:color="auto"/>
              <w:right w:val="single" w:sz="4" w:space="0" w:color="auto"/>
            </w:tcBorders>
            <w:hideMark/>
          </w:tcPr>
          <w:p w14:paraId="6BD040F3" w14:textId="2FEFB428" w:rsidR="003075C2" w:rsidRPr="000A3231" w:rsidRDefault="003075C2" w:rsidP="003075C2">
            <w:pPr>
              <w:numPr>
                <w:ilvl w:val="0"/>
                <w:numId w:val="31"/>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Capacité de conception limitée pour les systèmes en cascade de CO₂ et d</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hydrocarbures</w:t>
            </w:r>
          </w:p>
          <w:p w14:paraId="0C70229D" w14:textId="02B290CD" w:rsidR="003075C2" w:rsidRPr="000A3231" w:rsidRDefault="003075C2" w:rsidP="003075C2">
            <w:pPr>
              <w:numPr>
                <w:ilvl w:val="0"/>
                <w:numId w:val="31"/>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Manque de main-d</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œuvre qualifiée pour la manipulation des</w:t>
            </w:r>
            <w:r w:rsidR="003D53B4">
              <w:rPr>
                <w:rFonts w:asciiTheme="majorBidi" w:hAnsiTheme="majorBidi" w:cstheme="majorBidi"/>
                <w:sz w:val="20"/>
                <w:szCs w:val="20"/>
                <w:lang w:val="fr-FR"/>
              </w:rPr>
              <w:t> </w:t>
            </w:r>
            <w:r w:rsidRPr="003075C2">
              <w:rPr>
                <w:rFonts w:asciiTheme="majorBidi" w:hAnsiTheme="majorBidi" w:cstheme="majorBidi"/>
                <w:sz w:val="20"/>
                <w:szCs w:val="20"/>
                <w:lang w:val="fr-FR"/>
              </w:rPr>
              <w:t>frigorigènes inflammables</w:t>
            </w:r>
          </w:p>
          <w:p w14:paraId="64459BF9" w14:textId="5A793C8B" w:rsidR="003075C2" w:rsidRPr="000A3231" w:rsidRDefault="003075C2" w:rsidP="003075C2">
            <w:pPr>
              <w:numPr>
                <w:ilvl w:val="0"/>
                <w:numId w:val="31"/>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Normes nationales et méthodes d</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essai obsolètes</w:t>
            </w:r>
          </w:p>
          <w:p w14:paraId="56248E5F" w14:textId="7EA9930A" w:rsidR="009D5F21" w:rsidRPr="000A3231" w:rsidRDefault="003075C2" w:rsidP="00632B29">
            <w:pPr>
              <w:numPr>
                <w:ilvl w:val="0"/>
                <w:numId w:val="31"/>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Défaillances des compresseurs sous des températures tropicales élevées</w:t>
            </w:r>
          </w:p>
        </w:tc>
      </w:tr>
      <w:tr w:rsidR="009D5F21" w:rsidRPr="00041141" w14:paraId="677B4472" w14:textId="77777777" w:rsidTr="00D03E3D">
        <w:tc>
          <w:tcPr>
            <w:tcW w:w="2605" w:type="dxa"/>
            <w:tcBorders>
              <w:top w:val="single" w:sz="4" w:space="0" w:color="auto"/>
              <w:left w:val="single" w:sz="4" w:space="0" w:color="auto"/>
              <w:bottom w:val="single" w:sz="4" w:space="0" w:color="auto"/>
              <w:right w:val="single" w:sz="4" w:space="0" w:color="auto"/>
            </w:tcBorders>
          </w:tcPr>
          <w:p w14:paraId="0CC15339" w14:textId="23007F7A" w:rsidR="009D5F21" w:rsidRPr="003075C2" w:rsidRDefault="003075C2" w:rsidP="009E230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Réfrigération</w:t>
            </w:r>
            <w:r w:rsidR="0097550B">
              <w:rPr>
                <w:rFonts w:asciiTheme="majorBidi" w:hAnsiTheme="majorBidi" w:cstheme="majorBidi"/>
                <w:b/>
                <w:bCs/>
                <w:sz w:val="20"/>
                <w:szCs w:val="20"/>
                <w:lang w:val="fr-FR"/>
              </w:rPr>
              <w:t xml:space="preserve"> d</w:t>
            </w:r>
            <w:r w:rsidRPr="003075C2">
              <w:rPr>
                <w:rFonts w:asciiTheme="majorBidi" w:hAnsiTheme="majorBidi" w:cstheme="majorBidi"/>
                <w:b/>
                <w:bCs/>
                <w:sz w:val="20"/>
                <w:szCs w:val="20"/>
                <w:lang w:val="fr-FR"/>
              </w:rPr>
              <w:t>omestique</w:t>
            </w:r>
          </w:p>
          <w:p w14:paraId="6FA25BF7" w14:textId="77777777" w:rsidR="009D5F21" w:rsidRPr="00E943A4" w:rsidRDefault="009D5F21" w:rsidP="009E2300">
            <w:pPr>
              <w:shd w:val="clear" w:color="auto" w:fill="FFFFFF" w:themeFill="background1"/>
              <w:rPr>
                <w:rFonts w:asciiTheme="majorBidi" w:hAnsiTheme="majorBidi" w:cstheme="majorBidi"/>
                <w:b/>
                <w:bCs/>
                <w:sz w:val="20"/>
                <w:szCs w:val="20"/>
                <w:lang w:val="en-US"/>
              </w:rPr>
            </w:pPr>
          </w:p>
        </w:tc>
        <w:tc>
          <w:tcPr>
            <w:tcW w:w="11641" w:type="dxa"/>
            <w:gridSpan w:val="3"/>
            <w:tcBorders>
              <w:top w:val="single" w:sz="4" w:space="0" w:color="auto"/>
              <w:left w:val="single" w:sz="4" w:space="0" w:color="auto"/>
              <w:bottom w:val="single" w:sz="4" w:space="0" w:color="auto"/>
              <w:right w:val="single" w:sz="4" w:space="0" w:color="auto"/>
            </w:tcBorders>
            <w:hideMark/>
          </w:tcPr>
          <w:p w14:paraId="42AEFDA7" w14:textId="447808FC" w:rsidR="009D5F21" w:rsidRPr="000A3231" w:rsidRDefault="003075C2" w:rsidP="009E2300">
            <w:p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Les projets n</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ont pas encore commencé.</w:t>
            </w:r>
          </w:p>
          <w:p w14:paraId="4E45D14D" w14:textId="5D739981" w:rsidR="009D5F21" w:rsidRPr="000A3231" w:rsidRDefault="003075C2" w:rsidP="00632B29">
            <w:p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Les défis attendus incluent des pénuries de compresseurs aux hydrocarbures/ HC/ compatibles, des investissements de sécurité plus élevés et une adaptation des chaînes de fabrication aux frigorigènes inflammables.</w:t>
            </w:r>
          </w:p>
        </w:tc>
      </w:tr>
      <w:tr w:rsidR="009D5F21" w:rsidRPr="00041141" w14:paraId="6F3A8F5D" w14:textId="77777777" w:rsidTr="00D03E3D">
        <w:tc>
          <w:tcPr>
            <w:tcW w:w="2605" w:type="dxa"/>
            <w:tcBorders>
              <w:top w:val="single" w:sz="4" w:space="0" w:color="auto"/>
              <w:left w:val="single" w:sz="4" w:space="0" w:color="auto"/>
              <w:bottom w:val="single" w:sz="4" w:space="0" w:color="auto"/>
              <w:right w:val="single" w:sz="4" w:space="0" w:color="auto"/>
            </w:tcBorders>
          </w:tcPr>
          <w:p w14:paraId="7EFDC292" w14:textId="4DBD6C10" w:rsidR="009D5F21" w:rsidRPr="003075C2" w:rsidRDefault="003075C2" w:rsidP="009E230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w:t>
            </w:r>
            <w:r w:rsidR="0097550B">
              <w:rPr>
                <w:rFonts w:asciiTheme="majorBidi" w:hAnsiTheme="majorBidi" w:cstheme="majorBidi"/>
                <w:b/>
                <w:bCs/>
                <w:sz w:val="20"/>
                <w:szCs w:val="20"/>
                <w:lang w:val="fr-FR"/>
              </w:rPr>
              <w:t>ation</w:t>
            </w:r>
            <w:r w:rsidRPr="003075C2">
              <w:rPr>
                <w:rFonts w:asciiTheme="majorBidi" w:hAnsiTheme="majorBidi" w:cstheme="majorBidi"/>
                <w:b/>
                <w:bCs/>
                <w:sz w:val="20"/>
                <w:szCs w:val="20"/>
                <w:lang w:val="fr-FR"/>
              </w:rPr>
              <w:t xml:space="preserve"> résidentiel</w:t>
            </w:r>
            <w:r w:rsidR="0097550B">
              <w:rPr>
                <w:rFonts w:asciiTheme="majorBidi" w:hAnsiTheme="majorBidi" w:cstheme="majorBidi"/>
                <w:b/>
                <w:bCs/>
                <w:sz w:val="20"/>
                <w:szCs w:val="20"/>
                <w:lang w:val="fr-FR"/>
              </w:rPr>
              <w:t>le</w:t>
            </w:r>
          </w:p>
          <w:p w14:paraId="681E503A" w14:textId="77777777" w:rsidR="009D5F21" w:rsidRPr="00E943A4" w:rsidRDefault="009D5F21" w:rsidP="009E230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0BFB4EA9" w14:textId="6CB04094" w:rsidR="003075C2" w:rsidRPr="000A3231" w:rsidRDefault="003075C2" w:rsidP="003075C2">
            <w:pPr>
              <w:numPr>
                <w:ilvl w:val="0"/>
                <w:numId w:val="32"/>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 HFC-32 est adéquat mais dépendant des importations ; la base de fournisseurs est limitée.</w:t>
            </w:r>
          </w:p>
          <w:p w14:paraId="424C2053" w14:textId="598D7182" w:rsidR="003075C2" w:rsidRPr="000A3231" w:rsidRDefault="003075C2" w:rsidP="003075C2">
            <w:pPr>
              <w:numPr>
                <w:ilvl w:val="0"/>
                <w:numId w:val="32"/>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Pénurie historique de compresseurs HFC-32 de grande capacité</w:t>
            </w:r>
          </w:p>
          <w:p w14:paraId="4D556627" w14:textId="1C830D84" w:rsidR="009D5F21" w:rsidRPr="000A3231" w:rsidRDefault="003075C2" w:rsidP="00632B29">
            <w:pPr>
              <w:numPr>
                <w:ilvl w:val="0"/>
                <w:numId w:val="32"/>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Regroupement de la demande nécessaire pour déclencher des cycles de production.</w:t>
            </w:r>
          </w:p>
        </w:tc>
        <w:tc>
          <w:tcPr>
            <w:tcW w:w="3562" w:type="dxa"/>
            <w:tcBorders>
              <w:top w:val="single" w:sz="4" w:space="0" w:color="auto"/>
              <w:left w:val="single" w:sz="4" w:space="0" w:color="auto"/>
              <w:bottom w:val="single" w:sz="4" w:space="0" w:color="auto"/>
              <w:right w:val="single" w:sz="4" w:space="0" w:color="auto"/>
            </w:tcBorders>
            <w:hideMark/>
          </w:tcPr>
          <w:p w14:paraId="07E390E1" w14:textId="21B52E96" w:rsidR="003075C2" w:rsidRPr="000A3231" w:rsidRDefault="003075C2" w:rsidP="003075C2">
            <w:pPr>
              <w:numPr>
                <w:ilvl w:val="0"/>
                <w:numId w:val="33"/>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Les prix sont liés à la volatilité des marchés internationaux des matières premières</w:t>
            </w:r>
          </w:p>
          <w:p w14:paraId="30A4A856" w14:textId="49655B80" w:rsidR="003075C2" w:rsidRPr="000A3231" w:rsidRDefault="003075C2" w:rsidP="003075C2">
            <w:pPr>
              <w:numPr>
                <w:ilvl w:val="0"/>
                <w:numId w:val="33"/>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Les systèmes à base de HFC-32 sont plus chers que les systèmes avec HFC-22 / R-410A.</w:t>
            </w:r>
          </w:p>
          <w:p w14:paraId="181704E5" w14:textId="6AAC7A97" w:rsidR="009D5F21" w:rsidRPr="000A3231" w:rsidRDefault="003075C2" w:rsidP="00632B29">
            <w:pPr>
              <w:numPr>
                <w:ilvl w:val="0"/>
                <w:numId w:val="33"/>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La hausse des coûts logistiques dépasse les budgets fixes des projets</w:t>
            </w:r>
          </w:p>
        </w:tc>
        <w:tc>
          <w:tcPr>
            <w:tcW w:w="3562" w:type="dxa"/>
            <w:tcBorders>
              <w:top w:val="single" w:sz="4" w:space="0" w:color="auto"/>
              <w:left w:val="single" w:sz="4" w:space="0" w:color="auto"/>
              <w:bottom w:val="single" w:sz="4" w:space="0" w:color="auto"/>
              <w:right w:val="single" w:sz="4" w:space="0" w:color="auto"/>
            </w:tcBorders>
            <w:hideMark/>
          </w:tcPr>
          <w:p w14:paraId="38650CAF" w14:textId="0ED0D087" w:rsidR="003075C2" w:rsidRPr="000A3231" w:rsidRDefault="003075C2" w:rsidP="003075C2">
            <w:pPr>
              <w:numPr>
                <w:ilvl w:val="0"/>
                <w:numId w:val="34"/>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Les risques d</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inflammabilité limitent l</w:t>
            </w:r>
            <w:r w:rsidR="003D53B4">
              <w:rPr>
                <w:rFonts w:asciiTheme="majorBidi" w:hAnsiTheme="majorBidi" w:cstheme="majorBidi"/>
                <w:sz w:val="20"/>
                <w:szCs w:val="20"/>
                <w:lang w:val="fr-FR"/>
              </w:rPr>
              <w:t>’</w:t>
            </w:r>
            <w:r w:rsidRPr="003075C2">
              <w:rPr>
                <w:rFonts w:asciiTheme="majorBidi" w:hAnsiTheme="majorBidi" w:cstheme="majorBidi"/>
                <w:sz w:val="20"/>
                <w:szCs w:val="20"/>
                <w:lang w:val="fr-FR"/>
              </w:rPr>
              <w:t>acceptation par le marché</w:t>
            </w:r>
          </w:p>
          <w:p w14:paraId="648CDA39" w14:textId="2002B935" w:rsidR="003075C2" w:rsidRPr="000A3231" w:rsidRDefault="003075C2" w:rsidP="003075C2">
            <w:pPr>
              <w:numPr>
                <w:ilvl w:val="0"/>
                <w:numId w:val="34"/>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Coûts de certification élevés ; peu de fournisseurs accrédités</w:t>
            </w:r>
          </w:p>
          <w:p w14:paraId="5AA10B47" w14:textId="4029B993" w:rsidR="009D5F21" w:rsidRPr="000A3231" w:rsidRDefault="003075C2" w:rsidP="00632B29">
            <w:pPr>
              <w:numPr>
                <w:ilvl w:val="0"/>
                <w:numId w:val="34"/>
              </w:numPr>
              <w:shd w:val="clear" w:color="auto" w:fill="FFFFFF" w:themeFill="background1"/>
              <w:rPr>
                <w:rFonts w:asciiTheme="majorBidi" w:hAnsiTheme="majorBidi" w:cstheme="majorBidi"/>
                <w:sz w:val="20"/>
                <w:szCs w:val="20"/>
                <w:lang w:val="fr-CA"/>
              </w:rPr>
            </w:pPr>
            <w:r w:rsidRPr="003075C2">
              <w:rPr>
                <w:rFonts w:asciiTheme="majorBidi" w:hAnsiTheme="majorBidi" w:cstheme="majorBidi"/>
                <w:sz w:val="20"/>
                <w:szCs w:val="20"/>
                <w:lang w:val="fr-FR"/>
              </w:rPr>
              <w:t>Conformité aux normes de sécurité : limites de charge, caractéristiques des composants, formation</w:t>
            </w:r>
          </w:p>
        </w:tc>
      </w:tr>
      <w:tr w:rsidR="009D5F21" w:rsidRPr="00041141" w14:paraId="74B84B84" w14:textId="77777777" w:rsidTr="00D03E3D">
        <w:tc>
          <w:tcPr>
            <w:tcW w:w="2605" w:type="dxa"/>
            <w:tcBorders>
              <w:top w:val="single" w:sz="4" w:space="0" w:color="auto"/>
              <w:left w:val="single" w:sz="4" w:space="0" w:color="auto"/>
              <w:bottom w:val="single" w:sz="4" w:space="0" w:color="auto"/>
              <w:right w:val="single" w:sz="4" w:space="0" w:color="auto"/>
            </w:tcBorders>
          </w:tcPr>
          <w:p w14:paraId="349AC431" w14:textId="1E1A694D" w:rsidR="009D5F21" w:rsidRPr="003075C2" w:rsidRDefault="003075C2" w:rsidP="009E230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Climatisation commercial</w:t>
            </w:r>
            <w:r w:rsidR="0097550B">
              <w:rPr>
                <w:rFonts w:asciiTheme="majorBidi" w:hAnsiTheme="majorBidi" w:cstheme="majorBidi"/>
                <w:b/>
                <w:bCs/>
                <w:sz w:val="20"/>
                <w:szCs w:val="20"/>
                <w:lang w:val="fr-FR"/>
              </w:rPr>
              <w:t>e</w:t>
            </w:r>
          </w:p>
          <w:p w14:paraId="30656ABC" w14:textId="77777777" w:rsidR="009D5F21" w:rsidRPr="00E943A4" w:rsidRDefault="009D5F21" w:rsidP="009E230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6D3B5A1C" w14:textId="7934A848" w:rsidR="003075C2" w:rsidRPr="000A3231" w:rsidRDefault="007F783D" w:rsidP="007F783D">
            <w:pPr>
              <w:numPr>
                <w:ilvl w:val="0"/>
                <w:numId w:val="38"/>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Forte dépendance à 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égard des compresseurs, du cuivre et des composants électronique</w:t>
            </w:r>
            <w:r w:rsidR="009B6FCD">
              <w:rPr>
                <w:rFonts w:asciiTheme="majorBidi" w:hAnsiTheme="majorBidi" w:cstheme="majorBidi"/>
                <w:sz w:val="20"/>
                <w:szCs w:val="20"/>
                <w:lang w:val="fr-FR"/>
              </w:rPr>
              <w:t>s</w:t>
            </w:r>
            <w:r w:rsidRPr="007F783D">
              <w:rPr>
                <w:rFonts w:asciiTheme="majorBidi" w:hAnsiTheme="majorBidi" w:cstheme="majorBidi"/>
                <w:sz w:val="20"/>
                <w:szCs w:val="20"/>
                <w:lang w:val="fr-FR"/>
              </w:rPr>
              <w:t xml:space="preserve"> pour </w:t>
            </w:r>
            <w:r w:rsidRPr="0097550B">
              <w:rPr>
                <w:rFonts w:asciiTheme="majorBidi" w:hAnsiTheme="majorBidi" w:cstheme="majorBidi"/>
                <w:sz w:val="20"/>
                <w:szCs w:val="20"/>
                <w:lang w:val="fr-FR"/>
              </w:rPr>
              <w:t>onduleurs i</w:t>
            </w:r>
            <w:r w:rsidRPr="007F783D">
              <w:rPr>
                <w:rFonts w:asciiTheme="majorBidi" w:hAnsiTheme="majorBidi" w:cstheme="majorBidi"/>
                <w:sz w:val="20"/>
                <w:szCs w:val="20"/>
                <w:lang w:val="fr-FR"/>
              </w:rPr>
              <w:t>mportés</w:t>
            </w:r>
          </w:p>
          <w:p w14:paraId="6A11C4D9" w14:textId="73803067" w:rsidR="007F783D" w:rsidRPr="000A3231" w:rsidRDefault="007F783D" w:rsidP="007F783D">
            <w:pPr>
              <w:numPr>
                <w:ilvl w:val="0"/>
                <w:numId w:val="38"/>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approvisionnement en HFC-32 s</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est amélioré mais reste instable ; 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infrastructure de stockage est limitée</w:t>
            </w:r>
          </w:p>
          <w:p w14:paraId="5601A597" w14:textId="5147BA3A" w:rsidR="009D5F21" w:rsidRPr="000A3231" w:rsidRDefault="007F783D" w:rsidP="00632B29">
            <w:pPr>
              <w:numPr>
                <w:ilvl w:val="0"/>
                <w:numId w:val="38"/>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lastRenderedPageBreak/>
              <w:t>Les fabricants non soutenus par le Fonds multilatéral sont confrontés à des obstacles plus importants en matière d</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accès à la technologie</w:t>
            </w:r>
          </w:p>
        </w:tc>
        <w:tc>
          <w:tcPr>
            <w:tcW w:w="3562" w:type="dxa"/>
            <w:tcBorders>
              <w:top w:val="single" w:sz="4" w:space="0" w:color="auto"/>
              <w:left w:val="single" w:sz="4" w:space="0" w:color="auto"/>
              <w:bottom w:val="single" w:sz="4" w:space="0" w:color="auto"/>
              <w:right w:val="single" w:sz="4" w:space="0" w:color="auto"/>
            </w:tcBorders>
            <w:hideMark/>
          </w:tcPr>
          <w:p w14:paraId="32058DA4" w14:textId="32976BFF" w:rsidR="007F783D" w:rsidRPr="000A3231" w:rsidRDefault="007F783D" w:rsidP="007F783D">
            <w:pPr>
              <w:numPr>
                <w:ilvl w:val="0"/>
                <w:numId w:val="36"/>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lastRenderedPageBreak/>
              <w:t>Hausse des prix du cuivre et de 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aluminium (échangeurs de chaleur)</w:t>
            </w:r>
          </w:p>
          <w:p w14:paraId="1FCCC689" w14:textId="37980142" w:rsidR="007F783D" w:rsidRPr="000A3231" w:rsidRDefault="007F783D" w:rsidP="007F783D">
            <w:pPr>
              <w:numPr>
                <w:ilvl w:val="0"/>
                <w:numId w:val="36"/>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Investissements élevés pour des composants de pointe à haut rendement énergétique</w:t>
            </w:r>
          </w:p>
          <w:p w14:paraId="78063FC3" w14:textId="784A3BD5" w:rsidR="009D5F21" w:rsidRPr="000A3231" w:rsidRDefault="007F783D" w:rsidP="00632B29">
            <w:pPr>
              <w:numPr>
                <w:ilvl w:val="0"/>
                <w:numId w:val="36"/>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 xml:space="preserve">Les PME ayant un accès limité au financement sont confrontés à de fortes pressions sur les coûts </w:t>
            </w:r>
          </w:p>
        </w:tc>
        <w:tc>
          <w:tcPr>
            <w:tcW w:w="3562" w:type="dxa"/>
            <w:tcBorders>
              <w:top w:val="single" w:sz="4" w:space="0" w:color="auto"/>
              <w:left w:val="single" w:sz="4" w:space="0" w:color="auto"/>
              <w:bottom w:val="single" w:sz="4" w:space="0" w:color="auto"/>
              <w:right w:val="single" w:sz="4" w:space="0" w:color="auto"/>
            </w:tcBorders>
            <w:hideMark/>
          </w:tcPr>
          <w:p w14:paraId="75FDF5BD" w14:textId="6748393D" w:rsidR="007F783D" w:rsidRPr="000A3231" w:rsidRDefault="007F783D" w:rsidP="007F783D">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Compétences locales limitées pour les systèmes de grande capacité à faible PRP</w:t>
            </w:r>
          </w:p>
          <w:p w14:paraId="7E57DD01" w14:textId="67297858" w:rsidR="007F783D" w:rsidRPr="000A3231" w:rsidRDefault="007F783D" w:rsidP="007F783D">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Manque de techniciens certifiés pour les systèmes A2L/A3</w:t>
            </w:r>
          </w:p>
          <w:p w14:paraId="2768A615" w14:textId="3992109F" w:rsidR="009D5F21" w:rsidRPr="000A3231" w:rsidRDefault="007F783D" w:rsidP="00632B29">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La réglementation en matière de sécurité A2L est encore en évolution dans certains pays.</w:t>
            </w:r>
          </w:p>
        </w:tc>
      </w:tr>
      <w:tr w:rsidR="009D5F21" w:rsidRPr="00041141" w14:paraId="49B71127" w14:textId="77777777" w:rsidTr="00D03E3D">
        <w:trPr>
          <w:trHeight w:val="1383"/>
        </w:trPr>
        <w:tc>
          <w:tcPr>
            <w:tcW w:w="2605" w:type="dxa"/>
            <w:tcBorders>
              <w:top w:val="single" w:sz="4" w:space="0" w:color="auto"/>
              <w:left w:val="single" w:sz="4" w:space="0" w:color="auto"/>
              <w:bottom w:val="single" w:sz="4" w:space="0" w:color="auto"/>
              <w:right w:val="single" w:sz="4" w:space="0" w:color="auto"/>
            </w:tcBorders>
          </w:tcPr>
          <w:p w14:paraId="5D3609A0" w14:textId="6463BA71" w:rsidR="009D5F21" w:rsidRPr="007F783D" w:rsidRDefault="007F783D" w:rsidP="009E2300">
            <w:pPr>
              <w:shd w:val="clear" w:color="auto" w:fill="FFFFFF" w:themeFill="background1"/>
              <w:rPr>
                <w:rFonts w:asciiTheme="majorBidi" w:hAnsiTheme="majorBidi" w:cstheme="majorBidi"/>
                <w:b/>
                <w:bCs/>
                <w:sz w:val="20"/>
                <w:szCs w:val="20"/>
              </w:rPr>
            </w:pPr>
            <w:r w:rsidRPr="007F783D">
              <w:rPr>
                <w:rFonts w:asciiTheme="majorBidi" w:hAnsiTheme="majorBidi" w:cstheme="majorBidi"/>
                <w:b/>
                <w:bCs/>
                <w:sz w:val="20"/>
                <w:szCs w:val="20"/>
                <w:lang w:val="fr-FR"/>
              </w:rPr>
              <w:t>PME manufacturières</w:t>
            </w:r>
          </w:p>
          <w:p w14:paraId="7D1C36EF" w14:textId="77777777" w:rsidR="009D5F21" w:rsidRPr="00E943A4" w:rsidRDefault="009D5F21" w:rsidP="009E2300">
            <w:pPr>
              <w:shd w:val="clear" w:color="auto" w:fill="FFFFFF" w:themeFill="background1"/>
              <w:rPr>
                <w:rFonts w:asciiTheme="majorBidi" w:hAnsiTheme="majorBidi" w:cstheme="majorBidi"/>
                <w:b/>
                <w:bCs/>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6DD9737B" w14:textId="1E4DF118" w:rsidR="007F783D" w:rsidRPr="000A3231" w:rsidRDefault="007F783D" w:rsidP="007F783D">
            <w:pPr>
              <w:numPr>
                <w:ilvl w:val="0"/>
                <w:numId w:val="39"/>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Les marchés d</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importateurs fortement concentrés en limitent 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accès</w:t>
            </w:r>
          </w:p>
          <w:p w14:paraId="4F369899" w14:textId="04D3B1E3" w:rsidR="007F783D" w:rsidRPr="000A3231" w:rsidRDefault="007F783D" w:rsidP="007F783D">
            <w:pPr>
              <w:numPr>
                <w:ilvl w:val="0"/>
                <w:numId w:val="39"/>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Exigences minimales pour les commandes et coûts d</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importation élevés</w:t>
            </w:r>
          </w:p>
          <w:p w14:paraId="343F1192" w14:textId="11BFE8B3" w:rsidR="007F783D" w:rsidRPr="000A3231" w:rsidRDefault="007F783D" w:rsidP="007F783D">
            <w:pPr>
              <w:numPr>
                <w:ilvl w:val="0"/>
                <w:numId w:val="39"/>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La disponibilité des composants diminue pour les charges plus importantes</w:t>
            </w:r>
          </w:p>
          <w:p w14:paraId="0C8D68BC" w14:textId="4EA4F796" w:rsidR="009D5F21" w:rsidRPr="000A3231" w:rsidRDefault="007F783D" w:rsidP="00632B29">
            <w:pPr>
              <w:numPr>
                <w:ilvl w:val="0"/>
                <w:numId w:val="38"/>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Outils spécialisés limités pour la fabrication avec HC</w:t>
            </w:r>
          </w:p>
        </w:tc>
        <w:tc>
          <w:tcPr>
            <w:tcW w:w="3562" w:type="dxa"/>
            <w:tcBorders>
              <w:top w:val="single" w:sz="4" w:space="0" w:color="auto"/>
              <w:left w:val="single" w:sz="4" w:space="0" w:color="auto"/>
              <w:bottom w:val="single" w:sz="4" w:space="0" w:color="auto"/>
              <w:right w:val="single" w:sz="4" w:space="0" w:color="auto"/>
            </w:tcBorders>
            <w:hideMark/>
          </w:tcPr>
          <w:p w14:paraId="05A0E763" w14:textId="0AD76411" w:rsidR="007F783D" w:rsidRPr="000A3231" w:rsidRDefault="007F783D" w:rsidP="007F783D">
            <w:pPr>
              <w:numPr>
                <w:ilvl w:val="0"/>
                <w:numId w:val="37"/>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Coûts des compresseurs élevés pour les systèmes HC, A2L et CO₂</w:t>
            </w:r>
          </w:p>
          <w:p w14:paraId="308425CB" w14:textId="6996D639" w:rsidR="007F783D" w:rsidRPr="000A3231" w:rsidRDefault="007F783D" w:rsidP="007F783D">
            <w:pPr>
              <w:numPr>
                <w:ilvl w:val="0"/>
                <w:numId w:val="37"/>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Investissement nécessaire pour les mises à niveau de sécurité et les composants ATEX</w:t>
            </w:r>
          </w:p>
          <w:p w14:paraId="32D6EC6A" w14:textId="2179ACD9" w:rsidR="007F783D" w:rsidRPr="000A3231" w:rsidRDefault="007F783D" w:rsidP="007F783D">
            <w:pPr>
              <w:numPr>
                <w:ilvl w:val="0"/>
                <w:numId w:val="37"/>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La taille réduite du marché, les risques de change et les taxes nuisent à la compétitivité</w:t>
            </w:r>
          </w:p>
          <w:p w14:paraId="6FF66F34" w14:textId="511D8919" w:rsidR="009D5F21" w:rsidRPr="007F783D" w:rsidRDefault="007F783D" w:rsidP="00632B29">
            <w:pPr>
              <w:numPr>
                <w:ilvl w:val="0"/>
                <w:numId w:val="36"/>
              </w:numPr>
              <w:shd w:val="clear" w:color="auto" w:fill="FFFFFF" w:themeFill="background1"/>
              <w:rPr>
                <w:rFonts w:asciiTheme="majorBidi" w:hAnsiTheme="majorBidi" w:cstheme="majorBidi"/>
                <w:sz w:val="20"/>
                <w:szCs w:val="20"/>
                <w:lang w:val="fr-FR"/>
              </w:rPr>
            </w:pPr>
            <w:r w:rsidRPr="007F783D">
              <w:rPr>
                <w:rFonts w:asciiTheme="majorBidi" w:hAnsiTheme="majorBidi" w:cstheme="majorBidi"/>
                <w:sz w:val="20"/>
                <w:szCs w:val="20"/>
                <w:lang w:val="fr-FR"/>
              </w:rPr>
              <w:t>La concurrence multinationale intense érode les marges</w:t>
            </w:r>
          </w:p>
        </w:tc>
        <w:tc>
          <w:tcPr>
            <w:tcW w:w="3562" w:type="dxa"/>
            <w:tcBorders>
              <w:top w:val="single" w:sz="4" w:space="0" w:color="auto"/>
              <w:left w:val="single" w:sz="4" w:space="0" w:color="auto"/>
              <w:bottom w:val="single" w:sz="4" w:space="0" w:color="auto"/>
              <w:right w:val="single" w:sz="4" w:space="0" w:color="auto"/>
            </w:tcBorders>
            <w:hideMark/>
          </w:tcPr>
          <w:p w14:paraId="66EA64F9" w14:textId="1FB7AEE5" w:rsidR="007F783D" w:rsidRPr="000A3231" w:rsidRDefault="007F783D" w:rsidP="007F783D">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Lacunes importantes dans la refonte du système et les capacités des procédures de sécurité</w:t>
            </w:r>
          </w:p>
          <w:p w14:paraId="5E3879F5" w14:textId="0B47F978" w:rsidR="007F783D" w:rsidRPr="000A3231" w:rsidRDefault="007F783D" w:rsidP="007F783D">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Accès limité à l</w:t>
            </w:r>
            <w:r w:rsidR="003D53B4">
              <w:rPr>
                <w:rFonts w:asciiTheme="majorBidi" w:hAnsiTheme="majorBidi" w:cstheme="majorBidi"/>
                <w:sz w:val="20"/>
                <w:szCs w:val="20"/>
                <w:lang w:val="fr-FR"/>
              </w:rPr>
              <w:t>’</w:t>
            </w:r>
            <w:r w:rsidRPr="007F783D">
              <w:rPr>
                <w:rFonts w:asciiTheme="majorBidi" w:hAnsiTheme="majorBidi" w:cstheme="majorBidi"/>
                <w:sz w:val="20"/>
                <w:szCs w:val="20"/>
                <w:lang w:val="fr-FR"/>
              </w:rPr>
              <w:t>assistance technique et au personnel qualifié</w:t>
            </w:r>
          </w:p>
          <w:p w14:paraId="0DDA96D9" w14:textId="6AB6CCFC" w:rsidR="007F783D" w:rsidRPr="000A3231" w:rsidRDefault="007F783D" w:rsidP="007F783D">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La transition vers les NMPE alourdit les obligations relatives à la conformité</w:t>
            </w:r>
          </w:p>
          <w:p w14:paraId="4C35DEF4" w14:textId="27E62930" w:rsidR="009D5F21" w:rsidRPr="000A3231" w:rsidRDefault="007F783D" w:rsidP="00632B29">
            <w:pPr>
              <w:numPr>
                <w:ilvl w:val="0"/>
                <w:numId w:val="35"/>
              </w:numPr>
              <w:shd w:val="clear" w:color="auto" w:fill="FFFFFF" w:themeFill="background1"/>
              <w:rPr>
                <w:rFonts w:asciiTheme="majorBidi" w:hAnsiTheme="majorBidi" w:cstheme="majorBidi"/>
                <w:sz w:val="20"/>
                <w:szCs w:val="20"/>
                <w:lang w:val="fr-CA"/>
              </w:rPr>
            </w:pPr>
            <w:r w:rsidRPr="007F783D">
              <w:rPr>
                <w:rFonts w:asciiTheme="majorBidi" w:hAnsiTheme="majorBidi" w:cstheme="majorBidi"/>
                <w:sz w:val="20"/>
                <w:szCs w:val="20"/>
                <w:lang w:val="fr-FR"/>
              </w:rPr>
              <w:t>Faible connaissance des réglementations et des mécanismes de soutien</w:t>
            </w:r>
          </w:p>
        </w:tc>
      </w:tr>
    </w:tbl>
    <w:p w14:paraId="0F19EF32" w14:textId="77777777" w:rsidR="009D5F21" w:rsidRPr="000A3231" w:rsidRDefault="009D5F21" w:rsidP="009D5F21">
      <w:pPr>
        <w:shd w:val="clear" w:color="auto" w:fill="FFFFFF" w:themeFill="background1"/>
        <w:rPr>
          <w:rFonts w:asciiTheme="majorBidi" w:hAnsiTheme="majorBidi" w:cstheme="majorBidi"/>
          <w:sz w:val="20"/>
          <w:szCs w:val="20"/>
          <w:lang w:val="fr-CA"/>
        </w:rPr>
      </w:pPr>
    </w:p>
    <w:p w14:paraId="69D62FC9" w14:textId="1512599D" w:rsidR="00B95BF0" w:rsidRPr="000A3231" w:rsidRDefault="00B95BF0" w:rsidP="009D5F21">
      <w:pPr>
        <w:keepNext/>
        <w:shd w:val="clear" w:color="auto" w:fill="FFFFFF" w:themeFill="background1"/>
        <w:spacing w:after="360"/>
        <w:jc w:val="center"/>
        <w:rPr>
          <w:lang w:val="fr-CA"/>
        </w:rPr>
      </w:pPr>
    </w:p>
    <w:sectPr w:rsidR="00B95BF0" w:rsidRPr="000A3231" w:rsidSect="009B4B3A">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45358" w14:textId="77777777" w:rsidR="00F02C24" w:rsidRDefault="00F02C24" w:rsidP="004A504B">
      <w:r>
        <w:separator/>
      </w:r>
    </w:p>
  </w:endnote>
  <w:endnote w:type="continuationSeparator" w:id="0">
    <w:p w14:paraId="0C0CBE23" w14:textId="77777777" w:rsidR="00F02C24" w:rsidRDefault="00F02C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rPr>
    </w:sdtEndPr>
    <w:sdtContent>
      <w:p w14:paraId="7487BF60" w14:textId="77777777" w:rsidR="003075C2" w:rsidRDefault="003075C2">
        <w:pPr>
          <w:pStyle w:val="Footer"/>
          <w:jc w:val="center"/>
        </w:pPr>
        <w:r>
          <w:fldChar w:fldCharType="begin"/>
        </w:r>
        <w:r>
          <w:instrText xml:space="preserve"> PAGE   \* MERGEFORMAT </w:instrText>
        </w:r>
        <w:r>
          <w:fldChar w:fldCharType="separate"/>
        </w:r>
        <w:r w:rsidR="002B68B3">
          <w:rPr>
            <w:noProof/>
          </w:rPr>
          <w:t>2</w:t>
        </w:r>
        <w:r>
          <w:rPr>
            <w:noProof/>
          </w:rPr>
          <w:fldChar w:fldCharType="end"/>
        </w:r>
      </w:p>
    </w:sdtContent>
  </w:sdt>
  <w:p w14:paraId="16C5CF12" w14:textId="77777777" w:rsidR="003075C2" w:rsidRDefault="00307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184A5954" w14:textId="77777777" w:rsidR="003075C2" w:rsidRDefault="003075C2">
        <w:pPr>
          <w:pStyle w:val="Footer"/>
          <w:jc w:val="center"/>
        </w:pPr>
        <w:r>
          <w:fldChar w:fldCharType="begin"/>
        </w:r>
        <w:r>
          <w:instrText xml:space="preserve"> PAGE   \* MERGEFORMAT </w:instrText>
        </w:r>
        <w:r>
          <w:fldChar w:fldCharType="separate"/>
        </w:r>
        <w:r w:rsidR="002B68B3">
          <w:rPr>
            <w:noProof/>
          </w:rPr>
          <w:t>3</w:t>
        </w:r>
        <w:r>
          <w:rPr>
            <w:noProof/>
          </w:rPr>
          <w:fldChar w:fldCharType="end"/>
        </w:r>
      </w:p>
    </w:sdtContent>
  </w:sdt>
  <w:p w14:paraId="7751BC36" w14:textId="77777777" w:rsidR="003075C2" w:rsidRDefault="00307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67FA" w14:textId="77777777" w:rsidR="003075C2" w:rsidRPr="009B4BB9" w:rsidRDefault="003075C2" w:rsidP="00B42ED2">
    <w:pPr>
      <w:pBdr>
        <w:top w:val="single" w:sz="4" w:space="1" w:color="auto"/>
        <w:left w:val="single" w:sz="4" w:space="4" w:color="auto"/>
        <w:bottom w:val="single" w:sz="4" w:space="1" w:color="auto"/>
        <w:right w:val="single" w:sz="4" w:space="4" w:color="auto"/>
      </w:pBdr>
      <w:jc w:val="center"/>
      <w:rPr>
        <w:sz w:val="8"/>
        <w:szCs w:val="8"/>
      </w:rPr>
    </w:pPr>
  </w:p>
  <w:p w14:paraId="1F1C9BAB" w14:textId="6AF567CB" w:rsidR="003075C2" w:rsidRPr="000A3231" w:rsidRDefault="0005567E" w:rsidP="00B42ED2">
    <w:pPr>
      <w:pBdr>
        <w:top w:val="single" w:sz="4" w:space="1" w:color="auto"/>
        <w:left w:val="single" w:sz="4" w:space="4" w:color="auto"/>
        <w:bottom w:val="single" w:sz="4" w:space="1" w:color="auto"/>
        <w:right w:val="single" w:sz="4" w:space="4" w:color="auto"/>
      </w:pBdr>
      <w:jc w:val="center"/>
      <w:rPr>
        <w:sz w:val="18"/>
        <w:szCs w:val="18"/>
        <w:lang w:val="fr-CA"/>
      </w:rPr>
    </w:pPr>
    <w:r w:rsidRPr="000A3231">
      <w:rPr>
        <w:sz w:val="18"/>
        <w:szCs w:val="18"/>
        <w:lang w:val="fr-CA"/>
      </w:rPr>
      <w:t>Les</w:t>
    </w:r>
    <w:r w:rsidR="003075C2" w:rsidRPr="000A3231">
      <w:rPr>
        <w:sz w:val="18"/>
        <w:szCs w:val="18"/>
        <w:lang w:val="fr-CA"/>
      </w:rPr>
      <w:t xml:space="preserve"> documents </w:t>
    </w:r>
    <w:r w:rsidRPr="00C72ACD">
      <w:rPr>
        <w:rFonts w:cs="MS Serif"/>
        <w:sz w:val="18"/>
        <w:szCs w:val="18"/>
        <w:lang w:val="fr-FR"/>
      </w:rPr>
      <w:t>de présession du Comité exécutif du Fonds multilatéral aux fins d’application du Protocole de Montréal</w:t>
    </w:r>
    <w:r w:rsidRPr="000A3231">
      <w:rPr>
        <w:sz w:val="18"/>
        <w:szCs w:val="18"/>
        <w:lang w:val="fr-CA"/>
      </w:rPr>
      <w:t xml:space="preserve"> </w:t>
    </w:r>
    <w:r w:rsidRPr="00C72ACD">
      <w:rPr>
        <w:rFonts w:cs="MS Serif"/>
        <w:sz w:val="18"/>
        <w:szCs w:val="18"/>
        <w:lang w:val="fr-FR"/>
      </w:rPr>
      <w:t>sont présentés sous réserve des décisions pouvant être prises par le Comité exécutif après leur publication</w:t>
    </w:r>
    <w:r>
      <w:rPr>
        <w:rFonts w:cs="MS Serif"/>
        <w:sz w:val="18"/>
        <w:szCs w:val="18"/>
        <w:lang w:val="fr-FR"/>
      </w:rPr>
      <w:t>.</w:t>
    </w:r>
  </w:p>
  <w:p w14:paraId="278CAB4A" w14:textId="77777777" w:rsidR="003075C2" w:rsidRPr="000A3231" w:rsidRDefault="003075C2">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778F4B40" w14:textId="77777777" w:rsidR="003075C2" w:rsidRDefault="003075C2">
        <w:pPr>
          <w:pStyle w:val="Footer"/>
          <w:jc w:val="center"/>
        </w:pPr>
        <w:r>
          <w:fldChar w:fldCharType="begin"/>
        </w:r>
        <w:r>
          <w:instrText xml:space="preserve"> PAGE   \* MERGEFORMAT </w:instrText>
        </w:r>
        <w:r>
          <w:fldChar w:fldCharType="separate"/>
        </w:r>
        <w:r w:rsidR="002B68B3">
          <w:rPr>
            <w:noProof/>
          </w:rPr>
          <w:t>1</w:t>
        </w:r>
        <w:r>
          <w:rPr>
            <w:noProof/>
          </w:rPr>
          <w:fldChar w:fldCharType="end"/>
        </w:r>
      </w:p>
    </w:sdtContent>
  </w:sdt>
  <w:p w14:paraId="4F46D5DA" w14:textId="77777777" w:rsidR="003075C2" w:rsidRDefault="003075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3075C2" w:rsidRPr="0033525D" w:rsidRDefault="003075C2">
    <w:pPr>
      <w:jc w:val="center"/>
    </w:pPr>
    <w:r>
      <w:fldChar w:fldCharType="begin"/>
    </w:r>
    <w:r>
      <w:instrText xml:space="preserve"> PAGE </w:instrText>
    </w:r>
    <w:r>
      <w:fldChar w:fldCharType="separate"/>
    </w:r>
    <w:r w:rsidR="002B68B3">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3075C2" w:rsidRPr="0033525D" w:rsidRDefault="003075C2">
    <w:pPr>
      <w:jc w:val="center"/>
    </w:pPr>
    <w:r>
      <w:fldChar w:fldCharType="begin"/>
    </w:r>
    <w:r>
      <w:instrText xml:space="preserve"> PAGE </w:instrText>
    </w:r>
    <w:r>
      <w:fldChar w:fldCharType="separate"/>
    </w:r>
    <w:r w:rsidR="007F783D">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9919C2B" w14:textId="312DA00C" w:rsidR="003075C2" w:rsidRDefault="003075C2">
        <w:pPr>
          <w:pStyle w:val="Footer"/>
          <w:jc w:val="center"/>
        </w:pPr>
        <w:r>
          <w:fldChar w:fldCharType="begin"/>
        </w:r>
        <w:r>
          <w:instrText xml:space="preserve"> PAGE   \* MERGEFORMAT </w:instrText>
        </w:r>
        <w:r>
          <w:fldChar w:fldCharType="separate"/>
        </w:r>
        <w:r w:rsidR="002B68B3">
          <w:rPr>
            <w:noProof/>
          </w:rPr>
          <w:t>1</w:t>
        </w:r>
        <w:r>
          <w:rPr>
            <w:noProof/>
          </w:rPr>
          <w:fldChar w:fldCharType="end"/>
        </w:r>
      </w:p>
    </w:sdtContent>
  </w:sdt>
  <w:p w14:paraId="614066A5" w14:textId="77777777" w:rsidR="003075C2" w:rsidRPr="00F435B3" w:rsidRDefault="003075C2" w:rsidP="009B4B3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141A" w14:textId="77777777" w:rsidR="00F02C24" w:rsidRDefault="00F02C24" w:rsidP="004A504B">
      <w:r>
        <w:separator/>
      </w:r>
    </w:p>
  </w:footnote>
  <w:footnote w:type="continuationSeparator" w:id="0">
    <w:p w14:paraId="7C0D43EC" w14:textId="77777777" w:rsidR="00F02C24" w:rsidRDefault="00F02C24" w:rsidP="004A504B">
      <w:r>
        <w:continuationSeparator/>
      </w:r>
    </w:p>
  </w:footnote>
  <w:footnote w:id="1">
    <w:p w14:paraId="1ECBE5F3" w14:textId="77777777" w:rsidR="003075C2" w:rsidRPr="000A3231" w:rsidRDefault="003075C2" w:rsidP="009B4B3A">
      <w:pPr>
        <w:pStyle w:val="FootnoteText"/>
        <w:rPr>
          <w:lang w:val="fr-CA"/>
        </w:rPr>
      </w:pPr>
      <w:r w:rsidRPr="001A24C6">
        <w:rPr>
          <w:rStyle w:val="FootnoteReference"/>
        </w:rPr>
        <w:footnoteRef/>
      </w:r>
      <w:r w:rsidRPr="000A3231">
        <w:rPr>
          <w:lang w:val="fr-CA"/>
        </w:rPr>
        <w:t xml:space="preserve"> UNEP/OzL.Pro/ExCom/98/1</w:t>
      </w:r>
    </w:p>
  </w:footnote>
  <w:footnote w:id="2">
    <w:p w14:paraId="13B03501" w14:textId="5B428B11" w:rsidR="003075C2" w:rsidRPr="000A3231" w:rsidRDefault="003075C2" w:rsidP="007F783D">
      <w:pPr>
        <w:pStyle w:val="FootnoteText"/>
        <w:rPr>
          <w:lang w:val="fr-CA"/>
        </w:rPr>
      </w:pPr>
      <w:r>
        <w:rPr>
          <w:rStyle w:val="FootnoteReference"/>
        </w:rPr>
        <w:footnoteRef/>
      </w:r>
      <w:r w:rsidRPr="000A3231">
        <w:rPr>
          <w:lang w:val="fr-CA"/>
        </w:rPr>
        <w:t xml:space="preserve"> </w:t>
      </w:r>
      <w:r w:rsidR="007F783D" w:rsidRPr="007F783D">
        <w:rPr>
          <w:lang w:val="fr-FR"/>
        </w:rPr>
        <w:t xml:space="preserve">Les paragraphes 8 à 10 du document UNEP/OzL.Pro/ExCom/96/2 résument les observations recueillies par le </w:t>
      </w:r>
      <w:r w:rsidR="008B0A22">
        <w:rPr>
          <w:lang w:val="fr-FR"/>
        </w:rPr>
        <w:t>s</w:t>
      </w:r>
      <w:r w:rsidR="007F783D" w:rsidRPr="007F783D">
        <w:rPr>
          <w:lang w:val="fr-FR"/>
        </w:rPr>
        <w:t xml:space="preserve">ecrétariat lors des réunions de coordination inter-agences </w:t>
      </w:r>
      <w:r w:rsidR="008B0A22">
        <w:rPr>
          <w:lang w:val="fr-FR"/>
        </w:rPr>
        <w:t xml:space="preserve">(IACM) </w:t>
      </w:r>
      <w:r w:rsidR="007F783D" w:rsidRPr="007F783D">
        <w:rPr>
          <w:lang w:val="fr-FR"/>
        </w:rPr>
        <w:t xml:space="preserve">et </w:t>
      </w:r>
      <w:r w:rsidR="004F50FA">
        <w:rPr>
          <w:lang w:val="fr-FR"/>
        </w:rPr>
        <w:t xml:space="preserve">répondent </w:t>
      </w:r>
      <w:r w:rsidR="007F783D" w:rsidRPr="007F783D">
        <w:rPr>
          <w:lang w:val="fr-FR"/>
        </w:rPr>
        <w:t>à la demande formulée lors de la 95</w:t>
      </w:r>
      <w:r w:rsidR="007F783D" w:rsidRPr="007F783D">
        <w:rPr>
          <w:vertAlign w:val="superscript"/>
          <w:lang w:val="fr-FR"/>
        </w:rPr>
        <w:t>e</w:t>
      </w:r>
      <w:r w:rsidR="007F783D" w:rsidRPr="007F783D">
        <w:rPr>
          <w:lang w:val="fr-FR"/>
        </w:rPr>
        <w:t xml:space="preserve"> réunion, au titre du point de l</w:t>
      </w:r>
      <w:r w:rsidR="00CF7807">
        <w:rPr>
          <w:lang w:val="fr-FR"/>
        </w:rPr>
        <w:t>’</w:t>
      </w:r>
      <w:r w:rsidR="007F783D" w:rsidRPr="007F783D">
        <w:rPr>
          <w:lang w:val="fr-FR"/>
        </w:rPr>
        <w:t>ordre du jour « Questions diverses »</w:t>
      </w:r>
      <w:r w:rsidR="008B0A22">
        <w:rPr>
          <w:lang w:val="fr-FR"/>
        </w:rPr>
        <w:t>.</w:t>
      </w:r>
    </w:p>
  </w:footnote>
  <w:footnote w:id="3">
    <w:p w14:paraId="73A08E0B" w14:textId="352B747F" w:rsidR="003075C2" w:rsidRPr="000A3231" w:rsidRDefault="003075C2" w:rsidP="000C59E2">
      <w:pPr>
        <w:pStyle w:val="FootnoteText"/>
        <w:ind w:right="-90"/>
        <w:rPr>
          <w:b/>
          <w:bCs/>
          <w:lang w:val="fr-CA"/>
        </w:rPr>
      </w:pPr>
      <w:r w:rsidRPr="00A96589">
        <w:rPr>
          <w:rStyle w:val="FootnoteReference"/>
        </w:rPr>
        <w:footnoteRef/>
      </w:r>
      <w:r w:rsidRPr="000A3231">
        <w:rPr>
          <w:lang w:val="fr-CA"/>
        </w:rPr>
        <w:t xml:space="preserve"> </w:t>
      </w:r>
      <w:r w:rsidR="007F783D" w:rsidRPr="007F783D">
        <w:rPr>
          <w:lang w:val="fr-FR"/>
        </w:rPr>
        <w:t>Selon la norme 34 de l</w:t>
      </w:r>
      <w:r w:rsidR="00CF7807">
        <w:rPr>
          <w:lang w:val="fr-FR"/>
        </w:rPr>
        <w:t>’</w:t>
      </w:r>
      <w:r w:rsidR="007F783D" w:rsidRPr="007F783D">
        <w:rPr>
          <w:lang w:val="fr-FR"/>
        </w:rPr>
        <w:t>ASHRAE (American Society of Heating, Refrigerating and Air-Conditioning Engineers), les  frigorigènes sont classés à l</w:t>
      </w:r>
      <w:r w:rsidR="00CF7807">
        <w:rPr>
          <w:lang w:val="fr-FR"/>
        </w:rPr>
        <w:t>’</w:t>
      </w:r>
      <w:r w:rsidR="007F783D" w:rsidRPr="007F783D">
        <w:rPr>
          <w:lang w:val="fr-FR"/>
        </w:rPr>
        <w:t>aide d</w:t>
      </w:r>
      <w:r w:rsidR="00CF7807">
        <w:rPr>
          <w:lang w:val="fr-FR"/>
        </w:rPr>
        <w:t>’</w:t>
      </w:r>
      <w:r w:rsidR="007F783D" w:rsidRPr="007F783D">
        <w:rPr>
          <w:lang w:val="fr-FR"/>
        </w:rPr>
        <w:t>une combinaison constituée d</w:t>
      </w:r>
      <w:r w:rsidR="00CF7807">
        <w:rPr>
          <w:lang w:val="fr-FR"/>
        </w:rPr>
        <w:t>’</w:t>
      </w:r>
      <w:r w:rsidR="007F783D" w:rsidRPr="007F783D">
        <w:rPr>
          <w:lang w:val="fr-FR"/>
        </w:rPr>
        <w:t>une lettre désignant leur toxicité et d</w:t>
      </w:r>
      <w:r w:rsidR="00CF7807">
        <w:rPr>
          <w:lang w:val="fr-FR"/>
        </w:rPr>
        <w:t>’</w:t>
      </w:r>
      <w:r w:rsidR="007F783D" w:rsidRPr="007F783D">
        <w:rPr>
          <w:lang w:val="fr-FR"/>
        </w:rPr>
        <w:t>un chiffre désignant leur inflammabilité.</w:t>
      </w:r>
      <w:r w:rsidRPr="000A3231">
        <w:rPr>
          <w:lang w:val="fr-CA"/>
        </w:rPr>
        <w:t xml:space="preserve"> </w:t>
      </w:r>
      <w:r w:rsidR="007F783D" w:rsidRPr="007F783D">
        <w:rPr>
          <w:lang w:val="fr-FR"/>
        </w:rPr>
        <w:t>A2L fait référence à des frigorigènes légèrement inflammables et A3 à des frigorigènes très inflammables</w:t>
      </w:r>
    </w:p>
  </w:footnote>
  <w:footnote w:id="4">
    <w:p w14:paraId="372EB69F" w14:textId="4E0C56A8" w:rsidR="003075C2" w:rsidRPr="000A3231" w:rsidRDefault="003075C2" w:rsidP="009B4B3A">
      <w:pPr>
        <w:pStyle w:val="FootnoteText"/>
        <w:rPr>
          <w:lang w:val="fr-CA"/>
        </w:rPr>
      </w:pPr>
      <w:r w:rsidRPr="00A96589">
        <w:rPr>
          <w:rStyle w:val="FootnoteReference"/>
        </w:rPr>
        <w:footnoteRef/>
      </w:r>
      <w:r w:rsidRPr="000A3231">
        <w:rPr>
          <w:lang w:val="fr-CA"/>
        </w:rPr>
        <w:t xml:space="preserve"> </w:t>
      </w:r>
      <w:r w:rsidR="007F783D" w:rsidRPr="007F783D">
        <w:rPr>
          <w:lang w:val="fr-FR"/>
        </w:rPr>
        <w:t>Référence au tableau 11 « Prix moyens des HCFC, des HFC et des substances de remplacement » du document UNEP/OzL.Pro/ExCom/98/5</w:t>
      </w:r>
    </w:p>
  </w:footnote>
  <w:footnote w:id="5">
    <w:p w14:paraId="10E3E3DA" w14:textId="47F6E108" w:rsidR="003075C2" w:rsidRPr="000A3231" w:rsidRDefault="003075C2" w:rsidP="009B4B3A">
      <w:pPr>
        <w:pStyle w:val="FootnoteText"/>
        <w:rPr>
          <w:lang w:val="fr-CA"/>
        </w:rPr>
      </w:pPr>
      <w:r>
        <w:rPr>
          <w:rStyle w:val="FootnoteReference"/>
        </w:rPr>
        <w:footnoteRef/>
      </w:r>
      <w:r w:rsidRPr="000A3231">
        <w:rPr>
          <w:lang w:val="fr-CA"/>
        </w:rPr>
        <w:t xml:space="preserve"> </w:t>
      </w:r>
      <w:r w:rsidR="007F783D" w:rsidRPr="007F783D">
        <w:rPr>
          <w:lang w:val="fr-FR"/>
        </w:rPr>
        <w:t>Chiffre indicatif fourni par les agences d</w:t>
      </w:r>
      <w:r w:rsidR="00CF7807">
        <w:rPr>
          <w:lang w:val="fr-FR"/>
        </w:rPr>
        <w:t>’</w:t>
      </w:r>
      <w:r w:rsidR="007F783D" w:rsidRPr="007F783D">
        <w:rPr>
          <w:lang w:val="fr-FR"/>
        </w:rPr>
        <w:t>exécution sur la base de l</w:t>
      </w:r>
      <w:r w:rsidR="00CF7807">
        <w:rPr>
          <w:lang w:val="fr-FR"/>
        </w:rPr>
        <w:t>’</w:t>
      </w:r>
      <w:r w:rsidR="007F783D" w:rsidRPr="007F783D">
        <w:rPr>
          <w:lang w:val="fr-FR"/>
        </w:rPr>
        <w:t>expérience acquise dans le cadre de projets de conversion en cours.</w:t>
      </w:r>
    </w:p>
  </w:footnote>
  <w:footnote w:id="6">
    <w:p w14:paraId="11A8CC29" w14:textId="27252B66" w:rsidR="003075C2" w:rsidRPr="000A3231" w:rsidRDefault="003075C2" w:rsidP="003A4EA0">
      <w:pPr>
        <w:pStyle w:val="FootnoteText"/>
        <w:rPr>
          <w:lang w:val="fr-CA"/>
        </w:rPr>
      </w:pPr>
      <w:r>
        <w:rPr>
          <w:rStyle w:val="FootnoteReference"/>
        </w:rPr>
        <w:footnoteRef/>
      </w:r>
      <w:r w:rsidRPr="000A3231">
        <w:rPr>
          <w:lang w:val="fr-CA"/>
        </w:rPr>
        <w:t xml:space="preserve"> </w:t>
      </w:r>
      <w:r w:rsidR="007F783D" w:rsidRPr="007F783D">
        <w:rPr>
          <w:lang w:val="fr-FR"/>
        </w:rPr>
        <w:t>ATEX : fait référence aux directives de l</w:t>
      </w:r>
      <w:r w:rsidR="00CF7807">
        <w:rPr>
          <w:lang w:val="fr-FR"/>
        </w:rPr>
        <w:t>’</w:t>
      </w:r>
      <w:r w:rsidR="007F783D" w:rsidRPr="007F783D">
        <w:rPr>
          <w:lang w:val="fr-FR"/>
        </w:rPr>
        <w:t>Union européenne (UE) qui réglementent les équipements et les environnements de travail en atmosphère explosive.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23BA" w14:textId="77777777" w:rsidR="003075C2" w:rsidRPr="00814D2A" w:rsidRDefault="003075C2" w:rsidP="00D614C7">
    <w:pPr>
      <w:jc w:val="left"/>
      <w:rPr>
        <w:lang w:val="pt-PT"/>
      </w:rPr>
    </w:pPr>
    <w:r>
      <w:fldChar w:fldCharType="begin"/>
    </w:r>
    <w:r w:rsidRPr="00814D2A">
      <w:rPr>
        <w:lang w:val="pt-PT"/>
      </w:rPr>
      <w:instrText xml:space="preserve"> DOCPROPERTY "Document number"  \* MERGEFORMAT </w:instrText>
    </w:r>
    <w:r>
      <w:fldChar w:fldCharType="separate"/>
    </w:r>
    <w:r w:rsidRPr="00814D2A">
      <w:rPr>
        <w:lang w:val="pt-PT"/>
      </w:rPr>
      <w:t>UNEP/OzL.Pro/ExCom/98/57</w:t>
    </w:r>
    <w:r>
      <w:fldChar w:fldCharType="end"/>
    </w:r>
  </w:p>
  <w:p w14:paraId="32704301" w14:textId="77777777" w:rsidR="003075C2" w:rsidRDefault="003075C2">
    <w:pPr>
      <w:pStyle w:val="Header"/>
      <w:rPr>
        <w:lang w:val="pt-PT"/>
      </w:rPr>
    </w:pPr>
  </w:p>
  <w:p w14:paraId="17C74C31" w14:textId="77777777" w:rsidR="003075C2" w:rsidRPr="00814D2A" w:rsidRDefault="003075C2">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9AC6" w14:textId="77777777" w:rsidR="003075C2" w:rsidRPr="001E0970" w:rsidRDefault="003075C2" w:rsidP="00D614C7">
    <w:pPr>
      <w:jc w:val="right"/>
    </w:pPr>
    <w:fldSimple w:instr=" DOCPROPERTY &quot;Document number&quot;  \* MERGEFORMAT ">
      <w:r>
        <w:t>UNEP/OzL.Pro/ExCom/98/57</w:t>
      </w:r>
    </w:fldSimple>
  </w:p>
  <w:p w14:paraId="743C81CE" w14:textId="77777777" w:rsidR="003075C2" w:rsidRDefault="003075C2">
    <w:pPr>
      <w:pStyle w:val="Header"/>
    </w:pPr>
  </w:p>
  <w:p w14:paraId="504CC0FC" w14:textId="77777777" w:rsidR="003075C2" w:rsidRDefault="00307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39A9" w14:textId="77777777" w:rsidR="003075C2" w:rsidRDefault="003075C2" w:rsidP="00B42ED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2751" w14:textId="77777777" w:rsidR="003075C2" w:rsidRPr="001E0970" w:rsidRDefault="003075C2" w:rsidP="00B42ED2">
    <w:pPr>
      <w:jc w:val="right"/>
    </w:pPr>
    <w:fldSimple w:instr=" DOCPROPERTY &quot;Document number&quot;  \* MERGEFORMAT ">
      <w:r>
        <w:t>UNEP/OzL.Pro/ExCom/98/57</w:t>
      </w:r>
    </w:fldSimple>
  </w:p>
  <w:p w14:paraId="29A3481C" w14:textId="44627838" w:rsidR="003075C2" w:rsidRDefault="003075C2" w:rsidP="00B42ED2">
    <w:pPr>
      <w:pStyle w:val="Header"/>
      <w:jc w:val="right"/>
    </w:pPr>
    <w:r>
      <w:t>Annex</w:t>
    </w:r>
    <w:r w:rsidR="00267896">
      <w:t>e</w:t>
    </w:r>
    <w:r>
      <w:t xml:space="preserve"> I</w:t>
    </w:r>
  </w:p>
  <w:p w14:paraId="78123369" w14:textId="77777777" w:rsidR="003075C2" w:rsidRDefault="003075C2" w:rsidP="00B42ED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46A42E02" w:rsidR="003075C2" w:rsidRDefault="003075C2">
    <w:fldSimple w:instr=" DOCPROPERTY &quot;Document number&quot;  \* MERGEFORMAT ">
      <w:r>
        <w:t>UNEP/OzL.Pro/ExCom/98/</w:t>
      </w:r>
      <w:r w:rsidR="00267896">
        <w:t>57</w:t>
      </w:r>
    </w:fldSimple>
  </w:p>
  <w:p w14:paraId="5DEA2075" w14:textId="79FC1DA1" w:rsidR="003075C2" w:rsidRPr="0033525D" w:rsidRDefault="00041141" w:rsidP="00041141">
    <w:r>
      <w:t>Annexe II</w:t>
    </w:r>
  </w:p>
  <w:p w14:paraId="79EC0137" w14:textId="77777777" w:rsidR="003075C2" w:rsidRPr="0033525D" w:rsidRDefault="003075C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7777777" w:rsidR="003075C2" w:rsidRPr="0033525D" w:rsidRDefault="003075C2">
    <w:pPr>
      <w:jc w:val="right"/>
    </w:pPr>
    <w:fldSimple w:instr=" DOCPROPERTY &quot;Document number&quot;  \* MERGEFORMAT ">
      <w:r>
        <w:t>UNEP/OzL.Pro/ExCom/98/1</w:t>
      </w:r>
    </w:fldSimple>
  </w:p>
  <w:p w14:paraId="76B03438" w14:textId="77777777" w:rsidR="003075C2" w:rsidRPr="0033525D" w:rsidRDefault="003075C2"/>
  <w:p w14:paraId="60D04BC4" w14:textId="77777777" w:rsidR="003075C2" w:rsidRPr="0033525D" w:rsidRDefault="003075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2EFD" w14:textId="77777777" w:rsidR="003075C2" w:rsidRPr="001E0970" w:rsidRDefault="003075C2" w:rsidP="00B42ED2">
    <w:pPr>
      <w:jc w:val="right"/>
    </w:pPr>
    <w:fldSimple w:instr=" DOCPROPERTY &quot;Document number&quot;  \* MERGEFORMAT ">
      <w:r>
        <w:t>UNEP/OzL.Pro/ExCom/98/57</w:t>
      </w:r>
    </w:fldSimple>
  </w:p>
  <w:p w14:paraId="51AD5AF4" w14:textId="10AACCE5" w:rsidR="003075C2" w:rsidRDefault="003075C2" w:rsidP="00B42ED2">
    <w:pPr>
      <w:pStyle w:val="Header"/>
      <w:jc w:val="right"/>
    </w:pPr>
    <w:r>
      <w:t>Annex</w:t>
    </w:r>
    <w:r w:rsidR="00267896">
      <w:t>e</w:t>
    </w:r>
    <w:r>
      <w:t xml:space="preserve"> II</w:t>
    </w:r>
  </w:p>
  <w:p w14:paraId="02872194" w14:textId="77777777" w:rsidR="003075C2" w:rsidRDefault="003075C2" w:rsidP="00B42E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32F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14DA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821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C24A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2CFF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0CF4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4283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A05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BCD3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E8C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4E8B9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32938833">
    <w:abstractNumId w:val="10"/>
  </w:num>
  <w:num w:numId="2" w16cid:durableId="1746754576">
    <w:abstractNumId w:val="10"/>
  </w:num>
  <w:num w:numId="3" w16cid:durableId="1932810997">
    <w:abstractNumId w:val="10"/>
  </w:num>
  <w:num w:numId="4" w16cid:durableId="116728634">
    <w:abstractNumId w:val="10"/>
  </w:num>
  <w:num w:numId="5" w16cid:durableId="1662543538">
    <w:abstractNumId w:val="10"/>
  </w:num>
  <w:num w:numId="6" w16cid:durableId="1132480942">
    <w:abstractNumId w:val="9"/>
  </w:num>
  <w:num w:numId="7" w16cid:durableId="1922442915">
    <w:abstractNumId w:val="7"/>
  </w:num>
  <w:num w:numId="8" w16cid:durableId="784888328">
    <w:abstractNumId w:val="6"/>
  </w:num>
  <w:num w:numId="9" w16cid:durableId="1138573329">
    <w:abstractNumId w:val="5"/>
  </w:num>
  <w:num w:numId="10" w16cid:durableId="1793356223">
    <w:abstractNumId w:val="4"/>
  </w:num>
  <w:num w:numId="11" w16cid:durableId="1350373201">
    <w:abstractNumId w:val="8"/>
  </w:num>
  <w:num w:numId="12" w16cid:durableId="1087111872">
    <w:abstractNumId w:val="3"/>
  </w:num>
  <w:num w:numId="13" w16cid:durableId="100342243">
    <w:abstractNumId w:val="2"/>
  </w:num>
  <w:num w:numId="14" w16cid:durableId="688222613">
    <w:abstractNumId w:val="1"/>
  </w:num>
  <w:num w:numId="15" w16cid:durableId="1734935725">
    <w:abstractNumId w:val="0"/>
  </w:num>
  <w:num w:numId="16" w16cid:durableId="1441755695">
    <w:abstractNumId w:val="15"/>
  </w:num>
  <w:num w:numId="17" w16cid:durableId="444424833">
    <w:abstractNumId w:val="24"/>
  </w:num>
  <w:num w:numId="18" w16cid:durableId="739405784">
    <w:abstractNumId w:val="25"/>
  </w:num>
  <w:num w:numId="19" w16cid:durableId="1391996300">
    <w:abstractNumId w:val="34"/>
  </w:num>
  <w:num w:numId="20" w16cid:durableId="2096824688">
    <w:abstractNumId w:val="16"/>
  </w:num>
  <w:num w:numId="21" w16cid:durableId="1695694475">
    <w:abstractNumId w:val="16"/>
    <w:lvlOverride w:ilvl="0">
      <w:startOverride w:val="1"/>
    </w:lvlOverride>
  </w:num>
  <w:num w:numId="22" w16cid:durableId="1440444108">
    <w:abstractNumId w:val="28"/>
  </w:num>
  <w:num w:numId="23" w16cid:durableId="2125342863">
    <w:abstractNumId w:val="21"/>
  </w:num>
  <w:num w:numId="24" w16cid:durableId="2105225105">
    <w:abstractNumId w:val="30"/>
  </w:num>
  <w:num w:numId="25" w16cid:durableId="680544946">
    <w:abstractNumId w:val="20"/>
  </w:num>
  <w:num w:numId="26" w16cid:durableId="868487625">
    <w:abstractNumId w:val="23"/>
  </w:num>
  <w:num w:numId="27" w16cid:durableId="728916903">
    <w:abstractNumId w:val="12"/>
  </w:num>
  <w:num w:numId="28" w16cid:durableId="227108905">
    <w:abstractNumId w:val="22"/>
  </w:num>
  <w:num w:numId="29" w16cid:durableId="583564480">
    <w:abstractNumId w:val="29"/>
  </w:num>
  <w:num w:numId="30" w16cid:durableId="1477797018">
    <w:abstractNumId w:val="27"/>
  </w:num>
  <w:num w:numId="31" w16cid:durableId="1310667375">
    <w:abstractNumId w:val="33"/>
  </w:num>
  <w:num w:numId="32" w16cid:durableId="1905556148">
    <w:abstractNumId w:val="18"/>
  </w:num>
  <w:num w:numId="33" w16cid:durableId="1953395234">
    <w:abstractNumId w:val="19"/>
  </w:num>
  <w:num w:numId="34" w16cid:durableId="594634388">
    <w:abstractNumId w:val="26"/>
  </w:num>
  <w:num w:numId="35" w16cid:durableId="574822771">
    <w:abstractNumId w:val="32"/>
  </w:num>
  <w:num w:numId="36" w16cid:durableId="269051056">
    <w:abstractNumId w:val="31"/>
  </w:num>
  <w:num w:numId="37" w16cid:durableId="1838764564">
    <w:abstractNumId w:val="14"/>
  </w:num>
  <w:num w:numId="38" w16cid:durableId="1312825474">
    <w:abstractNumId w:val="11"/>
  </w:num>
  <w:num w:numId="39" w16cid:durableId="1172840670">
    <w:abstractNumId w:val="13"/>
  </w:num>
  <w:num w:numId="40" w16cid:durableId="978075622">
    <w:abstractNumId w:val="17"/>
  </w:num>
  <w:num w:numId="41" w16cid:durableId="382606064">
    <w:abstractNumId w:val="10"/>
  </w:num>
  <w:num w:numId="42" w16cid:durableId="1752652330">
    <w:abstractNumId w:val="10"/>
  </w:num>
  <w:num w:numId="43" w16cid:durableId="1194344887">
    <w:abstractNumId w:val="10"/>
  </w:num>
  <w:num w:numId="44" w16cid:durableId="1347947120">
    <w:abstractNumId w:val="8"/>
  </w:num>
  <w:num w:numId="45" w16cid:durableId="1987739463">
    <w:abstractNumId w:val="3"/>
  </w:num>
  <w:num w:numId="46" w16cid:durableId="1599213816">
    <w:abstractNumId w:val="2"/>
  </w:num>
  <w:num w:numId="47" w16cid:durableId="538203717">
    <w:abstractNumId w:val="1"/>
  </w:num>
  <w:num w:numId="48" w16cid:durableId="51754685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20159"/>
    <w:rsid w:val="0002191D"/>
    <w:rsid w:val="000219FC"/>
    <w:rsid w:val="00023BB5"/>
    <w:rsid w:val="00027178"/>
    <w:rsid w:val="00031260"/>
    <w:rsid w:val="00033F0E"/>
    <w:rsid w:val="000350BB"/>
    <w:rsid w:val="0003681A"/>
    <w:rsid w:val="00041141"/>
    <w:rsid w:val="0004609A"/>
    <w:rsid w:val="000475F0"/>
    <w:rsid w:val="000554FD"/>
    <w:rsid w:val="0005567E"/>
    <w:rsid w:val="000565EB"/>
    <w:rsid w:val="00056D6E"/>
    <w:rsid w:val="000636E4"/>
    <w:rsid w:val="00065D34"/>
    <w:rsid w:val="00072B13"/>
    <w:rsid w:val="00076CEE"/>
    <w:rsid w:val="00080ED0"/>
    <w:rsid w:val="00085B8F"/>
    <w:rsid w:val="00087AFC"/>
    <w:rsid w:val="00090481"/>
    <w:rsid w:val="00091A22"/>
    <w:rsid w:val="00092DFB"/>
    <w:rsid w:val="000A3231"/>
    <w:rsid w:val="000A3D8D"/>
    <w:rsid w:val="000A79D5"/>
    <w:rsid w:val="000B324E"/>
    <w:rsid w:val="000C59E2"/>
    <w:rsid w:val="000C7EF8"/>
    <w:rsid w:val="000D20E1"/>
    <w:rsid w:val="000E07BC"/>
    <w:rsid w:val="000E2313"/>
    <w:rsid w:val="000E3086"/>
    <w:rsid w:val="000E45E1"/>
    <w:rsid w:val="000E796D"/>
    <w:rsid w:val="000F1CD4"/>
    <w:rsid w:val="000F2EB6"/>
    <w:rsid w:val="000F4103"/>
    <w:rsid w:val="000F70A7"/>
    <w:rsid w:val="00103311"/>
    <w:rsid w:val="00104568"/>
    <w:rsid w:val="001049B8"/>
    <w:rsid w:val="001115BB"/>
    <w:rsid w:val="001139D2"/>
    <w:rsid w:val="00122D4F"/>
    <w:rsid w:val="00123EA2"/>
    <w:rsid w:val="00126CFB"/>
    <w:rsid w:val="00135980"/>
    <w:rsid w:val="001413D2"/>
    <w:rsid w:val="00142B6F"/>
    <w:rsid w:val="00142C5E"/>
    <w:rsid w:val="001515F8"/>
    <w:rsid w:val="00154357"/>
    <w:rsid w:val="00155085"/>
    <w:rsid w:val="00164719"/>
    <w:rsid w:val="00165195"/>
    <w:rsid w:val="00165AA7"/>
    <w:rsid w:val="00166FC4"/>
    <w:rsid w:val="001677AC"/>
    <w:rsid w:val="00185FE4"/>
    <w:rsid w:val="00190A61"/>
    <w:rsid w:val="0019266B"/>
    <w:rsid w:val="00192AA0"/>
    <w:rsid w:val="001A113A"/>
    <w:rsid w:val="001A13FA"/>
    <w:rsid w:val="001A3342"/>
    <w:rsid w:val="001A3E3D"/>
    <w:rsid w:val="001B1565"/>
    <w:rsid w:val="001B1E40"/>
    <w:rsid w:val="001C764E"/>
    <w:rsid w:val="001C7B9B"/>
    <w:rsid w:val="001D4ADA"/>
    <w:rsid w:val="001E1052"/>
    <w:rsid w:val="001E21B1"/>
    <w:rsid w:val="001E2CEB"/>
    <w:rsid w:val="001E2F93"/>
    <w:rsid w:val="001E61E5"/>
    <w:rsid w:val="001F2159"/>
    <w:rsid w:val="00203CA8"/>
    <w:rsid w:val="00210BB0"/>
    <w:rsid w:val="00222DD6"/>
    <w:rsid w:val="00227F4F"/>
    <w:rsid w:val="00233F0B"/>
    <w:rsid w:val="0024191C"/>
    <w:rsid w:val="00244235"/>
    <w:rsid w:val="00251DFF"/>
    <w:rsid w:val="00253222"/>
    <w:rsid w:val="00262E06"/>
    <w:rsid w:val="00267896"/>
    <w:rsid w:val="002738C5"/>
    <w:rsid w:val="0027567B"/>
    <w:rsid w:val="00291880"/>
    <w:rsid w:val="0029295E"/>
    <w:rsid w:val="002A2001"/>
    <w:rsid w:val="002A58C6"/>
    <w:rsid w:val="002A5C99"/>
    <w:rsid w:val="002B68B3"/>
    <w:rsid w:val="002B72E9"/>
    <w:rsid w:val="002C17B4"/>
    <w:rsid w:val="002C6028"/>
    <w:rsid w:val="002C6268"/>
    <w:rsid w:val="002C7849"/>
    <w:rsid w:val="002D6906"/>
    <w:rsid w:val="002E1D44"/>
    <w:rsid w:val="002E36BE"/>
    <w:rsid w:val="002E3935"/>
    <w:rsid w:val="002E46E3"/>
    <w:rsid w:val="002E5B06"/>
    <w:rsid w:val="002F48A2"/>
    <w:rsid w:val="002F6E3D"/>
    <w:rsid w:val="0030065C"/>
    <w:rsid w:val="003075C2"/>
    <w:rsid w:val="00311465"/>
    <w:rsid w:val="003306E1"/>
    <w:rsid w:val="003320E4"/>
    <w:rsid w:val="0033525D"/>
    <w:rsid w:val="003414F3"/>
    <w:rsid w:val="00344B52"/>
    <w:rsid w:val="00347D38"/>
    <w:rsid w:val="0035613E"/>
    <w:rsid w:val="00363EE9"/>
    <w:rsid w:val="00376128"/>
    <w:rsid w:val="00376945"/>
    <w:rsid w:val="0037742E"/>
    <w:rsid w:val="0038245A"/>
    <w:rsid w:val="00384BFF"/>
    <w:rsid w:val="0039337A"/>
    <w:rsid w:val="00396605"/>
    <w:rsid w:val="00396FBE"/>
    <w:rsid w:val="003A3189"/>
    <w:rsid w:val="003A4EA0"/>
    <w:rsid w:val="003B3973"/>
    <w:rsid w:val="003B3AB8"/>
    <w:rsid w:val="003B569D"/>
    <w:rsid w:val="003C3C0E"/>
    <w:rsid w:val="003C4C88"/>
    <w:rsid w:val="003D0C07"/>
    <w:rsid w:val="003D2D42"/>
    <w:rsid w:val="003D4FAC"/>
    <w:rsid w:val="003D53B4"/>
    <w:rsid w:val="003D6F6F"/>
    <w:rsid w:val="003E7906"/>
    <w:rsid w:val="003F3C50"/>
    <w:rsid w:val="00400151"/>
    <w:rsid w:val="0040042A"/>
    <w:rsid w:val="004052C6"/>
    <w:rsid w:val="00406A6A"/>
    <w:rsid w:val="00406B22"/>
    <w:rsid w:val="00417389"/>
    <w:rsid w:val="0042285F"/>
    <w:rsid w:val="00431FD6"/>
    <w:rsid w:val="00432279"/>
    <w:rsid w:val="004328A7"/>
    <w:rsid w:val="0043479C"/>
    <w:rsid w:val="00434C74"/>
    <w:rsid w:val="004416F1"/>
    <w:rsid w:val="00450AA6"/>
    <w:rsid w:val="004553F8"/>
    <w:rsid w:val="0045623A"/>
    <w:rsid w:val="00456915"/>
    <w:rsid w:val="00456EB4"/>
    <w:rsid w:val="00463C37"/>
    <w:rsid w:val="004669D1"/>
    <w:rsid w:val="00470584"/>
    <w:rsid w:val="004718F3"/>
    <w:rsid w:val="00475040"/>
    <w:rsid w:val="004777CC"/>
    <w:rsid w:val="004822F3"/>
    <w:rsid w:val="0048686F"/>
    <w:rsid w:val="00493D40"/>
    <w:rsid w:val="00497217"/>
    <w:rsid w:val="004A504B"/>
    <w:rsid w:val="004A6911"/>
    <w:rsid w:val="004B54E0"/>
    <w:rsid w:val="004B7384"/>
    <w:rsid w:val="004C4269"/>
    <w:rsid w:val="004C548F"/>
    <w:rsid w:val="004D4D70"/>
    <w:rsid w:val="004D6236"/>
    <w:rsid w:val="004D7C74"/>
    <w:rsid w:val="004E0395"/>
    <w:rsid w:val="004E2F62"/>
    <w:rsid w:val="004E4C07"/>
    <w:rsid w:val="004E4DBB"/>
    <w:rsid w:val="004E602B"/>
    <w:rsid w:val="004E7F9C"/>
    <w:rsid w:val="004F3493"/>
    <w:rsid w:val="004F50FA"/>
    <w:rsid w:val="00504518"/>
    <w:rsid w:val="00512B09"/>
    <w:rsid w:val="00513FD5"/>
    <w:rsid w:val="00521A49"/>
    <w:rsid w:val="00522C75"/>
    <w:rsid w:val="00527D4D"/>
    <w:rsid w:val="00536060"/>
    <w:rsid w:val="0054027D"/>
    <w:rsid w:val="005434CB"/>
    <w:rsid w:val="005467FC"/>
    <w:rsid w:val="005471E6"/>
    <w:rsid w:val="00555D75"/>
    <w:rsid w:val="00560DF0"/>
    <w:rsid w:val="00574427"/>
    <w:rsid w:val="005814EB"/>
    <w:rsid w:val="00581E0E"/>
    <w:rsid w:val="005830D3"/>
    <w:rsid w:val="005947FE"/>
    <w:rsid w:val="00597523"/>
    <w:rsid w:val="005A68C5"/>
    <w:rsid w:val="005B48FF"/>
    <w:rsid w:val="005B63C9"/>
    <w:rsid w:val="005C7764"/>
    <w:rsid w:val="005C7A40"/>
    <w:rsid w:val="005D1A3F"/>
    <w:rsid w:val="005D1E4E"/>
    <w:rsid w:val="005D6A67"/>
    <w:rsid w:val="005F0CC0"/>
    <w:rsid w:val="00600A67"/>
    <w:rsid w:val="006012A7"/>
    <w:rsid w:val="00601BFD"/>
    <w:rsid w:val="006141C1"/>
    <w:rsid w:val="006158D5"/>
    <w:rsid w:val="00615FBA"/>
    <w:rsid w:val="006177A4"/>
    <w:rsid w:val="00622AD8"/>
    <w:rsid w:val="006256F1"/>
    <w:rsid w:val="00625D83"/>
    <w:rsid w:val="00632B29"/>
    <w:rsid w:val="00643292"/>
    <w:rsid w:val="00643BBF"/>
    <w:rsid w:val="006449E1"/>
    <w:rsid w:val="00645D3D"/>
    <w:rsid w:val="00646A60"/>
    <w:rsid w:val="00650CEA"/>
    <w:rsid w:val="00650E80"/>
    <w:rsid w:val="006623E7"/>
    <w:rsid w:val="00662B80"/>
    <w:rsid w:val="006733E2"/>
    <w:rsid w:val="00680DE4"/>
    <w:rsid w:val="00682720"/>
    <w:rsid w:val="006833F6"/>
    <w:rsid w:val="006852C7"/>
    <w:rsid w:val="00687328"/>
    <w:rsid w:val="006A326F"/>
    <w:rsid w:val="006A7469"/>
    <w:rsid w:val="006A7948"/>
    <w:rsid w:val="006C1727"/>
    <w:rsid w:val="006C32FD"/>
    <w:rsid w:val="006D0FCC"/>
    <w:rsid w:val="006D186E"/>
    <w:rsid w:val="006E0D57"/>
    <w:rsid w:val="006F6061"/>
    <w:rsid w:val="006F7E21"/>
    <w:rsid w:val="007048E2"/>
    <w:rsid w:val="0070616B"/>
    <w:rsid w:val="00706351"/>
    <w:rsid w:val="00706FDA"/>
    <w:rsid w:val="00711F9A"/>
    <w:rsid w:val="0071314C"/>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80F01"/>
    <w:rsid w:val="007A1546"/>
    <w:rsid w:val="007A21C6"/>
    <w:rsid w:val="007A228C"/>
    <w:rsid w:val="007A368E"/>
    <w:rsid w:val="007A5868"/>
    <w:rsid w:val="007A60F4"/>
    <w:rsid w:val="007B04CE"/>
    <w:rsid w:val="007B1CF3"/>
    <w:rsid w:val="007B3D87"/>
    <w:rsid w:val="007B598C"/>
    <w:rsid w:val="007B6871"/>
    <w:rsid w:val="007C1C13"/>
    <w:rsid w:val="007C24B9"/>
    <w:rsid w:val="007C3D33"/>
    <w:rsid w:val="007C4332"/>
    <w:rsid w:val="007D294A"/>
    <w:rsid w:val="007D47D2"/>
    <w:rsid w:val="007D53DC"/>
    <w:rsid w:val="007D6EC0"/>
    <w:rsid w:val="007D7E1D"/>
    <w:rsid w:val="007E21DF"/>
    <w:rsid w:val="007E4AD1"/>
    <w:rsid w:val="007E4AF2"/>
    <w:rsid w:val="007F0DB8"/>
    <w:rsid w:val="007F2069"/>
    <w:rsid w:val="007F616E"/>
    <w:rsid w:val="007F783D"/>
    <w:rsid w:val="00803EE5"/>
    <w:rsid w:val="008063BA"/>
    <w:rsid w:val="0081133E"/>
    <w:rsid w:val="00813B1D"/>
    <w:rsid w:val="00821DFA"/>
    <w:rsid w:val="008229B6"/>
    <w:rsid w:val="008260B5"/>
    <w:rsid w:val="00830534"/>
    <w:rsid w:val="008356D5"/>
    <w:rsid w:val="00843664"/>
    <w:rsid w:val="00846C23"/>
    <w:rsid w:val="00846DD2"/>
    <w:rsid w:val="00863230"/>
    <w:rsid w:val="008717D8"/>
    <w:rsid w:val="0087215C"/>
    <w:rsid w:val="00872946"/>
    <w:rsid w:val="008875FE"/>
    <w:rsid w:val="008878D7"/>
    <w:rsid w:val="00887F8E"/>
    <w:rsid w:val="00890195"/>
    <w:rsid w:val="00891D56"/>
    <w:rsid w:val="00892ECC"/>
    <w:rsid w:val="00896234"/>
    <w:rsid w:val="00897E43"/>
    <w:rsid w:val="008B0A22"/>
    <w:rsid w:val="008B2ED4"/>
    <w:rsid w:val="008C2559"/>
    <w:rsid w:val="008C4731"/>
    <w:rsid w:val="008C5116"/>
    <w:rsid w:val="008C5738"/>
    <w:rsid w:val="008C736A"/>
    <w:rsid w:val="008C7EAD"/>
    <w:rsid w:val="008D6152"/>
    <w:rsid w:val="008E60D0"/>
    <w:rsid w:val="008E66BF"/>
    <w:rsid w:val="008F0F81"/>
    <w:rsid w:val="009063E3"/>
    <w:rsid w:val="00912AA5"/>
    <w:rsid w:val="009153F1"/>
    <w:rsid w:val="00915677"/>
    <w:rsid w:val="00923540"/>
    <w:rsid w:val="00926767"/>
    <w:rsid w:val="00927DDD"/>
    <w:rsid w:val="00931D86"/>
    <w:rsid w:val="009361D5"/>
    <w:rsid w:val="00937A0A"/>
    <w:rsid w:val="00943014"/>
    <w:rsid w:val="0094377F"/>
    <w:rsid w:val="00951901"/>
    <w:rsid w:val="00952A41"/>
    <w:rsid w:val="00963109"/>
    <w:rsid w:val="00963668"/>
    <w:rsid w:val="009659F4"/>
    <w:rsid w:val="00967514"/>
    <w:rsid w:val="00970D60"/>
    <w:rsid w:val="0097550B"/>
    <w:rsid w:val="0098608C"/>
    <w:rsid w:val="00991408"/>
    <w:rsid w:val="00995C28"/>
    <w:rsid w:val="009A5AF2"/>
    <w:rsid w:val="009A7ADC"/>
    <w:rsid w:val="009B1CB9"/>
    <w:rsid w:val="009B4B3A"/>
    <w:rsid w:val="009B6FCD"/>
    <w:rsid w:val="009C0855"/>
    <w:rsid w:val="009C19B7"/>
    <w:rsid w:val="009C401F"/>
    <w:rsid w:val="009D43E7"/>
    <w:rsid w:val="009D53F2"/>
    <w:rsid w:val="009D5F21"/>
    <w:rsid w:val="009D7C51"/>
    <w:rsid w:val="009E2300"/>
    <w:rsid w:val="009E2EB0"/>
    <w:rsid w:val="009E6153"/>
    <w:rsid w:val="009F0B73"/>
    <w:rsid w:val="009F36BF"/>
    <w:rsid w:val="009F3980"/>
    <w:rsid w:val="009F43B4"/>
    <w:rsid w:val="00A0205E"/>
    <w:rsid w:val="00A0320A"/>
    <w:rsid w:val="00A111B6"/>
    <w:rsid w:val="00A1286E"/>
    <w:rsid w:val="00A42A99"/>
    <w:rsid w:val="00A44635"/>
    <w:rsid w:val="00A4489A"/>
    <w:rsid w:val="00A47530"/>
    <w:rsid w:val="00A5151A"/>
    <w:rsid w:val="00A6632B"/>
    <w:rsid w:val="00A7114D"/>
    <w:rsid w:val="00A72D4F"/>
    <w:rsid w:val="00A73A67"/>
    <w:rsid w:val="00A80DF0"/>
    <w:rsid w:val="00A823F6"/>
    <w:rsid w:val="00A83B00"/>
    <w:rsid w:val="00A84561"/>
    <w:rsid w:val="00A852F9"/>
    <w:rsid w:val="00A91A3E"/>
    <w:rsid w:val="00A924D8"/>
    <w:rsid w:val="00A92663"/>
    <w:rsid w:val="00A96589"/>
    <w:rsid w:val="00AA0A89"/>
    <w:rsid w:val="00AB0302"/>
    <w:rsid w:val="00AB4FEC"/>
    <w:rsid w:val="00AB7364"/>
    <w:rsid w:val="00AC01AA"/>
    <w:rsid w:val="00AC3935"/>
    <w:rsid w:val="00AC4F72"/>
    <w:rsid w:val="00AD50AA"/>
    <w:rsid w:val="00AD56BF"/>
    <w:rsid w:val="00AD5D2B"/>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40021"/>
    <w:rsid w:val="00B42ED2"/>
    <w:rsid w:val="00B454C4"/>
    <w:rsid w:val="00B55263"/>
    <w:rsid w:val="00B575BA"/>
    <w:rsid w:val="00B6673F"/>
    <w:rsid w:val="00B6765A"/>
    <w:rsid w:val="00B67711"/>
    <w:rsid w:val="00B758AB"/>
    <w:rsid w:val="00B76429"/>
    <w:rsid w:val="00B7728A"/>
    <w:rsid w:val="00B84E8E"/>
    <w:rsid w:val="00B86702"/>
    <w:rsid w:val="00B87F83"/>
    <w:rsid w:val="00B87FD8"/>
    <w:rsid w:val="00B916BF"/>
    <w:rsid w:val="00B956D4"/>
    <w:rsid w:val="00B95BF0"/>
    <w:rsid w:val="00B97153"/>
    <w:rsid w:val="00BA0D38"/>
    <w:rsid w:val="00BA7432"/>
    <w:rsid w:val="00BA7BEF"/>
    <w:rsid w:val="00BB103F"/>
    <w:rsid w:val="00BB7C1F"/>
    <w:rsid w:val="00BC1AA0"/>
    <w:rsid w:val="00BC3835"/>
    <w:rsid w:val="00BC7EB9"/>
    <w:rsid w:val="00BD2643"/>
    <w:rsid w:val="00BD42C2"/>
    <w:rsid w:val="00BD6464"/>
    <w:rsid w:val="00BD6558"/>
    <w:rsid w:val="00BE08BF"/>
    <w:rsid w:val="00BE3C0E"/>
    <w:rsid w:val="00BF3214"/>
    <w:rsid w:val="00BF71DE"/>
    <w:rsid w:val="00BF7E5F"/>
    <w:rsid w:val="00C00DB1"/>
    <w:rsid w:val="00C15867"/>
    <w:rsid w:val="00C2296D"/>
    <w:rsid w:val="00C23155"/>
    <w:rsid w:val="00C2435F"/>
    <w:rsid w:val="00C40C41"/>
    <w:rsid w:val="00C43175"/>
    <w:rsid w:val="00C45885"/>
    <w:rsid w:val="00C4641F"/>
    <w:rsid w:val="00C50F22"/>
    <w:rsid w:val="00C57971"/>
    <w:rsid w:val="00C67A87"/>
    <w:rsid w:val="00C730F9"/>
    <w:rsid w:val="00C73EFF"/>
    <w:rsid w:val="00C76BA4"/>
    <w:rsid w:val="00C83A48"/>
    <w:rsid w:val="00C840A0"/>
    <w:rsid w:val="00C85865"/>
    <w:rsid w:val="00C85E85"/>
    <w:rsid w:val="00C925E3"/>
    <w:rsid w:val="00C928C3"/>
    <w:rsid w:val="00CA2EAE"/>
    <w:rsid w:val="00CA4AC1"/>
    <w:rsid w:val="00CB0316"/>
    <w:rsid w:val="00CB0317"/>
    <w:rsid w:val="00CB0B11"/>
    <w:rsid w:val="00CB5354"/>
    <w:rsid w:val="00CC14A1"/>
    <w:rsid w:val="00CC32AE"/>
    <w:rsid w:val="00CC4AE5"/>
    <w:rsid w:val="00CC6A14"/>
    <w:rsid w:val="00CC6E10"/>
    <w:rsid w:val="00CC70A3"/>
    <w:rsid w:val="00CC7F83"/>
    <w:rsid w:val="00CD53C3"/>
    <w:rsid w:val="00CD55DA"/>
    <w:rsid w:val="00CD574E"/>
    <w:rsid w:val="00CE13B3"/>
    <w:rsid w:val="00CE4C22"/>
    <w:rsid w:val="00CE63CC"/>
    <w:rsid w:val="00CF2563"/>
    <w:rsid w:val="00CF3CD9"/>
    <w:rsid w:val="00CF41EC"/>
    <w:rsid w:val="00CF5D04"/>
    <w:rsid w:val="00CF613E"/>
    <w:rsid w:val="00CF7807"/>
    <w:rsid w:val="00D001D3"/>
    <w:rsid w:val="00D039B1"/>
    <w:rsid w:val="00D03E3D"/>
    <w:rsid w:val="00D04DE4"/>
    <w:rsid w:val="00D063F1"/>
    <w:rsid w:val="00D11569"/>
    <w:rsid w:val="00D11C2B"/>
    <w:rsid w:val="00D14F22"/>
    <w:rsid w:val="00D16121"/>
    <w:rsid w:val="00D216A7"/>
    <w:rsid w:val="00D24723"/>
    <w:rsid w:val="00D249C4"/>
    <w:rsid w:val="00D24C6B"/>
    <w:rsid w:val="00D42237"/>
    <w:rsid w:val="00D4718A"/>
    <w:rsid w:val="00D47CD5"/>
    <w:rsid w:val="00D50D20"/>
    <w:rsid w:val="00D57918"/>
    <w:rsid w:val="00D614C7"/>
    <w:rsid w:val="00D620FF"/>
    <w:rsid w:val="00D731B5"/>
    <w:rsid w:val="00D73DC6"/>
    <w:rsid w:val="00D74C1A"/>
    <w:rsid w:val="00D75205"/>
    <w:rsid w:val="00D754C1"/>
    <w:rsid w:val="00D77A35"/>
    <w:rsid w:val="00D81B3E"/>
    <w:rsid w:val="00D90C70"/>
    <w:rsid w:val="00D90E49"/>
    <w:rsid w:val="00D93D17"/>
    <w:rsid w:val="00DA166F"/>
    <w:rsid w:val="00DB467F"/>
    <w:rsid w:val="00DB4BCB"/>
    <w:rsid w:val="00DC2A72"/>
    <w:rsid w:val="00DC692A"/>
    <w:rsid w:val="00DC6A10"/>
    <w:rsid w:val="00DC6D65"/>
    <w:rsid w:val="00DD0888"/>
    <w:rsid w:val="00DD0B62"/>
    <w:rsid w:val="00DD502B"/>
    <w:rsid w:val="00DE13F5"/>
    <w:rsid w:val="00DE1D5E"/>
    <w:rsid w:val="00DE3F39"/>
    <w:rsid w:val="00DE657E"/>
    <w:rsid w:val="00DF1D98"/>
    <w:rsid w:val="00DF4704"/>
    <w:rsid w:val="00DF6528"/>
    <w:rsid w:val="00E013D5"/>
    <w:rsid w:val="00E024AA"/>
    <w:rsid w:val="00E06673"/>
    <w:rsid w:val="00E125FB"/>
    <w:rsid w:val="00E12B1E"/>
    <w:rsid w:val="00E137D5"/>
    <w:rsid w:val="00E1693E"/>
    <w:rsid w:val="00E16D12"/>
    <w:rsid w:val="00E20584"/>
    <w:rsid w:val="00E250F1"/>
    <w:rsid w:val="00E26B1A"/>
    <w:rsid w:val="00E309F7"/>
    <w:rsid w:val="00E309FA"/>
    <w:rsid w:val="00E32E6B"/>
    <w:rsid w:val="00E33106"/>
    <w:rsid w:val="00E3550D"/>
    <w:rsid w:val="00E37BC1"/>
    <w:rsid w:val="00E446C6"/>
    <w:rsid w:val="00E50035"/>
    <w:rsid w:val="00E50BA6"/>
    <w:rsid w:val="00E53847"/>
    <w:rsid w:val="00E614E0"/>
    <w:rsid w:val="00E63CF0"/>
    <w:rsid w:val="00E65BB3"/>
    <w:rsid w:val="00E73F7F"/>
    <w:rsid w:val="00E746D5"/>
    <w:rsid w:val="00E92FF6"/>
    <w:rsid w:val="00EA2887"/>
    <w:rsid w:val="00EA3457"/>
    <w:rsid w:val="00EA429F"/>
    <w:rsid w:val="00EA4F9E"/>
    <w:rsid w:val="00EA6D3B"/>
    <w:rsid w:val="00EB00AD"/>
    <w:rsid w:val="00EB03E7"/>
    <w:rsid w:val="00EB136C"/>
    <w:rsid w:val="00EB480E"/>
    <w:rsid w:val="00EB5EC6"/>
    <w:rsid w:val="00EB7FC9"/>
    <w:rsid w:val="00EC10E5"/>
    <w:rsid w:val="00ED408D"/>
    <w:rsid w:val="00ED7137"/>
    <w:rsid w:val="00EE191C"/>
    <w:rsid w:val="00EF65CE"/>
    <w:rsid w:val="00F02C24"/>
    <w:rsid w:val="00F036EB"/>
    <w:rsid w:val="00F036FF"/>
    <w:rsid w:val="00F04EEC"/>
    <w:rsid w:val="00F1248E"/>
    <w:rsid w:val="00F14041"/>
    <w:rsid w:val="00F16F8F"/>
    <w:rsid w:val="00F21088"/>
    <w:rsid w:val="00F217D5"/>
    <w:rsid w:val="00F2351E"/>
    <w:rsid w:val="00F26940"/>
    <w:rsid w:val="00F327E7"/>
    <w:rsid w:val="00F32A5F"/>
    <w:rsid w:val="00F34966"/>
    <w:rsid w:val="00F35284"/>
    <w:rsid w:val="00F35746"/>
    <w:rsid w:val="00F36371"/>
    <w:rsid w:val="00F435B3"/>
    <w:rsid w:val="00F43BC0"/>
    <w:rsid w:val="00F447C7"/>
    <w:rsid w:val="00F454A1"/>
    <w:rsid w:val="00F478D8"/>
    <w:rsid w:val="00F54B4C"/>
    <w:rsid w:val="00F554A9"/>
    <w:rsid w:val="00F60CC4"/>
    <w:rsid w:val="00F716FD"/>
    <w:rsid w:val="00F721B6"/>
    <w:rsid w:val="00F75C5F"/>
    <w:rsid w:val="00F80355"/>
    <w:rsid w:val="00F80496"/>
    <w:rsid w:val="00F924A5"/>
    <w:rsid w:val="00F9314E"/>
    <w:rsid w:val="00F94167"/>
    <w:rsid w:val="00F95DC7"/>
    <w:rsid w:val="00FA2652"/>
    <w:rsid w:val="00FA31C1"/>
    <w:rsid w:val="00FA6349"/>
    <w:rsid w:val="00FB0C81"/>
    <w:rsid w:val="00FB3896"/>
    <w:rsid w:val="00FC2200"/>
    <w:rsid w:val="00FC2540"/>
    <w:rsid w:val="00FD080E"/>
    <w:rsid w:val="00FD1BF9"/>
    <w:rsid w:val="00FD3DCC"/>
    <w:rsid w:val="00FE3364"/>
    <w:rsid w:val="00FF0204"/>
    <w:rsid w:val="00FF0AEF"/>
    <w:rsid w:val="00FF0B73"/>
    <w:rsid w:val="00FF1B8E"/>
    <w:rsid w:val="00FF3AED"/>
    <w:rsid w:val="00FF5867"/>
    <w:rsid w:val="00FF7C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docId w15:val="{024250C0-2A38-4710-9702-9C6AB34D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Rastertabel6kleurrijk1">
    <w:name w:val="Rastertabel 6 kleurrijk1"/>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 w:type="paragraph" w:styleId="Salutation">
    <w:name w:val="Salutation"/>
    <w:basedOn w:val="Normal"/>
    <w:next w:val="Normal"/>
    <w:link w:val="SalutationChar"/>
    <w:uiPriority w:val="99"/>
    <w:semiHidden/>
    <w:unhideWhenUsed/>
    <w:rsid w:val="00C840A0"/>
  </w:style>
  <w:style w:type="character" w:customStyle="1" w:styleId="SalutationChar">
    <w:name w:val="Salutation Char"/>
    <w:basedOn w:val="DefaultParagraphFont"/>
    <w:link w:val="Salutation"/>
    <w:uiPriority w:val="99"/>
    <w:semiHidden/>
    <w:rsid w:val="00C840A0"/>
    <w:rPr>
      <w:sz w:val="22"/>
      <w:szCs w:val="22"/>
      <w:lang w:val="en-CA"/>
    </w:rPr>
  </w:style>
  <w:style w:type="paragraph" w:styleId="EnvelopeAddress">
    <w:name w:val="envelope address"/>
    <w:basedOn w:val="Normal"/>
    <w:uiPriority w:val="99"/>
    <w:semiHidden/>
    <w:unhideWhenUsed/>
    <w:rsid w:val="00C840A0"/>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Closing">
    <w:name w:val="Closing"/>
    <w:basedOn w:val="Normal"/>
    <w:link w:val="ClosingChar"/>
    <w:uiPriority w:val="99"/>
    <w:semiHidden/>
    <w:unhideWhenUsed/>
    <w:rsid w:val="00C840A0"/>
    <w:pPr>
      <w:ind w:left="4252"/>
    </w:pPr>
  </w:style>
  <w:style w:type="character" w:customStyle="1" w:styleId="ClosingChar">
    <w:name w:val="Closing Char"/>
    <w:basedOn w:val="DefaultParagraphFont"/>
    <w:link w:val="Closing"/>
    <w:uiPriority w:val="99"/>
    <w:semiHidden/>
    <w:rsid w:val="00C840A0"/>
    <w:rPr>
      <w:sz w:val="22"/>
      <w:szCs w:val="22"/>
      <w:lang w:val="en-CA"/>
    </w:rPr>
  </w:style>
  <w:style w:type="paragraph" w:styleId="EnvelopeReturn">
    <w:name w:val="envelope return"/>
    <w:basedOn w:val="Normal"/>
    <w:uiPriority w:val="99"/>
    <w:semiHidden/>
    <w:unhideWhenUsed/>
    <w:rsid w:val="00C840A0"/>
    <w:rPr>
      <w:rFonts w:asciiTheme="majorHAnsi" w:eastAsiaTheme="majorEastAsia" w:hAnsiTheme="majorHAnsi" w:cstheme="majorBidi"/>
      <w:sz w:val="20"/>
      <w:szCs w:val="20"/>
    </w:rPr>
  </w:style>
  <w:style w:type="paragraph" w:styleId="MessageHeader">
    <w:name w:val="Message Header"/>
    <w:basedOn w:val="Normal"/>
    <w:link w:val="MessageHeaderChar"/>
    <w:uiPriority w:val="99"/>
    <w:semiHidden/>
    <w:unhideWhenUsed/>
    <w:rsid w:val="00C840A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840A0"/>
    <w:rPr>
      <w:rFonts w:asciiTheme="majorHAnsi" w:eastAsiaTheme="majorEastAsia" w:hAnsiTheme="majorHAnsi" w:cstheme="majorBidi"/>
      <w:sz w:val="24"/>
      <w:szCs w:val="24"/>
      <w:shd w:val="pct20" w:color="auto" w:fill="auto"/>
      <w:lang w:val="en-CA"/>
    </w:rPr>
  </w:style>
  <w:style w:type="paragraph" w:styleId="Bibliography">
    <w:name w:val="Bibliography"/>
    <w:basedOn w:val="Normal"/>
    <w:next w:val="Normal"/>
    <w:uiPriority w:val="37"/>
    <w:semiHidden/>
    <w:unhideWhenUsed/>
    <w:rsid w:val="00C840A0"/>
  </w:style>
  <w:style w:type="paragraph" w:styleId="Caption">
    <w:name w:val="caption"/>
    <w:basedOn w:val="Normal"/>
    <w:next w:val="Normal"/>
    <w:uiPriority w:val="35"/>
    <w:semiHidden/>
    <w:unhideWhenUsed/>
    <w:qFormat/>
    <w:rsid w:val="00C840A0"/>
    <w:pPr>
      <w:spacing w:after="200"/>
    </w:pPr>
    <w:rPr>
      <w:i/>
      <w:iCs/>
      <w:color w:val="1F497D" w:themeColor="text2"/>
      <w:sz w:val="18"/>
      <w:szCs w:val="18"/>
    </w:rPr>
  </w:style>
  <w:style w:type="paragraph" w:styleId="TableofAuthorities">
    <w:name w:val="table of authorities"/>
    <w:basedOn w:val="Normal"/>
    <w:next w:val="Normal"/>
    <w:uiPriority w:val="99"/>
    <w:semiHidden/>
    <w:unhideWhenUsed/>
    <w:rsid w:val="00C840A0"/>
    <w:pPr>
      <w:ind w:left="220" w:hanging="220"/>
    </w:pPr>
  </w:style>
  <w:style w:type="paragraph" w:styleId="DocumentMap">
    <w:name w:val="Document Map"/>
    <w:basedOn w:val="Normal"/>
    <w:link w:val="DocumentMapChar"/>
    <w:uiPriority w:val="99"/>
    <w:semiHidden/>
    <w:unhideWhenUsed/>
    <w:rsid w:val="00C840A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840A0"/>
    <w:rPr>
      <w:rFonts w:ascii="Segoe UI" w:hAnsi="Segoe UI" w:cs="Segoe UI"/>
      <w:sz w:val="16"/>
      <w:szCs w:val="16"/>
      <w:lang w:val="en-CA"/>
    </w:rPr>
  </w:style>
  <w:style w:type="paragraph" w:styleId="IntenseQuote">
    <w:name w:val="Intense Quote"/>
    <w:basedOn w:val="Normal"/>
    <w:next w:val="Normal"/>
    <w:link w:val="IntenseQuoteChar"/>
    <w:uiPriority w:val="30"/>
    <w:qFormat/>
    <w:rsid w:val="00C840A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840A0"/>
    <w:rPr>
      <w:i/>
      <w:iCs/>
      <w:color w:val="4F81BD" w:themeColor="accent1"/>
      <w:sz w:val="22"/>
      <w:szCs w:val="22"/>
      <w:lang w:val="en-CA"/>
    </w:rPr>
  </w:style>
  <w:style w:type="paragraph" w:styleId="EndnoteText">
    <w:name w:val="endnote text"/>
    <w:basedOn w:val="Normal"/>
    <w:link w:val="EndnoteTextChar"/>
    <w:uiPriority w:val="99"/>
    <w:semiHidden/>
    <w:unhideWhenUsed/>
    <w:rsid w:val="00C840A0"/>
    <w:rPr>
      <w:sz w:val="20"/>
      <w:szCs w:val="20"/>
    </w:rPr>
  </w:style>
  <w:style w:type="character" w:customStyle="1" w:styleId="EndnoteTextChar">
    <w:name w:val="Endnote Text Char"/>
    <w:basedOn w:val="DefaultParagraphFont"/>
    <w:link w:val="EndnoteText"/>
    <w:uiPriority w:val="99"/>
    <w:semiHidden/>
    <w:rsid w:val="00C840A0"/>
    <w:rPr>
      <w:lang w:val="en-CA"/>
    </w:rPr>
  </w:style>
  <w:style w:type="paragraph" w:styleId="E-mailSignature">
    <w:name w:val="E-mail Signature"/>
    <w:basedOn w:val="Normal"/>
    <w:link w:val="E-mailSignatureChar"/>
    <w:uiPriority w:val="99"/>
    <w:semiHidden/>
    <w:unhideWhenUsed/>
    <w:rsid w:val="00C840A0"/>
  </w:style>
  <w:style w:type="character" w:customStyle="1" w:styleId="E-mailSignatureChar">
    <w:name w:val="E-mail Signature Char"/>
    <w:basedOn w:val="DefaultParagraphFont"/>
    <w:link w:val="E-mailSignature"/>
    <w:uiPriority w:val="99"/>
    <w:semiHidden/>
    <w:rsid w:val="00C840A0"/>
    <w:rPr>
      <w:sz w:val="22"/>
      <w:szCs w:val="22"/>
      <w:lang w:val="en-CA"/>
    </w:rPr>
  </w:style>
  <w:style w:type="paragraph" w:styleId="NoSpacing">
    <w:name w:val="No Spacing"/>
    <w:uiPriority w:val="1"/>
    <w:qFormat/>
    <w:rsid w:val="00C840A0"/>
    <w:rPr>
      <w:sz w:val="22"/>
      <w:szCs w:val="22"/>
      <w:lang w:val="en-CA"/>
    </w:rPr>
  </w:style>
  <w:style w:type="paragraph" w:styleId="Signature">
    <w:name w:val="Signature"/>
    <w:basedOn w:val="Normal"/>
    <w:link w:val="SignatureChar"/>
    <w:uiPriority w:val="99"/>
    <w:semiHidden/>
    <w:unhideWhenUsed/>
    <w:rsid w:val="00C840A0"/>
    <w:pPr>
      <w:ind w:left="4252"/>
    </w:pPr>
  </w:style>
  <w:style w:type="character" w:customStyle="1" w:styleId="SignatureChar">
    <w:name w:val="Signature Char"/>
    <w:basedOn w:val="DefaultParagraphFont"/>
    <w:link w:val="Signature"/>
    <w:uiPriority w:val="99"/>
    <w:semiHidden/>
    <w:rsid w:val="00C840A0"/>
    <w:rPr>
      <w:sz w:val="22"/>
      <w:szCs w:val="22"/>
      <w:lang w:val="en-CA"/>
    </w:rPr>
  </w:style>
  <w:style w:type="paragraph" w:styleId="HTMLPreformatted">
    <w:name w:val="HTML Preformatted"/>
    <w:basedOn w:val="Normal"/>
    <w:link w:val="HTMLPreformattedChar"/>
    <w:uiPriority w:val="99"/>
    <w:semiHidden/>
    <w:unhideWhenUsed/>
    <w:rsid w:val="00C840A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840A0"/>
    <w:rPr>
      <w:rFonts w:ascii="Consolas" w:hAnsi="Consolas"/>
      <w:lang w:val="en-CA"/>
    </w:rPr>
  </w:style>
  <w:style w:type="paragraph" w:styleId="HTMLAddress">
    <w:name w:val="HTML Address"/>
    <w:basedOn w:val="Normal"/>
    <w:link w:val="HTMLAddressChar"/>
    <w:uiPriority w:val="99"/>
    <w:semiHidden/>
    <w:unhideWhenUsed/>
    <w:rsid w:val="00C840A0"/>
    <w:rPr>
      <w:i/>
      <w:iCs/>
    </w:rPr>
  </w:style>
  <w:style w:type="character" w:customStyle="1" w:styleId="HTMLAddressChar">
    <w:name w:val="HTML Address Char"/>
    <w:basedOn w:val="DefaultParagraphFont"/>
    <w:link w:val="HTMLAddress"/>
    <w:uiPriority w:val="99"/>
    <w:semiHidden/>
    <w:rsid w:val="00C840A0"/>
    <w:rPr>
      <w:i/>
      <w:iCs/>
      <w:sz w:val="22"/>
      <w:szCs w:val="22"/>
      <w:lang w:val="en-CA"/>
    </w:rPr>
  </w:style>
  <w:style w:type="paragraph" w:styleId="Index1">
    <w:name w:val="index 1"/>
    <w:basedOn w:val="Normal"/>
    <w:next w:val="Normal"/>
    <w:uiPriority w:val="99"/>
    <w:semiHidden/>
    <w:unhideWhenUsed/>
    <w:rsid w:val="00C840A0"/>
    <w:pPr>
      <w:ind w:left="220" w:hanging="220"/>
    </w:pPr>
  </w:style>
  <w:style w:type="paragraph" w:styleId="Index2">
    <w:name w:val="index 2"/>
    <w:basedOn w:val="Normal"/>
    <w:next w:val="Normal"/>
    <w:uiPriority w:val="99"/>
    <w:semiHidden/>
    <w:unhideWhenUsed/>
    <w:rsid w:val="00C840A0"/>
    <w:pPr>
      <w:ind w:left="440" w:hanging="220"/>
    </w:pPr>
  </w:style>
  <w:style w:type="paragraph" w:styleId="Index3">
    <w:name w:val="index 3"/>
    <w:basedOn w:val="Normal"/>
    <w:next w:val="Normal"/>
    <w:uiPriority w:val="99"/>
    <w:semiHidden/>
    <w:unhideWhenUsed/>
    <w:rsid w:val="00C840A0"/>
    <w:pPr>
      <w:ind w:left="660" w:hanging="220"/>
    </w:pPr>
  </w:style>
  <w:style w:type="paragraph" w:styleId="Index4">
    <w:name w:val="index 4"/>
    <w:basedOn w:val="Normal"/>
    <w:next w:val="Normal"/>
    <w:uiPriority w:val="99"/>
    <w:semiHidden/>
    <w:unhideWhenUsed/>
    <w:rsid w:val="00C840A0"/>
    <w:pPr>
      <w:ind w:left="880" w:hanging="220"/>
    </w:pPr>
  </w:style>
  <w:style w:type="paragraph" w:styleId="Index5">
    <w:name w:val="index 5"/>
    <w:basedOn w:val="Normal"/>
    <w:next w:val="Normal"/>
    <w:uiPriority w:val="99"/>
    <w:semiHidden/>
    <w:unhideWhenUsed/>
    <w:rsid w:val="00C840A0"/>
    <w:pPr>
      <w:ind w:left="1100" w:hanging="220"/>
    </w:pPr>
  </w:style>
  <w:style w:type="paragraph" w:styleId="Index6">
    <w:name w:val="index 6"/>
    <w:basedOn w:val="Normal"/>
    <w:next w:val="Normal"/>
    <w:uiPriority w:val="99"/>
    <w:semiHidden/>
    <w:unhideWhenUsed/>
    <w:rsid w:val="00C840A0"/>
    <w:pPr>
      <w:ind w:left="1320" w:hanging="220"/>
    </w:pPr>
  </w:style>
  <w:style w:type="paragraph" w:styleId="Index7">
    <w:name w:val="index 7"/>
    <w:basedOn w:val="Normal"/>
    <w:next w:val="Normal"/>
    <w:uiPriority w:val="99"/>
    <w:semiHidden/>
    <w:unhideWhenUsed/>
    <w:rsid w:val="00C840A0"/>
    <w:pPr>
      <w:ind w:left="1540" w:hanging="220"/>
    </w:pPr>
  </w:style>
  <w:style w:type="paragraph" w:styleId="Index8">
    <w:name w:val="index 8"/>
    <w:basedOn w:val="Normal"/>
    <w:next w:val="Normal"/>
    <w:uiPriority w:val="99"/>
    <w:semiHidden/>
    <w:unhideWhenUsed/>
    <w:rsid w:val="00C840A0"/>
    <w:pPr>
      <w:ind w:left="1760" w:hanging="220"/>
    </w:pPr>
  </w:style>
  <w:style w:type="paragraph" w:styleId="Index9">
    <w:name w:val="index 9"/>
    <w:basedOn w:val="Normal"/>
    <w:next w:val="Normal"/>
    <w:uiPriority w:val="99"/>
    <w:semiHidden/>
    <w:unhideWhenUsed/>
    <w:rsid w:val="00C840A0"/>
    <w:pPr>
      <w:ind w:left="1980" w:hanging="220"/>
    </w:pPr>
  </w:style>
  <w:style w:type="paragraph" w:styleId="IndexHeading">
    <w:name w:val="index heading"/>
    <w:basedOn w:val="Normal"/>
    <w:next w:val="Index1"/>
    <w:uiPriority w:val="99"/>
    <w:semiHidden/>
    <w:unhideWhenUsed/>
    <w:rsid w:val="00C840A0"/>
    <w:rPr>
      <w:rFonts w:asciiTheme="majorHAnsi" w:eastAsiaTheme="majorEastAsia" w:hAnsiTheme="majorHAnsi" w:cstheme="majorBidi"/>
      <w:b/>
      <w:bCs/>
    </w:rPr>
  </w:style>
  <w:style w:type="paragraph" w:styleId="TOC1">
    <w:name w:val="toc 1"/>
    <w:basedOn w:val="Normal"/>
    <w:next w:val="Normal"/>
    <w:uiPriority w:val="39"/>
    <w:semiHidden/>
    <w:unhideWhenUsed/>
    <w:rsid w:val="00C840A0"/>
    <w:pPr>
      <w:spacing w:after="100"/>
    </w:pPr>
  </w:style>
  <w:style w:type="paragraph" w:styleId="TOC2">
    <w:name w:val="toc 2"/>
    <w:basedOn w:val="Normal"/>
    <w:next w:val="Normal"/>
    <w:uiPriority w:val="39"/>
    <w:semiHidden/>
    <w:unhideWhenUsed/>
    <w:rsid w:val="00C840A0"/>
    <w:pPr>
      <w:spacing w:after="100"/>
      <w:ind w:left="220"/>
    </w:pPr>
  </w:style>
  <w:style w:type="paragraph" w:styleId="TOC3">
    <w:name w:val="toc 3"/>
    <w:basedOn w:val="Normal"/>
    <w:next w:val="Normal"/>
    <w:uiPriority w:val="39"/>
    <w:semiHidden/>
    <w:unhideWhenUsed/>
    <w:rsid w:val="00C840A0"/>
    <w:pPr>
      <w:spacing w:after="100"/>
      <w:ind w:left="440"/>
    </w:pPr>
  </w:style>
  <w:style w:type="paragraph" w:styleId="TOC4">
    <w:name w:val="toc 4"/>
    <w:basedOn w:val="Normal"/>
    <w:next w:val="Normal"/>
    <w:uiPriority w:val="39"/>
    <w:semiHidden/>
    <w:unhideWhenUsed/>
    <w:rsid w:val="00C840A0"/>
    <w:pPr>
      <w:spacing w:after="100"/>
      <w:ind w:left="660"/>
    </w:pPr>
  </w:style>
  <w:style w:type="paragraph" w:styleId="TOC5">
    <w:name w:val="toc 5"/>
    <w:basedOn w:val="Normal"/>
    <w:next w:val="Normal"/>
    <w:uiPriority w:val="39"/>
    <w:semiHidden/>
    <w:unhideWhenUsed/>
    <w:rsid w:val="00C840A0"/>
    <w:pPr>
      <w:spacing w:after="100"/>
      <w:ind w:left="880"/>
    </w:pPr>
  </w:style>
  <w:style w:type="paragraph" w:styleId="TOC6">
    <w:name w:val="toc 6"/>
    <w:basedOn w:val="Normal"/>
    <w:next w:val="Normal"/>
    <w:uiPriority w:val="39"/>
    <w:semiHidden/>
    <w:unhideWhenUsed/>
    <w:rsid w:val="00C840A0"/>
    <w:pPr>
      <w:spacing w:after="100"/>
      <w:ind w:left="1100"/>
    </w:pPr>
  </w:style>
  <w:style w:type="paragraph" w:styleId="TOC7">
    <w:name w:val="toc 7"/>
    <w:basedOn w:val="Normal"/>
    <w:next w:val="Normal"/>
    <w:uiPriority w:val="39"/>
    <w:semiHidden/>
    <w:unhideWhenUsed/>
    <w:rsid w:val="00C840A0"/>
    <w:pPr>
      <w:spacing w:after="100"/>
      <w:ind w:left="1320"/>
    </w:pPr>
  </w:style>
  <w:style w:type="paragraph" w:styleId="TOC8">
    <w:name w:val="toc 8"/>
    <w:basedOn w:val="Normal"/>
    <w:next w:val="Normal"/>
    <w:uiPriority w:val="39"/>
    <w:semiHidden/>
    <w:unhideWhenUsed/>
    <w:rsid w:val="00C840A0"/>
    <w:pPr>
      <w:spacing w:after="100"/>
      <w:ind w:left="1540"/>
    </w:pPr>
  </w:style>
  <w:style w:type="paragraph" w:styleId="TOC9">
    <w:name w:val="toc 9"/>
    <w:basedOn w:val="Normal"/>
    <w:next w:val="Normal"/>
    <w:uiPriority w:val="39"/>
    <w:semiHidden/>
    <w:unhideWhenUsed/>
    <w:rsid w:val="00C840A0"/>
    <w:pPr>
      <w:spacing w:after="100"/>
      <w:ind w:left="1760"/>
    </w:pPr>
  </w:style>
  <w:style w:type="paragraph" w:styleId="TOAHeading">
    <w:name w:val="toa heading"/>
    <w:basedOn w:val="Normal"/>
    <w:next w:val="Normal"/>
    <w:uiPriority w:val="99"/>
    <w:semiHidden/>
    <w:unhideWhenUsed/>
    <w:rsid w:val="00C840A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840A0"/>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styleId="List">
    <w:name w:val="List"/>
    <w:basedOn w:val="Normal"/>
    <w:uiPriority w:val="99"/>
    <w:semiHidden/>
    <w:unhideWhenUsed/>
    <w:rsid w:val="00C840A0"/>
    <w:pPr>
      <w:ind w:left="283" w:hanging="283"/>
      <w:contextualSpacing/>
    </w:pPr>
  </w:style>
  <w:style w:type="paragraph" w:styleId="List2">
    <w:name w:val="List 2"/>
    <w:basedOn w:val="Normal"/>
    <w:uiPriority w:val="99"/>
    <w:semiHidden/>
    <w:unhideWhenUsed/>
    <w:rsid w:val="00C840A0"/>
    <w:pPr>
      <w:ind w:left="566" w:hanging="283"/>
      <w:contextualSpacing/>
    </w:pPr>
  </w:style>
  <w:style w:type="paragraph" w:styleId="List3">
    <w:name w:val="List 3"/>
    <w:basedOn w:val="Normal"/>
    <w:uiPriority w:val="99"/>
    <w:semiHidden/>
    <w:unhideWhenUsed/>
    <w:rsid w:val="00C840A0"/>
    <w:pPr>
      <w:ind w:left="849" w:hanging="283"/>
      <w:contextualSpacing/>
    </w:pPr>
  </w:style>
  <w:style w:type="paragraph" w:styleId="List4">
    <w:name w:val="List 4"/>
    <w:basedOn w:val="Normal"/>
    <w:uiPriority w:val="99"/>
    <w:semiHidden/>
    <w:unhideWhenUsed/>
    <w:rsid w:val="00C840A0"/>
    <w:pPr>
      <w:ind w:left="1132" w:hanging="283"/>
      <w:contextualSpacing/>
    </w:pPr>
  </w:style>
  <w:style w:type="paragraph" w:styleId="List5">
    <w:name w:val="List 5"/>
    <w:basedOn w:val="Normal"/>
    <w:uiPriority w:val="99"/>
    <w:semiHidden/>
    <w:unhideWhenUsed/>
    <w:rsid w:val="00C840A0"/>
    <w:pPr>
      <w:ind w:left="1415" w:hanging="283"/>
      <w:contextualSpacing/>
    </w:pPr>
  </w:style>
  <w:style w:type="paragraph" w:styleId="TableofFigures">
    <w:name w:val="table of figures"/>
    <w:basedOn w:val="Normal"/>
    <w:next w:val="Normal"/>
    <w:uiPriority w:val="99"/>
    <w:semiHidden/>
    <w:unhideWhenUsed/>
    <w:rsid w:val="00C840A0"/>
  </w:style>
  <w:style w:type="paragraph" w:styleId="ListBullet">
    <w:name w:val="List Bullet"/>
    <w:basedOn w:val="Normal"/>
    <w:uiPriority w:val="99"/>
    <w:semiHidden/>
    <w:unhideWhenUsed/>
    <w:rsid w:val="00C840A0"/>
    <w:pPr>
      <w:numPr>
        <w:numId w:val="6"/>
      </w:numPr>
      <w:contextualSpacing/>
    </w:pPr>
  </w:style>
  <w:style w:type="paragraph" w:styleId="ListBullet2">
    <w:name w:val="List Bullet 2"/>
    <w:basedOn w:val="Normal"/>
    <w:uiPriority w:val="99"/>
    <w:semiHidden/>
    <w:unhideWhenUsed/>
    <w:rsid w:val="00C840A0"/>
    <w:pPr>
      <w:numPr>
        <w:numId w:val="7"/>
      </w:numPr>
      <w:contextualSpacing/>
    </w:pPr>
  </w:style>
  <w:style w:type="paragraph" w:styleId="ListBullet3">
    <w:name w:val="List Bullet 3"/>
    <w:basedOn w:val="Normal"/>
    <w:uiPriority w:val="99"/>
    <w:semiHidden/>
    <w:unhideWhenUsed/>
    <w:rsid w:val="00C840A0"/>
    <w:pPr>
      <w:numPr>
        <w:numId w:val="8"/>
      </w:numPr>
      <w:contextualSpacing/>
    </w:pPr>
  </w:style>
  <w:style w:type="paragraph" w:styleId="ListBullet4">
    <w:name w:val="List Bullet 4"/>
    <w:basedOn w:val="Normal"/>
    <w:uiPriority w:val="99"/>
    <w:semiHidden/>
    <w:unhideWhenUsed/>
    <w:rsid w:val="00C840A0"/>
    <w:pPr>
      <w:numPr>
        <w:numId w:val="9"/>
      </w:numPr>
      <w:contextualSpacing/>
    </w:pPr>
  </w:style>
  <w:style w:type="paragraph" w:styleId="ListBullet5">
    <w:name w:val="List Bullet 5"/>
    <w:basedOn w:val="Normal"/>
    <w:uiPriority w:val="99"/>
    <w:semiHidden/>
    <w:unhideWhenUsed/>
    <w:rsid w:val="00C840A0"/>
    <w:pPr>
      <w:numPr>
        <w:numId w:val="10"/>
      </w:numPr>
      <w:contextualSpacing/>
    </w:pPr>
  </w:style>
  <w:style w:type="paragraph" w:styleId="ListNumber">
    <w:name w:val="List Number"/>
    <w:basedOn w:val="Normal"/>
    <w:uiPriority w:val="99"/>
    <w:semiHidden/>
    <w:unhideWhenUsed/>
    <w:rsid w:val="00C840A0"/>
    <w:pPr>
      <w:numPr>
        <w:numId w:val="44"/>
      </w:numPr>
      <w:contextualSpacing/>
    </w:pPr>
  </w:style>
  <w:style w:type="paragraph" w:styleId="ListNumber2">
    <w:name w:val="List Number 2"/>
    <w:basedOn w:val="Normal"/>
    <w:uiPriority w:val="99"/>
    <w:semiHidden/>
    <w:unhideWhenUsed/>
    <w:rsid w:val="00C840A0"/>
    <w:pPr>
      <w:numPr>
        <w:numId w:val="45"/>
      </w:numPr>
      <w:contextualSpacing/>
    </w:pPr>
  </w:style>
  <w:style w:type="paragraph" w:styleId="ListNumber3">
    <w:name w:val="List Number 3"/>
    <w:basedOn w:val="Normal"/>
    <w:uiPriority w:val="99"/>
    <w:semiHidden/>
    <w:unhideWhenUsed/>
    <w:rsid w:val="00C840A0"/>
    <w:pPr>
      <w:numPr>
        <w:numId w:val="46"/>
      </w:numPr>
      <w:contextualSpacing/>
    </w:pPr>
  </w:style>
  <w:style w:type="paragraph" w:styleId="ListNumber4">
    <w:name w:val="List Number 4"/>
    <w:basedOn w:val="Normal"/>
    <w:uiPriority w:val="99"/>
    <w:semiHidden/>
    <w:unhideWhenUsed/>
    <w:rsid w:val="00C840A0"/>
    <w:pPr>
      <w:numPr>
        <w:numId w:val="47"/>
      </w:numPr>
      <w:contextualSpacing/>
    </w:pPr>
  </w:style>
  <w:style w:type="paragraph" w:styleId="ListNumber5">
    <w:name w:val="List Number 5"/>
    <w:basedOn w:val="Normal"/>
    <w:uiPriority w:val="99"/>
    <w:semiHidden/>
    <w:unhideWhenUsed/>
    <w:rsid w:val="00C840A0"/>
    <w:pPr>
      <w:numPr>
        <w:numId w:val="48"/>
      </w:numPr>
      <w:contextualSpacing/>
    </w:pPr>
  </w:style>
  <w:style w:type="paragraph" w:styleId="ListContinue">
    <w:name w:val="List Continue"/>
    <w:basedOn w:val="Normal"/>
    <w:uiPriority w:val="99"/>
    <w:semiHidden/>
    <w:unhideWhenUsed/>
    <w:rsid w:val="00C840A0"/>
    <w:pPr>
      <w:spacing w:after="120"/>
      <w:ind w:left="283"/>
      <w:contextualSpacing/>
    </w:pPr>
  </w:style>
  <w:style w:type="paragraph" w:styleId="ListContinue2">
    <w:name w:val="List Continue 2"/>
    <w:basedOn w:val="Normal"/>
    <w:uiPriority w:val="99"/>
    <w:semiHidden/>
    <w:unhideWhenUsed/>
    <w:rsid w:val="00C840A0"/>
    <w:pPr>
      <w:spacing w:after="120"/>
      <w:ind w:left="566"/>
      <w:contextualSpacing/>
    </w:pPr>
  </w:style>
  <w:style w:type="paragraph" w:styleId="ListContinue3">
    <w:name w:val="List Continue 3"/>
    <w:basedOn w:val="Normal"/>
    <w:uiPriority w:val="99"/>
    <w:semiHidden/>
    <w:unhideWhenUsed/>
    <w:rsid w:val="00C840A0"/>
    <w:pPr>
      <w:spacing w:after="120"/>
      <w:ind w:left="849"/>
      <w:contextualSpacing/>
    </w:pPr>
  </w:style>
  <w:style w:type="paragraph" w:styleId="ListContinue4">
    <w:name w:val="List Continue 4"/>
    <w:basedOn w:val="Normal"/>
    <w:uiPriority w:val="99"/>
    <w:semiHidden/>
    <w:unhideWhenUsed/>
    <w:rsid w:val="00C840A0"/>
    <w:pPr>
      <w:spacing w:after="120"/>
      <w:ind w:left="1132"/>
      <w:contextualSpacing/>
    </w:pPr>
  </w:style>
  <w:style w:type="paragraph" w:styleId="ListContinue5">
    <w:name w:val="List Continue 5"/>
    <w:basedOn w:val="Normal"/>
    <w:uiPriority w:val="99"/>
    <w:semiHidden/>
    <w:unhideWhenUsed/>
    <w:rsid w:val="00C840A0"/>
    <w:pPr>
      <w:spacing w:after="120"/>
      <w:ind w:left="1415"/>
      <w:contextualSpacing/>
    </w:pPr>
  </w:style>
  <w:style w:type="paragraph" w:styleId="MacroText">
    <w:name w:val="macro"/>
    <w:link w:val="MacroTextChar"/>
    <w:uiPriority w:val="99"/>
    <w:semiHidden/>
    <w:unhideWhenUsed/>
    <w:rsid w:val="00C840A0"/>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CA"/>
    </w:rPr>
  </w:style>
  <w:style w:type="character" w:customStyle="1" w:styleId="MacroTextChar">
    <w:name w:val="Macro Text Char"/>
    <w:basedOn w:val="DefaultParagraphFont"/>
    <w:link w:val="MacroText"/>
    <w:uiPriority w:val="99"/>
    <w:semiHidden/>
    <w:rsid w:val="00C840A0"/>
    <w:rPr>
      <w:rFonts w:ascii="Consolas" w:hAnsi="Consolas"/>
      <w:lang w:val="en-CA"/>
    </w:rPr>
  </w:style>
  <w:style w:type="paragraph" w:styleId="NoteHeading">
    <w:name w:val="Note Heading"/>
    <w:basedOn w:val="Normal"/>
    <w:next w:val="Normal"/>
    <w:link w:val="NoteHeadingChar"/>
    <w:uiPriority w:val="99"/>
    <w:semiHidden/>
    <w:unhideWhenUsed/>
    <w:rsid w:val="00C840A0"/>
  </w:style>
  <w:style w:type="character" w:customStyle="1" w:styleId="NoteHeadingChar">
    <w:name w:val="Note Heading Char"/>
    <w:basedOn w:val="DefaultParagraphFont"/>
    <w:link w:val="NoteHeading"/>
    <w:uiPriority w:val="99"/>
    <w:semiHidden/>
    <w:rsid w:val="00C840A0"/>
    <w:rPr>
      <w:sz w:val="22"/>
      <w:szCs w:val="22"/>
      <w:lang w:val="en-CA"/>
    </w:rPr>
  </w:style>
  <w:style w:type="paragraph" w:styleId="BodyText">
    <w:name w:val="Body Text"/>
    <w:basedOn w:val="Normal"/>
    <w:link w:val="BodyTextChar"/>
    <w:uiPriority w:val="99"/>
    <w:semiHidden/>
    <w:unhideWhenUsed/>
    <w:rsid w:val="00C840A0"/>
    <w:pPr>
      <w:spacing w:after="120"/>
    </w:pPr>
  </w:style>
  <w:style w:type="character" w:customStyle="1" w:styleId="BodyTextChar">
    <w:name w:val="Body Text Char"/>
    <w:basedOn w:val="DefaultParagraphFont"/>
    <w:link w:val="BodyText"/>
    <w:uiPriority w:val="99"/>
    <w:semiHidden/>
    <w:rsid w:val="00C840A0"/>
    <w:rPr>
      <w:sz w:val="22"/>
      <w:szCs w:val="22"/>
      <w:lang w:val="en-CA"/>
    </w:rPr>
  </w:style>
  <w:style w:type="paragraph" w:styleId="BodyText2">
    <w:name w:val="Body Text 2"/>
    <w:basedOn w:val="Normal"/>
    <w:link w:val="BodyText2Char"/>
    <w:uiPriority w:val="99"/>
    <w:semiHidden/>
    <w:unhideWhenUsed/>
    <w:rsid w:val="00C840A0"/>
    <w:pPr>
      <w:spacing w:after="120" w:line="480" w:lineRule="auto"/>
    </w:pPr>
  </w:style>
  <w:style w:type="character" w:customStyle="1" w:styleId="BodyText2Char">
    <w:name w:val="Body Text 2 Char"/>
    <w:basedOn w:val="DefaultParagraphFont"/>
    <w:link w:val="BodyText2"/>
    <w:uiPriority w:val="99"/>
    <w:semiHidden/>
    <w:rsid w:val="00C840A0"/>
    <w:rPr>
      <w:sz w:val="22"/>
      <w:szCs w:val="22"/>
      <w:lang w:val="en-CA"/>
    </w:rPr>
  </w:style>
  <w:style w:type="paragraph" w:styleId="BodyTextFirstIndent">
    <w:name w:val="Body Text First Indent"/>
    <w:basedOn w:val="BodyText"/>
    <w:link w:val="BodyTextFirstIndentChar"/>
    <w:uiPriority w:val="99"/>
    <w:semiHidden/>
    <w:unhideWhenUsed/>
    <w:rsid w:val="00C840A0"/>
    <w:pPr>
      <w:spacing w:after="0"/>
      <w:ind w:firstLine="360"/>
    </w:pPr>
  </w:style>
  <w:style w:type="character" w:customStyle="1" w:styleId="BodyTextFirstIndentChar">
    <w:name w:val="Body Text First Indent Char"/>
    <w:basedOn w:val="BodyTextChar"/>
    <w:link w:val="BodyTextFirstIndent"/>
    <w:uiPriority w:val="99"/>
    <w:semiHidden/>
    <w:rsid w:val="00C840A0"/>
    <w:rPr>
      <w:sz w:val="22"/>
      <w:szCs w:val="22"/>
      <w:lang w:val="en-CA"/>
    </w:rPr>
  </w:style>
  <w:style w:type="paragraph" w:styleId="BodyTextIndent">
    <w:name w:val="Body Text Indent"/>
    <w:basedOn w:val="Normal"/>
    <w:link w:val="BodyTextIndentChar"/>
    <w:uiPriority w:val="99"/>
    <w:semiHidden/>
    <w:unhideWhenUsed/>
    <w:rsid w:val="00C840A0"/>
    <w:pPr>
      <w:spacing w:after="120"/>
      <w:ind w:left="283"/>
    </w:pPr>
  </w:style>
  <w:style w:type="character" w:customStyle="1" w:styleId="BodyTextIndentChar">
    <w:name w:val="Body Text Indent Char"/>
    <w:basedOn w:val="DefaultParagraphFont"/>
    <w:link w:val="BodyTextIndent"/>
    <w:uiPriority w:val="99"/>
    <w:semiHidden/>
    <w:rsid w:val="00C840A0"/>
    <w:rPr>
      <w:sz w:val="22"/>
      <w:szCs w:val="22"/>
      <w:lang w:val="en-CA"/>
    </w:rPr>
  </w:style>
  <w:style w:type="paragraph" w:styleId="BodyTextFirstIndent2">
    <w:name w:val="Body Text First Indent 2"/>
    <w:basedOn w:val="BodyTextIndent"/>
    <w:link w:val="BodyTextFirstIndent2Char"/>
    <w:uiPriority w:val="99"/>
    <w:semiHidden/>
    <w:unhideWhenUsed/>
    <w:rsid w:val="00C840A0"/>
    <w:pPr>
      <w:spacing w:after="0"/>
      <w:ind w:left="360" w:firstLine="360"/>
    </w:pPr>
  </w:style>
  <w:style w:type="character" w:customStyle="1" w:styleId="BodyTextFirstIndent2Char">
    <w:name w:val="Body Text First Indent 2 Char"/>
    <w:basedOn w:val="BodyTextIndentChar"/>
    <w:link w:val="BodyTextFirstIndent2"/>
    <w:uiPriority w:val="99"/>
    <w:semiHidden/>
    <w:rsid w:val="00C840A0"/>
    <w:rPr>
      <w:sz w:val="22"/>
      <w:szCs w:val="22"/>
      <w:lang w:val="en-CA"/>
    </w:rPr>
  </w:style>
  <w:style w:type="paragraph" w:styleId="BodyTextIndent2">
    <w:name w:val="Body Text Indent 2"/>
    <w:basedOn w:val="Normal"/>
    <w:link w:val="BodyTextIndent2Char"/>
    <w:uiPriority w:val="99"/>
    <w:semiHidden/>
    <w:unhideWhenUsed/>
    <w:rsid w:val="00C840A0"/>
    <w:pPr>
      <w:spacing w:after="120" w:line="480" w:lineRule="auto"/>
      <w:ind w:left="283"/>
    </w:pPr>
  </w:style>
  <w:style w:type="character" w:customStyle="1" w:styleId="BodyTextIndent2Char">
    <w:name w:val="Body Text Indent 2 Char"/>
    <w:basedOn w:val="DefaultParagraphFont"/>
    <w:link w:val="BodyTextIndent2"/>
    <w:uiPriority w:val="99"/>
    <w:semiHidden/>
    <w:rsid w:val="00C840A0"/>
    <w:rPr>
      <w:sz w:val="22"/>
      <w:szCs w:val="22"/>
      <w:lang w:val="en-CA"/>
    </w:rPr>
  </w:style>
  <w:style w:type="paragraph" w:styleId="NormalIndent">
    <w:name w:val="Normal Indent"/>
    <w:basedOn w:val="Normal"/>
    <w:uiPriority w:val="99"/>
    <w:semiHidden/>
    <w:unhideWhenUsed/>
    <w:rsid w:val="00C840A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26931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7012031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607762EF-1980-47E4-9972-52A5D6FA502A}">
  <ds:schemaRefs>
    <ds:schemaRef ds:uri="http://schemas.openxmlformats.org/officeDocument/2006/bibliography"/>
  </ds:schemaRefs>
</ds:datastoreItem>
</file>

<file path=customXml/itemProps4.xml><?xml version="1.0" encoding="utf-8"?>
<ds:datastoreItem xmlns:ds="http://schemas.openxmlformats.org/officeDocument/2006/customXml" ds:itemID="{BDFCB01B-229A-4806-8872-6D70B79DC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6811</Words>
  <Characters>38827</Characters>
  <Application>Microsoft Office Word</Application>
  <DocSecurity>0</DocSecurity>
  <Lines>323</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45547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8</cp:revision>
  <cp:lastPrinted>2026-06-06T20:01:00Z</cp:lastPrinted>
  <dcterms:created xsi:type="dcterms:W3CDTF">2026-06-03T15:16:00Z</dcterms:created>
  <dcterms:modified xsi:type="dcterms:W3CDTF">2026-06-06T20:03:00Z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